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25487" w14:textId="77777777" w:rsidR="004A3BF4" w:rsidRPr="00CC70C2" w:rsidRDefault="00056601" w:rsidP="004A3BF4">
      <w:pPr>
        <w:rPr>
          <w:sz w:val="24"/>
          <w:szCs w:val="24"/>
          <w:lang w:val="en-GB"/>
        </w:rPr>
      </w:pPr>
      <w:bookmarkStart w:id="0" w:name="_GoBack"/>
      <w:bookmarkEnd w:id="0"/>
      <w:r w:rsidRPr="00CC70C2">
        <w:rPr>
          <w:noProof/>
          <w:sz w:val="24"/>
          <w:szCs w:val="24"/>
          <w:lang w:val="en-GB"/>
        </w:rPr>
        <w:drawing>
          <wp:inline distT="0" distB="0" distL="0" distR="0" wp14:anchorId="358E7EC1" wp14:editId="36A184F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831B3C8" w14:textId="77777777" w:rsidR="006B3847" w:rsidRPr="00CC70C2" w:rsidRDefault="006B3847" w:rsidP="006B3847">
      <w:pPr>
        <w:rPr>
          <w:sz w:val="24"/>
          <w:szCs w:val="24"/>
          <w:lang w:val="en-GB"/>
        </w:rPr>
      </w:pPr>
    </w:p>
    <w:p w14:paraId="35CAD959" w14:textId="0343F2C3" w:rsidR="006B3847" w:rsidRPr="007D65A5" w:rsidRDefault="006B3847" w:rsidP="006B3847">
      <w:pPr>
        <w:tabs>
          <w:tab w:val="right" w:pos="9356"/>
        </w:tabs>
        <w:rPr>
          <w:b/>
          <w:sz w:val="24"/>
          <w:szCs w:val="24"/>
          <w:lang w:val="en-US"/>
        </w:rPr>
      </w:pPr>
      <w:r w:rsidRPr="00CC70C2">
        <w:rPr>
          <w:b/>
          <w:sz w:val="24"/>
          <w:szCs w:val="24"/>
          <w:lang w:val="en-GB"/>
        </w:rPr>
        <w:tab/>
      </w:r>
      <w:r w:rsidR="007D65A5" w:rsidRPr="007D65A5">
        <w:rPr>
          <w:b/>
          <w:sz w:val="24"/>
          <w:szCs w:val="24"/>
          <w:lang w:val="en-US"/>
        </w:rPr>
        <w:t>26 S</w:t>
      </w:r>
      <w:r w:rsidR="007D65A5">
        <w:rPr>
          <w:b/>
          <w:sz w:val="24"/>
          <w:szCs w:val="24"/>
          <w:lang w:val="en-US"/>
        </w:rPr>
        <w:t>eptember 2024</w:t>
      </w:r>
    </w:p>
    <w:p w14:paraId="17CD77A9" w14:textId="2026EA70" w:rsidR="00970C64" w:rsidRPr="007D65A5" w:rsidRDefault="00970C64" w:rsidP="006B3847">
      <w:pPr>
        <w:rPr>
          <w:sz w:val="24"/>
          <w:szCs w:val="24"/>
          <w:lang w:val="en-US"/>
        </w:rPr>
      </w:pPr>
    </w:p>
    <w:p w14:paraId="0E2312AE" w14:textId="40E77E9F" w:rsidR="007C5D2A" w:rsidRPr="007D65A5" w:rsidRDefault="007C5D2A" w:rsidP="007C5D2A">
      <w:pPr>
        <w:rPr>
          <w:sz w:val="24"/>
          <w:szCs w:val="24"/>
          <w:lang w:val="en-US"/>
        </w:rPr>
      </w:pPr>
    </w:p>
    <w:p w14:paraId="0BF1661E" w14:textId="77777777" w:rsidR="007D65A5" w:rsidRPr="007D65A5" w:rsidRDefault="007D65A5" w:rsidP="007C5D2A">
      <w:pPr>
        <w:rPr>
          <w:sz w:val="24"/>
          <w:szCs w:val="24"/>
          <w:lang w:val="en-US"/>
        </w:rPr>
      </w:pPr>
    </w:p>
    <w:p w14:paraId="729049A4" w14:textId="77777777" w:rsidR="007C5D2A" w:rsidRPr="00CC70C2" w:rsidRDefault="007C5D2A" w:rsidP="007C5D2A">
      <w:pPr>
        <w:jc w:val="center"/>
        <w:rPr>
          <w:b/>
          <w:sz w:val="24"/>
          <w:szCs w:val="24"/>
          <w:lang w:val="en-GB"/>
        </w:rPr>
      </w:pPr>
      <w:bookmarkStart w:id="1" w:name="_Hlk49158549"/>
      <w:r w:rsidRPr="00CC70C2">
        <w:rPr>
          <w:b/>
          <w:sz w:val="24"/>
          <w:szCs w:val="24"/>
          <w:lang w:val="en-GB"/>
        </w:rPr>
        <w:t>SUMMARY OF PRODUCT CHARACTERISTICS</w:t>
      </w:r>
    </w:p>
    <w:bookmarkEnd w:id="1"/>
    <w:p w14:paraId="24660DC5" w14:textId="77777777" w:rsidR="007C5D2A" w:rsidRPr="00CC70C2" w:rsidRDefault="007C5D2A" w:rsidP="007C5D2A">
      <w:pPr>
        <w:jc w:val="center"/>
        <w:rPr>
          <w:sz w:val="24"/>
          <w:szCs w:val="24"/>
          <w:lang w:val="en-GB"/>
        </w:rPr>
      </w:pPr>
    </w:p>
    <w:p w14:paraId="7A2AF556" w14:textId="77777777" w:rsidR="007C5D2A" w:rsidRPr="00CC70C2" w:rsidRDefault="007C5D2A" w:rsidP="007C5D2A">
      <w:pPr>
        <w:jc w:val="center"/>
        <w:rPr>
          <w:b/>
          <w:sz w:val="24"/>
          <w:szCs w:val="24"/>
          <w:lang w:val="en-GB"/>
        </w:rPr>
      </w:pPr>
      <w:r w:rsidRPr="00CC70C2">
        <w:rPr>
          <w:b/>
          <w:sz w:val="24"/>
          <w:szCs w:val="24"/>
          <w:lang w:val="en-GB"/>
        </w:rPr>
        <w:t>for</w:t>
      </w:r>
    </w:p>
    <w:p w14:paraId="5D12DBFA" w14:textId="77777777" w:rsidR="007C5D2A" w:rsidRPr="00CC70C2" w:rsidRDefault="007C5D2A" w:rsidP="007C5D2A">
      <w:pPr>
        <w:jc w:val="center"/>
        <w:rPr>
          <w:sz w:val="24"/>
          <w:szCs w:val="24"/>
          <w:lang w:val="en-GB"/>
        </w:rPr>
      </w:pPr>
    </w:p>
    <w:p w14:paraId="378DE9DA" w14:textId="65B6F85A" w:rsidR="007C5D2A" w:rsidRPr="00CC70C2" w:rsidRDefault="00A730D1" w:rsidP="007C5D2A">
      <w:pPr>
        <w:jc w:val="center"/>
        <w:rPr>
          <w:b/>
          <w:sz w:val="24"/>
          <w:szCs w:val="24"/>
          <w:lang w:val="en-GB"/>
        </w:rPr>
      </w:pPr>
      <w:proofErr w:type="spellStart"/>
      <w:r w:rsidRPr="00CC70C2">
        <w:rPr>
          <w:b/>
          <w:sz w:val="24"/>
          <w:szCs w:val="24"/>
          <w:lang w:val="en-GB"/>
        </w:rPr>
        <w:t>Quetiapin</w:t>
      </w:r>
      <w:proofErr w:type="spellEnd"/>
      <w:r w:rsidRPr="00CC70C2">
        <w:rPr>
          <w:b/>
          <w:sz w:val="24"/>
          <w:szCs w:val="24"/>
          <w:lang w:val="en-GB"/>
        </w:rPr>
        <w:t xml:space="preserve"> "</w:t>
      </w:r>
      <w:proofErr w:type="spellStart"/>
      <w:r w:rsidRPr="00CC70C2">
        <w:rPr>
          <w:b/>
          <w:sz w:val="24"/>
          <w:szCs w:val="24"/>
          <w:lang w:val="en-GB"/>
        </w:rPr>
        <w:t>Hexal</w:t>
      </w:r>
      <w:proofErr w:type="spellEnd"/>
      <w:r w:rsidRPr="00CC70C2">
        <w:rPr>
          <w:b/>
          <w:sz w:val="24"/>
          <w:szCs w:val="24"/>
          <w:lang w:val="en-GB"/>
        </w:rPr>
        <w:t>", prolonged</w:t>
      </w:r>
      <w:r w:rsidR="00A731EF" w:rsidRPr="00CC70C2">
        <w:rPr>
          <w:b/>
          <w:sz w:val="24"/>
          <w:szCs w:val="24"/>
          <w:lang w:val="en-GB"/>
        </w:rPr>
        <w:t>-release tablets 600 mg</w:t>
      </w:r>
    </w:p>
    <w:p w14:paraId="5A51167A" w14:textId="77777777" w:rsidR="007C5D2A" w:rsidRPr="00CC70C2" w:rsidRDefault="007C5D2A" w:rsidP="007C5D2A">
      <w:pPr>
        <w:jc w:val="both"/>
        <w:rPr>
          <w:sz w:val="24"/>
          <w:szCs w:val="24"/>
          <w:lang w:val="en-GB"/>
        </w:rPr>
      </w:pPr>
    </w:p>
    <w:p w14:paraId="73D82EB1" w14:textId="77777777" w:rsidR="0042292D" w:rsidRPr="00CC70C2" w:rsidRDefault="0042292D" w:rsidP="007C5D2A">
      <w:pPr>
        <w:jc w:val="both"/>
        <w:rPr>
          <w:sz w:val="24"/>
          <w:szCs w:val="24"/>
          <w:lang w:val="en-GB"/>
        </w:rPr>
      </w:pPr>
    </w:p>
    <w:p w14:paraId="47843D7A" w14:textId="77777777" w:rsidR="008F2F8C" w:rsidRPr="00CC70C2" w:rsidRDefault="008F2F8C" w:rsidP="008F2F8C">
      <w:pPr>
        <w:tabs>
          <w:tab w:val="left" w:pos="8222"/>
        </w:tabs>
        <w:ind w:left="851" w:hanging="851"/>
        <w:rPr>
          <w:b/>
          <w:sz w:val="24"/>
          <w:szCs w:val="24"/>
          <w:lang w:val="en-GB"/>
        </w:rPr>
      </w:pPr>
      <w:r w:rsidRPr="00CC70C2">
        <w:rPr>
          <w:b/>
          <w:sz w:val="24"/>
          <w:szCs w:val="24"/>
          <w:lang w:val="en-GB"/>
        </w:rPr>
        <w:t>0.</w:t>
      </w:r>
      <w:r w:rsidRPr="00CC70C2">
        <w:rPr>
          <w:b/>
          <w:sz w:val="24"/>
          <w:szCs w:val="24"/>
          <w:lang w:val="en-GB"/>
        </w:rPr>
        <w:tab/>
      </w:r>
      <w:proofErr w:type="gramStart"/>
      <w:r w:rsidRPr="00CC70C2">
        <w:rPr>
          <w:b/>
          <w:sz w:val="24"/>
          <w:szCs w:val="24"/>
          <w:lang w:val="en-GB"/>
        </w:rPr>
        <w:t>D.SP.NO</w:t>
      </w:r>
      <w:proofErr w:type="gramEnd"/>
      <w:r w:rsidRPr="00CC70C2">
        <w:rPr>
          <w:b/>
          <w:sz w:val="24"/>
          <w:szCs w:val="24"/>
          <w:lang w:val="en-GB"/>
        </w:rPr>
        <w:t>.</w:t>
      </w:r>
    </w:p>
    <w:p w14:paraId="373750DB" w14:textId="7A0D6ED4" w:rsidR="008F2F8C" w:rsidRPr="00CC70C2" w:rsidRDefault="00A731EF" w:rsidP="008F2F8C">
      <w:pPr>
        <w:tabs>
          <w:tab w:val="left" w:pos="8222"/>
        </w:tabs>
        <w:ind w:left="851"/>
        <w:rPr>
          <w:sz w:val="24"/>
          <w:szCs w:val="24"/>
          <w:lang w:val="en-GB"/>
        </w:rPr>
      </w:pPr>
      <w:r w:rsidRPr="00CC70C2">
        <w:rPr>
          <w:sz w:val="24"/>
          <w:szCs w:val="24"/>
          <w:lang w:val="en-GB"/>
        </w:rPr>
        <w:t>24638</w:t>
      </w:r>
    </w:p>
    <w:p w14:paraId="6025ABBC" w14:textId="77777777" w:rsidR="007C5D2A" w:rsidRPr="00CC70C2" w:rsidRDefault="007C5D2A" w:rsidP="007C5D2A">
      <w:pPr>
        <w:tabs>
          <w:tab w:val="left" w:pos="851"/>
        </w:tabs>
        <w:jc w:val="both"/>
        <w:rPr>
          <w:sz w:val="24"/>
          <w:szCs w:val="24"/>
          <w:lang w:val="en-GB"/>
        </w:rPr>
      </w:pPr>
    </w:p>
    <w:p w14:paraId="203A44C2" w14:textId="77777777" w:rsidR="007C5D2A" w:rsidRPr="00CC70C2" w:rsidRDefault="009925C9" w:rsidP="007C5D2A">
      <w:pPr>
        <w:tabs>
          <w:tab w:val="left" w:pos="851"/>
        </w:tabs>
        <w:ind w:left="851" w:hanging="851"/>
        <w:rPr>
          <w:sz w:val="24"/>
          <w:szCs w:val="24"/>
          <w:lang w:val="en-GB"/>
        </w:rPr>
      </w:pPr>
      <w:r w:rsidRPr="00CC70C2">
        <w:rPr>
          <w:b/>
          <w:sz w:val="24"/>
          <w:szCs w:val="24"/>
          <w:lang w:val="en-GB"/>
        </w:rPr>
        <w:t>1.</w:t>
      </w:r>
      <w:r w:rsidR="007C5D2A" w:rsidRPr="00CC70C2">
        <w:rPr>
          <w:b/>
          <w:sz w:val="24"/>
          <w:szCs w:val="24"/>
          <w:lang w:val="en-GB"/>
        </w:rPr>
        <w:tab/>
        <w:t>NAME OF THE MEDICINAL PRODUCT</w:t>
      </w:r>
    </w:p>
    <w:p w14:paraId="766C8ACF" w14:textId="54908F7E" w:rsidR="007C5D2A" w:rsidRPr="00CC70C2" w:rsidRDefault="00A731EF" w:rsidP="004A3BF4">
      <w:pPr>
        <w:tabs>
          <w:tab w:val="left" w:pos="851"/>
        </w:tabs>
        <w:ind w:left="851"/>
        <w:rPr>
          <w:sz w:val="24"/>
          <w:szCs w:val="24"/>
          <w:lang w:val="en-GB"/>
        </w:rPr>
      </w:pPr>
      <w:proofErr w:type="spellStart"/>
      <w:r w:rsidRPr="00CC70C2">
        <w:rPr>
          <w:sz w:val="24"/>
          <w:szCs w:val="24"/>
          <w:lang w:val="en-GB"/>
        </w:rPr>
        <w:t>Quetiapin</w:t>
      </w:r>
      <w:proofErr w:type="spellEnd"/>
      <w:r w:rsidRPr="00CC70C2">
        <w:rPr>
          <w:sz w:val="24"/>
          <w:szCs w:val="24"/>
          <w:lang w:val="en-GB"/>
        </w:rPr>
        <w:t xml:space="preserve"> "</w:t>
      </w:r>
      <w:proofErr w:type="spellStart"/>
      <w:r w:rsidRPr="00CC70C2">
        <w:rPr>
          <w:sz w:val="24"/>
          <w:szCs w:val="24"/>
          <w:lang w:val="en-GB"/>
        </w:rPr>
        <w:t>Hexal</w:t>
      </w:r>
      <w:proofErr w:type="spellEnd"/>
      <w:r w:rsidRPr="00CC70C2">
        <w:rPr>
          <w:sz w:val="24"/>
          <w:szCs w:val="24"/>
          <w:lang w:val="en-GB"/>
        </w:rPr>
        <w:t>"</w:t>
      </w:r>
    </w:p>
    <w:p w14:paraId="3D161A37" w14:textId="77777777" w:rsidR="007C5D2A" w:rsidRPr="00CC70C2" w:rsidRDefault="007C5D2A" w:rsidP="004A3BF4">
      <w:pPr>
        <w:tabs>
          <w:tab w:val="left" w:pos="851"/>
        </w:tabs>
        <w:ind w:left="851"/>
        <w:rPr>
          <w:sz w:val="24"/>
          <w:szCs w:val="24"/>
          <w:lang w:val="en-GB"/>
        </w:rPr>
      </w:pPr>
    </w:p>
    <w:p w14:paraId="13F882EE" w14:textId="77777777" w:rsidR="007C5D2A" w:rsidRPr="00CC70C2" w:rsidRDefault="009925C9" w:rsidP="007C5D2A">
      <w:pPr>
        <w:ind w:left="851" w:hanging="851"/>
        <w:rPr>
          <w:b/>
          <w:sz w:val="24"/>
          <w:szCs w:val="24"/>
          <w:lang w:val="en-GB"/>
        </w:rPr>
      </w:pPr>
      <w:r w:rsidRPr="00CC70C2">
        <w:rPr>
          <w:b/>
          <w:sz w:val="24"/>
          <w:szCs w:val="24"/>
          <w:lang w:val="en-GB"/>
        </w:rPr>
        <w:t>2.</w:t>
      </w:r>
      <w:r w:rsidR="007C5D2A" w:rsidRPr="00CC70C2">
        <w:rPr>
          <w:b/>
          <w:sz w:val="24"/>
          <w:szCs w:val="24"/>
          <w:lang w:val="en-GB"/>
        </w:rPr>
        <w:tab/>
        <w:t>QUALITATIVE AND QUANTITATIVE COMPOSITION</w:t>
      </w:r>
    </w:p>
    <w:p w14:paraId="7A807149" w14:textId="77777777" w:rsidR="005C0380" w:rsidRPr="005C0380" w:rsidRDefault="005C0380" w:rsidP="005C0380">
      <w:pPr>
        <w:ind w:left="851"/>
        <w:rPr>
          <w:sz w:val="24"/>
          <w:szCs w:val="24"/>
          <w:lang w:val="en-US"/>
        </w:rPr>
      </w:pPr>
      <w:r w:rsidRPr="005C0380">
        <w:rPr>
          <w:sz w:val="24"/>
          <w:szCs w:val="24"/>
          <w:lang w:val="en-US"/>
        </w:rPr>
        <w:t>Each prolonged release tablet contains 600 mg of quetiapine (as quetiapine fumarate).</w:t>
      </w:r>
    </w:p>
    <w:p w14:paraId="51111BEB" w14:textId="77777777" w:rsidR="005C0380" w:rsidRPr="005C0380" w:rsidRDefault="005C0380" w:rsidP="005C0380">
      <w:pPr>
        <w:ind w:left="851"/>
        <w:rPr>
          <w:sz w:val="24"/>
          <w:szCs w:val="24"/>
          <w:lang w:val="en-US"/>
        </w:rPr>
      </w:pPr>
    </w:p>
    <w:p w14:paraId="3A3C60BB" w14:textId="77777777" w:rsidR="005C0380" w:rsidRPr="005C0380" w:rsidRDefault="005C0380" w:rsidP="005C0380">
      <w:pPr>
        <w:ind w:left="851"/>
        <w:rPr>
          <w:sz w:val="24"/>
          <w:szCs w:val="24"/>
          <w:lang w:val="en-US"/>
        </w:rPr>
      </w:pPr>
      <w:r w:rsidRPr="005C0380">
        <w:rPr>
          <w:sz w:val="24"/>
          <w:szCs w:val="24"/>
          <w:lang w:val="en-US"/>
        </w:rPr>
        <w:t>Excipient with known effect</w:t>
      </w:r>
    </w:p>
    <w:p w14:paraId="3957C5B1" w14:textId="77777777" w:rsidR="005C0380" w:rsidRPr="005C0380" w:rsidRDefault="005C0380" w:rsidP="005C0380">
      <w:pPr>
        <w:ind w:left="851"/>
        <w:rPr>
          <w:sz w:val="24"/>
          <w:szCs w:val="24"/>
          <w:lang w:val="en-US"/>
        </w:rPr>
      </w:pPr>
      <w:r w:rsidRPr="005C0380">
        <w:rPr>
          <w:sz w:val="24"/>
          <w:szCs w:val="24"/>
          <w:lang w:val="en-US"/>
        </w:rPr>
        <w:t>Each prolonged release tablet contains 170.5 mg lactose (anhydrous).</w:t>
      </w:r>
    </w:p>
    <w:p w14:paraId="79DF8EDD" w14:textId="77777777" w:rsidR="000C62FB" w:rsidRPr="005C0380" w:rsidRDefault="000C62FB" w:rsidP="005C0380">
      <w:pPr>
        <w:ind w:left="851"/>
        <w:rPr>
          <w:sz w:val="24"/>
          <w:szCs w:val="24"/>
          <w:lang w:val="en-US"/>
        </w:rPr>
      </w:pPr>
    </w:p>
    <w:p w14:paraId="1078A31B" w14:textId="77777777" w:rsidR="000C62FB" w:rsidRPr="005C0380" w:rsidRDefault="000C62FB" w:rsidP="005C0380">
      <w:pPr>
        <w:shd w:val="clear" w:color="auto" w:fill="FFFFFF"/>
        <w:ind w:left="851"/>
        <w:rPr>
          <w:color w:val="000000"/>
          <w:sz w:val="24"/>
          <w:szCs w:val="24"/>
          <w:lang w:val="en-GB"/>
        </w:rPr>
      </w:pPr>
      <w:bookmarkStart w:id="2" w:name="FORM"/>
      <w:bookmarkEnd w:id="2"/>
      <w:r w:rsidRPr="005C0380">
        <w:rPr>
          <w:color w:val="000000"/>
          <w:sz w:val="24"/>
          <w:szCs w:val="24"/>
          <w:lang w:val="en-GB"/>
        </w:rPr>
        <w:t>For the full list of excipients, see section 6.1.</w:t>
      </w:r>
    </w:p>
    <w:p w14:paraId="4E18BED1" w14:textId="77777777" w:rsidR="007C5D2A" w:rsidRPr="00CC70C2" w:rsidRDefault="007C5D2A" w:rsidP="004A3BF4">
      <w:pPr>
        <w:tabs>
          <w:tab w:val="left" w:pos="851"/>
        </w:tabs>
        <w:ind w:left="851"/>
        <w:rPr>
          <w:sz w:val="24"/>
          <w:szCs w:val="24"/>
          <w:lang w:val="en-GB"/>
        </w:rPr>
      </w:pPr>
    </w:p>
    <w:p w14:paraId="265D2A0D"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3.</w:t>
      </w:r>
      <w:r w:rsidRPr="00CC70C2">
        <w:rPr>
          <w:b/>
          <w:sz w:val="24"/>
          <w:szCs w:val="24"/>
          <w:lang w:val="en-GB"/>
        </w:rPr>
        <w:tab/>
        <w:t>PHARMACEUTICAL FORM</w:t>
      </w:r>
    </w:p>
    <w:p w14:paraId="5868DFE4" w14:textId="35869624" w:rsidR="000C62FB" w:rsidRPr="00CC70C2" w:rsidRDefault="000C62FB" w:rsidP="00383581">
      <w:pPr>
        <w:ind w:left="851"/>
        <w:rPr>
          <w:color w:val="000000"/>
          <w:sz w:val="24"/>
          <w:szCs w:val="24"/>
          <w:lang w:val="en-GB"/>
        </w:rPr>
      </w:pPr>
      <w:r w:rsidRPr="00CC70C2">
        <w:rPr>
          <w:color w:val="000000"/>
          <w:sz w:val="24"/>
          <w:szCs w:val="24"/>
          <w:lang w:val="en-GB"/>
        </w:rPr>
        <w:t>Prolonged-release tablet</w:t>
      </w:r>
      <w:r w:rsidR="009A379C" w:rsidRPr="00CC70C2">
        <w:rPr>
          <w:color w:val="000000"/>
          <w:sz w:val="24"/>
          <w:szCs w:val="24"/>
          <w:lang w:val="en-GB"/>
        </w:rPr>
        <w:t>s</w:t>
      </w:r>
    </w:p>
    <w:p w14:paraId="4A62239D" w14:textId="77777777" w:rsidR="000C62FB" w:rsidRPr="00CC70C2" w:rsidRDefault="000C62FB" w:rsidP="00383581">
      <w:pPr>
        <w:ind w:left="851"/>
        <w:rPr>
          <w:color w:val="000000"/>
          <w:sz w:val="24"/>
          <w:szCs w:val="24"/>
          <w:lang w:val="en-GB"/>
        </w:rPr>
      </w:pPr>
    </w:p>
    <w:p w14:paraId="31FD2C8E" w14:textId="7FA188E5" w:rsidR="000C62FB" w:rsidRPr="00CC70C2" w:rsidRDefault="000C62FB" w:rsidP="00383581">
      <w:pPr>
        <w:pStyle w:val="Listeafsnit"/>
        <w:ind w:left="851"/>
        <w:rPr>
          <w:color w:val="000000"/>
          <w:szCs w:val="24"/>
          <w:lang w:val="en-GB"/>
        </w:rPr>
      </w:pPr>
      <w:r w:rsidRPr="00CC70C2">
        <w:rPr>
          <w:color w:val="000000"/>
          <w:szCs w:val="24"/>
          <w:lang w:val="en-GB"/>
        </w:rPr>
        <w:t>600</w:t>
      </w:r>
      <w:r w:rsidR="008C187F">
        <w:rPr>
          <w:color w:val="000000"/>
          <w:szCs w:val="24"/>
          <w:lang w:val="en-GB"/>
        </w:rPr>
        <w:t xml:space="preserve"> </w:t>
      </w:r>
      <w:r w:rsidRPr="00CC70C2">
        <w:rPr>
          <w:color w:val="000000"/>
          <w:szCs w:val="24"/>
          <w:lang w:val="en-GB"/>
        </w:rPr>
        <w:t xml:space="preserve">mg: A </w:t>
      </w:r>
      <w:r w:rsidRPr="00CC70C2">
        <w:rPr>
          <w:rFonts w:eastAsia="Calibri"/>
          <w:szCs w:val="24"/>
          <w:lang w:val="en-GB" w:eastAsia="nl-NL"/>
        </w:rPr>
        <w:t>White to off white, oval biconvex and engraved with ‘600’ on one side and 22.7</w:t>
      </w:r>
      <w:r w:rsidR="00C77560">
        <w:rPr>
          <w:rFonts w:eastAsia="Calibri"/>
          <w:szCs w:val="24"/>
          <w:lang w:val="en-GB" w:eastAsia="nl-NL"/>
        </w:rPr>
        <w:t> </w:t>
      </w:r>
      <w:r w:rsidRPr="00CC70C2">
        <w:rPr>
          <w:rFonts w:eastAsia="Calibri"/>
          <w:szCs w:val="24"/>
          <w:lang w:val="en-GB" w:eastAsia="nl-NL"/>
        </w:rPr>
        <w:t xml:space="preserve">mm in length, 10.2 mm in width and 8.1 mm in thickness. </w:t>
      </w:r>
    </w:p>
    <w:p w14:paraId="59A5B906" w14:textId="77777777" w:rsidR="007C5D2A" w:rsidRPr="00CC70C2" w:rsidRDefault="007C5D2A" w:rsidP="004A3BF4">
      <w:pPr>
        <w:tabs>
          <w:tab w:val="left" w:pos="851"/>
        </w:tabs>
        <w:ind w:left="851"/>
        <w:rPr>
          <w:sz w:val="24"/>
          <w:szCs w:val="24"/>
          <w:lang w:val="en-GB"/>
        </w:rPr>
      </w:pPr>
    </w:p>
    <w:p w14:paraId="45B80F8B" w14:textId="77777777" w:rsidR="007C5D2A" w:rsidRPr="00CC70C2" w:rsidRDefault="007C5D2A" w:rsidP="004A3BF4">
      <w:pPr>
        <w:tabs>
          <w:tab w:val="left" w:pos="851"/>
        </w:tabs>
        <w:ind w:left="851"/>
        <w:rPr>
          <w:sz w:val="24"/>
          <w:szCs w:val="24"/>
          <w:lang w:val="en-GB"/>
        </w:rPr>
      </w:pPr>
    </w:p>
    <w:p w14:paraId="413924B5" w14:textId="77777777" w:rsidR="007C5D2A" w:rsidRPr="00CC70C2" w:rsidRDefault="007C5D2A" w:rsidP="007C5D2A">
      <w:pPr>
        <w:ind w:left="851" w:hanging="851"/>
        <w:rPr>
          <w:b/>
          <w:sz w:val="24"/>
          <w:szCs w:val="24"/>
          <w:lang w:val="en-GB"/>
        </w:rPr>
      </w:pPr>
      <w:r w:rsidRPr="00CC70C2">
        <w:rPr>
          <w:b/>
          <w:sz w:val="24"/>
          <w:szCs w:val="24"/>
          <w:lang w:val="en-GB"/>
        </w:rPr>
        <w:t>4.</w:t>
      </w:r>
      <w:r w:rsidRPr="00CC70C2">
        <w:rPr>
          <w:b/>
          <w:sz w:val="24"/>
          <w:szCs w:val="24"/>
          <w:lang w:val="en-GB"/>
        </w:rPr>
        <w:tab/>
        <w:t>CLINICAL PARTICULARS</w:t>
      </w:r>
    </w:p>
    <w:p w14:paraId="48420C18" w14:textId="77777777" w:rsidR="007C5D2A" w:rsidRPr="00CC70C2" w:rsidRDefault="007C5D2A" w:rsidP="004A3BF4">
      <w:pPr>
        <w:tabs>
          <w:tab w:val="left" w:pos="851"/>
        </w:tabs>
        <w:ind w:left="851"/>
        <w:rPr>
          <w:sz w:val="24"/>
          <w:szCs w:val="24"/>
          <w:lang w:val="en-GB"/>
        </w:rPr>
      </w:pPr>
    </w:p>
    <w:p w14:paraId="28D6D47B" w14:textId="77777777" w:rsidR="007C5D2A" w:rsidRPr="00CC70C2" w:rsidRDefault="007C5D2A" w:rsidP="007C5D2A">
      <w:pPr>
        <w:ind w:left="851" w:hanging="851"/>
        <w:rPr>
          <w:b/>
          <w:sz w:val="24"/>
          <w:szCs w:val="24"/>
          <w:u w:val="single"/>
          <w:lang w:val="en-GB"/>
        </w:rPr>
      </w:pPr>
      <w:r w:rsidRPr="00CC70C2">
        <w:rPr>
          <w:b/>
          <w:sz w:val="24"/>
          <w:szCs w:val="24"/>
          <w:lang w:val="en-GB"/>
        </w:rPr>
        <w:t>4.1</w:t>
      </w:r>
      <w:r w:rsidRPr="00CC70C2">
        <w:rPr>
          <w:b/>
          <w:sz w:val="24"/>
          <w:szCs w:val="24"/>
          <w:lang w:val="en-GB"/>
        </w:rPr>
        <w:tab/>
        <w:t>Therapeutic indications</w:t>
      </w:r>
    </w:p>
    <w:p w14:paraId="20466AC3" w14:textId="5AF7DE57" w:rsidR="000C62FB" w:rsidRPr="00CC70C2" w:rsidRDefault="009C7FC9" w:rsidP="00383581">
      <w:pPr>
        <w:ind w:left="851"/>
        <w:rPr>
          <w:color w:val="000000"/>
          <w:sz w:val="24"/>
          <w:szCs w:val="24"/>
          <w:lang w:val="en-GB"/>
        </w:rPr>
      </w:pPr>
      <w:proofErr w:type="spellStart"/>
      <w:r w:rsidRPr="00CC70C2">
        <w:rPr>
          <w:color w:val="000000"/>
          <w:sz w:val="24"/>
          <w:szCs w:val="24"/>
          <w:lang w:val="en-GB"/>
        </w:rPr>
        <w:t>Quetiapin</w:t>
      </w:r>
      <w:proofErr w:type="spellEnd"/>
      <w:r w:rsidRPr="00CC70C2">
        <w:rPr>
          <w:color w:val="000000"/>
          <w:sz w:val="24"/>
          <w:szCs w:val="24"/>
          <w:lang w:val="en-GB"/>
        </w:rPr>
        <w:t xml:space="preserve"> "</w:t>
      </w:r>
      <w:proofErr w:type="spellStart"/>
      <w:r w:rsidRPr="00CC70C2">
        <w:rPr>
          <w:color w:val="000000"/>
          <w:sz w:val="24"/>
          <w:szCs w:val="24"/>
          <w:lang w:val="en-GB"/>
        </w:rPr>
        <w:t>Hexal</w:t>
      </w:r>
      <w:proofErr w:type="spellEnd"/>
      <w:r w:rsidRPr="00CC70C2">
        <w:rPr>
          <w:color w:val="000000"/>
          <w:sz w:val="24"/>
          <w:szCs w:val="24"/>
          <w:lang w:val="en-GB"/>
        </w:rPr>
        <w:t>"</w:t>
      </w:r>
      <w:r w:rsidR="000C62FB" w:rsidRPr="00CC70C2">
        <w:rPr>
          <w:color w:val="000000"/>
          <w:sz w:val="24"/>
          <w:szCs w:val="24"/>
          <w:lang w:val="en-GB"/>
        </w:rPr>
        <w:t xml:space="preserve"> is indicated for:</w:t>
      </w:r>
    </w:p>
    <w:p w14:paraId="487A7CED" w14:textId="77777777" w:rsidR="000C62FB" w:rsidRPr="00CC70C2" w:rsidRDefault="000C62FB" w:rsidP="00383581">
      <w:pPr>
        <w:pStyle w:val="Listeafsnit"/>
        <w:numPr>
          <w:ilvl w:val="0"/>
          <w:numId w:val="5"/>
        </w:numPr>
        <w:ind w:left="1276" w:hanging="425"/>
        <w:rPr>
          <w:color w:val="000000"/>
          <w:szCs w:val="24"/>
          <w:lang w:val="en-GB"/>
        </w:rPr>
      </w:pPr>
      <w:r w:rsidRPr="00CC70C2">
        <w:rPr>
          <w:color w:val="000000"/>
          <w:szCs w:val="24"/>
          <w:lang w:val="en-GB"/>
        </w:rPr>
        <w:t>treatment of schizophrenia.</w:t>
      </w:r>
    </w:p>
    <w:p w14:paraId="1E1771E2" w14:textId="77777777" w:rsidR="000C62FB" w:rsidRPr="00CC70C2" w:rsidRDefault="000C62FB" w:rsidP="00383581">
      <w:pPr>
        <w:pStyle w:val="Listeafsnit"/>
        <w:numPr>
          <w:ilvl w:val="0"/>
          <w:numId w:val="5"/>
        </w:numPr>
        <w:ind w:left="1276" w:hanging="425"/>
        <w:rPr>
          <w:color w:val="000000"/>
          <w:szCs w:val="24"/>
          <w:lang w:val="en-GB"/>
        </w:rPr>
      </w:pPr>
      <w:r w:rsidRPr="00CC70C2">
        <w:rPr>
          <w:color w:val="000000"/>
          <w:szCs w:val="24"/>
          <w:lang w:val="en-GB"/>
        </w:rPr>
        <w:t>treatment of bipolar disorder:</w:t>
      </w:r>
    </w:p>
    <w:p w14:paraId="0478A028" w14:textId="77777777" w:rsidR="000C62FB" w:rsidRPr="00CC70C2" w:rsidRDefault="000C62FB" w:rsidP="00A4505B">
      <w:pPr>
        <w:pStyle w:val="Listeafsnit"/>
        <w:numPr>
          <w:ilvl w:val="0"/>
          <w:numId w:val="6"/>
        </w:numPr>
        <w:tabs>
          <w:tab w:val="clear" w:pos="864"/>
        </w:tabs>
        <w:ind w:left="1701" w:hanging="283"/>
        <w:rPr>
          <w:color w:val="000000"/>
          <w:szCs w:val="24"/>
          <w:lang w:val="en-GB"/>
        </w:rPr>
      </w:pPr>
      <w:r w:rsidRPr="00CC70C2">
        <w:rPr>
          <w:color w:val="000000"/>
          <w:szCs w:val="24"/>
          <w:lang w:val="en-GB"/>
        </w:rPr>
        <w:t>For the treatment of moderate to severe manic episodes in bipolar disorder</w:t>
      </w:r>
    </w:p>
    <w:p w14:paraId="22A4C2B9" w14:textId="77777777" w:rsidR="000C62FB" w:rsidRPr="00CC70C2" w:rsidRDefault="000C62FB" w:rsidP="00A4505B">
      <w:pPr>
        <w:pStyle w:val="Listeafsnit"/>
        <w:numPr>
          <w:ilvl w:val="0"/>
          <w:numId w:val="6"/>
        </w:numPr>
        <w:tabs>
          <w:tab w:val="clear" w:pos="864"/>
        </w:tabs>
        <w:ind w:left="1701" w:hanging="283"/>
        <w:rPr>
          <w:color w:val="000000"/>
          <w:szCs w:val="24"/>
          <w:lang w:val="en-GB"/>
        </w:rPr>
      </w:pPr>
      <w:r w:rsidRPr="00CC70C2">
        <w:rPr>
          <w:color w:val="000000"/>
          <w:szCs w:val="24"/>
          <w:lang w:val="en-GB"/>
        </w:rPr>
        <w:t>For the treatment of major depressive episodes associated with bipolar disorder</w:t>
      </w:r>
    </w:p>
    <w:p w14:paraId="25CF02C8" w14:textId="77777777" w:rsidR="000C62FB" w:rsidRPr="00CC70C2" w:rsidRDefault="000C62FB" w:rsidP="00A4505B">
      <w:pPr>
        <w:pStyle w:val="Listeafsnit"/>
        <w:numPr>
          <w:ilvl w:val="0"/>
          <w:numId w:val="6"/>
        </w:numPr>
        <w:tabs>
          <w:tab w:val="clear" w:pos="864"/>
        </w:tabs>
        <w:ind w:left="1701" w:hanging="283"/>
        <w:rPr>
          <w:color w:val="000000"/>
          <w:szCs w:val="24"/>
          <w:lang w:val="en-GB"/>
        </w:rPr>
      </w:pPr>
      <w:r w:rsidRPr="00CC70C2">
        <w:rPr>
          <w:color w:val="000000"/>
          <w:szCs w:val="24"/>
          <w:lang w:val="en-GB"/>
        </w:rPr>
        <w:t xml:space="preserve">For the prevention of recurrence </w:t>
      </w:r>
      <w:r w:rsidRPr="00CC70C2">
        <w:rPr>
          <w:color w:val="000000"/>
          <w:szCs w:val="24"/>
          <w:lang w:val="en-GB" w:bidi="en-US"/>
        </w:rPr>
        <w:t xml:space="preserve">of manic or depressed episodes </w:t>
      </w:r>
      <w:r w:rsidRPr="00CC70C2">
        <w:rPr>
          <w:color w:val="000000"/>
          <w:szCs w:val="24"/>
          <w:lang w:val="en-GB"/>
        </w:rPr>
        <w:t>in patients with bipolar disorder</w:t>
      </w:r>
      <w:r w:rsidRPr="00CC70C2">
        <w:rPr>
          <w:szCs w:val="24"/>
          <w:lang w:val="en-GB"/>
        </w:rPr>
        <w:t xml:space="preserve"> </w:t>
      </w:r>
      <w:r w:rsidRPr="00CC70C2">
        <w:rPr>
          <w:color w:val="000000"/>
          <w:szCs w:val="24"/>
          <w:lang w:val="en-GB"/>
        </w:rPr>
        <w:t>who previously responded to quetiapine treatment.</w:t>
      </w:r>
    </w:p>
    <w:p w14:paraId="11AA88C1" w14:textId="77777777" w:rsidR="000C62FB" w:rsidRPr="00CC70C2" w:rsidRDefault="000C62FB" w:rsidP="00383581">
      <w:pPr>
        <w:pStyle w:val="Listeafsnit"/>
        <w:numPr>
          <w:ilvl w:val="0"/>
          <w:numId w:val="5"/>
        </w:numPr>
        <w:ind w:left="1276" w:hanging="425"/>
        <w:rPr>
          <w:color w:val="000000"/>
          <w:szCs w:val="24"/>
          <w:lang w:val="en-GB"/>
        </w:rPr>
      </w:pPr>
      <w:r w:rsidRPr="00CC70C2">
        <w:rPr>
          <w:color w:val="000000"/>
          <w:szCs w:val="24"/>
          <w:lang w:val="en-GB"/>
        </w:rPr>
        <w:t xml:space="preserve">add-on treatment of major depressive episodes in patients with Major Depressive Disorder (MDD) who have had sub-optimal response to antidepressant monotherapy (see </w:t>
      </w:r>
      <w:r w:rsidRPr="00CC70C2">
        <w:rPr>
          <w:color w:val="000000"/>
          <w:szCs w:val="24"/>
          <w:lang w:val="en-GB"/>
        </w:rPr>
        <w:lastRenderedPageBreak/>
        <w:t>section 5.1). Prior to initiating treatment, clinicians should consider the safety profile of quetiapine (see section 4.4).</w:t>
      </w:r>
    </w:p>
    <w:p w14:paraId="1F4CF875" w14:textId="77777777" w:rsidR="007C5D2A" w:rsidRPr="00CC70C2" w:rsidRDefault="007C5D2A" w:rsidP="00A85D26">
      <w:pPr>
        <w:tabs>
          <w:tab w:val="left" w:pos="851"/>
        </w:tabs>
        <w:ind w:left="851"/>
        <w:rPr>
          <w:sz w:val="24"/>
          <w:szCs w:val="24"/>
          <w:lang w:val="en-GB"/>
        </w:rPr>
      </w:pPr>
    </w:p>
    <w:p w14:paraId="6C28BC69" w14:textId="77777777" w:rsidR="007C5D2A" w:rsidRPr="00CC70C2" w:rsidRDefault="009925C9" w:rsidP="007C5D2A">
      <w:pPr>
        <w:tabs>
          <w:tab w:val="left" w:pos="851"/>
        </w:tabs>
        <w:ind w:left="851" w:hanging="851"/>
        <w:rPr>
          <w:sz w:val="24"/>
          <w:szCs w:val="24"/>
          <w:lang w:val="en-GB"/>
        </w:rPr>
      </w:pPr>
      <w:r w:rsidRPr="00CC70C2">
        <w:rPr>
          <w:b/>
          <w:sz w:val="24"/>
          <w:szCs w:val="24"/>
          <w:lang w:val="en-GB"/>
        </w:rPr>
        <w:t>4.2</w:t>
      </w:r>
      <w:r w:rsidR="007C5D2A" w:rsidRPr="00CC70C2">
        <w:rPr>
          <w:b/>
          <w:sz w:val="24"/>
          <w:szCs w:val="24"/>
          <w:lang w:val="en-GB"/>
        </w:rPr>
        <w:tab/>
        <w:t>Posology and method of administration</w:t>
      </w:r>
    </w:p>
    <w:p w14:paraId="70BF53F3" w14:textId="77777777" w:rsidR="009A379C" w:rsidRPr="00CC70C2" w:rsidRDefault="009A379C" w:rsidP="00A4505B">
      <w:pPr>
        <w:ind w:left="851"/>
        <w:rPr>
          <w:sz w:val="24"/>
          <w:szCs w:val="24"/>
          <w:u w:val="single"/>
          <w:lang w:val="en-GB"/>
        </w:rPr>
      </w:pPr>
    </w:p>
    <w:p w14:paraId="2DDDF38D" w14:textId="073AAB03" w:rsidR="000C62FB" w:rsidRPr="00CC70C2" w:rsidRDefault="000C62FB" w:rsidP="00A4505B">
      <w:pPr>
        <w:ind w:left="851"/>
        <w:rPr>
          <w:sz w:val="24"/>
          <w:szCs w:val="24"/>
          <w:u w:val="single"/>
          <w:lang w:val="en-GB"/>
        </w:rPr>
      </w:pPr>
      <w:r w:rsidRPr="00CC70C2">
        <w:rPr>
          <w:sz w:val="24"/>
          <w:szCs w:val="24"/>
          <w:u w:val="single"/>
          <w:lang w:val="en-GB"/>
        </w:rPr>
        <w:t>Posology</w:t>
      </w:r>
    </w:p>
    <w:p w14:paraId="36D528BD" w14:textId="77777777" w:rsidR="000C62FB" w:rsidRPr="00CC70C2" w:rsidRDefault="000C62FB" w:rsidP="00A4505B">
      <w:pPr>
        <w:autoSpaceDE w:val="0"/>
        <w:autoSpaceDN w:val="0"/>
        <w:adjustRightInd w:val="0"/>
        <w:ind w:left="851"/>
        <w:rPr>
          <w:color w:val="000000"/>
          <w:sz w:val="24"/>
          <w:szCs w:val="24"/>
          <w:lang w:val="en-GB"/>
        </w:rPr>
      </w:pPr>
      <w:r w:rsidRPr="00CC70C2">
        <w:rPr>
          <w:color w:val="000000"/>
          <w:sz w:val="24"/>
          <w:szCs w:val="24"/>
          <w:lang w:val="en-GB"/>
        </w:rPr>
        <w:t>Different dosing schedules exist for each indication. It must therefore be ensured that patients receive clear information on the appropriate dose for their condition.</w:t>
      </w:r>
    </w:p>
    <w:p w14:paraId="2A889D33" w14:textId="77777777" w:rsidR="000C62FB" w:rsidRPr="00CC70C2" w:rsidRDefault="000C62FB" w:rsidP="00A4505B">
      <w:pPr>
        <w:autoSpaceDE w:val="0"/>
        <w:autoSpaceDN w:val="0"/>
        <w:adjustRightInd w:val="0"/>
        <w:ind w:left="851"/>
        <w:rPr>
          <w:sz w:val="24"/>
          <w:szCs w:val="24"/>
          <w:lang w:val="en-GB"/>
        </w:rPr>
      </w:pPr>
    </w:p>
    <w:p w14:paraId="56036C64" w14:textId="77777777" w:rsidR="000C62FB" w:rsidRPr="00CC70C2" w:rsidRDefault="000C62FB" w:rsidP="00A4505B">
      <w:pPr>
        <w:autoSpaceDE w:val="0"/>
        <w:autoSpaceDN w:val="0"/>
        <w:adjustRightInd w:val="0"/>
        <w:ind w:left="851"/>
        <w:rPr>
          <w:bCs/>
          <w:i/>
          <w:sz w:val="24"/>
          <w:szCs w:val="24"/>
          <w:u w:val="single"/>
          <w:lang w:val="en-GB"/>
        </w:rPr>
      </w:pPr>
      <w:r w:rsidRPr="00CC70C2">
        <w:rPr>
          <w:bCs/>
          <w:i/>
          <w:sz w:val="24"/>
          <w:szCs w:val="24"/>
          <w:u w:val="single"/>
          <w:lang w:val="en-GB"/>
        </w:rPr>
        <w:t>Adults</w:t>
      </w:r>
    </w:p>
    <w:p w14:paraId="5C622160" w14:textId="77777777" w:rsidR="000C62FB" w:rsidRPr="00CC70C2" w:rsidRDefault="000C62FB" w:rsidP="00A4505B">
      <w:pPr>
        <w:autoSpaceDE w:val="0"/>
        <w:autoSpaceDN w:val="0"/>
        <w:adjustRightInd w:val="0"/>
        <w:ind w:left="851"/>
        <w:rPr>
          <w:bCs/>
          <w:i/>
          <w:sz w:val="24"/>
          <w:szCs w:val="24"/>
          <w:lang w:val="en-GB"/>
        </w:rPr>
      </w:pPr>
      <w:r w:rsidRPr="00CC70C2">
        <w:rPr>
          <w:bCs/>
          <w:i/>
          <w:sz w:val="24"/>
          <w:szCs w:val="24"/>
          <w:lang w:val="en-GB"/>
        </w:rPr>
        <w:t>For the treatment of schizophrenia and moderate to severe manic episodes in bipolar disorder</w:t>
      </w:r>
    </w:p>
    <w:p w14:paraId="3BA7530A" w14:textId="583951E8" w:rsidR="000C62FB" w:rsidRPr="00CC70C2" w:rsidRDefault="009C7FC9" w:rsidP="00A4505B">
      <w:pPr>
        <w:autoSpaceDE w:val="0"/>
        <w:autoSpaceDN w:val="0"/>
        <w:adjustRightInd w:val="0"/>
        <w:ind w:left="851"/>
        <w:rPr>
          <w:color w:val="000000"/>
          <w:sz w:val="24"/>
          <w:szCs w:val="24"/>
          <w:lang w:val="en-GB"/>
        </w:rPr>
      </w:pPr>
      <w:proofErr w:type="spellStart"/>
      <w:r w:rsidRPr="00CC70C2">
        <w:rPr>
          <w:color w:val="000000"/>
          <w:sz w:val="24"/>
          <w:szCs w:val="24"/>
          <w:lang w:val="en-GB"/>
        </w:rPr>
        <w:t>Quetiapin</w:t>
      </w:r>
      <w:proofErr w:type="spellEnd"/>
      <w:r w:rsidRPr="00CC70C2">
        <w:rPr>
          <w:color w:val="000000"/>
          <w:sz w:val="24"/>
          <w:szCs w:val="24"/>
          <w:lang w:val="en-GB"/>
        </w:rPr>
        <w:t xml:space="preserve"> "</w:t>
      </w:r>
      <w:proofErr w:type="spellStart"/>
      <w:r w:rsidRPr="00CC70C2">
        <w:rPr>
          <w:color w:val="000000"/>
          <w:sz w:val="24"/>
          <w:szCs w:val="24"/>
          <w:lang w:val="en-GB"/>
        </w:rPr>
        <w:t>Hexal</w:t>
      </w:r>
      <w:proofErr w:type="spellEnd"/>
      <w:r w:rsidRPr="00CC70C2">
        <w:rPr>
          <w:color w:val="000000"/>
          <w:sz w:val="24"/>
          <w:szCs w:val="24"/>
          <w:lang w:val="en-GB"/>
        </w:rPr>
        <w:t>"</w:t>
      </w:r>
      <w:r w:rsidR="000C62FB" w:rsidRPr="00CC70C2">
        <w:rPr>
          <w:color w:val="000000"/>
          <w:sz w:val="24"/>
          <w:szCs w:val="24"/>
          <w:lang w:val="en-GB"/>
        </w:rPr>
        <w:t xml:space="preserve"> should be administered at least one hour before a meal. The daily dose at the start of therapy is 300 mg on Day 1 and 600 mg on Day 2. The recommended daily dose is 600 mg, however if clinically justified the dose may be increased to 800 mg daily. The dose should be adjusted within the effective dose range of 400 mg to 800 mg per day, depending on the clinical response and tolerability of the patient. For maintenance therapy in schizophrenia no dose adjustment is necessary.</w:t>
      </w:r>
    </w:p>
    <w:p w14:paraId="1D298771" w14:textId="77777777" w:rsidR="000C62FB" w:rsidRPr="00CC70C2" w:rsidRDefault="000C62FB" w:rsidP="00A4505B">
      <w:pPr>
        <w:autoSpaceDE w:val="0"/>
        <w:autoSpaceDN w:val="0"/>
        <w:adjustRightInd w:val="0"/>
        <w:ind w:left="851"/>
        <w:rPr>
          <w:bCs/>
          <w:sz w:val="24"/>
          <w:szCs w:val="24"/>
          <w:lang w:val="en-GB"/>
        </w:rPr>
      </w:pPr>
    </w:p>
    <w:p w14:paraId="5D3DC79A" w14:textId="77777777" w:rsidR="000C62FB" w:rsidRPr="00CC70C2" w:rsidRDefault="000C62FB" w:rsidP="00A4505B">
      <w:pPr>
        <w:autoSpaceDE w:val="0"/>
        <w:autoSpaceDN w:val="0"/>
        <w:adjustRightInd w:val="0"/>
        <w:ind w:left="851"/>
        <w:rPr>
          <w:bCs/>
          <w:i/>
          <w:sz w:val="24"/>
          <w:szCs w:val="24"/>
          <w:lang w:val="en-GB"/>
        </w:rPr>
      </w:pPr>
      <w:r w:rsidRPr="00CC70C2">
        <w:rPr>
          <w:bCs/>
          <w:i/>
          <w:sz w:val="24"/>
          <w:szCs w:val="24"/>
          <w:lang w:val="en-GB"/>
        </w:rPr>
        <w:t>For the treatment of major depressive episodes in bipolar disorder</w:t>
      </w:r>
    </w:p>
    <w:p w14:paraId="261F38B6" w14:textId="109CC193" w:rsidR="000C62FB" w:rsidRPr="00CC70C2" w:rsidRDefault="009C7FC9" w:rsidP="00A4505B">
      <w:pPr>
        <w:autoSpaceDE w:val="0"/>
        <w:autoSpaceDN w:val="0"/>
        <w:adjustRightInd w:val="0"/>
        <w:ind w:left="851"/>
        <w:rPr>
          <w:sz w:val="24"/>
          <w:szCs w:val="24"/>
          <w:lang w:val="en-GB"/>
        </w:rPr>
      </w:pPr>
      <w:proofErr w:type="spellStart"/>
      <w:r w:rsidRPr="00CC70C2">
        <w:rPr>
          <w:sz w:val="24"/>
          <w:szCs w:val="24"/>
          <w:lang w:val="en-GB"/>
        </w:rPr>
        <w:t>Quetiapin</w:t>
      </w:r>
      <w:proofErr w:type="spellEnd"/>
      <w:r w:rsidRPr="00CC70C2">
        <w:rPr>
          <w:sz w:val="24"/>
          <w:szCs w:val="24"/>
          <w:lang w:val="en-GB"/>
        </w:rPr>
        <w:t xml:space="preserve"> "</w:t>
      </w:r>
      <w:proofErr w:type="spellStart"/>
      <w:r w:rsidRPr="00CC70C2">
        <w:rPr>
          <w:sz w:val="24"/>
          <w:szCs w:val="24"/>
          <w:lang w:val="en-GB"/>
        </w:rPr>
        <w:t>Hexal</w:t>
      </w:r>
      <w:proofErr w:type="spellEnd"/>
      <w:r w:rsidRPr="00CC70C2">
        <w:rPr>
          <w:sz w:val="24"/>
          <w:szCs w:val="24"/>
          <w:lang w:val="en-GB"/>
        </w:rPr>
        <w:t>"</w:t>
      </w:r>
      <w:r w:rsidR="000C62FB" w:rsidRPr="00CC70C2">
        <w:rPr>
          <w:sz w:val="24"/>
          <w:szCs w:val="24"/>
          <w:lang w:val="en-GB"/>
        </w:rPr>
        <w:t xml:space="preserve"> should be administered at bedtime. The total daily dose for the first four days of therapy is 50 mg (Day 1), 100 mg (Day 2), 200 mg (Day 3) and 300 mg (Day 4). The recommended daily dose is 300 mg. In clinical trials, no additional benefit was seen in the 600 mg group compared to the 300 mg group (see section 5.1). Individual patients may benefit from a 600 mg dose. Doses greater than 300 mg should be initiated by physicians experienced in treating bipolar disorder. In individual patients, in the event of tolerance concerns, clinical trials have indicated that dose reduction to a minimum of 200 mg could be considered.</w:t>
      </w:r>
    </w:p>
    <w:p w14:paraId="16CF68D3" w14:textId="77777777" w:rsidR="000C62FB" w:rsidRPr="00CC70C2" w:rsidRDefault="000C62FB" w:rsidP="00A4505B">
      <w:pPr>
        <w:autoSpaceDE w:val="0"/>
        <w:autoSpaceDN w:val="0"/>
        <w:adjustRightInd w:val="0"/>
        <w:ind w:left="851"/>
        <w:rPr>
          <w:bCs/>
          <w:sz w:val="24"/>
          <w:szCs w:val="24"/>
          <w:lang w:val="en-GB"/>
        </w:rPr>
      </w:pPr>
    </w:p>
    <w:p w14:paraId="2DF51DCD" w14:textId="77777777" w:rsidR="000C62FB" w:rsidRPr="00CC70C2" w:rsidRDefault="000C62FB" w:rsidP="00A4505B">
      <w:pPr>
        <w:autoSpaceDE w:val="0"/>
        <w:autoSpaceDN w:val="0"/>
        <w:adjustRightInd w:val="0"/>
        <w:ind w:left="851"/>
        <w:rPr>
          <w:bCs/>
          <w:i/>
          <w:sz w:val="24"/>
          <w:szCs w:val="24"/>
          <w:lang w:val="en-GB"/>
        </w:rPr>
      </w:pPr>
      <w:r w:rsidRPr="00CC70C2">
        <w:rPr>
          <w:bCs/>
          <w:i/>
          <w:sz w:val="24"/>
          <w:szCs w:val="24"/>
          <w:lang w:val="en-GB"/>
        </w:rPr>
        <w:t>For preventing recurrence in bipolar disorder</w:t>
      </w:r>
    </w:p>
    <w:p w14:paraId="2F850F53" w14:textId="6B04DCDE" w:rsidR="000C62FB" w:rsidRPr="00CC70C2" w:rsidRDefault="000C62FB" w:rsidP="00A4505B">
      <w:pPr>
        <w:autoSpaceDE w:val="0"/>
        <w:autoSpaceDN w:val="0"/>
        <w:adjustRightInd w:val="0"/>
        <w:ind w:left="851"/>
        <w:rPr>
          <w:sz w:val="24"/>
          <w:szCs w:val="24"/>
          <w:lang w:val="en-GB"/>
        </w:rPr>
      </w:pPr>
      <w:r w:rsidRPr="00CC70C2">
        <w:rPr>
          <w:sz w:val="24"/>
          <w:szCs w:val="24"/>
          <w:lang w:val="en-GB"/>
        </w:rPr>
        <w:t xml:space="preserve">For preventing recurrence of manic, mixed or depressive episodes in bipolar disorder, patients who have responded to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for acute treatment of bipolar disorder should continue on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at the same dose administered at bedtime.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dose can be adjusted depending on clinical response and tolerability of the individual patient within the dose range of 300 mg to 800 mg/day. It is important that the lowest effective dose is used for maintenance therapy.</w:t>
      </w:r>
    </w:p>
    <w:p w14:paraId="1EA9B26E" w14:textId="77777777" w:rsidR="000C62FB" w:rsidRPr="00CC70C2" w:rsidRDefault="000C62FB" w:rsidP="00A4505B">
      <w:pPr>
        <w:autoSpaceDE w:val="0"/>
        <w:autoSpaceDN w:val="0"/>
        <w:adjustRightInd w:val="0"/>
        <w:ind w:left="851"/>
        <w:rPr>
          <w:bCs/>
          <w:sz w:val="24"/>
          <w:szCs w:val="24"/>
          <w:lang w:val="en-GB"/>
        </w:rPr>
      </w:pPr>
    </w:p>
    <w:p w14:paraId="6F2EE02D" w14:textId="77777777" w:rsidR="000C62FB" w:rsidRPr="00CC70C2" w:rsidRDefault="000C62FB" w:rsidP="00A4505B">
      <w:pPr>
        <w:autoSpaceDE w:val="0"/>
        <w:autoSpaceDN w:val="0"/>
        <w:adjustRightInd w:val="0"/>
        <w:ind w:left="851"/>
        <w:rPr>
          <w:bCs/>
          <w:i/>
          <w:sz w:val="24"/>
          <w:szCs w:val="24"/>
          <w:lang w:val="en-GB"/>
        </w:rPr>
      </w:pPr>
      <w:r w:rsidRPr="00CC70C2">
        <w:rPr>
          <w:bCs/>
          <w:i/>
          <w:sz w:val="24"/>
          <w:szCs w:val="24"/>
          <w:lang w:val="en-GB"/>
        </w:rPr>
        <w:t>For add-on treatment of major depressive episodes in MDD</w:t>
      </w:r>
    </w:p>
    <w:p w14:paraId="745B23B8" w14:textId="17F5481A" w:rsidR="000C62FB" w:rsidRPr="00CC70C2" w:rsidRDefault="009C7FC9" w:rsidP="00A4505B">
      <w:pPr>
        <w:autoSpaceDE w:val="0"/>
        <w:autoSpaceDN w:val="0"/>
        <w:adjustRightInd w:val="0"/>
        <w:ind w:left="851"/>
        <w:rPr>
          <w:sz w:val="24"/>
          <w:szCs w:val="24"/>
          <w:lang w:val="en-GB"/>
        </w:rPr>
      </w:pPr>
      <w:proofErr w:type="spellStart"/>
      <w:r w:rsidRPr="00CC70C2">
        <w:rPr>
          <w:sz w:val="24"/>
          <w:szCs w:val="24"/>
          <w:lang w:val="en-GB"/>
        </w:rPr>
        <w:t>Quetiapin</w:t>
      </w:r>
      <w:proofErr w:type="spellEnd"/>
      <w:r w:rsidRPr="00CC70C2">
        <w:rPr>
          <w:sz w:val="24"/>
          <w:szCs w:val="24"/>
          <w:lang w:val="en-GB"/>
        </w:rPr>
        <w:t xml:space="preserve"> "</w:t>
      </w:r>
      <w:proofErr w:type="spellStart"/>
      <w:r w:rsidRPr="00CC70C2">
        <w:rPr>
          <w:sz w:val="24"/>
          <w:szCs w:val="24"/>
          <w:lang w:val="en-GB"/>
        </w:rPr>
        <w:t>Hexal</w:t>
      </w:r>
      <w:proofErr w:type="spellEnd"/>
      <w:r w:rsidRPr="00CC70C2">
        <w:rPr>
          <w:sz w:val="24"/>
          <w:szCs w:val="24"/>
          <w:lang w:val="en-GB"/>
        </w:rPr>
        <w:t>"</w:t>
      </w:r>
      <w:r w:rsidR="000C62FB" w:rsidRPr="00CC70C2">
        <w:rPr>
          <w:sz w:val="24"/>
          <w:szCs w:val="24"/>
          <w:lang w:val="en-GB"/>
        </w:rPr>
        <w:t xml:space="preserve"> should be administered prior to bedtime. The daily dose at the start of therapy is 50 mg on Day 1 and 2, and 150 mg on Day 3 and 4. Antidepressant effect was seen at 150 and 300 mg/day in short-term trials as add-on therapy (with amitriptyline, bupropion, citalopram, duloxetine, escitalopram, fluoxetine, paroxetine, sertraline and venlafaxine - see section 5.1) and at 50 mg/day in short-term monotherapy trials.</w:t>
      </w:r>
    </w:p>
    <w:p w14:paraId="67762FF8" w14:textId="77777777" w:rsidR="000C62FB" w:rsidRPr="00CC70C2" w:rsidRDefault="000C62FB" w:rsidP="00A4505B">
      <w:pPr>
        <w:autoSpaceDE w:val="0"/>
        <w:autoSpaceDN w:val="0"/>
        <w:adjustRightInd w:val="0"/>
        <w:ind w:left="851"/>
        <w:rPr>
          <w:sz w:val="24"/>
          <w:szCs w:val="24"/>
          <w:lang w:val="en-GB"/>
        </w:rPr>
      </w:pPr>
      <w:r w:rsidRPr="00CC70C2">
        <w:rPr>
          <w:sz w:val="24"/>
          <w:szCs w:val="24"/>
          <w:lang w:val="en-GB"/>
        </w:rPr>
        <w:t>There is an increased risk of adverse events at higher doses. Clinicians should therefore ensure that the lowest effective dose, starting with 50 mg/day, is used for treatment. The need to increase the dose from 150 to 300 mg/day should be based on individual patient evaluation.</w:t>
      </w:r>
    </w:p>
    <w:p w14:paraId="3C1B2D1D" w14:textId="77777777" w:rsidR="000C62FB" w:rsidRPr="00CC70C2" w:rsidRDefault="000C62FB" w:rsidP="00A4505B">
      <w:pPr>
        <w:autoSpaceDE w:val="0"/>
        <w:autoSpaceDN w:val="0"/>
        <w:adjustRightInd w:val="0"/>
        <w:ind w:left="851"/>
        <w:rPr>
          <w:bCs/>
          <w:iCs/>
          <w:sz w:val="24"/>
          <w:szCs w:val="24"/>
          <w:lang w:val="en-GB"/>
        </w:rPr>
      </w:pPr>
    </w:p>
    <w:p w14:paraId="799E7A36" w14:textId="77777777" w:rsidR="000C62FB" w:rsidRPr="00CC70C2" w:rsidRDefault="000C62FB" w:rsidP="00A4505B">
      <w:pPr>
        <w:autoSpaceDE w:val="0"/>
        <w:autoSpaceDN w:val="0"/>
        <w:adjustRightInd w:val="0"/>
        <w:ind w:left="851"/>
        <w:rPr>
          <w:bCs/>
          <w:i/>
          <w:sz w:val="24"/>
          <w:szCs w:val="24"/>
          <w:u w:val="single"/>
          <w:lang w:val="en-GB"/>
        </w:rPr>
      </w:pPr>
      <w:r w:rsidRPr="00CC70C2">
        <w:rPr>
          <w:bCs/>
          <w:i/>
          <w:sz w:val="24"/>
          <w:szCs w:val="24"/>
          <w:u w:val="single"/>
          <w:lang w:val="en-GB"/>
        </w:rPr>
        <w:t>Switching from Quetiapine immediate-release tablets</w:t>
      </w:r>
    </w:p>
    <w:p w14:paraId="4FC37129" w14:textId="08B51F2C" w:rsidR="000C62FB" w:rsidRPr="00CC70C2" w:rsidRDefault="000C62FB" w:rsidP="00A4505B">
      <w:pPr>
        <w:autoSpaceDE w:val="0"/>
        <w:autoSpaceDN w:val="0"/>
        <w:adjustRightInd w:val="0"/>
        <w:ind w:left="851"/>
        <w:rPr>
          <w:sz w:val="24"/>
          <w:szCs w:val="24"/>
          <w:lang w:val="en-GB"/>
        </w:rPr>
      </w:pPr>
      <w:r w:rsidRPr="00CC70C2">
        <w:rPr>
          <w:sz w:val="24"/>
          <w:szCs w:val="24"/>
          <w:lang w:val="en-GB"/>
        </w:rPr>
        <w:lastRenderedPageBreak/>
        <w:t xml:space="preserve">For more convenient dosing, patients who are currently being treated with divided doses of immediate release quetiapine tablets may be switched to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at the equivalent total daily dose taken once daily.</w:t>
      </w:r>
    </w:p>
    <w:p w14:paraId="17D9225D" w14:textId="77777777" w:rsidR="000C62FB" w:rsidRPr="00CC70C2" w:rsidRDefault="000C62FB" w:rsidP="00A4505B">
      <w:pPr>
        <w:autoSpaceDE w:val="0"/>
        <w:autoSpaceDN w:val="0"/>
        <w:adjustRightInd w:val="0"/>
        <w:ind w:left="851"/>
        <w:rPr>
          <w:sz w:val="24"/>
          <w:szCs w:val="24"/>
          <w:lang w:val="en-GB"/>
        </w:rPr>
      </w:pPr>
      <w:r w:rsidRPr="00CC70C2">
        <w:rPr>
          <w:sz w:val="24"/>
          <w:szCs w:val="24"/>
          <w:lang w:val="en-GB"/>
        </w:rPr>
        <w:t>Individual dose adjustments may be necessary.</w:t>
      </w:r>
    </w:p>
    <w:p w14:paraId="000815EB" w14:textId="77777777" w:rsidR="000C62FB" w:rsidRPr="00CC70C2" w:rsidRDefault="000C62FB" w:rsidP="00A4505B">
      <w:pPr>
        <w:autoSpaceDE w:val="0"/>
        <w:autoSpaceDN w:val="0"/>
        <w:adjustRightInd w:val="0"/>
        <w:ind w:left="851"/>
        <w:rPr>
          <w:bCs/>
          <w:sz w:val="24"/>
          <w:szCs w:val="24"/>
          <w:lang w:val="en-GB"/>
        </w:rPr>
      </w:pPr>
    </w:p>
    <w:p w14:paraId="513D7A76" w14:textId="77777777" w:rsidR="000C62FB" w:rsidRPr="00CC70C2" w:rsidRDefault="000C62FB" w:rsidP="00A4505B">
      <w:pPr>
        <w:autoSpaceDE w:val="0"/>
        <w:autoSpaceDN w:val="0"/>
        <w:adjustRightInd w:val="0"/>
        <w:ind w:left="851"/>
        <w:rPr>
          <w:bCs/>
          <w:i/>
          <w:sz w:val="24"/>
          <w:szCs w:val="24"/>
          <w:u w:val="single"/>
          <w:lang w:val="en-GB"/>
        </w:rPr>
      </w:pPr>
      <w:r w:rsidRPr="00CC70C2">
        <w:rPr>
          <w:bCs/>
          <w:i/>
          <w:sz w:val="24"/>
          <w:szCs w:val="24"/>
          <w:u w:val="single"/>
          <w:lang w:val="en-GB"/>
        </w:rPr>
        <w:t>Elderly</w:t>
      </w:r>
    </w:p>
    <w:p w14:paraId="3E8FF382" w14:textId="20AC7741" w:rsidR="000C62FB" w:rsidRPr="00CC70C2" w:rsidRDefault="000C62FB" w:rsidP="00A4505B">
      <w:pPr>
        <w:autoSpaceDE w:val="0"/>
        <w:autoSpaceDN w:val="0"/>
        <w:adjustRightInd w:val="0"/>
        <w:ind w:left="851"/>
        <w:rPr>
          <w:sz w:val="24"/>
          <w:szCs w:val="24"/>
          <w:lang w:val="en-GB"/>
        </w:rPr>
      </w:pPr>
      <w:r w:rsidRPr="00CC70C2">
        <w:rPr>
          <w:sz w:val="24"/>
          <w:szCs w:val="24"/>
          <w:lang w:val="en-GB"/>
        </w:rPr>
        <w:t xml:space="preserve">As with other antipsychotics and antidepressants,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should be used with caution in the elderly, especially during the initial dosing period. The rate of dose titration of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may need to be slower, and the daily therapeutic dose lower, than that used in younger patients. The mean plasma clearance of quetiapine was reduced by 30</w:t>
      </w:r>
      <w:r w:rsidR="00350C0E">
        <w:rPr>
          <w:sz w:val="24"/>
          <w:szCs w:val="24"/>
          <w:lang w:val="en-GB"/>
        </w:rPr>
        <w:t> </w:t>
      </w:r>
      <w:r w:rsidR="00F96C97">
        <w:rPr>
          <w:sz w:val="24"/>
          <w:szCs w:val="24"/>
          <w:lang w:val="en-GB"/>
        </w:rPr>
        <w:t>%</w:t>
      </w:r>
      <w:r w:rsidRPr="00CC70C2">
        <w:rPr>
          <w:sz w:val="24"/>
          <w:szCs w:val="24"/>
          <w:lang w:val="en-GB"/>
        </w:rPr>
        <w:t xml:space="preserve"> to 50</w:t>
      </w:r>
      <w:r w:rsidR="00F96C97">
        <w:rPr>
          <w:sz w:val="24"/>
          <w:szCs w:val="24"/>
          <w:lang w:val="en-GB"/>
        </w:rPr>
        <w:t xml:space="preserve"> %</w:t>
      </w:r>
      <w:r w:rsidRPr="00CC70C2">
        <w:rPr>
          <w:sz w:val="24"/>
          <w:szCs w:val="24"/>
          <w:lang w:val="en-GB"/>
        </w:rPr>
        <w:t xml:space="preserve"> in elderly patients when compared to younger patients. Elderly patients should be started on 50 mg/day. The dose can be increased in increments of 50 mg/day to an effective dose, depending on the clinical response and tolerability of the individual patient. </w:t>
      </w:r>
    </w:p>
    <w:p w14:paraId="337DA642" w14:textId="650F2C04" w:rsidR="000C62FB" w:rsidRPr="00CC70C2" w:rsidRDefault="000C62FB" w:rsidP="00A4505B">
      <w:pPr>
        <w:autoSpaceDE w:val="0"/>
        <w:autoSpaceDN w:val="0"/>
        <w:adjustRightInd w:val="0"/>
        <w:ind w:left="851"/>
        <w:rPr>
          <w:sz w:val="24"/>
          <w:szCs w:val="24"/>
          <w:lang w:val="en-GB"/>
        </w:rPr>
      </w:pPr>
      <w:r w:rsidRPr="00CC70C2">
        <w:rPr>
          <w:sz w:val="24"/>
          <w:szCs w:val="24"/>
          <w:lang w:val="en-GB"/>
        </w:rPr>
        <w:t>In elderly patients with major depressive episodes in MDD, dosing should begin with 50</w:t>
      </w:r>
      <w:r w:rsidR="007D65A5">
        <w:rPr>
          <w:sz w:val="24"/>
          <w:szCs w:val="24"/>
          <w:lang w:val="en-GB"/>
        </w:rPr>
        <w:t> </w:t>
      </w:r>
      <w:r w:rsidRPr="00CC70C2">
        <w:rPr>
          <w:sz w:val="24"/>
          <w:szCs w:val="24"/>
          <w:lang w:val="en-GB"/>
        </w:rPr>
        <w:t>mg/day on Days 1- 3, increasing to 100 mg/day on Day 4 and 150 mg/day on Day 8. The lowest effective dose, starting from 50 mg/day should be used. Based on individual patient evaluation, if dose increase to 300 mg/day is required this should not be prior to Day 22 of treatment.</w:t>
      </w:r>
    </w:p>
    <w:p w14:paraId="765FF842" w14:textId="77777777" w:rsidR="000C62FB" w:rsidRPr="00CC70C2" w:rsidRDefault="000C62FB" w:rsidP="00A4505B">
      <w:pPr>
        <w:autoSpaceDE w:val="0"/>
        <w:autoSpaceDN w:val="0"/>
        <w:adjustRightInd w:val="0"/>
        <w:ind w:left="851"/>
        <w:rPr>
          <w:sz w:val="24"/>
          <w:szCs w:val="24"/>
          <w:lang w:val="en-GB"/>
        </w:rPr>
      </w:pPr>
    </w:p>
    <w:p w14:paraId="5AC3E45A" w14:textId="23C6F49B" w:rsidR="000C62FB" w:rsidRPr="00CC70C2" w:rsidRDefault="000C62FB" w:rsidP="00A4505B">
      <w:pPr>
        <w:autoSpaceDE w:val="0"/>
        <w:autoSpaceDN w:val="0"/>
        <w:adjustRightInd w:val="0"/>
        <w:ind w:left="851"/>
        <w:rPr>
          <w:sz w:val="24"/>
          <w:szCs w:val="24"/>
          <w:lang w:val="en-GB"/>
        </w:rPr>
      </w:pPr>
      <w:r w:rsidRPr="00CC70C2">
        <w:rPr>
          <w:sz w:val="24"/>
          <w:szCs w:val="24"/>
          <w:lang w:val="en-GB"/>
        </w:rPr>
        <w:t>Efficacy and safety ha</w:t>
      </w:r>
      <w:r w:rsidR="00C77560">
        <w:rPr>
          <w:sz w:val="24"/>
          <w:szCs w:val="24"/>
          <w:lang w:val="en-GB"/>
        </w:rPr>
        <w:t>ve</w:t>
      </w:r>
      <w:r w:rsidRPr="00CC70C2">
        <w:rPr>
          <w:sz w:val="24"/>
          <w:szCs w:val="24"/>
          <w:lang w:val="en-GB"/>
        </w:rPr>
        <w:t xml:space="preserve"> not been evaluated in patients over 65 years with depressive episodes in the framework of bipolar disorder.</w:t>
      </w:r>
    </w:p>
    <w:p w14:paraId="281C2B96" w14:textId="77777777" w:rsidR="000C62FB" w:rsidRPr="00CC70C2" w:rsidRDefault="000C62FB" w:rsidP="00A4505B">
      <w:pPr>
        <w:autoSpaceDE w:val="0"/>
        <w:autoSpaceDN w:val="0"/>
        <w:adjustRightInd w:val="0"/>
        <w:ind w:left="851"/>
        <w:rPr>
          <w:bCs/>
          <w:sz w:val="24"/>
          <w:szCs w:val="24"/>
          <w:lang w:val="en-GB"/>
        </w:rPr>
      </w:pPr>
    </w:p>
    <w:p w14:paraId="5BC0D9A1" w14:textId="77777777" w:rsidR="000C62FB" w:rsidRPr="00CC70C2" w:rsidRDefault="000C62FB" w:rsidP="00A4505B">
      <w:pPr>
        <w:autoSpaceDE w:val="0"/>
        <w:autoSpaceDN w:val="0"/>
        <w:adjustRightInd w:val="0"/>
        <w:ind w:left="851"/>
        <w:rPr>
          <w:b/>
          <w:bCs/>
          <w:i/>
          <w:sz w:val="24"/>
          <w:szCs w:val="24"/>
          <w:lang w:val="en-GB"/>
        </w:rPr>
      </w:pPr>
      <w:r w:rsidRPr="00CC70C2">
        <w:rPr>
          <w:bCs/>
          <w:i/>
          <w:sz w:val="24"/>
          <w:szCs w:val="24"/>
          <w:u w:val="single"/>
          <w:lang w:val="en-GB"/>
        </w:rPr>
        <w:t>Paediatric population</w:t>
      </w:r>
    </w:p>
    <w:p w14:paraId="1069E1EA" w14:textId="5F56D49F" w:rsidR="000C62FB" w:rsidRPr="00CC70C2" w:rsidRDefault="009C7FC9" w:rsidP="00A4505B">
      <w:pPr>
        <w:autoSpaceDE w:val="0"/>
        <w:autoSpaceDN w:val="0"/>
        <w:adjustRightInd w:val="0"/>
        <w:ind w:left="851"/>
        <w:rPr>
          <w:sz w:val="24"/>
          <w:szCs w:val="24"/>
          <w:lang w:val="en-GB"/>
        </w:rPr>
      </w:pPr>
      <w:proofErr w:type="spellStart"/>
      <w:r w:rsidRPr="00CC70C2">
        <w:rPr>
          <w:sz w:val="24"/>
          <w:szCs w:val="24"/>
          <w:lang w:val="en-GB"/>
        </w:rPr>
        <w:t>Quetiapin</w:t>
      </w:r>
      <w:proofErr w:type="spellEnd"/>
      <w:r w:rsidRPr="00CC70C2">
        <w:rPr>
          <w:sz w:val="24"/>
          <w:szCs w:val="24"/>
          <w:lang w:val="en-GB"/>
        </w:rPr>
        <w:t xml:space="preserve"> "</w:t>
      </w:r>
      <w:proofErr w:type="spellStart"/>
      <w:r w:rsidRPr="00CC70C2">
        <w:rPr>
          <w:sz w:val="24"/>
          <w:szCs w:val="24"/>
          <w:lang w:val="en-GB"/>
        </w:rPr>
        <w:t>Hexal</w:t>
      </w:r>
      <w:proofErr w:type="spellEnd"/>
      <w:r w:rsidRPr="00CC70C2">
        <w:rPr>
          <w:sz w:val="24"/>
          <w:szCs w:val="24"/>
          <w:lang w:val="en-GB"/>
        </w:rPr>
        <w:t>"</w:t>
      </w:r>
      <w:r w:rsidR="000C62FB" w:rsidRPr="00CC70C2">
        <w:rPr>
          <w:sz w:val="24"/>
          <w:szCs w:val="24"/>
          <w:lang w:val="en-GB"/>
        </w:rPr>
        <w:t xml:space="preserve"> is not recommended for use in children and adolescents below 18 years of age, due to a lack of data to support use in this age group. The available evidence from placebo-controlled clinical trials is presented in sections 4.4, 4.8, 5.1 and 5.2.</w:t>
      </w:r>
    </w:p>
    <w:p w14:paraId="490C7B1D" w14:textId="77777777" w:rsidR="000C62FB" w:rsidRPr="00CC70C2" w:rsidRDefault="000C62FB" w:rsidP="00A4505B">
      <w:pPr>
        <w:autoSpaceDE w:val="0"/>
        <w:autoSpaceDN w:val="0"/>
        <w:adjustRightInd w:val="0"/>
        <w:ind w:left="851"/>
        <w:rPr>
          <w:bCs/>
          <w:sz w:val="24"/>
          <w:szCs w:val="24"/>
          <w:lang w:val="en-GB"/>
        </w:rPr>
      </w:pPr>
    </w:p>
    <w:p w14:paraId="7EDBEEB5" w14:textId="77777777" w:rsidR="000C62FB" w:rsidRPr="00CC70C2" w:rsidRDefault="000C62FB" w:rsidP="00A4505B">
      <w:pPr>
        <w:autoSpaceDE w:val="0"/>
        <w:autoSpaceDN w:val="0"/>
        <w:adjustRightInd w:val="0"/>
        <w:ind w:left="851"/>
        <w:rPr>
          <w:bCs/>
          <w:i/>
          <w:sz w:val="24"/>
          <w:szCs w:val="24"/>
          <w:u w:val="single"/>
          <w:lang w:val="en-GB"/>
        </w:rPr>
      </w:pPr>
      <w:r w:rsidRPr="00CC70C2">
        <w:rPr>
          <w:bCs/>
          <w:i/>
          <w:sz w:val="24"/>
          <w:szCs w:val="24"/>
          <w:u w:val="single"/>
          <w:lang w:val="en-GB"/>
        </w:rPr>
        <w:t>Renal impairment</w:t>
      </w:r>
    </w:p>
    <w:p w14:paraId="56619A87" w14:textId="77777777" w:rsidR="000C62FB" w:rsidRPr="00CC70C2" w:rsidRDefault="000C62FB" w:rsidP="00A4505B">
      <w:pPr>
        <w:autoSpaceDE w:val="0"/>
        <w:autoSpaceDN w:val="0"/>
        <w:adjustRightInd w:val="0"/>
        <w:ind w:left="851"/>
        <w:rPr>
          <w:sz w:val="24"/>
          <w:szCs w:val="24"/>
          <w:lang w:val="en-GB"/>
        </w:rPr>
      </w:pPr>
      <w:r w:rsidRPr="00CC70C2">
        <w:rPr>
          <w:sz w:val="24"/>
          <w:szCs w:val="24"/>
          <w:lang w:val="en-GB"/>
        </w:rPr>
        <w:t>Dose adjustment is not necessary in patients with renal impairment.</w:t>
      </w:r>
    </w:p>
    <w:p w14:paraId="797201C9" w14:textId="77777777" w:rsidR="000C62FB" w:rsidRPr="00CC70C2" w:rsidRDefault="000C62FB" w:rsidP="00A4505B">
      <w:pPr>
        <w:autoSpaceDE w:val="0"/>
        <w:autoSpaceDN w:val="0"/>
        <w:adjustRightInd w:val="0"/>
        <w:ind w:left="851"/>
        <w:rPr>
          <w:bCs/>
          <w:sz w:val="24"/>
          <w:szCs w:val="24"/>
          <w:lang w:val="en-GB"/>
        </w:rPr>
      </w:pPr>
    </w:p>
    <w:p w14:paraId="25BB6692" w14:textId="77777777" w:rsidR="000C62FB" w:rsidRPr="00CC70C2" w:rsidRDefault="000C62FB" w:rsidP="00A4505B">
      <w:pPr>
        <w:autoSpaceDE w:val="0"/>
        <w:autoSpaceDN w:val="0"/>
        <w:adjustRightInd w:val="0"/>
        <w:ind w:left="851"/>
        <w:rPr>
          <w:bCs/>
          <w:i/>
          <w:sz w:val="24"/>
          <w:szCs w:val="24"/>
          <w:u w:val="single"/>
          <w:lang w:val="en-GB"/>
        </w:rPr>
      </w:pPr>
      <w:r w:rsidRPr="00CC70C2">
        <w:rPr>
          <w:bCs/>
          <w:i/>
          <w:sz w:val="24"/>
          <w:szCs w:val="24"/>
          <w:u w:val="single"/>
          <w:lang w:val="en-GB"/>
        </w:rPr>
        <w:t>Hepatic impairment</w:t>
      </w:r>
    </w:p>
    <w:p w14:paraId="215AADE8" w14:textId="0BB84867" w:rsidR="000C62FB" w:rsidRPr="00CC70C2" w:rsidRDefault="000C62FB" w:rsidP="00A4505B">
      <w:pPr>
        <w:autoSpaceDE w:val="0"/>
        <w:autoSpaceDN w:val="0"/>
        <w:adjustRightInd w:val="0"/>
        <w:ind w:left="851"/>
        <w:rPr>
          <w:sz w:val="24"/>
          <w:szCs w:val="24"/>
          <w:lang w:val="en-GB"/>
        </w:rPr>
      </w:pPr>
      <w:r w:rsidRPr="00CC70C2">
        <w:rPr>
          <w:sz w:val="24"/>
          <w:szCs w:val="24"/>
          <w:lang w:val="en-GB"/>
        </w:rPr>
        <w:t xml:space="preserve">Quetiapine is extensively metabolised by the liver. Therefore,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sz w:val="24"/>
          <w:szCs w:val="24"/>
          <w:lang w:val="en-GB"/>
        </w:rPr>
        <w:t xml:space="preserve"> should be used with caution in patients with known hepatic impairment, especially during the initial dosing period. Patients with hepatic impairment should be started on 50 mg/day. The dose can be increased in increments of 50 mg/day to an effective dose, depending on the clinical response and tolerability of the individual patient.</w:t>
      </w:r>
    </w:p>
    <w:p w14:paraId="2ECE5FF8" w14:textId="77777777" w:rsidR="000C62FB" w:rsidRPr="00CC70C2" w:rsidRDefault="000C62FB" w:rsidP="00A4505B">
      <w:pPr>
        <w:ind w:left="851"/>
        <w:rPr>
          <w:sz w:val="24"/>
          <w:szCs w:val="24"/>
          <w:lang w:val="en-GB"/>
        </w:rPr>
      </w:pPr>
    </w:p>
    <w:p w14:paraId="3E4479E5" w14:textId="77777777" w:rsidR="000C62FB" w:rsidRPr="00CC70C2" w:rsidRDefault="000C62FB" w:rsidP="00A4505B">
      <w:pPr>
        <w:ind w:left="851"/>
        <w:rPr>
          <w:sz w:val="24"/>
          <w:szCs w:val="24"/>
          <w:u w:val="single"/>
          <w:lang w:val="en-GB"/>
        </w:rPr>
      </w:pPr>
      <w:r w:rsidRPr="00CC70C2">
        <w:rPr>
          <w:sz w:val="24"/>
          <w:szCs w:val="24"/>
          <w:u w:val="single"/>
          <w:lang w:val="en-GB"/>
        </w:rPr>
        <w:t>Method of administration</w:t>
      </w:r>
    </w:p>
    <w:p w14:paraId="640526FF" w14:textId="1D2EC3A1" w:rsidR="000C62FB" w:rsidRPr="00CC70C2" w:rsidRDefault="009C7FC9" w:rsidP="00A4505B">
      <w:pPr>
        <w:autoSpaceDE w:val="0"/>
        <w:autoSpaceDN w:val="0"/>
        <w:adjustRightInd w:val="0"/>
        <w:ind w:left="851"/>
        <w:rPr>
          <w:sz w:val="24"/>
          <w:szCs w:val="24"/>
          <w:lang w:val="en-GB"/>
        </w:rPr>
      </w:pPr>
      <w:proofErr w:type="spellStart"/>
      <w:r w:rsidRPr="00CC70C2">
        <w:rPr>
          <w:sz w:val="24"/>
          <w:szCs w:val="24"/>
          <w:lang w:val="en-GB"/>
        </w:rPr>
        <w:t>Quetiapin</w:t>
      </w:r>
      <w:proofErr w:type="spellEnd"/>
      <w:r w:rsidRPr="00CC70C2">
        <w:rPr>
          <w:sz w:val="24"/>
          <w:szCs w:val="24"/>
          <w:lang w:val="en-GB"/>
        </w:rPr>
        <w:t xml:space="preserve"> "</w:t>
      </w:r>
      <w:proofErr w:type="spellStart"/>
      <w:r w:rsidRPr="00CC70C2">
        <w:rPr>
          <w:sz w:val="24"/>
          <w:szCs w:val="24"/>
          <w:lang w:val="en-GB"/>
        </w:rPr>
        <w:t>Hexal</w:t>
      </w:r>
      <w:proofErr w:type="spellEnd"/>
      <w:r w:rsidRPr="00CC70C2">
        <w:rPr>
          <w:sz w:val="24"/>
          <w:szCs w:val="24"/>
          <w:lang w:val="en-GB"/>
        </w:rPr>
        <w:t>"</w:t>
      </w:r>
      <w:r w:rsidR="000C62FB" w:rsidRPr="00CC70C2">
        <w:rPr>
          <w:sz w:val="24"/>
          <w:szCs w:val="24"/>
          <w:lang w:val="en-GB"/>
        </w:rPr>
        <w:t xml:space="preserve"> should be administered once daily, without food. The tablets should be swallowed whole and not split, chewed or crushed.</w:t>
      </w:r>
    </w:p>
    <w:p w14:paraId="77ADB8F1" w14:textId="77777777" w:rsidR="007C5D2A" w:rsidRPr="00CC70C2" w:rsidRDefault="007C5D2A" w:rsidP="00A85D26">
      <w:pPr>
        <w:tabs>
          <w:tab w:val="left" w:pos="851"/>
        </w:tabs>
        <w:ind w:left="851"/>
        <w:rPr>
          <w:sz w:val="24"/>
          <w:szCs w:val="24"/>
          <w:lang w:val="en-GB"/>
        </w:rPr>
      </w:pPr>
    </w:p>
    <w:p w14:paraId="5E9CFA3F"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4.3</w:t>
      </w:r>
      <w:r w:rsidRPr="00CC70C2">
        <w:rPr>
          <w:b/>
          <w:sz w:val="24"/>
          <w:szCs w:val="24"/>
          <w:lang w:val="en-GB"/>
        </w:rPr>
        <w:tab/>
        <w:t>Contraindications</w:t>
      </w:r>
    </w:p>
    <w:p w14:paraId="44D500CC" w14:textId="77777777" w:rsidR="000C62FB" w:rsidRPr="00CC70C2" w:rsidRDefault="000C62FB" w:rsidP="00A4505B">
      <w:pPr>
        <w:autoSpaceDE w:val="0"/>
        <w:autoSpaceDN w:val="0"/>
        <w:adjustRightInd w:val="0"/>
        <w:ind w:left="851"/>
        <w:rPr>
          <w:sz w:val="24"/>
          <w:szCs w:val="24"/>
          <w:lang w:val="en-GB"/>
        </w:rPr>
      </w:pPr>
      <w:r w:rsidRPr="00CC70C2">
        <w:rPr>
          <w:sz w:val="24"/>
          <w:szCs w:val="24"/>
          <w:lang w:val="en-GB"/>
        </w:rPr>
        <w:t>Hypersensitivity to the active substance or to any of the excipients listed in section 6.1.</w:t>
      </w:r>
    </w:p>
    <w:p w14:paraId="3A8C5BB1" w14:textId="77777777" w:rsidR="000C62FB" w:rsidRPr="00CC70C2" w:rsidRDefault="000C62FB" w:rsidP="00A4505B">
      <w:pPr>
        <w:autoSpaceDE w:val="0"/>
        <w:autoSpaceDN w:val="0"/>
        <w:adjustRightInd w:val="0"/>
        <w:ind w:left="851"/>
        <w:rPr>
          <w:sz w:val="24"/>
          <w:szCs w:val="24"/>
          <w:lang w:val="en-GB"/>
        </w:rPr>
      </w:pPr>
    </w:p>
    <w:p w14:paraId="35A65704" w14:textId="77777777" w:rsidR="000C62FB" w:rsidRPr="00CC70C2" w:rsidRDefault="000C62FB" w:rsidP="00A4505B">
      <w:pPr>
        <w:autoSpaceDE w:val="0"/>
        <w:autoSpaceDN w:val="0"/>
        <w:adjustRightInd w:val="0"/>
        <w:ind w:left="851"/>
        <w:rPr>
          <w:sz w:val="24"/>
          <w:szCs w:val="24"/>
          <w:lang w:val="en-GB"/>
        </w:rPr>
      </w:pPr>
      <w:r w:rsidRPr="00CC70C2">
        <w:rPr>
          <w:sz w:val="24"/>
          <w:szCs w:val="24"/>
          <w:lang w:val="en-GB"/>
        </w:rPr>
        <w:t>Concomitant administration of cytochrome P450 3A4 inhibitors, such as HIV-protease inhibitors, azole-antifungal agents, erythromycin, clarithromycin and nefazodone, is contraindicated (see section 4.5).</w:t>
      </w:r>
    </w:p>
    <w:p w14:paraId="7903AFB7" w14:textId="77777777" w:rsidR="007C5D2A" w:rsidRPr="00CC70C2" w:rsidRDefault="007C5D2A" w:rsidP="003E0341">
      <w:pPr>
        <w:tabs>
          <w:tab w:val="left" w:pos="851"/>
        </w:tabs>
        <w:ind w:left="851"/>
        <w:rPr>
          <w:sz w:val="24"/>
          <w:szCs w:val="24"/>
          <w:lang w:val="en-GB"/>
        </w:rPr>
      </w:pPr>
    </w:p>
    <w:p w14:paraId="1D79066E" w14:textId="77777777" w:rsidR="007C5D2A" w:rsidRPr="00CC70C2" w:rsidRDefault="007C5D2A" w:rsidP="007C5D2A">
      <w:pPr>
        <w:tabs>
          <w:tab w:val="left" w:pos="851"/>
        </w:tabs>
        <w:rPr>
          <w:b/>
          <w:sz w:val="24"/>
          <w:szCs w:val="24"/>
          <w:lang w:val="en-GB"/>
        </w:rPr>
      </w:pPr>
      <w:r w:rsidRPr="00CC70C2">
        <w:rPr>
          <w:b/>
          <w:sz w:val="24"/>
          <w:szCs w:val="24"/>
          <w:lang w:val="en-GB"/>
        </w:rPr>
        <w:t>4.4</w:t>
      </w:r>
      <w:r w:rsidRPr="00CC70C2">
        <w:rPr>
          <w:b/>
          <w:sz w:val="24"/>
          <w:szCs w:val="24"/>
          <w:lang w:val="en-GB"/>
        </w:rPr>
        <w:tab/>
        <w:t>Special warnings and precautions for use</w:t>
      </w:r>
    </w:p>
    <w:p w14:paraId="62C48DB9" w14:textId="5DC31E2F" w:rsidR="000C62FB" w:rsidRPr="00CC70C2" w:rsidRDefault="000C62FB" w:rsidP="00A4505B">
      <w:pPr>
        <w:ind w:left="851"/>
        <w:rPr>
          <w:color w:val="000000"/>
          <w:sz w:val="24"/>
          <w:szCs w:val="24"/>
          <w:lang w:val="en-GB"/>
        </w:rPr>
      </w:pPr>
      <w:r w:rsidRPr="00CC70C2">
        <w:rPr>
          <w:color w:val="000000"/>
          <w:sz w:val="24"/>
          <w:szCs w:val="24"/>
          <w:lang w:val="en-GB"/>
        </w:rPr>
        <w:t xml:space="preserve">As </w:t>
      </w:r>
      <w:proofErr w:type="spellStart"/>
      <w:r w:rsidR="009C7FC9" w:rsidRPr="00CC70C2">
        <w:rPr>
          <w:sz w:val="24"/>
          <w:szCs w:val="24"/>
          <w:lang w:val="en-GB"/>
        </w:rPr>
        <w:t>Quetiapin</w:t>
      </w:r>
      <w:proofErr w:type="spellEnd"/>
      <w:r w:rsidR="009C7FC9" w:rsidRPr="00CC70C2">
        <w:rPr>
          <w:sz w:val="24"/>
          <w:szCs w:val="24"/>
          <w:lang w:val="en-GB"/>
        </w:rPr>
        <w:t xml:space="preserve"> "</w:t>
      </w:r>
      <w:proofErr w:type="spellStart"/>
      <w:r w:rsidR="009C7FC9" w:rsidRPr="00CC70C2">
        <w:rPr>
          <w:sz w:val="24"/>
          <w:szCs w:val="24"/>
          <w:lang w:val="en-GB"/>
        </w:rPr>
        <w:t>Hexal</w:t>
      </w:r>
      <w:proofErr w:type="spellEnd"/>
      <w:r w:rsidR="009C7FC9" w:rsidRPr="00CC70C2">
        <w:rPr>
          <w:sz w:val="24"/>
          <w:szCs w:val="24"/>
          <w:lang w:val="en-GB"/>
        </w:rPr>
        <w:t>"</w:t>
      </w:r>
      <w:r w:rsidRPr="00CC70C2">
        <w:rPr>
          <w:color w:val="000000"/>
          <w:sz w:val="24"/>
          <w:szCs w:val="24"/>
          <w:lang w:val="en-GB"/>
        </w:rPr>
        <w:t xml:space="preserve"> has several indications, the safety profile should be considered with respect to the individual patient’s diagnosis and the dose being administered.</w:t>
      </w:r>
    </w:p>
    <w:p w14:paraId="297DE526" w14:textId="4AD81865" w:rsidR="000C62FB" w:rsidRPr="00CC70C2" w:rsidRDefault="000C62FB" w:rsidP="00A4505B">
      <w:pPr>
        <w:ind w:left="851"/>
        <w:rPr>
          <w:color w:val="000000"/>
          <w:sz w:val="24"/>
          <w:szCs w:val="24"/>
          <w:lang w:val="en-GB"/>
        </w:rPr>
      </w:pPr>
      <w:r w:rsidRPr="00CC70C2">
        <w:rPr>
          <w:color w:val="000000"/>
          <w:sz w:val="24"/>
          <w:szCs w:val="24"/>
          <w:lang w:val="en-GB"/>
        </w:rPr>
        <w:t>Long-term efficacy and safety in patients with MDD ha</w:t>
      </w:r>
      <w:r w:rsidR="00C77560">
        <w:rPr>
          <w:color w:val="000000"/>
          <w:sz w:val="24"/>
          <w:szCs w:val="24"/>
          <w:lang w:val="en-GB"/>
        </w:rPr>
        <w:t>ve</w:t>
      </w:r>
      <w:r w:rsidRPr="00CC70C2">
        <w:rPr>
          <w:color w:val="000000"/>
          <w:sz w:val="24"/>
          <w:szCs w:val="24"/>
          <w:lang w:val="en-GB"/>
        </w:rPr>
        <w:t xml:space="preserve"> not been evaluated as add-on therapy, however long-term efficacy and safety has been evaluated in adult patients as monotherapy (see section 5.1).</w:t>
      </w:r>
    </w:p>
    <w:p w14:paraId="5DCCAEB5" w14:textId="77777777" w:rsidR="000C62FB" w:rsidRPr="00CC70C2" w:rsidRDefault="000C62FB" w:rsidP="00A4505B">
      <w:pPr>
        <w:ind w:left="851"/>
        <w:rPr>
          <w:bCs/>
          <w:color w:val="000000"/>
          <w:sz w:val="24"/>
          <w:szCs w:val="24"/>
          <w:lang w:val="en-GB"/>
        </w:rPr>
      </w:pPr>
    </w:p>
    <w:p w14:paraId="10572FAC"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Paediatric population</w:t>
      </w:r>
    </w:p>
    <w:p w14:paraId="7BCC8BC2"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Quetiapine is not recommended for use in children and adolescents below 18 years of age, due to a lack of data to support use in this age group. Clinical trials with quetiapine have shown that in addition to the known safety profile identified in adults (see section 4.8), certain adverse events occurred at a higher frequency in children and adolescents compared to adults (increased appetite, elevations in serum prolactin, vomiting, rhinitis </w:t>
      </w:r>
      <w:r w:rsidRPr="00CC70C2">
        <w:rPr>
          <w:sz w:val="24"/>
          <w:szCs w:val="24"/>
          <w:lang w:val="en-GB"/>
        </w:rPr>
        <w:t>and syncope) or may have different implications for children and adolescents (</w:t>
      </w:r>
      <w:r w:rsidRPr="00CC70C2">
        <w:rPr>
          <w:color w:val="000000"/>
          <w:sz w:val="24"/>
          <w:szCs w:val="24"/>
          <w:lang w:val="en-GB"/>
        </w:rPr>
        <w:t>extrapyramidal symptoms and irritability) and one was identified that has not been previously seen in adult studies (increases in blood pressure). Changes in thyroid function tests have also been observed in children and adolescents.</w:t>
      </w:r>
    </w:p>
    <w:p w14:paraId="711A8D1B" w14:textId="77777777" w:rsidR="000C62FB" w:rsidRPr="00CC70C2" w:rsidRDefault="000C62FB" w:rsidP="00A4505B">
      <w:pPr>
        <w:ind w:left="851"/>
        <w:rPr>
          <w:color w:val="000000"/>
          <w:sz w:val="24"/>
          <w:szCs w:val="24"/>
          <w:lang w:val="en-GB"/>
        </w:rPr>
      </w:pPr>
    </w:p>
    <w:p w14:paraId="22A439EC" w14:textId="77777777" w:rsidR="000C62FB" w:rsidRPr="00CC70C2" w:rsidRDefault="000C62FB" w:rsidP="00A4505B">
      <w:pPr>
        <w:ind w:left="851"/>
        <w:rPr>
          <w:color w:val="000000"/>
          <w:sz w:val="24"/>
          <w:szCs w:val="24"/>
          <w:lang w:val="en-GB"/>
        </w:rPr>
      </w:pPr>
      <w:r w:rsidRPr="00CC70C2">
        <w:rPr>
          <w:color w:val="000000"/>
          <w:sz w:val="24"/>
          <w:szCs w:val="24"/>
          <w:lang w:val="en-GB"/>
        </w:rPr>
        <w:t>Furthermore, the long-term safety implications of treatment with quetiapine on growth and maturation have not been studied beyond 26 weeks. Long-term implications for cognitive and behavioural development are not known.</w:t>
      </w:r>
    </w:p>
    <w:p w14:paraId="114EE8FB" w14:textId="77777777" w:rsidR="000C62FB" w:rsidRPr="00CC70C2" w:rsidRDefault="000C62FB" w:rsidP="00A4505B">
      <w:pPr>
        <w:ind w:left="851"/>
        <w:rPr>
          <w:color w:val="000000"/>
          <w:sz w:val="24"/>
          <w:szCs w:val="24"/>
          <w:lang w:val="en-GB"/>
        </w:rPr>
      </w:pPr>
    </w:p>
    <w:p w14:paraId="1B4C9B49" w14:textId="77777777" w:rsidR="000C62FB" w:rsidRPr="00CC70C2" w:rsidRDefault="000C62FB" w:rsidP="00A4505B">
      <w:pPr>
        <w:ind w:left="851"/>
        <w:rPr>
          <w:color w:val="000000"/>
          <w:sz w:val="24"/>
          <w:szCs w:val="24"/>
          <w:lang w:val="en-GB"/>
        </w:rPr>
      </w:pPr>
      <w:r w:rsidRPr="00CC70C2">
        <w:rPr>
          <w:color w:val="000000"/>
          <w:sz w:val="24"/>
          <w:szCs w:val="24"/>
          <w:lang w:val="en-GB"/>
        </w:rPr>
        <w:t>In placebo-controlled clinical trials with children and adolescent patients, quetiapine was associated with an increased incidence of extrapyramidal symptoms (EPS) compared to placebo in patients treated for schizophrenia, bipolar mania and bipolar depression (see section 4.8).</w:t>
      </w:r>
    </w:p>
    <w:p w14:paraId="64EDF88A" w14:textId="77777777" w:rsidR="000C62FB" w:rsidRPr="00CC70C2" w:rsidRDefault="000C62FB" w:rsidP="00A4505B">
      <w:pPr>
        <w:ind w:left="851"/>
        <w:rPr>
          <w:bCs/>
          <w:color w:val="000000"/>
          <w:sz w:val="24"/>
          <w:szCs w:val="24"/>
          <w:lang w:val="en-GB"/>
        </w:rPr>
      </w:pPr>
    </w:p>
    <w:p w14:paraId="1864A8BE"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Suicide/suicidal thoughts or clinical worsening</w:t>
      </w:r>
    </w:p>
    <w:p w14:paraId="68AA35FF" w14:textId="77777777" w:rsidR="000C62FB" w:rsidRPr="00CC70C2" w:rsidRDefault="000C62FB" w:rsidP="00A4505B">
      <w:pPr>
        <w:ind w:left="851"/>
        <w:rPr>
          <w:color w:val="000000"/>
          <w:sz w:val="24"/>
          <w:szCs w:val="24"/>
          <w:lang w:val="en-GB"/>
        </w:rPr>
      </w:pPr>
      <w:r w:rsidRPr="00CC70C2">
        <w:rPr>
          <w:color w:val="000000"/>
          <w:sz w:val="24"/>
          <w:szCs w:val="24"/>
          <w:lang w:val="en-GB"/>
        </w:rPr>
        <w:t>Depression is associated with an increased risk of suicidal thoughts, self-harm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14:paraId="64E66195" w14:textId="77777777" w:rsidR="000C62FB" w:rsidRPr="00CC70C2" w:rsidRDefault="000C62FB" w:rsidP="00A4505B">
      <w:pPr>
        <w:ind w:left="851"/>
        <w:rPr>
          <w:color w:val="000000"/>
          <w:sz w:val="24"/>
          <w:szCs w:val="24"/>
          <w:lang w:val="en-GB"/>
        </w:rPr>
      </w:pPr>
    </w:p>
    <w:p w14:paraId="753A8B2F" w14:textId="77777777" w:rsidR="000C62FB" w:rsidRPr="00CC70C2" w:rsidRDefault="000C62FB" w:rsidP="00A4505B">
      <w:pPr>
        <w:ind w:left="851"/>
        <w:rPr>
          <w:color w:val="000000"/>
          <w:sz w:val="24"/>
          <w:szCs w:val="24"/>
          <w:lang w:val="en-GB"/>
        </w:rPr>
      </w:pPr>
      <w:r w:rsidRPr="00CC70C2">
        <w:rPr>
          <w:color w:val="000000"/>
          <w:sz w:val="24"/>
          <w:szCs w:val="24"/>
          <w:lang w:val="en-GB"/>
        </w:rPr>
        <w:t>In addition, physicians should consider the potential risk of suicide-related events after abrupt cessation of quetiapine treatment, due to the known risk factors for the disease being treated.</w:t>
      </w:r>
    </w:p>
    <w:p w14:paraId="61FA8627" w14:textId="77777777" w:rsidR="000C62FB" w:rsidRPr="00CC70C2" w:rsidRDefault="000C62FB" w:rsidP="00A4505B">
      <w:pPr>
        <w:ind w:left="851"/>
        <w:rPr>
          <w:color w:val="000000"/>
          <w:sz w:val="24"/>
          <w:szCs w:val="24"/>
          <w:lang w:val="en-GB"/>
        </w:rPr>
      </w:pPr>
    </w:p>
    <w:p w14:paraId="62F97E93" w14:textId="77777777" w:rsidR="000C62FB" w:rsidRPr="00CC70C2" w:rsidRDefault="000C62FB" w:rsidP="00A4505B">
      <w:pPr>
        <w:ind w:left="851"/>
        <w:rPr>
          <w:color w:val="000000"/>
          <w:sz w:val="24"/>
          <w:szCs w:val="24"/>
          <w:lang w:val="en-GB"/>
        </w:rPr>
      </w:pPr>
      <w:r w:rsidRPr="00CC70C2">
        <w:rPr>
          <w:color w:val="000000"/>
          <w:sz w:val="24"/>
          <w:szCs w:val="24"/>
          <w:lang w:val="en-GB"/>
        </w:rPr>
        <w:t>Other psychiatric conditions for which quetiapine is prescribed can also be associated with an increased risk of suicide related events. In addition, these conditions may be co-morbid with major depressive episodes.</w:t>
      </w:r>
    </w:p>
    <w:p w14:paraId="1879C9A3" w14:textId="77777777" w:rsidR="000C62FB" w:rsidRPr="00CC70C2" w:rsidRDefault="000C62FB" w:rsidP="00A4505B">
      <w:pPr>
        <w:ind w:left="851"/>
        <w:rPr>
          <w:color w:val="000000"/>
          <w:sz w:val="24"/>
          <w:szCs w:val="24"/>
          <w:lang w:val="en-GB"/>
        </w:rPr>
      </w:pPr>
      <w:r w:rsidRPr="00CC70C2">
        <w:rPr>
          <w:color w:val="000000"/>
          <w:sz w:val="24"/>
          <w:szCs w:val="24"/>
          <w:lang w:val="en-GB"/>
        </w:rPr>
        <w:t>The same precautions observed when treating patients with major depressive episodes should therefore be observed when treating patients with other psychiatric disorders.</w:t>
      </w:r>
    </w:p>
    <w:p w14:paraId="13392BD6" w14:textId="77777777" w:rsidR="000C62FB" w:rsidRPr="00CC70C2" w:rsidRDefault="000C62FB" w:rsidP="00A4505B">
      <w:pPr>
        <w:ind w:left="851"/>
        <w:rPr>
          <w:color w:val="000000"/>
          <w:sz w:val="24"/>
          <w:szCs w:val="24"/>
          <w:lang w:val="en-GB"/>
        </w:rPr>
      </w:pPr>
    </w:p>
    <w:p w14:paraId="13537E5F"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Patients with a history of suicide related events, or those exhibiting a significant degree of suicidal ideation prior to commencement of treatment are known to be at greater risk of suicidal thoughts or suicide attempts, and should receive careful monitoring during treatment. A </w:t>
      </w:r>
      <w:proofErr w:type="spellStart"/>
      <w:r w:rsidRPr="00CC70C2">
        <w:rPr>
          <w:color w:val="000000"/>
          <w:sz w:val="24"/>
          <w:szCs w:val="24"/>
          <w:lang w:val="en-GB"/>
        </w:rPr>
        <w:t>meta analysis</w:t>
      </w:r>
      <w:proofErr w:type="spellEnd"/>
      <w:r w:rsidRPr="00CC70C2">
        <w:rPr>
          <w:color w:val="000000"/>
          <w:sz w:val="24"/>
          <w:szCs w:val="24"/>
          <w:lang w:val="en-GB"/>
        </w:rPr>
        <w:t xml:space="preserve"> of placebo controlled clinical trials of antidepressants in adult patients with psychiatric disorders showed an increased risk of suicidal behaviour with antidepressants compared to placebo in patients less than 25 years old.</w:t>
      </w:r>
    </w:p>
    <w:p w14:paraId="0523BCE3" w14:textId="77777777" w:rsidR="000C62FB" w:rsidRPr="00CC70C2" w:rsidRDefault="000C62FB" w:rsidP="00A4505B">
      <w:pPr>
        <w:ind w:left="851"/>
        <w:rPr>
          <w:color w:val="000000"/>
          <w:sz w:val="24"/>
          <w:szCs w:val="24"/>
          <w:lang w:val="en-GB"/>
        </w:rPr>
      </w:pPr>
    </w:p>
    <w:p w14:paraId="4711F0AF" w14:textId="77777777" w:rsidR="000C62FB" w:rsidRPr="00CC70C2" w:rsidRDefault="000C62FB" w:rsidP="00A4505B">
      <w:pPr>
        <w:ind w:left="851"/>
        <w:rPr>
          <w:color w:val="000000"/>
          <w:sz w:val="24"/>
          <w:szCs w:val="24"/>
          <w:lang w:val="en-GB"/>
        </w:rPr>
      </w:pPr>
      <w:r w:rsidRPr="00CC70C2">
        <w:rPr>
          <w:color w:val="000000"/>
          <w:sz w:val="24"/>
          <w:szCs w:val="24"/>
          <w:lang w:val="en-GB"/>
        </w:rPr>
        <w:t>Close supervision of patients and in particular those at high risk should accompany pharmacotherapy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p w14:paraId="164B4776" w14:textId="77777777" w:rsidR="000C62FB" w:rsidRPr="00CC70C2" w:rsidRDefault="000C62FB" w:rsidP="00A4505B">
      <w:pPr>
        <w:ind w:left="851"/>
        <w:rPr>
          <w:color w:val="000000"/>
          <w:sz w:val="24"/>
          <w:szCs w:val="24"/>
          <w:lang w:val="en-GB"/>
        </w:rPr>
      </w:pPr>
    </w:p>
    <w:p w14:paraId="61014432" w14:textId="4BB2B015" w:rsidR="000C62FB" w:rsidRPr="00CC70C2" w:rsidRDefault="000C62FB" w:rsidP="00A4505B">
      <w:pPr>
        <w:ind w:left="851"/>
        <w:rPr>
          <w:color w:val="000000"/>
          <w:sz w:val="24"/>
          <w:szCs w:val="24"/>
          <w:lang w:val="en-GB"/>
        </w:rPr>
      </w:pPr>
      <w:r w:rsidRPr="00CC70C2">
        <w:rPr>
          <w:color w:val="000000"/>
          <w:sz w:val="24"/>
          <w:szCs w:val="24"/>
          <w:lang w:val="en-GB"/>
        </w:rPr>
        <w:t>In shorter-term placebo controlled clinical studies of patients with major depressive episodes in bipolar disorder an increased risk of suicide-related events was observed in young adult patients (younger than 25 years of age) who were treated with quetiapine as compared to those treated with placebo (3.0</w:t>
      </w:r>
      <w:r w:rsidR="00F96C97">
        <w:rPr>
          <w:color w:val="000000"/>
          <w:sz w:val="24"/>
          <w:szCs w:val="24"/>
          <w:lang w:val="en-GB"/>
        </w:rPr>
        <w:t xml:space="preserve"> %</w:t>
      </w:r>
      <w:r w:rsidRPr="00CC70C2">
        <w:rPr>
          <w:color w:val="000000"/>
          <w:sz w:val="24"/>
          <w:szCs w:val="24"/>
          <w:lang w:val="en-GB"/>
        </w:rPr>
        <w:t xml:space="preserve"> vs. 0</w:t>
      </w:r>
      <w:r w:rsidR="00F96C97">
        <w:rPr>
          <w:color w:val="000000"/>
          <w:sz w:val="24"/>
          <w:szCs w:val="24"/>
          <w:lang w:val="en-GB"/>
        </w:rPr>
        <w:t xml:space="preserve"> %</w:t>
      </w:r>
      <w:r w:rsidRPr="00CC70C2">
        <w:rPr>
          <w:color w:val="000000"/>
          <w:sz w:val="24"/>
          <w:szCs w:val="24"/>
          <w:lang w:val="en-GB"/>
        </w:rPr>
        <w:t>, respectively). In clinical studies of patients with MDD the incidence of suicide-related events observed in young adult patients (younger than 25 years of age) was 2.1</w:t>
      </w:r>
      <w:r w:rsidR="00F96C97">
        <w:rPr>
          <w:color w:val="000000"/>
          <w:sz w:val="24"/>
          <w:szCs w:val="24"/>
          <w:lang w:val="en-GB"/>
        </w:rPr>
        <w:t xml:space="preserve"> %</w:t>
      </w:r>
      <w:r w:rsidRPr="00CC70C2">
        <w:rPr>
          <w:color w:val="000000"/>
          <w:sz w:val="24"/>
          <w:szCs w:val="24"/>
          <w:lang w:val="en-GB"/>
        </w:rPr>
        <w:t xml:space="preserve"> (3/144) for quetiapine and 1.3</w:t>
      </w:r>
      <w:r w:rsidR="00F96C97">
        <w:rPr>
          <w:color w:val="000000"/>
          <w:sz w:val="24"/>
          <w:szCs w:val="24"/>
          <w:lang w:val="en-GB"/>
        </w:rPr>
        <w:t xml:space="preserve"> %</w:t>
      </w:r>
      <w:r w:rsidRPr="00CC70C2">
        <w:rPr>
          <w:color w:val="000000"/>
          <w:sz w:val="24"/>
          <w:szCs w:val="24"/>
          <w:lang w:val="en-GB"/>
        </w:rPr>
        <w:t xml:space="preserve"> (1/75) for placebo. A population-based retrospective study of quetiapine for the treatment of patients with major depressive disorder showed an increased risk of self-harm and suicide in patients aged 25 to 64 years without a history of self-harm during use of quetiapine with other antidepressants.</w:t>
      </w:r>
    </w:p>
    <w:p w14:paraId="08A21333" w14:textId="77777777" w:rsidR="000C62FB" w:rsidRPr="00CC70C2" w:rsidRDefault="000C62FB" w:rsidP="00A4505B">
      <w:pPr>
        <w:ind w:left="851"/>
        <w:rPr>
          <w:bCs/>
          <w:iCs/>
          <w:color w:val="000000"/>
          <w:sz w:val="24"/>
          <w:szCs w:val="24"/>
          <w:lang w:val="en-GB"/>
        </w:rPr>
      </w:pPr>
    </w:p>
    <w:p w14:paraId="4CC7479F" w14:textId="77777777" w:rsidR="000C62FB" w:rsidRPr="00CC70C2" w:rsidRDefault="000C62FB" w:rsidP="00A4505B">
      <w:pPr>
        <w:pStyle w:val="Default"/>
        <w:ind w:left="851"/>
        <w:rPr>
          <w:lang w:val="en-GB"/>
        </w:rPr>
      </w:pPr>
      <w:r w:rsidRPr="00CC70C2">
        <w:rPr>
          <w:rFonts w:eastAsia="Times New Roman"/>
          <w:bCs/>
          <w:u w:val="single"/>
          <w:lang w:val="en-GB" w:eastAsia="en-US"/>
        </w:rPr>
        <w:t>Metabolic risk</w:t>
      </w:r>
    </w:p>
    <w:p w14:paraId="14136C2A" w14:textId="77777777" w:rsidR="000C62FB" w:rsidRPr="00CC70C2" w:rsidRDefault="000C62FB" w:rsidP="00A4505B">
      <w:pPr>
        <w:ind w:left="851"/>
        <w:rPr>
          <w:bCs/>
          <w:iCs/>
          <w:color w:val="000000"/>
          <w:sz w:val="24"/>
          <w:szCs w:val="24"/>
          <w:lang w:val="en-GB"/>
        </w:rPr>
      </w:pPr>
      <w:r w:rsidRPr="00CC70C2">
        <w:rPr>
          <w:sz w:val="24"/>
          <w:szCs w:val="24"/>
          <w:lang w:val="en-GB"/>
        </w:rPr>
        <w:t xml:space="preserve">Given the observed risk for worsening of their metabolic profile, including changes in weight, blood glucose (see </w:t>
      </w:r>
      <w:proofErr w:type="spellStart"/>
      <w:r w:rsidRPr="00CC70C2">
        <w:rPr>
          <w:sz w:val="24"/>
          <w:szCs w:val="24"/>
          <w:lang w:val="en-GB"/>
        </w:rPr>
        <w:t>hyperglycemia</w:t>
      </w:r>
      <w:proofErr w:type="spellEnd"/>
      <w:r w:rsidRPr="00CC70C2">
        <w:rPr>
          <w:sz w:val="24"/>
          <w:szCs w:val="24"/>
          <w:lang w:val="en-GB"/>
        </w:rPr>
        <w:t>) and lipids, which was seen in clinical studies, patient’s metabolic parameters should be assessed at the time of treatment initiation and changes in these parameters should be regularly controlled for during the course of treatment. Worsening in these parameters should be managed as clinically appropriate (see also section 4.8).</w:t>
      </w:r>
    </w:p>
    <w:p w14:paraId="48295316" w14:textId="77777777" w:rsidR="000C62FB" w:rsidRPr="00CC70C2" w:rsidRDefault="000C62FB" w:rsidP="00A4505B">
      <w:pPr>
        <w:ind w:left="851"/>
        <w:rPr>
          <w:bCs/>
          <w:iCs/>
          <w:color w:val="000000"/>
          <w:sz w:val="24"/>
          <w:szCs w:val="24"/>
          <w:lang w:val="en-GB"/>
        </w:rPr>
      </w:pPr>
    </w:p>
    <w:p w14:paraId="746545EF" w14:textId="77777777" w:rsidR="000C62FB" w:rsidRPr="00CC70C2" w:rsidRDefault="000C62FB" w:rsidP="00A4505B">
      <w:pPr>
        <w:ind w:left="851"/>
        <w:rPr>
          <w:bCs/>
          <w:i/>
          <w:iCs/>
          <w:color w:val="000000"/>
          <w:sz w:val="24"/>
          <w:szCs w:val="24"/>
          <w:u w:val="single"/>
          <w:lang w:val="en-GB"/>
        </w:rPr>
      </w:pPr>
      <w:r w:rsidRPr="00CC70C2">
        <w:rPr>
          <w:bCs/>
          <w:color w:val="000000"/>
          <w:sz w:val="24"/>
          <w:szCs w:val="24"/>
          <w:u w:val="single"/>
          <w:lang w:val="en-GB"/>
        </w:rPr>
        <w:t>Extrapyramidal symptoms</w:t>
      </w:r>
    </w:p>
    <w:p w14:paraId="6C38E4F2"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In placebo controlled clinical trials of adult </w:t>
      </w:r>
      <w:proofErr w:type="gramStart"/>
      <w:r w:rsidRPr="00CC70C2">
        <w:rPr>
          <w:color w:val="000000"/>
          <w:sz w:val="24"/>
          <w:szCs w:val="24"/>
          <w:lang w:val="en-GB"/>
        </w:rPr>
        <w:t>patients</w:t>
      </w:r>
      <w:proofErr w:type="gramEnd"/>
      <w:r w:rsidRPr="00CC70C2">
        <w:rPr>
          <w:color w:val="000000"/>
          <w:sz w:val="24"/>
          <w:szCs w:val="24"/>
          <w:lang w:val="en-GB"/>
        </w:rPr>
        <w:t xml:space="preserve"> quetiapine was associated with an increased incidence of extrapyramidal symptoms (EPS) compared to placebo in patients treated for major depressive episodes in bipolar disorder and major depressive disorder (see sections 4.8 and 5.1).</w:t>
      </w:r>
    </w:p>
    <w:p w14:paraId="5DB41352" w14:textId="77777777" w:rsidR="000C62FB" w:rsidRPr="00CC70C2" w:rsidRDefault="000C62FB" w:rsidP="00A4505B">
      <w:pPr>
        <w:ind w:left="851"/>
        <w:rPr>
          <w:color w:val="000000"/>
          <w:sz w:val="24"/>
          <w:szCs w:val="24"/>
          <w:lang w:val="en-GB"/>
        </w:rPr>
      </w:pPr>
    </w:p>
    <w:p w14:paraId="605610EC" w14:textId="77777777" w:rsidR="000C62FB" w:rsidRPr="00CC70C2" w:rsidRDefault="000C62FB" w:rsidP="00A4505B">
      <w:pPr>
        <w:ind w:left="851"/>
        <w:rPr>
          <w:color w:val="000000"/>
          <w:sz w:val="24"/>
          <w:szCs w:val="24"/>
          <w:lang w:val="en-GB"/>
        </w:rPr>
      </w:pPr>
      <w:r w:rsidRPr="00CC70C2">
        <w:rPr>
          <w:color w:val="000000"/>
          <w:sz w:val="24"/>
          <w:szCs w:val="24"/>
          <w:lang w:val="en-GB"/>
        </w:rPr>
        <w:t>The use of quetiapine has been associated with the development of akathisia, characterised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60D4094C" w14:textId="77777777" w:rsidR="000C62FB" w:rsidRPr="00CC70C2" w:rsidRDefault="000C62FB" w:rsidP="00A4505B">
      <w:pPr>
        <w:ind w:left="851"/>
        <w:rPr>
          <w:bCs/>
          <w:iCs/>
          <w:color w:val="000000"/>
          <w:sz w:val="24"/>
          <w:szCs w:val="24"/>
          <w:lang w:val="en-GB"/>
        </w:rPr>
      </w:pPr>
    </w:p>
    <w:p w14:paraId="4175811A"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Tardive dyskinesia</w:t>
      </w:r>
    </w:p>
    <w:p w14:paraId="53E689C7" w14:textId="77777777" w:rsidR="000C62FB" w:rsidRPr="00CC70C2" w:rsidRDefault="000C62FB" w:rsidP="00A4505B">
      <w:pPr>
        <w:ind w:left="851"/>
        <w:rPr>
          <w:color w:val="000000"/>
          <w:sz w:val="24"/>
          <w:szCs w:val="24"/>
          <w:lang w:val="en-GB"/>
        </w:rPr>
      </w:pPr>
      <w:r w:rsidRPr="00CC70C2">
        <w:rPr>
          <w:color w:val="000000"/>
          <w:sz w:val="24"/>
          <w:szCs w:val="24"/>
          <w:lang w:val="en-GB"/>
        </w:rPr>
        <w:t>If signs and symptoms of tardive dyskinesia appear, dose reduction or discontinuation of quetiapine should be considered. The symptoms of tardive dyskinesia can worsen or even arise after discontinuation of treatment (see section 4.8).</w:t>
      </w:r>
    </w:p>
    <w:p w14:paraId="4E406E22" w14:textId="77777777" w:rsidR="000C62FB" w:rsidRPr="00CC70C2" w:rsidRDefault="000C62FB" w:rsidP="00A4505B">
      <w:pPr>
        <w:ind w:left="851"/>
        <w:rPr>
          <w:bCs/>
          <w:iCs/>
          <w:color w:val="000000"/>
          <w:sz w:val="24"/>
          <w:szCs w:val="24"/>
          <w:lang w:val="en-GB"/>
        </w:rPr>
      </w:pPr>
    </w:p>
    <w:p w14:paraId="18CDFC33"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Somnolence and dizziness</w:t>
      </w:r>
    </w:p>
    <w:p w14:paraId="3150EEF2" w14:textId="77777777" w:rsidR="000C62FB" w:rsidRPr="00CC70C2" w:rsidRDefault="000C62FB" w:rsidP="00A4505B">
      <w:pPr>
        <w:ind w:left="851"/>
        <w:rPr>
          <w:color w:val="000000"/>
          <w:sz w:val="24"/>
          <w:szCs w:val="24"/>
          <w:lang w:val="en-GB"/>
        </w:rPr>
      </w:pPr>
      <w:r w:rsidRPr="00CC70C2">
        <w:rPr>
          <w:color w:val="000000"/>
          <w:sz w:val="24"/>
          <w:szCs w:val="24"/>
          <w:lang w:val="en-GB"/>
        </w:rPr>
        <w:t>Quetiapine treatment has been associated with somnolence and related symptoms, such as sedation (see section 4.8). In clinical trials for treatment of patients with bipolar depression and major depressive disorder, onset was usually within the first 3 days of treatment and was predominantly of mild to moderate intensity. Patients experiencing somnolence of severe intensity may require more frequent contact for a minimum of 2 weeks from onset of somnolence, or until symptoms improve and treatment discontinuation may need to be considered.</w:t>
      </w:r>
    </w:p>
    <w:p w14:paraId="08EB7928" w14:textId="77777777" w:rsidR="000C62FB" w:rsidRPr="00CC70C2" w:rsidRDefault="000C62FB" w:rsidP="00A4505B">
      <w:pPr>
        <w:ind w:left="851"/>
        <w:rPr>
          <w:color w:val="000000"/>
          <w:sz w:val="24"/>
          <w:szCs w:val="24"/>
          <w:lang w:val="en-GB"/>
        </w:rPr>
      </w:pPr>
    </w:p>
    <w:p w14:paraId="4C93B2B2"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 xml:space="preserve">Orthostatic hypotension </w:t>
      </w:r>
    </w:p>
    <w:p w14:paraId="593B3539" w14:textId="77777777" w:rsidR="000C62FB" w:rsidRPr="00CC70C2" w:rsidRDefault="000C62FB" w:rsidP="00A4505B">
      <w:pPr>
        <w:ind w:left="851"/>
        <w:rPr>
          <w:color w:val="000000"/>
          <w:sz w:val="24"/>
          <w:szCs w:val="24"/>
          <w:lang w:val="en-GB"/>
        </w:rPr>
      </w:pPr>
      <w:r w:rsidRPr="00CC70C2">
        <w:rPr>
          <w:color w:val="000000"/>
          <w:sz w:val="24"/>
          <w:szCs w:val="24"/>
          <w:lang w:val="en-GB"/>
        </w:rPr>
        <w:t>Quetiapine treatment has been associated with orthostatic hypotension and related dizziness (see section 4.8) which, like somnolence has onset usually during the initial dose-titration period. This could increase the occurrence of accidental injury (fall), especially in the elderly population. Therefore, patients should be advised to exercise caution until they are familiar with the potential effects of the medication.</w:t>
      </w:r>
    </w:p>
    <w:p w14:paraId="4F75AE63" w14:textId="77777777" w:rsidR="000C62FB" w:rsidRPr="00CC70C2" w:rsidRDefault="000C62FB" w:rsidP="00A4505B">
      <w:pPr>
        <w:ind w:left="851"/>
        <w:rPr>
          <w:bCs/>
          <w:iCs/>
          <w:color w:val="000000"/>
          <w:sz w:val="24"/>
          <w:szCs w:val="24"/>
          <w:lang w:val="en-GB"/>
        </w:rPr>
      </w:pPr>
    </w:p>
    <w:p w14:paraId="70AFEE45"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Quetiapine should be used with caution in patients with known cardiovascular disease, cerebrovascular disease, or other conditions predisposing to hypotension. Dose reduction or more gradual titration should be considered if </w:t>
      </w:r>
      <w:r w:rsidRPr="00CC70C2">
        <w:rPr>
          <w:color w:val="000000"/>
          <w:sz w:val="24"/>
          <w:szCs w:val="24"/>
          <w:lang w:val="en-GB" w:bidi="en-US"/>
        </w:rPr>
        <w:t>orthostatic hypotension</w:t>
      </w:r>
      <w:r w:rsidRPr="00CC70C2">
        <w:rPr>
          <w:color w:val="000000"/>
          <w:sz w:val="24"/>
          <w:szCs w:val="24"/>
          <w:lang w:val="en-GB"/>
        </w:rPr>
        <w:t xml:space="preserve"> occurs, especially in patients with underlying cardiovascular disease.</w:t>
      </w:r>
    </w:p>
    <w:p w14:paraId="2854B2E5" w14:textId="77777777" w:rsidR="000C62FB" w:rsidRPr="00CC70C2" w:rsidRDefault="000C62FB" w:rsidP="00A4505B">
      <w:pPr>
        <w:ind w:left="851"/>
        <w:rPr>
          <w:color w:val="000000"/>
          <w:sz w:val="24"/>
          <w:szCs w:val="24"/>
          <w:lang w:val="en-GB"/>
        </w:rPr>
      </w:pPr>
    </w:p>
    <w:p w14:paraId="545FCF56"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Sleep apnoea syndrome</w:t>
      </w:r>
    </w:p>
    <w:p w14:paraId="7AA1EF67" w14:textId="77777777" w:rsidR="000C62FB" w:rsidRPr="00CC70C2" w:rsidRDefault="000C62FB" w:rsidP="00A4505B">
      <w:pPr>
        <w:ind w:left="851"/>
        <w:rPr>
          <w:color w:val="000000"/>
          <w:sz w:val="24"/>
          <w:szCs w:val="24"/>
          <w:lang w:val="en-GB"/>
        </w:rPr>
      </w:pPr>
      <w:r w:rsidRPr="00CC70C2">
        <w:rPr>
          <w:color w:val="000000"/>
          <w:sz w:val="24"/>
          <w:szCs w:val="24"/>
          <w:lang w:val="en-GB"/>
        </w:rPr>
        <w:t>Sleep apnoea syndrome has been reported in patients using quetiapine. In patients receiving concomitant central nervous system depressants and who have a history of or are at risk for sleep apnoea, such as those who are overweight/obese or are male, quetiapine should be used with caution.</w:t>
      </w:r>
    </w:p>
    <w:p w14:paraId="316A4877" w14:textId="77777777" w:rsidR="000C62FB" w:rsidRPr="00CC70C2" w:rsidRDefault="000C62FB" w:rsidP="00A4505B">
      <w:pPr>
        <w:ind w:left="851"/>
        <w:rPr>
          <w:color w:val="000000"/>
          <w:sz w:val="24"/>
          <w:szCs w:val="24"/>
          <w:lang w:val="en-GB"/>
        </w:rPr>
      </w:pPr>
    </w:p>
    <w:p w14:paraId="556AD56C"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Seizures</w:t>
      </w:r>
    </w:p>
    <w:p w14:paraId="7E8A620D" w14:textId="77777777" w:rsidR="000C62FB" w:rsidRPr="00CC70C2" w:rsidRDefault="000C62FB" w:rsidP="00A4505B">
      <w:pPr>
        <w:ind w:left="851"/>
        <w:rPr>
          <w:color w:val="000000"/>
          <w:sz w:val="24"/>
          <w:szCs w:val="24"/>
          <w:lang w:val="en-GB"/>
        </w:rPr>
      </w:pPr>
      <w:r w:rsidRPr="00CC70C2">
        <w:rPr>
          <w:color w:val="000000"/>
          <w:sz w:val="24"/>
          <w:szCs w:val="24"/>
          <w:lang w:val="en-GB"/>
        </w:rPr>
        <w:t>In controlled clinical trials there was no difference in the incidence of seizures in patients treated with quetiapine or placebo. No data is available about the incidence of seizures in patients with a history of seizure disorder. As with other antipsychotics, caution is recommended when treating patients with a history of seizures (see section 4.8).</w:t>
      </w:r>
    </w:p>
    <w:p w14:paraId="1DE09A6A" w14:textId="77777777" w:rsidR="000C62FB" w:rsidRPr="00CC70C2" w:rsidRDefault="000C62FB" w:rsidP="00A4505B">
      <w:pPr>
        <w:ind w:left="851"/>
        <w:rPr>
          <w:bCs/>
          <w:iCs/>
          <w:color w:val="000000"/>
          <w:sz w:val="24"/>
          <w:szCs w:val="24"/>
          <w:lang w:val="en-GB"/>
        </w:rPr>
      </w:pPr>
    </w:p>
    <w:p w14:paraId="4C909A91"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Neuroleptic malignant syndrome</w:t>
      </w:r>
    </w:p>
    <w:p w14:paraId="62868025" w14:textId="77777777" w:rsidR="000C62FB" w:rsidRPr="00CC70C2" w:rsidRDefault="000C62FB" w:rsidP="00A4505B">
      <w:pPr>
        <w:ind w:left="851"/>
        <w:rPr>
          <w:color w:val="000000"/>
          <w:sz w:val="24"/>
          <w:szCs w:val="24"/>
          <w:lang w:val="en-GB"/>
        </w:rPr>
      </w:pPr>
      <w:r w:rsidRPr="00CC70C2">
        <w:rPr>
          <w:color w:val="000000"/>
          <w:sz w:val="24"/>
          <w:szCs w:val="24"/>
          <w:lang w:val="en-GB"/>
        </w:rPr>
        <w:t>Neuroleptic malignant syndrome has been associated with antipsychotic treatment, including quetiapine (see section 4.8). Clinical manifestations include hyperthermia, altered mental status, muscular rigidity, autonomic instability, and increased creatine phosphokinase. In such an event, quetiapine should be discontinued and appropriate medical treatment given.</w:t>
      </w:r>
    </w:p>
    <w:p w14:paraId="5CEEF29E" w14:textId="2EB7A8D4" w:rsidR="000C62FB" w:rsidRPr="007D65A5" w:rsidRDefault="000C62FB" w:rsidP="007D65A5">
      <w:pPr>
        <w:ind w:left="851"/>
        <w:rPr>
          <w:sz w:val="24"/>
          <w:szCs w:val="24"/>
          <w:lang w:val="en-GB"/>
        </w:rPr>
      </w:pPr>
    </w:p>
    <w:p w14:paraId="17F42E69" w14:textId="77777777" w:rsidR="000B772F" w:rsidRPr="007D65A5" w:rsidRDefault="000B772F" w:rsidP="007D65A5">
      <w:pPr>
        <w:ind w:left="851"/>
        <w:rPr>
          <w:sz w:val="24"/>
          <w:szCs w:val="24"/>
          <w:u w:val="single"/>
          <w:lang w:val="en-US"/>
        </w:rPr>
      </w:pPr>
      <w:r w:rsidRPr="007D65A5">
        <w:rPr>
          <w:sz w:val="24"/>
          <w:szCs w:val="24"/>
          <w:u w:val="single"/>
          <w:lang w:val="en-US"/>
        </w:rPr>
        <w:t xml:space="preserve">Serotonin syndrome </w:t>
      </w:r>
    </w:p>
    <w:p w14:paraId="0DA521BA" w14:textId="72F3BE9A" w:rsidR="000B772F" w:rsidRPr="007D65A5" w:rsidRDefault="000B772F" w:rsidP="007D65A5">
      <w:pPr>
        <w:ind w:left="851"/>
        <w:rPr>
          <w:sz w:val="24"/>
          <w:szCs w:val="24"/>
          <w:lang w:val="en-US"/>
        </w:rPr>
      </w:pPr>
      <w:r w:rsidRPr="007D65A5">
        <w:rPr>
          <w:sz w:val="24"/>
          <w:szCs w:val="24"/>
          <w:lang w:val="en-US"/>
        </w:rPr>
        <w:t>Concomitant administration of</w:t>
      </w:r>
      <w:r w:rsidR="007D65A5">
        <w:rPr>
          <w:sz w:val="24"/>
          <w:szCs w:val="24"/>
          <w:lang w:val="en-US"/>
        </w:rPr>
        <w:t xml:space="preserve"> </w:t>
      </w:r>
      <w:proofErr w:type="spellStart"/>
      <w:r w:rsidR="007D65A5">
        <w:rPr>
          <w:sz w:val="24"/>
          <w:szCs w:val="24"/>
          <w:lang w:val="en-US"/>
        </w:rPr>
        <w:t>Quetiapin</w:t>
      </w:r>
      <w:proofErr w:type="spellEnd"/>
      <w:r w:rsidR="007D65A5">
        <w:rPr>
          <w:sz w:val="24"/>
          <w:szCs w:val="24"/>
          <w:lang w:val="en-US"/>
        </w:rPr>
        <w:t xml:space="preserve"> "</w:t>
      </w:r>
      <w:proofErr w:type="spellStart"/>
      <w:r w:rsidR="007D65A5">
        <w:rPr>
          <w:sz w:val="24"/>
          <w:szCs w:val="24"/>
          <w:lang w:val="en-US"/>
        </w:rPr>
        <w:t>Hexal</w:t>
      </w:r>
      <w:proofErr w:type="spellEnd"/>
      <w:r w:rsidR="007D65A5">
        <w:rPr>
          <w:sz w:val="24"/>
          <w:szCs w:val="24"/>
          <w:lang w:val="en-US"/>
        </w:rPr>
        <w:t xml:space="preserve">" </w:t>
      </w:r>
      <w:r w:rsidRPr="007D65A5">
        <w:rPr>
          <w:sz w:val="24"/>
          <w:szCs w:val="24"/>
          <w:lang w:val="en-US"/>
        </w:rPr>
        <w:t>and other serotonergic agents, such as MAO inhibitors, selective serotonin re-uptake inhibitors (SSRIs), serotonin norepinephrine re-uptake inhibitors (SNRIs) or tricyclic antidepressants may result in serotonin syndrome, a potentially life-threatening condition (see section 4.5).</w:t>
      </w:r>
    </w:p>
    <w:p w14:paraId="130B9D29" w14:textId="77777777" w:rsidR="000B772F" w:rsidRPr="007D65A5" w:rsidRDefault="000B772F" w:rsidP="007D65A5">
      <w:pPr>
        <w:ind w:left="851"/>
        <w:rPr>
          <w:sz w:val="24"/>
          <w:szCs w:val="24"/>
          <w:lang w:val="en-US"/>
        </w:rPr>
      </w:pPr>
    </w:p>
    <w:p w14:paraId="3F98F766" w14:textId="77777777" w:rsidR="000B772F" w:rsidRPr="007D65A5" w:rsidRDefault="000B772F" w:rsidP="007D65A5">
      <w:pPr>
        <w:ind w:left="851"/>
        <w:rPr>
          <w:sz w:val="24"/>
          <w:szCs w:val="24"/>
          <w:lang w:val="en-US"/>
        </w:rPr>
      </w:pPr>
      <w:r w:rsidRPr="007D65A5">
        <w:rPr>
          <w:sz w:val="24"/>
          <w:szCs w:val="24"/>
          <w:lang w:val="en-US"/>
        </w:rPr>
        <w:t>If concomitant treatment with other serotonergic agents is clinically warranted, careful observation of the patient is advised, particularly during treatment initiation and dose increases. Symptoms of serotonin syndrome may include mental-status changes, autonomic instability, neuromuscular abnormalities, and/or gastrointestinal symptoms.</w:t>
      </w:r>
    </w:p>
    <w:p w14:paraId="6A57E529" w14:textId="77777777" w:rsidR="000B772F" w:rsidRPr="007D65A5" w:rsidRDefault="000B772F" w:rsidP="007D65A5">
      <w:pPr>
        <w:ind w:left="851"/>
        <w:rPr>
          <w:sz w:val="24"/>
          <w:szCs w:val="24"/>
          <w:lang w:val="en-US"/>
        </w:rPr>
      </w:pPr>
    </w:p>
    <w:p w14:paraId="48FF3F52" w14:textId="77777777" w:rsidR="000B772F" w:rsidRPr="007D65A5" w:rsidRDefault="000B772F" w:rsidP="007D65A5">
      <w:pPr>
        <w:ind w:left="851"/>
        <w:rPr>
          <w:sz w:val="24"/>
          <w:szCs w:val="24"/>
          <w:lang w:val="en-US"/>
        </w:rPr>
      </w:pPr>
      <w:r w:rsidRPr="007D65A5">
        <w:rPr>
          <w:sz w:val="24"/>
          <w:szCs w:val="24"/>
          <w:lang w:val="en-US"/>
        </w:rPr>
        <w:t>If serotonin syndrome is suspected, a dose reduction or discontinuation of therapy should be considered depending on the severity of the symptoms.</w:t>
      </w:r>
    </w:p>
    <w:p w14:paraId="56D48AD5" w14:textId="77777777" w:rsidR="000B772F" w:rsidRPr="007D65A5" w:rsidRDefault="000B772F" w:rsidP="007D65A5">
      <w:pPr>
        <w:ind w:left="851"/>
        <w:rPr>
          <w:sz w:val="24"/>
          <w:szCs w:val="24"/>
          <w:lang w:val="en-US"/>
        </w:rPr>
      </w:pPr>
    </w:p>
    <w:p w14:paraId="55DE75CF"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Severe neutropenia and agranulocytosis</w:t>
      </w:r>
    </w:p>
    <w:p w14:paraId="525A5AF1" w14:textId="77777777" w:rsidR="000C62FB" w:rsidRPr="00CC70C2" w:rsidRDefault="000C62FB" w:rsidP="00A4505B">
      <w:pPr>
        <w:ind w:left="851"/>
        <w:rPr>
          <w:color w:val="000000"/>
          <w:sz w:val="24"/>
          <w:szCs w:val="24"/>
          <w:lang w:val="en-GB"/>
        </w:rPr>
      </w:pPr>
      <w:r w:rsidRPr="00CC70C2">
        <w:rPr>
          <w:color w:val="000000"/>
          <w:sz w:val="24"/>
          <w:szCs w:val="24"/>
          <w:lang w:val="en-GB"/>
        </w:rPr>
        <w:t>Severe neutropenia (neutrophil count &lt;0.5 x 10</w:t>
      </w:r>
      <w:r w:rsidRPr="00CC70C2">
        <w:rPr>
          <w:color w:val="000000"/>
          <w:sz w:val="24"/>
          <w:szCs w:val="24"/>
          <w:vertAlign w:val="superscript"/>
          <w:lang w:val="en-GB"/>
        </w:rPr>
        <w:t>9</w:t>
      </w:r>
      <w:r w:rsidRPr="00CC70C2">
        <w:rPr>
          <w:color w:val="000000"/>
          <w:sz w:val="24"/>
          <w:szCs w:val="24"/>
          <w:lang w:val="en-GB"/>
        </w:rPr>
        <w:t>/L) has been reported in quetiapine clinical trials. Most cases of severe neutropenia have occurred within a couple of months of starting therapy with quetiapine. There was no apparent dose relationship. During post-marketing experience some cases were fatal. Possible risk factors for neutropenia include pre-existing low white blood cell count (WBC) and history of drug-induced neutropenia.</w:t>
      </w:r>
    </w:p>
    <w:p w14:paraId="6F5FBA19" w14:textId="77777777" w:rsidR="000C62FB" w:rsidRPr="00CC70C2" w:rsidRDefault="000C62FB" w:rsidP="00A4505B">
      <w:pPr>
        <w:ind w:left="851"/>
        <w:rPr>
          <w:color w:val="000000"/>
          <w:sz w:val="24"/>
          <w:szCs w:val="24"/>
          <w:lang w:val="en-GB"/>
        </w:rPr>
      </w:pPr>
      <w:r w:rsidRPr="00CC70C2">
        <w:rPr>
          <w:color w:val="000000"/>
          <w:sz w:val="24"/>
          <w:szCs w:val="24"/>
          <w:lang w:val="en-GB"/>
        </w:rPr>
        <w:t>However, some cases occurred in patients without pre-existing risk factors. Quetiapine should be discontinued in patients with a neutrophil count &lt;1.0 x 10</w:t>
      </w:r>
      <w:r w:rsidRPr="00CC70C2">
        <w:rPr>
          <w:color w:val="000000"/>
          <w:sz w:val="24"/>
          <w:szCs w:val="24"/>
          <w:vertAlign w:val="superscript"/>
          <w:lang w:val="en-GB"/>
        </w:rPr>
        <w:t>9</w:t>
      </w:r>
      <w:r w:rsidRPr="00CC70C2">
        <w:rPr>
          <w:color w:val="000000"/>
          <w:sz w:val="24"/>
          <w:szCs w:val="24"/>
          <w:lang w:val="en-GB"/>
        </w:rPr>
        <w:t>/L. Patients should be observed for signs and symptoms of infection and neutrophil counts followed (until they exceed 1.5 x 10</w:t>
      </w:r>
      <w:r w:rsidRPr="00CC70C2">
        <w:rPr>
          <w:color w:val="000000"/>
          <w:sz w:val="24"/>
          <w:szCs w:val="24"/>
          <w:vertAlign w:val="superscript"/>
          <w:lang w:val="en-GB"/>
        </w:rPr>
        <w:t>9</w:t>
      </w:r>
      <w:r w:rsidRPr="00CC70C2">
        <w:rPr>
          <w:color w:val="000000"/>
          <w:sz w:val="24"/>
          <w:szCs w:val="24"/>
          <w:lang w:val="en-GB"/>
        </w:rPr>
        <w:t>/L) (see section 5.1).</w:t>
      </w:r>
    </w:p>
    <w:p w14:paraId="46733629" w14:textId="77777777" w:rsidR="000C62FB" w:rsidRPr="00CC70C2" w:rsidRDefault="000C62FB" w:rsidP="00A4505B">
      <w:pPr>
        <w:ind w:left="851"/>
        <w:rPr>
          <w:bCs/>
          <w:iCs/>
          <w:color w:val="000000"/>
          <w:sz w:val="24"/>
          <w:szCs w:val="24"/>
          <w:lang w:val="en-GB"/>
        </w:rPr>
      </w:pPr>
    </w:p>
    <w:p w14:paraId="4CF19E15" w14:textId="77777777" w:rsidR="000C62FB" w:rsidRPr="00CC70C2" w:rsidRDefault="000C62FB" w:rsidP="00A4505B">
      <w:pPr>
        <w:ind w:left="851"/>
        <w:rPr>
          <w:bCs/>
          <w:iCs/>
          <w:color w:val="000000"/>
          <w:sz w:val="24"/>
          <w:szCs w:val="24"/>
          <w:lang w:val="en-GB"/>
        </w:rPr>
      </w:pPr>
      <w:r w:rsidRPr="00CC70C2">
        <w:rPr>
          <w:bCs/>
          <w:iCs/>
          <w:color w:val="000000"/>
          <w:sz w:val="24"/>
          <w:szCs w:val="24"/>
          <w:lang w:val="en-GB"/>
        </w:rPr>
        <w:t>Neutropenia should be considered in patients presenting with infection or fever, particularly in the absence of obvious predisposing factor(s), and should be managed as clinically appropriate.</w:t>
      </w:r>
    </w:p>
    <w:p w14:paraId="6C4A67A3" w14:textId="77777777" w:rsidR="000C62FB" w:rsidRPr="00CC70C2" w:rsidRDefault="000C62FB" w:rsidP="00A4505B">
      <w:pPr>
        <w:ind w:left="851"/>
        <w:rPr>
          <w:bCs/>
          <w:iCs/>
          <w:color w:val="000000"/>
          <w:sz w:val="24"/>
          <w:szCs w:val="24"/>
          <w:lang w:val="en-GB"/>
        </w:rPr>
      </w:pPr>
    </w:p>
    <w:p w14:paraId="7D76DA83" w14:textId="77777777" w:rsidR="000C62FB" w:rsidRPr="00CC70C2" w:rsidRDefault="000C62FB" w:rsidP="00A4505B">
      <w:pPr>
        <w:ind w:left="851"/>
        <w:rPr>
          <w:bCs/>
          <w:iCs/>
          <w:color w:val="000000"/>
          <w:sz w:val="24"/>
          <w:szCs w:val="24"/>
          <w:lang w:val="en-GB"/>
        </w:rPr>
      </w:pPr>
      <w:r w:rsidRPr="00CC70C2">
        <w:rPr>
          <w:sz w:val="24"/>
          <w:szCs w:val="24"/>
          <w:lang w:val="en-GB"/>
        </w:rPr>
        <w:t>Patients should be advised to immediately report the appearance of signs/symptoms consistent with agranulocytosis or infection (e.g., fever, weakness, lethargy, or sore throat) at any time during quetiapine therapy. Such patients should have a WBC count and an absolute neutrophil count (ANC) performed promptly, especially in the absence of predisposing factors.</w:t>
      </w:r>
    </w:p>
    <w:p w14:paraId="53A9CEFF" w14:textId="77777777" w:rsidR="000C62FB" w:rsidRPr="00CC70C2" w:rsidRDefault="000C62FB" w:rsidP="00A4505B">
      <w:pPr>
        <w:ind w:left="851"/>
        <w:rPr>
          <w:bCs/>
          <w:iCs/>
          <w:color w:val="000000"/>
          <w:sz w:val="24"/>
          <w:szCs w:val="24"/>
          <w:lang w:val="en-GB"/>
        </w:rPr>
      </w:pPr>
    </w:p>
    <w:p w14:paraId="3476ECC5"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Anticholinergic (muscarinic) effects</w:t>
      </w:r>
    </w:p>
    <w:p w14:paraId="51661D21" w14:textId="77777777" w:rsidR="000C62FB" w:rsidRPr="00CC70C2" w:rsidRDefault="000C62FB" w:rsidP="00A4505B">
      <w:pPr>
        <w:ind w:left="851"/>
        <w:rPr>
          <w:bCs/>
          <w:iCs/>
          <w:color w:val="000000"/>
          <w:sz w:val="24"/>
          <w:szCs w:val="24"/>
          <w:lang w:val="en-GB"/>
        </w:rPr>
      </w:pPr>
      <w:proofErr w:type="spellStart"/>
      <w:r w:rsidRPr="00CC70C2">
        <w:rPr>
          <w:bCs/>
          <w:iCs/>
          <w:color w:val="000000"/>
          <w:sz w:val="24"/>
          <w:szCs w:val="24"/>
          <w:lang w:val="en-GB"/>
        </w:rPr>
        <w:t>Norquetiapine</w:t>
      </w:r>
      <w:proofErr w:type="spellEnd"/>
      <w:r w:rsidRPr="00CC70C2">
        <w:rPr>
          <w:bCs/>
          <w:iCs/>
          <w:color w:val="000000"/>
          <w:sz w:val="24"/>
          <w:szCs w:val="24"/>
          <w:lang w:val="en-GB"/>
        </w:rPr>
        <w:t>, an active metabolite of quetiapine, has moderate to strong affinity for several muscarinic receptor subtypes. This contributes to ADRs reflecting anticholinergic effects when quetiapine is used at recommended doses, when used concomitantly with other medications having anticholinergic effects, and in the setting of overdose.</w:t>
      </w:r>
    </w:p>
    <w:p w14:paraId="5578537A" w14:textId="77777777" w:rsidR="000C62FB" w:rsidRPr="00CC70C2" w:rsidRDefault="000C62FB" w:rsidP="00A4505B">
      <w:pPr>
        <w:ind w:left="851"/>
        <w:rPr>
          <w:bCs/>
          <w:iCs/>
          <w:color w:val="000000"/>
          <w:sz w:val="24"/>
          <w:szCs w:val="24"/>
          <w:lang w:val="en-GB"/>
        </w:rPr>
      </w:pPr>
      <w:r w:rsidRPr="00CC70C2">
        <w:rPr>
          <w:bCs/>
          <w:iCs/>
          <w:color w:val="000000"/>
          <w:sz w:val="24"/>
          <w:szCs w:val="24"/>
          <w:lang w:val="en-GB"/>
        </w:rPr>
        <w:t>Quetiapine should be used with caution in patients receiving medications having anticholinergic (muscarinic) effects. Quetiapine should be used with caution in patients with a current diagnosis or prior history of urinary retention, clinically significant prostatic hypertrophy, intestinal obstruction or related conditions, increased intraocular pressure or narrow angle glaucoma (see sections 4.5, 4.8, 5.1 and 4.9).</w:t>
      </w:r>
    </w:p>
    <w:p w14:paraId="04275D05" w14:textId="77777777" w:rsidR="000C62FB" w:rsidRPr="00CC70C2" w:rsidRDefault="000C62FB" w:rsidP="00A4505B">
      <w:pPr>
        <w:ind w:left="851"/>
        <w:rPr>
          <w:bCs/>
          <w:iCs/>
          <w:color w:val="000000"/>
          <w:sz w:val="24"/>
          <w:szCs w:val="24"/>
          <w:lang w:val="en-GB"/>
        </w:rPr>
      </w:pPr>
    </w:p>
    <w:p w14:paraId="7528394B"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Interactions</w:t>
      </w:r>
    </w:p>
    <w:p w14:paraId="232AE018" w14:textId="77777777" w:rsidR="000C62FB" w:rsidRPr="00CC70C2" w:rsidRDefault="000C62FB" w:rsidP="00A4505B">
      <w:pPr>
        <w:ind w:left="851"/>
        <w:rPr>
          <w:color w:val="000000"/>
          <w:sz w:val="24"/>
          <w:szCs w:val="24"/>
          <w:lang w:val="en-GB"/>
        </w:rPr>
      </w:pPr>
      <w:r w:rsidRPr="00CC70C2">
        <w:rPr>
          <w:color w:val="000000"/>
          <w:sz w:val="24"/>
          <w:szCs w:val="24"/>
          <w:lang w:val="en-GB"/>
        </w:rPr>
        <w:t>See also section 4.5.</w:t>
      </w:r>
    </w:p>
    <w:p w14:paraId="3EE3B749" w14:textId="77777777" w:rsidR="000C62FB" w:rsidRPr="00CC70C2" w:rsidRDefault="000C62FB" w:rsidP="00A4505B">
      <w:pPr>
        <w:ind w:left="851"/>
        <w:rPr>
          <w:color w:val="000000"/>
          <w:sz w:val="24"/>
          <w:szCs w:val="24"/>
          <w:lang w:val="en-GB"/>
        </w:rPr>
      </w:pPr>
    </w:p>
    <w:p w14:paraId="40FB38B2" w14:textId="77777777" w:rsidR="000C62FB" w:rsidRPr="00CC70C2" w:rsidRDefault="000C62FB" w:rsidP="00A4505B">
      <w:pPr>
        <w:ind w:left="851"/>
        <w:rPr>
          <w:color w:val="000000"/>
          <w:sz w:val="24"/>
          <w:szCs w:val="24"/>
          <w:lang w:val="en-GB"/>
        </w:rPr>
      </w:pPr>
      <w:r w:rsidRPr="00CC70C2">
        <w:rPr>
          <w:color w:val="000000"/>
          <w:sz w:val="24"/>
          <w:szCs w:val="24"/>
          <w:lang w:val="en-GB"/>
        </w:rPr>
        <w:t>Concomitant use of quetiapine with a strong hepatic enzyme inducer such as carbamazepine or phenytoin substantially decreases quetiapine plasma concentrations, which could affect the efficacy of quetiapine therapy. In patients receiving a hepatic enzyme inducer, initiation of quetiapine treatment should only occur if the physician considers that the benefits of quetiapine outweigh the risks of removing the hepatic enzyme inducer. It is important that any change in the inducer is gradual, and if required, replaced with a non-inducer (e.g. sodium valproate).</w:t>
      </w:r>
    </w:p>
    <w:p w14:paraId="00BAE1F4" w14:textId="77777777" w:rsidR="000C62FB" w:rsidRPr="00CC70C2" w:rsidRDefault="000C62FB" w:rsidP="00A4505B">
      <w:pPr>
        <w:ind w:left="851"/>
        <w:rPr>
          <w:bCs/>
          <w:iCs/>
          <w:color w:val="000000"/>
          <w:sz w:val="24"/>
          <w:szCs w:val="24"/>
          <w:lang w:val="en-GB"/>
        </w:rPr>
      </w:pPr>
    </w:p>
    <w:p w14:paraId="1C7B0697"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Weight</w:t>
      </w:r>
    </w:p>
    <w:p w14:paraId="36B88422" w14:textId="77777777" w:rsidR="000C62FB" w:rsidRPr="00CC70C2" w:rsidRDefault="000C62FB" w:rsidP="00A4505B">
      <w:pPr>
        <w:ind w:left="851"/>
        <w:rPr>
          <w:color w:val="000000"/>
          <w:sz w:val="24"/>
          <w:szCs w:val="24"/>
          <w:lang w:val="en-GB"/>
        </w:rPr>
      </w:pPr>
      <w:r w:rsidRPr="00CC70C2">
        <w:rPr>
          <w:color w:val="000000"/>
          <w:sz w:val="24"/>
          <w:szCs w:val="24"/>
          <w:lang w:val="en-GB"/>
        </w:rPr>
        <w:t>Weight gain has been reported in patients who have been treated with quetiapine, and should be monitored and managed as clinically appropriate as in accordance with utilized antipsychotic guidelines (see sections 4.8 and 5.1).</w:t>
      </w:r>
    </w:p>
    <w:p w14:paraId="5FB1D0F2" w14:textId="77777777" w:rsidR="000C62FB" w:rsidRPr="00CC70C2" w:rsidRDefault="000C62FB" w:rsidP="00A4505B">
      <w:pPr>
        <w:ind w:left="851"/>
        <w:rPr>
          <w:bCs/>
          <w:iCs/>
          <w:color w:val="000000"/>
          <w:sz w:val="24"/>
          <w:szCs w:val="24"/>
          <w:lang w:val="en-GB"/>
        </w:rPr>
      </w:pPr>
    </w:p>
    <w:p w14:paraId="43A9CC19"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Hyperglycaemia</w:t>
      </w:r>
    </w:p>
    <w:p w14:paraId="6407C268" w14:textId="77777777" w:rsidR="000C62FB" w:rsidRPr="00CC70C2" w:rsidRDefault="000C62FB" w:rsidP="00A4505B">
      <w:pPr>
        <w:ind w:left="851"/>
        <w:rPr>
          <w:color w:val="000000"/>
          <w:sz w:val="24"/>
          <w:szCs w:val="24"/>
          <w:lang w:val="en-GB"/>
        </w:rPr>
      </w:pPr>
      <w:r w:rsidRPr="00CC70C2">
        <w:rPr>
          <w:color w:val="000000"/>
          <w:sz w:val="24"/>
          <w:szCs w:val="24"/>
          <w:lang w:val="en-GB"/>
        </w:rPr>
        <w:t>Hyperglycaemia and/or development or exacerbation of diabetes occasionally associated with ketoacidosis or coma has been reported rarely, including some fatal cases (see section 4.8). In some cases, a prior increase in body weight has been reported which may be a predisposing factor. Appropriate clinical monitoring is advisable in accordance with utilised antipsychotic guidelines. Patients treated with any antipsychotic agent including quetiapine, should be observed for signs and symptoms of hyperglycaemia (such as polydipsia, polyuria, polyphagia and weakness), and patients with diabetes mellitus or with risk factors for diabetes mellitus should be monitored regularly for worsening of glucose control. Weight should be monitored regularly.</w:t>
      </w:r>
    </w:p>
    <w:p w14:paraId="18B9FC21" w14:textId="730DC12F" w:rsidR="008C187F" w:rsidRDefault="008C187F">
      <w:pPr>
        <w:rPr>
          <w:bCs/>
          <w:iCs/>
          <w:color w:val="000000"/>
          <w:sz w:val="24"/>
          <w:szCs w:val="24"/>
          <w:lang w:val="en-GB"/>
        </w:rPr>
      </w:pPr>
      <w:r>
        <w:rPr>
          <w:bCs/>
          <w:iCs/>
          <w:color w:val="000000"/>
          <w:sz w:val="24"/>
          <w:szCs w:val="24"/>
          <w:lang w:val="en-GB"/>
        </w:rPr>
        <w:br w:type="page"/>
      </w:r>
    </w:p>
    <w:p w14:paraId="71B91BFC" w14:textId="77777777" w:rsidR="000C62FB" w:rsidRPr="00CC70C2" w:rsidRDefault="000C62FB" w:rsidP="00A4505B">
      <w:pPr>
        <w:ind w:left="851"/>
        <w:rPr>
          <w:bCs/>
          <w:iCs/>
          <w:color w:val="000000"/>
          <w:sz w:val="24"/>
          <w:szCs w:val="24"/>
          <w:lang w:val="en-GB"/>
        </w:rPr>
      </w:pPr>
    </w:p>
    <w:p w14:paraId="320A4A7E"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Lipids</w:t>
      </w:r>
    </w:p>
    <w:p w14:paraId="4FD888B5" w14:textId="77777777" w:rsidR="000C62FB" w:rsidRPr="00CC70C2" w:rsidRDefault="000C62FB" w:rsidP="00A4505B">
      <w:pPr>
        <w:ind w:left="851"/>
        <w:rPr>
          <w:color w:val="000000"/>
          <w:sz w:val="24"/>
          <w:szCs w:val="24"/>
          <w:lang w:val="en-GB"/>
        </w:rPr>
      </w:pPr>
      <w:r w:rsidRPr="00CC70C2">
        <w:rPr>
          <w:color w:val="000000"/>
          <w:sz w:val="24"/>
          <w:szCs w:val="24"/>
          <w:lang w:val="en-GB"/>
        </w:rPr>
        <w:t>Increases in triglycerides, LDL and total cholesterol, and decreases in HDL cholesterol have been observed in clinical trials with quetiapine (see section 4.8). Lipid changes should be managed as clinically appropriate.</w:t>
      </w:r>
    </w:p>
    <w:p w14:paraId="410165CA" w14:textId="77777777" w:rsidR="000C62FB" w:rsidRPr="00CC70C2" w:rsidRDefault="000C62FB" w:rsidP="00A4505B">
      <w:pPr>
        <w:ind w:left="851"/>
        <w:rPr>
          <w:color w:val="000000"/>
          <w:sz w:val="24"/>
          <w:szCs w:val="24"/>
          <w:lang w:val="en-GB"/>
        </w:rPr>
      </w:pPr>
    </w:p>
    <w:p w14:paraId="6DAACEA5"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QT prolongation</w:t>
      </w:r>
    </w:p>
    <w:p w14:paraId="4CC68F18" w14:textId="77777777" w:rsidR="000C62FB" w:rsidRPr="00CC70C2" w:rsidRDefault="000C62FB" w:rsidP="00A4505B">
      <w:pPr>
        <w:ind w:left="851"/>
        <w:rPr>
          <w:color w:val="000000"/>
          <w:sz w:val="24"/>
          <w:szCs w:val="24"/>
          <w:lang w:val="en-GB"/>
        </w:rPr>
      </w:pPr>
      <w:r w:rsidRPr="00CC70C2">
        <w:rPr>
          <w:color w:val="000000"/>
          <w:sz w:val="24"/>
          <w:szCs w:val="24"/>
          <w:lang w:val="en-GB"/>
        </w:rPr>
        <w:t>In clinical trials and use in accordance with the SPC, quetiapine was not associated with a persistent increase in absolute QT intervals. In post marketing, QT prolongation was reported with quetiapine at the therapeutic doses (see section 4.8) and in overdose (see section 4.9). As with other antipsychotics, caution should be exercised when quetiapine is prescribed in patients with cardiovascular disease or family history of QT prolongation. Also caution should be exercised when quetiapine is prescribed either with medicines known to increase QT interval, or with concomitant antipsychotics, especially in the elderly, in patients with congenital long QT syndrome, congestive heart failure, heart hypertrophy, hypokalaemia or hypomagnesaemia (see section 4.5).</w:t>
      </w:r>
    </w:p>
    <w:p w14:paraId="10778406" w14:textId="77777777" w:rsidR="000C62FB" w:rsidRPr="00CC70C2" w:rsidRDefault="000C62FB" w:rsidP="00A4505B">
      <w:pPr>
        <w:ind w:left="851"/>
        <w:rPr>
          <w:bCs/>
          <w:iCs/>
          <w:color w:val="000000"/>
          <w:sz w:val="24"/>
          <w:szCs w:val="24"/>
          <w:lang w:val="en-GB"/>
        </w:rPr>
      </w:pPr>
    </w:p>
    <w:p w14:paraId="72EB2053" w14:textId="77777777" w:rsidR="000C62FB" w:rsidRPr="00CC70C2" w:rsidRDefault="000C62FB" w:rsidP="00A4505B">
      <w:pPr>
        <w:pStyle w:val="Default"/>
        <w:ind w:left="851"/>
        <w:rPr>
          <w:rFonts w:eastAsia="Times New Roman"/>
          <w:bCs/>
          <w:u w:val="single"/>
          <w:lang w:val="en-GB" w:eastAsia="en-US"/>
        </w:rPr>
      </w:pPr>
      <w:r w:rsidRPr="00CC70C2">
        <w:rPr>
          <w:rFonts w:eastAsia="Times New Roman"/>
          <w:bCs/>
          <w:u w:val="single"/>
          <w:lang w:val="en-GB" w:eastAsia="en-US"/>
        </w:rPr>
        <w:t xml:space="preserve">Cardiomyopathy and myocarditis </w:t>
      </w:r>
    </w:p>
    <w:p w14:paraId="4143FB60" w14:textId="77777777" w:rsidR="000C62FB" w:rsidRPr="00CC70C2" w:rsidRDefault="000C62FB" w:rsidP="00A4505B">
      <w:pPr>
        <w:ind w:left="851"/>
        <w:rPr>
          <w:bCs/>
          <w:iCs/>
          <w:color w:val="000000"/>
          <w:sz w:val="24"/>
          <w:szCs w:val="24"/>
          <w:lang w:val="en-GB" w:eastAsia="en-US"/>
        </w:rPr>
      </w:pPr>
      <w:r w:rsidRPr="00CC70C2">
        <w:rPr>
          <w:sz w:val="24"/>
          <w:szCs w:val="24"/>
          <w:lang w:val="en-GB"/>
        </w:rPr>
        <w:t>Cardiomyopathy and myocarditis have been reported in clinical trials and during the post-marketing experience, however, a causal relationship to quetiapine has not been established. Treatment with quetiapine should be reassessed in patients with suspected cardiomyopathy or myocarditis.</w:t>
      </w:r>
    </w:p>
    <w:p w14:paraId="680F6904" w14:textId="77777777" w:rsidR="000C62FB" w:rsidRPr="005C0380" w:rsidRDefault="000C62FB" w:rsidP="00350C0E">
      <w:pPr>
        <w:ind w:left="851"/>
        <w:rPr>
          <w:bCs/>
          <w:iCs/>
          <w:color w:val="000000"/>
          <w:sz w:val="24"/>
          <w:szCs w:val="24"/>
          <w:lang w:val="en-GB"/>
        </w:rPr>
      </w:pPr>
    </w:p>
    <w:p w14:paraId="323CA1CF" w14:textId="77777777" w:rsidR="000C62FB" w:rsidRPr="005C0380" w:rsidRDefault="000C62FB" w:rsidP="00350C0E">
      <w:pPr>
        <w:widowControl w:val="0"/>
        <w:autoSpaceDE w:val="0"/>
        <w:autoSpaceDN w:val="0"/>
        <w:ind w:left="851"/>
        <w:rPr>
          <w:sz w:val="24"/>
          <w:szCs w:val="24"/>
          <w:lang w:val="en-GB"/>
        </w:rPr>
      </w:pPr>
      <w:r w:rsidRPr="005C0380">
        <w:rPr>
          <w:sz w:val="24"/>
          <w:szCs w:val="24"/>
          <w:u w:val="single"/>
          <w:lang w:val="en-GB"/>
        </w:rPr>
        <w:t>Severe Cutaneous Adverse Reactions</w:t>
      </w:r>
    </w:p>
    <w:p w14:paraId="5A908CEB" w14:textId="77777777" w:rsidR="005C0380" w:rsidRPr="005C0380" w:rsidRDefault="005C0380" w:rsidP="00350C0E">
      <w:pPr>
        <w:widowControl w:val="0"/>
        <w:autoSpaceDE w:val="0"/>
        <w:autoSpaceDN w:val="0"/>
        <w:ind w:left="851" w:right="258"/>
        <w:rPr>
          <w:sz w:val="24"/>
          <w:szCs w:val="24"/>
          <w:lang w:val="en-US"/>
        </w:rPr>
      </w:pPr>
      <w:r w:rsidRPr="005C0380">
        <w:rPr>
          <w:sz w:val="24"/>
          <w:szCs w:val="24"/>
          <w:lang w:val="en-US"/>
        </w:rPr>
        <w:t xml:space="preserve">Severe cutaneous adverse reactions (SCARs), including Stevens-Johnson syndrome (SJS), toxic epidermal necrolysis (TEN), acute generalized </w:t>
      </w:r>
      <w:proofErr w:type="spellStart"/>
      <w:r w:rsidRPr="005C0380">
        <w:rPr>
          <w:sz w:val="24"/>
          <w:szCs w:val="24"/>
          <w:lang w:val="en-US"/>
        </w:rPr>
        <w:t>exanthematous</w:t>
      </w:r>
      <w:proofErr w:type="spellEnd"/>
      <w:r w:rsidRPr="005C0380">
        <w:rPr>
          <w:sz w:val="24"/>
          <w:szCs w:val="24"/>
          <w:lang w:val="en-US"/>
        </w:rPr>
        <w:t xml:space="preserve"> pustulosis (AGEP), erythema multiforme (EM) and drug reaction with eosinophilia and systemic symptoms (DRESS) which can be life-threatening or fatal have been reported very rarely with quetiapine treatment.</w:t>
      </w:r>
    </w:p>
    <w:p w14:paraId="767AEEC8" w14:textId="77777777" w:rsidR="005C0380" w:rsidRPr="005C0380" w:rsidRDefault="005C0380" w:rsidP="00350C0E">
      <w:pPr>
        <w:widowControl w:val="0"/>
        <w:autoSpaceDE w:val="0"/>
        <w:autoSpaceDN w:val="0"/>
        <w:ind w:left="851" w:right="258"/>
        <w:rPr>
          <w:sz w:val="24"/>
          <w:szCs w:val="24"/>
          <w:lang w:val="en-US"/>
        </w:rPr>
      </w:pPr>
      <w:r w:rsidRPr="005C0380">
        <w:rPr>
          <w:sz w:val="24"/>
          <w:szCs w:val="24"/>
          <w:lang w:val="en-US"/>
        </w:rPr>
        <w:t>SCARs commonly present with one or more of the following symptoms: extensive cutaneous rash which may be pruritic or associated with pustules, exfoliative dermatitis, fever, lymphadenopathy and possible eosinophilia or neutrophilia. Most of these reactions occurred within 4 weeks after initiation of quetiapine therapy, some DRESS reactions occurred within 6 weeks after initiation of quetiapine therapy. If signs and symptoms suggestive of these severe skin reactions appear, quetiapine should be withdrawn immediately and alternative treatment should be considered.</w:t>
      </w:r>
    </w:p>
    <w:p w14:paraId="550396D1" w14:textId="77777777" w:rsidR="000C62FB" w:rsidRPr="005C0380" w:rsidRDefault="000C62FB" w:rsidP="00350C0E">
      <w:pPr>
        <w:ind w:left="851"/>
        <w:rPr>
          <w:bCs/>
          <w:iCs/>
          <w:color w:val="000000"/>
          <w:sz w:val="24"/>
          <w:szCs w:val="24"/>
          <w:lang w:val="en-US"/>
        </w:rPr>
      </w:pPr>
    </w:p>
    <w:p w14:paraId="05BDA8CB"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Withdrawal</w:t>
      </w:r>
    </w:p>
    <w:p w14:paraId="5801378E" w14:textId="77777777" w:rsidR="000C62FB" w:rsidRPr="00CC70C2" w:rsidRDefault="000C62FB" w:rsidP="00A4505B">
      <w:pPr>
        <w:ind w:left="851"/>
        <w:rPr>
          <w:color w:val="000000"/>
          <w:sz w:val="24"/>
          <w:szCs w:val="24"/>
          <w:lang w:val="en-GB"/>
        </w:rPr>
      </w:pPr>
      <w:r w:rsidRPr="00CC70C2">
        <w:rPr>
          <w:color w:val="000000"/>
          <w:sz w:val="24"/>
          <w:szCs w:val="24"/>
          <w:lang w:val="en-GB"/>
        </w:rPr>
        <w:t>Acute withdrawal symptoms such as insomnia, nausea, headache, diarrhoea, vomiting, dizziness, and irritability have been described after abrupt cessation of quetiapine. Gradual withdrawal over a period of at least one to two weeks is advisable (see section 4.8).</w:t>
      </w:r>
    </w:p>
    <w:p w14:paraId="41BD2B30" w14:textId="77777777" w:rsidR="000C62FB" w:rsidRPr="00CC70C2" w:rsidRDefault="000C62FB" w:rsidP="00A4505B">
      <w:pPr>
        <w:ind w:left="851"/>
        <w:rPr>
          <w:bCs/>
          <w:iCs/>
          <w:color w:val="000000"/>
          <w:sz w:val="24"/>
          <w:szCs w:val="24"/>
          <w:lang w:val="en-GB"/>
        </w:rPr>
      </w:pPr>
    </w:p>
    <w:p w14:paraId="112E99CC"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Elderly patients with dementia-related psychosis</w:t>
      </w:r>
    </w:p>
    <w:p w14:paraId="43CED3EB" w14:textId="77777777" w:rsidR="000C62FB" w:rsidRPr="00CC70C2" w:rsidRDefault="000C62FB" w:rsidP="00A4505B">
      <w:pPr>
        <w:ind w:left="851"/>
        <w:rPr>
          <w:color w:val="000000"/>
          <w:sz w:val="24"/>
          <w:szCs w:val="24"/>
          <w:lang w:val="en-GB"/>
        </w:rPr>
      </w:pPr>
      <w:r w:rsidRPr="00CC70C2">
        <w:rPr>
          <w:color w:val="000000"/>
          <w:sz w:val="24"/>
          <w:szCs w:val="24"/>
          <w:lang w:val="en-GB"/>
        </w:rPr>
        <w:t>Quetiapine is not approved for the treatment of dementia-related psychosis.</w:t>
      </w:r>
    </w:p>
    <w:p w14:paraId="70A4A9AC" w14:textId="77777777" w:rsidR="000C62FB" w:rsidRPr="00CC70C2" w:rsidRDefault="000C62FB" w:rsidP="00A4505B">
      <w:pPr>
        <w:ind w:left="851"/>
        <w:rPr>
          <w:color w:val="000000"/>
          <w:sz w:val="24"/>
          <w:szCs w:val="24"/>
          <w:lang w:val="en-GB"/>
        </w:rPr>
      </w:pPr>
    </w:p>
    <w:p w14:paraId="780E1A60" w14:textId="1AEBEE23" w:rsidR="000C62FB" w:rsidRPr="00CC70C2" w:rsidRDefault="000C62FB" w:rsidP="00A4505B">
      <w:pPr>
        <w:ind w:left="851"/>
        <w:rPr>
          <w:color w:val="000000"/>
          <w:sz w:val="24"/>
          <w:szCs w:val="24"/>
          <w:lang w:val="en-GB"/>
        </w:rPr>
      </w:pPr>
      <w:r w:rsidRPr="00CC70C2">
        <w:rPr>
          <w:color w:val="000000"/>
          <w:sz w:val="24"/>
          <w:szCs w:val="24"/>
          <w:lang w:val="en-GB"/>
        </w:rPr>
        <w:t xml:space="preserve">An approximately 3-fold increased risk of cerebrovascular adverse events has been seen in randomized </w:t>
      </w:r>
      <w:r w:rsidR="00350C0E" w:rsidRPr="00CC70C2">
        <w:rPr>
          <w:color w:val="000000"/>
          <w:sz w:val="24"/>
          <w:szCs w:val="24"/>
          <w:lang w:val="en-GB"/>
        </w:rPr>
        <w:t>placebo-controlled</w:t>
      </w:r>
      <w:r w:rsidRPr="00CC70C2">
        <w:rPr>
          <w:color w:val="000000"/>
          <w:sz w:val="24"/>
          <w:szCs w:val="24"/>
          <w:lang w:val="en-GB"/>
        </w:rPr>
        <w:t xml:space="preserve"> trials in the dementia population with some atypical antipsychotics. The mechanism for this increased risk is not known. An increased risk cannot be excluded for other antipsychotics or other patient populations. Quetiapine should be used with caution in patients with risk factors for stroke.</w:t>
      </w:r>
    </w:p>
    <w:p w14:paraId="5016CE7C" w14:textId="77777777" w:rsidR="000C62FB" w:rsidRPr="00CC70C2" w:rsidRDefault="000C62FB" w:rsidP="00A4505B">
      <w:pPr>
        <w:ind w:left="851"/>
        <w:rPr>
          <w:color w:val="000000"/>
          <w:sz w:val="24"/>
          <w:szCs w:val="24"/>
          <w:lang w:val="en-GB"/>
        </w:rPr>
      </w:pPr>
    </w:p>
    <w:p w14:paraId="15FC3D65" w14:textId="7EB26EE2" w:rsidR="000C62FB" w:rsidRPr="00CC70C2" w:rsidRDefault="000C62FB" w:rsidP="00A4505B">
      <w:pPr>
        <w:ind w:left="851"/>
        <w:rPr>
          <w:color w:val="000000"/>
          <w:sz w:val="24"/>
          <w:szCs w:val="24"/>
          <w:lang w:val="en-GB"/>
        </w:rPr>
      </w:pPr>
      <w:r w:rsidRPr="00CC70C2">
        <w:rPr>
          <w:color w:val="000000"/>
          <w:sz w:val="24"/>
          <w:szCs w:val="24"/>
          <w:lang w:val="en-GB"/>
        </w:rPr>
        <w:t xml:space="preserve">In a meta-analysis of atypical antipsychotics, it has been reported that elderly patients with dementia-related psychosis are at an increased risk of death compared to placebo. In two 10-week </w:t>
      </w:r>
      <w:r w:rsidR="00350C0E" w:rsidRPr="00CC70C2">
        <w:rPr>
          <w:color w:val="000000"/>
          <w:sz w:val="24"/>
          <w:szCs w:val="24"/>
          <w:lang w:val="en-GB"/>
        </w:rPr>
        <w:t>placebo-controlled</w:t>
      </w:r>
      <w:r w:rsidRPr="00CC70C2">
        <w:rPr>
          <w:color w:val="000000"/>
          <w:sz w:val="24"/>
          <w:szCs w:val="24"/>
          <w:lang w:val="en-GB"/>
        </w:rPr>
        <w:t xml:space="preserve"> quetiapine studies in the same patient population (n=710; mean age: 83 years; range: 56-99 years) the incidence of mortality in quetiapine treated patients was 5.5</w:t>
      </w:r>
      <w:r w:rsidR="00F96C97">
        <w:rPr>
          <w:color w:val="000000"/>
          <w:sz w:val="24"/>
          <w:szCs w:val="24"/>
          <w:lang w:val="en-GB"/>
        </w:rPr>
        <w:t xml:space="preserve"> %</w:t>
      </w:r>
      <w:r w:rsidRPr="00CC70C2">
        <w:rPr>
          <w:color w:val="000000"/>
          <w:sz w:val="24"/>
          <w:szCs w:val="24"/>
          <w:lang w:val="en-GB"/>
        </w:rPr>
        <w:t xml:space="preserve"> versus 3.2</w:t>
      </w:r>
      <w:r w:rsidR="00F96C97">
        <w:rPr>
          <w:color w:val="000000"/>
          <w:sz w:val="24"/>
          <w:szCs w:val="24"/>
          <w:lang w:val="en-GB"/>
        </w:rPr>
        <w:t xml:space="preserve"> %</w:t>
      </w:r>
      <w:r w:rsidRPr="00CC70C2">
        <w:rPr>
          <w:color w:val="000000"/>
          <w:sz w:val="24"/>
          <w:szCs w:val="24"/>
          <w:lang w:val="en-GB"/>
        </w:rPr>
        <w:t xml:space="preserve"> in the placebo group. The patients in these trials died from a variety of causes that were consistent with expectations for this population. </w:t>
      </w:r>
    </w:p>
    <w:p w14:paraId="08CC1713" w14:textId="77777777" w:rsidR="000C62FB" w:rsidRPr="00CC70C2" w:rsidRDefault="000C62FB" w:rsidP="00A4505B">
      <w:pPr>
        <w:ind w:left="851"/>
        <w:rPr>
          <w:bCs/>
          <w:iCs/>
          <w:color w:val="000000"/>
          <w:sz w:val="24"/>
          <w:szCs w:val="24"/>
          <w:lang w:val="en-GB"/>
        </w:rPr>
      </w:pPr>
    </w:p>
    <w:p w14:paraId="189DDD0A" w14:textId="77777777" w:rsidR="000C62FB" w:rsidRPr="00CC70C2" w:rsidRDefault="000C62FB" w:rsidP="00A4505B">
      <w:pPr>
        <w:ind w:left="851"/>
        <w:rPr>
          <w:bCs/>
          <w:i/>
          <w:iCs/>
          <w:color w:val="000000"/>
          <w:sz w:val="24"/>
          <w:szCs w:val="24"/>
          <w:lang w:val="en-GB"/>
        </w:rPr>
      </w:pPr>
      <w:r w:rsidRPr="00CC70C2">
        <w:rPr>
          <w:bCs/>
          <w:color w:val="000000"/>
          <w:sz w:val="24"/>
          <w:szCs w:val="24"/>
          <w:u w:val="single"/>
          <w:lang w:val="en-GB"/>
        </w:rPr>
        <w:t>Elderly patients with Parkinson’s disease (PD)/parkinsonism</w:t>
      </w:r>
    </w:p>
    <w:p w14:paraId="7B3597C1" w14:textId="77777777" w:rsidR="000C62FB" w:rsidRPr="00CC70C2" w:rsidRDefault="000C62FB" w:rsidP="00A4505B">
      <w:pPr>
        <w:ind w:left="851"/>
        <w:rPr>
          <w:bCs/>
          <w:iCs/>
          <w:color w:val="000000"/>
          <w:sz w:val="24"/>
          <w:szCs w:val="24"/>
          <w:lang w:val="en-GB"/>
        </w:rPr>
      </w:pPr>
      <w:r w:rsidRPr="00CC70C2">
        <w:rPr>
          <w:bCs/>
          <w:iCs/>
          <w:color w:val="000000"/>
          <w:sz w:val="24"/>
          <w:szCs w:val="24"/>
          <w:lang w:val="en-GB"/>
        </w:rPr>
        <w:t>A population-based retrospective study of quetiapine for the treatment of patients with MDD, showed an increased risk of death during use of quetiapine in patients aged &gt;65 years. This association was not present when patients with PD were removed from the analysis. Caution should be exercised if quetiapine is prescribed to elderly patients with PD.</w:t>
      </w:r>
    </w:p>
    <w:p w14:paraId="3675D0B0" w14:textId="77777777" w:rsidR="000C62FB" w:rsidRPr="00CC70C2" w:rsidRDefault="000C62FB" w:rsidP="00A4505B">
      <w:pPr>
        <w:ind w:left="851"/>
        <w:rPr>
          <w:bCs/>
          <w:iCs/>
          <w:color w:val="000000"/>
          <w:sz w:val="24"/>
          <w:szCs w:val="24"/>
          <w:lang w:val="en-GB"/>
        </w:rPr>
      </w:pPr>
    </w:p>
    <w:p w14:paraId="27D64C97"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Dysphagia</w:t>
      </w:r>
    </w:p>
    <w:p w14:paraId="634502D6" w14:textId="77777777" w:rsidR="000C62FB" w:rsidRPr="00CC70C2" w:rsidRDefault="000C62FB" w:rsidP="00A4505B">
      <w:pPr>
        <w:ind w:left="851"/>
        <w:rPr>
          <w:color w:val="000000"/>
          <w:sz w:val="24"/>
          <w:szCs w:val="24"/>
          <w:lang w:val="en-GB"/>
        </w:rPr>
      </w:pPr>
      <w:r w:rsidRPr="00CC70C2">
        <w:rPr>
          <w:color w:val="000000"/>
          <w:sz w:val="24"/>
          <w:szCs w:val="24"/>
          <w:lang w:val="en-GB"/>
        </w:rPr>
        <w:t>Dysphagia (see section 4.8) has been reported with quetiapine. Quetiapine should be used with caution in patients at risk for aspiration pneumonia.</w:t>
      </w:r>
    </w:p>
    <w:p w14:paraId="21E9DFE9" w14:textId="77777777" w:rsidR="000C62FB" w:rsidRPr="00CC70C2" w:rsidRDefault="000C62FB" w:rsidP="00A4505B">
      <w:pPr>
        <w:tabs>
          <w:tab w:val="left" w:pos="567"/>
        </w:tabs>
        <w:ind w:left="851"/>
        <w:rPr>
          <w:sz w:val="24"/>
          <w:szCs w:val="24"/>
          <w:lang w:val="en-GB"/>
        </w:rPr>
      </w:pPr>
    </w:p>
    <w:p w14:paraId="0ABF2B9C" w14:textId="77777777" w:rsidR="000C62FB" w:rsidRPr="00CC70C2" w:rsidRDefault="000C62FB" w:rsidP="00A4505B">
      <w:pPr>
        <w:tabs>
          <w:tab w:val="left" w:pos="567"/>
        </w:tabs>
        <w:ind w:left="851"/>
        <w:rPr>
          <w:bCs/>
          <w:color w:val="000000"/>
          <w:sz w:val="24"/>
          <w:szCs w:val="24"/>
          <w:u w:val="single"/>
          <w:lang w:val="en-GB"/>
        </w:rPr>
      </w:pPr>
      <w:r w:rsidRPr="00CC70C2">
        <w:rPr>
          <w:bCs/>
          <w:color w:val="000000"/>
          <w:sz w:val="24"/>
          <w:szCs w:val="24"/>
          <w:u w:val="single"/>
          <w:lang w:val="en-GB"/>
        </w:rPr>
        <w:t>Constipation and intestinal obstruction</w:t>
      </w:r>
    </w:p>
    <w:p w14:paraId="62F8B757" w14:textId="77777777" w:rsidR="000C62FB" w:rsidRPr="00CC70C2" w:rsidRDefault="000C62FB" w:rsidP="00A4505B">
      <w:pPr>
        <w:tabs>
          <w:tab w:val="left" w:pos="567"/>
        </w:tabs>
        <w:ind w:left="851"/>
        <w:rPr>
          <w:sz w:val="24"/>
          <w:szCs w:val="24"/>
          <w:lang w:val="en-GB"/>
        </w:rPr>
      </w:pPr>
      <w:r w:rsidRPr="00CC70C2">
        <w:rPr>
          <w:sz w:val="24"/>
          <w:szCs w:val="24"/>
          <w:lang w:val="en-GB"/>
        </w:rPr>
        <w:t>Constipation represents a risk factor for intestinal obstruction. Constipation and intestinal obstruction have been reported with quetiapine (see section 4.8). This includes fatal reports in patients who are at higher risk of intestinal obstruction, including those that are receiving multiple concomitant medications that decrease intestinal motility and/or may not report symptoms of constipation. Patients with intestinal obstruction/ileus should be managed with close monitoring and urgent care.</w:t>
      </w:r>
    </w:p>
    <w:p w14:paraId="7A9E833B" w14:textId="77777777" w:rsidR="000C62FB" w:rsidRPr="00CC70C2" w:rsidRDefault="000C62FB" w:rsidP="00A4505B">
      <w:pPr>
        <w:ind w:left="851"/>
        <w:rPr>
          <w:bCs/>
          <w:iCs/>
          <w:color w:val="000000"/>
          <w:sz w:val="24"/>
          <w:szCs w:val="24"/>
          <w:lang w:val="en-GB"/>
        </w:rPr>
      </w:pPr>
    </w:p>
    <w:p w14:paraId="2E1D6D97" w14:textId="77777777" w:rsidR="000C62FB" w:rsidRPr="00CC70C2" w:rsidRDefault="000C62FB" w:rsidP="00A4505B">
      <w:pPr>
        <w:ind w:left="851"/>
        <w:rPr>
          <w:bCs/>
          <w:i/>
          <w:iCs/>
          <w:color w:val="000000"/>
          <w:sz w:val="24"/>
          <w:szCs w:val="24"/>
          <w:lang w:val="en-GB"/>
        </w:rPr>
      </w:pPr>
      <w:r w:rsidRPr="00CC70C2">
        <w:rPr>
          <w:bCs/>
          <w:color w:val="000000"/>
          <w:sz w:val="24"/>
          <w:szCs w:val="24"/>
          <w:u w:val="single"/>
          <w:lang w:val="en-GB"/>
        </w:rPr>
        <w:t>Venous thromboembolism (VTE)</w:t>
      </w:r>
    </w:p>
    <w:p w14:paraId="3A01F6C6" w14:textId="77777777" w:rsidR="000C62FB" w:rsidRPr="00CC70C2" w:rsidRDefault="000C62FB" w:rsidP="00A4505B">
      <w:pPr>
        <w:ind w:left="851"/>
        <w:rPr>
          <w:color w:val="000000"/>
          <w:sz w:val="24"/>
          <w:szCs w:val="24"/>
          <w:lang w:val="en-GB"/>
        </w:rPr>
      </w:pPr>
      <w:r w:rsidRPr="00CC70C2">
        <w:rPr>
          <w:color w:val="000000"/>
          <w:sz w:val="24"/>
          <w:szCs w:val="24"/>
          <w:lang w:val="en-GB"/>
        </w:rPr>
        <w:t>Cases of venous thromboembolism (VTE) have been reported with antipsychotics. Since patients treated with antipsychotics often present with acquired risk factors for VTE, all possible risk factors for VTE should be identified before and during treatment with quetiapine and preventive measures undertaken.</w:t>
      </w:r>
    </w:p>
    <w:p w14:paraId="7864D741" w14:textId="77777777" w:rsidR="000C62FB" w:rsidRPr="00CC70C2" w:rsidRDefault="000C62FB" w:rsidP="00A4505B">
      <w:pPr>
        <w:ind w:left="851"/>
        <w:rPr>
          <w:bCs/>
          <w:color w:val="000000"/>
          <w:sz w:val="24"/>
          <w:szCs w:val="24"/>
          <w:lang w:val="en-GB"/>
        </w:rPr>
      </w:pPr>
    </w:p>
    <w:p w14:paraId="4FA2C3D6"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Pancreatitis</w:t>
      </w:r>
    </w:p>
    <w:p w14:paraId="323FBFE3" w14:textId="77777777" w:rsidR="000C62FB" w:rsidRPr="00CC70C2" w:rsidRDefault="000C62FB" w:rsidP="00A4505B">
      <w:pPr>
        <w:ind w:left="851"/>
        <w:rPr>
          <w:color w:val="000000"/>
          <w:sz w:val="24"/>
          <w:szCs w:val="24"/>
          <w:lang w:val="en-GB"/>
        </w:rPr>
      </w:pPr>
      <w:r w:rsidRPr="00CC70C2">
        <w:rPr>
          <w:color w:val="000000"/>
          <w:sz w:val="24"/>
          <w:szCs w:val="24"/>
          <w:lang w:val="en-GB"/>
        </w:rPr>
        <w:t>Pancreatitis has been reported in clinical trials and during post marketing experience. Among post marketing reports, while not all cases were confounded by risk factors, many patients had factors which are known to be associated with pancreatitis such as increased triglycerides (see section 4.4), gallstones, and alcohol consumption.</w:t>
      </w:r>
    </w:p>
    <w:p w14:paraId="52B12475" w14:textId="77777777" w:rsidR="000C62FB" w:rsidRPr="00CC70C2" w:rsidRDefault="000C62FB" w:rsidP="00A4505B">
      <w:pPr>
        <w:ind w:left="851"/>
        <w:rPr>
          <w:bCs/>
          <w:iCs/>
          <w:color w:val="000000"/>
          <w:sz w:val="24"/>
          <w:szCs w:val="24"/>
          <w:lang w:val="en-GB"/>
        </w:rPr>
      </w:pPr>
    </w:p>
    <w:p w14:paraId="70D070CC"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Additional information</w:t>
      </w:r>
    </w:p>
    <w:p w14:paraId="07842937" w14:textId="77777777" w:rsidR="000C62FB" w:rsidRPr="00CC70C2" w:rsidRDefault="000C62FB" w:rsidP="00A4505B">
      <w:pPr>
        <w:ind w:left="851"/>
        <w:rPr>
          <w:color w:val="000000"/>
          <w:sz w:val="24"/>
          <w:szCs w:val="24"/>
          <w:lang w:val="en-GB"/>
        </w:rPr>
      </w:pPr>
      <w:r w:rsidRPr="00CC70C2">
        <w:rPr>
          <w:color w:val="000000"/>
          <w:sz w:val="24"/>
          <w:szCs w:val="24"/>
          <w:lang w:val="en-GB"/>
        </w:rPr>
        <w:t>Quetiapine data in combination with divalproex or lithium in acute moderate to severe manic episodes is limited; however, combination therapy was well tolerated (see sections 4.8 and 5.1). The data showed an additive effect at week 3.</w:t>
      </w:r>
    </w:p>
    <w:p w14:paraId="742DD40E" w14:textId="77777777" w:rsidR="000C62FB" w:rsidRPr="00CC70C2" w:rsidRDefault="000C62FB" w:rsidP="00A4505B">
      <w:pPr>
        <w:ind w:left="851"/>
        <w:rPr>
          <w:bCs/>
          <w:iCs/>
          <w:color w:val="000000"/>
          <w:sz w:val="24"/>
          <w:szCs w:val="24"/>
          <w:lang w:val="en-GB"/>
        </w:rPr>
      </w:pPr>
    </w:p>
    <w:p w14:paraId="1D2D1C51"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Misuse and abuse</w:t>
      </w:r>
    </w:p>
    <w:p w14:paraId="66A41362" w14:textId="77777777" w:rsidR="000C62FB" w:rsidRPr="00CC70C2" w:rsidRDefault="000C62FB" w:rsidP="00A4505B">
      <w:pPr>
        <w:ind w:left="851"/>
        <w:rPr>
          <w:bCs/>
          <w:iCs/>
          <w:color w:val="000000"/>
          <w:sz w:val="24"/>
          <w:szCs w:val="24"/>
          <w:lang w:val="en-GB"/>
        </w:rPr>
      </w:pPr>
      <w:r w:rsidRPr="00CC70C2">
        <w:rPr>
          <w:bCs/>
          <w:iCs/>
          <w:color w:val="000000"/>
          <w:sz w:val="24"/>
          <w:szCs w:val="24"/>
          <w:lang w:val="en-GB"/>
        </w:rPr>
        <w:t>Cases of misuse and abuse have been reported. Caution may be needed when prescribing quetiapine to patients with a history of alcohol or drug abuse.</w:t>
      </w:r>
    </w:p>
    <w:p w14:paraId="3F888D23" w14:textId="77777777" w:rsidR="000C62FB" w:rsidRPr="00CC70C2" w:rsidRDefault="000C62FB" w:rsidP="00A4505B">
      <w:pPr>
        <w:ind w:left="851"/>
        <w:rPr>
          <w:bCs/>
          <w:color w:val="000000"/>
          <w:sz w:val="24"/>
          <w:szCs w:val="24"/>
          <w:lang w:val="en-GB"/>
        </w:rPr>
      </w:pPr>
    </w:p>
    <w:p w14:paraId="749B5F30" w14:textId="77777777" w:rsidR="000C62FB" w:rsidRPr="00CC70C2" w:rsidRDefault="000C62FB" w:rsidP="00A4505B">
      <w:pPr>
        <w:ind w:left="851"/>
        <w:rPr>
          <w:bCs/>
          <w:color w:val="000000"/>
          <w:sz w:val="24"/>
          <w:szCs w:val="24"/>
          <w:u w:val="single"/>
          <w:lang w:val="en-GB"/>
        </w:rPr>
      </w:pPr>
      <w:r w:rsidRPr="00CC70C2">
        <w:rPr>
          <w:bCs/>
          <w:color w:val="000000"/>
          <w:sz w:val="24"/>
          <w:szCs w:val="24"/>
          <w:u w:val="single"/>
          <w:lang w:val="en-GB"/>
        </w:rPr>
        <w:t>Lactose</w:t>
      </w:r>
    </w:p>
    <w:p w14:paraId="079FAEB9" w14:textId="72D6A1F6" w:rsidR="000C62FB" w:rsidRPr="00CC70C2" w:rsidRDefault="009C7FC9" w:rsidP="00A4505B">
      <w:pPr>
        <w:ind w:left="851"/>
        <w:rPr>
          <w:color w:val="000000"/>
          <w:sz w:val="24"/>
          <w:szCs w:val="24"/>
          <w:lang w:val="en-GB"/>
        </w:rPr>
      </w:pPr>
      <w:proofErr w:type="spellStart"/>
      <w:r w:rsidRPr="00CC70C2">
        <w:rPr>
          <w:color w:val="000000"/>
          <w:sz w:val="24"/>
          <w:szCs w:val="24"/>
          <w:lang w:val="en-GB"/>
        </w:rPr>
        <w:t>Quetiapin</w:t>
      </w:r>
      <w:proofErr w:type="spellEnd"/>
      <w:r w:rsidRPr="00CC70C2">
        <w:rPr>
          <w:color w:val="000000"/>
          <w:sz w:val="24"/>
          <w:szCs w:val="24"/>
          <w:lang w:val="en-GB"/>
        </w:rPr>
        <w:t xml:space="preserve"> "</w:t>
      </w:r>
      <w:proofErr w:type="spellStart"/>
      <w:r w:rsidRPr="00CC70C2">
        <w:rPr>
          <w:color w:val="000000"/>
          <w:sz w:val="24"/>
          <w:szCs w:val="24"/>
          <w:lang w:val="en-GB"/>
        </w:rPr>
        <w:t>Hexal</w:t>
      </w:r>
      <w:proofErr w:type="spellEnd"/>
      <w:r w:rsidRPr="00CC70C2">
        <w:rPr>
          <w:color w:val="000000"/>
          <w:sz w:val="24"/>
          <w:szCs w:val="24"/>
          <w:lang w:val="en-GB"/>
        </w:rPr>
        <w:t>"</w:t>
      </w:r>
      <w:r w:rsidR="000C62FB" w:rsidRPr="00CC70C2">
        <w:rPr>
          <w:color w:val="000000"/>
          <w:sz w:val="24"/>
          <w:szCs w:val="24"/>
          <w:lang w:val="en-GB"/>
        </w:rPr>
        <w:t xml:space="preserve"> prolonged-release tablets contain lactose. Patients with rare hereditary problems of galactose intolerance, total lactase deficiency, or glucose-galactose malabsorption should not take this medicinal product.</w:t>
      </w:r>
    </w:p>
    <w:p w14:paraId="41EE9A4F" w14:textId="77777777" w:rsidR="007C5D2A" w:rsidRPr="00CC70C2" w:rsidRDefault="007C5D2A" w:rsidP="003E0341">
      <w:pPr>
        <w:tabs>
          <w:tab w:val="left" w:pos="851"/>
        </w:tabs>
        <w:ind w:left="851"/>
        <w:rPr>
          <w:sz w:val="24"/>
          <w:szCs w:val="24"/>
          <w:lang w:val="en-GB"/>
        </w:rPr>
      </w:pPr>
    </w:p>
    <w:p w14:paraId="79A28E28" w14:textId="77777777" w:rsidR="007C5D2A" w:rsidRPr="00CC70C2" w:rsidRDefault="007C5D2A" w:rsidP="007C5D2A">
      <w:pPr>
        <w:ind w:left="851" w:hanging="851"/>
        <w:rPr>
          <w:b/>
          <w:sz w:val="24"/>
          <w:szCs w:val="24"/>
          <w:lang w:val="en-GB"/>
        </w:rPr>
      </w:pPr>
      <w:r w:rsidRPr="00CC70C2">
        <w:rPr>
          <w:b/>
          <w:sz w:val="24"/>
          <w:szCs w:val="24"/>
          <w:lang w:val="en-GB"/>
        </w:rPr>
        <w:t>4.5</w:t>
      </w:r>
      <w:r w:rsidRPr="00CC70C2">
        <w:rPr>
          <w:b/>
          <w:sz w:val="24"/>
          <w:szCs w:val="24"/>
          <w:lang w:val="en-GB"/>
        </w:rPr>
        <w:tab/>
        <w:t>Interaction with other medicinal products and other forms of interaction</w:t>
      </w:r>
    </w:p>
    <w:p w14:paraId="1DA795D3" w14:textId="77777777" w:rsidR="000C62FB" w:rsidRPr="00CC70C2" w:rsidRDefault="000C62FB" w:rsidP="00A4505B">
      <w:pPr>
        <w:ind w:left="851"/>
        <w:rPr>
          <w:color w:val="000000"/>
          <w:sz w:val="24"/>
          <w:szCs w:val="24"/>
          <w:lang w:val="en-GB"/>
        </w:rPr>
      </w:pPr>
      <w:r w:rsidRPr="00CC70C2">
        <w:rPr>
          <w:color w:val="000000"/>
          <w:sz w:val="24"/>
          <w:szCs w:val="24"/>
          <w:lang w:val="en-GB"/>
        </w:rPr>
        <w:t>Given the primary central nervous system effects of quetiapine, quetiapine should be used with caution in combination with other centrally acting medicinal products and alcohol.</w:t>
      </w:r>
    </w:p>
    <w:p w14:paraId="412B8975" w14:textId="6EE8DCBD" w:rsidR="000C62FB" w:rsidRPr="007D65A5" w:rsidRDefault="000C62FB" w:rsidP="007D65A5">
      <w:pPr>
        <w:ind w:left="851"/>
        <w:rPr>
          <w:color w:val="000000"/>
          <w:sz w:val="24"/>
          <w:szCs w:val="24"/>
          <w:lang w:val="en-GB"/>
        </w:rPr>
      </w:pPr>
    </w:p>
    <w:p w14:paraId="51669CDB" w14:textId="77777777" w:rsidR="000B772F" w:rsidRPr="007D65A5" w:rsidRDefault="000B772F" w:rsidP="007D65A5">
      <w:pPr>
        <w:ind w:left="851"/>
        <w:rPr>
          <w:color w:val="000000"/>
          <w:sz w:val="24"/>
          <w:szCs w:val="24"/>
          <w:lang w:val="en-US"/>
        </w:rPr>
      </w:pPr>
      <w:r w:rsidRPr="007D65A5">
        <w:rPr>
          <w:color w:val="000000"/>
          <w:sz w:val="24"/>
          <w:szCs w:val="24"/>
          <w:lang w:val="en-US"/>
        </w:rPr>
        <w:t>Quetiapine should be used with caution in combination with serotonergic medicinal products, such as MAO inhibitors, selective serotonin re-uptake inhibitors (SSRIs), serotonin norepinephrine re-uptake inhibitors (SNRIs) or tricyclic antidepressants as the risk of serotonin syndrome, a potentially life-threatening condition, is increased (see section 4.4).</w:t>
      </w:r>
    </w:p>
    <w:p w14:paraId="76693472" w14:textId="77777777" w:rsidR="000B772F" w:rsidRPr="007D65A5" w:rsidRDefault="000B772F" w:rsidP="007D65A5">
      <w:pPr>
        <w:ind w:left="851"/>
        <w:rPr>
          <w:color w:val="000000"/>
          <w:sz w:val="24"/>
          <w:szCs w:val="24"/>
          <w:lang w:val="en-US"/>
        </w:rPr>
      </w:pPr>
    </w:p>
    <w:p w14:paraId="3E45241F" w14:textId="77777777" w:rsidR="000C62FB" w:rsidRPr="00CC70C2" w:rsidRDefault="000C62FB" w:rsidP="00A4505B">
      <w:pPr>
        <w:ind w:left="851"/>
        <w:rPr>
          <w:color w:val="000000"/>
          <w:sz w:val="24"/>
          <w:szCs w:val="24"/>
          <w:lang w:val="en-GB"/>
        </w:rPr>
      </w:pPr>
      <w:r w:rsidRPr="00CC70C2">
        <w:rPr>
          <w:color w:val="000000"/>
          <w:sz w:val="24"/>
          <w:szCs w:val="24"/>
          <w:lang w:val="en-GB"/>
        </w:rPr>
        <w:t>Caution should be exercised treating patients receiving other medications having anticholinergic (muscarinic) effects (see section 4.4).</w:t>
      </w:r>
    </w:p>
    <w:p w14:paraId="7D879233" w14:textId="77777777" w:rsidR="000C62FB" w:rsidRPr="00CC70C2" w:rsidRDefault="000C62FB" w:rsidP="00A4505B">
      <w:pPr>
        <w:ind w:left="851"/>
        <w:rPr>
          <w:color w:val="000000"/>
          <w:sz w:val="24"/>
          <w:szCs w:val="24"/>
          <w:lang w:val="en-GB"/>
        </w:rPr>
      </w:pPr>
    </w:p>
    <w:p w14:paraId="55009FAB" w14:textId="77777777" w:rsidR="000C62FB" w:rsidRPr="00CC70C2" w:rsidRDefault="000C62FB" w:rsidP="00A4505B">
      <w:pPr>
        <w:ind w:left="851"/>
        <w:rPr>
          <w:color w:val="000000"/>
          <w:sz w:val="24"/>
          <w:szCs w:val="24"/>
          <w:lang w:val="en-GB"/>
        </w:rPr>
      </w:pPr>
      <w:r w:rsidRPr="00CC70C2">
        <w:rPr>
          <w:color w:val="000000"/>
          <w:sz w:val="24"/>
          <w:szCs w:val="24"/>
          <w:lang w:val="en-GB"/>
        </w:rPr>
        <w:t>Cytochrome P450 (CYP) 3A4 is the enzyme that is primarily responsible for the cytochrome P450-mediated metabolism of quetiapine. In an interaction study in healthy volunteers, concomitant administration of quetiapine (dose of 25 mg) with ketoconazole, a CYP3A4 inhibitor, caused a 5-to 8-fold increase in the AUC of quetiapine. On the basis of this, concomitant use of quetiapine with CYP3A4 inhibitors is contraindicated. It is also not recommended to consume grapefruit juice while on quetiapine therapy.</w:t>
      </w:r>
    </w:p>
    <w:p w14:paraId="13FA47C1" w14:textId="77777777" w:rsidR="000C62FB" w:rsidRPr="00CC70C2" w:rsidRDefault="000C62FB" w:rsidP="00A4505B">
      <w:pPr>
        <w:ind w:left="851"/>
        <w:rPr>
          <w:color w:val="000000"/>
          <w:sz w:val="24"/>
          <w:szCs w:val="24"/>
          <w:lang w:val="en-GB"/>
        </w:rPr>
      </w:pPr>
    </w:p>
    <w:p w14:paraId="039F686C" w14:textId="11162609" w:rsidR="000C62FB" w:rsidRPr="00CC70C2" w:rsidRDefault="000C62FB" w:rsidP="00A4505B">
      <w:pPr>
        <w:ind w:left="851"/>
        <w:rPr>
          <w:color w:val="000000"/>
          <w:sz w:val="24"/>
          <w:szCs w:val="24"/>
          <w:lang w:val="en-GB"/>
        </w:rPr>
      </w:pPr>
      <w:r w:rsidRPr="00CC70C2">
        <w:rPr>
          <w:color w:val="000000"/>
          <w:sz w:val="24"/>
          <w:szCs w:val="24"/>
          <w:lang w:val="en-GB"/>
        </w:rPr>
        <w:t>In a multiple dose trial in patients to assess the pharmacokinetics of quetiapine given before and during treatment with carbamazepine (a known hepatic enzyme inducer), co-administration of carbamazepine significantly increased the clearance of quetiapine. This increase in clearance reduced systemic quetiapine exposure (as measured by AUC) to an average of 13</w:t>
      </w:r>
      <w:r w:rsidR="00F96C97">
        <w:rPr>
          <w:color w:val="000000"/>
          <w:sz w:val="24"/>
          <w:szCs w:val="24"/>
          <w:lang w:val="en-GB"/>
        </w:rPr>
        <w:t xml:space="preserve"> %</w:t>
      </w:r>
      <w:r w:rsidRPr="00CC70C2">
        <w:rPr>
          <w:color w:val="000000"/>
          <w:sz w:val="24"/>
          <w:szCs w:val="24"/>
          <w:lang w:val="en-GB"/>
        </w:rPr>
        <w:t xml:space="preserve"> of the exposure during administration of quetiapine alone; although a greater effect was seen in some patients. As a consequence of this interaction, lower plasma concentrations can occur, which could affect the efficacy of quetiapine therapy. Co-administration of quetiapine and phenytoin (another microsomal enzyme inducer) caused a greatly increased clearance of quetiapine by approx. 450</w:t>
      </w:r>
      <w:r w:rsidR="00F96C97">
        <w:rPr>
          <w:color w:val="000000"/>
          <w:sz w:val="24"/>
          <w:szCs w:val="24"/>
          <w:lang w:val="en-GB"/>
        </w:rPr>
        <w:t xml:space="preserve"> %</w:t>
      </w:r>
      <w:r w:rsidRPr="00CC70C2">
        <w:rPr>
          <w:color w:val="000000"/>
          <w:sz w:val="24"/>
          <w:szCs w:val="24"/>
          <w:lang w:val="en-GB"/>
        </w:rPr>
        <w:t>. In patients receiving a hepatic enzyme inducer, initiation of quetiapine treatment should only occur if the physician considers that the benefits of quetiapine outweigh the risks of removing the hepatic enzyme inducer. It is important that any change in the inducer is gradual, and if required, replaced with a non-inducer (e.g. sodium valproate) (see section 4.4).</w:t>
      </w:r>
    </w:p>
    <w:p w14:paraId="15759848" w14:textId="77777777" w:rsidR="000C62FB" w:rsidRPr="00CC70C2" w:rsidRDefault="000C62FB" w:rsidP="00A4505B">
      <w:pPr>
        <w:ind w:left="851"/>
        <w:rPr>
          <w:color w:val="000000"/>
          <w:sz w:val="24"/>
          <w:szCs w:val="24"/>
          <w:lang w:val="en-GB"/>
        </w:rPr>
      </w:pPr>
    </w:p>
    <w:p w14:paraId="5B5FB99A"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The pharmacokinetics of quetiapine were not significantly altered by co-administration of the </w:t>
      </w:r>
      <w:proofErr w:type="gramStart"/>
      <w:r w:rsidRPr="00CC70C2">
        <w:rPr>
          <w:color w:val="000000"/>
          <w:sz w:val="24"/>
          <w:szCs w:val="24"/>
          <w:lang w:val="en-GB"/>
        </w:rPr>
        <w:t>antidepressants</w:t>
      </w:r>
      <w:proofErr w:type="gramEnd"/>
      <w:r w:rsidRPr="00CC70C2">
        <w:rPr>
          <w:color w:val="000000"/>
          <w:sz w:val="24"/>
          <w:szCs w:val="24"/>
          <w:lang w:val="en-GB"/>
        </w:rPr>
        <w:t xml:space="preserve"> imipramine (a known CYP2D6 inhibitor) or fluoxetine (a known CYP3A4 and CYP2D6 inhibitor).</w:t>
      </w:r>
    </w:p>
    <w:p w14:paraId="026032AC" w14:textId="77777777" w:rsidR="000C62FB" w:rsidRPr="00CC70C2" w:rsidRDefault="000C62FB" w:rsidP="00A4505B">
      <w:pPr>
        <w:ind w:left="851"/>
        <w:rPr>
          <w:color w:val="000000"/>
          <w:sz w:val="24"/>
          <w:szCs w:val="24"/>
          <w:lang w:val="en-GB"/>
        </w:rPr>
      </w:pPr>
    </w:p>
    <w:p w14:paraId="3F84AF46" w14:textId="2682E046" w:rsidR="000C62FB" w:rsidRPr="00CC70C2" w:rsidRDefault="000C62FB" w:rsidP="00A4505B">
      <w:pPr>
        <w:ind w:left="851"/>
        <w:rPr>
          <w:color w:val="000000"/>
          <w:sz w:val="24"/>
          <w:szCs w:val="24"/>
          <w:lang w:val="en-GB"/>
        </w:rPr>
      </w:pPr>
      <w:r w:rsidRPr="00CC70C2">
        <w:rPr>
          <w:color w:val="000000"/>
          <w:sz w:val="24"/>
          <w:szCs w:val="24"/>
          <w:lang w:val="en-GB"/>
        </w:rPr>
        <w:t xml:space="preserve">The pharmacokinetics of quetiapine were not significantly altered by co-administration of the </w:t>
      </w:r>
      <w:proofErr w:type="gramStart"/>
      <w:r w:rsidRPr="00CC70C2">
        <w:rPr>
          <w:color w:val="000000"/>
          <w:sz w:val="24"/>
          <w:szCs w:val="24"/>
          <w:lang w:val="en-GB"/>
        </w:rPr>
        <w:t>antipsychotics</w:t>
      </w:r>
      <w:proofErr w:type="gramEnd"/>
      <w:r w:rsidRPr="00CC70C2">
        <w:rPr>
          <w:color w:val="000000"/>
          <w:sz w:val="24"/>
          <w:szCs w:val="24"/>
          <w:lang w:val="en-GB"/>
        </w:rPr>
        <w:t xml:space="preserve"> risperidone or haloperidol. Concomitant use of quetiapine and thioridazine caused an increased clearance of quetiapine with approx. 70</w:t>
      </w:r>
      <w:r w:rsidR="00F96C97">
        <w:rPr>
          <w:color w:val="000000"/>
          <w:sz w:val="24"/>
          <w:szCs w:val="24"/>
          <w:lang w:val="en-GB"/>
        </w:rPr>
        <w:t xml:space="preserve"> %</w:t>
      </w:r>
      <w:r w:rsidRPr="00CC70C2">
        <w:rPr>
          <w:color w:val="000000"/>
          <w:sz w:val="24"/>
          <w:szCs w:val="24"/>
          <w:lang w:val="en-GB"/>
        </w:rPr>
        <w:t>.</w:t>
      </w:r>
    </w:p>
    <w:p w14:paraId="6044F283" w14:textId="77777777" w:rsidR="000C62FB" w:rsidRPr="00CC70C2" w:rsidRDefault="000C62FB" w:rsidP="00A4505B">
      <w:pPr>
        <w:ind w:left="851"/>
        <w:rPr>
          <w:color w:val="000000"/>
          <w:sz w:val="24"/>
          <w:szCs w:val="24"/>
          <w:lang w:val="en-GB"/>
        </w:rPr>
      </w:pPr>
    </w:p>
    <w:p w14:paraId="50187384" w14:textId="77777777" w:rsidR="000C62FB" w:rsidRPr="00CC70C2" w:rsidRDefault="000C62FB" w:rsidP="00A4505B">
      <w:pPr>
        <w:ind w:left="851"/>
        <w:rPr>
          <w:color w:val="000000"/>
          <w:sz w:val="24"/>
          <w:szCs w:val="24"/>
          <w:lang w:val="en-GB"/>
        </w:rPr>
      </w:pPr>
      <w:r w:rsidRPr="00CC70C2">
        <w:rPr>
          <w:color w:val="000000"/>
          <w:sz w:val="24"/>
          <w:szCs w:val="24"/>
          <w:lang w:val="en-GB"/>
        </w:rPr>
        <w:t>The pharmacokinetics of quetiapine were not altered following co-administration with cimetidine.</w:t>
      </w:r>
    </w:p>
    <w:p w14:paraId="55146652" w14:textId="77777777" w:rsidR="000C62FB" w:rsidRPr="00CC70C2" w:rsidRDefault="000C62FB" w:rsidP="00A4505B">
      <w:pPr>
        <w:ind w:left="851"/>
        <w:rPr>
          <w:color w:val="000000"/>
          <w:sz w:val="24"/>
          <w:szCs w:val="24"/>
          <w:lang w:val="en-GB"/>
        </w:rPr>
      </w:pPr>
    </w:p>
    <w:p w14:paraId="0AA629B0" w14:textId="77777777" w:rsidR="000C62FB" w:rsidRPr="00CC70C2" w:rsidRDefault="000C62FB" w:rsidP="00A4505B">
      <w:pPr>
        <w:ind w:left="851"/>
        <w:rPr>
          <w:color w:val="000000"/>
          <w:sz w:val="24"/>
          <w:szCs w:val="24"/>
          <w:lang w:val="en-GB"/>
        </w:rPr>
      </w:pPr>
      <w:r w:rsidRPr="00CC70C2">
        <w:rPr>
          <w:color w:val="000000"/>
          <w:sz w:val="24"/>
          <w:szCs w:val="24"/>
          <w:lang w:val="en-GB"/>
        </w:rPr>
        <w:t>The pharmacokinetics of lithium were not altered when co-administered with quetiapine.</w:t>
      </w:r>
    </w:p>
    <w:p w14:paraId="239A0CDF" w14:textId="77777777" w:rsidR="000C62FB" w:rsidRPr="00CC70C2" w:rsidRDefault="000C62FB" w:rsidP="00A4505B">
      <w:pPr>
        <w:ind w:left="851"/>
        <w:rPr>
          <w:color w:val="000000"/>
          <w:sz w:val="24"/>
          <w:szCs w:val="24"/>
          <w:lang w:val="en-GB"/>
        </w:rPr>
      </w:pPr>
    </w:p>
    <w:p w14:paraId="67EC88DF" w14:textId="77777777" w:rsidR="000C62FB" w:rsidRPr="00CC70C2" w:rsidRDefault="000C62FB" w:rsidP="00A4505B">
      <w:pPr>
        <w:ind w:left="851"/>
        <w:rPr>
          <w:color w:val="000000"/>
          <w:sz w:val="24"/>
          <w:szCs w:val="24"/>
          <w:lang w:val="en-GB"/>
        </w:rPr>
      </w:pPr>
      <w:r w:rsidRPr="00CC70C2">
        <w:rPr>
          <w:color w:val="000000"/>
          <w:sz w:val="24"/>
          <w:szCs w:val="24"/>
          <w:lang w:val="en-GB"/>
        </w:rPr>
        <w:t>In a 6-week, randomised, study of lithium and quetiapine versus placebo and quetiapine in adult patients with acute mania, a higher incidence of extrapyramidal related events (in particular tremor), somnolence, and weight gain were observed in the lithium add-on group compared to the placebo add-on group (see section 5.1).</w:t>
      </w:r>
    </w:p>
    <w:p w14:paraId="784BC640" w14:textId="77777777" w:rsidR="000C62FB" w:rsidRPr="00CC70C2" w:rsidRDefault="000C62FB" w:rsidP="00A4505B">
      <w:pPr>
        <w:ind w:left="851"/>
        <w:rPr>
          <w:color w:val="000000"/>
          <w:sz w:val="24"/>
          <w:szCs w:val="24"/>
          <w:lang w:val="en-GB"/>
        </w:rPr>
      </w:pPr>
    </w:p>
    <w:p w14:paraId="0E016D07"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The pharmacokinetics of sodium valproate and quetiapine were not altered to a clinically relevant extent when co-administered. A retrospective study of children and adolescents who received valproate, quetiapine, or both, found a higher incidence of </w:t>
      </w:r>
      <w:proofErr w:type="spellStart"/>
      <w:r w:rsidRPr="00CC70C2">
        <w:rPr>
          <w:color w:val="000000"/>
          <w:sz w:val="24"/>
          <w:szCs w:val="24"/>
          <w:lang w:val="en-GB"/>
        </w:rPr>
        <w:t>leucopenia</w:t>
      </w:r>
      <w:proofErr w:type="spellEnd"/>
      <w:r w:rsidRPr="00CC70C2">
        <w:rPr>
          <w:color w:val="000000"/>
          <w:sz w:val="24"/>
          <w:szCs w:val="24"/>
          <w:lang w:val="en-GB"/>
        </w:rPr>
        <w:t xml:space="preserve"> and neutropenia in the combination group versus the monotherapy groups.</w:t>
      </w:r>
    </w:p>
    <w:p w14:paraId="67C06F0C" w14:textId="77777777" w:rsidR="000C62FB" w:rsidRPr="00CC70C2" w:rsidRDefault="000C62FB" w:rsidP="00A4505B">
      <w:pPr>
        <w:ind w:left="851"/>
        <w:rPr>
          <w:color w:val="000000"/>
          <w:sz w:val="24"/>
          <w:szCs w:val="24"/>
          <w:lang w:val="en-GB"/>
        </w:rPr>
      </w:pPr>
    </w:p>
    <w:p w14:paraId="5C710077" w14:textId="77777777" w:rsidR="000C62FB" w:rsidRPr="00CC70C2" w:rsidRDefault="000C62FB" w:rsidP="00A4505B">
      <w:pPr>
        <w:ind w:left="851"/>
        <w:rPr>
          <w:color w:val="000000"/>
          <w:sz w:val="24"/>
          <w:szCs w:val="24"/>
          <w:lang w:val="en-GB"/>
        </w:rPr>
      </w:pPr>
      <w:r w:rsidRPr="00CC70C2">
        <w:rPr>
          <w:color w:val="000000"/>
          <w:sz w:val="24"/>
          <w:szCs w:val="24"/>
          <w:lang w:val="en-GB"/>
        </w:rPr>
        <w:t>Formal interaction studies with commonly used cardiovascular medicinal products have not been performed.</w:t>
      </w:r>
    </w:p>
    <w:p w14:paraId="762BBEA7" w14:textId="77777777" w:rsidR="000C62FB" w:rsidRPr="00CC70C2" w:rsidRDefault="000C62FB" w:rsidP="00A4505B">
      <w:pPr>
        <w:ind w:left="851"/>
        <w:rPr>
          <w:color w:val="000000"/>
          <w:sz w:val="24"/>
          <w:szCs w:val="24"/>
          <w:lang w:val="en-GB"/>
        </w:rPr>
      </w:pPr>
    </w:p>
    <w:p w14:paraId="073DFC51" w14:textId="77777777" w:rsidR="000C62FB" w:rsidRPr="00CC70C2" w:rsidRDefault="000C62FB" w:rsidP="00A4505B">
      <w:pPr>
        <w:ind w:left="851"/>
        <w:rPr>
          <w:color w:val="000000"/>
          <w:sz w:val="24"/>
          <w:szCs w:val="24"/>
          <w:lang w:val="en-GB"/>
        </w:rPr>
      </w:pPr>
      <w:r w:rsidRPr="00CC70C2">
        <w:rPr>
          <w:color w:val="000000"/>
          <w:sz w:val="24"/>
          <w:szCs w:val="24"/>
          <w:lang w:val="en-GB"/>
        </w:rPr>
        <w:t>Caution should be exercised when quetiapine is used concomitantly with medicinal products known to cause electrolyte imbalance or to increase QT interval.</w:t>
      </w:r>
    </w:p>
    <w:p w14:paraId="70055569" w14:textId="77777777" w:rsidR="000C62FB" w:rsidRPr="00CC70C2" w:rsidRDefault="000C62FB" w:rsidP="00A4505B">
      <w:pPr>
        <w:ind w:left="851"/>
        <w:rPr>
          <w:color w:val="000000"/>
          <w:sz w:val="24"/>
          <w:szCs w:val="24"/>
          <w:lang w:val="en-GB"/>
        </w:rPr>
      </w:pPr>
    </w:p>
    <w:p w14:paraId="17AAA0DF" w14:textId="77777777" w:rsidR="000C62FB" w:rsidRPr="00CC70C2" w:rsidRDefault="000C62FB" w:rsidP="00A4505B">
      <w:pPr>
        <w:ind w:left="851"/>
        <w:rPr>
          <w:color w:val="000000"/>
          <w:sz w:val="24"/>
          <w:szCs w:val="24"/>
          <w:lang w:val="en-GB"/>
        </w:rPr>
      </w:pPr>
      <w:r w:rsidRPr="00CC70C2">
        <w:rPr>
          <w:color w:val="000000"/>
          <w:sz w:val="24"/>
          <w:szCs w:val="24"/>
          <w:lang w:val="en-GB"/>
        </w:rPr>
        <w:t>There have been reports of false positive results in enzyme immunoassays for methadone and tricyclic antidepressants in patients who have taken quetiapine. Confirmation of questionable immunoassay screening results by an appropriate chromatographic technique is recommended.</w:t>
      </w:r>
    </w:p>
    <w:p w14:paraId="3984E361" w14:textId="77777777" w:rsidR="007C5D2A" w:rsidRPr="00CC70C2" w:rsidRDefault="007C5D2A" w:rsidP="003E0341">
      <w:pPr>
        <w:tabs>
          <w:tab w:val="left" w:pos="851"/>
        </w:tabs>
        <w:ind w:left="851"/>
        <w:rPr>
          <w:sz w:val="24"/>
          <w:szCs w:val="24"/>
          <w:lang w:val="en-GB"/>
        </w:rPr>
      </w:pPr>
    </w:p>
    <w:p w14:paraId="3404C0F6"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4.6</w:t>
      </w:r>
      <w:r w:rsidRPr="00CC70C2">
        <w:rPr>
          <w:b/>
          <w:sz w:val="24"/>
          <w:szCs w:val="24"/>
          <w:lang w:val="en-GB"/>
        </w:rPr>
        <w:tab/>
      </w:r>
      <w:r w:rsidR="004860D3" w:rsidRPr="00CC70C2">
        <w:rPr>
          <w:b/>
          <w:sz w:val="24"/>
          <w:szCs w:val="24"/>
          <w:lang w:val="en-GB"/>
        </w:rPr>
        <w:t>Fertility, p</w:t>
      </w:r>
      <w:r w:rsidRPr="00CC70C2">
        <w:rPr>
          <w:b/>
          <w:sz w:val="24"/>
          <w:szCs w:val="24"/>
          <w:lang w:val="en-GB"/>
        </w:rPr>
        <w:t>regnancy and lactation</w:t>
      </w:r>
    </w:p>
    <w:p w14:paraId="73760308" w14:textId="77777777" w:rsidR="0066592E" w:rsidRPr="00CC70C2" w:rsidRDefault="0066592E" w:rsidP="00A4505B">
      <w:pPr>
        <w:ind w:left="851"/>
        <w:rPr>
          <w:color w:val="000000"/>
          <w:sz w:val="24"/>
          <w:szCs w:val="24"/>
          <w:u w:val="single"/>
          <w:lang w:val="en-GB"/>
        </w:rPr>
      </w:pPr>
    </w:p>
    <w:p w14:paraId="615EDFFF" w14:textId="057BA502" w:rsidR="000C62FB" w:rsidRPr="00CC70C2" w:rsidRDefault="000C62FB" w:rsidP="00A4505B">
      <w:pPr>
        <w:ind w:left="851"/>
        <w:rPr>
          <w:color w:val="000000"/>
          <w:sz w:val="24"/>
          <w:szCs w:val="24"/>
          <w:lang w:val="en-GB"/>
        </w:rPr>
      </w:pPr>
      <w:r w:rsidRPr="00CC70C2">
        <w:rPr>
          <w:color w:val="000000"/>
          <w:sz w:val="24"/>
          <w:szCs w:val="24"/>
          <w:u w:val="single"/>
          <w:lang w:val="en-GB"/>
        </w:rPr>
        <w:t xml:space="preserve">Pregnancy </w:t>
      </w:r>
    </w:p>
    <w:p w14:paraId="0FC414E7" w14:textId="77777777" w:rsidR="000C62FB" w:rsidRPr="00CC70C2" w:rsidRDefault="000C62FB" w:rsidP="00A4505B">
      <w:pPr>
        <w:ind w:left="851"/>
        <w:rPr>
          <w:i/>
          <w:iCs/>
          <w:color w:val="000000"/>
          <w:sz w:val="24"/>
          <w:szCs w:val="24"/>
          <w:lang w:val="en-GB"/>
        </w:rPr>
      </w:pPr>
      <w:r w:rsidRPr="00CC70C2">
        <w:rPr>
          <w:i/>
          <w:iCs/>
          <w:color w:val="000000"/>
          <w:sz w:val="24"/>
          <w:szCs w:val="24"/>
          <w:lang w:val="en-GB"/>
        </w:rPr>
        <w:t>First trimester</w:t>
      </w:r>
    </w:p>
    <w:p w14:paraId="70629E88" w14:textId="77777777" w:rsidR="000C62FB" w:rsidRPr="00CC70C2" w:rsidRDefault="000C62FB" w:rsidP="00A4505B">
      <w:pPr>
        <w:ind w:left="851"/>
        <w:rPr>
          <w:i/>
          <w:iCs/>
          <w:color w:val="000000"/>
          <w:sz w:val="24"/>
          <w:szCs w:val="24"/>
          <w:lang w:val="en-GB"/>
        </w:rPr>
      </w:pPr>
      <w:r w:rsidRPr="00CC70C2">
        <w:rPr>
          <w:sz w:val="24"/>
          <w:szCs w:val="24"/>
          <w:lang w:val="en-GB"/>
        </w:rPr>
        <w:t>The moderate amount of published data from exposed pregnancies (i.e. between 300-1000 pregnancy outcomes), including individual reports and some observational studies do not suggest an increased risk of malformations due to treatment. However, based on all available data, a definite conclusion cannot be drawn. Animal studies have shown reproductive toxicity (see section 5.3). Therefore, quetiapine should only be used during pregnancy if the benefits justify the potential risks.</w:t>
      </w:r>
    </w:p>
    <w:p w14:paraId="1268C597" w14:textId="77777777" w:rsidR="000C62FB" w:rsidRPr="00CC70C2" w:rsidRDefault="000C62FB" w:rsidP="00A4505B">
      <w:pPr>
        <w:ind w:left="851"/>
        <w:rPr>
          <w:color w:val="000000"/>
          <w:sz w:val="24"/>
          <w:szCs w:val="24"/>
          <w:lang w:val="en-GB"/>
        </w:rPr>
      </w:pPr>
    </w:p>
    <w:p w14:paraId="5870E0D6" w14:textId="77777777" w:rsidR="000C62FB" w:rsidRPr="00CC70C2" w:rsidRDefault="000C62FB" w:rsidP="00A4505B">
      <w:pPr>
        <w:ind w:left="851"/>
        <w:rPr>
          <w:i/>
          <w:iCs/>
          <w:color w:val="000000"/>
          <w:sz w:val="24"/>
          <w:szCs w:val="24"/>
          <w:lang w:val="en-GB"/>
        </w:rPr>
      </w:pPr>
      <w:r w:rsidRPr="00CC70C2">
        <w:rPr>
          <w:i/>
          <w:iCs/>
          <w:color w:val="000000"/>
          <w:sz w:val="24"/>
          <w:szCs w:val="24"/>
          <w:lang w:val="en-GB"/>
        </w:rPr>
        <w:t>Third trimester</w:t>
      </w:r>
    </w:p>
    <w:p w14:paraId="7D6E474F" w14:textId="77777777" w:rsidR="000C62FB" w:rsidRPr="00CC70C2" w:rsidRDefault="000C62FB" w:rsidP="00A4505B">
      <w:pPr>
        <w:ind w:left="851"/>
        <w:rPr>
          <w:color w:val="000000"/>
          <w:sz w:val="24"/>
          <w:szCs w:val="24"/>
          <w:lang w:val="en-GB"/>
        </w:rPr>
      </w:pPr>
      <w:r w:rsidRPr="00CC70C2">
        <w:rPr>
          <w:color w:val="000000"/>
          <w:sz w:val="24"/>
          <w:szCs w:val="24"/>
          <w:lang w:val="en-GB"/>
        </w:rPr>
        <w:t xml:space="preserve">Neonates exposed to antipsychotics (including quetiapine)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w:t>
      </w:r>
      <w:proofErr w:type="spellStart"/>
      <w:r w:rsidRPr="00CC70C2">
        <w:rPr>
          <w:color w:val="000000"/>
          <w:sz w:val="24"/>
          <w:szCs w:val="24"/>
          <w:lang w:val="en-GB"/>
        </w:rPr>
        <w:t>newborns</w:t>
      </w:r>
      <w:proofErr w:type="spellEnd"/>
      <w:r w:rsidRPr="00CC70C2">
        <w:rPr>
          <w:color w:val="000000"/>
          <w:sz w:val="24"/>
          <w:szCs w:val="24"/>
          <w:lang w:val="en-GB"/>
        </w:rPr>
        <w:t xml:space="preserve"> should be monitored carefully.</w:t>
      </w:r>
    </w:p>
    <w:p w14:paraId="0AB28C2D" w14:textId="77777777" w:rsidR="000C62FB" w:rsidRPr="00CC70C2" w:rsidRDefault="000C62FB" w:rsidP="00A4505B">
      <w:pPr>
        <w:ind w:left="851"/>
        <w:rPr>
          <w:bCs/>
          <w:color w:val="000000"/>
          <w:sz w:val="24"/>
          <w:szCs w:val="24"/>
          <w:lang w:val="en-GB"/>
        </w:rPr>
      </w:pPr>
    </w:p>
    <w:p w14:paraId="7EB8522A" w14:textId="77777777" w:rsidR="000C62FB" w:rsidRPr="00CC70C2" w:rsidRDefault="000C62FB" w:rsidP="00A4505B">
      <w:pPr>
        <w:pStyle w:val="Default"/>
        <w:ind w:left="851"/>
        <w:rPr>
          <w:lang w:val="en-GB"/>
        </w:rPr>
      </w:pPr>
      <w:r w:rsidRPr="00CC70C2">
        <w:rPr>
          <w:u w:val="single"/>
          <w:lang w:val="en-GB"/>
        </w:rPr>
        <w:t xml:space="preserve">Breast-feeding </w:t>
      </w:r>
    </w:p>
    <w:p w14:paraId="003521D4" w14:textId="77777777" w:rsidR="000C62FB" w:rsidRPr="00CC70C2" w:rsidRDefault="000C62FB" w:rsidP="00A4505B">
      <w:pPr>
        <w:pStyle w:val="Default"/>
        <w:ind w:left="851"/>
        <w:rPr>
          <w:lang w:val="en-GB"/>
        </w:rPr>
      </w:pPr>
      <w:r w:rsidRPr="00CC70C2">
        <w:rPr>
          <w:lang w:val="en-GB"/>
        </w:rPr>
        <w:t xml:space="preserve">Based on very limited data from published reports on quetiapine excretion into human breast milk, excretion of quetiapine at therapeutic doses appears to be inconsistent. Due to lack of robust data, a decision must be made whether to discontinue breast-feeding or to discontinue quetiapine therapy </w:t>
      </w:r>
      <w:proofErr w:type="gramStart"/>
      <w:r w:rsidRPr="00CC70C2">
        <w:rPr>
          <w:lang w:val="en-GB"/>
        </w:rPr>
        <w:t>taking into account</w:t>
      </w:r>
      <w:proofErr w:type="gramEnd"/>
      <w:r w:rsidRPr="00CC70C2">
        <w:rPr>
          <w:lang w:val="en-GB"/>
        </w:rPr>
        <w:t xml:space="preserve"> the benefit of breast-feeding for the child and the benefit of therapy for the woman.</w:t>
      </w:r>
    </w:p>
    <w:p w14:paraId="115F6C34" w14:textId="77777777" w:rsidR="000C62FB" w:rsidRPr="00CC70C2" w:rsidRDefault="000C62FB" w:rsidP="00A4505B">
      <w:pPr>
        <w:pStyle w:val="Default"/>
        <w:ind w:left="851"/>
        <w:rPr>
          <w:u w:val="single"/>
          <w:lang w:val="en-GB"/>
        </w:rPr>
      </w:pPr>
    </w:p>
    <w:p w14:paraId="14C6C47C" w14:textId="77777777" w:rsidR="000C62FB" w:rsidRPr="00CC70C2" w:rsidRDefault="000C62FB" w:rsidP="00A4505B">
      <w:pPr>
        <w:pStyle w:val="Default"/>
        <w:ind w:left="851"/>
        <w:rPr>
          <w:lang w:val="en-GB"/>
        </w:rPr>
      </w:pPr>
      <w:r w:rsidRPr="00CC70C2">
        <w:rPr>
          <w:u w:val="single"/>
          <w:lang w:val="en-GB"/>
        </w:rPr>
        <w:t xml:space="preserve">Fertility </w:t>
      </w:r>
    </w:p>
    <w:p w14:paraId="356B66A6" w14:textId="0D1BA85F" w:rsidR="007C5D2A" w:rsidRPr="00CC70C2" w:rsidRDefault="000C62FB" w:rsidP="00E37FB9">
      <w:pPr>
        <w:ind w:left="851"/>
        <w:rPr>
          <w:sz w:val="24"/>
          <w:szCs w:val="24"/>
          <w:lang w:val="en-GB"/>
        </w:rPr>
      </w:pPr>
      <w:r w:rsidRPr="00CC70C2">
        <w:rPr>
          <w:sz w:val="24"/>
          <w:szCs w:val="24"/>
          <w:lang w:val="en-GB"/>
        </w:rPr>
        <w:t>The effects of quetiapine on human fertility have not been assessed. Effects related to elevated prolactin levels were seen in rats, although these are not directly relevant to humans (see section 5.3).</w:t>
      </w:r>
    </w:p>
    <w:p w14:paraId="744DBA81" w14:textId="657392BF" w:rsidR="008C187F" w:rsidRDefault="008C187F">
      <w:pPr>
        <w:rPr>
          <w:sz w:val="24"/>
          <w:szCs w:val="24"/>
          <w:lang w:val="en-GB"/>
        </w:rPr>
      </w:pPr>
      <w:r>
        <w:rPr>
          <w:sz w:val="24"/>
          <w:szCs w:val="24"/>
          <w:lang w:val="en-GB"/>
        </w:rPr>
        <w:br w:type="page"/>
      </w:r>
    </w:p>
    <w:p w14:paraId="1DD1A180" w14:textId="77777777" w:rsidR="007C5D2A" w:rsidRPr="00CC70C2" w:rsidRDefault="007C5D2A" w:rsidP="003E0341">
      <w:pPr>
        <w:tabs>
          <w:tab w:val="left" w:pos="851"/>
        </w:tabs>
        <w:ind w:left="851"/>
        <w:rPr>
          <w:sz w:val="24"/>
          <w:szCs w:val="24"/>
          <w:lang w:val="en-GB"/>
        </w:rPr>
      </w:pPr>
    </w:p>
    <w:p w14:paraId="64F8DCA6"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4.7</w:t>
      </w:r>
      <w:r w:rsidRPr="00CC70C2">
        <w:rPr>
          <w:b/>
          <w:sz w:val="24"/>
          <w:szCs w:val="24"/>
          <w:lang w:val="en-GB"/>
        </w:rPr>
        <w:tab/>
        <w:t>Effects on ability to drive and use machines</w:t>
      </w:r>
    </w:p>
    <w:p w14:paraId="211E3C69" w14:textId="77777777" w:rsidR="00D4324F" w:rsidRPr="00CC70C2" w:rsidRDefault="00D4324F" w:rsidP="00A4505B">
      <w:pPr>
        <w:ind w:left="851"/>
        <w:rPr>
          <w:color w:val="000000"/>
          <w:sz w:val="24"/>
          <w:szCs w:val="24"/>
          <w:lang w:val="en-GB"/>
        </w:rPr>
      </w:pPr>
      <w:r w:rsidRPr="00CC70C2">
        <w:rPr>
          <w:color w:val="000000"/>
          <w:sz w:val="24"/>
          <w:szCs w:val="24"/>
          <w:lang w:val="en-GB"/>
        </w:rPr>
        <w:t>No traffic warning.</w:t>
      </w:r>
    </w:p>
    <w:p w14:paraId="0F9C4888" w14:textId="13E707AD" w:rsidR="000C62FB" w:rsidRPr="00CC70C2" w:rsidRDefault="000C62FB" w:rsidP="00A4505B">
      <w:pPr>
        <w:ind w:left="851"/>
        <w:rPr>
          <w:color w:val="000000"/>
          <w:sz w:val="24"/>
          <w:szCs w:val="24"/>
          <w:lang w:val="en-GB"/>
        </w:rPr>
      </w:pPr>
      <w:r w:rsidRPr="00CC70C2">
        <w:rPr>
          <w:color w:val="000000"/>
          <w:sz w:val="24"/>
          <w:szCs w:val="24"/>
          <w:lang w:val="en-GB"/>
        </w:rPr>
        <w:t>Given its primary central nervous system effects, quetiapine may interfere with activities requiring mental alertness. Therefore, patients should be advised not to drive or operate machinery, until individual susceptibility to this is known.</w:t>
      </w:r>
    </w:p>
    <w:p w14:paraId="3A4D076C" w14:textId="77777777" w:rsidR="007C5D2A" w:rsidRPr="00CC70C2" w:rsidRDefault="007C5D2A" w:rsidP="003E0341">
      <w:pPr>
        <w:tabs>
          <w:tab w:val="left" w:pos="851"/>
        </w:tabs>
        <w:ind w:left="851"/>
        <w:rPr>
          <w:sz w:val="24"/>
          <w:szCs w:val="24"/>
          <w:lang w:val="en-GB"/>
        </w:rPr>
      </w:pPr>
    </w:p>
    <w:p w14:paraId="38227AC0"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4.8</w:t>
      </w:r>
      <w:r w:rsidRPr="00CC70C2">
        <w:rPr>
          <w:b/>
          <w:sz w:val="24"/>
          <w:szCs w:val="24"/>
          <w:lang w:val="en-GB"/>
        </w:rPr>
        <w:tab/>
        <w:t>Undesirable effects</w:t>
      </w:r>
    </w:p>
    <w:p w14:paraId="19DFAA87" w14:textId="6064FFE0" w:rsidR="00D5152C" w:rsidRPr="00CC70C2" w:rsidRDefault="00D5152C" w:rsidP="00A4505B">
      <w:pPr>
        <w:ind w:left="851"/>
        <w:rPr>
          <w:color w:val="000000"/>
          <w:sz w:val="24"/>
          <w:szCs w:val="24"/>
          <w:lang w:val="en-GB"/>
        </w:rPr>
      </w:pPr>
      <w:r w:rsidRPr="00CC70C2">
        <w:rPr>
          <w:color w:val="000000"/>
          <w:sz w:val="24"/>
          <w:szCs w:val="24"/>
          <w:lang w:val="en-GB"/>
        </w:rPr>
        <w:t xml:space="preserve">The most commonly reported adverse drug reactions (ADRs) with quetiapine </w:t>
      </w:r>
      <w:r w:rsidRPr="00CC70C2">
        <w:rPr>
          <w:sz w:val="24"/>
          <w:szCs w:val="24"/>
          <w:lang w:val="en-GB"/>
        </w:rPr>
        <w:t>(</w:t>
      </w:r>
      <w:r w:rsidRPr="00CC70C2">
        <w:rPr>
          <w:rFonts w:eastAsia="Courier New"/>
          <w:color w:val="000000"/>
          <w:sz w:val="24"/>
          <w:szCs w:val="24"/>
          <w:lang w:val="en-GB" w:bidi="en-US"/>
        </w:rPr>
        <w:t>&gt;</w:t>
      </w:r>
      <w:r w:rsidRPr="00CC70C2">
        <w:rPr>
          <w:sz w:val="24"/>
          <w:szCs w:val="24"/>
          <w:lang w:val="en-GB"/>
        </w:rPr>
        <w:t>10</w:t>
      </w:r>
      <w:r w:rsidR="00F96C97">
        <w:rPr>
          <w:sz w:val="24"/>
          <w:szCs w:val="24"/>
          <w:lang w:val="en-GB"/>
        </w:rPr>
        <w:t xml:space="preserve"> %</w:t>
      </w:r>
      <w:r w:rsidRPr="00CC70C2">
        <w:rPr>
          <w:sz w:val="24"/>
          <w:szCs w:val="24"/>
          <w:lang w:val="en-GB"/>
        </w:rPr>
        <w:t>)</w:t>
      </w:r>
      <w:r w:rsidRPr="00CC70C2">
        <w:rPr>
          <w:color w:val="000000"/>
          <w:sz w:val="24"/>
          <w:szCs w:val="24"/>
          <w:lang w:val="en-GB"/>
        </w:rPr>
        <w:t xml:space="preserve"> are somnolence, </w:t>
      </w:r>
      <w:r w:rsidRPr="00CC70C2">
        <w:rPr>
          <w:sz w:val="24"/>
          <w:szCs w:val="24"/>
          <w:lang w:val="en-GB"/>
        </w:rPr>
        <w:t xml:space="preserve">headache, </w:t>
      </w:r>
      <w:r w:rsidRPr="00CC70C2">
        <w:rPr>
          <w:color w:val="000000"/>
          <w:sz w:val="24"/>
          <w:szCs w:val="24"/>
          <w:lang w:val="en-GB"/>
        </w:rPr>
        <w:t>dizziness, dry mouth, withdrawal (discontinuation) symptoms, elevations in serum triglyceride levels, elevations in total cholesterol (predominantly LDL cholesterol), decreases in HDL cholesterol, weight gain, decreased haemoglobin and extrapyramidal symptoms.</w:t>
      </w:r>
    </w:p>
    <w:p w14:paraId="349DB098" w14:textId="77777777" w:rsidR="00D5152C" w:rsidRPr="00CC70C2" w:rsidRDefault="00D5152C" w:rsidP="00A4505B">
      <w:pPr>
        <w:ind w:left="851"/>
        <w:rPr>
          <w:color w:val="000000"/>
          <w:sz w:val="24"/>
          <w:szCs w:val="24"/>
          <w:lang w:val="en-GB"/>
        </w:rPr>
      </w:pPr>
    </w:p>
    <w:p w14:paraId="208C8FDC" w14:textId="77777777" w:rsidR="00D5152C" w:rsidRPr="00CC70C2" w:rsidRDefault="00D5152C" w:rsidP="00A4505B">
      <w:pPr>
        <w:ind w:left="851"/>
        <w:rPr>
          <w:color w:val="000000"/>
          <w:sz w:val="24"/>
          <w:szCs w:val="24"/>
          <w:lang w:val="en-GB"/>
        </w:rPr>
      </w:pPr>
      <w:r w:rsidRPr="00CC70C2">
        <w:rPr>
          <w:color w:val="000000"/>
          <w:sz w:val="24"/>
          <w:szCs w:val="24"/>
          <w:lang w:val="en-GB"/>
        </w:rPr>
        <w:t xml:space="preserve">The incidences of ADRs associated with quetiapine therapy are tabulated below </w:t>
      </w:r>
      <w:r w:rsidRPr="00CC70C2">
        <w:rPr>
          <w:sz w:val="24"/>
          <w:szCs w:val="24"/>
          <w:lang w:val="en-GB"/>
        </w:rPr>
        <w:t xml:space="preserve">(Table 1) </w:t>
      </w:r>
      <w:r w:rsidRPr="00CC70C2">
        <w:rPr>
          <w:color w:val="000000"/>
          <w:sz w:val="24"/>
          <w:szCs w:val="24"/>
          <w:lang w:val="en-GB"/>
        </w:rPr>
        <w:t>according to the format recommended by the Council for International Organizations of Medical Sciences (CIOMS III Working Group 1995).</w:t>
      </w:r>
    </w:p>
    <w:p w14:paraId="4524271D" w14:textId="77777777" w:rsidR="00D5152C" w:rsidRPr="00CC70C2" w:rsidRDefault="00D5152C" w:rsidP="00A4505B">
      <w:pPr>
        <w:tabs>
          <w:tab w:val="left" w:pos="567"/>
        </w:tabs>
        <w:ind w:left="851"/>
        <w:rPr>
          <w:sz w:val="24"/>
          <w:szCs w:val="24"/>
          <w:lang w:val="en-GB"/>
        </w:rPr>
      </w:pPr>
    </w:p>
    <w:p w14:paraId="4C14E666" w14:textId="77777777" w:rsidR="00D5152C" w:rsidRPr="00CC70C2" w:rsidRDefault="00D5152C" w:rsidP="00A4505B">
      <w:pPr>
        <w:tabs>
          <w:tab w:val="left" w:pos="567"/>
        </w:tabs>
        <w:ind w:left="851"/>
        <w:rPr>
          <w:b/>
          <w:sz w:val="24"/>
          <w:szCs w:val="24"/>
          <w:lang w:val="en-GB"/>
        </w:rPr>
      </w:pPr>
      <w:r w:rsidRPr="00CC70C2">
        <w:rPr>
          <w:b/>
          <w:sz w:val="24"/>
          <w:szCs w:val="24"/>
          <w:lang w:val="en-GB"/>
        </w:rPr>
        <w:t>Table 1: ADRs associated with quetiapine therapy</w:t>
      </w:r>
    </w:p>
    <w:p w14:paraId="58D7C5A6" w14:textId="77777777" w:rsidR="00D5152C" w:rsidRPr="00CC70C2" w:rsidRDefault="00D5152C" w:rsidP="00A4505B">
      <w:pPr>
        <w:ind w:left="851"/>
        <w:rPr>
          <w:iCs/>
          <w:color w:val="000000"/>
          <w:sz w:val="24"/>
          <w:szCs w:val="24"/>
          <w:lang w:val="en-GB"/>
        </w:rPr>
      </w:pPr>
      <w:r w:rsidRPr="00CC70C2">
        <w:rPr>
          <w:iCs/>
          <w:color w:val="000000"/>
          <w:sz w:val="24"/>
          <w:szCs w:val="24"/>
          <w:lang w:val="en-GB"/>
        </w:rPr>
        <w:t>The frequencies of adverse events are ranked according to the following: Very common (≥1/10), common (≥1/100 to &lt;1/10), uncommon (≥1/1,000 to &lt;1/100, rare (≥1/10,000 to &lt;1/1,000), very rare (&lt;1/10,000), not known (cannot be estimated from the available data).</w:t>
      </w:r>
    </w:p>
    <w:p w14:paraId="68C64F0A" w14:textId="77777777" w:rsidR="00D5152C" w:rsidRPr="00CC70C2" w:rsidRDefault="00D5152C" w:rsidP="00D5152C">
      <w:pPr>
        <w:rPr>
          <w:i/>
          <w:iCs/>
          <w:color w:val="000000"/>
          <w:sz w:val="24"/>
          <w:szCs w:val="24"/>
          <w:lang w:val="en-GB"/>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34"/>
        <w:gridCol w:w="1397"/>
        <w:gridCol w:w="1398"/>
        <w:gridCol w:w="1397"/>
        <w:gridCol w:w="1397"/>
        <w:gridCol w:w="1398"/>
      </w:tblGrid>
      <w:tr w:rsidR="00D5152C" w:rsidRPr="00CC70C2" w14:paraId="16B25056" w14:textId="77777777" w:rsidTr="00D5152C">
        <w:trPr>
          <w:cantSplit/>
          <w:tblHeader/>
        </w:trPr>
        <w:tc>
          <w:tcPr>
            <w:tcW w:w="1560" w:type="dxa"/>
            <w:tcBorders>
              <w:top w:val="single" w:sz="4" w:space="0" w:color="auto"/>
              <w:left w:val="single" w:sz="4" w:space="0" w:color="auto"/>
              <w:bottom w:val="single" w:sz="4" w:space="0" w:color="auto"/>
              <w:right w:val="single" w:sz="4" w:space="0" w:color="auto"/>
            </w:tcBorders>
            <w:hideMark/>
          </w:tcPr>
          <w:p w14:paraId="23C0E5DE" w14:textId="5013CE6F" w:rsidR="00D5152C" w:rsidRPr="00CC70C2" w:rsidRDefault="00DC16C9">
            <w:pPr>
              <w:rPr>
                <w:b/>
                <w:iCs/>
                <w:color w:val="000000"/>
                <w:sz w:val="22"/>
                <w:szCs w:val="22"/>
                <w:lang w:val="en-GB" w:eastAsia="en-US"/>
              </w:rPr>
            </w:pPr>
            <w:r w:rsidRPr="00CC70C2">
              <w:rPr>
                <w:b/>
                <w:bCs/>
                <w:iCs/>
                <w:color w:val="000000"/>
                <w:sz w:val="22"/>
                <w:szCs w:val="22"/>
                <w:lang w:val="en-GB"/>
              </w:rPr>
              <w:t>System organ class</w:t>
            </w:r>
          </w:p>
        </w:tc>
        <w:tc>
          <w:tcPr>
            <w:tcW w:w="1234" w:type="dxa"/>
            <w:tcBorders>
              <w:top w:val="single" w:sz="4" w:space="0" w:color="auto"/>
              <w:left w:val="single" w:sz="4" w:space="0" w:color="auto"/>
              <w:bottom w:val="single" w:sz="4" w:space="0" w:color="auto"/>
              <w:right w:val="single" w:sz="4" w:space="0" w:color="auto"/>
            </w:tcBorders>
            <w:hideMark/>
          </w:tcPr>
          <w:p w14:paraId="3A3F4A18" w14:textId="4E39CC42" w:rsidR="00D5152C" w:rsidRPr="00CC70C2" w:rsidRDefault="00D5152C">
            <w:pPr>
              <w:rPr>
                <w:b/>
                <w:iCs/>
                <w:color w:val="000000"/>
                <w:sz w:val="22"/>
                <w:szCs w:val="22"/>
                <w:lang w:val="en-GB"/>
              </w:rPr>
            </w:pPr>
            <w:r w:rsidRPr="00CC70C2">
              <w:rPr>
                <w:b/>
                <w:iCs/>
                <w:color w:val="000000"/>
                <w:sz w:val="22"/>
                <w:szCs w:val="22"/>
                <w:lang w:val="en-GB"/>
              </w:rPr>
              <w:t>Very common</w:t>
            </w:r>
          </w:p>
        </w:tc>
        <w:tc>
          <w:tcPr>
            <w:tcW w:w="1397" w:type="dxa"/>
            <w:tcBorders>
              <w:top w:val="single" w:sz="4" w:space="0" w:color="auto"/>
              <w:left w:val="single" w:sz="4" w:space="0" w:color="auto"/>
              <w:bottom w:val="single" w:sz="4" w:space="0" w:color="auto"/>
              <w:right w:val="single" w:sz="4" w:space="0" w:color="auto"/>
            </w:tcBorders>
            <w:hideMark/>
          </w:tcPr>
          <w:p w14:paraId="290A4965" w14:textId="77777777" w:rsidR="00D5152C" w:rsidRPr="00CC70C2" w:rsidRDefault="00D5152C">
            <w:pPr>
              <w:rPr>
                <w:b/>
                <w:iCs/>
                <w:color w:val="000000"/>
                <w:sz w:val="22"/>
                <w:szCs w:val="22"/>
                <w:lang w:val="en-GB"/>
              </w:rPr>
            </w:pPr>
            <w:r w:rsidRPr="00CC70C2">
              <w:rPr>
                <w:b/>
                <w:iCs/>
                <w:color w:val="000000"/>
                <w:sz w:val="22"/>
                <w:szCs w:val="22"/>
                <w:lang w:val="en-GB"/>
              </w:rPr>
              <w:t>Common</w:t>
            </w:r>
          </w:p>
        </w:tc>
        <w:tc>
          <w:tcPr>
            <w:tcW w:w="1398" w:type="dxa"/>
            <w:tcBorders>
              <w:top w:val="single" w:sz="4" w:space="0" w:color="auto"/>
              <w:left w:val="single" w:sz="4" w:space="0" w:color="auto"/>
              <w:bottom w:val="single" w:sz="4" w:space="0" w:color="auto"/>
              <w:right w:val="single" w:sz="4" w:space="0" w:color="auto"/>
            </w:tcBorders>
            <w:hideMark/>
          </w:tcPr>
          <w:p w14:paraId="0AAE76E5" w14:textId="77777777" w:rsidR="00D5152C" w:rsidRPr="00CC70C2" w:rsidRDefault="00D5152C">
            <w:pPr>
              <w:rPr>
                <w:b/>
                <w:iCs/>
                <w:color w:val="000000"/>
                <w:sz w:val="22"/>
                <w:szCs w:val="22"/>
                <w:lang w:val="en-GB"/>
              </w:rPr>
            </w:pPr>
            <w:r w:rsidRPr="00CC70C2">
              <w:rPr>
                <w:b/>
                <w:iCs/>
                <w:color w:val="000000"/>
                <w:sz w:val="22"/>
                <w:szCs w:val="22"/>
                <w:lang w:val="en-GB"/>
              </w:rPr>
              <w:t>Uncommon</w:t>
            </w:r>
          </w:p>
        </w:tc>
        <w:tc>
          <w:tcPr>
            <w:tcW w:w="1397" w:type="dxa"/>
            <w:tcBorders>
              <w:top w:val="single" w:sz="4" w:space="0" w:color="auto"/>
              <w:left w:val="single" w:sz="4" w:space="0" w:color="auto"/>
              <w:bottom w:val="single" w:sz="4" w:space="0" w:color="auto"/>
              <w:right w:val="single" w:sz="4" w:space="0" w:color="auto"/>
            </w:tcBorders>
            <w:hideMark/>
          </w:tcPr>
          <w:p w14:paraId="6213E271" w14:textId="77777777" w:rsidR="00D5152C" w:rsidRPr="00CC70C2" w:rsidRDefault="00D5152C">
            <w:pPr>
              <w:rPr>
                <w:b/>
                <w:iCs/>
                <w:color w:val="000000"/>
                <w:sz w:val="22"/>
                <w:szCs w:val="22"/>
                <w:lang w:val="en-GB"/>
              </w:rPr>
            </w:pPr>
            <w:r w:rsidRPr="00CC70C2">
              <w:rPr>
                <w:b/>
                <w:iCs/>
                <w:color w:val="000000"/>
                <w:sz w:val="22"/>
                <w:szCs w:val="22"/>
                <w:lang w:val="en-GB"/>
              </w:rPr>
              <w:t>Rare</w:t>
            </w:r>
          </w:p>
        </w:tc>
        <w:tc>
          <w:tcPr>
            <w:tcW w:w="1397" w:type="dxa"/>
            <w:tcBorders>
              <w:top w:val="single" w:sz="4" w:space="0" w:color="auto"/>
              <w:left w:val="single" w:sz="4" w:space="0" w:color="auto"/>
              <w:bottom w:val="single" w:sz="4" w:space="0" w:color="auto"/>
              <w:right w:val="single" w:sz="4" w:space="0" w:color="auto"/>
            </w:tcBorders>
            <w:hideMark/>
          </w:tcPr>
          <w:p w14:paraId="2FE2EC2F" w14:textId="77777777" w:rsidR="00D5152C" w:rsidRPr="00CC70C2" w:rsidRDefault="00D5152C">
            <w:pPr>
              <w:rPr>
                <w:b/>
                <w:iCs/>
                <w:color w:val="000000"/>
                <w:sz w:val="22"/>
                <w:szCs w:val="22"/>
                <w:lang w:val="en-GB"/>
              </w:rPr>
            </w:pPr>
            <w:r w:rsidRPr="00CC70C2">
              <w:rPr>
                <w:b/>
                <w:iCs/>
                <w:color w:val="000000"/>
                <w:sz w:val="22"/>
                <w:szCs w:val="22"/>
                <w:lang w:val="en-GB"/>
              </w:rPr>
              <w:t>Very rare</w:t>
            </w:r>
          </w:p>
        </w:tc>
        <w:tc>
          <w:tcPr>
            <w:tcW w:w="1398" w:type="dxa"/>
            <w:tcBorders>
              <w:top w:val="single" w:sz="4" w:space="0" w:color="auto"/>
              <w:left w:val="single" w:sz="4" w:space="0" w:color="auto"/>
              <w:bottom w:val="single" w:sz="4" w:space="0" w:color="auto"/>
              <w:right w:val="single" w:sz="4" w:space="0" w:color="auto"/>
            </w:tcBorders>
            <w:hideMark/>
          </w:tcPr>
          <w:p w14:paraId="2F8B8677" w14:textId="77777777" w:rsidR="00D5152C" w:rsidRPr="00CC70C2" w:rsidRDefault="00D5152C">
            <w:pPr>
              <w:rPr>
                <w:b/>
                <w:iCs/>
                <w:color w:val="000000"/>
                <w:sz w:val="22"/>
                <w:szCs w:val="22"/>
                <w:lang w:val="en-GB"/>
              </w:rPr>
            </w:pPr>
            <w:r w:rsidRPr="00CC70C2">
              <w:rPr>
                <w:b/>
                <w:iCs/>
                <w:color w:val="000000"/>
                <w:sz w:val="22"/>
                <w:szCs w:val="22"/>
                <w:lang w:val="en-GB"/>
              </w:rPr>
              <w:t>Frequency not known</w:t>
            </w:r>
          </w:p>
        </w:tc>
      </w:tr>
      <w:tr w:rsidR="00D5152C" w:rsidRPr="00CC70C2" w14:paraId="67790FE7"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51C0A332" w14:textId="77777777" w:rsidR="00D5152C" w:rsidRPr="00CC70C2" w:rsidRDefault="00D5152C">
            <w:pPr>
              <w:rPr>
                <w:i/>
                <w:iCs/>
                <w:color w:val="000000"/>
                <w:sz w:val="22"/>
                <w:szCs w:val="22"/>
                <w:lang w:val="en-GB"/>
              </w:rPr>
            </w:pPr>
            <w:r w:rsidRPr="00CC70C2">
              <w:rPr>
                <w:i/>
                <w:iCs/>
                <w:color w:val="000000"/>
                <w:sz w:val="22"/>
                <w:szCs w:val="22"/>
                <w:lang w:val="en-GB"/>
              </w:rPr>
              <w:t>Blood and lymphatic system disorders</w:t>
            </w:r>
          </w:p>
        </w:tc>
        <w:tc>
          <w:tcPr>
            <w:tcW w:w="1234" w:type="dxa"/>
            <w:tcBorders>
              <w:top w:val="single" w:sz="4" w:space="0" w:color="auto"/>
              <w:left w:val="single" w:sz="4" w:space="0" w:color="auto"/>
              <w:bottom w:val="single" w:sz="4" w:space="0" w:color="auto"/>
              <w:right w:val="single" w:sz="4" w:space="0" w:color="auto"/>
            </w:tcBorders>
            <w:hideMark/>
          </w:tcPr>
          <w:p w14:paraId="66419898" w14:textId="77777777" w:rsidR="00D5152C" w:rsidRPr="00CC70C2" w:rsidRDefault="00D5152C">
            <w:pPr>
              <w:rPr>
                <w:i/>
                <w:iCs/>
                <w:color w:val="000000"/>
                <w:sz w:val="22"/>
                <w:szCs w:val="22"/>
                <w:lang w:val="en-GB"/>
              </w:rPr>
            </w:pPr>
            <w:r w:rsidRPr="00CC70C2">
              <w:rPr>
                <w:color w:val="000000"/>
                <w:sz w:val="22"/>
                <w:szCs w:val="22"/>
                <w:lang w:val="en-GB"/>
              </w:rPr>
              <w:t>Decreased haemoglobin</w:t>
            </w:r>
            <w:r w:rsidRPr="00CC70C2">
              <w:rPr>
                <w:color w:val="000000"/>
                <w:sz w:val="22"/>
                <w:szCs w:val="22"/>
                <w:vertAlign w:val="superscript"/>
                <w:lang w:val="en-GB"/>
              </w:rPr>
              <w:t>22</w:t>
            </w:r>
          </w:p>
        </w:tc>
        <w:tc>
          <w:tcPr>
            <w:tcW w:w="1397" w:type="dxa"/>
            <w:tcBorders>
              <w:top w:val="single" w:sz="4" w:space="0" w:color="auto"/>
              <w:left w:val="single" w:sz="4" w:space="0" w:color="auto"/>
              <w:bottom w:val="single" w:sz="4" w:space="0" w:color="auto"/>
              <w:right w:val="single" w:sz="4" w:space="0" w:color="auto"/>
            </w:tcBorders>
            <w:hideMark/>
          </w:tcPr>
          <w:p w14:paraId="1D28E8A7" w14:textId="532AA0C9" w:rsidR="00D5152C" w:rsidRPr="00CC70C2" w:rsidRDefault="00D5152C" w:rsidP="00B5396D">
            <w:pPr>
              <w:rPr>
                <w:i/>
                <w:iCs/>
                <w:color w:val="000000"/>
                <w:sz w:val="22"/>
                <w:szCs w:val="22"/>
                <w:lang w:val="en-GB"/>
              </w:rPr>
            </w:pPr>
            <w:r w:rsidRPr="00CC70C2">
              <w:rPr>
                <w:color w:val="000000"/>
                <w:sz w:val="22"/>
                <w:szCs w:val="22"/>
                <w:lang w:val="en-GB"/>
              </w:rPr>
              <w:t>Leucopenia</w:t>
            </w:r>
            <w:r w:rsidRPr="00CC70C2">
              <w:rPr>
                <w:color w:val="000000"/>
                <w:sz w:val="22"/>
                <w:szCs w:val="22"/>
                <w:vertAlign w:val="superscript"/>
                <w:lang w:val="en-GB"/>
              </w:rPr>
              <w:t>1, 28</w:t>
            </w:r>
            <w:r w:rsidRPr="00CC70C2">
              <w:rPr>
                <w:color w:val="000000"/>
                <w:sz w:val="22"/>
                <w:szCs w:val="22"/>
                <w:lang w:val="en-GB"/>
              </w:rPr>
              <w:t>,</w:t>
            </w:r>
            <w:r w:rsidR="00B5396D" w:rsidRPr="00CC70C2">
              <w:rPr>
                <w:color w:val="000000"/>
                <w:sz w:val="22"/>
                <w:szCs w:val="22"/>
                <w:lang w:val="en-GB"/>
              </w:rPr>
              <w:t xml:space="preserve"> </w:t>
            </w:r>
            <w:r w:rsidRPr="00CC70C2">
              <w:rPr>
                <w:color w:val="000000"/>
                <w:sz w:val="22"/>
                <w:szCs w:val="22"/>
                <w:lang w:val="en-GB"/>
              </w:rPr>
              <w:t>decreased neutrophil count, eosinophils increased</w:t>
            </w:r>
            <w:r w:rsidRPr="00CC70C2">
              <w:rPr>
                <w:color w:val="000000"/>
                <w:sz w:val="22"/>
                <w:szCs w:val="22"/>
                <w:vertAlign w:val="superscript"/>
                <w:lang w:val="en-GB"/>
              </w:rPr>
              <w:t>27</w:t>
            </w:r>
          </w:p>
        </w:tc>
        <w:tc>
          <w:tcPr>
            <w:tcW w:w="1398" w:type="dxa"/>
            <w:tcBorders>
              <w:top w:val="single" w:sz="4" w:space="0" w:color="auto"/>
              <w:left w:val="single" w:sz="4" w:space="0" w:color="auto"/>
              <w:bottom w:val="single" w:sz="4" w:space="0" w:color="auto"/>
              <w:right w:val="single" w:sz="4" w:space="0" w:color="auto"/>
            </w:tcBorders>
            <w:hideMark/>
          </w:tcPr>
          <w:p w14:paraId="30698504" w14:textId="23172280" w:rsidR="00D5152C" w:rsidRPr="00CC70C2" w:rsidRDefault="00D5152C" w:rsidP="00B5396D">
            <w:pPr>
              <w:rPr>
                <w:i/>
                <w:iCs/>
                <w:color w:val="000000"/>
                <w:sz w:val="22"/>
                <w:szCs w:val="22"/>
                <w:lang w:val="en-GB"/>
              </w:rPr>
            </w:pPr>
            <w:r w:rsidRPr="00CC70C2">
              <w:rPr>
                <w:color w:val="000000"/>
                <w:sz w:val="22"/>
                <w:szCs w:val="22"/>
                <w:lang w:val="en-GB"/>
              </w:rPr>
              <w:t>Neutropenia</w:t>
            </w:r>
            <w:r w:rsidRPr="00CC70C2">
              <w:rPr>
                <w:color w:val="000000"/>
                <w:sz w:val="22"/>
                <w:szCs w:val="22"/>
                <w:vertAlign w:val="superscript"/>
                <w:lang w:val="en-GB"/>
              </w:rPr>
              <w:t>1</w:t>
            </w:r>
            <w:r w:rsidRPr="00CC70C2">
              <w:rPr>
                <w:color w:val="000000"/>
                <w:sz w:val="22"/>
                <w:szCs w:val="22"/>
                <w:lang w:val="en-GB"/>
              </w:rPr>
              <w:t>,</w:t>
            </w:r>
            <w:r w:rsidR="00B5396D" w:rsidRPr="00CC70C2">
              <w:rPr>
                <w:color w:val="000000"/>
                <w:sz w:val="22"/>
                <w:szCs w:val="22"/>
                <w:lang w:val="en-GB"/>
              </w:rPr>
              <w:t xml:space="preserve"> </w:t>
            </w:r>
            <w:r w:rsidRPr="00CC70C2">
              <w:rPr>
                <w:iCs/>
                <w:color w:val="000000"/>
                <w:sz w:val="22"/>
                <w:szCs w:val="22"/>
                <w:lang w:val="en-GB"/>
              </w:rPr>
              <w:t>thrombocytopenia, anaemia, platelet count decreased</w:t>
            </w:r>
            <w:r w:rsidRPr="00CC70C2">
              <w:rPr>
                <w:iCs/>
                <w:color w:val="000000"/>
                <w:sz w:val="22"/>
                <w:szCs w:val="22"/>
                <w:vertAlign w:val="superscript"/>
                <w:lang w:val="en-GB"/>
              </w:rPr>
              <w:t>13</w:t>
            </w:r>
          </w:p>
        </w:tc>
        <w:tc>
          <w:tcPr>
            <w:tcW w:w="1397" w:type="dxa"/>
            <w:tcBorders>
              <w:top w:val="single" w:sz="4" w:space="0" w:color="auto"/>
              <w:left w:val="single" w:sz="4" w:space="0" w:color="auto"/>
              <w:bottom w:val="single" w:sz="4" w:space="0" w:color="auto"/>
              <w:right w:val="single" w:sz="4" w:space="0" w:color="auto"/>
            </w:tcBorders>
            <w:hideMark/>
          </w:tcPr>
          <w:p w14:paraId="5B20B515" w14:textId="77777777" w:rsidR="00D5152C" w:rsidRPr="00CC70C2" w:rsidRDefault="00D5152C">
            <w:pPr>
              <w:rPr>
                <w:i/>
                <w:iCs/>
                <w:color w:val="000000"/>
                <w:sz w:val="22"/>
                <w:szCs w:val="22"/>
                <w:lang w:val="en-GB"/>
              </w:rPr>
            </w:pPr>
            <w:r w:rsidRPr="00CC70C2">
              <w:rPr>
                <w:iCs/>
                <w:color w:val="000000"/>
                <w:sz w:val="22"/>
                <w:szCs w:val="22"/>
                <w:lang w:val="en-GB"/>
              </w:rPr>
              <w:t>Agranulocytosis</w:t>
            </w:r>
            <w:r w:rsidRPr="00CC70C2">
              <w:rPr>
                <w:iCs/>
                <w:color w:val="000000"/>
                <w:sz w:val="22"/>
                <w:szCs w:val="22"/>
                <w:vertAlign w:val="superscript"/>
                <w:lang w:val="en-GB"/>
              </w:rPr>
              <w:t>26</w:t>
            </w:r>
          </w:p>
        </w:tc>
        <w:tc>
          <w:tcPr>
            <w:tcW w:w="1397" w:type="dxa"/>
            <w:tcBorders>
              <w:top w:val="single" w:sz="4" w:space="0" w:color="auto"/>
              <w:left w:val="single" w:sz="4" w:space="0" w:color="auto"/>
              <w:bottom w:val="single" w:sz="4" w:space="0" w:color="auto"/>
              <w:right w:val="single" w:sz="4" w:space="0" w:color="auto"/>
            </w:tcBorders>
          </w:tcPr>
          <w:p w14:paraId="10CFBD2D"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0C9912F6" w14:textId="77777777" w:rsidR="00D5152C" w:rsidRPr="00CC70C2" w:rsidRDefault="00D5152C">
            <w:pPr>
              <w:rPr>
                <w:i/>
                <w:iCs/>
                <w:color w:val="000000"/>
                <w:sz w:val="22"/>
                <w:szCs w:val="22"/>
                <w:lang w:val="en-GB"/>
              </w:rPr>
            </w:pPr>
          </w:p>
        </w:tc>
      </w:tr>
      <w:tr w:rsidR="00D5152C" w:rsidRPr="00CC70C2" w14:paraId="47F7D7C9"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2A63F506" w14:textId="77777777" w:rsidR="00D5152C" w:rsidRPr="00CC70C2" w:rsidRDefault="00D5152C">
            <w:pPr>
              <w:rPr>
                <w:i/>
                <w:iCs/>
                <w:color w:val="000000"/>
                <w:sz w:val="22"/>
                <w:szCs w:val="22"/>
                <w:lang w:val="en-GB"/>
              </w:rPr>
            </w:pPr>
            <w:r w:rsidRPr="00CC70C2">
              <w:rPr>
                <w:i/>
                <w:iCs/>
                <w:color w:val="000000"/>
                <w:sz w:val="22"/>
                <w:szCs w:val="22"/>
                <w:lang w:val="en-GB"/>
              </w:rPr>
              <w:t>Immune system disorders</w:t>
            </w:r>
          </w:p>
        </w:tc>
        <w:tc>
          <w:tcPr>
            <w:tcW w:w="1234" w:type="dxa"/>
            <w:tcBorders>
              <w:top w:val="single" w:sz="4" w:space="0" w:color="auto"/>
              <w:left w:val="single" w:sz="4" w:space="0" w:color="auto"/>
              <w:bottom w:val="single" w:sz="4" w:space="0" w:color="auto"/>
              <w:right w:val="single" w:sz="4" w:space="0" w:color="auto"/>
            </w:tcBorders>
          </w:tcPr>
          <w:p w14:paraId="57BBB46E"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5705C437"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hideMark/>
          </w:tcPr>
          <w:p w14:paraId="13454D2C" w14:textId="77777777" w:rsidR="00D5152C" w:rsidRPr="00CC70C2" w:rsidRDefault="00D5152C">
            <w:pPr>
              <w:rPr>
                <w:i/>
                <w:iCs/>
                <w:color w:val="000000"/>
                <w:sz w:val="22"/>
                <w:szCs w:val="22"/>
                <w:lang w:val="en-GB"/>
              </w:rPr>
            </w:pPr>
            <w:r w:rsidRPr="00CC70C2">
              <w:rPr>
                <w:iCs/>
                <w:color w:val="000000"/>
                <w:sz w:val="22"/>
                <w:szCs w:val="22"/>
                <w:lang w:val="en-GB"/>
              </w:rPr>
              <w:t>Hypersensitivity (including allergic skin reactions)</w:t>
            </w:r>
          </w:p>
        </w:tc>
        <w:tc>
          <w:tcPr>
            <w:tcW w:w="1397" w:type="dxa"/>
            <w:tcBorders>
              <w:top w:val="single" w:sz="4" w:space="0" w:color="auto"/>
              <w:left w:val="single" w:sz="4" w:space="0" w:color="auto"/>
              <w:bottom w:val="single" w:sz="4" w:space="0" w:color="auto"/>
              <w:right w:val="single" w:sz="4" w:space="0" w:color="auto"/>
            </w:tcBorders>
          </w:tcPr>
          <w:p w14:paraId="64AE46A2"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0CD890CB" w14:textId="77777777" w:rsidR="00D5152C" w:rsidRPr="00CC70C2" w:rsidRDefault="00D5152C">
            <w:pPr>
              <w:rPr>
                <w:i/>
                <w:iCs/>
                <w:color w:val="000000"/>
                <w:sz w:val="22"/>
                <w:szCs w:val="22"/>
                <w:lang w:val="en-GB"/>
              </w:rPr>
            </w:pPr>
            <w:r w:rsidRPr="00CC70C2">
              <w:rPr>
                <w:iCs/>
                <w:color w:val="000000"/>
                <w:sz w:val="22"/>
                <w:szCs w:val="22"/>
                <w:lang w:val="en-GB"/>
              </w:rPr>
              <w:t>Anaphylactic reaction</w:t>
            </w:r>
            <w:r w:rsidRPr="00CC70C2">
              <w:rPr>
                <w:iCs/>
                <w:color w:val="000000"/>
                <w:sz w:val="22"/>
                <w:szCs w:val="22"/>
                <w:vertAlign w:val="superscript"/>
                <w:lang w:val="en-GB"/>
              </w:rPr>
              <w:t>5</w:t>
            </w:r>
          </w:p>
        </w:tc>
        <w:tc>
          <w:tcPr>
            <w:tcW w:w="1398" w:type="dxa"/>
            <w:tcBorders>
              <w:top w:val="single" w:sz="4" w:space="0" w:color="auto"/>
              <w:left w:val="single" w:sz="4" w:space="0" w:color="auto"/>
              <w:bottom w:val="single" w:sz="4" w:space="0" w:color="auto"/>
              <w:right w:val="single" w:sz="4" w:space="0" w:color="auto"/>
            </w:tcBorders>
          </w:tcPr>
          <w:p w14:paraId="6B376A59" w14:textId="77777777" w:rsidR="00D5152C" w:rsidRPr="00CC70C2" w:rsidRDefault="00D5152C">
            <w:pPr>
              <w:rPr>
                <w:i/>
                <w:iCs/>
                <w:color w:val="000000"/>
                <w:sz w:val="22"/>
                <w:szCs w:val="22"/>
                <w:lang w:val="en-GB"/>
              </w:rPr>
            </w:pPr>
          </w:p>
        </w:tc>
      </w:tr>
      <w:tr w:rsidR="00D5152C" w:rsidRPr="00CC70C2" w14:paraId="497EC331"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0A1E12D0" w14:textId="77777777" w:rsidR="00D5152C" w:rsidRPr="00CC70C2" w:rsidRDefault="00D5152C">
            <w:pPr>
              <w:rPr>
                <w:i/>
                <w:iCs/>
                <w:color w:val="000000"/>
                <w:sz w:val="22"/>
                <w:szCs w:val="22"/>
                <w:lang w:val="en-GB"/>
              </w:rPr>
            </w:pPr>
            <w:r w:rsidRPr="00CC70C2">
              <w:rPr>
                <w:i/>
                <w:iCs/>
                <w:color w:val="000000"/>
                <w:sz w:val="22"/>
                <w:szCs w:val="22"/>
                <w:lang w:val="en-GB"/>
              </w:rPr>
              <w:t>Endocrine disorders</w:t>
            </w:r>
          </w:p>
        </w:tc>
        <w:tc>
          <w:tcPr>
            <w:tcW w:w="1234" w:type="dxa"/>
            <w:tcBorders>
              <w:top w:val="single" w:sz="4" w:space="0" w:color="auto"/>
              <w:left w:val="single" w:sz="4" w:space="0" w:color="auto"/>
              <w:bottom w:val="single" w:sz="4" w:space="0" w:color="auto"/>
              <w:right w:val="single" w:sz="4" w:space="0" w:color="auto"/>
            </w:tcBorders>
          </w:tcPr>
          <w:p w14:paraId="3EC47268"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7F0F3690" w14:textId="260267AB" w:rsidR="00D5152C" w:rsidRPr="00CC70C2" w:rsidRDefault="00D5152C" w:rsidP="00B5396D">
            <w:pPr>
              <w:rPr>
                <w:i/>
                <w:iCs/>
                <w:color w:val="000000"/>
                <w:sz w:val="22"/>
                <w:szCs w:val="22"/>
                <w:lang w:val="en-GB"/>
              </w:rPr>
            </w:pPr>
            <w:r w:rsidRPr="00CC70C2">
              <w:rPr>
                <w:iCs/>
                <w:color w:val="000000"/>
                <w:sz w:val="22"/>
                <w:szCs w:val="22"/>
                <w:lang w:val="en-GB"/>
              </w:rPr>
              <w:t>Hyperprolactinemia</w:t>
            </w:r>
            <w:r w:rsidRPr="00CC70C2">
              <w:rPr>
                <w:iCs/>
                <w:color w:val="000000"/>
                <w:sz w:val="22"/>
                <w:szCs w:val="22"/>
                <w:vertAlign w:val="superscript"/>
                <w:lang w:val="en-GB"/>
              </w:rPr>
              <w:t>15</w:t>
            </w:r>
            <w:r w:rsidRPr="00CC70C2">
              <w:rPr>
                <w:iCs/>
                <w:color w:val="000000"/>
                <w:sz w:val="22"/>
                <w:szCs w:val="22"/>
                <w:lang w:val="en-GB"/>
              </w:rPr>
              <w:t>,</w:t>
            </w:r>
            <w:r w:rsidR="00B5396D" w:rsidRPr="00CC70C2">
              <w:rPr>
                <w:iCs/>
                <w:color w:val="000000"/>
                <w:sz w:val="22"/>
                <w:szCs w:val="22"/>
                <w:lang w:val="en-GB"/>
              </w:rPr>
              <w:t xml:space="preserve"> </w:t>
            </w:r>
            <w:r w:rsidRPr="00CC70C2">
              <w:rPr>
                <w:iCs/>
                <w:color w:val="000000"/>
                <w:sz w:val="22"/>
                <w:szCs w:val="22"/>
                <w:lang w:val="en-GB"/>
              </w:rPr>
              <w:t>decreases in total T</w:t>
            </w:r>
            <w:r w:rsidRPr="00CC70C2">
              <w:rPr>
                <w:iCs/>
                <w:color w:val="000000"/>
                <w:sz w:val="22"/>
                <w:szCs w:val="22"/>
                <w:vertAlign w:val="subscript"/>
                <w:lang w:val="en-GB"/>
              </w:rPr>
              <w:t>4</w:t>
            </w:r>
            <w:r w:rsidRPr="00CC70C2">
              <w:rPr>
                <w:iCs/>
                <w:color w:val="000000"/>
                <w:sz w:val="22"/>
                <w:szCs w:val="22"/>
                <w:vertAlign w:val="superscript"/>
                <w:lang w:val="en-GB"/>
              </w:rPr>
              <w:t>24</w:t>
            </w:r>
            <w:r w:rsidRPr="00CC70C2">
              <w:rPr>
                <w:iCs/>
                <w:color w:val="000000"/>
                <w:sz w:val="22"/>
                <w:szCs w:val="22"/>
                <w:lang w:val="en-GB"/>
              </w:rPr>
              <w:t>,</w:t>
            </w:r>
            <w:r w:rsidR="00B5396D" w:rsidRPr="00CC70C2">
              <w:rPr>
                <w:iCs/>
                <w:color w:val="000000"/>
                <w:sz w:val="22"/>
                <w:szCs w:val="22"/>
                <w:lang w:val="en-GB"/>
              </w:rPr>
              <w:t xml:space="preserve"> </w:t>
            </w:r>
            <w:r w:rsidRPr="00CC70C2">
              <w:rPr>
                <w:iCs/>
                <w:color w:val="000000"/>
                <w:sz w:val="22"/>
                <w:szCs w:val="22"/>
                <w:lang w:val="en-GB"/>
              </w:rPr>
              <w:t>decreases in free T</w:t>
            </w:r>
            <w:r w:rsidRPr="00CC70C2">
              <w:rPr>
                <w:iCs/>
                <w:color w:val="000000"/>
                <w:sz w:val="22"/>
                <w:szCs w:val="22"/>
                <w:vertAlign w:val="subscript"/>
                <w:lang w:val="en-GB"/>
              </w:rPr>
              <w:t>4</w:t>
            </w:r>
            <w:r w:rsidRPr="00CC70C2">
              <w:rPr>
                <w:iCs/>
                <w:color w:val="000000"/>
                <w:sz w:val="22"/>
                <w:szCs w:val="22"/>
                <w:vertAlign w:val="superscript"/>
                <w:lang w:val="en-GB"/>
              </w:rPr>
              <w:t>24</w:t>
            </w:r>
            <w:r w:rsidRPr="00CC70C2">
              <w:rPr>
                <w:iCs/>
                <w:color w:val="000000"/>
                <w:sz w:val="22"/>
                <w:szCs w:val="22"/>
                <w:lang w:val="en-GB"/>
              </w:rPr>
              <w:t>,</w:t>
            </w:r>
            <w:r w:rsidR="00B5396D" w:rsidRPr="00CC70C2">
              <w:rPr>
                <w:iCs/>
                <w:color w:val="000000"/>
                <w:sz w:val="22"/>
                <w:szCs w:val="22"/>
                <w:lang w:val="en-GB"/>
              </w:rPr>
              <w:t xml:space="preserve"> </w:t>
            </w:r>
            <w:r w:rsidRPr="00CC70C2">
              <w:rPr>
                <w:iCs/>
                <w:color w:val="000000"/>
                <w:sz w:val="22"/>
                <w:szCs w:val="22"/>
                <w:lang w:val="en-GB"/>
              </w:rPr>
              <w:t>decreases in total T</w:t>
            </w:r>
            <w:r w:rsidRPr="00CC70C2">
              <w:rPr>
                <w:iCs/>
                <w:color w:val="000000"/>
                <w:sz w:val="22"/>
                <w:szCs w:val="22"/>
                <w:vertAlign w:val="subscript"/>
                <w:lang w:val="en-GB"/>
              </w:rPr>
              <w:t>3</w:t>
            </w:r>
            <w:r w:rsidRPr="00CC70C2">
              <w:rPr>
                <w:iCs/>
                <w:color w:val="000000"/>
                <w:sz w:val="22"/>
                <w:szCs w:val="22"/>
                <w:vertAlign w:val="superscript"/>
                <w:lang w:val="en-GB"/>
              </w:rPr>
              <w:t>24</w:t>
            </w:r>
            <w:r w:rsidRPr="00CC70C2">
              <w:rPr>
                <w:iCs/>
                <w:color w:val="000000"/>
                <w:sz w:val="22"/>
                <w:szCs w:val="22"/>
                <w:lang w:val="en-GB"/>
              </w:rPr>
              <w:t>,</w:t>
            </w:r>
            <w:r w:rsidR="00B5396D" w:rsidRPr="00CC70C2">
              <w:rPr>
                <w:iCs/>
                <w:color w:val="000000"/>
                <w:sz w:val="22"/>
                <w:szCs w:val="22"/>
                <w:lang w:val="en-GB"/>
              </w:rPr>
              <w:t xml:space="preserve"> </w:t>
            </w:r>
            <w:r w:rsidRPr="00CC70C2">
              <w:rPr>
                <w:iCs/>
                <w:color w:val="000000"/>
                <w:sz w:val="22"/>
                <w:szCs w:val="22"/>
                <w:lang w:val="en-GB"/>
              </w:rPr>
              <w:t xml:space="preserve">increases in TSH </w:t>
            </w:r>
            <w:r w:rsidRPr="00CC70C2">
              <w:rPr>
                <w:iCs/>
                <w:color w:val="000000"/>
                <w:sz w:val="22"/>
                <w:szCs w:val="22"/>
                <w:vertAlign w:val="superscript"/>
                <w:lang w:val="en-GB"/>
              </w:rPr>
              <w:t>24</w:t>
            </w:r>
          </w:p>
        </w:tc>
        <w:tc>
          <w:tcPr>
            <w:tcW w:w="1398" w:type="dxa"/>
            <w:tcBorders>
              <w:top w:val="single" w:sz="4" w:space="0" w:color="auto"/>
              <w:left w:val="single" w:sz="4" w:space="0" w:color="auto"/>
              <w:bottom w:val="single" w:sz="4" w:space="0" w:color="auto"/>
              <w:right w:val="single" w:sz="4" w:space="0" w:color="auto"/>
            </w:tcBorders>
            <w:hideMark/>
          </w:tcPr>
          <w:p w14:paraId="621E50C3" w14:textId="1FD9BF0C" w:rsidR="00D5152C" w:rsidRPr="00CC70C2" w:rsidRDefault="00D5152C" w:rsidP="00B5396D">
            <w:pPr>
              <w:rPr>
                <w:i/>
                <w:iCs/>
                <w:color w:val="000000"/>
                <w:sz w:val="22"/>
                <w:szCs w:val="22"/>
                <w:lang w:val="en-GB"/>
              </w:rPr>
            </w:pPr>
            <w:r w:rsidRPr="00CC70C2">
              <w:rPr>
                <w:iCs/>
                <w:color w:val="000000"/>
                <w:sz w:val="22"/>
                <w:szCs w:val="22"/>
                <w:lang w:val="en-GB"/>
              </w:rPr>
              <w:t>Decreases in free T</w:t>
            </w:r>
            <w:r w:rsidRPr="00CC70C2">
              <w:rPr>
                <w:iCs/>
                <w:color w:val="000000"/>
                <w:sz w:val="22"/>
                <w:szCs w:val="22"/>
                <w:vertAlign w:val="subscript"/>
                <w:lang w:val="en-GB"/>
              </w:rPr>
              <w:t>3</w:t>
            </w:r>
            <w:r w:rsidRPr="00CC70C2">
              <w:rPr>
                <w:iCs/>
                <w:color w:val="000000"/>
                <w:sz w:val="22"/>
                <w:szCs w:val="22"/>
                <w:vertAlign w:val="superscript"/>
                <w:lang w:val="en-GB"/>
              </w:rPr>
              <w:t>24</w:t>
            </w:r>
            <w:r w:rsidRPr="00CC70C2">
              <w:rPr>
                <w:i/>
                <w:iCs/>
                <w:color w:val="000000"/>
                <w:sz w:val="22"/>
                <w:szCs w:val="22"/>
                <w:lang w:val="en-GB"/>
              </w:rPr>
              <w:t>,</w:t>
            </w:r>
            <w:r w:rsidR="00B5396D" w:rsidRPr="00CC70C2">
              <w:rPr>
                <w:i/>
                <w:iCs/>
                <w:color w:val="000000"/>
                <w:sz w:val="22"/>
                <w:szCs w:val="22"/>
                <w:lang w:val="en-GB"/>
              </w:rPr>
              <w:t xml:space="preserve"> </w:t>
            </w:r>
            <w:r w:rsidRPr="00CC70C2">
              <w:rPr>
                <w:iCs/>
                <w:color w:val="000000"/>
                <w:sz w:val="22"/>
                <w:szCs w:val="22"/>
                <w:lang w:val="en-GB"/>
              </w:rPr>
              <w:t>hypothyroidism</w:t>
            </w:r>
            <w:r w:rsidRPr="00CC70C2">
              <w:rPr>
                <w:iCs/>
                <w:color w:val="000000"/>
                <w:sz w:val="22"/>
                <w:szCs w:val="22"/>
                <w:vertAlign w:val="superscript"/>
                <w:lang w:val="en-GB"/>
              </w:rPr>
              <w:t>21</w:t>
            </w:r>
          </w:p>
        </w:tc>
        <w:tc>
          <w:tcPr>
            <w:tcW w:w="1397" w:type="dxa"/>
            <w:tcBorders>
              <w:top w:val="single" w:sz="4" w:space="0" w:color="auto"/>
              <w:left w:val="single" w:sz="4" w:space="0" w:color="auto"/>
              <w:bottom w:val="single" w:sz="4" w:space="0" w:color="auto"/>
              <w:right w:val="single" w:sz="4" w:space="0" w:color="auto"/>
            </w:tcBorders>
          </w:tcPr>
          <w:p w14:paraId="400D382F"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563139C4" w14:textId="77777777" w:rsidR="00D5152C" w:rsidRPr="00CC70C2" w:rsidRDefault="00D5152C">
            <w:pPr>
              <w:rPr>
                <w:i/>
                <w:iCs/>
                <w:color w:val="000000"/>
                <w:sz w:val="22"/>
                <w:szCs w:val="22"/>
                <w:lang w:val="en-GB"/>
              </w:rPr>
            </w:pPr>
            <w:r w:rsidRPr="00CC70C2">
              <w:rPr>
                <w:iCs/>
                <w:color w:val="000000"/>
                <w:sz w:val="22"/>
                <w:szCs w:val="22"/>
                <w:lang w:val="en-GB"/>
              </w:rPr>
              <w:t>Inappropriate antidiuretic hormone secretion</w:t>
            </w:r>
          </w:p>
        </w:tc>
        <w:tc>
          <w:tcPr>
            <w:tcW w:w="1398" w:type="dxa"/>
            <w:tcBorders>
              <w:top w:val="single" w:sz="4" w:space="0" w:color="auto"/>
              <w:left w:val="single" w:sz="4" w:space="0" w:color="auto"/>
              <w:bottom w:val="single" w:sz="4" w:space="0" w:color="auto"/>
              <w:right w:val="single" w:sz="4" w:space="0" w:color="auto"/>
            </w:tcBorders>
          </w:tcPr>
          <w:p w14:paraId="3981F41D" w14:textId="77777777" w:rsidR="00D5152C" w:rsidRPr="00CC70C2" w:rsidRDefault="00D5152C">
            <w:pPr>
              <w:rPr>
                <w:i/>
                <w:iCs/>
                <w:color w:val="000000"/>
                <w:sz w:val="22"/>
                <w:szCs w:val="22"/>
                <w:lang w:val="en-GB"/>
              </w:rPr>
            </w:pPr>
          </w:p>
        </w:tc>
      </w:tr>
      <w:tr w:rsidR="00D5152C" w:rsidRPr="00CC70C2" w14:paraId="1B5F3CD2"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1F1313A8" w14:textId="77777777" w:rsidR="00D5152C" w:rsidRPr="00CC70C2" w:rsidRDefault="00D5152C">
            <w:pPr>
              <w:rPr>
                <w:i/>
                <w:iCs/>
                <w:color w:val="000000"/>
                <w:sz w:val="22"/>
                <w:szCs w:val="22"/>
                <w:lang w:val="en-GB"/>
              </w:rPr>
            </w:pPr>
            <w:r w:rsidRPr="00CC70C2">
              <w:rPr>
                <w:i/>
                <w:iCs/>
                <w:color w:val="000000"/>
                <w:sz w:val="22"/>
                <w:szCs w:val="22"/>
                <w:lang w:val="en-GB"/>
              </w:rPr>
              <w:t>Metabolism and nutrition disorders</w:t>
            </w:r>
          </w:p>
        </w:tc>
        <w:tc>
          <w:tcPr>
            <w:tcW w:w="1234" w:type="dxa"/>
            <w:tcBorders>
              <w:top w:val="single" w:sz="4" w:space="0" w:color="auto"/>
              <w:left w:val="single" w:sz="4" w:space="0" w:color="auto"/>
              <w:bottom w:val="single" w:sz="4" w:space="0" w:color="auto"/>
              <w:right w:val="single" w:sz="4" w:space="0" w:color="auto"/>
            </w:tcBorders>
            <w:hideMark/>
          </w:tcPr>
          <w:p w14:paraId="3C3403D5" w14:textId="5CA35A43" w:rsidR="00D5152C" w:rsidRPr="00CC70C2" w:rsidRDefault="00D5152C" w:rsidP="000B07BB">
            <w:pPr>
              <w:rPr>
                <w:iCs/>
                <w:color w:val="000000"/>
                <w:sz w:val="22"/>
                <w:szCs w:val="22"/>
                <w:vertAlign w:val="superscript"/>
                <w:lang w:val="en-GB"/>
              </w:rPr>
            </w:pPr>
            <w:r w:rsidRPr="00CC70C2">
              <w:rPr>
                <w:iCs/>
                <w:color w:val="000000"/>
                <w:sz w:val="22"/>
                <w:szCs w:val="22"/>
                <w:lang w:val="en-GB"/>
              </w:rPr>
              <w:t>Elevations in serum triglyceride levels</w:t>
            </w:r>
            <w:r w:rsidRPr="00CC70C2">
              <w:rPr>
                <w:iCs/>
                <w:color w:val="000000"/>
                <w:sz w:val="22"/>
                <w:szCs w:val="22"/>
                <w:vertAlign w:val="superscript"/>
                <w:lang w:val="en-GB"/>
              </w:rPr>
              <w:t>10,30</w:t>
            </w:r>
            <w:r w:rsidRPr="00CC70C2">
              <w:rPr>
                <w:iCs/>
                <w:color w:val="000000"/>
                <w:sz w:val="22"/>
                <w:szCs w:val="22"/>
                <w:lang w:val="en-GB"/>
              </w:rPr>
              <w:t>, elevations in total cholesterol (predominantly LDL cholesterol)</w:t>
            </w:r>
            <w:r w:rsidRPr="00CC70C2">
              <w:rPr>
                <w:iCs/>
                <w:color w:val="000000"/>
                <w:sz w:val="22"/>
                <w:szCs w:val="22"/>
                <w:vertAlign w:val="superscript"/>
                <w:lang w:val="en-GB"/>
              </w:rPr>
              <w:t>11,30</w:t>
            </w:r>
            <w:r w:rsidRPr="00CC70C2">
              <w:rPr>
                <w:iCs/>
                <w:color w:val="000000"/>
                <w:sz w:val="22"/>
                <w:szCs w:val="22"/>
                <w:lang w:val="en-GB"/>
              </w:rPr>
              <w:t>,</w:t>
            </w:r>
            <w:r w:rsidR="000B07BB" w:rsidRPr="00CC70C2">
              <w:rPr>
                <w:iCs/>
                <w:color w:val="000000"/>
                <w:sz w:val="22"/>
                <w:szCs w:val="22"/>
                <w:lang w:val="en-GB"/>
              </w:rPr>
              <w:t xml:space="preserve"> </w:t>
            </w:r>
            <w:r w:rsidRPr="00CC70C2">
              <w:rPr>
                <w:iCs/>
                <w:color w:val="000000"/>
                <w:sz w:val="22"/>
                <w:szCs w:val="22"/>
                <w:lang w:val="en-GB"/>
              </w:rPr>
              <w:t>decreases in HDL cholesterol</w:t>
            </w:r>
            <w:r w:rsidRPr="00CC70C2">
              <w:rPr>
                <w:iCs/>
                <w:color w:val="000000"/>
                <w:sz w:val="22"/>
                <w:szCs w:val="22"/>
                <w:vertAlign w:val="superscript"/>
                <w:lang w:val="en-GB"/>
              </w:rPr>
              <w:t>17,30</w:t>
            </w:r>
            <w:r w:rsidRPr="00CC70C2">
              <w:rPr>
                <w:iCs/>
                <w:color w:val="000000"/>
                <w:sz w:val="22"/>
                <w:szCs w:val="22"/>
                <w:lang w:val="en-GB"/>
              </w:rPr>
              <w:t>, weight gain</w:t>
            </w:r>
            <w:r w:rsidRPr="00CC70C2">
              <w:rPr>
                <w:iCs/>
                <w:color w:val="000000"/>
                <w:sz w:val="22"/>
                <w:szCs w:val="22"/>
                <w:vertAlign w:val="superscript"/>
                <w:lang w:val="en-GB"/>
              </w:rPr>
              <w:t>8,30</w:t>
            </w:r>
          </w:p>
        </w:tc>
        <w:tc>
          <w:tcPr>
            <w:tcW w:w="1397" w:type="dxa"/>
            <w:tcBorders>
              <w:top w:val="single" w:sz="4" w:space="0" w:color="auto"/>
              <w:left w:val="single" w:sz="4" w:space="0" w:color="auto"/>
              <w:bottom w:val="single" w:sz="4" w:space="0" w:color="auto"/>
              <w:right w:val="single" w:sz="4" w:space="0" w:color="auto"/>
            </w:tcBorders>
          </w:tcPr>
          <w:p w14:paraId="762ACA8D" w14:textId="1B1C9AF8" w:rsidR="00D5152C" w:rsidRPr="00CC70C2" w:rsidRDefault="00D5152C" w:rsidP="000B07BB">
            <w:pPr>
              <w:rPr>
                <w:i/>
                <w:iCs/>
                <w:color w:val="000000"/>
                <w:sz w:val="22"/>
                <w:szCs w:val="22"/>
                <w:lang w:val="en-GB"/>
              </w:rPr>
            </w:pPr>
            <w:r w:rsidRPr="00CC70C2">
              <w:rPr>
                <w:iCs/>
                <w:color w:val="000000"/>
                <w:sz w:val="22"/>
                <w:szCs w:val="22"/>
                <w:lang w:val="en-GB"/>
              </w:rPr>
              <w:t>Increased appetite, blood glucose increased to hyperglycaemic levels</w:t>
            </w:r>
            <w:r w:rsidRPr="00CC70C2">
              <w:rPr>
                <w:iCs/>
                <w:color w:val="000000"/>
                <w:sz w:val="22"/>
                <w:szCs w:val="22"/>
                <w:vertAlign w:val="superscript"/>
                <w:lang w:val="en-GB"/>
              </w:rPr>
              <w:t>6,30</w:t>
            </w:r>
          </w:p>
        </w:tc>
        <w:tc>
          <w:tcPr>
            <w:tcW w:w="1398" w:type="dxa"/>
            <w:tcBorders>
              <w:top w:val="single" w:sz="4" w:space="0" w:color="auto"/>
              <w:left w:val="single" w:sz="4" w:space="0" w:color="auto"/>
              <w:bottom w:val="single" w:sz="4" w:space="0" w:color="auto"/>
              <w:right w:val="single" w:sz="4" w:space="0" w:color="auto"/>
            </w:tcBorders>
            <w:hideMark/>
          </w:tcPr>
          <w:p w14:paraId="1CCD56CB" w14:textId="61F1FA4F" w:rsidR="00D5152C" w:rsidRPr="00CC70C2" w:rsidRDefault="00D5152C">
            <w:pPr>
              <w:rPr>
                <w:iCs/>
                <w:color w:val="000000"/>
                <w:sz w:val="22"/>
                <w:szCs w:val="22"/>
                <w:vertAlign w:val="superscript"/>
                <w:lang w:val="en-GB"/>
              </w:rPr>
            </w:pPr>
            <w:r w:rsidRPr="00CC70C2">
              <w:rPr>
                <w:iCs/>
                <w:color w:val="000000"/>
                <w:sz w:val="22"/>
                <w:szCs w:val="22"/>
                <w:lang w:val="en-GB"/>
              </w:rPr>
              <w:t>Hyponatraemia</w:t>
            </w:r>
            <w:r w:rsidRPr="00CC70C2">
              <w:rPr>
                <w:iCs/>
                <w:color w:val="000000"/>
                <w:sz w:val="22"/>
                <w:szCs w:val="22"/>
                <w:vertAlign w:val="superscript"/>
                <w:lang w:val="en-GB"/>
              </w:rPr>
              <w:t>19</w:t>
            </w:r>
            <w:r w:rsidRPr="00CC70C2">
              <w:rPr>
                <w:iCs/>
                <w:color w:val="000000"/>
                <w:sz w:val="22"/>
                <w:szCs w:val="22"/>
                <w:lang w:val="en-GB"/>
              </w:rPr>
              <w:t>, Diabetes Mellitus</w:t>
            </w:r>
            <w:r w:rsidRPr="00CC70C2">
              <w:rPr>
                <w:iCs/>
                <w:color w:val="000000"/>
                <w:sz w:val="22"/>
                <w:szCs w:val="22"/>
                <w:vertAlign w:val="superscript"/>
                <w:lang w:val="en-GB"/>
              </w:rPr>
              <w:t>1,5</w:t>
            </w:r>
            <w:r w:rsidRPr="00CC70C2">
              <w:rPr>
                <w:iCs/>
                <w:color w:val="000000"/>
                <w:sz w:val="22"/>
                <w:szCs w:val="22"/>
                <w:lang w:val="en-GB"/>
              </w:rPr>
              <w:t xml:space="preserve">, </w:t>
            </w:r>
          </w:p>
          <w:p w14:paraId="0C875DC0" w14:textId="77777777" w:rsidR="00D5152C" w:rsidRPr="00CC70C2" w:rsidRDefault="00D5152C">
            <w:pPr>
              <w:rPr>
                <w:i/>
                <w:iCs/>
                <w:color w:val="000000"/>
                <w:sz w:val="22"/>
                <w:szCs w:val="22"/>
                <w:lang w:val="en-GB"/>
              </w:rPr>
            </w:pPr>
            <w:r w:rsidRPr="00CC70C2">
              <w:rPr>
                <w:iCs/>
                <w:color w:val="000000"/>
                <w:sz w:val="22"/>
                <w:szCs w:val="22"/>
                <w:lang w:val="en-GB"/>
              </w:rPr>
              <w:t>exacerbation of pre-existing diabetes</w:t>
            </w:r>
          </w:p>
        </w:tc>
        <w:tc>
          <w:tcPr>
            <w:tcW w:w="1397" w:type="dxa"/>
            <w:tcBorders>
              <w:top w:val="single" w:sz="4" w:space="0" w:color="auto"/>
              <w:left w:val="single" w:sz="4" w:space="0" w:color="auto"/>
              <w:bottom w:val="single" w:sz="4" w:space="0" w:color="auto"/>
              <w:right w:val="single" w:sz="4" w:space="0" w:color="auto"/>
            </w:tcBorders>
            <w:hideMark/>
          </w:tcPr>
          <w:p w14:paraId="40244479" w14:textId="77777777" w:rsidR="00D5152C" w:rsidRPr="00CC70C2" w:rsidRDefault="00D5152C">
            <w:pPr>
              <w:ind w:right="-108"/>
              <w:rPr>
                <w:i/>
                <w:iCs/>
                <w:color w:val="000000"/>
                <w:sz w:val="22"/>
                <w:szCs w:val="22"/>
                <w:lang w:val="en-GB"/>
              </w:rPr>
            </w:pPr>
            <w:r w:rsidRPr="00CC70C2">
              <w:rPr>
                <w:iCs/>
                <w:color w:val="000000"/>
                <w:sz w:val="22"/>
                <w:szCs w:val="22"/>
                <w:lang w:val="en-GB"/>
              </w:rPr>
              <w:t>Metabolic syndrome</w:t>
            </w:r>
            <w:r w:rsidRPr="00CC70C2">
              <w:rPr>
                <w:iCs/>
                <w:color w:val="000000"/>
                <w:sz w:val="22"/>
                <w:szCs w:val="22"/>
                <w:vertAlign w:val="superscript"/>
                <w:lang w:val="en-GB"/>
              </w:rPr>
              <w:t>29</w:t>
            </w:r>
          </w:p>
        </w:tc>
        <w:tc>
          <w:tcPr>
            <w:tcW w:w="1397" w:type="dxa"/>
            <w:tcBorders>
              <w:top w:val="single" w:sz="4" w:space="0" w:color="auto"/>
              <w:left w:val="single" w:sz="4" w:space="0" w:color="auto"/>
              <w:bottom w:val="single" w:sz="4" w:space="0" w:color="auto"/>
              <w:right w:val="single" w:sz="4" w:space="0" w:color="auto"/>
            </w:tcBorders>
          </w:tcPr>
          <w:p w14:paraId="4A63B8DD" w14:textId="77777777" w:rsidR="00D5152C" w:rsidRPr="00CC70C2" w:rsidRDefault="00D5152C">
            <w:pPr>
              <w:rPr>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6EB7C721" w14:textId="77777777" w:rsidR="00D5152C" w:rsidRPr="00CC70C2" w:rsidRDefault="00D5152C">
            <w:pPr>
              <w:ind w:right="-108"/>
              <w:rPr>
                <w:i/>
                <w:iCs/>
                <w:color w:val="000000"/>
                <w:sz w:val="22"/>
                <w:szCs w:val="22"/>
                <w:lang w:val="en-GB"/>
              </w:rPr>
            </w:pPr>
          </w:p>
        </w:tc>
      </w:tr>
      <w:tr w:rsidR="00D5152C" w:rsidRPr="000B772F" w14:paraId="043E1AD3"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2FACF345" w14:textId="77777777" w:rsidR="00D5152C" w:rsidRPr="00CC70C2" w:rsidRDefault="00D5152C">
            <w:pPr>
              <w:rPr>
                <w:i/>
                <w:iCs/>
                <w:color w:val="000000"/>
                <w:sz w:val="22"/>
                <w:szCs w:val="22"/>
                <w:lang w:val="en-GB"/>
              </w:rPr>
            </w:pPr>
            <w:r w:rsidRPr="00CC70C2">
              <w:rPr>
                <w:i/>
                <w:iCs/>
                <w:color w:val="000000"/>
                <w:sz w:val="22"/>
                <w:szCs w:val="22"/>
                <w:lang w:val="en-GB"/>
              </w:rPr>
              <w:t>Psychiatric disorders</w:t>
            </w:r>
          </w:p>
        </w:tc>
        <w:tc>
          <w:tcPr>
            <w:tcW w:w="1234" w:type="dxa"/>
            <w:tcBorders>
              <w:top w:val="single" w:sz="4" w:space="0" w:color="auto"/>
              <w:left w:val="single" w:sz="4" w:space="0" w:color="auto"/>
              <w:bottom w:val="single" w:sz="4" w:space="0" w:color="auto"/>
              <w:right w:val="single" w:sz="4" w:space="0" w:color="auto"/>
            </w:tcBorders>
          </w:tcPr>
          <w:p w14:paraId="18FD73A3"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06C86644" w14:textId="5204487C" w:rsidR="00D5152C" w:rsidRPr="00CC70C2" w:rsidRDefault="00D5152C" w:rsidP="00B5396D">
            <w:pPr>
              <w:rPr>
                <w:i/>
                <w:iCs/>
                <w:color w:val="000000"/>
                <w:sz w:val="22"/>
                <w:szCs w:val="22"/>
                <w:lang w:val="en-GB"/>
              </w:rPr>
            </w:pPr>
            <w:r w:rsidRPr="00CC70C2">
              <w:rPr>
                <w:iCs/>
                <w:color w:val="000000"/>
                <w:sz w:val="22"/>
                <w:szCs w:val="22"/>
                <w:lang w:val="en-GB"/>
              </w:rPr>
              <w:t>Abnormal dreams and nightmares,</w:t>
            </w:r>
            <w:r w:rsidR="00B5396D" w:rsidRPr="00CC70C2">
              <w:rPr>
                <w:iCs/>
                <w:color w:val="000000"/>
                <w:sz w:val="22"/>
                <w:szCs w:val="22"/>
                <w:lang w:val="en-GB"/>
              </w:rPr>
              <w:t xml:space="preserve"> </w:t>
            </w:r>
            <w:r w:rsidRPr="00CC70C2">
              <w:rPr>
                <w:iCs/>
                <w:color w:val="000000"/>
                <w:sz w:val="22"/>
                <w:szCs w:val="22"/>
                <w:lang w:val="en-GB"/>
              </w:rPr>
              <w:t>suicidal ideation and suicidal behaviour</w:t>
            </w:r>
            <w:r w:rsidRPr="00CC70C2">
              <w:rPr>
                <w:iCs/>
                <w:color w:val="000000"/>
                <w:sz w:val="22"/>
                <w:szCs w:val="22"/>
                <w:vertAlign w:val="superscript"/>
                <w:lang w:val="en-GB"/>
              </w:rPr>
              <w:t>20</w:t>
            </w:r>
          </w:p>
        </w:tc>
        <w:tc>
          <w:tcPr>
            <w:tcW w:w="1398" w:type="dxa"/>
            <w:tcBorders>
              <w:top w:val="single" w:sz="4" w:space="0" w:color="auto"/>
              <w:left w:val="single" w:sz="4" w:space="0" w:color="auto"/>
              <w:bottom w:val="single" w:sz="4" w:space="0" w:color="auto"/>
              <w:right w:val="single" w:sz="4" w:space="0" w:color="auto"/>
            </w:tcBorders>
          </w:tcPr>
          <w:p w14:paraId="5107F793"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39B19712" w14:textId="77777777" w:rsidR="00D5152C" w:rsidRPr="00CC70C2" w:rsidRDefault="00D5152C">
            <w:pPr>
              <w:rPr>
                <w:i/>
                <w:iCs/>
                <w:color w:val="000000"/>
                <w:sz w:val="22"/>
                <w:szCs w:val="22"/>
                <w:lang w:val="en-GB"/>
              </w:rPr>
            </w:pPr>
            <w:r w:rsidRPr="00CC70C2">
              <w:rPr>
                <w:iCs/>
                <w:color w:val="000000"/>
                <w:sz w:val="22"/>
                <w:szCs w:val="22"/>
                <w:lang w:val="en-GB"/>
              </w:rPr>
              <w:t>Somnambulism and related reactions such as sleep talking and sleep related eating disorder</w:t>
            </w:r>
          </w:p>
        </w:tc>
        <w:tc>
          <w:tcPr>
            <w:tcW w:w="1397" w:type="dxa"/>
            <w:tcBorders>
              <w:top w:val="single" w:sz="4" w:space="0" w:color="auto"/>
              <w:left w:val="single" w:sz="4" w:space="0" w:color="auto"/>
              <w:bottom w:val="single" w:sz="4" w:space="0" w:color="auto"/>
              <w:right w:val="single" w:sz="4" w:space="0" w:color="auto"/>
            </w:tcBorders>
          </w:tcPr>
          <w:p w14:paraId="6CFD711E"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51E97519" w14:textId="77777777" w:rsidR="00D5152C" w:rsidRPr="00CC70C2" w:rsidRDefault="00D5152C">
            <w:pPr>
              <w:rPr>
                <w:i/>
                <w:iCs/>
                <w:color w:val="000000"/>
                <w:sz w:val="22"/>
                <w:szCs w:val="22"/>
                <w:lang w:val="en-GB"/>
              </w:rPr>
            </w:pPr>
          </w:p>
        </w:tc>
      </w:tr>
      <w:tr w:rsidR="00D5152C" w:rsidRPr="000B772F" w14:paraId="11B48966"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5D97C2DA" w14:textId="77777777" w:rsidR="00D5152C" w:rsidRPr="00CC70C2" w:rsidRDefault="00D5152C">
            <w:pPr>
              <w:rPr>
                <w:i/>
                <w:iCs/>
                <w:color w:val="000000"/>
                <w:sz w:val="22"/>
                <w:szCs w:val="22"/>
                <w:lang w:val="en-GB"/>
              </w:rPr>
            </w:pPr>
            <w:r w:rsidRPr="00CC70C2">
              <w:rPr>
                <w:i/>
                <w:iCs/>
                <w:color w:val="000000"/>
                <w:sz w:val="22"/>
                <w:szCs w:val="22"/>
                <w:lang w:val="en-GB"/>
              </w:rPr>
              <w:t>Nervous system disorders</w:t>
            </w:r>
          </w:p>
        </w:tc>
        <w:tc>
          <w:tcPr>
            <w:tcW w:w="1234" w:type="dxa"/>
            <w:tcBorders>
              <w:top w:val="single" w:sz="4" w:space="0" w:color="auto"/>
              <w:left w:val="single" w:sz="4" w:space="0" w:color="auto"/>
              <w:bottom w:val="single" w:sz="4" w:space="0" w:color="auto"/>
              <w:right w:val="single" w:sz="4" w:space="0" w:color="auto"/>
            </w:tcBorders>
            <w:hideMark/>
          </w:tcPr>
          <w:p w14:paraId="5516675E" w14:textId="2203A3BD" w:rsidR="00D5152C" w:rsidRPr="00CC70C2" w:rsidRDefault="00D5152C" w:rsidP="000B07BB">
            <w:pPr>
              <w:ind w:left="-22" w:right="-108"/>
              <w:rPr>
                <w:i/>
                <w:iCs/>
                <w:color w:val="000000"/>
                <w:sz w:val="22"/>
                <w:szCs w:val="22"/>
                <w:lang w:val="en-GB"/>
              </w:rPr>
            </w:pPr>
            <w:r w:rsidRPr="00CC70C2">
              <w:rPr>
                <w:color w:val="000000"/>
                <w:sz w:val="22"/>
                <w:szCs w:val="22"/>
                <w:lang w:val="en-GB"/>
              </w:rPr>
              <w:t>Dizziness</w:t>
            </w:r>
            <w:r w:rsidRPr="00CC70C2">
              <w:rPr>
                <w:color w:val="000000"/>
                <w:sz w:val="22"/>
                <w:szCs w:val="22"/>
                <w:vertAlign w:val="superscript"/>
                <w:lang w:val="en-GB"/>
              </w:rPr>
              <w:t>4, 16</w:t>
            </w:r>
            <w:r w:rsidRPr="00CC70C2">
              <w:rPr>
                <w:color w:val="000000"/>
                <w:sz w:val="22"/>
                <w:szCs w:val="22"/>
                <w:lang w:val="en-GB"/>
              </w:rPr>
              <w:t>, somnolence</w:t>
            </w:r>
            <w:r w:rsidRPr="00CC70C2">
              <w:rPr>
                <w:color w:val="000000"/>
                <w:sz w:val="22"/>
                <w:szCs w:val="22"/>
                <w:vertAlign w:val="superscript"/>
                <w:lang w:val="en-GB"/>
              </w:rPr>
              <w:t>2,16</w:t>
            </w:r>
            <w:r w:rsidRPr="00CC70C2">
              <w:rPr>
                <w:color w:val="000000"/>
                <w:sz w:val="22"/>
                <w:szCs w:val="22"/>
                <w:lang w:val="en-GB"/>
              </w:rPr>
              <w:t>,</w:t>
            </w:r>
            <w:r w:rsidR="000B07BB" w:rsidRPr="00CC70C2">
              <w:rPr>
                <w:color w:val="000000"/>
                <w:sz w:val="22"/>
                <w:szCs w:val="22"/>
                <w:lang w:val="en-GB"/>
              </w:rPr>
              <w:t xml:space="preserve"> </w:t>
            </w:r>
            <w:r w:rsidRPr="00CC70C2">
              <w:rPr>
                <w:color w:val="000000"/>
                <w:sz w:val="22"/>
                <w:szCs w:val="22"/>
                <w:lang w:val="en-GB"/>
              </w:rPr>
              <w:t>headache,</w:t>
            </w:r>
            <w:r w:rsidR="000B07BB" w:rsidRPr="00CC70C2">
              <w:rPr>
                <w:color w:val="000000"/>
                <w:sz w:val="22"/>
                <w:szCs w:val="22"/>
                <w:lang w:val="en-GB"/>
              </w:rPr>
              <w:t xml:space="preserve"> </w:t>
            </w:r>
            <w:r w:rsidRPr="00CC70C2">
              <w:rPr>
                <w:color w:val="000000"/>
                <w:sz w:val="22"/>
                <w:szCs w:val="22"/>
                <w:lang w:val="en-GB"/>
              </w:rPr>
              <w:t>extrapyramidal symptoms</w:t>
            </w:r>
            <w:r w:rsidRPr="00CC70C2">
              <w:rPr>
                <w:color w:val="000000"/>
                <w:sz w:val="22"/>
                <w:szCs w:val="22"/>
                <w:vertAlign w:val="superscript"/>
                <w:lang w:val="en-GB"/>
              </w:rPr>
              <w:t>1,21</w:t>
            </w:r>
          </w:p>
        </w:tc>
        <w:tc>
          <w:tcPr>
            <w:tcW w:w="1397" w:type="dxa"/>
            <w:tcBorders>
              <w:top w:val="single" w:sz="4" w:space="0" w:color="auto"/>
              <w:left w:val="single" w:sz="4" w:space="0" w:color="auto"/>
              <w:bottom w:val="single" w:sz="4" w:space="0" w:color="auto"/>
              <w:right w:val="single" w:sz="4" w:space="0" w:color="auto"/>
            </w:tcBorders>
          </w:tcPr>
          <w:p w14:paraId="23C43CD8" w14:textId="00AD592A" w:rsidR="00D5152C" w:rsidRPr="00CC70C2" w:rsidRDefault="00D5152C" w:rsidP="000B07BB">
            <w:pPr>
              <w:rPr>
                <w:i/>
                <w:iCs/>
                <w:color w:val="000000"/>
                <w:sz w:val="22"/>
                <w:szCs w:val="22"/>
                <w:lang w:val="en-GB"/>
              </w:rPr>
            </w:pPr>
            <w:r w:rsidRPr="00CC70C2">
              <w:rPr>
                <w:color w:val="000000"/>
                <w:sz w:val="22"/>
                <w:szCs w:val="22"/>
                <w:lang w:val="en-GB"/>
              </w:rPr>
              <w:t>Dysarthria</w:t>
            </w:r>
          </w:p>
        </w:tc>
        <w:tc>
          <w:tcPr>
            <w:tcW w:w="1398" w:type="dxa"/>
            <w:tcBorders>
              <w:top w:val="single" w:sz="4" w:space="0" w:color="auto"/>
              <w:left w:val="single" w:sz="4" w:space="0" w:color="auto"/>
              <w:bottom w:val="single" w:sz="4" w:space="0" w:color="auto"/>
              <w:right w:val="single" w:sz="4" w:space="0" w:color="auto"/>
            </w:tcBorders>
            <w:hideMark/>
          </w:tcPr>
          <w:p w14:paraId="7B3F1CB4" w14:textId="5AC9DA08" w:rsidR="00D5152C" w:rsidRPr="00CC70C2" w:rsidRDefault="00D5152C" w:rsidP="00350C0E">
            <w:pPr>
              <w:rPr>
                <w:i/>
                <w:iCs/>
                <w:color w:val="000000"/>
                <w:sz w:val="22"/>
                <w:szCs w:val="22"/>
                <w:lang w:val="en-GB"/>
              </w:rPr>
            </w:pPr>
            <w:r w:rsidRPr="00CC70C2">
              <w:rPr>
                <w:color w:val="000000"/>
                <w:sz w:val="22"/>
                <w:szCs w:val="22"/>
                <w:lang w:val="en-GB"/>
              </w:rPr>
              <w:t>Seizure</w:t>
            </w:r>
            <w:r w:rsidRPr="00CC70C2">
              <w:rPr>
                <w:color w:val="000000"/>
                <w:sz w:val="22"/>
                <w:szCs w:val="22"/>
                <w:vertAlign w:val="superscript"/>
                <w:lang w:val="en-GB"/>
              </w:rPr>
              <w:t>1</w:t>
            </w:r>
            <w:r w:rsidRPr="00CC70C2">
              <w:rPr>
                <w:color w:val="000000"/>
                <w:sz w:val="22"/>
                <w:szCs w:val="22"/>
                <w:lang w:val="en-GB"/>
              </w:rPr>
              <w:t>, Restless legs syndrome, Tardive dyskinesia</w:t>
            </w:r>
            <w:r w:rsidRPr="00CC70C2">
              <w:rPr>
                <w:color w:val="000000"/>
                <w:sz w:val="22"/>
                <w:szCs w:val="22"/>
                <w:vertAlign w:val="superscript"/>
                <w:lang w:val="en-GB"/>
              </w:rPr>
              <w:t>1,5</w:t>
            </w:r>
            <w:r w:rsidRPr="00CC70C2">
              <w:rPr>
                <w:color w:val="000000"/>
                <w:sz w:val="22"/>
                <w:szCs w:val="22"/>
                <w:lang w:val="en-GB"/>
              </w:rPr>
              <w:t>, syncope</w:t>
            </w:r>
            <w:r w:rsidRPr="00CC70C2">
              <w:rPr>
                <w:color w:val="000000"/>
                <w:sz w:val="22"/>
                <w:szCs w:val="22"/>
                <w:vertAlign w:val="superscript"/>
                <w:lang w:val="en-GB"/>
              </w:rPr>
              <w:t>4,16</w:t>
            </w:r>
            <w:r w:rsidR="005C0380" w:rsidRPr="005C0380">
              <w:rPr>
                <w:color w:val="000000"/>
                <w:sz w:val="22"/>
                <w:szCs w:val="22"/>
                <w:lang w:val="en-US"/>
              </w:rPr>
              <w:t>,</w:t>
            </w:r>
            <w:r w:rsidR="00350C0E">
              <w:rPr>
                <w:color w:val="000000"/>
                <w:sz w:val="22"/>
                <w:szCs w:val="22"/>
                <w:lang w:val="en-US"/>
              </w:rPr>
              <w:t xml:space="preserve"> </w:t>
            </w:r>
            <w:proofErr w:type="spellStart"/>
            <w:r w:rsidR="005C0380" w:rsidRPr="00350C0E">
              <w:rPr>
                <w:color w:val="000000"/>
                <w:sz w:val="22"/>
                <w:szCs w:val="22"/>
                <w:lang w:val="en-US"/>
              </w:rPr>
              <w:t>Confusional</w:t>
            </w:r>
            <w:proofErr w:type="spellEnd"/>
            <w:r w:rsidR="005C0380" w:rsidRPr="00350C0E">
              <w:rPr>
                <w:color w:val="000000"/>
                <w:sz w:val="22"/>
                <w:szCs w:val="22"/>
                <w:lang w:val="en-US"/>
              </w:rPr>
              <w:t xml:space="preserve"> state</w:t>
            </w:r>
          </w:p>
        </w:tc>
        <w:tc>
          <w:tcPr>
            <w:tcW w:w="1397" w:type="dxa"/>
            <w:tcBorders>
              <w:top w:val="single" w:sz="4" w:space="0" w:color="auto"/>
              <w:left w:val="single" w:sz="4" w:space="0" w:color="auto"/>
              <w:bottom w:val="single" w:sz="4" w:space="0" w:color="auto"/>
              <w:right w:val="single" w:sz="4" w:space="0" w:color="auto"/>
            </w:tcBorders>
          </w:tcPr>
          <w:p w14:paraId="3F3D2645"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27F1E8BA"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067A023D" w14:textId="77777777" w:rsidR="00D5152C" w:rsidRPr="00CC70C2" w:rsidRDefault="00D5152C">
            <w:pPr>
              <w:rPr>
                <w:i/>
                <w:iCs/>
                <w:color w:val="000000"/>
                <w:sz w:val="22"/>
                <w:szCs w:val="22"/>
                <w:lang w:val="en-GB"/>
              </w:rPr>
            </w:pPr>
          </w:p>
        </w:tc>
      </w:tr>
      <w:tr w:rsidR="00D5152C" w:rsidRPr="00CC70C2" w14:paraId="365F7B8B"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5607BA1D" w14:textId="77777777" w:rsidR="00D5152C" w:rsidRPr="00CC70C2" w:rsidRDefault="00D5152C">
            <w:pPr>
              <w:rPr>
                <w:i/>
                <w:iCs/>
                <w:color w:val="000000"/>
                <w:sz w:val="22"/>
                <w:szCs w:val="22"/>
                <w:lang w:val="en-GB"/>
              </w:rPr>
            </w:pPr>
            <w:r w:rsidRPr="00CC70C2">
              <w:rPr>
                <w:i/>
                <w:iCs/>
                <w:color w:val="000000"/>
                <w:sz w:val="22"/>
                <w:szCs w:val="22"/>
                <w:lang w:val="en-GB"/>
              </w:rPr>
              <w:t>Cardiac disorders</w:t>
            </w:r>
          </w:p>
        </w:tc>
        <w:tc>
          <w:tcPr>
            <w:tcW w:w="1234" w:type="dxa"/>
            <w:tcBorders>
              <w:top w:val="single" w:sz="4" w:space="0" w:color="auto"/>
              <w:left w:val="single" w:sz="4" w:space="0" w:color="auto"/>
              <w:bottom w:val="single" w:sz="4" w:space="0" w:color="auto"/>
              <w:right w:val="single" w:sz="4" w:space="0" w:color="auto"/>
            </w:tcBorders>
          </w:tcPr>
          <w:p w14:paraId="017BBCE3"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2053C8B3" w14:textId="0FF02D6E" w:rsidR="00D5152C" w:rsidRPr="00CC70C2" w:rsidRDefault="00D5152C" w:rsidP="000B07BB">
            <w:pPr>
              <w:rPr>
                <w:i/>
                <w:iCs/>
                <w:color w:val="000000"/>
                <w:sz w:val="22"/>
                <w:szCs w:val="22"/>
                <w:lang w:val="en-GB"/>
              </w:rPr>
            </w:pPr>
            <w:r w:rsidRPr="00CC70C2">
              <w:rPr>
                <w:color w:val="000000"/>
                <w:sz w:val="22"/>
                <w:szCs w:val="22"/>
                <w:lang w:val="en-GB"/>
              </w:rPr>
              <w:t>Tachycardia</w:t>
            </w:r>
            <w:r w:rsidRPr="00CC70C2">
              <w:rPr>
                <w:color w:val="000000"/>
                <w:sz w:val="22"/>
                <w:szCs w:val="22"/>
                <w:vertAlign w:val="superscript"/>
                <w:lang w:val="en-GB"/>
              </w:rPr>
              <w:t>4</w:t>
            </w:r>
            <w:r w:rsidRPr="00CC70C2">
              <w:rPr>
                <w:color w:val="000000"/>
                <w:sz w:val="22"/>
                <w:szCs w:val="22"/>
                <w:lang w:val="en-GB"/>
              </w:rPr>
              <w:t>, palpitations</w:t>
            </w:r>
            <w:r w:rsidRPr="00CC70C2">
              <w:rPr>
                <w:color w:val="000000"/>
                <w:sz w:val="22"/>
                <w:szCs w:val="22"/>
                <w:vertAlign w:val="superscript"/>
                <w:lang w:val="en-GB"/>
              </w:rPr>
              <w:t>23</w:t>
            </w:r>
          </w:p>
        </w:tc>
        <w:tc>
          <w:tcPr>
            <w:tcW w:w="1398" w:type="dxa"/>
            <w:tcBorders>
              <w:top w:val="single" w:sz="4" w:space="0" w:color="auto"/>
              <w:left w:val="single" w:sz="4" w:space="0" w:color="auto"/>
              <w:bottom w:val="single" w:sz="4" w:space="0" w:color="auto"/>
              <w:right w:val="single" w:sz="4" w:space="0" w:color="auto"/>
            </w:tcBorders>
            <w:hideMark/>
          </w:tcPr>
          <w:p w14:paraId="4E3B2528" w14:textId="0C0B7FA3" w:rsidR="00D5152C" w:rsidRPr="00CC70C2" w:rsidRDefault="00D5152C" w:rsidP="000B07BB">
            <w:pPr>
              <w:rPr>
                <w:i/>
                <w:iCs/>
                <w:color w:val="000000"/>
                <w:sz w:val="22"/>
                <w:szCs w:val="22"/>
                <w:lang w:val="en-GB"/>
              </w:rPr>
            </w:pPr>
            <w:r w:rsidRPr="00CC70C2">
              <w:rPr>
                <w:color w:val="000000"/>
                <w:sz w:val="22"/>
                <w:szCs w:val="22"/>
                <w:lang w:val="en-GB"/>
              </w:rPr>
              <w:t>QT prolongation</w:t>
            </w:r>
            <w:r w:rsidRPr="00CC70C2">
              <w:rPr>
                <w:color w:val="000000"/>
                <w:sz w:val="22"/>
                <w:szCs w:val="22"/>
                <w:vertAlign w:val="superscript"/>
                <w:lang w:val="en-GB"/>
              </w:rPr>
              <w:t>1,12,18</w:t>
            </w:r>
            <w:r w:rsidRPr="00CC70C2">
              <w:rPr>
                <w:color w:val="000000"/>
                <w:sz w:val="22"/>
                <w:szCs w:val="22"/>
                <w:lang w:val="en-GB"/>
              </w:rPr>
              <w:t>, bradycardia</w:t>
            </w:r>
            <w:r w:rsidRPr="00CC70C2">
              <w:rPr>
                <w:color w:val="000000"/>
                <w:sz w:val="22"/>
                <w:szCs w:val="22"/>
                <w:vertAlign w:val="superscript"/>
                <w:lang w:val="en-GB"/>
              </w:rPr>
              <w:t>32</w:t>
            </w:r>
          </w:p>
        </w:tc>
        <w:tc>
          <w:tcPr>
            <w:tcW w:w="1397" w:type="dxa"/>
            <w:tcBorders>
              <w:top w:val="single" w:sz="4" w:space="0" w:color="auto"/>
              <w:left w:val="single" w:sz="4" w:space="0" w:color="auto"/>
              <w:bottom w:val="single" w:sz="4" w:space="0" w:color="auto"/>
              <w:right w:val="single" w:sz="4" w:space="0" w:color="auto"/>
            </w:tcBorders>
          </w:tcPr>
          <w:p w14:paraId="4E0D40E7"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6D7FC1CC"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593A8DD1" w14:textId="77777777" w:rsidR="00D5152C" w:rsidRPr="00CC70C2" w:rsidRDefault="00D5152C">
            <w:pPr>
              <w:rPr>
                <w:i/>
                <w:iCs/>
                <w:color w:val="000000"/>
                <w:sz w:val="22"/>
                <w:szCs w:val="22"/>
                <w:lang w:val="en-GB"/>
              </w:rPr>
            </w:pPr>
          </w:p>
        </w:tc>
      </w:tr>
      <w:tr w:rsidR="00D5152C" w:rsidRPr="00CC70C2" w14:paraId="4F86461A"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08135D90" w14:textId="77777777" w:rsidR="00D5152C" w:rsidRPr="00CC70C2" w:rsidRDefault="00D5152C">
            <w:pPr>
              <w:ind w:right="-194"/>
              <w:rPr>
                <w:i/>
                <w:iCs/>
                <w:color w:val="000000"/>
                <w:sz w:val="22"/>
                <w:szCs w:val="22"/>
                <w:lang w:val="en-GB"/>
              </w:rPr>
            </w:pPr>
            <w:r w:rsidRPr="00CC70C2">
              <w:rPr>
                <w:i/>
                <w:iCs/>
                <w:color w:val="000000"/>
                <w:sz w:val="22"/>
                <w:szCs w:val="22"/>
                <w:lang w:val="en-GB"/>
              </w:rPr>
              <w:t>Eye disorders</w:t>
            </w:r>
          </w:p>
        </w:tc>
        <w:tc>
          <w:tcPr>
            <w:tcW w:w="1234" w:type="dxa"/>
            <w:tcBorders>
              <w:top w:val="single" w:sz="4" w:space="0" w:color="auto"/>
              <w:left w:val="single" w:sz="4" w:space="0" w:color="auto"/>
              <w:bottom w:val="single" w:sz="4" w:space="0" w:color="auto"/>
              <w:right w:val="single" w:sz="4" w:space="0" w:color="auto"/>
            </w:tcBorders>
          </w:tcPr>
          <w:p w14:paraId="69F91D86"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14EE9112" w14:textId="77777777" w:rsidR="00D5152C" w:rsidRPr="00CC70C2" w:rsidRDefault="00D5152C">
            <w:pPr>
              <w:rPr>
                <w:i/>
                <w:iCs/>
                <w:color w:val="000000"/>
                <w:sz w:val="22"/>
                <w:szCs w:val="22"/>
                <w:lang w:val="en-GB"/>
              </w:rPr>
            </w:pPr>
            <w:r w:rsidRPr="00CC70C2">
              <w:rPr>
                <w:color w:val="000000"/>
                <w:sz w:val="22"/>
                <w:szCs w:val="22"/>
                <w:lang w:val="en-GB"/>
              </w:rPr>
              <w:t>Vision blurred</w:t>
            </w:r>
          </w:p>
        </w:tc>
        <w:tc>
          <w:tcPr>
            <w:tcW w:w="1398" w:type="dxa"/>
            <w:tcBorders>
              <w:top w:val="single" w:sz="4" w:space="0" w:color="auto"/>
              <w:left w:val="single" w:sz="4" w:space="0" w:color="auto"/>
              <w:bottom w:val="single" w:sz="4" w:space="0" w:color="auto"/>
              <w:right w:val="single" w:sz="4" w:space="0" w:color="auto"/>
            </w:tcBorders>
          </w:tcPr>
          <w:p w14:paraId="1F402EE4"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7C53A203"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2F7B4E58"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2879462F" w14:textId="77777777" w:rsidR="00D5152C" w:rsidRPr="00CC70C2" w:rsidRDefault="00D5152C">
            <w:pPr>
              <w:rPr>
                <w:i/>
                <w:iCs/>
                <w:color w:val="000000"/>
                <w:sz w:val="22"/>
                <w:szCs w:val="22"/>
                <w:lang w:val="en-GB"/>
              </w:rPr>
            </w:pPr>
          </w:p>
        </w:tc>
      </w:tr>
      <w:tr w:rsidR="00D5152C" w:rsidRPr="00CC70C2" w14:paraId="30696AA1"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6D3C22CB" w14:textId="77777777" w:rsidR="00D5152C" w:rsidRPr="00CC70C2" w:rsidRDefault="00D5152C">
            <w:pPr>
              <w:ind w:right="-53"/>
              <w:rPr>
                <w:i/>
                <w:iCs/>
                <w:color w:val="000000"/>
                <w:sz w:val="22"/>
                <w:szCs w:val="22"/>
                <w:lang w:val="en-GB"/>
              </w:rPr>
            </w:pPr>
            <w:r w:rsidRPr="00CC70C2">
              <w:rPr>
                <w:i/>
                <w:iCs/>
                <w:color w:val="000000"/>
                <w:sz w:val="22"/>
                <w:szCs w:val="22"/>
                <w:lang w:val="en-GB"/>
              </w:rPr>
              <w:t>Vascular disorders</w:t>
            </w:r>
          </w:p>
        </w:tc>
        <w:tc>
          <w:tcPr>
            <w:tcW w:w="1234" w:type="dxa"/>
            <w:tcBorders>
              <w:top w:val="single" w:sz="4" w:space="0" w:color="auto"/>
              <w:left w:val="single" w:sz="4" w:space="0" w:color="auto"/>
              <w:bottom w:val="single" w:sz="4" w:space="0" w:color="auto"/>
              <w:right w:val="single" w:sz="4" w:space="0" w:color="auto"/>
            </w:tcBorders>
          </w:tcPr>
          <w:p w14:paraId="370FAD4C"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6F7817A5" w14:textId="77777777" w:rsidR="00D5152C" w:rsidRPr="00CC70C2" w:rsidRDefault="00D5152C">
            <w:pPr>
              <w:rPr>
                <w:color w:val="000000"/>
                <w:sz w:val="22"/>
                <w:szCs w:val="22"/>
                <w:vertAlign w:val="superscript"/>
                <w:lang w:val="en-GB"/>
              </w:rPr>
            </w:pPr>
            <w:r w:rsidRPr="00CC70C2">
              <w:rPr>
                <w:color w:val="000000"/>
                <w:sz w:val="22"/>
                <w:szCs w:val="22"/>
                <w:lang w:val="en-GB"/>
              </w:rPr>
              <w:t>Orthostatic hypotension</w:t>
            </w:r>
            <w:r w:rsidRPr="00CC70C2">
              <w:rPr>
                <w:color w:val="000000"/>
                <w:sz w:val="22"/>
                <w:szCs w:val="22"/>
                <w:vertAlign w:val="superscript"/>
                <w:lang w:val="en-GB"/>
              </w:rPr>
              <w:t>4, 16</w:t>
            </w:r>
          </w:p>
          <w:p w14:paraId="6D300961"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66E4B291"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6EA346E7" w14:textId="77777777" w:rsidR="00D5152C" w:rsidRPr="00CC70C2" w:rsidRDefault="00D5152C">
            <w:pPr>
              <w:rPr>
                <w:i/>
                <w:iCs/>
                <w:color w:val="000000"/>
                <w:sz w:val="22"/>
                <w:szCs w:val="22"/>
                <w:lang w:val="en-GB"/>
              </w:rPr>
            </w:pPr>
            <w:r w:rsidRPr="00CC70C2">
              <w:rPr>
                <w:iCs/>
                <w:color w:val="000000"/>
                <w:sz w:val="22"/>
                <w:szCs w:val="22"/>
                <w:lang w:val="en-GB"/>
              </w:rPr>
              <w:t>Venous thromboembolism</w:t>
            </w:r>
            <w:r w:rsidRPr="00CC70C2">
              <w:rPr>
                <w:iCs/>
                <w:color w:val="000000"/>
                <w:sz w:val="22"/>
                <w:szCs w:val="22"/>
                <w:vertAlign w:val="superscript"/>
                <w:lang w:val="en-GB"/>
              </w:rPr>
              <w:t>1</w:t>
            </w:r>
          </w:p>
        </w:tc>
        <w:tc>
          <w:tcPr>
            <w:tcW w:w="1397" w:type="dxa"/>
            <w:tcBorders>
              <w:top w:val="single" w:sz="4" w:space="0" w:color="auto"/>
              <w:left w:val="single" w:sz="4" w:space="0" w:color="auto"/>
              <w:bottom w:val="single" w:sz="4" w:space="0" w:color="auto"/>
              <w:right w:val="single" w:sz="4" w:space="0" w:color="auto"/>
            </w:tcBorders>
          </w:tcPr>
          <w:p w14:paraId="08E41125"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hideMark/>
          </w:tcPr>
          <w:p w14:paraId="30726A6B" w14:textId="77777777" w:rsidR="00D5152C" w:rsidRPr="00CC70C2" w:rsidRDefault="00D5152C">
            <w:pPr>
              <w:rPr>
                <w:i/>
                <w:iCs/>
                <w:color w:val="000000"/>
                <w:sz w:val="22"/>
                <w:szCs w:val="22"/>
                <w:lang w:val="en-GB"/>
              </w:rPr>
            </w:pPr>
            <w:r w:rsidRPr="00CC70C2">
              <w:rPr>
                <w:sz w:val="22"/>
                <w:szCs w:val="22"/>
                <w:lang w:val="en-GB"/>
              </w:rPr>
              <w:t>Stroke</w:t>
            </w:r>
            <w:r w:rsidRPr="00CC70C2">
              <w:rPr>
                <w:sz w:val="22"/>
                <w:szCs w:val="22"/>
                <w:vertAlign w:val="superscript"/>
                <w:lang w:val="en-GB"/>
              </w:rPr>
              <w:t>33</w:t>
            </w:r>
          </w:p>
        </w:tc>
      </w:tr>
      <w:tr w:rsidR="00D5152C" w:rsidRPr="00CC70C2" w14:paraId="5886AB19"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572C8192" w14:textId="77777777" w:rsidR="00D5152C" w:rsidRPr="00CC70C2" w:rsidRDefault="00D5152C">
            <w:pPr>
              <w:rPr>
                <w:i/>
                <w:iCs/>
                <w:color w:val="000000"/>
                <w:sz w:val="22"/>
                <w:szCs w:val="22"/>
                <w:lang w:val="en-GB"/>
              </w:rPr>
            </w:pPr>
            <w:r w:rsidRPr="00CC70C2">
              <w:rPr>
                <w:i/>
                <w:iCs/>
                <w:color w:val="000000"/>
                <w:sz w:val="22"/>
                <w:szCs w:val="22"/>
                <w:lang w:val="en-GB"/>
              </w:rPr>
              <w:t>Respiratory, thoracic and mediastinal disorder</w:t>
            </w:r>
          </w:p>
        </w:tc>
        <w:tc>
          <w:tcPr>
            <w:tcW w:w="1234" w:type="dxa"/>
            <w:tcBorders>
              <w:top w:val="single" w:sz="4" w:space="0" w:color="auto"/>
              <w:left w:val="single" w:sz="4" w:space="0" w:color="auto"/>
              <w:bottom w:val="single" w:sz="4" w:space="0" w:color="auto"/>
              <w:right w:val="single" w:sz="4" w:space="0" w:color="auto"/>
            </w:tcBorders>
          </w:tcPr>
          <w:p w14:paraId="6173AB22"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1B473770" w14:textId="302C418E" w:rsidR="00D5152C" w:rsidRPr="00CC70C2" w:rsidRDefault="00D5152C" w:rsidP="000B07BB">
            <w:pPr>
              <w:rPr>
                <w:i/>
                <w:iCs/>
                <w:color w:val="000000"/>
                <w:sz w:val="22"/>
                <w:szCs w:val="22"/>
                <w:lang w:val="en-GB"/>
              </w:rPr>
            </w:pPr>
            <w:r w:rsidRPr="00CC70C2">
              <w:rPr>
                <w:iCs/>
                <w:color w:val="000000"/>
                <w:sz w:val="22"/>
                <w:szCs w:val="22"/>
                <w:lang w:val="en-GB"/>
              </w:rPr>
              <w:t>Dyspnoea</w:t>
            </w:r>
            <w:r w:rsidRPr="00CC70C2">
              <w:rPr>
                <w:iCs/>
                <w:color w:val="000000"/>
                <w:sz w:val="22"/>
                <w:szCs w:val="22"/>
                <w:vertAlign w:val="superscript"/>
                <w:lang w:val="en-GB"/>
              </w:rPr>
              <w:t>23</w:t>
            </w:r>
          </w:p>
        </w:tc>
        <w:tc>
          <w:tcPr>
            <w:tcW w:w="1398" w:type="dxa"/>
            <w:tcBorders>
              <w:top w:val="single" w:sz="4" w:space="0" w:color="auto"/>
              <w:left w:val="single" w:sz="4" w:space="0" w:color="auto"/>
              <w:bottom w:val="single" w:sz="4" w:space="0" w:color="auto"/>
              <w:right w:val="single" w:sz="4" w:space="0" w:color="auto"/>
            </w:tcBorders>
            <w:hideMark/>
          </w:tcPr>
          <w:p w14:paraId="16267F1C" w14:textId="77777777" w:rsidR="00D5152C" w:rsidRPr="00CC70C2" w:rsidRDefault="00D5152C">
            <w:pPr>
              <w:rPr>
                <w:iCs/>
                <w:color w:val="000000"/>
                <w:sz w:val="22"/>
                <w:szCs w:val="22"/>
                <w:lang w:val="en-GB"/>
              </w:rPr>
            </w:pPr>
            <w:r w:rsidRPr="00CC70C2">
              <w:rPr>
                <w:iCs/>
                <w:color w:val="000000"/>
                <w:sz w:val="22"/>
                <w:szCs w:val="22"/>
                <w:lang w:val="en-GB"/>
              </w:rPr>
              <w:t>Rhinitis</w:t>
            </w:r>
          </w:p>
        </w:tc>
        <w:tc>
          <w:tcPr>
            <w:tcW w:w="1397" w:type="dxa"/>
            <w:tcBorders>
              <w:top w:val="single" w:sz="4" w:space="0" w:color="auto"/>
              <w:left w:val="single" w:sz="4" w:space="0" w:color="auto"/>
              <w:bottom w:val="single" w:sz="4" w:space="0" w:color="auto"/>
              <w:right w:val="single" w:sz="4" w:space="0" w:color="auto"/>
            </w:tcBorders>
          </w:tcPr>
          <w:p w14:paraId="5DE70A38"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037FF744"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5F3D94EA" w14:textId="77777777" w:rsidR="00D5152C" w:rsidRPr="00CC70C2" w:rsidRDefault="00D5152C">
            <w:pPr>
              <w:rPr>
                <w:i/>
                <w:iCs/>
                <w:color w:val="000000"/>
                <w:sz w:val="22"/>
                <w:szCs w:val="22"/>
                <w:lang w:val="en-GB"/>
              </w:rPr>
            </w:pPr>
          </w:p>
        </w:tc>
      </w:tr>
      <w:tr w:rsidR="00D5152C" w:rsidRPr="00CC70C2" w14:paraId="1258EBD6"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415ED2F8" w14:textId="77777777" w:rsidR="00D5152C" w:rsidRPr="00CC70C2" w:rsidRDefault="00D5152C">
            <w:pPr>
              <w:rPr>
                <w:i/>
                <w:iCs/>
                <w:color w:val="000000"/>
                <w:sz w:val="22"/>
                <w:szCs w:val="22"/>
                <w:lang w:val="en-GB"/>
              </w:rPr>
            </w:pPr>
            <w:r w:rsidRPr="00CC70C2">
              <w:rPr>
                <w:i/>
                <w:iCs/>
                <w:color w:val="000000"/>
                <w:sz w:val="22"/>
                <w:szCs w:val="22"/>
                <w:lang w:val="en-GB"/>
              </w:rPr>
              <w:t>Gastrointestinal disorders</w:t>
            </w:r>
          </w:p>
        </w:tc>
        <w:tc>
          <w:tcPr>
            <w:tcW w:w="1234" w:type="dxa"/>
            <w:tcBorders>
              <w:top w:val="single" w:sz="4" w:space="0" w:color="auto"/>
              <w:left w:val="single" w:sz="4" w:space="0" w:color="auto"/>
              <w:bottom w:val="single" w:sz="4" w:space="0" w:color="auto"/>
              <w:right w:val="single" w:sz="4" w:space="0" w:color="auto"/>
            </w:tcBorders>
            <w:hideMark/>
          </w:tcPr>
          <w:p w14:paraId="6DD05BB8" w14:textId="77777777" w:rsidR="00D5152C" w:rsidRPr="00CC70C2" w:rsidRDefault="00D5152C">
            <w:pPr>
              <w:rPr>
                <w:iCs/>
                <w:color w:val="000000"/>
                <w:sz w:val="22"/>
                <w:szCs w:val="22"/>
                <w:lang w:val="en-GB"/>
              </w:rPr>
            </w:pPr>
            <w:r w:rsidRPr="00CC70C2">
              <w:rPr>
                <w:iCs/>
                <w:color w:val="000000"/>
                <w:sz w:val="22"/>
                <w:szCs w:val="22"/>
                <w:lang w:val="en-GB"/>
              </w:rPr>
              <w:t>Dry mouth</w:t>
            </w:r>
          </w:p>
        </w:tc>
        <w:tc>
          <w:tcPr>
            <w:tcW w:w="1397" w:type="dxa"/>
            <w:tcBorders>
              <w:top w:val="single" w:sz="4" w:space="0" w:color="auto"/>
              <w:left w:val="single" w:sz="4" w:space="0" w:color="auto"/>
              <w:bottom w:val="single" w:sz="4" w:space="0" w:color="auto"/>
              <w:right w:val="single" w:sz="4" w:space="0" w:color="auto"/>
            </w:tcBorders>
            <w:hideMark/>
          </w:tcPr>
          <w:p w14:paraId="06FDDE66" w14:textId="6D6BCF2F" w:rsidR="00D5152C" w:rsidRPr="00CC70C2" w:rsidRDefault="00D5152C" w:rsidP="000B07BB">
            <w:pPr>
              <w:rPr>
                <w:color w:val="000000"/>
                <w:sz w:val="22"/>
                <w:szCs w:val="22"/>
                <w:lang w:val="en-GB"/>
              </w:rPr>
            </w:pPr>
            <w:r w:rsidRPr="00CC70C2">
              <w:rPr>
                <w:color w:val="000000"/>
                <w:sz w:val="22"/>
                <w:szCs w:val="22"/>
                <w:lang w:val="en-GB"/>
              </w:rPr>
              <w:t>Constipation,</w:t>
            </w:r>
            <w:r w:rsidR="000B07BB" w:rsidRPr="00CC70C2">
              <w:rPr>
                <w:color w:val="000000"/>
                <w:sz w:val="22"/>
                <w:szCs w:val="22"/>
                <w:lang w:val="en-GB"/>
              </w:rPr>
              <w:t xml:space="preserve"> </w:t>
            </w:r>
            <w:r w:rsidRPr="00CC70C2">
              <w:rPr>
                <w:color w:val="000000"/>
                <w:sz w:val="22"/>
                <w:szCs w:val="22"/>
                <w:lang w:val="en-GB"/>
              </w:rPr>
              <w:t>dyspepsia, vomiting</w:t>
            </w:r>
            <w:r w:rsidRPr="00CC70C2">
              <w:rPr>
                <w:color w:val="000000"/>
                <w:sz w:val="22"/>
                <w:szCs w:val="22"/>
                <w:vertAlign w:val="superscript"/>
                <w:lang w:val="en-GB"/>
              </w:rPr>
              <w:t>25</w:t>
            </w:r>
          </w:p>
        </w:tc>
        <w:tc>
          <w:tcPr>
            <w:tcW w:w="1398" w:type="dxa"/>
            <w:tcBorders>
              <w:top w:val="single" w:sz="4" w:space="0" w:color="auto"/>
              <w:left w:val="single" w:sz="4" w:space="0" w:color="auto"/>
              <w:bottom w:val="single" w:sz="4" w:space="0" w:color="auto"/>
              <w:right w:val="single" w:sz="4" w:space="0" w:color="auto"/>
            </w:tcBorders>
            <w:hideMark/>
          </w:tcPr>
          <w:p w14:paraId="0B6659D7" w14:textId="01656898" w:rsidR="00D5152C" w:rsidRPr="00CC70C2" w:rsidRDefault="008B41EF">
            <w:pPr>
              <w:rPr>
                <w:i/>
                <w:iCs/>
                <w:color w:val="000000"/>
                <w:sz w:val="22"/>
                <w:szCs w:val="22"/>
                <w:lang w:val="en-GB" w:eastAsia="en-US"/>
              </w:rPr>
            </w:pPr>
            <w:r w:rsidRPr="00CC70C2">
              <w:rPr>
                <w:color w:val="000000"/>
                <w:sz w:val="22"/>
                <w:szCs w:val="22"/>
                <w:lang w:val="en-GB"/>
              </w:rPr>
              <w:t>Dysphagia</w:t>
            </w:r>
            <w:r w:rsidRPr="00CC70C2">
              <w:rPr>
                <w:color w:val="000000"/>
                <w:sz w:val="22"/>
                <w:szCs w:val="22"/>
                <w:vertAlign w:val="superscript"/>
                <w:lang w:val="en-GB"/>
              </w:rPr>
              <w:t>7</w:t>
            </w:r>
          </w:p>
        </w:tc>
        <w:tc>
          <w:tcPr>
            <w:tcW w:w="1397" w:type="dxa"/>
            <w:tcBorders>
              <w:top w:val="single" w:sz="4" w:space="0" w:color="auto"/>
              <w:left w:val="single" w:sz="4" w:space="0" w:color="auto"/>
              <w:bottom w:val="single" w:sz="4" w:space="0" w:color="auto"/>
              <w:right w:val="single" w:sz="4" w:space="0" w:color="auto"/>
            </w:tcBorders>
            <w:hideMark/>
          </w:tcPr>
          <w:p w14:paraId="10DA351F" w14:textId="2A6A446B" w:rsidR="00D5152C" w:rsidRPr="00CC70C2" w:rsidRDefault="00D5152C" w:rsidP="008B41EF">
            <w:pPr>
              <w:rPr>
                <w:iCs/>
                <w:color w:val="000000"/>
                <w:sz w:val="22"/>
                <w:szCs w:val="22"/>
                <w:lang w:val="en-GB"/>
              </w:rPr>
            </w:pPr>
            <w:r w:rsidRPr="00CC70C2">
              <w:rPr>
                <w:iCs/>
                <w:color w:val="000000"/>
                <w:sz w:val="22"/>
                <w:szCs w:val="22"/>
                <w:lang w:val="en-GB"/>
              </w:rPr>
              <w:t>Pancreatitis</w:t>
            </w:r>
            <w:r w:rsidRPr="00CC70C2">
              <w:rPr>
                <w:iCs/>
                <w:color w:val="000000"/>
                <w:sz w:val="22"/>
                <w:szCs w:val="22"/>
                <w:vertAlign w:val="superscript"/>
                <w:lang w:val="en-GB"/>
              </w:rPr>
              <w:t>1</w:t>
            </w:r>
            <w:r w:rsidRPr="00CC70C2">
              <w:rPr>
                <w:iCs/>
                <w:color w:val="000000"/>
                <w:sz w:val="22"/>
                <w:szCs w:val="22"/>
                <w:lang w:val="en-GB"/>
              </w:rPr>
              <w:t>, intestinal obstruction/ileus</w:t>
            </w:r>
          </w:p>
        </w:tc>
        <w:tc>
          <w:tcPr>
            <w:tcW w:w="1397" w:type="dxa"/>
            <w:tcBorders>
              <w:top w:val="single" w:sz="4" w:space="0" w:color="auto"/>
              <w:left w:val="single" w:sz="4" w:space="0" w:color="auto"/>
              <w:bottom w:val="single" w:sz="4" w:space="0" w:color="auto"/>
              <w:right w:val="single" w:sz="4" w:space="0" w:color="auto"/>
            </w:tcBorders>
          </w:tcPr>
          <w:p w14:paraId="1E349ED6"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63BE3089" w14:textId="77777777" w:rsidR="00D5152C" w:rsidRPr="00CC70C2" w:rsidRDefault="00D5152C">
            <w:pPr>
              <w:rPr>
                <w:i/>
                <w:iCs/>
                <w:color w:val="000000"/>
                <w:sz w:val="22"/>
                <w:szCs w:val="22"/>
                <w:lang w:val="en-GB"/>
              </w:rPr>
            </w:pPr>
          </w:p>
        </w:tc>
      </w:tr>
      <w:tr w:rsidR="00D5152C" w:rsidRPr="00CC70C2" w14:paraId="0DEBB4E6"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785C3214" w14:textId="77777777" w:rsidR="00D5152C" w:rsidRPr="00CC70C2" w:rsidRDefault="00D5152C">
            <w:pPr>
              <w:rPr>
                <w:i/>
                <w:iCs/>
                <w:color w:val="000000"/>
                <w:sz w:val="22"/>
                <w:szCs w:val="22"/>
                <w:lang w:val="en-GB"/>
              </w:rPr>
            </w:pPr>
            <w:r w:rsidRPr="00CC70C2">
              <w:rPr>
                <w:i/>
                <w:iCs/>
                <w:color w:val="000000"/>
                <w:sz w:val="22"/>
                <w:szCs w:val="22"/>
                <w:lang w:val="en-GB"/>
              </w:rPr>
              <w:t>Hepatobiliary disorders</w:t>
            </w:r>
          </w:p>
        </w:tc>
        <w:tc>
          <w:tcPr>
            <w:tcW w:w="1234" w:type="dxa"/>
            <w:tcBorders>
              <w:top w:val="single" w:sz="4" w:space="0" w:color="auto"/>
              <w:left w:val="single" w:sz="4" w:space="0" w:color="auto"/>
              <w:bottom w:val="single" w:sz="4" w:space="0" w:color="auto"/>
              <w:right w:val="single" w:sz="4" w:space="0" w:color="auto"/>
            </w:tcBorders>
          </w:tcPr>
          <w:p w14:paraId="03FA1218"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08968614" w14:textId="4CA609DA" w:rsidR="00D5152C" w:rsidRPr="00CC70C2" w:rsidRDefault="00D5152C" w:rsidP="008B41EF">
            <w:pPr>
              <w:rPr>
                <w:iCs/>
                <w:color w:val="000000"/>
                <w:sz w:val="22"/>
                <w:szCs w:val="22"/>
                <w:lang w:val="en-GB"/>
              </w:rPr>
            </w:pPr>
            <w:r w:rsidRPr="00CC70C2">
              <w:rPr>
                <w:iCs/>
                <w:color w:val="000000"/>
                <w:sz w:val="22"/>
                <w:szCs w:val="22"/>
                <w:lang w:val="en-GB"/>
              </w:rPr>
              <w:t>Elevations in serum alanine aminotransferase (ALT)</w:t>
            </w:r>
            <w:r w:rsidRPr="00CC70C2">
              <w:rPr>
                <w:iCs/>
                <w:color w:val="000000"/>
                <w:sz w:val="22"/>
                <w:szCs w:val="22"/>
                <w:vertAlign w:val="superscript"/>
                <w:lang w:val="en-GB"/>
              </w:rPr>
              <w:t>3</w:t>
            </w:r>
            <w:r w:rsidRPr="00CC70C2">
              <w:rPr>
                <w:iCs/>
                <w:color w:val="000000"/>
                <w:sz w:val="22"/>
                <w:szCs w:val="22"/>
                <w:lang w:val="en-GB"/>
              </w:rPr>
              <w:t>,</w:t>
            </w:r>
            <w:r w:rsidR="008B41EF" w:rsidRPr="00CC70C2">
              <w:rPr>
                <w:iCs/>
                <w:color w:val="000000"/>
                <w:sz w:val="22"/>
                <w:szCs w:val="22"/>
                <w:lang w:val="en-GB"/>
              </w:rPr>
              <w:t xml:space="preserve"> </w:t>
            </w:r>
            <w:r w:rsidRPr="00CC70C2">
              <w:rPr>
                <w:iCs/>
                <w:color w:val="000000"/>
                <w:sz w:val="22"/>
                <w:szCs w:val="22"/>
                <w:lang w:val="en-GB"/>
              </w:rPr>
              <w:t>elevations in gamma-GT levels</w:t>
            </w:r>
            <w:r w:rsidRPr="00CC70C2">
              <w:rPr>
                <w:iCs/>
                <w:color w:val="000000"/>
                <w:sz w:val="22"/>
                <w:szCs w:val="22"/>
                <w:vertAlign w:val="superscript"/>
                <w:lang w:val="en-GB"/>
              </w:rPr>
              <w:t>3</w:t>
            </w:r>
          </w:p>
        </w:tc>
        <w:tc>
          <w:tcPr>
            <w:tcW w:w="1398" w:type="dxa"/>
            <w:tcBorders>
              <w:top w:val="single" w:sz="4" w:space="0" w:color="auto"/>
              <w:left w:val="single" w:sz="4" w:space="0" w:color="auto"/>
              <w:bottom w:val="single" w:sz="4" w:space="0" w:color="auto"/>
              <w:right w:val="single" w:sz="4" w:space="0" w:color="auto"/>
            </w:tcBorders>
            <w:hideMark/>
          </w:tcPr>
          <w:p w14:paraId="11A27593" w14:textId="77777777" w:rsidR="00D5152C" w:rsidRPr="00CC70C2" w:rsidRDefault="00D5152C">
            <w:pPr>
              <w:rPr>
                <w:iCs/>
                <w:color w:val="000000"/>
                <w:sz w:val="22"/>
                <w:szCs w:val="22"/>
                <w:lang w:val="en-GB"/>
              </w:rPr>
            </w:pPr>
            <w:r w:rsidRPr="00CC70C2">
              <w:rPr>
                <w:iCs/>
                <w:color w:val="000000"/>
                <w:sz w:val="22"/>
                <w:szCs w:val="22"/>
                <w:lang w:val="en-GB"/>
              </w:rPr>
              <w:t>Elevations in serum aspartate aminotransferase (AST)</w:t>
            </w:r>
            <w:r w:rsidRPr="00CC70C2">
              <w:rPr>
                <w:iCs/>
                <w:color w:val="000000"/>
                <w:sz w:val="22"/>
                <w:szCs w:val="22"/>
                <w:vertAlign w:val="superscript"/>
                <w:lang w:val="en-GB"/>
              </w:rPr>
              <w:t>3</w:t>
            </w:r>
          </w:p>
        </w:tc>
        <w:tc>
          <w:tcPr>
            <w:tcW w:w="1397" w:type="dxa"/>
            <w:tcBorders>
              <w:top w:val="single" w:sz="4" w:space="0" w:color="auto"/>
              <w:left w:val="single" w:sz="4" w:space="0" w:color="auto"/>
              <w:bottom w:val="single" w:sz="4" w:space="0" w:color="auto"/>
              <w:right w:val="single" w:sz="4" w:space="0" w:color="auto"/>
            </w:tcBorders>
            <w:hideMark/>
          </w:tcPr>
          <w:p w14:paraId="33F7C5A9" w14:textId="49CF955D" w:rsidR="00D5152C" w:rsidRPr="00CC70C2" w:rsidRDefault="00D5152C" w:rsidP="008B41EF">
            <w:pPr>
              <w:rPr>
                <w:iCs/>
                <w:color w:val="000000"/>
                <w:sz w:val="22"/>
                <w:szCs w:val="22"/>
                <w:lang w:val="en-GB"/>
              </w:rPr>
            </w:pPr>
            <w:r w:rsidRPr="00CC70C2">
              <w:rPr>
                <w:iCs/>
                <w:color w:val="000000"/>
                <w:sz w:val="22"/>
                <w:szCs w:val="22"/>
                <w:lang w:val="en-GB"/>
              </w:rPr>
              <w:t>Jaundice</w:t>
            </w:r>
            <w:r w:rsidRPr="00CC70C2">
              <w:rPr>
                <w:iCs/>
                <w:color w:val="000000"/>
                <w:sz w:val="22"/>
                <w:szCs w:val="22"/>
                <w:vertAlign w:val="superscript"/>
                <w:lang w:val="en-GB"/>
              </w:rPr>
              <w:t>5</w:t>
            </w:r>
            <w:r w:rsidRPr="00CC70C2">
              <w:rPr>
                <w:iCs/>
                <w:color w:val="000000"/>
                <w:sz w:val="22"/>
                <w:szCs w:val="22"/>
                <w:lang w:val="en-GB"/>
              </w:rPr>
              <w:t>, hepatitis</w:t>
            </w:r>
          </w:p>
        </w:tc>
        <w:tc>
          <w:tcPr>
            <w:tcW w:w="1397" w:type="dxa"/>
            <w:tcBorders>
              <w:top w:val="single" w:sz="4" w:space="0" w:color="auto"/>
              <w:left w:val="single" w:sz="4" w:space="0" w:color="auto"/>
              <w:bottom w:val="single" w:sz="4" w:space="0" w:color="auto"/>
              <w:right w:val="single" w:sz="4" w:space="0" w:color="auto"/>
            </w:tcBorders>
          </w:tcPr>
          <w:p w14:paraId="4366A7AE"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543B9C65" w14:textId="77777777" w:rsidR="00D5152C" w:rsidRPr="00CC70C2" w:rsidRDefault="00D5152C">
            <w:pPr>
              <w:rPr>
                <w:i/>
                <w:iCs/>
                <w:color w:val="000000"/>
                <w:sz w:val="22"/>
                <w:szCs w:val="22"/>
                <w:lang w:val="en-GB"/>
              </w:rPr>
            </w:pPr>
          </w:p>
        </w:tc>
      </w:tr>
      <w:tr w:rsidR="00D5152C" w:rsidRPr="000B772F" w14:paraId="5002F3E8"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268785BE" w14:textId="77777777" w:rsidR="00D5152C" w:rsidRPr="00CC70C2" w:rsidRDefault="00D5152C">
            <w:pPr>
              <w:rPr>
                <w:i/>
                <w:iCs/>
                <w:color w:val="000000"/>
                <w:sz w:val="22"/>
                <w:szCs w:val="22"/>
                <w:lang w:val="en-GB"/>
              </w:rPr>
            </w:pPr>
            <w:r w:rsidRPr="00CC70C2">
              <w:rPr>
                <w:i/>
                <w:iCs/>
                <w:color w:val="000000"/>
                <w:sz w:val="22"/>
                <w:szCs w:val="22"/>
                <w:lang w:val="en-GB"/>
              </w:rPr>
              <w:t>Skin and subcutaneous tissue disorders</w:t>
            </w:r>
          </w:p>
        </w:tc>
        <w:tc>
          <w:tcPr>
            <w:tcW w:w="1234" w:type="dxa"/>
            <w:tcBorders>
              <w:top w:val="single" w:sz="4" w:space="0" w:color="auto"/>
              <w:left w:val="single" w:sz="4" w:space="0" w:color="auto"/>
              <w:bottom w:val="single" w:sz="4" w:space="0" w:color="auto"/>
              <w:right w:val="single" w:sz="4" w:space="0" w:color="auto"/>
            </w:tcBorders>
          </w:tcPr>
          <w:p w14:paraId="3822879E"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1FB977B7"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29326D9D"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0EA3FA7A"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489A9E99" w14:textId="1EA5CFB2" w:rsidR="00D5152C" w:rsidRPr="00CC70C2" w:rsidRDefault="00D5152C" w:rsidP="008B41EF">
            <w:pPr>
              <w:rPr>
                <w:i/>
                <w:iCs/>
                <w:color w:val="000000"/>
                <w:sz w:val="22"/>
                <w:szCs w:val="22"/>
                <w:lang w:val="en-GB"/>
              </w:rPr>
            </w:pPr>
            <w:r w:rsidRPr="00CC70C2">
              <w:rPr>
                <w:iCs/>
                <w:color w:val="000000"/>
                <w:sz w:val="22"/>
                <w:szCs w:val="22"/>
                <w:lang w:val="en-GB"/>
              </w:rPr>
              <w:t>Angioedema</w:t>
            </w:r>
            <w:r w:rsidRPr="00CC70C2">
              <w:rPr>
                <w:iCs/>
                <w:color w:val="000000"/>
                <w:sz w:val="22"/>
                <w:szCs w:val="22"/>
                <w:vertAlign w:val="superscript"/>
                <w:lang w:val="en-GB"/>
              </w:rPr>
              <w:t>5</w:t>
            </w:r>
            <w:r w:rsidRPr="00CC70C2">
              <w:rPr>
                <w:iCs/>
                <w:color w:val="000000"/>
                <w:sz w:val="22"/>
                <w:szCs w:val="22"/>
                <w:lang w:val="en-GB"/>
              </w:rPr>
              <w:t>, Stevens-Johnson syndrome</w:t>
            </w:r>
            <w:r w:rsidRPr="00CC70C2">
              <w:rPr>
                <w:iCs/>
                <w:color w:val="000000"/>
                <w:sz w:val="22"/>
                <w:szCs w:val="22"/>
                <w:vertAlign w:val="superscript"/>
                <w:lang w:val="en-GB"/>
              </w:rPr>
              <w:t>5</w:t>
            </w:r>
          </w:p>
        </w:tc>
        <w:tc>
          <w:tcPr>
            <w:tcW w:w="1398" w:type="dxa"/>
            <w:tcBorders>
              <w:top w:val="single" w:sz="4" w:space="0" w:color="auto"/>
              <w:left w:val="single" w:sz="4" w:space="0" w:color="auto"/>
              <w:bottom w:val="single" w:sz="4" w:space="0" w:color="auto"/>
              <w:right w:val="single" w:sz="4" w:space="0" w:color="auto"/>
            </w:tcBorders>
            <w:hideMark/>
          </w:tcPr>
          <w:p w14:paraId="7EE27081" w14:textId="4BD03B5E" w:rsidR="00D5152C" w:rsidRPr="00CC70C2" w:rsidRDefault="00D5152C" w:rsidP="00350C0E">
            <w:pPr>
              <w:rPr>
                <w:iCs/>
                <w:color w:val="000000"/>
                <w:sz w:val="22"/>
                <w:szCs w:val="22"/>
                <w:lang w:val="en-GB"/>
              </w:rPr>
            </w:pPr>
            <w:r w:rsidRPr="00CC70C2">
              <w:rPr>
                <w:iCs/>
                <w:color w:val="000000"/>
                <w:sz w:val="22"/>
                <w:szCs w:val="22"/>
                <w:lang w:val="en-GB"/>
              </w:rPr>
              <w:t xml:space="preserve">Toxic Epidermal Necrolysis, Erythema </w:t>
            </w:r>
            <w:r w:rsidR="005C0380" w:rsidRPr="005C0380">
              <w:rPr>
                <w:iCs/>
                <w:color w:val="000000"/>
                <w:sz w:val="22"/>
                <w:szCs w:val="22"/>
                <w:lang w:val="en-US"/>
              </w:rPr>
              <w:t>Multiforme,</w:t>
            </w:r>
            <w:r w:rsidR="00350C0E">
              <w:rPr>
                <w:iCs/>
                <w:color w:val="000000"/>
                <w:sz w:val="22"/>
                <w:szCs w:val="22"/>
                <w:lang w:val="en-US"/>
              </w:rPr>
              <w:t xml:space="preserve"> </w:t>
            </w:r>
            <w:r w:rsidR="005C0380" w:rsidRPr="005C0380">
              <w:rPr>
                <w:iCs/>
                <w:color w:val="000000"/>
                <w:sz w:val="22"/>
                <w:szCs w:val="22"/>
                <w:lang w:val="en-US"/>
              </w:rPr>
              <w:t xml:space="preserve">Acute Generalized </w:t>
            </w:r>
            <w:proofErr w:type="spellStart"/>
            <w:r w:rsidR="005C0380" w:rsidRPr="005C0380">
              <w:rPr>
                <w:iCs/>
                <w:color w:val="000000"/>
                <w:sz w:val="22"/>
                <w:szCs w:val="22"/>
                <w:lang w:val="en-US"/>
              </w:rPr>
              <w:t>Exanthematous</w:t>
            </w:r>
            <w:proofErr w:type="spellEnd"/>
            <w:r w:rsidR="005C0380" w:rsidRPr="005C0380">
              <w:rPr>
                <w:iCs/>
                <w:color w:val="000000"/>
                <w:sz w:val="22"/>
                <w:szCs w:val="22"/>
                <w:lang w:val="en-US"/>
              </w:rPr>
              <w:t xml:space="preserve"> Pustulosis (AGEP),</w:t>
            </w:r>
            <w:r w:rsidRPr="00CC70C2">
              <w:rPr>
                <w:iCs/>
                <w:color w:val="000000"/>
                <w:sz w:val="22"/>
                <w:szCs w:val="22"/>
                <w:lang w:val="en-GB"/>
              </w:rPr>
              <w:t xml:space="preserve"> Drug Reaction with Eosinophilia and Systemic Symptoms (DRESS)</w:t>
            </w:r>
          </w:p>
        </w:tc>
      </w:tr>
      <w:tr w:rsidR="00D5152C" w:rsidRPr="00CC70C2" w14:paraId="69261642"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1C53EC9E" w14:textId="77777777" w:rsidR="00D5152C" w:rsidRPr="00CC70C2" w:rsidRDefault="00D5152C">
            <w:pPr>
              <w:rPr>
                <w:i/>
                <w:iCs/>
                <w:color w:val="000000"/>
                <w:sz w:val="22"/>
                <w:szCs w:val="22"/>
                <w:lang w:val="en-GB"/>
              </w:rPr>
            </w:pPr>
            <w:r w:rsidRPr="00CC70C2">
              <w:rPr>
                <w:i/>
                <w:iCs/>
                <w:color w:val="000000"/>
                <w:sz w:val="22"/>
                <w:szCs w:val="22"/>
                <w:lang w:val="en-GB"/>
              </w:rPr>
              <w:t>Musculoskeletal and connective tissue disorders</w:t>
            </w:r>
          </w:p>
        </w:tc>
        <w:tc>
          <w:tcPr>
            <w:tcW w:w="1234" w:type="dxa"/>
            <w:tcBorders>
              <w:top w:val="single" w:sz="4" w:space="0" w:color="auto"/>
              <w:left w:val="single" w:sz="4" w:space="0" w:color="auto"/>
              <w:bottom w:val="single" w:sz="4" w:space="0" w:color="auto"/>
              <w:right w:val="single" w:sz="4" w:space="0" w:color="auto"/>
            </w:tcBorders>
          </w:tcPr>
          <w:p w14:paraId="5AA91B00"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247DB248"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052D417C"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3435F6E8"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154DF95A" w14:textId="77777777" w:rsidR="00D5152C" w:rsidRPr="00CC70C2" w:rsidRDefault="00D5152C">
            <w:pPr>
              <w:rPr>
                <w:i/>
                <w:iCs/>
                <w:color w:val="000000"/>
                <w:sz w:val="22"/>
                <w:szCs w:val="22"/>
                <w:lang w:val="en-GB"/>
              </w:rPr>
            </w:pPr>
            <w:r w:rsidRPr="00CC70C2">
              <w:rPr>
                <w:color w:val="000000"/>
                <w:sz w:val="22"/>
                <w:szCs w:val="22"/>
                <w:lang w:val="en-GB"/>
              </w:rPr>
              <w:t>Rhabdomyolysis</w:t>
            </w:r>
          </w:p>
        </w:tc>
        <w:tc>
          <w:tcPr>
            <w:tcW w:w="1398" w:type="dxa"/>
            <w:tcBorders>
              <w:top w:val="single" w:sz="4" w:space="0" w:color="auto"/>
              <w:left w:val="single" w:sz="4" w:space="0" w:color="auto"/>
              <w:bottom w:val="single" w:sz="4" w:space="0" w:color="auto"/>
              <w:right w:val="single" w:sz="4" w:space="0" w:color="auto"/>
            </w:tcBorders>
          </w:tcPr>
          <w:p w14:paraId="6B63A7B7" w14:textId="77777777" w:rsidR="00D5152C" w:rsidRPr="00CC70C2" w:rsidRDefault="00D5152C">
            <w:pPr>
              <w:rPr>
                <w:i/>
                <w:iCs/>
                <w:color w:val="000000"/>
                <w:sz w:val="22"/>
                <w:szCs w:val="22"/>
                <w:lang w:val="en-GB"/>
              </w:rPr>
            </w:pPr>
          </w:p>
        </w:tc>
      </w:tr>
      <w:tr w:rsidR="00D5152C" w:rsidRPr="00CC70C2" w14:paraId="685AA081"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7530C8B3" w14:textId="77777777" w:rsidR="00D5152C" w:rsidRPr="00CC70C2" w:rsidRDefault="00D5152C">
            <w:pPr>
              <w:rPr>
                <w:i/>
                <w:iCs/>
                <w:color w:val="000000"/>
                <w:sz w:val="22"/>
                <w:szCs w:val="22"/>
                <w:lang w:val="en-GB"/>
              </w:rPr>
            </w:pPr>
            <w:r w:rsidRPr="00CC70C2">
              <w:rPr>
                <w:i/>
                <w:iCs/>
                <w:color w:val="000000"/>
                <w:sz w:val="22"/>
                <w:szCs w:val="22"/>
                <w:lang w:val="en-GB"/>
              </w:rPr>
              <w:t>Renal and urinary disorders</w:t>
            </w:r>
          </w:p>
        </w:tc>
        <w:tc>
          <w:tcPr>
            <w:tcW w:w="1234" w:type="dxa"/>
            <w:tcBorders>
              <w:top w:val="single" w:sz="4" w:space="0" w:color="auto"/>
              <w:left w:val="single" w:sz="4" w:space="0" w:color="auto"/>
              <w:bottom w:val="single" w:sz="4" w:space="0" w:color="auto"/>
              <w:right w:val="single" w:sz="4" w:space="0" w:color="auto"/>
            </w:tcBorders>
          </w:tcPr>
          <w:p w14:paraId="6B907C5A"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20FF7651"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hideMark/>
          </w:tcPr>
          <w:p w14:paraId="036AD161" w14:textId="77777777" w:rsidR="00D5152C" w:rsidRPr="00CC70C2" w:rsidRDefault="00D5152C">
            <w:pPr>
              <w:rPr>
                <w:i/>
                <w:iCs/>
                <w:color w:val="000000"/>
                <w:sz w:val="22"/>
                <w:szCs w:val="22"/>
                <w:lang w:val="en-GB"/>
              </w:rPr>
            </w:pPr>
            <w:r w:rsidRPr="00CC70C2">
              <w:rPr>
                <w:iCs/>
                <w:color w:val="000000"/>
                <w:sz w:val="22"/>
                <w:szCs w:val="22"/>
                <w:lang w:val="en-GB"/>
              </w:rPr>
              <w:t>Urinary retention</w:t>
            </w:r>
          </w:p>
        </w:tc>
        <w:tc>
          <w:tcPr>
            <w:tcW w:w="1397" w:type="dxa"/>
            <w:tcBorders>
              <w:top w:val="single" w:sz="4" w:space="0" w:color="auto"/>
              <w:left w:val="single" w:sz="4" w:space="0" w:color="auto"/>
              <w:bottom w:val="single" w:sz="4" w:space="0" w:color="auto"/>
              <w:right w:val="single" w:sz="4" w:space="0" w:color="auto"/>
            </w:tcBorders>
          </w:tcPr>
          <w:p w14:paraId="33EF2272"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78094FB2"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1843492A" w14:textId="77777777" w:rsidR="00D5152C" w:rsidRPr="00CC70C2" w:rsidRDefault="00D5152C">
            <w:pPr>
              <w:rPr>
                <w:i/>
                <w:iCs/>
                <w:color w:val="000000"/>
                <w:sz w:val="22"/>
                <w:szCs w:val="22"/>
                <w:lang w:val="en-GB"/>
              </w:rPr>
            </w:pPr>
          </w:p>
        </w:tc>
      </w:tr>
      <w:tr w:rsidR="00D5152C" w:rsidRPr="00CC70C2" w14:paraId="5C265A80"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77CC634E" w14:textId="77777777" w:rsidR="00D5152C" w:rsidRPr="00CC70C2" w:rsidRDefault="00D5152C">
            <w:pPr>
              <w:rPr>
                <w:i/>
                <w:iCs/>
                <w:color w:val="000000"/>
                <w:sz w:val="22"/>
                <w:szCs w:val="22"/>
                <w:lang w:val="en-GB"/>
              </w:rPr>
            </w:pPr>
            <w:r w:rsidRPr="00CC70C2">
              <w:rPr>
                <w:i/>
                <w:iCs/>
                <w:color w:val="000000"/>
                <w:sz w:val="22"/>
                <w:szCs w:val="22"/>
                <w:lang w:val="en-GB"/>
              </w:rPr>
              <w:t>Pregnancy, puerperium and perinatal conditions</w:t>
            </w:r>
          </w:p>
        </w:tc>
        <w:tc>
          <w:tcPr>
            <w:tcW w:w="1234" w:type="dxa"/>
            <w:tcBorders>
              <w:top w:val="single" w:sz="4" w:space="0" w:color="auto"/>
              <w:left w:val="single" w:sz="4" w:space="0" w:color="auto"/>
              <w:bottom w:val="single" w:sz="4" w:space="0" w:color="auto"/>
              <w:right w:val="single" w:sz="4" w:space="0" w:color="auto"/>
            </w:tcBorders>
          </w:tcPr>
          <w:p w14:paraId="770A9D7F"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6D48FC35"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24006CD3"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3F5B9FF6"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39147AE2"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hideMark/>
          </w:tcPr>
          <w:p w14:paraId="61BAF3C3" w14:textId="77777777" w:rsidR="00D5152C" w:rsidRPr="00CC70C2" w:rsidRDefault="00D5152C">
            <w:pPr>
              <w:rPr>
                <w:iCs/>
                <w:color w:val="000000"/>
                <w:sz w:val="22"/>
                <w:szCs w:val="22"/>
                <w:lang w:val="en-GB"/>
              </w:rPr>
            </w:pPr>
            <w:r w:rsidRPr="00CC70C2">
              <w:rPr>
                <w:iCs/>
                <w:color w:val="000000"/>
                <w:sz w:val="22"/>
                <w:szCs w:val="22"/>
                <w:lang w:val="en-GB"/>
              </w:rPr>
              <w:t>Drug withdrawal syndrome neonatal</w:t>
            </w:r>
            <w:r w:rsidRPr="00CC70C2">
              <w:rPr>
                <w:iCs/>
                <w:color w:val="000000"/>
                <w:sz w:val="22"/>
                <w:szCs w:val="22"/>
                <w:vertAlign w:val="superscript"/>
                <w:lang w:val="en-GB"/>
              </w:rPr>
              <w:t>31</w:t>
            </w:r>
          </w:p>
        </w:tc>
      </w:tr>
      <w:tr w:rsidR="00D5152C" w:rsidRPr="000B772F" w14:paraId="53248C67"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466AD876" w14:textId="77777777" w:rsidR="00D5152C" w:rsidRPr="00CC70C2" w:rsidRDefault="00D5152C">
            <w:pPr>
              <w:rPr>
                <w:i/>
                <w:iCs/>
                <w:color w:val="000000"/>
                <w:sz w:val="22"/>
                <w:szCs w:val="22"/>
                <w:lang w:val="en-GB"/>
              </w:rPr>
            </w:pPr>
            <w:r w:rsidRPr="00CC70C2">
              <w:rPr>
                <w:i/>
                <w:iCs/>
                <w:color w:val="000000"/>
                <w:sz w:val="22"/>
                <w:szCs w:val="22"/>
                <w:lang w:val="en-GB"/>
              </w:rPr>
              <w:t>Reproductive system and breast disorders</w:t>
            </w:r>
          </w:p>
        </w:tc>
        <w:tc>
          <w:tcPr>
            <w:tcW w:w="1234" w:type="dxa"/>
            <w:tcBorders>
              <w:top w:val="single" w:sz="4" w:space="0" w:color="auto"/>
              <w:left w:val="single" w:sz="4" w:space="0" w:color="auto"/>
              <w:bottom w:val="single" w:sz="4" w:space="0" w:color="auto"/>
              <w:right w:val="single" w:sz="4" w:space="0" w:color="auto"/>
            </w:tcBorders>
          </w:tcPr>
          <w:p w14:paraId="0BFEF94B"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4FAE5E3A"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1561A310" w14:textId="3C845876" w:rsidR="00D5152C" w:rsidRPr="00CC70C2" w:rsidRDefault="00D5152C" w:rsidP="00350C0E">
            <w:pPr>
              <w:rPr>
                <w:i/>
                <w:iCs/>
                <w:color w:val="000000"/>
                <w:sz w:val="22"/>
                <w:szCs w:val="22"/>
                <w:lang w:val="en-GB"/>
              </w:rPr>
            </w:pPr>
            <w:r w:rsidRPr="00CC70C2">
              <w:rPr>
                <w:color w:val="000000"/>
                <w:sz w:val="22"/>
                <w:szCs w:val="22"/>
                <w:lang w:val="en-GB"/>
              </w:rPr>
              <w:t>Sexual dysfunction</w:t>
            </w:r>
          </w:p>
        </w:tc>
        <w:tc>
          <w:tcPr>
            <w:tcW w:w="1397" w:type="dxa"/>
            <w:tcBorders>
              <w:top w:val="single" w:sz="4" w:space="0" w:color="auto"/>
              <w:left w:val="single" w:sz="4" w:space="0" w:color="auto"/>
              <w:bottom w:val="single" w:sz="4" w:space="0" w:color="auto"/>
              <w:right w:val="single" w:sz="4" w:space="0" w:color="auto"/>
            </w:tcBorders>
            <w:hideMark/>
          </w:tcPr>
          <w:p w14:paraId="5ACF8811" w14:textId="5DD481CC" w:rsidR="00D5152C" w:rsidRPr="00CC70C2" w:rsidRDefault="00D5152C" w:rsidP="00350C0E">
            <w:pPr>
              <w:rPr>
                <w:i/>
                <w:iCs/>
                <w:color w:val="000000"/>
                <w:sz w:val="22"/>
                <w:szCs w:val="22"/>
                <w:lang w:val="en-GB"/>
              </w:rPr>
            </w:pPr>
            <w:r w:rsidRPr="00CC70C2">
              <w:rPr>
                <w:color w:val="000000"/>
                <w:sz w:val="22"/>
                <w:szCs w:val="22"/>
                <w:lang w:val="en-GB"/>
              </w:rPr>
              <w:t>Priapism, galactorrhoea, breast swelling, menstrual disorder</w:t>
            </w:r>
          </w:p>
        </w:tc>
        <w:tc>
          <w:tcPr>
            <w:tcW w:w="1397" w:type="dxa"/>
            <w:tcBorders>
              <w:top w:val="single" w:sz="4" w:space="0" w:color="auto"/>
              <w:left w:val="single" w:sz="4" w:space="0" w:color="auto"/>
              <w:bottom w:val="single" w:sz="4" w:space="0" w:color="auto"/>
              <w:right w:val="single" w:sz="4" w:space="0" w:color="auto"/>
            </w:tcBorders>
          </w:tcPr>
          <w:p w14:paraId="66A3E7CA"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390014A3" w14:textId="77777777" w:rsidR="00D5152C" w:rsidRPr="00CC70C2" w:rsidRDefault="00D5152C">
            <w:pPr>
              <w:rPr>
                <w:i/>
                <w:iCs/>
                <w:color w:val="000000"/>
                <w:sz w:val="22"/>
                <w:szCs w:val="22"/>
                <w:lang w:val="en-GB"/>
              </w:rPr>
            </w:pPr>
          </w:p>
        </w:tc>
      </w:tr>
      <w:tr w:rsidR="00D5152C" w:rsidRPr="00CC70C2" w14:paraId="4BC658C5"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3C2B276E" w14:textId="77777777" w:rsidR="00D5152C" w:rsidRPr="00CC70C2" w:rsidRDefault="00D5152C">
            <w:pPr>
              <w:rPr>
                <w:i/>
                <w:iCs/>
                <w:color w:val="000000"/>
                <w:sz w:val="22"/>
                <w:szCs w:val="22"/>
                <w:lang w:val="en-GB"/>
              </w:rPr>
            </w:pPr>
            <w:r w:rsidRPr="00CC70C2">
              <w:rPr>
                <w:i/>
                <w:iCs/>
                <w:color w:val="000000"/>
                <w:sz w:val="22"/>
                <w:szCs w:val="22"/>
                <w:lang w:val="en-GB"/>
              </w:rPr>
              <w:t>General disorders and administration site conditions</w:t>
            </w:r>
          </w:p>
        </w:tc>
        <w:tc>
          <w:tcPr>
            <w:tcW w:w="1234" w:type="dxa"/>
            <w:tcBorders>
              <w:top w:val="single" w:sz="4" w:space="0" w:color="auto"/>
              <w:left w:val="single" w:sz="4" w:space="0" w:color="auto"/>
              <w:bottom w:val="single" w:sz="4" w:space="0" w:color="auto"/>
              <w:right w:val="single" w:sz="4" w:space="0" w:color="auto"/>
            </w:tcBorders>
          </w:tcPr>
          <w:p w14:paraId="026E8687" w14:textId="0F8D6246" w:rsidR="00D5152C" w:rsidRPr="00CC70C2" w:rsidRDefault="00D5152C" w:rsidP="008B41EF">
            <w:pPr>
              <w:rPr>
                <w:i/>
                <w:iCs/>
                <w:color w:val="000000"/>
                <w:sz w:val="22"/>
                <w:szCs w:val="22"/>
                <w:lang w:val="en-GB"/>
              </w:rPr>
            </w:pPr>
            <w:r w:rsidRPr="00CC70C2">
              <w:rPr>
                <w:color w:val="000000"/>
                <w:sz w:val="22"/>
                <w:szCs w:val="22"/>
                <w:lang w:val="en-GB"/>
              </w:rPr>
              <w:t>Withdrawal (discontinuation) symptoms</w:t>
            </w:r>
            <w:r w:rsidRPr="00CC70C2">
              <w:rPr>
                <w:color w:val="000000"/>
                <w:sz w:val="22"/>
                <w:szCs w:val="22"/>
                <w:vertAlign w:val="superscript"/>
                <w:lang w:val="en-GB"/>
              </w:rPr>
              <w:t>1, 9</w:t>
            </w:r>
          </w:p>
        </w:tc>
        <w:tc>
          <w:tcPr>
            <w:tcW w:w="1397" w:type="dxa"/>
            <w:tcBorders>
              <w:top w:val="single" w:sz="4" w:space="0" w:color="auto"/>
              <w:left w:val="single" w:sz="4" w:space="0" w:color="auto"/>
              <w:bottom w:val="single" w:sz="4" w:space="0" w:color="auto"/>
              <w:right w:val="single" w:sz="4" w:space="0" w:color="auto"/>
            </w:tcBorders>
            <w:hideMark/>
          </w:tcPr>
          <w:p w14:paraId="02658879" w14:textId="3927E29F" w:rsidR="00D5152C" w:rsidRPr="00CC70C2" w:rsidRDefault="00D5152C" w:rsidP="008B41EF">
            <w:pPr>
              <w:rPr>
                <w:i/>
                <w:iCs/>
                <w:color w:val="000000"/>
                <w:sz w:val="22"/>
                <w:szCs w:val="22"/>
                <w:lang w:val="en-GB"/>
              </w:rPr>
            </w:pPr>
            <w:r w:rsidRPr="00CC70C2">
              <w:rPr>
                <w:color w:val="000000"/>
                <w:sz w:val="22"/>
                <w:szCs w:val="22"/>
                <w:lang w:val="en-GB"/>
              </w:rPr>
              <w:t>Mild asthenia, peripheral oedema, irritability, pyrexia</w:t>
            </w:r>
          </w:p>
        </w:tc>
        <w:tc>
          <w:tcPr>
            <w:tcW w:w="1398" w:type="dxa"/>
            <w:tcBorders>
              <w:top w:val="single" w:sz="4" w:space="0" w:color="auto"/>
              <w:left w:val="single" w:sz="4" w:space="0" w:color="auto"/>
              <w:bottom w:val="single" w:sz="4" w:space="0" w:color="auto"/>
              <w:right w:val="single" w:sz="4" w:space="0" w:color="auto"/>
            </w:tcBorders>
          </w:tcPr>
          <w:p w14:paraId="0C312D07"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6D6D3CF6" w14:textId="32D5CC59" w:rsidR="00D5152C" w:rsidRPr="00CC70C2" w:rsidRDefault="00D5152C" w:rsidP="00816AE5">
            <w:pPr>
              <w:rPr>
                <w:i/>
                <w:iCs/>
                <w:color w:val="000000"/>
                <w:sz w:val="22"/>
                <w:szCs w:val="22"/>
                <w:lang w:val="en-GB"/>
              </w:rPr>
            </w:pPr>
            <w:r w:rsidRPr="00CC70C2">
              <w:rPr>
                <w:color w:val="000000"/>
                <w:sz w:val="22"/>
                <w:szCs w:val="22"/>
                <w:lang w:val="en-GB"/>
              </w:rPr>
              <w:t>Neuroleptic malignant syndrome</w:t>
            </w:r>
            <w:r w:rsidRPr="00CC70C2">
              <w:rPr>
                <w:color w:val="000000"/>
                <w:sz w:val="22"/>
                <w:szCs w:val="22"/>
                <w:vertAlign w:val="superscript"/>
                <w:lang w:val="en-GB"/>
              </w:rPr>
              <w:t>1</w:t>
            </w:r>
            <w:r w:rsidRPr="00CC70C2">
              <w:rPr>
                <w:color w:val="000000"/>
                <w:sz w:val="22"/>
                <w:szCs w:val="22"/>
                <w:lang w:val="en-GB"/>
              </w:rPr>
              <w:t>, hypothermia</w:t>
            </w:r>
          </w:p>
        </w:tc>
        <w:tc>
          <w:tcPr>
            <w:tcW w:w="1397" w:type="dxa"/>
            <w:tcBorders>
              <w:top w:val="single" w:sz="4" w:space="0" w:color="auto"/>
              <w:left w:val="single" w:sz="4" w:space="0" w:color="auto"/>
              <w:bottom w:val="single" w:sz="4" w:space="0" w:color="auto"/>
              <w:right w:val="single" w:sz="4" w:space="0" w:color="auto"/>
            </w:tcBorders>
          </w:tcPr>
          <w:p w14:paraId="12C8A6A6"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36ADFCC1" w14:textId="77777777" w:rsidR="00D5152C" w:rsidRPr="00CC70C2" w:rsidRDefault="00D5152C">
            <w:pPr>
              <w:rPr>
                <w:i/>
                <w:iCs/>
                <w:color w:val="000000"/>
                <w:sz w:val="22"/>
                <w:szCs w:val="22"/>
                <w:lang w:val="en-GB"/>
              </w:rPr>
            </w:pPr>
          </w:p>
        </w:tc>
      </w:tr>
      <w:tr w:rsidR="00D5152C" w:rsidRPr="000B772F" w14:paraId="1DC3DE8F" w14:textId="77777777" w:rsidTr="00D5152C">
        <w:trPr>
          <w:cantSplit/>
        </w:trPr>
        <w:tc>
          <w:tcPr>
            <w:tcW w:w="1560" w:type="dxa"/>
            <w:tcBorders>
              <w:top w:val="single" w:sz="4" w:space="0" w:color="auto"/>
              <w:left w:val="single" w:sz="4" w:space="0" w:color="auto"/>
              <w:bottom w:val="single" w:sz="4" w:space="0" w:color="auto"/>
              <w:right w:val="single" w:sz="4" w:space="0" w:color="auto"/>
            </w:tcBorders>
            <w:hideMark/>
          </w:tcPr>
          <w:p w14:paraId="1348638C" w14:textId="77777777" w:rsidR="00D5152C" w:rsidRPr="00CC70C2" w:rsidRDefault="00D5152C">
            <w:pPr>
              <w:rPr>
                <w:i/>
                <w:iCs/>
                <w:color w:val="000000"/>
                <w:sz w:val="22"/>
                <w:szCs w:val="22"/>
                <w:lang w:val="en-GB"/>
              </w:rPr>
            </w:pPr>
            <w:r w:rsidRPr="00CC70C2">
              <w:rPr>
                <w:i/>
                <w:iCs/>
                <w:color w:val="000000"/>
                <w:sz w:val="22"/>
                <w:szCs w:val="22"/>
                <w:lang w:val="en-GB"/>
              </w:rPr>
              <w:t>Investigations</w:t>
            </w:r>
          </w:p>
        </w:tc>
        <w:tc>
          <w:tcPr>
            <w:tcW w:w="1234" w:type="dxa"/>
            <w:tcBorders>
              <w:top w:val="single" w:sz="4" w:space="0" w:color="auto"/>
              <w:left w:val="single" w:sz="4" w:space="0" w:color="auto"/>
              <w:bottom w:val="single" w:sz="4" w:space="0" w:color="auto"/>
              <w:right w:val="single" w:sz="4" w:space="0" w:color="auto"/>
            </w:tcBorders>
          </w:tcPr>
          <w:p w14:paraId="5B1FAD80"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tcPr>
          <w:p w14:paraId="694FF7D1"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3BE2F17B" w14:textId="77777777" w:rsidR="00D5152C" w:rsidRPr="00CC70C2" w:rsidRDefault="00D5152C">
            <w:pPr>
              <w:rPr>
                <w:i/>
                <w:iCs/>
                <w:color w:val="000000"/>
                <w:sz w:val="22"/>
                <w:szCs w:val="22"/>
                <w:lang w:val="en-GB"/>
              </w:rPr>
            </w:pPr>
          </w:p>
        </w:tc>
        <w:tc>
          <w:tcPr>
            <w:tcW w:w="1397" w:type="dxa"/>
            <w:tcBorders>
              <w:top w:val="single" w:sz="4" w:space="0" w:color="auto"/>
              <w:left w:val="single" w:sz="4" w:space="0" w:color="auto"/>
              <w:bottom w:val="single" w:sz="4" w:space="0" w:color="auto"/>
              <w:right w:val="single" w:sz="4" w:space="0" w:color="auto"/>
            </w:tcBorders>
            <w:hideMark/>
          </w:tcPr>
          <w:p w14:paraId="0C56CC63" w14:textId="77777777" w:rsidR="00D5152C" w:rsidRPr="00CC70C2" w:rsidRDefault="00D5152C">
            <w:pPr>
              <w:rPr>
                <w:i/>
                <w:iCs/>
                <w:color w:val="000000"/>
                <w:sz w:val="22"/>
                <w:szCs w:val="22"/>
                <w:lang w:val="en-GB"/>
              </w:rPr>
            </w:pPr>
            <w:r w:rsidRPr="00CC70C2">
              <w:rPr>
                <w:color w:val="000000"/>
                <w:sz w:val="22"/>
                <w:szCs w:val="22"/>
                <w:lang w:val="en-GB"/>
              </w:rPr>
              <w:t>Elevations in blood creatine phosphokinase</w:t>
            </w:r>
            <w:r w:rsidRPr="00CC70C2">
              <w:rPr>
                <w:color w:val="000000"/>
                <w:sz w:val="22"/>
                <w:szCs w:val="22"/>
                <w:vertAlign w:val="superscript"/>
                <w:lang w:val="en-GB"/>
              </w:rPr>
              <w:t>14</w:t>
            </w:r>
          </w:p>
        </w:tc>
        <w:tc>
          <w:tcPr>
            <w:tcW w:w="1397" w:type="dxa"/>
            <w:tcBorders>
              <w:top w:val="single" w:sz="4" w:space="0" w:color="auto"/>
              <w:left w:val="single" w:sz="4" w:space="0" w:color="auto"/>
              <w:bottom w:val="single" w:sz="4" w:space="0" w:color="auto"/>
              <w:right w:val="single" w:sz="4" w:space="0" w:color="auto"/>
            </w:tcBorders>
          </w:tcPr>
          <w:p w14:paraId="78EB9720" w14:textId="77777777" w:rsidR="00D5152C" w:rsidRPr="00CC70C2" w:rsidRDefault="00D5152C">
            <w:pPr>
              <w:rPr>
                <w:i/>
                <w:iCs/>
                <w:color w:val="000000"/>
                <w:sz w:val="22"/>
                <w:szCs w:val="22"/>
                <w:lang w:val="en-GB"/>
              </w:rPr>
            </w:pPr>
          </w:p>
        </w:tc>
        <w:tc>
          <w:tcPr>
            <w:tcW w:w="1398" w:type="dxa"/>
            <w:tcBorders>
              <w:top w:val="single" w:sz="4" w:space="0" w:color="auto"/>
              <w:left w:val="single" w:sz="4" w:space="0" w:color="auto"/>
              <w:bottom w:val="single" w:sz="4" w:space="0" w:color="auto"/>
              <w:right w:val="single" w:sz="4" w:space="0" w:color="auto"/>
            </w:tcBorders>
          </w:tcPr>
          <w:p w14:paraId="0111AA6E" w14:textId="77777777" w:rsidR="00D5152C" w:rsidRPr="00CC70C2" w:rsidRDefault="00D5152C">
            <w:pPr>
              <w:rPr>
                <w:i/>
                <w:iCs/>
                <w:color w:val="000000"/>
                <w:sz w:val="22"/>
                <w:szCs w:val="22"/>
                <w:lang w:val="en-GB"/>
              </w:rPr>
            </w:pPr>
          </w:p>
        </w:tc>
      </w:tr>
    </w:tbl>
    <w:p w14:paraId="7E3DC7F2" w14:textId="77777777" w:rsidR="00D5152C" w:rsidRPr="00CC70C2" w:rsidRDefault="00D5152C" w:rsidP="00D5152C">
      <w:pPr>
        <w:tabs>
          <w:tab w:val="left" w:pos="567"/>
        </w:tabs>
        <w:ind w:left="567" w:hanging="567"/>
        <w:rPr>
          <w:color w:val="000000"/>
          <w:sz w:val="24"/>
          <w:szCs w:val="24"/>
          <w:lang w:val="en-GB" w:eastAsia="en-US"/>
        </w:rPr>
      </w:pPr>
      <w:r w:rsidRPr="00CC70C2">
        <w:rPr>
          <w:color w:val="000000"/>
          <w:sz w:val="24"/>
          <w:szCs w:val="24"/>
          <w:lang w:val="en-GB"/>
        </w:rPr>
        <w:t xml:space="preserve">1. </w:t>
      </w:r>
      <w:r w:rsidRPr="00CC70C2">
        <w:rPr>
          <w:color w:val="000000"/>
          <w:sz w:val="24"/>
          <w:szCs w:val="24"/>
          <w:lang w:val="en-GB"/>
        </w:rPr>
        <w:tab/>
        <w:t>See section 4.4</w:t>
      </w:r>
    </w:p>
    <w:p w14:paraId="232C9CDE" w14:textId="77777777" w:rsidR="00D5152C" w:rsidRPr="00CC70C2" w:rsidRDefault="00D5152C" w:rsidP="00D5152C">
      <w:pPr>
        <w:tabs>
          <w:tab w:val="left" w:pos="567"/>
        </w:tabs>
        <w:ind w:left="567" w:hanging="567"/>
        <w:rPr>
          <w:color w:val="000000"/>
          <w:sz w:val="24"/>
          <w:szCs w:val="24"/>
          <w:lang w:val="en-GB"/>
        </w:rPr>
      </w:pPr>
      <w:r w:rsidRPr="00CC70C2">
        <w:rPr>
          <w:color w:val="000000"/>
          <w:sz w:val="24"/>
          <w:szCs w:val="24"/>
          <w:lang w:val="en-GB"/>
        </w:rPr>
        <w:t xml:space="preserve">2. </w:t>
      </w:r>
      <w:r w:rsidRPr="00CC70C2">
        <w:rPr>
          <w:color w:val="000000"/>
          <w:sz w:val="24"/>
          <w:szCs w:val="24"/>
          <w:lang w:val="en-GB"/>
        </w:rPr>
        <w:tab/>
        <w:t>Somnolence may occur, usually during the first two weeks of treatment and generally resolves with the continued administration of quetiapine.</w:t>
      </w:r>
    </w:p>
    <w:p w14:paraId="018ABBF5" w14:textId="77777777" w:rsidR="00D5152C" w:rsidRPr="00CC70C2" w:rsidRDefault="00D5152C" w:rsidP="00D5152C">
      <w:pPr>
        <w:tabs>
          <w:tab w:val="left" w:pos="567"/>
        </w:tabs>
        <w:ind w:left="567" w:hanging="567"/>
        <w:rPr>
          <w:color w:val="000000"/>
          <w:sz w:val="24"/>
          <w:szCs w:val="24"/>
          <w:lang w:val="en-GB"/>
        </w:rPr>
      </w:pPr>
      <w:r w:rsidRPr="00CC70C2">
        <w:rPr>
          <w:color w:val="000000"/>
          <w:sz w:val="24"/>
          <w:szCs w:val="24"/>
          <w:lang w:val="en-GB"/>
        </w:rPr>
        <w:t xml:space="preserve">3. </w:t>
      </w:r>
      <w:r w:rsidRPr="00CC70C2">
        <w:rPr>
          <w:color w:val="000000"/>
          <w:sz w:val="24"/>
          <w:szCs w:val="24"/>
          <w:lang w:val="en-GB"/>
        </w:rPr>
        <w:tab/>
        <w:t>Asymptomatic elevations (shift from normal to &gt; 3x ULN at any time) in serum transaminase (ALT, AST) or gamma-GT-levels have been observed in some patients administered quetiapine. These elevations were usually reversible on continued quetiapine treatment.</w:t>
      </w:r>
    </w:p>
    <w:p w14:paraId="4259482C" w14:textId="77777777" w:rsidR="00D5152C" w:rsidRPr="00CC70C2" w:rsidRDefault="00D5152C" w:rsidP="00D5152C">
      <w:pPr>
        <w:tabs>
          <w:tab w:val="left" w:pos="567"/>
        </w:tabs>
        <w:ind w:left="567" w:hanging="567"/>
        <w:rPr>
          <w:sz w:val="24"/>
          <w:szCs w:val="24"/>
          <w:lang w:val="en-GB"/>
        </w:rPr>
      </w:pPr>
      <w:r w:rsidRPr="00CC70C2">
        <w:rPr>
          <w:color w:val="000000"/>
          <w:sz w:val="24"/>
          <w:szCs w:val="24"/>
          <w:lang w:val="en-GB"/>
        </w:rPr>
        <w:t xml:space="preserve">4. </w:t>
      </w:r>
      <w:r w:rsidRPr="00CC70C2">
        <w:rPr>
          <w:color w:val="000000"/>
          <w:sz w:val="24"/>
          <w:szCs w:val="24"/>
          <w:lang w:val="en-GB"/>
        </w:rPr>
        <w:tab/>
      </w:r>
      <w:r w:rsidRPr="00CC70C2">
        <w:rPr>
          <w:sz w:val="24"/>
          <w:szCs w:val="24"/>
          <w:lang w:val="en-GB"/>
        </w:rPr>
        <w:t>As with other antipsychotics with alpha1 adrenergic blocking activity, quetiapine may commonly induce orthostatic hypotension, associated with dizziness, tachycardia and, in some patients, syncope, especially during the initial dose-titration period (see section 4.4).</w:t>
      </w:r>
    </w:p>
    <w:p w14:paraId="7632933A" w14:textId="77777777" w:rsidR="00D5152C" w:rsidRPr="00CC70C2" w:rsidRDefault="00D5152C" w:rsidP="00D5152C">
      <w:pPr>
        <w:tabs>
          <w:tab w:val="left" w:pos="567"/>
        </w:tabs>
        <w:ind w:left="567" w:hanging="567"/>
        <w:rPr>
          <w:sz w:val="24"/>
          <w:szCs w:val="24"/>
          <w:lang w:val="en-GB"/>
        </w:rPr>
      </w:pPr>
      <w:r w:rsidRPr="00CC70C2">
        <w:rPr>
          <w:color w:val="000000"/>
          <w:sz w:val="24"/>
          <w:szCs w:val="24"/>
          <w:lang w:val="en-GB"/>
        </w:rPr>
        <w:t xml:space="preserve">5. </w:t>
      </w:r>
      <w:r w:rsidRPr="00CC70C2">
        <w:rPr>
          <w:color w:val="000000"/>
          <w:sz w:val="24"/>
          <w:szCs w:val="24"/>
          <w:lang w:val="en-GB"/>
        </w:rPr>
        <w:tab/>
      </w:r>
      <w:r w:rsidRPr="00CC70C2">
        <w:rPr>
          <w:sz w:val="24"/>
          <w:szCs w:val="24"/>
          <w:lang w:val="en-GB"/>
        </w:rPr>
        <w:t xml:space="preserve">Calculation of frequency for these ADR’s have only been taken from </w:t>
      </w:r>
      <w:proofErr w:type="spellStart"/>
      <w:r w:rsidRPr="00CC70C2">
        <w:rPr>
          <w:sz w:val="24"/>
          <w:szCs w:val="24"/>
          <w:lang w:val="en-GB"/>
        </w:rPr>
        <w:t>postmarketing</w:t>
      </w:r>
      <w:proofErr w:type="spellEnd"/>
      <w:r w:rsidRPr="00CC70C2">
        <w:rPr>
          <w:sz w:val="24"/>
          <w:szCs w:val="24"/>
          <w:lang w:val="en-GB"/>
        </w:rPr>
        <w:t xml:space="preserve"> data with the immediate-release formulation of quetiapine.</w:t>
      </w:r>
    </w:p>
    <w:p w14:paraId="0D471C2C" w14:textId="77777777" w:rsidR="00D5152C" w:rsidRPr="00CC70C2" w:rsidRDefault="00D5152C" w:rsidP="00D5152C">
      <w:pPr>
        <w:tabs>
          <w:tab w:val="left" w:pos="567"/>
        </w:tabs>
        <w:ind w:left="567" w:hanging="567"/>
        <w:rPr>
          <w:sz w:val="24"/>
          <w:szCs w:val="24"/>
          <w:lang w:val="en-GB"/>
        </w:rPr>
      </w:pPr>
      <w:r w:rsidRPr="00CC70C2">
        <w:rPr>
          <w:sz w:val="24"/>
          <w:szCs w:val="24"/>
          <w:lang w:val="en-GB"/>
        </w:rPr>
        <w:t xml:space="preserve">6. </w:t>
      </w:r>
      <w:r w:rsidRPr="00CC70C2">
        <w:rPr>
          <w:sz w:val="24"/>
          <w:szCs w:val="24"/>
          <w:lang w:val="en-GB"/>
        </w:rPr>
        <w:tab/>
        <w:t>Fasting blood glucose ≥126 mg/dL (≥7.0 mmol/L) or a non-fasting blood glucose ≥200 mg/dL (≥11.1 mmol/L) on at least one occasion</w:t>
      </w:r>
    </w:p>
    <w:p w14:paraId="7C108073" w14:textId="77777777" w:rsidR="00D5152C" w:rsidRPr="00CC70C2" w:rsidRDefault="00D5152C" w:rsidP="00D5152C">
      <w:pPr>
        <w:tabs>
          <w:tab w:val="left" w:pos="567"/>
        </w:tabs>
        <w:ind w:left="567" w:hanging="567"/>
        <w:rPr>
          <w:sz w:val="24"/>
          <w:szCs w:val="24"/>
          <w:lang w:val="en-GB"/>
        </w:rPr>
      </w:pPr>
      <w:r w:rsidRPr="00CC70C2">
        <w:rPr>
          <w:sz w:val="24"/>
          <w:szCs w:val="24"/>
          <w:lang w:val="en-GB"/>
        </w:rPr>
        <w:t xml:space="preserve">7. </w:t>
      </w:r>
      <w:r w:rsidRPr="00CC70C2">
        <w:rPr>
          <w:sz w:val="24"/>
          <w:szCs w:val="24"/>
          <w:lang w:val="en-GB"/>
        </w:rPr>
        <w:tab/>
        <w:t>An increase in the rate of dysphagia with quetiapine vs. placebo was only observed in the clinical trials in bipolar depression.</w:t>
      </w:r>
    </w:p>
    <w:p w14:paraId="201CAC06" w14:textId="5F0A09A9" w:rsidR="00D5152C" w:rsidRPr="00CC70C2" w:rsidRDefault="00D5152C" w:rsidP="00D5152C">
      <w:pPr>
        <w:tabs>
          <w:tab w:val="left" w:pos="567"/>
        </w:tabs>
        <w:ind w:left="567" w:hanging="567"/>
        <w:rPr>
          <w:sz w:val="24"/>
          <w:szCs w:val="24"/>
          <w:lang w:val="en-GB"/>
        </w:rPr>
      </w:pPr>
      <w:r w:rsidRPr="00CC70C2">
        <w:rPr>
          <w:sz w:val="24"/>
          <w:szCs w:val="24"/>
          <w:lang w:val="en-GB"/>
        </w:rPr>
        <w:t xml:space="preserve">8. </w:t>
      </w:r>
      <w:r w:rsidRPr="00CC70C2">
        <w:rPr>
          <w:sz w:val="24"/>
          <w:szCs w:val="24"/>
          <w:lang w:val="en-GB"/>
        </w:rPr>
        <w:tab/>
        <w:t>Based on &gt;7</w:t>
      </w:r>
      <w:r w:rsidR="00F96C97">
        <w:rPr>
          <w:sz w:val="24"/>
          <w:szCs w:val="24"/>
          <w:lang w:val="en-GB"/>
        </w:rPr>
        <w:t xml:space="preserve"> %</w:t>
      </w:r>
      <w:r w:rsidRPr="00CC70C2">
        <w:rPr>
          <w:sz w:val="24"/>
          <w:szCs w:val="24"/>
          <w:lang w:val="en-GB"/>
        </w:rPr>
        <w:t xml:space="preserve"> increase in body weight from baseline. Occurs predominantly during the early weeks of treatment in adults.</w:t>
      </w:r>
    </w:p>
    <w:p w14:paraId="0700198E" w14:textId="77777777" w:rsidR="00D5152C" w:rsidRPr="00CC70C2" w:rsidRDefault="00D5152C" w:rsidP="00D5152C">
      <w:pPr>
        <w:tabs>
          <w:tab w:val="left" w:pos="567"/>
        </w:tabs>
        <w:ind w:left="567" w:hanging="567"/>
        <w:rPr>
          <w:sz w:val="24"/>
          <w:szCs w:val="24"/>
          <w:lang w:val="en-GB"/>
        </w:rPr>
      </w:pPr>
      <w:r w:rsidRPr="00CC70C2">
        <w:rPr>
          <w:sz w:val="24"/>
          <w:szCs w:val="24"/>
          <w:lang w:val="en-GB"/>
        </w:rPr>
        <w:t xml:space="preserve">9. </w:t>
      </w:r>
      <w:r w:rsidRPr="00CC70C2">
        <w:rPr>
          <w:sz w:val="24"/>
          <w:szCs w:val="24"/>
          <w:lang w:val="en-GB"/>
        </w:rPr>
        <w:tab/>
        <w:t xml:space="preserve">The following withdrawal symptoms have been observed most frequently in acute placebo-controlled, monotherapy clinical trials, which evaluated discontinuation symptoms: insomnia, nausea, headache, diarrhoea, vomiting, dizziness, and irritability. The incidence of these reactions had decreased significantly after </w:t>
      </w:r>
      <w:proofErr w:type="gramStart"/>
      <w:r w:rsidRPr="00CC70C2">
        <w:rPr>
          <w:sz w:val="24"/>
          <w:szCs w:val="24"/>
          <w:lang w:val="en-GB"/>
        </w:rPr>
        <w:t>1 week</w:t>
      </w:r>
      <w:proofErr w:type="gramEnd"/>
      <w:r w:rsidRPr="00CC70C2">
        <w:rPr>
          <w:sz w:val="24"/>
          <w:szCs w:val="24"/>
          <w:lang w:val="en-GB"/>
        </w:rPr>
        <w:t xml:space="preserve"> post-discontinuation.</w:t>
      </w:r>
    </w:p>
    <w:p w14:paraId="29E118FB" w14:textId="77777777" w:rsidR="00D5152C" w:rsidRPr="00CC70C2" w:rsidRDefault="00D5152C" w:rsidP="00D5152C">
      <w:pPr>
        <w:tabs>
          <w:tab w:val="left" w:pos="567"/>
        </w:tabs>
        <w:ind w:left="567" w:hanging="567"/>
        <w:rPr>
          <w:sz w:val="24"/>
          <w:szCs w:val="24"/>
          <w:lang w:val="en-GB"/>
        </w:rPr>
      </w:pPr>
      <w:r w:rsidRPr="00CC70C2">
        <w:rPr>
          <w:sz w:val="24"/>
          <w:szCs w:val="24"/>
          <w:lang w:val="en-GB"/>
        </w:rPr>
        <w:t xml:space="preserve">10. </w:t>
      </w:r>
      <w:r w:rsidRPr="00CC70C2">
        <w:rPr>
          <w:sz w:val="24"/>
          <w:szCs w:val="24"/>
          <w:lang w:val="en-GB"/>
        </w:rPr>
        <w:tab/>
        <w:t>Triglycerides ≥200 mg/dL (≥2.258 mmol/L) (patients ≥18 years of age) or ≥150 mg/dL (≥1.694 mmol/L) (patients &lt;18 years of age) on at least one occasion</w:t>
      </w:r>
    </w:p>
    <w:p w14:paraId="3B881818" w14:textId="77777777" w:rsidR="00D5152C" w:rsidRPr="00CC70C2" w:rsidRDefault="00D5152C" w:rsidP="00D5152C">
      <w:pPr>
        <w:tabs>
          <w:tab w:val="left" w:pos="567"/>
        </w:tabs>
        <w:ind w:left="567" w:hanging="567"/>
        <w:rPr>
          <w:sz w:val="24"/>
          <w:szCs w:val="24"/>
          <w:lang w:val="en-GB"/>
        </w:rPr>
      </w:pPr>
      <w:r w:rsidRPr="00CC70C2">
        <w:rPr>
          <w:sz w:val="24"/>
          <w:szCs w:val="24"/>
          <w:lang w:val="en-GB"/>
        </w:rPr>
        <w:t>11.</w:t>
      </w:r>
      <w:r w:rsidRPr="00CC70C2">
        <w:rPr>
          <w:sz w:val="24"/>
          <w:szCs w:val="24"/>
          <w:lang w:val="en-GB"/>
        </w:rPr>
        <w:tab/>
        <w:t>Cholesterol ≥240 mg/dL (≥6.2064 mmol/L) (patients ≥18 years of age) or ≥200 mg/dL (≥5.172 mmol/L) (patients &lt;18 years of age) on at least one occasion. An increase in LDL cholesterol of ≥30 mg/dL (≥0.769 mmol/L) has been very commonly observed. Mean change among patients who had this increase was 41.7 mg/dL (≥1.07 mmol/L).</w:t>
      </w:r>
    </w:p>
    <w:p w14:paraId="6F11326C" w14:textId="77777777" w:rsidR="00D5152C" w:rsidRPr="00CC70C2" w:rsidRDefault="00D5152C" w:rsidP="00D5152C">
      <w:pPr>
        <w:tabs>
          <w:tab w:val="left" w:pos="567"/>
        </w:tabs>
        <w:ind w:left="567" w:hanging="567"/>
        <w:rPr>
          <w:sz w:val="24"/>
          <w:szCs w:val="24"/>
          <w:lang w:val="en-GB"/>
        </w:rPr>
      </w:pPr>
      <w:r w:rsidRPr="00CC70C2">
        <w:rPr>
          <w:sz w:val="24"/>
          <w:szCs w:val="24"/>
          <w:lang w:val="en-GB"/>
        </w:rPr>
        <w:t>12.</w:t>
      </w:r>
      <w:r w:rsidRPr="00CC70C2">
        <w:rPr>
          <w:sz w:val="24"/>
          <w:szCs w:val="24"/>
          <w:lang w:val="en-GB"/>
        </w:rPr>
        <w:tab/>
        <w:t>See text below</w:t>
      </w:r>
    </w:p>
    <w:p w14:paraId="01C8540C" w14:textId="77777777" w:rsidR="00D5152C" w:rsidRPr="00CC70C2" w:rsidRDefault="00D5152C" w:rsidP="00D5152C">
      <w:pPr>
        <w:tabs>
          <w:tab w:val="left" w:pos="567"/>
        </w:tabs>
        <w:ind w:left="567" w:hanging="567"/>
        <w:rPr>
          <w:sz w:val="24"/>
          <w:szCs w:val="24"/>
          <w:lang w:val="en-GB"/>
        </w:rPr>
      </w:pPr>
      <w:r w:rsidRPr="00CC70C2">
        <w:rPr>
          <w:sz w:val="24"/>
          <w:szCs w:val="24"/>
          <w:lang w:val="en-GB"/>
        </w:rPr>
        <w:t>13.</w:t>
      </w:r>
      <w:r w:rsidRPr="00CC70C2">
        <w:rPr>
          <w:sz w:val="24"/>
          <w:szCs w:val="24"/>
          <w:lang w:val="en-GB"/>
        </w:rPr>
        <w:tab/>
        <w:t>Platelets ≤100 x 10</w:t>
      </w:r>
      <w:r w:rsidRPr="00CC70C2">
        <w:rPr>
          <w:sz w:val="24"/>
          <w:szCs w:val="24"/>
          <w:vertAlign w:val="superscript"/>
          <w:lang w:val="en-GB"/>
        </w:rPr>
        <w:t>9</w:t>
      </w:r>
      <w:r w:rsidRPr="00CC70C2">
        <w:rPr>
          <w:sz w:val="24"/>
          <w:szCs w:val="24"/>
          <w:lang w:val="en-GB"/>
        </w:rPr>
        <w:t>/L on at least one occasion</w:t>
      </w:r>
    </w:p>
    <w:p w14:paraId="7D4CF8BE" w14:textId="77777777" w:rsidR="00D5152C" w:rsidRPr="00CC70C2" w:rsidRDefault="00D5152C" w:rsidP="00D5152C">
      <w:pPr>
        <w:tabs>
          <w:tab w:val="left" w:pos="567"/>
        </w:tabs>
        <w:ind w:left="567" w:hanging="567"/>
        <w:rPr>
          <w:sz w:val="24"/>
          <w:szCs w:val="24"/>
          <w:lang w:val="en-GB"/>
        </w:rPr>
      </w:pPr>
      <w:r w:rsidRPr="00CC70C2">
        <w:rPr>
          <w:sz w:val="24"/>
          <w:szCs w:val="24"/>
          <w:lang w:val="en-GB"/>
        </w:rPr>
        <w:t>14.</w:t>
      </w:r>
      <w:r w:rsidRPr="00CC70C2">
        <w:rPr>
          <w:sz w:val="24"/>
          <w:szCs w:val="24"/>
          <w:lang w:val="en-GB"/>
        </w:rPr>
        <w:tab/>
        <w:t>Based on clinical trial adverse event reports of blood creatine phosphokinase increase not associated with neuroleptic malignant syndrome</w:t>
      </w:r>
    </w:p>
    <w:p w14:paraId="0CEF8D8F" w14:textId="77777777" w:rsidR="00D5152C" w:rsidRPr="00CC70C2" w:rsidRDefault="00D5152C" w:rsidP="00D5152C">
      <w:pPr>
        <w:tabs>
          <w:tab w:val="left" w:pos="567"/>
        </w:tabs>
        <w:ind w:left="567" w:hanging="567"/>
        <w:rPr>
          <w:sz w:val="24"/>
          <w:szCs w:val="24"/>
          <w:lang w:val="en-GB"/>
        </w:rPr>
      </w:pPr>
      <w:r w:rsidRPr="00CC70C2">
        <w:rPr>
          <w:sz w:val="24"/>
          <w:szCs w:val="24"/>
          <w:lang w:val="en-GB"/>
        </w:rPr>
        <w:t>15.</w:t>
      </w:r>
      <w:r w:rsidRPr="00CC70C2">
        <w:rPr>
          <w:sz w:val="24"/>
          <w:szCs w:val="24"/>
          <w:lang w:val="en-GB"/>
        </w:rPr>
        <w:tab/>
        <w:t xml:space="preserve">Prolactin levels (patients &gt;18 years of age): &gt;20 </w:t>
      </w:r>
      <w:proofErr w:type="spellStart"/>
      <w:r w:rsidRPr="00CC70C2">
        <w:rPr>
          <w:sz w:val="24"/>
          <w:szCs w:val="24"/>
          <w:lang w:val="en-GB"/>
        </w:rPr>
        <w:t>μg</w:t>
      </w:r>
      <w:proofErr w:type="spellEnd"/>
      <w:r w:rsidRPr="00CC70C2">
        <w:rPr>
          <w:sz w:val="24"/>
          <w:szCs w:val="24"/>
          <w:lang w:val="en-GB"/>
        </w:rPr>
        <w:t xml:space="preserve">/L (&gt;869.56 </w:t>
      </w:r>
      <w:proofErr w:type="spellStart"/>
      <w:r w:rsidRPr="00CC70C2">
        <w:rPr>
          <w:sz w:val="24"/>
          <w:szCs w:val="24"/>
          <w:lang w:val="en-GB"/>
        </w:rPr>
        <w:t>pmol</w:t>
      </w:r>
      <w:proofErr w:type="spellEnd"/>
      <w:r w:rsidRPr="00CC70C2">
        <w:rPr>
          <w:sz w:val="24"/>
          <w:szCs w:val="24"/>
          <w:lang w:val="en-GB"/>
        </w:rPr>
        <w:t>/L) males; &gt;30 </w:t>
      </w:r>
      <w:proofErr w:type="spellStart"/>
      <w:r w:rsidRPr="00CC70C2">
        <w:rPr>
          <w:sz w:val="24"/>
          <w:szCs w:val="24"/>
          <w:lang w:val="en-GB"/>
        </w:rPr>
        <w:t>μg</w:t>
      </w:r>
      <w:proofErr w:type="spellEnd"/>
      <w:r w:rsidRPr="00CC70C2">
        <w:rPr>
          <w:sz w:val="24"/>
          <w:szCs w:val="24"/>
          <w:lang w:val="en-GB"/>
        </w:rPr>
        <w:t xml:space="preserve">/L (&gt;1304.34 </w:t>
      </w:r>
      <w:proofErr w:type="spellStart"/>
      <w:r w:rsidRPr="00CC70C2">
        <w:rPr>
          <w:sz w:val="24"/>
          <w:szCs w:val="24"/>
          <w:lang w:val="en-GB"/>
        </w:rPr>
        <w:t>pmol</w:t>
      </w:r>
      <w:proofErr w:type="spellEnd"/>
      <w:r w:rsidRPr="00CC70C2">
        <w:rPr>
          <w:sz w:val="24"/>
          <w:szCs w:val="24"/>
          <w:lang w:val="en-GB"/>
        </w:rPr>
        <w:t>/L) females at any time</w:t>
      </w:r>
    </w:p>
    <w:p w14:paraId="5D166D28" w14:textId="77777777" w:rsidR="00D5152C" w:rsidRPr="00CC70C2" w:rsidRDefault="00D5152C" w:rsidP="00D5152C">
      <w:pPr>
        <w:tabs>
          <w:tab w:val="left" w:pos="567"/>
        </w:tabs>
        <w:ind w:left="567" w:hanging="567"/>
        <w:rPr>
          <w:sz w:val="24"/>
          <w:szCs w:val="24"/>
          <w:lang w:val="en-GB"/>
        </w:rPr>
      </w:pPr>
      <w:r w:rsidRPr="00CC70C2">
        <w:rPr>
          <w:sz w:val="24"/>
          <w:szCs w:val="24"/>
          <w:lang w:val="en-GB"/>
        </w:rPr>
        <w:t>16.</w:t>
      </w:r>
      <w:r w:rsidRPr="00CC70C2">
        <w:rPr>
          <w:sz w:val="24"/>
          <w:szCs w:val="24"/>
          <w:lang w:val="en-GB"/>
        </w:rPr>
        <w:tab/>
        <w:t>May lead to falls</w:t>
      </w:r>
    </w:p>
    <w:p w14:paraId="406678F0" w14:textId="77777777" w:rsidR="00D5152C" w:rsidRPr="00CC70C2" w:rsidRDefault="00D5152C" w:rsidP="00D5152C">
      <w:pPr>
        <w:tabs>
          <w:tab w:val="left" w:pos="567"/>
        </w:tabs>
        <w:ind w:left="567" w:hanging="567"/>
        <w:rPr>
          <w:sz w:val="24"/>
          <w:szCs w:val="24"/>
          <w:lang w:val="en-GB"/>
        </w:rPr>
      </w:pPr>
      <w:r w:rsidRPr="00CC70C2">
        <w:rPr>
          <w:sz w:val="24"/>
          <w:szCs w:val="24"/>
          <w:lang w:val="en-GB"/>
        </w:rPr>
        <w:t>17.</w:t>
      </w:r>
      <w:r w:rsidRPr="00CC70C2">
        <w:rPr>
          <w:sz w:val="24"/>
          <w:szCs w:val="24"/>
          <w:lang w:val="en-GB"/>
        </w:rPr>
        <w:tab/>
        <w:t>HDL cholesterol: &lt;40 mg/dL (1.025 mmol/L) males; &lt;50 mg/dL (1.282 mmol/L) females at any time</w:t>
      </w:r>
    </w:p>
    <w:p w14:paraId="363A6E1F" w14:textId="77777777" w:rsidR="00D5152C" w:rsidRPr="00CC70C2" w:rsidRDefault="00D5152C" w:rsidP="00D5152C">
      <w:pPr>
        <w:tabs>
          <w:tab w:val="left" w:pos="567"/>
        </w:tabs>
        <w:ind w:left="567" w:hanging="567"/>
        <w:rPr>
          <w:sz w:val="24"/>
          <w:szCs w:val="24"/>
          <w:lang w:val="en-GB"/>
        </w:rPr>
      </w:pPr>
      <w:r w:rsidRPr="00CC70C2">
        <w:rPr>
          <w:sz w:val="24"/>
          <w:szCs w:val="24"/>
          <w:lang w:val="en-GB"/>
        </w:rPr>
        <w:t>18.</w:t>
      </w:r>
      <w:r w:rsidRPr="00CC70C2">
        <w:rPr>
          <w:sz w:val="24"/>
          <w:szCs w:val="24"/>
          <w:lang w:val="en-GB"/>
        </w:rPr>
        <w:tab/>
        <w:t xml:space="preserve">Incidence of patients who have a QTc shift from &lt;450 </w:t>
      </w:r>
      <w:proofErr w:type="spellStart"/>
      <w:r w:rsidRPr="00CC70C2">
        <w:rPr>
          <w:sz w:val="24"/>
          <w:szCs w:val="24"/>
          <w:lang w:val="en-GB"/>
        </w:rPr>
        <w:t>msec</w:t>
      </w:r>
      <w:proofErr w:type="spellEnd"/>
      <w:r w:rsidRPr="00CC70C2">
        <w:rPr>
          <w:sz w:val="24"/>
          <w:szCs w:val="24"/>
          <w:lang w:val="en-GB"/>
        </w:rPr>
        <w:t xml:space="preserve"> to ≥450 </w:t>
      </w:r>
      <w:proofErr w:type="spellStart"/>
      <w:r w:rsidRPr="00CC70C2">
        <w:rPr>
          <w:sz w:val="24"/>
          <w:szCs w:val="24"/>
          <w:lang w:val="en-GB"/>
        </w:rPr>
        <w:t>msec</w:t>
      </w:r>
      <w:proofErr w:type="spellEnd"/>
      <w:r w:rsidRPr="00CC70C2">
        <w:rPr>
          <w:sz w:val="24"/>
          <w:szCs w:val="24"/>
          <w:lang w:val="en-GB"/>
        </w:rPr>
        <w:t xml:space="preserve"> with a ≥30 </w:t>
      </w:r>
      <w:proofErr w:type="spellStart"/>
      <w:r w:rsidRPr="00CC70C2">
        <w:rPr>
          <w:sz w:val="24"/>
          <w:szCs w:val="24"/>
          <w:lang w:val="en-GB"/>
        </w:rPr>
        <w:t>msec</w:t>
      </w:r>
      <w:proofErr w:type="spellEnd"/>
      <w:r w:rsidRPr="00CC70C2">
        <w:rPr>
          <w:sz w:val="24"/>
          <w:szCs w:val="24"/>
          <w:lang w:val="en-GB"/>
        </w:rPr>
        <w:t xml:space="preserve"> increase. In placebo-controlled trials with quetiapine the mean change and the incidence of patients who have a shift to a clinically significant level is similar between quetiapine and placebo.</w:t>
      </w:r>
    </w:p>
    <w:p w14:paraId="7A9F7A6B" w14:textId="77777777" w:rsidR="00D5152C" w:rsidRPr="00CC70C2" w:rsidRDefault="00D5152C" w:rsidP="00D5152C">
      <w:pPr>
        <w:tabs>
          <w:tab w:val="left" w:pos="567"/>
        </w:tabs>
        <w:ind w:left="567" w:hanging="567"/>
        <w:rPr>
          <w:sz w:val="24"/>
          <w:szCs w:val="24"/>
          <w:lang w:val="en-GB"/>
        </w:rPr>
      </w:pPr>
      <w:r w:rsidRPr="00CC70C2">
        <w:rPr>
          <w:sz w:val="24"/>
          <w:szCs w:val="24"/>
          <w:lang w:val="en-GB"/>
        </w:rPr>
        <w:t>19.</w:t>
      </w:r>
      <w:r w:rsidRPr="00CC70C2">
        <w:rPr>
          <w:sz w:val="24"/>
          <w:szCs w:val="24"/>
          <w:lang w:val="en-GB"/>
        </w:rPr>
        <w:tab/>
        <w:t>Shift from &gt;132 mmol/L to ≤132 mmol/L on at least one occasion</w:t>
      </w:r>
    </w:p>
    <w:p w14:paraId="53284EEF" w14:textId="77777777" w:rsidR="00D5152C" w:rsidRPr="00CC70C2" w:rsidRDefault="00D5152C" w:rsidP="00D5152C">
      <w:pPr>
        <w:tabs>
          <w:tab w:val="left" w:pos="567"/>
        </w:tabs>
        <w:ind w:left="567" w:hanging="567"/>
        <w:rPr>
          <w:sz w:val="24"/>
          <w:szCs w:val="24"/>
          <w:lang w:val="en-GB"/>
        </w:rPr>
      </w:pPr>
      <w:r w:rsidRPr="00CC70C2">
        <w:rPr>
          <w:sz w:val="24"/>
          <w:szCs w:val="24"/>
          <w:lang w:val="en-GB"/>
        </w:rPr>
        <w:t>20.</w:t>
      </w:r>
      <w:r w:rsidRPr="00CC70C2">
        <w:rPr>
          <w:sz w:val="24"/>
          <w:szCs w:val="24"/>
          <w:lang w:val="en-GB"/>
        </w:rPr>
        <w:tab/>
        <w:t>Cases of suicidal ideation and suicidal behaviours have been reported during quetiapine therapy or early after treatment discontinuation (see sections 4.4 and 5.1).</w:t>
      </w:r>
    </w:p>
    <w:p w14:paraId="4C690E99" w14:textId="77777777" w:rsidR="00D5152C" w:rsidRPr="00CC70C2" w:rsidRDefault="00D5152C" w:rsidP="00D5152C">
      <w:pPr>
        <w:tabs>
          <w:tab w:val="left" w:pos="567"/>
        </w:tabs>
        <w:ind w:left="567" w:hanging="567"/>
        <w:rPr>
          <w:sz w:val="24"/>
          <w:szCs w:val="24"/>
          <w:lang w:val="en-GB"/>
        </w:rPr>
      </w:pPr>
      <w:r w:rsidRPr="00CC70C2">
        <w:rPr>
          <w:sz w:val="24"/>
          <w:szCs w:val="24"/>
          <w:lang w:val="en-GB"/>
        </w:rPr>
        <w:t>21.</w:t>
      </w:r>
      <w:r w:rsidRPr="00CC70C2">
        <w:rPr>
          <w:sz w:val="24"/>
          <w:szCs w:val="24"/>
          <w:lang w:val="en-GB"/>
        </w:rPr>
        <w:tab/>
        <w:t>See section 5.1</w:t>
      </w:r>
    </w:p>
    <w:p w14:paraId="7561F35F" w14:textId="62FCC463" w:rsidR="00D5152C" w:rsidRPr="00CC70C2" w:rsidRDefault="00D5152C" w:rsidP="00D5152C">
      <w:pPr>
        <w:tabs>
          <w:tab w:val="left" w:pos="567"/>
        </w:tabs>
        <w:ind w:left="567" w:hanging="567"/>
        <w:rPr>
          <w:sz w:val="24"/>
          <w:szCs w:val="24"/>
          <w:lang w:val="en-GB"/>
        </w:rPr>
      </w:pPr>
      <w:r w:rsidRPr="00CC70C2">
        <w:rPr>
          <w:sz w:val="24"/>
          <w:szCs w:val="24"/>
          <w:lang w:val="en-GB"/>
        </w:rPr>
        <w:t>22.</w:t>
      </w:r>
      <w:r w:rsidRPr="00CC70C2">
        <w:rPr>
          <w:sz w:val="24"/>
          <w:szCs w:val="24"/>
          <w:lang w:val="en-GB"/>
        </w:rPr>
        <w:tab/>
        <w:t>Decreased haemoglobin to ≤13 g/dL (8.07 mmol/L) males, ≤12 g/dL (7.45 mmol/L) females on at least one occasion occurred in 11</w:t>
      </w:r>
      <w:r w:rsidR="00F96C97">
        <w:rPr>
          <w:sz w:val="24"/>
          <w:szCs w:val="24"/>
          <w:lang w:val="en-GB"/>
        </w:rPr>
        <w:t xml:space="preserve"> %</w:t>
      </w:r>
      <w:r w:rsidRPr="00CC70C2">
        <w:rPr>
          <w:sz w:val="24"/>
          <w:szCs w:val="24"/>
          <w:lang w:val="en-GB"/>
        </w:rPr>
        <w:t xml:space="preserve"> of quetiapine patients in all trials including open label extensions. For these patients, the mean maximum decrease in </w:t>
      </w:r>
      <w:proofErr w:type="spellStart"/>
      <w:r w:rsidRPr="00CC70C2">
        <w:rPr>
          <w:sz w:val="24"/>
          <w:szCs w:val="24"/>
          <w:lang w:val="en-GB"/>
        </w:rPr>
        <w:t>hemoglobin</w:t>
      </w:r>
      <w:proofErr w:type="spellEnd"/>
      <w:r w:rsidRPr="00CC70C2">
        <w:rPr>
          <w:sz w:val="24"/>
          <w:szCs w:val="24"/>
          <w:lang w:val="en-GB"/>
        </w:rPr>
        <w:t xml:space="preserve"> at any time was</w:t>
      </w:r>
      <w:r w:rsidR="00816AE5" w:rsidRPr="00CC70C2">
        <w:rPr>
          <w:sz w:val="24"/>
          <w:szCs w:val="24"/>
          <w:lang w:val="en-GB"/>
        </w:rPr>
        <w:t xml:space="preserve"> </w:t>
      </w:r>
      <w:r w:rsidRPr="00CC70C2">
        <w:rPr>
          <w:sz w:val="24"/>
          <w:szCs w:val="24"/>
          <w:lang w:val="en-GB"/>
        </w:rPr>
        <w:t>-1.50 g/dL.</w:t>
      </w:r>
    </w:p>
    <w:p w14:paraId="49C28403" w14:textId="77777777" w:rsidR="00D5152C" w:rsidRPr="00CC70C2" w:rsidRDefault="00D5152C" w:rsidP="00D5152C">
      <w:pPr>
        <w:tabs>
          <w:tab w:val="left" w:pos="567"/>
        </w:tabs>
        <w:ind w:left="567" w:hanging="567"/>
        <w:rPr>
          <w:sz w:val="24"/>
          <w:szCs w:val="24"/>
          <w:lang w:val="en-GB"/>
        </w:rPr>
      </w:pPr>
      <w:r w:rsidRPr="00CC70C2">
        <w:rPr>
          <w:sz w:val="24"/>
          <w:szCs w:val="24"/>
          <w:lang w:val="en-GB"/>
        </w:rPr>
        <w:t>23.</w:t>
      </w:r>
      <w:r w:rsidRPr="00CC70C2">
        <w:rPr>
          <w:sz w:val="24"/>
          <w:szCs w:val="24"/>
          <w:lang w:val="en-GB"/>
        </w:rPr>
        <w:tab/>
        <w:t>These reports often occurred in the setting of tachycardia, dizziness, orthostatic hypotension, and/or underlying cardiac/respiratory disease.</w:t>
      </w:r>
    </w:p>
    <w:p w14:paraId="464F54B6" w14:textId="77777777" w:rsidR="00D5152C" w:rsidRPr="00CC70C2" w:rsidRDefault="00D5152C" w:rsidP="00D5152C">
      <w:pPr>
        <w:tabs>
          <w:tab w:val="left" w:pos="567"/>
        </w:tabs>
        <w:ind w:left="567" w:hanging="567"/>
        <w:rPr>
          <w:sz w:val="24"/>
          <w:szCs w:val="24"/>
          <w:lang w:val="en-GB"/>
        </w:rPr>
      </w:pPr>
      <w:r w:rsidRPr="00CC70C2">
        <w:rPr>
          <w:sz w:val="24"/>
          <w:szCs w:val="24"/>
          <w:lang w:val="en-GB"/>
        </w:rPr>
        <w:t>24.</w:t>
      </w:r>
      <w:r w:rsidRPr="00CC70C2">
        <w:rPr>
          <w:sz w:val="24"/>
          <w:szCs w:val="24"/>
          <w:lang w:val="en-GB"/>
        </w:rPr>
        <w:tab/>
        <w:t xml:space="preserve">Based on shifts from normal baseline to potentially clinically important value at </w:t>
      </w:r>
      <w:proofErr w:type="spellStart"/>
      <w:r w:rsidRPr="00CC70C2">
        <w:rPr>
          <w:sz w:val="24"/>
          <w:szCs w:val="24"/>
          <w:lang w:val="en-GB"/>
        </w:rPr>
        <w:t>anytime</w:t>
      </w:r>
      <w:proofErr w:type="spellEnd"/>
      <w:r w:rsidRPr="00CC70C2">
        <w:rPr>
          <w:sz w:val="24"/>
          <w:szCs w:val="24"/>
          <w:lang w:val="en-GB"/>
        </w:rPr>
        <w:t xml:space="preserve"> post-baseline in all trials. Shifts in total T4, free T4, total T3 and free T3 are defined as &lt;0.8 x LLN (</w:t>
      </w:r>
      <w:proofErr w:type="spellStart"/>
      <w:r w:rsidRPr="00CC70C2">
        <w:rPr>
          <w:sz w:val="24"/>
          <w:szCs w:val="24"/>
          <w:lang w:val="en-GB"/>
        </w:rPr>
        <w:t>pmol</w:t>
      </w:r>
      <w:proofErr w:type="spellEnd"/>
      <w:r w:rsidRPr="00CC70C2">
        <w:rPr>
          <w:sz w:val="24"/>
          <w:szCs w:val="24"/>
          <w:lang w:val="en-GB"/>
        </w:rPr>
        <w:t xml:space="preserve">/L) and shift in TSH is &gt; 5 </w:t>
      </w:r>
      <w:proofErr w:type="spellStart"/>
      <w:r w:rsidRPr="00CC70C2">
        <w:rPr>
          <w:sz w:val="24"/>
          <w:szCs w:val="24"/>
          <w:lang w:val="en-GB"/>
        </w:rPr>
        <w:t>mIU</w:t>
      </w:r>
      <w:proofErr w:type="spellEnd"/>
      <w:r w:rsidRPr="00CC70C2">
        <w:rPr>
          <w:sz w:val="24"/>
          <w:szCs w:val="24"/>
          <w:lang w:val="en-GB"/>
        </w:rPr>
        <w:t>/L at any time.</w:t>
      </w:r>
    </w:p>
    <w:p w14:paraId="6C7199FD" w14:textId="77777777" w:rsidR="00D5152C" w:rsidRPr="00CC70C2" w:rsidRDefault="00D5152C" w:rsidP="00D5152C">
      <w:pPr>
        <w:tabs>
          <w:tab w:val="left" w:pos="567"/>
        </w:tabs>
        <w:ind w:left="567" w:hanging="567"/>
        <w:rPr>
          <w:sz w:val="24"/>
          <w:szCs w:val="24"/>
          <w:lang w:val="en-GB"/>
        </w:rPr>
      </w:pPr>
      <w:r w:rsidRPr="00CC70C2">
        <w:rPr>
          <w:sz w:val="24"/>
          <w:szCs w:val="24"/>
          <w:lang w:val="en-GB"/>
        </w:rPr>
        <w:t>25.</w:t>
      </w:r>
      <w:r w:rsidRPr="00CC70C2">
        <w:rPr>
          <w:sz w:val="24"/>
          <w:szCs w:val="24"/>
          <w:lang w:val="en-GB"/>
        </w:rPr>
        <w:tab/>
        <w:t>Based upon the increased rate of vomiting in elderly patients (≥65 years of age)</w:t>
      </w:r>
    </w:p>
    <w:p w14:paraId="5D2D70E0" w14:textId="77777777" w:rsidR="00D5152C" w:rsidRPr="00CC70C2" w:rsidRDefault="00D5152C" w:rsidP="00D5152C">
      <w:pPr>
        <w:tabs>
          <w:tab w:val="left" w:pos="567"/>
        </w:tabs>
        <w:ind w:left="567" w:hanging="567"/>
        <w:rPr>
          <w:sz w:val="24"/>
          <w:szCs w:val="24"/>
          <w:lang w:val="en-GB"/>
        </w:rPr>
      </w:pPr>
      <w:r w:rsidRPr="00CC70C2">
        <w:rPr>
          <w:sz w:val="24"/>
          <w:szCs w:val="24"/>
          <w:lang w:val="en-GB"/>
        </w:rPr>
        <w:t>26.</w:t>
      </w:r>
      <w:r w:rsidRPr="00CC70C2">
        <w:rPr>
          <w:sz w:val="24"/>
          <w:szCs w:val="24"/>
          <w:lang w:val="en-GB"/>
        </w:rPr>
        <w:tab/>
        <w:t>Based on shift in neutrophils from &gt;=1.5 x 10</w:t>
      </w:r>
      <w:r w:rsidRPr="00CC70C2">
        <w:rPr>
          <w:sz w:val="24"/>
          <w:szCs w:val="24"/>
          <w:vertAlign w:val="superscript"/>
          <w:lang w:val="en-GB"/>
        </w:rPr>
        <w:t>9</w:t>
      </w:r>
      <w:r w:rsidRPr="00CC70C2">
        <w:rPr>
          <w:sz w:val="24"/>
          <w:szCs w:val="24"/>
          <w:lang w:val="en-GB"/>
        </w:rPr>
        <w:t>/L at baseline to &lt;0.5 x 10</w:t>
      </w:r>
      <w:r w:rsidRPr="00CC70C2">
        <w:rPr>
          <w:sz w:val="24"/>
          <w:szCs w:val="24"/>
          <w:vertAlign w:val="superscript"/>
          <w:lang w:val="en-GB"/>
        </w:rPr>
        <w:t>9</w:t>
      </w:r>
      <w:r w:rsidRPr="00CC70C2">
        <w:rPr>
          <w:sz w:val="24"/>
          <w:szCs w:val="24"/>
          <w:lang w:val="en-GB"/>
        </w:rPr>
        <w:t>/L at any time during treatment and based on patients with severe neutropenia (&lt;0.5 x 10</w:t>
      </w:r>
      <w:r w:rsidRPr="00CC70C2">
        <w:rPr>
          <w:sz w:val="24"/>
          <w:szCs w:val="24"/>
          <w:vertAlign w:val="superscript"/>
          <w:lang w:val="en-GB"/>
        </w:rPr>
        <w:t>9</w:t>
      </w:r>
      <w:r w:rsidRPr="00CC70C2">
        <w:rPr>
          <w:sz w:val="24"/>
          <w:szCs w:val="24"/>
          <w:lang w:val="en-GB"/>
        </w:rPr>
        <w:t>/L) and infection during all quetiapine clinical trials (see section 4.4)</w:t>
      </w:r>
    </w:p>
    <w:p w14:paraId="335025DB" w14:textId="77777777" w:rsidR="00D5152C" w:rsidRPr="00CC70C2" w:rsidRDefault="00D5152C" w:rsidP="00D5152C">
      <w:pPr>
        <w:tabs>
          <w:tab w:val="left" w:pos="567"/>
        </w:tabs>
        <w:ind w:left="567" w:hanging="567"/>
        <w:rPr>
          <w:sz w:val="24"/>
          <w:szCs w:val="24"/>
          <w:lang w:val="en-GB"/>
        </w:rPr>
      </w:pPr>
      <w:r w:rsidRPr="00CC70C2">
        <w:rPr>
          <w:sz w:val="24"/>
          <w:szCs w:val="24"/>
          <w:lang w:val="en-GB"/>
        </w:rPr>
        <w:t>27.</w:t>
      </w:r>
      <w:r w:rsidRPr="00CC70C2">
        <w:rPr>
          <w:sz w:val="24"/>
          <w:szCs w:val="24"/>
          <w:lang w:val="en-GB"/>
        </w:rPr>
        <w:tab/>
        <w:t xml:space="preserve">Based on shifts from normal baseline to potentially clinically important value at </w:t>
      </w:r>
      <w:proofErr w:type="spellStart"/>
      <w:r w:rsidRPr="00CC70C2">
        <w:rPr>
          <w:sz w:val="24"/>
          <w:szCs w:val="24"/>
          <w:lang w:val="en-GB"/>
        </w:rPr>
        <w:t>anytime</w:t>
      </w:r>
      <w:proofErr w:type="spellEnd"/>
      <w:r w:rsidRPr="00CC70C2">
        <w:rPr>
          <w:sz w:val="24"/>
          <w:szCs w:val="24"/>
          <w:lang w:val="en-GB"/>
        </w:rPr>
        <w:t xml:space="preserve"> post-baseline in all trials. Shifts in eosinophils are defined as &gt;1x 10</w:t>
      </w:r>
      <w:r w:rsidRPr="00CC70C2">
        <w:rPr>
          <w:sz w:val="24"/>
          <w:szCs w:val="24"/>
          <w:vertAlign w:val="superscript"/>
          <w:lang w:val="en-GB"/>
        </w:rPr>
        <w:t>9</w:t>
      </w:r>
      <w:r w:rsidRPr="00CC70C2">
        <w:rPr>
          <w:sz w:val="24"/>
          <w:szCs w:val="24"/>
          <w:lang w:val="en-GB"/>
        </w:rPr>
        <w:t xml:space="preserve"> cells/L at any time</w:t>
      </w:r>
    </w:p>
    <w:p w14:paraId="24C90C4A" w14:textId="77777777" w:rsidR="00D5152C" w:rsidRPr="00CC70C2" w:rsidRDefault="00D5152C" w:rsidP="00D5152C">
      <w:pPr>
        <w:tabs>
          <w:tab w:val="left" w:pos="567"/>
        </w:tabs>
        <w:ind w:left="567" w:hanging="567"/>
        <w:rPr>
          <w:sz w:val="24"/>
          <w:szCs w:val="24"/>
          <w:lang w:val="en-GB"/>
        </w:rPr>
      </w:pPr>
      <w:r w:rsidRPr="00CC70C2">
        <w:rPr>
          <w:sz w:val="24"/>
          <w:szCs w:val="24"/>
          <w:lang w:val="en-GB"/>
        </w:rPr>
        <w:t>28.</w:t>
      </w:r>
      <w:r w:rsidRPr="00CC70C2">
        <w:rPr>
          <w:sz w:val="24"/>
          <w:szCs w:val="24"/>
          <w:lang w:val="en-GB"/>
        </w:rPr>
        <w:tab/>
        <w:t xml:space="preserve">Based on shifts from normal baseline to potentially clinically important value at </w:t>
      </w:r>
      <w:proofErr w:type="spellStart"/>
      <w:r w:rsidRPr="00CC70C2">
        <w:rPr>
          <w:sz w:val="24"/>
          <w:szCs w:val="24"/>
          <w:lang w:val="en-GB"/>
        </w:rPr>
        <w:t>anytime</w:t>
      </w:r>
      <w:proofErr w:type="spellEnd"/>
      <w:r w:rsidRPr="00CC70C2">
        <w:rPr>
          <w:sz w:val="24"/>
          <w:szCs w:val="24"/>
          <w:lang w:val="en-GB"/>
        </w:rPr>
        <w:t xml:space="preserve"> post-baseline in all trials. Shifts in WBCs are defined as ≤ 3x10</w:t>
      </w:r>
      <w:r w:rsidRPr="00CC70C2">
        <w:rPr>
          <w:sz w:val="24"/>
          <w:szCs w:val="24"/>
          <w:vertAlign w:val="superscript"/>
          <w:lang w:val="en-GB"/>
        </w:rPr>
        <w:t>9</w:t>
      </w:r>
      <w:r w:rsidRPr="00CC70C2">
        <w:rPr>
          <w:sz w:val="24"/>
          <w:szCs w:val="24"/>
          <w:lang w:val="en-GB"/>
        </w:rPr>
        <w:t xml:space="preserve"> cells/L at any time</w:t>
      </w:r>
    </w:p>
    <w:p w14:paraId="4FE94288" w14:textId="77777777" w:rsidR="00D5152C" w:rsidRPr="00CC70C2" w:rsidRDefault="00D5152C" w:rsidP="00D5152C">
      <w:pPr>
        <w:tabs>
          <w:tab w:val="left" w:pos="567"/>
        </w:tabs>
        <w:ind w:left="567" w:hanging="567"/>
        <w:rPr>
          <w:sz w:val="24"/>
          <w:szCs w:val="24"/>
          <w:lang w:val="en-GB"/>
        </w:rPr>
      </w:pPr>
      <w:r w:rsidRPr="00CC70C2">
        <w:rPr>
          <w:sz w:val="24"/>
          <w:szCs w:val="24"/>
          <w:lang w:val="en-GB"/>
        </w:rPr>
        <w:t>29.</w:t>
      </w:r>
      <w:r w:rsidRPr="00CC70C2">
        <w:rPr>
          <w:sz w:val="24"/>
          <w:szCs w:val="24"/>
          <w:lang w:val="en-GB"/>
        </w:rPr>
        <w:tab/>
        <w:t>Based on adverse event reports of metabolic syndrome from all clinical trials with quetiapine</w:t>
      </w:r>
    </w:p>
    <w:p w14:paraId="42AA3878" w14:textId="77777777" w:rsidR="00D5152C" w:rsidRPr="00CC70C2" w:rsidRDefault="00D5152C" w:rsidP="00D5152C">
      <w:pPr>
        <w:tabs>
          <w:tab w:val="left" w:pos="567"/>
        </w:tabs>
        <w:ind w:left="567" w:hanging="567"/>
        <w:rPr>
          <w:sz w:val="24"/>
          <w:szCs w:val="24"/>
          <w:lang w:val="en-GB"/>
        </w:rPr>
      </w:pPr>
      <w:r w:rsidRPr="00CC70C2">
        <w:rPr>
          <w:sz w:val="24"/>
          <w:szCs w:val="24"/>
          <w:lang w:val="en-GB"/>
        </w:rPr>
        <w:t>30.</w:t>
      </w:r>
      <w:r w:rsidRPr="00CC70C2">
        <w:rPr>
          <w:sz w:val="24"/>
          <w:szCs w:val="24"/>
          <w:lang w:val="en-GB"/>
        </w:rPr>
        <w:tab/>
        <w:t>In some patients, a worsening of more than one of the metabolic factors of weight, blood glucose and lipids was observed in clinical studies (see section 4.4).</w:t>
      </w:r>
    </w:p>
    <w:p w14:paraId="17451E00" w14:textId="77777777" w:rsidR="00D5152C" w:rsidRPr="00CC70C2" w:rsidRDefault="00D5152C" w:rsidP="00D5152C">
      <w:pPr>
        <w:tabs>
          <w:tab w:val="left" w:pos="567"/>
        </w:tabs>
        <w:ind w:left="567" w:hanging="567"/>
        <w:rPr>
          <w:sz w:val="24"/>
          <w:szCs w:val="24"/>
          <w:lang w:val="en-GB"/>
        </w:rPr>
      </w:pPr>
      <w:r w:rsidRPr="00CC70C2">
        <w:rPr>
          <w:sz w:val="24"/>
          <w:szCs w:val="24"/>
          <w:lang w:val="en-GB"/>
        </w:rPr>
        <w:t>31.</w:t>
      </w:r>
      <w:r w:rsidRPr="00CC70C2">
        <w:rPr>
          <w:sz w:val="24"/>
          <w:szCs w:val="24"/>
          <w:lang w:val="en-GB"/>
        </w:rPr>
        <w:tab/>
        <w:t>See section 4.6</w:t>
      </w:r>
    </w:p>
    <w:p w14:paraId="519CA7A3" w14:textId="1A0C5948" w:rsidR="00D5152C" w:rsidRPr="00CC70C2" w:rsidRDefault="00D5152C" w:rsidP="00D5152C">
      <w:pPr>
        <w:tabs>
          <w:tab w:val="left" w:pos="567"/>
        </w:tabs>
        <w:ind w:left="567" w:hanging="567"/>
        <w:rPr>
          <w:sz w:val="24"/>
          <w:szCs w:val="24"/>
          <w:lang w:val="en-GB"/>
        </w:rPr>
      </w:pPr>
      <w:r w:rsidRPr="00CC70C2">
        <w:rPr>
          <w:sz w:val="24"/>
          <w:szCs w:val="24"/>
          <w:lang w:val="en-GB"/>
        </w:rPr>
        <w:t>32.</w:t>
      </w:r>
      <w:r w:rsidRPr="00CC70C2">
        <w:rPr>
          <w:sz w:val="24"/>
          <w:szCs w:val="24"/>
          <w:lang w:val="en-GB"/>
        </w:rPr>
        <w:tab/>
        <w:t>May occur at or near initiation of treatment and be associated with hypotension and/or syncope. Frequency based on adverse event reports of bradycardia and related events in all clinical trials with quetiapine.</w:t>
      </w:r>
    </w:p>
    <w:p w14:paraId="01D7F68E" w14:textId="77777777" w:rsidR="00D5152C" w:rsidRPr="00CC70C2" w:rsidRDefault="00D5152C" w:rsidP="00D5152C">
      <w:pPr>
        <w:tabs>
          <w:tab w:val="left" w:pos="567"/>
        </w:tabs>
        <w:ind w:left="567" w:hanging="567"/>
        <w:rPr>
          <w:sz w:val="24"/>
          <w:szCs w:val="24"/>
          <w:lang w:val="en-GB"/>
        </w:rPr>
      </w:pPr>
      <w:r w:rsidRPr="00CC70C2">
        <w:rPr>
          <w:sz w:val="24"/>
          <w:szCs w:val="24"/>
          <w:lang w:val="en-GB"/>
        </w:rPr>
        <w:t>33.</w:t>
      </w:r>
      <w:r w:rsidRPr="00CC70C2">
        <w:rPr>
          <w:sz w:val="24"/>
          <w:szCs w:val="24"/>
          <w:lang w:val="en-GB"/>
        </w:rPr>
        <w:tab/>
        <w:t>Based on one retrospective non-randomised epidemiological study</w:t>
      </w:r>
    </w:p>
    <w:p w14:paraId="551A4CFF" w14:textId="77777777" w:rsidR="00D5152C" w:rsidRPr="00CC70C2" w:rsidRDefault="00D5152C" w:rsidP="00D5152C">
      <w:pPr>
        <w:ind w:left="567" w:hanging="567"/>
        <w:rPr>
          <w:color w:val="000000"/>
          <w:sz w:val="24"/>
          <w:szCs w:val="24"/>
          <w:lang w:val="en-GB"/>
        </w:rPr>
      </w:pPr>
    </w:p>
    <w:p w14:paraId="6D08C14E" w14:textId="77777777" w:rsidR="00D5152C" w:rsidRPr="00CC70C2" w:rsidRDefault="00D5152C" w:rsidP="00DC16C9">
      <w:pPr>
        <w:ind w:left="851"/>
        <w:rPr>
          <w:color w:val="000000"/>
          <w:sz w:val="24"/>
          <w:szCs w:val="24"/>
          <w:lang w:val="en-GB"/>
        </w:rPr>
      </w:pPr>
      <w:r w:rsidRPr="00CC70C2">
        <w:rPr>
          <w:color w:val="000000"/>
          <w:sz w:val="24"/>
          <w:szCs w:val="24"/>
          <w:lang w:val="en-GB"/>
        </w:rPr>
        <w:t xml:space="preserve">Cases of QT prolongation, ventricular arrhythmia, sudden unexplained death, cardiac arrest and </w:t>
      </w:r>
      <w:proofErr w:type="spellStart"/>
      <w:r w:rsidRPr="00CC70C2">
        <w:rPr>
          <w:color w:val="000000"/>
          <w:sz w:val="24"/>
          <w:szCs w:val="24"/>
          <w:lang w:val="en-GB"/>
        </w:rPr>
        <w:t>torsades</w:t>
      </w:r>
      <w:proofErr w:type="spellEnd"/>
      <w:r w:rsidRPr="00CC70C2">
        <w:rPr>
          <w:color w:val="000000"/>
          <w:sz w:val="24"/>
          <w:szCs w:val="24"/>
          <w:lang w:val="en-GB"/>
        </w:rPr>
        <w:t xml:space="preserve"> de pointes have been reported with the use of antipsychotics and are considered class effects.</w:t>
      </w:r>
    </w:p>
    <w:p w14:paraId="03ECC90C" w14:textId="77777777" w:rsidR="00D5152C" w:rsidRPr="00CC70C2" w:rsidRDefault="00D5152C" w:rsidP="00DC16C9">
      <w:pPr>
        <w:ind w:left="851"/>
        <w:rPr>
          <w:color w:val="000000"/>
          <w:sz w:val="24"/>
          <w:szCs w:val="24"/>
          <w:lang w:val="en-GB"/>
        </w:rPr>
      </w:pPr>
    </w:p>
    <w:p w14:paraId="2DE980A4" w14:textId="77777777" w:rsidR="00D5152C" w:rsidRPr="00CC70C2" w:rsidRDefault="00D5152C" w:rsidP="00DC16C9">
      <w:pPr>
        <w:ind w:left="851"/>
        <w:rPr>
          <w:color w:val="000000"/>
          <w:sz w:val="24"/>
          <w:szCs w:val="24"/>
          <w:lang w:val="en-GB"/>
        </w:rPr>
      </w:pPr>
      <w:r w:rsidRPr="00CC70C2">
        <w:rPr>
          <w:color w:val="000000"/>
          <w:sz w:val="24"/>
          <w:szCs w:val="24"/>
          <w:lang w:val="en-GB"/>
        </w:rPr>
        <w:t>Severe cutaneous adverse reactions (SCARs), including Stevens-Johnson syndrome (SJS), toxic epidermal necrolysis (TEN), drug reaction with eosinophilia and systemic symptoms (DRESS) have been reported in association with quetiapine treatment.</w:t>
      </w:r>
    </w:p>
    <w:p w14:paraId="37D10A63" w14:textId="77777777" w:rsidR="00D5152C" w:rsidRPr="00CC70C2" w:rsidRDefault="00D5152C" w:rsidP="00DC16C9">
      <w:pPr>
        <w:ind w:left="851"/>
        <w:rPr>
          <w:bCs/>
          <w:color w:val="000000"/>
          <w:sz w:val="24"/>
          <w:szCs w:val="24"/>
          <w:lang w:val="en-GB"/>
        </w:rPr>
      </w:pPr>
    </w:p>
    <w:p w14:paraId="7382AD04" w14:textId="77777777" w:rsidR="00D5152C" w:rsidRPr="00CC70C2" w:rsidRDefault="00D5152C" w:rsidP="00DC16C9">
      <w:pPr>
        <w:ind w:left="851"/>
        <w:rPr>
          <w:b/>
          <w:bCs/>
          <w:color w:val="000000"/>
          <w:sz w:val="24"/>
          <w:szCs w:val="24"/>
          <w:lang w:val="en-GB"/>
        </w:rPr>
      </w:pPr>
      <w:r w:rsidRPr="00CC70C2">
        <w:rPr>
          <w:b/>
          <w:bCs/>
          <w:color w:val="000000"/>
          <w:sz w:val="24"/>
          <w:szCs w:val="24"/>
          <w:lang w:val="en-GB"/>
        </w:rPr>
        <w:t>Paediatric population</w:t>
      </w:r>
    </w:p>
    <w:p w14:paraId="7734787F" w14:textId="77777777" w:rsidR="00D5152C" w:rsidRPr="00CC70C2" w:rsidRDefault="00D5152C" w:rsidP="00DC16C9">
      <w:pPr>
        <w:ind w:left="851"/>
        <w:rPr>
          <w:color w:val="000000"/>
          <w:sz w:val="24"/>
          <w:szCs w:val="24"/>
          <w:lang w:val="en-GB"/>
        </w:rPr>
      </w:pPr>
      <w:r w:rsidRPr="00CC70C2">
        <w:rPr>
          <w:color w:val="000000"/>
          <w:sz w:val="24"/>
          <w:szCs w:val="24"/>
          <w:lang w:val="en-GB"/>
        </w:rPr>
        <w:t>The same ADRs described above for adults should be considered for children and adolescents. The following table summarises ADRs that occur in a higher frequency category in children and adolescent patients (10-17 years of age) than in the adult population or ADRs that have not been identified in the adult population.</w:t>
      </w:r>
    </w:p>
    <w:p w14:paraId="32FF9EB1" w14:textId="77777777" w:rsidR="00D5152C" w:rsidRPr="00CC70C2" w:rsidRDefault="00D5152C" w:rsidP="00DC16C9">
      <w:pPr>
        <w:ind w:left="851"/>
        <w:rPr>
          <w:color w:val="000000"/>
          <w:sz w:val="24"/>
          <w:szCs w:val="24"/>
          <w:lang w:val="en-GB"/>
        </w:rPr>
      </w:pPr>
    </w:p>
    <w:p w14:paraId="1377BE33" w14:textId="77777777" w:rsidR="00D5152C" w:rsidRPr="00CC70C2" w:rsidRDefault="00D5152C" w:rsidP="00DC16C9">
      <w:pPr>
        <w:ind w:left="851"/>
        <w:rPr>
          <w:b/>
          <w:sz w:val="24"/>
          <w:szCs w:val="24"/>
          <w:lang w:val="en-GB"/>
        </w:rPr>
      </w:pPr>
      <w:r w:rsidRPr="00CC70C2">
        <w:rPr>
          <w:b/>
          <w:sz w:val="24"/>
          <w:szCs w:val="24"/>
          <w:lang w:val="en-GB"/>
        </w:rPr>
        <w:t>Table 2: ADRs in children and adolescents associated with quetiapine therapy that occur in a higher frequency than adults, or not identified in the adult population</w:t>
      </w:r>
    </w:p>
    <w:p w14:paraId="73C87275" w14:textId="77777777" w:rsidR="00D5152C" w:rsidRPr="00CC70C2" w:rsidRDefault="00D5152C" w:rsidP="00DC16C9">
      <w:pPr>
        <w:ind w:left="851"/>
        <w:rPr>
          <w:sz w:val="24"/>
          <w:szCs w:val="24"/>
          <w:lang w:val="en-GB"/>
        </w:rPr>
      </w:pPr>
    </w:p>
    <w:p w14:paraId="6BDBDABA" w14:textId="77777777" w:rsidR="00D5152C" w:rsidRPr="00CC70C2" w:rsidRDefault="00D5152C" w:rsidP="00DC16C9">
      <w:pPr>
        <w:ind w:left="851"/>
        <w:rPr>
          <w:sz w:val="24"/>
          <w:szCs w:val="24"/>
          <w:lang w:val="en-GB"/>
        </w:rPr>
      </w:pPr>
      <w:r w:rsidRPr="00CC70C2">
        <w:rPr>
          <w:sz w:val="24"/>
          <w:szCs w:val="24"/>
          <w:lang w:val="en-GB"/>
        </w:rPr>
        <w:t>The frequencies of adverse events are ranked according to the following: Very common (≥1/10), common (≥1/100 to &lt;1/10), uncommon (≥1/1,000 to &lt;1/100), rare (≥1/10,000 to &lt;1/1,000) and very rare (&lt;1/10,000).</w:t>
      </w:r>
    </w:p>
    <w:p w14:paraId="6C6304E2" w14:textId="77777777" w:rsidR="00D5152C" w:rsidRPr="00CC70C2" w:rsidRDefault="00D5152C" w:rsidP="00350C0E">
      <w:pPr>
        <w:ind w:left="851"/>
        <w:rPr>
          <w:sz w:val="24"/>
          <w:szCs w:val="24"/>
          <w:lang w:val="en-GB"/>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5152C" w:rsidRPr="00CC70C2" w14:paraId="60E78429"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7F34AB59" w14:textId="1453BF0B" w:rsidR="00D5152C" w:rsidRPr="00CC70C2" w:rsidRDefault="00DC16C9">
            <w:pPr>
              <w:rPr>
                <w:b/>
                <w:sz w:val="24"/>
                <w:szCs w:val="24"/>
                <w:lang w:val="en-GB" w:eastAsia="en-US"/>
              </w:rPr>
            </w:pPr>
            <w:r w:rsidRPr="00CC70C2">
              <w:rPr>
                <w:b/>
                <w:bCs/>
                <w:sz w:val="24"/>
                <w:szCs w:val="24"/>
                <w:lang w:val="en-GB"/>
              </w:rPr>
              <w:t>SOC</w:t>
            </w:r>
          </w:p>
        </w:tc>
        <w:tc>
          <w:tcPr>
            <w:tcW w:w="2841" w:type="dxa"/>
            <w:tcBorders>
              <w:top w:val="single" w:sz="4" w:space="0" w:color="auto"/>
              <w:left w:val="single" w:sz="4" w:space="0" w:color="auto"/>
              <w:bottom w:val="single" w:sz="4" w:space="0" w:color="auto"/>
              <w:right w:val="single" w:sz="4" w:space="0" w:color="auto"/>
            </w:tcBorders>
            <w:hideMark/>
          </w:tcPr>
          <w:p w14:paraId="229E81F9" w14:textId="77777777" w:rsidR="00D5152C" w:rsidRPr="00CC70C2" w:rsidRDefault="00D5152C">
            <w:pPr>
              <w:rPr>
                <w:b/>
                <w:sz w:val="24"/>
                <w:szCs w:val="24"/>
                <w:lang w:val="en-GB"/>
              </w:rPr>
            </w:pPr>
            <w:r w:rsidRPr="00CC70C2">
              <w:rPr>
                <w:b/>
                <w:sz w:val="24"/>
                <w:szCs w:val="24"/>
                <w:lang w:val="en-GB"/>
              </w:rPr>
              <w:t>Very common</w:t>
            </w:r>
          </w:p>
        </w:tc>
        <w:tc>
          <w:tcPr>
            <w:tcW w:w="2841" w:type="dxa"/>
            <w:tcBorders>
              <w:top w:val="single" w:sz="4" w:space="0" w:color="auto"/>
              <w:left w:val="single" w:sz="4" w:space="0" w:color="auto"/>
              <w:bottom w:val="single" w:sz="4" w:space="0" w:color="auto"/>
              <w:right w:val="single" w:sz="4" w:space="0" w:color="auto"/>
            </w:tcBorders>
            <w:hideMark/>
          </w:tcPr>
          <w:p w14:paraId="35ED050D" w14:textId="77777777" w:rsidR="00D5152C" w:rsidRPr="00CC70C2" w:rsidRDefault="00D5152C">
            <w:pPr>
              <w:rPr>
                <w:b/>
                <w:sz w:val="24"/>
                <w:szCs w:val="24"/>
                <w:lang w:val="en-GB"/>
              </w:rPr>
            </w:pPr>
            <w:r w:rsidRPr="00CC70C2">
              <w:rPr>
                <w:b/>
                <w:sz w:val="24"/>
                <w:szCs w:val="24"/>
                <w:lang w:val="en-GB"/>
              </w:rPr>
              <w:t>Common</w:t>
            </w:r>
          </w:p>
        </w:tc>
      </w:tr>
      <w:tr w:rsidR="00D5152C" w:rsidRPr="00CC70C2" w14:paraId="20D3AF2C"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2CC5FAD4" w14:textId="77777777" w:rsidR="00D5152C" w:rsidRPr="00CC70C2" w:rsidRDefault="00D5152C">
            <w:pPr>
              <w:rPr>
                <w:sz w:val="24"/>
                <w:szCs w:val="24"/>
                <w:lang w:val="en-GB"/>
              </w:rPr>
            </w:pPr>
            <w:r w:rsidRPr="00CC70C2">
              <w:rPr>
                <w:sz w:val="24"/>
                <w:szCs w:val="24"/>
                <w:lang w:val="en-GB"/>
              </w:rPr>
              <w:t>Endocrine disorders</w:t>
            </w:r>
          </w:p>
        </w:tc>
        <w:tc>
          <w:tcPr>
            <w:tcW w:w="2841" w:type="dxa"/>
            <w:tcBorders>
              <w:top w:val="single" w:sz="4" w:space="0" w:color="auto"/>
              <w:left w:val="single" w:sz="4" w:space="0" w:color="auto"/>
              <w:bottom w:val="single" w:sz="4" w:space="0" w:color="auto"/>
              <w:right w:val="single" w:sz="4" w:space="0" w:color="auto"/>
            </w:tcBorders>
            <w:hideMark/>
          </w:tcPr>
          <w:p w14:paraId="42345A00" w14:textId="77777777" w:rsidR="00D5152C" w:rsidRPr="00CC70C2" w:rsidRDefault="00D5152C">
            <w:pPr>
              <w:rPr>
                <w:sz w:val="24"/>
                <w:szCs w:val="24"/>
                <w:lang w:val="en-GB"/>
              </w:rPr>
            </w:pPr>
            <w:r w:rsidRPr="00CC70C2">
              <w:rPr>
                <w:sz w:val="24"/>
                <w:szCs w:val="24"/>
                <w:lang w:val="en-GB"/>
              </w:rPr>
              <w:t>Elevations in prolactin</w:t>
            </w:r>
            <w:r w:rsidRPr="00CC70C2">
              <w:rPr>
                <w:sz w:val="24"/>
                <w:szCs w:val="24"/>
                <w:vertAlign w:val="superscript"/>
                <w:lang w:val="en-GB"/>
              </w:rPr>
              <w:t>1</w:t>
            </w:r>
          </w:p>
        </w:tc>
        <w:tc>
          <w:tcPr>
            <w:tcW w:w="2841" w:type="dxa"/>
            <w:tcBorders>
              <w:top w:val="single" w:sz="4" w:space="0" w:color="auto"/>
              <w:left w:val="single" w:sz="4" w:space="0" w:color="auto"/>
              <w:bottom w:val="single" w:sz="4" w:space="0" w:color="auto"/>
              <w:right w:val="single" w:sz="4" w:space="0" w:color="auto"/>
            </w:tcBorders>
          </w:tcPr>
          <w:p w14:paraId="6D6D9AAC" w14:textId="77777777" w:rsidR="00D5152C" w:rsidRPr="00CC70C2" w:rsidRDefault="00D5152C">
            <w:pPr>
              <w:rPr>
                <w:sz w:val="24"/>
                <w:szCs w:val="24"/>
                <w:lang w:val="en-GB"/>
              </w:rPr>
            </w:pPr>
          </w:p>
        </w:tc>
      </w:tr>
      <w:tr w:rsidR="00D5152C" w:rsidRPr="00CC70C2" w14:paraId="40B7CE57"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73F3FA08" w14:textId="77777777" w:rsidR="00D5152C" w:rsidRPr="00CC70C2" w:rsidRDefault="00D5152C">
            <w:pPr>
              <w:rPr>
                <w:sz w:val="24"/>
                <w:szCs w:val="24"/>
                <w:lang w:val="en-GB"/>
              </w:rPr>
            </w:pPr>
            <w:r w:rsidRPr="00CC70C2">
              <w:rPr>
                <w:sz w:val="24"/>
                <w:szCs w:val="24"/>
                <w:lang w:val="en-GB"/>
              </w:rPr>
              <w:t>Metabolism and nutrition disorders</w:t>
            </w:r>
          </w:p>
        </w:tc>
        <w:tc>
          <w:tcPr>
            <w:tcW w:w="2841" w:type="dxa"/>
            <w:tcBorders>
              <w:top w:val="single" w:sz="4" w:space="0" w:color="auto"/>
              <w:left w:val="single" w:sz="4" w:space="0" w:color="auto"/>
              <w:bottom w:val="single" w:sz="4" w:space="0" w:color="auto"/>
              <w:right w:val="single" w:sz="4" w:space="0" w:color="auto"/>
            </w:tcBorders>
            <w:hideMark/>
          </w:tcPr>
          <w:p w14:paraId="71CBF6F2" w14:textId="77777777" w:rsidR="00D5152C" w:rsidRPr="00CC70C2" w:rsidRDefault="00D5152C">
            <w:pPr>
              <w:rPr>
                <w:sz w:val="24"/>
                <w:szCs w:val="24"/>
                <w:lang w:val="en-GB"/>
              </w:rPr>
            </w:pPr>
            <w:r w:rsidRPr="00CC70C2">
              <w:rPr>
                <w:sz w:val="24"/>
                <w:szCs w:val="24"/>
                <w:lang w:val="en-GB"/>
              </w:rPr>
              <w:t>Increased appetite</w:t>
            </w:r>
          </w:p>
        </w:tc>
        <w:tc>
          <w:tcPr>
            <w:tcW w:w="2841" w:type="dxa"/>
            <w:tcBorders>
              <w:top w:val="single" w:sz="4" w:space="0" w:color="auto"/>
              <w:left w:val="single" w:sz="4" w:space="0" w:color="auto"/>
              <w:bottom w:val="single" w:sz="4" w:space="0" w:color="auto"/>
              <w:right w:val="single" w:sz="4" w:space="0" w:color="auto"/>
            </w:tcBorders>
          </w:tcPr>
          <w:p w14:paraId="38CD8D70" w14:textId="77777777" w:rsidR="00D5152C" w:rsidRPr="00CC70C2" w:rsidRDefault="00D5152C">
            <w:pPr>
              <w:rPr>
                <w:sz w:val="24"/>
                <w:szCs w:val="24"/>
                <w:lang w:val="en-GB"/>
              </w:rPr>
            </w:pPr>
          </w:p>
        </w:tc>
      </w:tr>
      <w:tr w:rsidR="00D5152C" w:rsidRPr="00CC70C2" w14:paraId="3D8DC7F8"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6673B279" w14:textId="77777777" w:rsidR="00D5152C" w:rsidRPr="00CC70C2" w:rsidRDefault="00D5152C">
            <w:pPr>
              <w:rPr>
                <w:sz w:val="24"/>
                <w:szCs w:val="24"/>
                <w:lang w:val="en-GB"/>
              </w:rPr>
            </w:pPr>
            <w:r w:rsidRPr="00CC70C2">
              <w:rPr>
                <w:sz w:val="24"/>
                <w:szCs w:val="24"/>
                <w:lang w:val="en-GB"/>
              </w:rPr>
              <w:t>Nervous system disorders</w:t>
            </w:r>
          </w:p>
        </w:tc>
        <w:tc>
          <w:tcPr>
            <w:tcW w:w="2841" w:type="dxa"/>
            <w:tcBorders>
              <w:top w:val="single" w:sz="4" w:space="0" w:color="auto"/>
              <w:left w:val="single" w:sz="4" w:space="0" w:color="auto"/>
              <w:bottom w:val="single" w:sz="4" w:space="0" w:color="auto"/>
              <w:right w:val="single" w:sz="4" w:space="0" w:color="auto"/>
            </w:tcBorders>
            <w:hideMark/>
          </w:tcPr>
          <w:p w14:paraId="7F92C81C" w14:textId="77777777" w:rsidR="00D5152C" w:rsidRPr="00CC70C2" w:rsidRDefault="00D5152C">
            <w:pPr>
              <w:rPr>
                <w:sz w:val="24"/>
                <w:szCs w:val="24"/>
                <w:lang w:val="en-GB"/>
              </w:rPr>
            </w:pPr>
            <w:r w:rsidRPr="00CC70C2">
              <w:rPr>
                <w:sz w:val="24"/>
                <w:szCs w:val="24"/>
                <w:lang w:val="en-GB"/>
              </w:rPr>
              <w:t>Extrapyramidal symptoms</w:t>
            </w:r>
            <w:r w:rsidRPr="00CC70C2">
              <w:rPr>
                <w:sz w:val="24"/>
                <w:szCs w:val="24"/>
                <w:vertAlign w:val="superscript"/>
                <w:lang w:val="en-GB"/>
              </w:rPr>
              <w:t>3,4</w:t>
            </w:r>
          </w:p>
        </w:tc>
        <w:tc>
          <w:tcPr>
            <w:tcW w:w="2841" w:type="dxa"/>
            <w:tcBorders>
              <w:top w:val="single" w:sz="4" w:space="0" w:color="auto"/>
              <w:left w:val="single" w:sz="4" w:space="0" w:color="auto"/>
              <w:bottom w:val="single" w:sz="4" w:space="0" w:color="auto"/>
              <w:right w:val="single" w:sz="4" w:space="0" w:color="auto"/>
            </w:tcBorders>
            <w:hideMark/>
          </w:tcPr>
          <w:p w14:paraId="3D13D98D" w14:textId="77777777" w:rsidR="00D5152C" w:rsidRPr="00CC70C2" w:rsidRDefault="00D5152C">
            <w:pPr>
              <w:rPr>
                <w:sz w:val="24"/>
                <w:szCs w:val="24"/>
                <w:lang w:val="en-GB"/>
              </w:rPr>
            </w:pPr>
            <w:r w:rsidRPr="00CC70C2">
              <w:rPr>
                <w:sz w:val="24"/>
                <w:szCs w:val="24"/>
                <w:lang w:val="en-GB"/>
              </w:rPr>
              <w:t>Syncope</w:t>
            </w:r>
          </w:p>
        </w:tc>
      </w:tr>
      <w:tr w:rsidR="00D5152C" w:rsidRPr="00CC70C2" w14:paraId="2DF6D6EA"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033D5575" w14:textId="77777777" w:rsidR="00D5152C" w:rsidRPr="00CC70C2" w:rsidRDefault="00D5152C">
            <w:pPr>
              <w:rPr>
                <w:sz w:val="24"/>
                <w:szCs w:val="24"/>
                <w:lang w:val="en-GB"/>
              </w:rPr>
            </w:pPr>
            <w:r w:rsidRPr="00CC70C2">
              <w:rPr>
                <w:sz w:val="24"/>
                <w:szCs w:val="24"/>
                <w:lang w:val="en-GB"/>
              </w:rPr>
              <w:t>Vascular disorders</w:t>
            </w:r>
          </w:p>
        </w:tc>
        <w:tc>
          <w:tcPr>
            <w:tcW w:w="2841" w:type="dxa"/>
            <w:tcBorders>
              <w:top w:val="single" w:sz="4" w:space="0" w:color="auto"/>
              <w:left w:val="single" w:sz="4" w:space="0" w:color="auto"/>
              <w:bottom w:val="single" w:sz="4" w:space="0" w:color="auto"/>
              <w:right w:val="single" w:sz="4" w:space="0" w:color="auto"/>
            </w:tcBorders>
            <w:hideMark/>
          </w:tcPr>
          <w:p w14:paraId="63040D3E" w14:textId="77777777" w:rsidR="00D5152C" w:rsidRPr="00CC70C2" w:rsidRDefault="00D5152C">
            <w:pPr>
              <w:rPr>
                <w:sz w:val="24"/>
                <w:szCs w:val="24"/>
                <w:lang w:val="en-GB"/>
              </w:rPr>
            </w:pPr>
            <w:r w:rsidRPr="00CC70C2">
              <w:rPr>
                <w:sz w:val="24"/>
                <w:szCs w:val="24"/>
                <w:lang w:val="en-GB"/>
              </w:rPr>
              <w:t>Increases in blood pressure</w:t>
            </w:r>
            <w:r w:rsidRPr="00CC70C2">
              <w:rPr>
                <w:sz w:val="24"/>
                <w:szCs w:val="24"/>
                <w:vertAlign w:val="superscript"/>
                <w:lang w:val="en-GB"/>
              </w:rPr>
              <w:t>2</w:t>
            </w:r>
          </w:p>
        </w:tc>
        <w:tc>
          <w:tcPr>
            <w:tcW w:w="2841" w:type="dxa"/>
            <w:tcBorders>
              <w:top w:val="single" w:sz="4" w:space="0" w:color="auto"/>
              <w:left w:val="single" w:sz="4" w:space="0" w:color="auto"/>
              <w:bottom w:val="single" w:sz="4" w:space="0" w:color="auto"/>
              <w:right w:val="single" w:sz="4" w:space="0" w:color="auto"/>
            </w:tcBorders>
          </w:tcPr>
          <w:p w14:paraId="2D7CF605" w14:textId="77777777" w:rsidR="00D5152C" w:rsidRPr="00CC70C2" w:rsidRDefault="00D5152C">
            <w:pPr>
              <w:rPr>
                <w:sz w:val="24"/>
                <w:szCs w:val="24"/>
                <w:lang w:val="en-GB"/>
              </w:rPr>
            </w:pPr>
          </w:p>
        </w:tc>
      </w:tr>
      <w:tr w:rsidR="00D5152C" w:rsidRPr="00CC70C2" w14:paraId="3D09729A"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719F9237" w14:textId="77777777" w:rsidR="00D5152C" w:rsidRPr="00CC70C2" w:rsidRDefault="00D5152C">
            <w:pPr>
              <w:rPr>
                <w:sz w:val="24"/>
                <w:szCs w:val="24"/>
                <w:lang w:val="en-GB"/>
              </w:rPr>
            </w:pPr>
            <w:r w:rsidRPr="00CC70C2">
              <w:rPr>
                <w:sz w:val="24"/>
                <w:szCs w:val="24"/>
                <w:lang w:val="en-GB"/>
              </w:rPr>
              <w:t>Respiratory, thoracic and mediastinal disorders</w:t>
            </w:r>
          </w:p>
        </w:tc>
        <w:tc>
          <w:tcPr>
            <w:tcW w:w="2841" w:type="dxa"/>
            <w:tcBorders>
              <w:top w:val="single" w:sz="4" w:space="0" w:color="auto"/>
              <w:left w:val="single" w:sz="4" w:space="0" w:color="auto"/>
              <w:bottom w:val="single" w:sz="4" w:space="0" w:color="auto"/>
              <w:right w:val="single" w:sz="4" w:space="0" w:color="auto"/>
            </w:tcBorders>
          </w:tcPr>
          <w:p w14:paraId="11B94590" w14:textId="77777777" w:rsidR="00D5152C" w:rsidRPr="00CC70C2" w:rsidRDefault="00D5152C">
            <w:pPr>
              <w:rPr>
                <w:sz w:val="24"/>
                <w:szCs w:val="24"/>
                <w:lang w:val="en-GB"/>
              </w:rPr>
            </w:pPr>
          </w:p>
        </w:tc>
        <w:tc>
          <w:tcPr>
            <w:tcW w:w="2841" w:type="dxa"/>
            <w:tcBorders>
              <w:top w:val="single" w:sz="4" w:space="0" w:color="auto"/>
              <w:left w:val="single" w:sz="4" w:space="0" w:color="auto"/>
              <w:bottom w:val="single" w:sz="4" w:space="0" w:color="auto"/>
              <w:right w:val="single" w:sz="4" w:space="0" w:color="auto"/>
            </w:tcBorders>
            <w:hideMark/>
          </w:tcPr>
          <w:p w14:paraId="0BAE6947" w14:textId="77777777" w:rsidR="00D5152C" w:rsidRPr="00CC70C2" w:rsidRDefault="00D5152C">
            <w:pPr>
              <w:rPr>
                <w:sz w:val="24"/>
                <w:szCs w:val="24"/>
                <w:lang w:val="en-GB"/>
              </w:rPr>
            </w:pPr>
            <w:r w:rsidRPr="00CC70C2">
              <w:rPr>
                <w:sz w:val="24"/>
                <w:szCs w:val="24"/>
                <w:lang w:val="en-GB"/>
              </w:rPr>
              <w:t>Rhinitis</w:t>
            </w:r>
          </w:p>
        </w:tc>
      </w:tr>
      <w:tr w:rsidR="00D5152C" w:rsidRPr="00CC70C2" w14:paraId="1225FF6F"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2E7E656C" w14:textId="77777777" w:rsidR="00D5152C" w:rsidRPr="00CC70C2" w:rsidRDefault="00D5152C">
            <w:pPr>
              <w:rPr>
                <w:sz w:val="24"/>
                <w:szCs w:val="24"/>
                <w:lang w:val="en-GB"/>
              </w:rPr>
            </w:pPr>
            <w:r w:rsidRPr="00CC70C2">
              <w:rPr>
                <w:sz w:val="24"/>
                <w:szCs w:val="24"/>
                <w:lang w:val="en-GB"/>
              </w:rPr>
              <w:t>Gastrointestinal disorders</w:t>
            </w:r>
          </w:p>
        </w:tc>
        <w:tc>
          <w:tcPr>
            <w:tcW w:w="2841" w:type="dxa"/>
            <w:tcBorders>
              <w:top w:val="single" w:sz="4" w:space="0" w:color="auto"/>
              <w:left w:val="single" w:sz="4" w:space="0" w:color="auto"/>
              <w:bottom w:val="single" w:sz="4" w:space="0" w:color="auto"/>
              <w:right w:val="single" w:sz="4" w:space="0" w:color="auto"/>
            </w:tcBorders>
            <w:hideMark/>
          </w:tcPr>
          <w:p w14:paraId="4205B427" w14:textId="77777777" w:rsidR="00D5152C" w:rsidRPr="00CC70C2" w:rsidRDefault="00D5152C">
            <w:pPr>
              <w:rPr>
                <w:sz w:val="24"/>
                <w:szCs w:val="24"/>
                <w:lang w:val="en-GB"/>
              </w:rPr>
            </w:pPr>
            <w:r w:rsidRPr="00CC70C2">
              <w:rPr>
                <w:sz w:val="24"/>
                <w:szCs w:val="24"/>
                <w:lang w:val="en-GB"/>
              </w:rPr>
              <w:t>Vomiting</w:t>
            </w:r>
          </w:p>
        </w:tc>
        <w:tc>
          <w:tcPr>
            <w:tcW w:w="2841" w:type="dxa"/>
            <w:tcBorders>
              <w:top w:val="single" w:sz="4" w:space="0" w:color="auto"/>
              <w:left w:val="single" w:sz="4" w:space="0" w:color="auto"/>
              <w:bottom w:val="single" w:sz="4" w:space="0" w:color="auto"/>
              <w:right w:val="single" w:sz="4" w:space="0" w:color="auto"/>
            </w:tcBorders>
          </w:tcPr>
          <w:p w14:paraId="6FDD26CA" w14:textId="77777777" w:rsidR="00D5152C" w:rsidRPr="00CC70C2" w:rsidRDefault="00D5152C">
            <w:pPr>
              <w:rPr>
                <w:sz w:val="24"/>
                <w:szCs w:val="24"/>
                <w:lang w:val="en-GB"/>
              </w:rPr>
            </w:pPr>
          </w:p>
        </w:tc>
      </w:tr>
      <w:tr w:rsidR="00D5152C" w:rsidRPr="00CC70C2" w14:paraId="20A1F84F" w14:textId="77777777" w:rsidTr="00954DFE">
        <w:tc>
          <w:tcPr>
            <w:tcW w:w="2840" w:type="dxa"/>
            <w:tcBorders>
              <w:top w:val="single" w:sz="4" w:space="0" w:color="auto"/>
              <w:left w:val="single" w:sz="4" w:space="0" w:color="auto"/>
              <w:bottom w:val="single" w:sz="4" w:space="0" w:color="auto"/>
              <w:right w:val="single" w:sz="4" w:space="0" w:color="auto"/>
            </w:tcBorders>
            <w:hideMark/>
          </w:tcPr>
          <w:p w14:paraId="56C4F61A" w14:textId="77777777" w:rsidR="00D5152C" w:rsidRPr="00CC70C2" w:rsidRDefault="00D5152C">
            <w:pPr>
              <w:rPr>
                <w:sz w:val="24"/>
                <w:szCs w:val="24"/>
                <w:lang w:val="en-GB"/>
              </w:rPr>
            </w:pPr>
            <w:r w:rsidRPr="00CC70C2">
              <w:rPr>
                <w:sz w:val="24"/>
                <w:szCs w:val="24"/>
                <w:lang w:val="en-GB"/>
              </w:rPr>
              <w:t>General disorders and administration site conditions</w:t>
            </w:r>
          </w:p>
        </w:tc>
        <w:tc>
          <w:tcPr>
            <w:tcW w:w="2841" w:type="dxa"/>
            <w:tcBorders>
              <w:top w:val="single" w:sz="4" w:space="0" w:color="auto"/>
              <w:left w:val="single" w:sz="4" w:space="0" w:color="auto"/>
              <w:bottom w:val="single" w:sz="4" w:space="0" w:color="auto"/>
              <w:right w:val="single" w:sz="4" w:space="0" w:color="auto"/>
            </w:tcBorders>
          </w:tcPr>
          <w:p w14:paraId="5D2226CC" w14:textId="77777777" w:rsidR="00D5152C" w:rsidRPr="00CC70C2" w:rsidRDefault="00D5152C">
            <w:pPr>
              <w:rPr>
                <w:sz w:val="24"/>
                <w:szCs w:val="24"/>
                <w:lang w:val="en-GB"/>
              </w:rPr>
            </w:pPr>
          </w:p>
        </w:tc>
        <w:tc>
          <w:tcPr>
            <w:tcW w:w="2841" w:type="dxa"/>
            <w:tcBorders>
              <w:top w:val="single" w:sz="4" w:space="0" w:color="auto"/>
              <w:left w:val="single" w:sz="4" w:space="0" w:color="auto"/>
              <w:bottom w:val="single" w:sz="4" w:space="0" w:color="auto"/>
              <w:right w:val="single" w:sz="4" w:space="0" w:color="auto"/>
            </w:tcBorders>
            <w:hideMark/>
          </w:tcPr>
          <w:p w14:paraId="02375AC5" w14:textId="77777777" w:rsidR="00D5152C" w:rsidRPr="00CC70C2" w:rsidRDefault="00D5152C">
            <w:pPr>
              <w:rPr>
                <w:sz w:val="24"/>
                <w:szCs w:val="24"/>
                <w:lang w:val="en-GB"/>
              </w:rPr>
            </w:pPr>
            <w:r w:rsidRPr="00CC70C2">
              <w:rPr>
                <w:sz w:val="24"/>
                <w:szCs w:val="24"/>
                <w:lang w:val="en-GB"/>
              </w:rPr>
              <w:t>Irritability</w:t>
            </w:r>
            <w:r w:rsidRPr="00CC70C2">
              <w:rPr>
                <w:sz w:val="24"/>
                <w:szCs w:val="24"/>
                <w:vertAlign w:val="superscript"/>
                <w:lang w:val="en-GB"/>
              </w:rPr>
              <w:t>3</w:t>
            </w:r>
          </w:p>
        </w:tc>
      </w:tr>
    </w:tbl>
    <w:p w14:paraId="52618529" w14:textId="241E67D3" w:rsidR="00D5152C" w:rsidRPr="00CC70C2" w:rsidRDefault="00D5152C" w:rsidP="00954DFE">
      <w:pPr>
        <w:ind w:left="1276" w:hanging="425"/>
        <w:rPr>
          <w:color w:val="000000"/>
          <w:sz w:val="24"/>
          <w:szCs w:val="24"/>
          <w:lang w:val="en-GB"/>
        </w:rPr>
      </w:pPr>
      <w:r w:rsidRPr="00CC70C2">
        <w:rPr>
          <w:color w:val="000000"/>
          <w:sz w:val="24"/>
          <w:szCs w:val="24"/>
          <w:lang w:val="en-GB"/>
        </w:rPr>
        <w:t xml:space="preserve">1. </w:t>
      </w:r>
      <w:r w:rsidRPr="00CC70C2">
        <w:rPr>
          <w:color w:val="000000"/>
          <w:sz w:val="24"/>
          <w:szCs w:val="24"/>
          <w:lang w:val="en-GB"/>
        </w:rPr>
        <w:tab/>
        <w:t xml:space="preserve">Prolactin levels (patients &lt; 18 years of age): &gt;20 ug/L (&gt;869.56 </w:t>
      </w:r>
      <w:proofErr w:type="spellStart"/>
      <w:r w:rsidRPr="00CC70C2">
        <w:rPr>
          <w:color w:val="000000"/>
          <w:sz w:val="24"/>
          <w:szCs w:val="24"/>
          <w:lang w:val="en-GB"/>
        </w:rPr>
        <w:t>pmol</w:t>
      </w:r>
      <w:proofErr w:type="spellEnd"/>
      <w:r w:rsidRPr="00CC70C2">
        <w:rPr>
          <w:color w:val="000000"/>
          <w:sz w:val="24"/>
          <w:szCs w:val="24"/>
          <w:lang w:val="en-GB"/>
        </w:rPr>
        <w:t xml:space="preserve">/L) males; &gt;26 ug/L (&gt;1130.428 </w:t>
      </w:r>
      <w:proofErr w:type="spellStart"/>
      <w:r w:rsidRPr="00CC70C2">
        <w:rPr>
          <w:color w:val="000000"/>
          <w:sz w:val="24"/>
          <w:szCs w:val="24"/>
          <w:lang w:val="en-GB"/>
        </w:rPr>
        <w:t>pmol</w:t>
      </w:r>
      <w:proofErr w:type="spellEnd"/>
      <w:r w:rsidRPr="00CC70C2">
        <w:rPr>
          <w:color w:val="000000"/>
          <w:sz w:val="24"/>
          <w:szCs w:val="24"/>
          <w:lang w:val="en-GB"/>
        </w:rPr>
        <w:t>/L) females at any time. Less than 1</w:t>
      </w:r>
      <w:r w:rsidR="00F96C97">
        <w:rPr>
          <w:color w:val="000000"/>
          <w:sz w:val="24"/>
          <w:szCs w:val="24"/>
          <w:lang w:val="en-GB"/>
        </w:rPr>
        <w:t xml:space="preserve"> %</w:t>
      </w:r>
      <w:r w:rsidRPr="00CC70C2">
        <w:rPr>
          <w:color w:val="000000"/>
          <w:sz w:val="24"/>
          <w:szCs w:val="24"/>
          <w:lang w:val="en-GB"/>
        </w:rPr>
        <w:t xml:space="preserve"> of patients had an increase to a prolactin level &gt;100 ug/L.</w:t>
      </w:r>
    </w:p>
    <w:p w14:paraId="023E5702" w14:textId="77777777" w:rsidR="00D5152C" w:rsidRPr="00CC70C2" w:rsidRDefault="00D5152C" w:rsidP="00954DFE">
      <w:pPr>
        <w:ind w:left="1276" w:hanging="425"/>
        <w:rPr>
          <w:color w:val="000000"/>
          <w:sz w:val="24"/>
          <w:szCs w:val="24"/>
          <w:lang w:val="en-GB"/>
        </w:rPr>
      </w:pPr>
      <w:r w:rsidRPr="00CC70C2">
        <w:rPr>
          <w:color w:val="000000"/>
          <w:sz w:val="24"/>
          <w:szCs w:val="24"/>
          <w:lang w:val="en-GB"/>
        </w:rPr>
        <w:t xml:space="preserve">2. </w:t>
      </w:r>
      <w:r w:rsidRPr="00CC70C2">
        <w:rPr>
          <w:color w:val="000000"/>
          <w:sz w:val="24"/>
          <w:szCs w:val="24"/>
          <w:lang w:val="en-GB"/>
        </w:rPr>
        <w:tab/>
        <w:t>Based on shifts above clinically significant thresholds (adapted from the National Institutes of Health criteria) or increases &gt;20 mmHg for systolic or &gt;10 mmHg for diastolic blood pressure at any time in two acute (3-6 weeks) placebo-controlled trials in children and adolescents.</w:t>
      </w:r>
    </w:p>
    <w:p w14:paraId="2C9C8FE4" w14:textId="77777777" w:rsidR="00D5152C" w:rsidRPr="00CC70C2" w:rsidRDefault="00D5152C" w:rsidP="00954DFE">
      <w:pPr>
        <w:ind w:left="1276" w:hanging="425"/>
        <w:rPr>
          <w:color w:val="000000"/>
          <w:sz w:val="24"/>
          <w:szCs w:val="24"/>
          <w:lang w:val="en-GB"/>
        </w:rPr>
      </w:pPr>
      <w:r w:rsidRPr="00CC70C2">
        <w:rPr>
          <w:color w:val="000000"/>
          <w:sz w:val="24"/>
          <w:szCs w:val="24"/>
          <w:lang w:val="en-GB"/>
        </w:rPr>
        <w:t xml:space="preserve">3. </w:t>
      </w:r>
      <w:r w:rsidRPr="00CC70C2">
        <w:rPr>
          <w:color w:val="000000"/>
          <w:sz w:val="24"/>
          <w:szCs w:val="24"/>
          <w:lang w:val="en-GB"/>
        </w:rPr>
        <w:tab/>
        <w:t>Note: The frequency is consistent to that observed in adults, but might be associated with different clinical implications in children and adolescents as compared to adults.</w:t>
      </w:r>
    </w:p>
    <w:p w14:paraId="0D48DF19" w14:textId="77777777" w:rsidR="00D5152C" w:rsidRPr="00CC70C2" w:rsidRDefault="00D5152C" w:rsidP="00954DFE">
      <w:pPr>
        <w:autoSpaceDE w:val="0"/>
        <w:autoSpaceDN w:val="0"/>
        <w:adjustRightInd w:val="0"/>
        <w:spacing w:line="260" w:lineRule="exact"/>
        <w:ind w:left="1276" w:hanging="425"/>
        <w:rPr>
          <w:sz w:val="24"/>
          <w:szCs w:val="24"/>
          <w:lang w:val="en-GB"/>
        </w:rPr>
      </w:pPr>
      <w:r w:rsidRPr="00CC70C2">
        <w:rPr>
          <w:sz w:val="24"/>
          <w:szCs w:val="24"/>
          <w:lang w:val="en-GB"/>
        </w:rPr>
        <w:t xml:space="preserve">4. </w:t>
      </w:r>
      <w:r w:rsidRPr="00CC70C2">
        <w:rPr>
          <w:sz w:val="24"/>
          <w:szCs w:val="24"/>
          <w:lang w:val="en-GB"/>
        </w:rPr>
        <w:tab/>
        <w:t>See section 5.1</w:t>
      </w:r>
    </w:p>
    <w:p w14:paraId="3FA36E37" w14:textId="77777777" w:rsidR="00D5152C" w:rsidRPr="00CC70C2" w:rsidRDefault="00D5152C" w:rsidP="00D5152C">
      <w:pPr>
        <w:tabs>
          <w:tab w:val="left" w:pos="567"/>
        </w:tabs>
        <w:autoSpaceDE w:val="0"/>
        <w:autoSpaceDN w:val="0"/>
        <w:adjustRightInd w:val="0"/>
        <w:spacing w:line="260" w:lineRule="exact"/>
        <w:rPr>
          <w:sz w:val="24"/>
          <w:szCs w:val="24"/>
          <w:u w:val="single"/>
          <w:lang w:val="en-GB"/>
        </w:rPr>
      </w:pPr>
    </w:p>
    <w:p w14:paraId="51DC8A88" w14:textId="77777777" w:rsidR="00954DFE" w:rsidRPr="00CC70C2" w:rsidRDefault="00954DFE" w:rsidP="00954DFE">
      <w:pPr>
        <w:ind w:left="851"/>
        <w:rPr>
          <w:sz w:val="24"/>
          <w:szCs w:val="24"/>
          <w:u w:val="single"/>
          <w:lang w:val="en-GB"/>
        </w:rPr>
      </w:pPr>
      <w:r w:rsidRPr="00CC70C2">
        <w:rPr>
          <w:sz w:val="24"/>
          <w:szCs w:val="24"/>
          <w:u w:val="single"/>
          <w:lang w:val="en-GB"/>
        </w:rPr>
        <w:t>Reporting of suspected adverse reactions</w:t>
      </w:r>
    </w:p>
    <w:p w14:paraId="14BB5AB3" w14:textId="77777777" w:rsidR="00954DFE" w:rsidRPr="00CC70C2" w:rsidRDefault="00954DFE" w:rsidP="00954DFE">
      <w:pPr>
        <w:ind w:left="851"/>
        <w:rPr>
          <w:sz w:val="24"/>
          <w:szCs w:val="24"/>
          <w:lang w:val="en-GB"/>
        </w:rPr>
      </w:pPr>
      <w:r w:rsidRPr="00CC70C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2934FF4" w14:textId="77777777" w:rsidR="00954DFE" w:rsidRPr="00CC70C2" w:rsidRDefault="00954DFE" w:rsidP="00954DFE">
      <w:pPr>
        <w:ind w:left="851"/>
        <w:rPr>
          <w:sz w:val="24"/>
          <w:szCs w:val="24"/>
          <w:lang w:val="en-GB"/>
        </w:rPr>
      </w:pPr>
    </w:p>
    <w:p w14:paraId="186F360F" w14:textId="77777777" w:rsidR="00954DFE" w:rsidRPr="00C77560" w:rsidRDefault="00954DFE" w:rsidP="00954DFE">
      <w:pPr>
        <w:ind w:left="851"/>
        <w:rPr>
          <w:sz w:val="24"/>
          <w:szCs w:val="24"/>
        </w:rPr>
      </w:pPr>
      <w:r w:rsidRPr="00C77560">
        <w:rPr>
          <w:sz w:val="24"/>
          <w:szCs w:val="24"/>
        </w:rPr>
        <w:t>Lægemiddelstyrelsen</w:t>
      </w:r>
    </w:p>
    <w:p w14:paraId="7D799F02" w14:textId="77777777" w:rsidR="00954DFE" w:rsidRPr="00C77560" w:rsidRDefault="00954DFE" w:rsidP="00954DFE">
      <w:pPr>
        <w:ind w:left="851"/>
        <w:rPr>
          <w:sz w:val="24"/>
          <w:szCs w:val="24"/>
        </w:rPr>
      </w:pPr>
      <w:r w:rsidRPr="00C77560">
        <w:rPr>
          <w:sz w:val="24"/>
          <w:szCs w:val="24"/>
        </w:rPr>
        <w:t>Axel Heides Gade 1</w:t>
      </w:r>
    </w:p>
    <w:p w14:paraId="3DD60D75" w14:textId="77777777" w:rsidR="00954DFE" w:rsidRPr="00C77560" w:rsidRDefault="00954DFE" w:rsidP="00954DFE">
      <w:pPr>
        <w:ind w:left="851"/>
        <w:rPr>
          <w:sz w:val="24"/>
          <w:szCs w:val="24"/>
        </w:rPr>
      </w:pPr>
      <w:r w:rsidRPr="00C77560">
        <w:rPr>
          <w:sz w:val="24"/>
          <w:szCs w:val="24"/>
        </w:rPr>
        <w:t>DK-2300 København S</w:t>
      </w:r>
    </w:p>
    <w:p w14:paraId="57CF138D" w14:textId="77777777" w:rsidR="00954DFE" w:rsidRPr="00CC70C2" w:rsidRDefault="00954DFE" w:rsidP="00954DFE">
      <w:pPr>
        <w:ind w:left="851"/>
        <w:rPr>
          <w:sz w:val="24"/>
          <w:szCs w:val="24"/>
          <w:lang w:val="en-GB"/>
        </w:rPr>
      </w:pPr>
      <w:r w:rsidRPr="00CC70C2">
        <w:rPr>
          <w:sz w:val="24"/>
          <w:szCs w:val="24"/>
          <w:lang w:val="en-GB"/>
        </w:rPr>
        <w:t>Website: www.meldenbivirkning.dk</w:t>
      </w:r>
    </w:p>
    <w:p w14:paraId="2EB13242" w14:textId="77777777" w:rsidR="007C5D2A" w:rsidRPr="00CC70C2" w:rsidRDefault="007C5D2A" w:rsidP="007A4CC6">
      <w:pPr>
        <w:tabs>
          <w:tab w:val="left" w:pos="851"/>
        </w:tabs>
        <w:ind w:left="851"/>
        <w:rPr>
          <w:sz w:val="24"/>
          <w:szCs w:val="24"/>
          <w:lang w:val="en-GB"/>
        </w:rPr>
      </w:pPr>
    </w:p>
    <w:p w14:paraId="07701371"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4.9</w:t>
      </w:r>
      <w:r w:rsidRPr="00CC70C2">
        <w:rPr>
          <w:b/>
          <w:sz w:val="24"/>
          <w:szCs w:val="24"/>
          <w:lang w:val="en-GB"/>
        </w:rPr>
        <w:tab/>
        <w:t>Overdose</w:t>
      </w:r>
    </w:p>
    <w:p w14:paraId="1B6EDB9A" w14:textId="77777777" w:rsidR="00816AE5" w:rsidRPr="00CC70C2" w:rsidRDefault="00816AE5" w:rsidP="00954DFE">
      <w:pPr>
        <w:ind w:left="851"/>
        <w:rPr>
          <w:color w:val="000000"/>
          <w:sz w:val="24"/>
          <w:szCs w:val="24"/>
          <w:u w:val="single"/>
          <w:lang w:val="en-GB"/>
        </w:rPr>
      </w:pPr>
    </w:p>
    <w:p w14:paraId="2C4039A8" w14:textId="1A5DCC2F" w:rsidR="00D5152C" w:rsidRPr="00CC70C2" w:rsidRDefault="00D5152C" w:rsidP="00954DFE">
      <w:pPr>
        <w:ind w:left="851"/>
        <w:rPr>
          <w:color w:val="000000"/>
          <w:sz w:val="24"/>
          <w:szCs w:val="24"/>
          <w:u w:val="single"/>
          <w:lang w:val="en-GB"/>
        </w:rPr>
      </w:pPr>
      <w:r w:rsidRPr="00CC70C2">
        <w:rPr>
          <w:color w:val="000000"/>
          <w:sz w:val="24"/>
          <w:szCs w:val="24"/>
          <w:u w:val="single"/>
          <w:lang w:val="en-GB"/>
        </w:rPr>
        <w:t>Symptoms</w:t>
      </w:r>
    </w:p>
    <w:p w14:paraId="36F09B5A" w14:textId="77777777" w:rsidR="00D5152C" w:rsidRPr="00CC70C2" w:rsidRDefault="00D5152C" w:rsidP="00954DFE">
      <w:pPr>
        <w:ind w:left="851"/>
        <w:rPr>
          <w:color w:val="000000"/>
          <w:sz w:val="24"/>
          <w:szCs w:val="24"/>
          <w:lang w:val="en-GB"/>
        </w:rPr>
      </w:pPr>
      <w:r w:rsidRPr="00CC70C2">
        <w:rPr>
          <w:color w:val="000000"/>
          <w:sz w:val="24"/>
          <w:szCs w:val="24"/>
          <w:lang w:val="en-GB"/>
        </w:rPr>
        <w:t>In general, reported signs and symptoms were those resulting from an exaggeration of the active substance’s known pharmacological effects, i.e. drowsiness and sedation, tachycardia, hypotension and anticholinergic effects.</w:t>
      </w:r>
    </w:p>
    <w:p w14:paraId="4784A3D0" w14:textId="77777777" w:rsidR="00D5152C" w:rsidRPr="00CC70C2" w:rsidRDefault="00D5152C" w:rsidP="00954DFE">
      <w:pPr>
        <w:ind w:left="851"/>
        <w:rPr>
          <w:color w:val="000000"/>
          <w:sz w:val="24"/>
          <w:szCs w:val="24"/>
          <w:lang w:val="en-GB"/>
        </w:rPr>
      </w:pPr>
    </w:p>
    <w:p w14:paraId="468D2D6A" w14:textId="77777777" w:rsidR="00D5152C" w:rsidRPr="00CC70C2" w:rsidRDefault="00D5152C" w:rsidP="00954DFE">
      <w:pPr>
        <w:ind w:left="851"/>
        <w:rPr>
          <w:color w:val="000000"/>
          <w:sz w:val="24"/>
          <w:szCs w:val="24"/>
          <w:lang w:val="en-GB"/>
        </w:rPr>
      </w:pPr>
      <w:r w:rsidRPr="00CC70C2">
        <w:rPr>
          <w:sz w:val="24"/>
          <w:szCs w:val="24"/>
          <w:lang w:val="en-GB"/>
        </w:rPr>
        <w:t xml:space="preserve">Overdose could lead to </w:t>
      </w:r>
      <w:r w:rsidRPr="00CC70C2">
        <w:rPr>
          <w:color w:val="000000"/>
          <w:sz w:val="24"/>
          <w:szCs w:val="24"/>
          <w:lang w:val="en-GB"/>
        </w:rPr>
        <w:t>QT-prolongation, seizures, status epilepticus, rhabdomyolysis, respiratory depression, urinary retention, confusion, delirium, and/or agitation, coma and death.</w:t>
      </w:r>
    </w:p>
    <w:p w14:paraId="311426F5" w14:textId="77777777" w:rsidR="00D5152C" w:rsidRPr="00CC70C2" w:rsidRDefault="00D5152C" w:rsidP="00954DFE">
      <w:pPr>
        <w:ind w:left="851"/>
        <w:rPr>
          <w:color w:val="000000"/>
          <w:sz w:val="24"/>
          <w:szCs w:val="24"/>
          <w:lang w:val="en-GB"/>
        </w:rPr>
      </w:pPr>
    </w:p>
    <w:p w14:paraId="6D274A9C" w14:textId="77777777" w:rsidR="00D5152C" w:rsidRPr="00CC70C2" w:rsidRDefault="00D5152C" w:rsidP="00954DFE">
      <w:pPr>
        <w:ind w:left="851"/>
        <w:rPr>
          <w:color w:val="000000"/>
          <w:sz w:val="24"/>
          <w:szCs w:val="24"/>
          <w:lang w:val="en-GB"/>
        </w:rPr>
      </w:pPr>
      <w:r w:rsidRPr="00CC70C2">
        <w:rPr>
          <w:color w:val="000000"/>
          <w:sz w:val="24"/>
          <w:szCs w:val="24"/>
          <w:lang w:val="en-GB"/>
        </w:rPr>
        <w:t>Patients with pre-existing severe cardiovascular disease may be at an increased risk of the effects of overdose (see section 4.4: Orthostatic hypotension).</w:t>
      </w:r>
    </w:p>
    <w:p w14:paraId="17663910" w14:textId="77777777" w:rsidR="00D5152C" w:rsidRPr="00CC70C2" w:rsidRDefault="00D5152C" w:rsidP="00954DFE">
      <w:pPr>
        <w:ind w:left="851"/>
        <w:rPr>
          <w:color w:val="000000"/>
          <w:sz w:val="24"/>
          <w:szCs w:val="24"/>
          <w:lang w:val="en-GB"/>
        </w:rPr>
      </w:pPr>
    </w:p>
    <w:p w14:paraId="47A7CDFD" w14:textId="77777777" w:rsidR="00D5152C" w:rsidRPr="00CC70C2" w:rsidRDefault="00D5152C" w:rsidP="00954DFE">
      <w:pPr>
        <w:ind w:left="851"/>
        <w:rPr>
          <w:color w:val="000000"/>
          <w:sz w:val="24"/>
          <w:szCs w:val="24"/>
          <w:u w:val="single"/>
          <w:lang w:val="en-GB"/>
        </w:rPr>
      </w:pPr>
      <w:r w:rsidRPr="00CC70C2">
        <w:rPr>
          <w:color w:val="000000"/>
          <w:sz w:val="24"/>
          <w:szCs w:val="24"/>
          <w:u w:val="single"/>
          <w:lang w:val="en-GB"/>
        </w:rPr>
        <w:t>Management of overdose</w:t>
      </w:r>
    </w:p>
    <w:p w14:paraId="0B963F13" w14:textId="77777777" w:rsidR="00D5152C" w:rsidRPr="00CC70C2" w:rsidRDefault="00D5152C" w:rsidP="00954DFE">
      <w:pPr>
        <w:ind w:left="851"/>
        <w:rPr>
          <w:color w:val="000000"/>
          <w:sz w:val="24"/>
          <w:szCs w:val="24"/>
          <w:lang w:val="en-GB"/>
        </w:rPr>
      </w:pPr>
      <w:r w:rsidRPr="00CC70C2">
        <w:rPr>
          <w:color w:val="000000"/>
          <w:sz w:val="24"/>
          <w:szCs w:val="24"/>
          <w:lang w:val="en-GB"/>
        </w:rPr>
        <w:t xml:space="preserve">There is no specific antidote to quetiapine. In cases of severe signs, the possibility of involvement of multiple medicinal products should be considered, and intensive care procedures are recommended, including establishing and maintaining a patent airway, ensuring adequate oxygenation and ventilation, and monitoring and support of the cardiovascular system. </w:t>
      </w:r>
    </w:p>
    <w:p w14:paraId="1DFE7F6A" w14:textId="77777777" w:rsidR="00D5152C" w:rsidRPr="00CC70C2" w:rsidRDefault="00D5152C" w:rsidP="00954DFE">
      <w:pPr>
        <w:ind w:left="851"/>
        <w:rPr>
          <w:color w:val="000000"/>
          <w:sz w:val="24"/>
          <w:szCs w:val="24"/>
          <w:lang w:val="en-GB"/>
        </w:rPr>
      </w:pPr>
    </w:p>
    <w:p w14:paraId="476AD23C" w14:textId="77777777" w:rsidR="00D5152C" w:rsidRPr="00CC70C2" w:rsidRDefault="00D5152C" w:rsidP="00954DFE">
      <w:pPr>
        <w:ind w:left="851"/>
        <w:rPr>
          <w:color w:val="000000"/>
          <w:sz w:val="24"/>
          <w:szCs w:val="24"/>
          <w:lang w:val="en-GB"/>
        </w:rPr>
      </w:pPr>
      <w:r w:rsidRPr="00CC70C2">
        <w:rPr>
          <w:color w:val="000000"/>
          <w:sz w:val="24"/>
          <w:szCs w:val="24"/>
          <w:lang w:val="en-GB"/>
        </w:rPr>
        <w:t>Based on public literature, patients with delirium and agitation and a clear anticholinergic syndrome may be treated with physostigmine, 1-2 mg (under continuous ECG monitoring). This is not recommended as standard treatment, because of potential negative effect of physostigmine on cardiac conductance. Physostigmine may be used if there are no ECG aberrations. Do not use physostigmine in case of dysrhythmias, any degree of heart block or QRS-widening.</w:t>
      </w:r>
    </w:p>
    <w:p w14:paraId="681021A2" w14:textId="77777777" w:rsidR="00D5152C" w:rsidRPr="00CC70C2" w:rsidRDefault="00D5152C" w:rsidP="00954DFE">
      <w:pPr>
        <w:ind w:left="851"/>
        <w:rPr>
          <w:color w:val="000000"/>
          <w:sz w:val="24"/>
          <w:szCs w:val="24"/>
          <w:lang w:val="en-GB"/>
        </w:rPr>
      </w:pPr>
    </w:p>
    <w:p w14:paraId="4DE73BE3" w14:textId="77777777" w:rsidR="00D5152C" w:rsidRPr="00CC70C2" w:rsidRDefault="00D5152C" w:rsidP="00954DFE">
      <w:pPr>
        <w:ind w:left="851"/>
        <w:rPr>
          <w:color w:val="000000"/>
          <w:sz w:val="24"/>
          <w:szCs w:val="24"/>
          <w:lang w:val="en-GB"/>
        </w:rPr>
      </w:pPr>
      <w:r w:rsidRPr="00CC70C2">
        <w:rPr>
          <w:color w:val="000000"/>
          <w:sz w:val="24"/>
          <w:szCs w:val="24"/>
          <w:lang w:val="en-GB"/>
        </w:rPr>
        <w:t>Whilst the prevention of absorption in overdose has not been investigated, gastric lavage can be indicated in severe poisonings and if possible to perform within one hour of ingestion. The administration of activated charcoal should be considered.</w:t>
      </w:r>
    </w:p>
    <w:p w14:paraId="3AF14CDB" w14:textId="77777777" w:rsidR="00D5152C" w:rsidRPr="00CC70C2" w:rsidRDefault="00D5152C" w:rsidP="00954DFE">
      <w:pPr>
        <w:ind w:left="851"/>
        <w:rPr>
          <w:color w:val="000000"/>
          <w:sz w:val="24"/>
          <w:szCs w:val="24"/>
          <w:lang w:val="en-GB"/>
        </w:rPr>
      </w:pPr>
    </w:p>
    <w:p w14:paraId="561E3BC8" w14:textId="77777777" w:rsidR="00D5152C" w:rsidRPr="00CC70C2" w:rsidRDefault="00D5152C" w:rsidP="00954DFE">
      <w:pPr>
        <w:ind w:left="851"/>
        <w:rPr>
          <w:color w:val="000000"/>
          <w:sz w:val="24"/>
          <w:szCs w:val="24"/>
          <w:lang w:val="en-GB"/>
        </w:rPr>
      </w:pPr>
      <w:r w:rsidRPr="00CC70C2">
        <w:rPr>
          <w:color w:val="000000"/>
          <w:sz w:val="24"/>
          <w:szCs w:val="24"/>
          <w:lang w:val="en-GB"/>
        </w:rPr>
        <w:t>In cases of quetiapine overdose, refractory hypotension should be treated with appropriate measures such as intravenous fluids and/or sympathomimetic agents. Epinephrine and dopamine should be avoided, since beta stimulation may worsen hypotension in the setting of quetiapine-induced alpha blockade.</w:t>
      </w:r>
    </w:p>
    <w:p w14:paraId="60E859C5" w14:textId="77777777" w:rsidR="00D5152C" w:rsidRPr="00CC70C2" w:rsidRDefault="00D5152C" w:rsidP="00954DFE">
      <w:pPr>
        <w:ind w:left="851"/>
        <w:rPr>
          <w:color w:val="000000"/>
          <w:sz w:val="24"/>
          <w:szCs w:val="24"/>
          <w:lang w:val="en-GB"/>
        </w:rPr>
      </w:pPr>
    </w:p>
    <w:p w14:paraId="4CC8CCE8" w14:textId="77777777" w:rsidR="00D5152C" w:rsidRPr="00CC70C2" w:rsidRDefault="00D5152C" w:rsidP="00954DFE">
      <w:pPr>
        <w:ind w:left="851"/>
        <w:rPr>
          <w:color w:val="000000"/>
          <w:sz w:val="24"/>
          <w:szCs w:val="24"/>
          <w:lang w:val="en-GB"/>
        </w:rPr>
      </w:pPr>
      <w:r w:rsidRPr="00CC70C2">
        <w:rPr>
          <w:color w:val="000000"/>
          <w:sz w:val="24"/>
          <w:szCs w:val="24"/>
          <w:lang w:val="en-GB"/>
        </w:rPr>
        <w:t>In case of overdose with prolonged-release quetiapine there is a delayed peak sedation and peak pulse and prolonged recovery compared with immediate-release quetiapine overdose.</w:t>
      </w:r>
    </w:p>
    <w:p w14:paraId="4E69C12A" w14:textId="77777777" w:rsidR="00D5152C" w:rsidRPr="00CC70C2" w:rsidRDefault="00D5152C" w:rsidP="00954DFE">
      <w:pPr>
        <w:ind w:left="851"/>
        <w:rPr>
          <w:color w:val="000000"/>
          <w:sz w:val="24"/>
          <w:szCs w:val="24"/>
          <w:lang w:val="en-GB"/>
        </w:rPr>
      </w:pPr>
    </w:p>
    <w:p w14:paraId="4A243CC7" w14:textId="77777777" w:rsidR="00D5152C" w:rsidRPr="00CC70C2" w:rsidRDefault="00D5152C" w:rsidP="00954DFE">
      <w:pPr>
        <w:pStyle w:val="Brdtekst"/>
        <w:ind w:left="851" w:right="213"/>
        <w:rPr>
          <w:color w:val="000000"/>
          <w:lang w:val="en-GB"/>
        </w:rPr>
      </w:pPr>
      <w:r w:rsidRPr="00CC70C2">
        <w:rPr>
          <w:color w:val="000000"/>
          <w:lang w:val="en-GB"/>
        </w:rPr>
        <w:t xml:space="preserve">In case of a quetiapine prolonged-release overdose gastric bezoar formation has been reported and appropriate diagnostic imaging is recommended to further guide patient management. </w:t>
      </w:r>
      <w:r w:rsidRPr="00CC70C2">
        <w:rPr>
          <w:lang w:val="en-GB"/>
        </w:rPr>
        <w:t xml:space="preserve">Routine gastric lavage may not be effective in the removal of the bezoar due to gum like sticky consistency of the mass. </w:t>
      </w:r>
      <w:r w:rsidRPr="00CC70C2">
        <w:rPr>
          <w:color w:val="000000"/>
          <w:lang w:val="en-GB"/>
        </w:rPr>
        <w:t xml:space="preserve">Endoscopic </w:t>
      </w:r>
      <w:proofErr w:type="spellStart"/>
      <w:r w:rsidRPr="00CC70C2">
        <w:rPr>
          <w:color w:val="000000"/>
          <w:lang w:val="en-GB"/>
        </w:rPr>
        <w:t>pharmacobezoar</w:t>
      </w:r>
      <w:proofErr w:type="spellEnd"/>
      <w:r w:rsidRPr="00CC70C2">
        <w:rPr>
          <w:color w:val="000000"/>
          <w:lang w:val="en-GB"/>
        </w:rPr>
        <w:t xml:space="preserve"> removal has been performed successfully in some cases. </w:t>
      </w:r>
    </w:p>
    <w:p w14:paraId="6B3C73EF" w14:textId="77777777" w:rsidR="00D5152C" w:rsidRPr="00CC70C2" w:rsidRDefault="00D5152C" w:rsidP="00954DFE">
      <w:pPr>
        <w:ind w:left="851"/>
        <w:rPr>
          <w:color w:val="000000"/>
          <w:sz w:val="24"/>
          <w:szCs w:val="24"/>
          <w:lang w:val="en-GB"/>
        </w:rPr>
      </w:pPr>
    </w:p>
    <w:p w14:paraId="09388945" w14:textId="77777777" w:rsidR="00D5152C" w:rsidRPr="00CC70C2" w:rsidRDefault="00D5152C" w:rsidP="00954DFE">
      <w:pPr>
        <w:ind w:left="851"/>
        <w:rPr>
          <w:color w:val="000000"/>
          <w:sz w:val="24"/>
          <w:szCs w:val="24"/>
          <w:lang w:val="en-GB"/>
        </w:rPr>
      </w:pPr>
      <w:r w:rsidRPr="00CC70C2">
        <w:rPr>
          <w:color w:val="000000"/>
          <w:sz w:val="24"/>
          <w:szCs w:val="24"/>
          <w:lang w:val="en-GB"/>
        </w:rPr>
        <w:t>Close medical supervision and monitoring should be continued until the patient recovers.</w:t>
      </w:r>
    </w:p>
    <w:p w14:paraId="1B02A838" w14:textId="77777777" w:rsidR="007C5D2A" w:rsidRPr="00CC70C2" w:rsidRDefault="007C5D2A" w:rsidP="003E0341">
      <w:pPr>
        <w:tabs>
          <w:tab w:val="left" w:pos="851"/>
        </w:tabs>
        <w:ind w:left="851"/>
        <w:rPr>
          <w:sz w:val="24"/>
          <w:szCs w:val="24"/>
          <w:lang w:val="en-GB"/>
        </w:rPr>
      </w:pPr>
    </w:p>
    <w:p w14:paraId="4FFC39E5" w14:textId="77777777" w:rsidR="008F2F8C" w:rsidRPr="00CC70C2" w:rsidRDefault="0042292D" w:rsidP="0042292D">
      <w:pPr>
        <w:tabs>
          <w:tab w:val="left" w:pos="851"/>
        </w:tabs>
        <w:rPr>
          <w:b/>
          <w:sz w:val="24"/>
          <w:szCs w:val="24"/>
          <w:lang w:val="en-GB"/>
        </w:rPr>
      </w:pPr>
      <w:r w:rsidRPr="00CC70C2">
        <w:rPr>
          <w:b/>
          <w:sz w:val="24"/>
          <w:szCs w:val="24"/>
          <w:lang w:val="en-GB"/>
        </w:rPr>
        <w:t>4.10</w:t>
      </w:r>
      <w:r w:rsidRPr="00CC70C2">
        <w:rPr>
          <w:b/>
          <w:sz w:val="24"/>
          <w:szCs w:val="24"/>
          <w:lang w:val="en-GB"/>
        </w:rPr>
        <w:tab/>
        <w:t>Legal status</w:t>
      </w:r>
    </w:p>
    <w:p w14:paraId="1A45DFF5" w14:textId="2714B847" w:rsidR="00AD2E36" w:rsidRPr="00CC70C2" w:rsidRDefault="00954DFE" w:rsidP="00AD2E36">
      <w:pPr>
        <w:tabs>
          <w:tab w:val="left" w:pos="851"/>
        </w:tabs>
        <w:ind w:left="851"/>
        <w:rPr>
          <w:sz w:val="24"/>
          <w:szCs w:val="24"/>
          <w:lang w:val="en-GB"/>
        </w:rPr>
      </w:pPr>
      <w:r w:rsidRPr="00CC70C2">
        <w:rPr>
          <w:sz w:val="24"/>
          <w:szCs w:val="24"/>
          <w:lang w:val="en-GB"/>
        </w:rPr>
        <w:t>B</w:t>
      </w:r>
    </w:p>
    <w:p w14:paraId="05AD84B6" w14:textId="77777777" w:rsidR="007C5D2A" w:rsidRPr="00CC70C2" w:rsidRDefault="007C5D2A" w:rsidP="003E0341">
      <w:pPr>
        <w:tabs>
          <w:tab w:val="left" w:pos="851"/>
        </w:tabs>
        <w:ind w:left="851"/>
        <w:rPr>
          <w:sz w:val="24"/>
          <w:szCs w:val="24"/>
          <w:lang w:val="en-GB"/>
        </w:rPr>
      </w:pPr>
    </w:p>
    <w:p w14:paraId="6CC8F143" w14:textId="77777777" w:rsidR="00AD2E36" w:rsidRPr="00CC70C2" w:rsidRDefault="00AD2E36" w:rsidP="003E0341">
      <w:pPr>
        <w:tabs>
          <w:tab w:val="left" w:pos="851"/>
        </w:tabs>
        <w:ind w:left="851"/>
        <w:rPr>
          <w:sz w:val="24"/>
          <w:szCs w:val="24"/>
          <w:lang w:val="en-GB"/>
        </w:rPr>
      </w:pPr>
    </w:p>
    <w:p w14:paraId="73DC8B8D" w14:textId="77777777" w:rsidR="007C5D2A" w:rsidRPr="00CC70C2" w:rsidRDefault="007C5D2A" w:rsidP="007C5D2A">
      <w:pPr>
        <w:tabs>
          <w:tab w:val="left" w:pos="851"/>
        </w:tabs>
        <w:rPr>
          <w:b/>
          <w:sz w:val="24"/>
          <w:szCs w:val="24"/>
          <w:lang w:val="en-GB"/>
        </w:rPr>
      </w:pPr>
      <w:r w:rsidRPr="00CC70C2">
        <w:rPr>
          <w:b/>
          <w:sz w:val="24"/>
          <w:szCs w:val="24"/>
          <w:lang w:val="en-GB"/>
        </w:rPr>
        <w:t>5.</w:t>
      </w:r>
      <w:r w:rsidRPr="00CC70C2">
        <w:rPr>
          <w:b/>
          <w:sz w:val="24"/>
          <w:szCs w:val="24"/>
          <w:lang w:val="en-GB"/>
        </w:rPr>
        <w:tab/>
        <w:t>PHARMACOLOGICAL PROPERTIES</w:t>
      </w:r>
    </w:p>
    <w:p w14:paraId="6EE295EF" w14:textId="77777777" w:rsidR="007C5D2A" w:rsidRPr="00CC70C2" w:rsidRDefault="007C5D2A" w:rsidP="003E0341">
      <w:pPr>
        <w:tabs>
          <w:tab w:val="left" w:pos="851"/>
        </w:tabs>
        <w:ind w:left="851"/>
        <w:rPr>
          <w:sz w:val="24"/>
          <w:szCs w:val="24"/>
          <w:lang w:val="en-GB"/>
        </w:rPr>
      </w:pPr>
    </w:p>
    <w:p w14:paraId="23A2151F" w14:textId="77777777" w:rsidR="007C5D2A" w:rsidRPr="00CC70C2" w:rsidRDefault="007C5D2A" w:rsidP="007C5D2A">
      <w:pPr>
        <w:tabs>
          <w:tab w:val="left" w:pos="851"/>
        </w:tabs>
        <w:ind w:left="851" w:hanging="851"/>
        <w:rPr>
          <w:b/>
          <w:sz w:val="24"/>
          <w:szCs w:val="24"/>
          <w:lang w:val="en-GB"/>
        </w:rPr>
      </w:pPr>
      <w:r w:rsidRPr="00CC70C2">
        <w:rPr>
          <w:b/>
          <w:sz w:val="24"/>
          <w:szCs w:val="24"/>
          <w:lang w:val="en-GB"/>
        </w:rPr>
        <w:t>5.1</w:t>
      </w:r>
      <w:r w:rsidRPr="00CC70C2">
        <w:rPr>
          <w:b/>
          <w:sz w:val="24"/>
          <w:szCs w:val="24"/>
          <w:lang w:val="en-GB"/>
        </w:rPr>
        <w:tab/>
        <w:t>Pharmacodynamic properties</w:t>
      </w:r>
      <w:r w:rsidRPr="00CC70C2">
        <w:rPr>
          <w:b/>
          <w:sz w:val="24"/>
          <w:szCs w:val="24"/>
          <w:lang w:val="en-GB"/>
        </w:rPr>
        <w:tab/>
      </w:r>
    </w:p>
    <w:p w14:paraId="1517EEF4" w14:textId="32F97F12" w:rsidR="005C0380" w:rsidRPr="00350C0E" w:rsidRDefault="005C0380" w:rsidP="00350C0E">
      <w:pPr>
        <w:ind w:left="851"/>
        <w:rPr>
          <w:color w:val="000000"/>
          <w:sz w:val="24"/>
          <w:szCs w:val="24"/>
          <w:lang w:val="en-US"/>
        </w:rPr>
      </w:pPr>
      <w:r w:rsidRPr="00350C0E">
        <w:rPr>
          <w:color w:val="000000"/>
          <w:sz w:val="24"/>
          <w:szCs w:val="24"/>
          <w:lang w:val="en-US"/>
        </w:rPr>
        <w:t xml:space="preserve">Pharmacotherapeutic group: Antipsychotics; Diazepines, </w:t>
      </w:r>
      <w:proofErr w:type="spellStart"/>
      <w:r w:rsidRPr="00350C0E">
        <w:rPr>
          <w:color w:val="000000"/>
          <w:sz w:val="24"/>
          <w:szCs w:val="24"/>
          <w:lang w:val="en-US"/>
        </w:rPr>
        <w:t>oxazepines</w:t>
      </w:r>
      <w:proofErr w:type="spellEnd"/>
      <w:r w:rsidRPr="00350C0E">
        <w:rPr>
          <w:color w:val="000000"/>
          <w:sz w:val="24"/>
          <w:szCs w:val="24"/>
          <w:lang w:val="en-US"/>
        </w:rPr>
        <w:t>, thiazepines and oxepines</w:t>
      </w:r>
      <w:r w:rsidR="00350C0E">
        <w:rPr>
          <w:color w:val="000000"/>
          <w:sz w:val="24"/>
          <w:szCs w:val="24"/>
          <w:lang w:val="en-US"/>
        </w:rPr>
        <w:t xml:space="preserve">, </w:t>
      </w:r>
      <w:r w:rsidRPr="00350C0E">
        <w:rPr>
          <w:color w:val="000000"/>
          <w:sz w:val="24"/>
          <w:szCs w:val="24"/>
          <w:lang w:val="en-US"/>
        </w:rPr>
        <w:t>ATC code: N05AH04</w:t>
      </w:r>
      <w:r w:rsidR="00350C0E">
        <w:rPr>
          <w:color w:val="000000"/>
          <w:sz w:val="24"/>
          <w:szCs w:val="24"/>
          <w:lang w:val="en-US"/>
        </w:rPr>
        <w:t>.</w:t>
      </w:r>
    </w:p>
    <w:p w14:paraId="706F0182" w14:textId="77777777" w:rsidR="00444B40" w:rsidRPr="00350C0E" w:rsidRDefault="00444B40" w:rsidP="00350C0E">
      <w:pPr>
        <w:ind w:left="851"/>
        <w:rPr>
          <w:sz w:val="24"/>
          <w:szCs w:val="24"/>
          <w:lang w:val="en-US"/>
        </w:rPr>
      </w:pPr>
    </w:p>
    <w:p w14:paraId="6ADC0D96" w14:textId="1006D03A" w:rsidR="00D5152C" w:rsidRPr="00CC70C2" w:rsidRDefault="00D5152C" w:rsidP="00954DFE">
      <w:pPr>
        <w:ind w:left="851"/>
        <w:rPr>
          <w:sz w:val="24"/>
          <w:szCs w:val="24"/>
          <w:u w:val="single"/>
          <w:lang w:val="en-GB"/>
        </w:rPr>
      </w:pPr>
      <w:r w:rsidRPr="00CC70C2">
        <w:rPr>
          <w:sz w:val="24"/>
          <w:szCs w:val="24"/>
          <w:u w:val="single"/>
          <w:lang w:val="en-GB"/>
        </w:rPr>
        <w:t>Mechanism of action</w:t>
      </w:r>
    </w:p>
    <w:p w14:paraId="170216B3" w14:textId="77777777" w:rsidR="00D5152C" w:rsidRPr="00CC70C2" w:rsidRDefault="00D5152C" w:rsidP="00954DFE">
      <w:pPr>
        <w:ind w:left="851"/>
        <w:rPr>
          <w:sz w:val="24"/>
          <w:szCs w:val="24"/>
          <w:lang w:val="en-GB"/>
        </w:rPr>
      </w:pPr>
      <w:r w:rsidRPr="00CC70C2">
        <w:rPr>
          <w:sz w:val="24"/>
          <w:szCs w:val="24"/>
          <w:lang w:val="en-GB"/>
        </w:rPr>
        <w:t xml:space="preserve">Quetiapine is an atypical antipsychotic agent. Quetiapine and the active human plasma metabolite, </w:t>
      </w:r>
      <w:proofErr w:type="spellStart"/>
      <w:r w:rsidRPr="00CC70C2">
        <w:rPr>
          <w:sz w:val="24"/>
          <w:szCs w:val="24"/>
          <w:lang w:val="en-GB"/>
        </w:rPr>
        <w:t>norquetiapine</w:t>
      </w:r>
      <w:proofErr w:type="spellEnd"/>
      <w:r w:rsidRPr="00CC70C2">
        <w:rPr>
          <w:sz w:val="24"/>
          <w:szCs w:val="24"/>
          <w:lang w:val="en-GB"/>
        </w:rPr>
        <w:t xml:space="preserve"> interact with a broad range of neurotransmitter receptors. Quetiapine and </w:t>
      </w:r>
      <w:proofErr w:type="spellStart"/>
      <w:r w:rsidRPr="00CC70C2">
        <w:rPr>
          <w:sz w:val="24"/>
          <w:szCs w:val="24"/>
          <w:lang w:val="en-GB"/>
        </w:rPr>
        <w:t>norquetiapine</w:t>
      </w:r>
      <w:proofErr w:type="spellEnd"/>
      <w:r w:rsidRPr="00CC70C2">
        <w:rPr>
          <w:sz w:val="24"/>
          <w:szCs w:val="24"/>
          <w:lang w:val="en-GB"/>
        </w:rPr>
        <w:t xml:space="preserve"> exhibit affinity for brain serotonin (5HT2) and dopamine D1- and D2- receptors. It is this combination of receptor antagonism with a higher selectivity for 5HT2 relative to D2- receptors, which is believed to contribute to the clinical antipsychotic properties and low extrapyramidal undesirable effect (EPS) liability of quetiapine compared to typical antipsychotics. Quetiapine and </w:t>
      </w:r>
      <w:proofErr w:type="spellStart"/>
      <w:r w:rsidRPr="00CC70C2">
        <w:rPr>
          <w:sz w:val="24"/>
          <w:szCs w:val="24"/>
          <w:lang w:val="en-GB"/>
        </w:rPr>
        <w:t>norquetiapine</w:t>
      </w:r>
      <w:proofErr w:type="spellEnd"/>
      <w:r w:rsidRPr="00CC70C2">
        <w:rPr>
          <w:sz w:val="24"/>
          <w:szCs w:val="24"/>
          <w:lang w:val="en-GB"/>
        </w:rPr>
        <w:t xml:space="preserve"> have no appreciable affinity at benzodiazepine receptors but high affinity at histaminergic and adrenergic α</w:t>
      </w:r>
      <w:r w:rsidRPr="00CC70C2">
        <w:rPr>
          <w:sz w:val="24"/>
          <w:szCs w:val="24"/>
          <w:vertAlign w:val="subscript"/>
          <w:lang w:val="en-GB"/>
        </w:rPr>
        <w:t>1</w:t>
      </w:r>
      <w:r w:rsidRPr="00CC70C2">
        <w:rPr>
          <w:sz w:val="24"/>
          <w:szCs w:val="24"/>
          <w:lang w:val="en-GB"/>
        </w:rPr>
        <w:t>- receptors and moderate affinity at adrenergic α</w:t>
      </w:r>
      <w:r w:rsidRPr="00CC70C2">
        <w:rPr>
          <w:sz w:val="24"/>
          <w:szCs w:val="24"/>
          <w:vertAlign w:val="subscript"/>
          <w:lang w:val="en-GB"/>
        </w:rPr>
        <w:t xml:space="preserve">2 </w:t>
      </w:r>
      <w:r w:rsidRPr="00CC70C2">
        <w:rPr>
          <w:sz w:val="24"/>
          <w:szCs w:val="24"/>
          <w:lang w:val="en-GB"/>
        </w:rPr>
        <w:t xml:space="preserve">receptors. Quetiapine also has low or no affinity for muscarinic receptors, while </w:t>
      </w:r>
      <w:proofErr w:type="spellStart"/>
      <w:r w:rsidRPr="00CC70C2">
        <w:rPr>
          <w:sz w:val="24"/>
          <w:szCs w:val="24"/>
          <w:lang w:val="en-GB"/>
        </w:rPr>
        <w:t>norquetiapine</w:t>
      </w:r>
      <w:proofErr w:type="spellEnd"/>
      <w:r w:rsidRPr="00CC70C2">
        <w:rPr>
          <w:sz w:val="24"/>
          <w:szCs w:val="24"/>
          <w:lang w:val="en-GB"/>
        </w:rPr>
        <w:t xml:space="preserve"> has moderate to high affinity at several muscarinic receptors, which may explain anticholinergic (muscarinic) effects. Inhibition of NET and partial agonist action at 5HT1A sites by </w:t>
      </w:r>
      <w:proofErr w:type="spellStart"/>
      <w:r w:rsidRPr="00CC70C2">
        <w:rPr>
          <w:sz w:val="24"/>
          <w:szCs w:val="24"/>
          <w:lang w:val="en-GB"/>
        </w:rPr>
        <w:t>norquetiapine</w:t>
      </w:r>
      <w:proofErr w:type="spellEnd"/>
      <w:r w:rsidRPr="00CC70C2">
        <w:rPr>
          <w:sz w:val="24"/>
          <w:szCs w:val="24"/>
          <w:lang w:val="en-GB"/>
        </w:rPr>
        <w:t xml:space="preserve"> may contribute to quetiapine’s therapeutic efficacy as an antidepressant.</w:t>
      </w:r>
    </w:p>
    <w:p w14:paraId="462D9763" w14:textId="77777777" w:rsidR="00D5152C" w:rsidRPr="00CC70C2" w:rsidRDefault="00D5152C" w:rsidP="00954DFE">
      <w:pPr>
        <w:ind w:left="851"/>
        <w:rPr>
          <w:sz w:val="24"/>
          <w:szCs w:val="24"/>
          <w:lang w:val="en-GB"/>
        </w:rPr>
      </w:pPr>
    </w:p>
    <w:p w14:paraId="5E1579F2" w14:textId="77777777" w:rsidR="00D5152C" w:rsidRPr="00CC70C2" w:rsidRDefault="00D5152C" w:rsidP="00954DFE">
      <w:pPr>
        <w:ind w:left="851"/>
        <w:rPr>
          <w:sz w:val="24"/>
          <w:szCs w:val="24"/>
          <w:u w:val="single"/>
          <w:lang w:val="en-GB"/>
        </w:rPr>
      </w:pPr>
      <w:r w:rsidRPr="00CC70C2">
        <w:rPr>
          <w:sz w:val="24"/>
          <w:szCs w:val="24"/>
          <w:u w:val="single"/>
          <w:lang w:val="en-GB"/>
        </w:rPr>
        <w:t>Pharmacodynamic effects</w:t>
      </w:r>
    </w:p>
    <w:p w14:paraId="78F40F9A" w14:textId="77777777" w:rsidR="00D5152C" w:rsidRPr="00CC70C2" w:rsidRDefault="00D5152C" w:rsidP="00954DFE">
      <w:pPr>
        <w:ind w:left="851"/>
        <w:rPr>
          <w:sz w:val="24"/>
          <w:szCs w:val="24"/>
          <w:lang w:val="en-GB"/>
        </w:rPr>
      </w:pPr>
      <w:r w:rsidRPr="00CC70C2">
        <w:rPr>
          <w:sz w:val="24"/>
          <w:szCs w:val="24"/>
          <w:lang w:val="en-GB"/>
        </w:rPr>
        <w:t xml:space="preserve">Quetiapine is active in tests for antipsychotic activity, such as conditioned avoidance. It also blocks the action of dopamine agonists, measured either behaviourally or </w:t>
      </w:r>
      <w:proofErr w:type="spellStart"/>
      <w:r w:rsidRPr="00CC70C2">
        <w:rPr>
          <w:sz w:val="24"/>
          <w:szCs w:val="24"/>
          <w:lang w:val="en-GB"/>
        </w:rPr>
        <w:t>electrophysiologically</w:t>
      </w:r>
      <w:proofErr w:type="spellEnd"/>
      <w:r w:rsidRPr="00CC70C2">
        <w:rPr>
          <w:sz w:val="24"/>
          <w:szCs w:val="24"/>
          <w:lang w:val="en-GB"/>
        </w:rPr>
        <w:t>, and elevates dopamine metabolite concentrations, a neurochemical index of D2-receptor blockade.</w:t>
      </w:r>
    </w:p>
    <w:p w14:paraId="46078D37" w14:textId="77777777" w:rsidR="00D5152C" w:rsidRPr="00CC70C2" w:rsidRDefault="00D5152C" w:rsidP="00954DFE">
      <w:pPr>
        <w:ind w:left="851"/>
        <w:rPr>
          <w:sz w:val="24"/>
          <w:szCs w:val="24"/>
          <w:lang w:val="en-GB"/>
        </w:rPr>
      </w:pPr>
      <w:r w:rsidRPr="00CC70C2">
        <w:rPr>
          <w:sz w:val="24"/>
          <w:szCs w:val="24"/>
          <w:lang w:val="en-GB"/>
        </w:rPr>
        <w:t xml:space="preserve">In pre-clinical tests predictive of EPS, quetiapine is unlike typical antipsychotics and has an atypical profile. Quetiapine does not produce dopamine D2-receptor </w:t>
      </w:r>
      <w:proofErr w:type="spellStart"/>
      <w:r w:rsidRPr="00CC70C2">
        <w:rPr>
          <w:sz w:val="24"/>
          <w:szCs w:val="24"/>
          <w:lang w:val="en-GB"/>
        </w:rPr>
        <w:t>supersensitivity</w:t>
      </w:r>
      <w:proofErr w:type="spellEnd"/>
      <w:r w:rsidRPr="00CC70C2">
        <w:rPr>
          <w:sz w:val="24"/>
          <w:szCs w:val="24"/>
          <w:lang w:val="en-GB"/>
        </w:rPr>
        <w:t xml:space="preserve"> after chronic administration. Quetiapine produces only weak catalepsy at effective dopamine D2-receptor blocking doses. Quetiapine demonstrates selectivity for the limbic system by producing depolarisation blockade of the mesolimbic but not the nigrostriatal dopamine-containing neurones following chronic administration. Quetiapine exhibits minimal dystonic liability in haloperidol-sensitised or drug-naive </w:t>
      </w:r>
      <w:proofErr w:type="spellStart"/>
      <w:r w:rsidRPr="00CC70C2">
        <w:rPr>
          <w:sz w:val="24"/>
          <w:szCs w:val="24"/>
          <w:lang w:val="en-GB"/>
        </w:rPr>
        <w:t>Cebus</w:t>
      </w:r>
      <w:proofErr w:type="spellEnd"/>
      <w:r w:rsidRPr="00CC70C2">
        <w:rPr>
          <w:sz w:val="24"/>
          <w:szCs w:val="24"/>
          <w:lang w:val="en-GB"/>
        </w:rPr>
        <w:t xml:space="preserve"> monkeys after acute and chronic administration (see section 4.8).</w:t>
      </w:r>
    </w:p>
    <w:p w14:paraId="2AC16401" w14:textId="77777777" w:rsidR="00D5152C" w:rsidRPr="00CC70C2" w:rsidRDefault="00D5152C" w:rsidP="00954DFE">
      <w:pPr>
        <w:ind w:left="851"/>
        <w:rPr>
          <w:sz w:val="24"/>
          <w:szCs w:val="24"/>
          <w:lang w:val="en-GB"/>
        </w:rPr>
      </w:pPr>
    </w:p>
    <w:p w14:paraId="582638DA" w14:textId="77777777" w:rsidR="00D5152C" w:rsidRPr="00CC70C2" w:rsidRDefault="00D5152C" w:rsidP="00954DFE">
      <w:pPr>
        <w:ind w:left="851"/>
        <w:rPr>
          <w:sz w:val="24"/>
          <w:szCs w:val="24"/>
          <w:u w:val="single"/>
          <w:lang w:val="en-GB"/>
        </w:rPr>
      </w:pPr>
      <w:r w:rsidRPr="00CC70C2">
        <w:rPr>
          <w:sz w:val="24"/>
          <w:szCs w:val="24"/>
          <w:u w:val="single"/>
          <w:lang w:val="en-GB"/>
        </w:rPr>
        <w:t>Clinical efficacy</w:t>
      </w:r>
    </w:p>
    <w:p w14:paraId="4D5FEFC4" w14:textId="77777777" w:rsidR="00D5152C" w:rsidRPr="00CC70C2" w:rsidRDefault="00D5152C" w:rsidP="00954DFE">
      <w:pPr>
        <w:ind w:left="851"/>
        <w:rPr>
          <w:i/>
          <w:sz w:val="24"/>
          <w:szCs w:val="24"/>
          <w:lang w:val="en-GB"/>
        </w:rPr>
      </w:pPr>
      <w:r w:rsidRPr="00CC70C2">
        <w:rPr>
          <w:i/>
          <w:sz w:val="24"/>
          <w:szCs w:val="24"/>
          <w:lang w:val="en-GB"/>
        </w:rPr>
        <w:t>Schizophrenia</w:t>
      </w:r>
    </w:p>
    <w:p w14:paraId="747E139B" w14:textId="77777777" w:rsidR="00D5152C" w:rsidRPr="00CC70C2" w:rsidRDefault="00D5152C" w:rsidP="00954DFE">
      <w:pPr>
        <w:ind w:left="851"/>
        <w:rPr>
          <w:sz w:val="24"/>
          <w:szCs w:val="24"/>
          <w:lang w:val="en-GB"/>
        </w:rPr>
      </w:pPr>
      <w:r w:rsidRPr="00CC70C2">
        <w:rPr>
          <w:sz w:val="24"/>
          <w:szCs w:val="24"/>
          <w:lang w:val="en-GB"/>
        </w:rPr>
        <w:t>The efficacy of quetiapine prolonged release in the treatment of schizophrenia was demonstrated in one 6-week placebo-controlled trial in patients who met DSM-IV criteria for schizophrenia, and one active-controlled quetiapine immediate release-to- quetiapine prolonged release switching study in clinically stable outpatients with schizophrenia.</w:t>
      </w:r>
    </w:p>
    <w:p w14:paraId="23C3269C" w14:textId="391B604D" w:rsidR="00D5152C" w:rsidRPr="00CC70C2" w:rsidRDefault="00D5152C" w:rsidP="00954DFE">
      <w:pPr>
        <w:ind w:left="851"/>
        <w:rPr>
          <w:sz w:val="24"/>
          <w:szCs w:val="24"/>
          <w:lang w:val="en-GB"/>
        </w:rPr>
      </w:pPr>
      <w:r w:rsidRPr="00CC70C2">
        <w:rPr>
          <w:sz w:val="24"/>
          <w:szCs w:val="24"/>
          <w:lang w:val="en-GB"/>
        </w:rPr>
        <w:t xml:space="preserve">The primary outcome variable in the placebo-controlled trial was change from baseline to final assessment in the PANSS total score. Quetiapine prolonged release 400 mg/day, 600 mg/day and 800 mg/day were associated with statistically significant improvements in psychotic symptoms compared to placebo. The effect size of the 600 mg and 800 mg doses was greater than that of the 400 mg dose. In the </w:t>
      </w:r>
      <w:proofErr w:type="gramStart"/>
      <w:r w:rsidRPr="00CC70C2">
        <w:rPr>
          <w:sz w:val="24"/>
          <w:szCs w:val="24"/>
          <w:lang w:val="en-GB"/>
        </w:rPr>
        <w:t>6 week</w:t>
      </w:r>
      <w:proofErr w:type="gramEnd"/>
      <w:r w:rsidRPr="00CC70C2">
        <w:rPr>
          <w:sz w:val="24"/>
          <w:szCs w:val="24"/>
          <w:lang w:val="en-GB"/>
        </w:rPr>
        <w:t xml:space="preserve"> active-controlled switching study the primary outcome variable was the proportion of patients who showed lack of efficacy, </w:t>
      </w:r>
      <w:proofErr w:type="spellStart"/>
      <w:r w:rsidRPr="00CC70C2">
        <w:rPr>
          <w:sz w:val="24"/>
          <w:szCs w:val="24"/>
          <w:lang w:val="en-GB"/>
        </w:rPr>
        <w:t>ie</w:t>
      </w:r>
      <w:proofErr w:type="spellEnd"/>
      <w:r w:rsidRPr="00CC70C2">
        <w:rPr>
          <w:sz w:val="24"/>
          <w:szCs w:val="24"/>
          <w:lang w:val="en-GB"/>
        </w:rPr>
        <w:t>, who discontinued study treatment due to lack of efficacy or whose PANSS total score increased 20</w:t>
      </w:r>
      <w:r w:rsidR="00F96C97">
        <w:rPr>
          <w:sz w:val="24"/>
          <w:szCs w:val="24"/>
          <w:lang w:val="en-GB"/>
        </w:rPr>
        <w:t xml:space="preserve"> %</w:t>
      </w:r>
      <w:r w:rsidRPr="00CC70C2">
        <w:rPr>
          <w:sz w:val="24"/>
          <w:szCs w:val="24"/>
          <w:lang w:val="en-GB"/>
        </w:rPr>
        <w:t xml:space="preserve"> or more from randomization to any visit. In patients stabilised on quetiapine immediate release 400 mg to 800 mg, efficacy was maintained when patients were switched to an equivalent daily dose of quetiapine prolonged release given once daily.</w:t>
      </w:r>
    </w:p>
    <w:p w14:paraId="10ACE78C" w14:textId="77777777" w:rsidR="00D5152C" w:rsidRPr="00CC70C2" w:rsidRDefault="00D5152C" w:rsidP="00954DFE">
      <w:pPr>
        <w:ind w:left="851"/>
        <w:rPr>
          <w:sz w:val="24"/>
          <w:szCs w:val="24"/>
          <w:lang w:val="en-GB"/>
        </w:rPr>
      </w:pPr>
    </w:p>
    <w:p w14:paraId="543B942A" w14:textId="03CDED78" w:rsidR="00D5152C" w:rsidRPr="00CC70C2" w:rsidRDefault="00D5152C" w:rsidP="00954DFE">
      <w:pPr>
        <w:ind w:left="851"/>
        <w:rPr>
          <w:sz w:val="24"/>
          <w:szCs w:val="24"/>
          <w:lang w:val="en-GB"/>
        </w:rPr>
      </w:pPr>
      <w:r w:rsidRPr="00CC70C2">
        <w:rPr>
          <w:sz w:val="24"/>
          <w:szCs w:val="24"/>
          <w:lang w:val="en-GB"/>
        </w:rPr>
        <w:t xml:space="preserve">In a long-term study in stable schizophrenic patients who had been maintained on quetiapine prolonged release for 16 weeks, quetiapine prolonged release was more effective than placebo in preventing relapse. The estimated risks of relapse after 6 months treatments </w:t>
      </w:r>
      <w:proofErr w:type="gramStart"/>
      <w:r w:rsidRPr="00CC70C2">
        <w:rPr>
          <w:sz w:val="24"/>
          <w:szCs w:val="24"/>
          <w:lang w:val="en-GB"/>
        </w:rPr>
        <w:t>was</w:t>
      </w:r>
      <w:proofErr w:type="gramEnd"/>
      <w:r w:rsidRPr="00CC70C2">
        <w:rPr>
          <w:sz w:val="24"/>
          <w:szCs w:val="24"/>
          <w:lang w:val="en-GB"/>
        </w:rPr>
        <w:t xml:space="preserve"> 14.3</w:t>
      </w:r>
      <w:r w:rsidR="00F96C97">
        <w:rPr>
          <w:sz w:val="24"/>
          <w:szCs w:val="24"/>
          <w:lang w:val="en-GB"/>
        </w:rPr>
        <w:t xml:space="preserve"> %</w:t>
      </w:r>
      <w:r w:rsidRPr="00CC70C2">
        <w:rPr>
          <w:sz w:val="24"/>
          <w:szCs w:val="24"/>
          <w:lang w:val="en-GB"/>
        </w:rPr>
        <w:t xml:space="preserve"> for the quetiapine prolonged release treatment group compared to 68.2</w:t>
      </w:r>
      <w:r w:rsidR="00F96C97">
        <w:rPr>
          <w:sz w:val="24"/>
          <w:szCs w:val="24"/>
          <w:lang w:val="en-GB"/>
        </w:rPr>
        <w:t xml:space="preserve"> %</w:t>
      </w:r>
      <w:r w:rsidRPr="00CC70C2">
        <w:rPr>
          <w:sz w:val="24"/>
          <w:szCs w:val="24"/>
          <w:lang w:val="en-GB"/>
        </w:rPr>
        <w:t xml:space="preserve"> for placebo. The average dose was 669 mg. There were no additional safety findings associated with treatment with quetiapine prolonged release for up to 9 months (median 7 months). In particular, reports of adverse events related to EPS and weight gain did not increase with longer-term treatment with quetiapine prolonged release.</w:t>
      </w:r>
    </w:p>
    <w:p w14:paraId="0CAFF2D7" w14:textId="77777777" w:rsidR="00D5152C" w:rsidRPr="00CC70C2" w:rsidRDefault="00D5152C" w:rsidP="00954DFE">
      <w:pPr>
        <w:ind w:left="851"/>
        <w:rPr>
          <w:sz w:val="24"/>
          <w:szCs w:val="24"/>
          <w:lang w:val="en-GB"/>
        </w:rPr>
      </w:pPr>
    </w:p>
    <w:p w14:paraId="5503E4F1" w14:textId="77777777" w:rsidR="00D5152C" w:rsidRPr="00CC70C2" w:rsidRDefault="00D5152C" w:rsidP="00954DFE">
      <w:pPr>
        <w:ind w:left="851"/>
        <w:rPr>
          <w:i/>
          <w:sz w:val="24"/>
          <w:szCs w:val="24"/>
          <w:lang w:val="en-GB"/>
        </w:rPr>
      </w:pPr>
      <w:r w:rsidRPr="00CC70C2">
        <w:rPr>
          <w:i/>
          <w:sz w:val="24"/>
          <w:szCs w:val="24"/>
          <w:lang w:val="en-GB"/>
        </w:rPr>
        <w:t>Bipolar disorder</w:t>
      </w:r>
    </w:p>
    <w:p w14:paraId="1172CC4B" w14:textId="77777777" w:rsidR="00D5152C" w:rsidRPr="00CC70C2" w:rsidRDefault="00D5152C" w:rsidP="00954DFE">
      <w:pPr>
        <w:ind w:left="851"/>
        <w:rPr>
          <w:sz w:val="24"/>
          <w:szCs w:val="24"/>
          <w:lang w:val="en-GB"/>
        </w:rPr>
      </w:pPr>
      <w:r w:rsidRPr="00CC70C2">
        <w:rPr>
          <w:sz w:val="24"/>
          <w:szCs w:val="24"/>
          <w:lang w:val="en-GB"/>
        </w:rPr>
        <w:t xml:space="preserve">In the treatment of moderate to severe manic episodes, quetiapine demonstrated superior efficacy to placebo in reduction of manic symptoms at 3 and 12 weeks, in two monotherapy trials. The efficacy of quetiapine prolonged release was further demonstrated with significance versus placebo in an additional </w:t>
      </w:r>
      <w:proofErr w:type="gramStart"/>
      <w:r w:rsidRPr="00CC70C2">
        <w:rPr>
          <w:sz w:val="24"/>
          <w:szCs w:val="24"/>
          <w:lang w:val="en-GB"/>
        </w:rPr>
        <w:t>3 week</w:t>
      </w:r>
      <w:proofErr w:type="gramEnd"/>
      <w:r w:rsidRPr="00CC70C2">
        <w:rPr>
          <w:sz w:val="24"/>
          <w:szCs w:val="24"/>
          <w:lang w:val="en-GB"/>
        </w:rPr>
        <w:t xml:space="preserve"> study. Quetiapine prolonged release was dosed in the range of 400 to 800 mg/day and the mean dose was approximately 600 mg/day. Quetiapine data in combination with divalproex or lithium in acute moderate to severe manic episodes at 3 and 6 weeks is limited; however, combination therapy was well tolerated. The data showed an additive effect at week 3. A second study did not demonstrate an additive effect at week 6.</w:t>
      </w:r>
    </w:p>
    <w:p w14:paraId="7C140B72" w14:textId="77777777" w:rsidR="00D5152C" w:rsidRPr="00CC70C2" w:rsidRDefault="00D5152C" w:rsidP="00954DFE">
      <w:pPr>
        <w:ind w:left="851"/>
        <w:rPr>
          <w:sz w:val="24"/>
          <w:szCs w:val="24"/>
          <w:lang w:val="en-GB"/>
        </w:rPr>
      </w:pPr>
    </w:p>
    <w:p w14:paraId="28080914" w14:textId="77777777" w:rsidR="00D5152C" w:rsidRPr="00CC70C2" w:rsidRDefault="00D5152C" w:rsidP="00954DFE">
      <w:pPr>
        <w:ind w:left="851"/>
        <w:rPr>
          <w:sz w:val="24"/>
          <w:szCs w:val="24"/>
          <w:lang w:val="en-GB"/>
        </w:rPr>
      </w:pPr>
      <w:r w:rsidRPr="00CC70C2">
        <w:rPr>
          <w:sz w:val="24"/>
          <w:szCs w:val="24"/>
          <w:lang w:val="en-GB"/>
        </w:rPr>
        <w:t>In a clinical trial, in patients with depressive episodes in bipolar I or bipolar II disorder, 300 mg/day quetiapine prolonged release showed superior efficacy to placebo in reduction of MADRS total score.</w:t>
      </w:r>
    </w:p>
    <w:p w14:paraId="5751170F" w14:textId="77777777" w:rsidR="00D5152C" w:rsidRPr="00CC70C2" w:rsidRDefault="00D5152C" w:rsidP="00954DFE">
      <w:pPr>
        <w:ind w:left="851"/>
        <w:rPr>
          <w:sz w:val="24"/>
          <w:szCs w:val="24"/>
          <w:lang w:val="en-GB"/>
        </w:rPr>
      </w:pPr>
    </w:p>
    <w:p w14:paraId="5CEE8FA3" w14:textId="5A7290BC" w:rsidR="00D5152C" w:rsidRPr="00CC70C2" w:rsidRDefault="00D5152C" w:rsidP="00954DFE">
      <w:pPr>
        <w:ind w:left="851"/>
        <w:rPr>
          <w:sz w:val="24"/>
          <w:szCs w:val="24"/>
          <w:lang w:val="en-GB"/>
        </w:rPr>
      </w:pPr>
      <w:r w:rsidRPr="00CC70C2">
        <w:rPr>
          <w:sz w:val="24"/>
          <w:szCs w:val="24"/>
          <w:lang w:val="en-GB"/>
        </w:rPr>
        <w:t>In 4 additional clinical trials with quetiapine, with a duration of 8 weeks in patients with moderate to severe depressive episodes in bipolar I or bipolar II disorder, quetiapine immediate release 300 mg and 600 mg was significantly superior to placebo treated patients for the relevant outcome measures: mean improvement on the MADRS and for response defined as at least a 50</w:t>
      </w:r>
      <w:r w:rsidR="00F96C97">
        <w:rPr>
          <w:sz w:val="24"/>
          <w:szCs w:val="24"/>
          <w:lang w:val="en-GB"/>
        </w:rPr>
        <w:t xml:space="preserve"> %</w:t>
      </w:r>
      <w:r w:rsidRPr="00CC70C2">
        <w:rPr>
          <w:sz w:val="24"/>
          <w:szCs w:val="24"/>
          <w:lang w:val="en-GB"/>
        </w:rPr>
        <w:t xml:space="preserve"> improvement in MADRS total score from baseline. There was no difference in magnitude of effect between the patients who received 300 mg quetiapine immediate release and those who received 600 mg dose.</w:t>
      </w:r>
    </w:p>
    <w:p w14:paraId="47093D5A" w14:textId="77777777" w:rsidR="00D5152C" w:rsidRPr="00CC70C2" w:rsidRDefault="00D5152C" w:rsidP="00954DFE">
      <w:pPr>
        <w:ind w:left="851"/>
        <w:rPr>
          <w:sz w:val="24"/>
          <w:szCs w:val="24"/>
          <w:lang w:val="en-GB"/>
        </w:rPr>
      </w:pPr>
    </w:p>
    <w:p w14:paraId="48837711" w14:textId="77777777" w:rsidR="00D5152C" w:rsidRPr="00CC70C2" w:rsidRDefault="00D5152C" w:rsidP="00954DFE">
      <w:pPr>
        <w:ind w:left="851"/>
        <w:rPr>
          <w:sz w:val="24"/>
          <w:szCs w:val="24"/>
          <w:lang w:val="en-GB"/>
        </w:rPr>
      </w:pPr>
      <w:r w:rsidRPr="00CC70C2">
        <w:rPr>
          <w:sz w:val="24"/>
          <w:szCs w:val="24"/>
          <w:lang w:val="en-GB"/>
        </w:rPr>
        <w:t>In the continuation phase in two of these studies, it was demonstrated that long-term treatment, of patients who responded on quetiapine immediate release 300 or 600 mg, was efficacious compared to placebo treatment with respect to depressive symptoms, but not with regard to manic symptoms.</w:t>
      </w:r>
    </w:p>
    <w:p w14:paraId="767BAB0D" w14:textId="77777777" w:rsidR="00D5152C" w:rsidRPr="00CC70C2" w:rsidRDefault="00D5152C" w:rsidP="00954DFE">
      <w:pPr>
        <w:ind w:left="851"/>
        <w:rPr>
          <w:sz w:val="24"/>
          <w:szCs w:val="24"/>
          <w:lang w:val="en-GB"/>
        </w:rPr>
      </w:pPr>
    </w:p>
    <w:p w14:paraId="015E16CD" w14:textId="77777777" w:rsidR="00D5152C" w:rsidRPr="00CC70C2" w:rsidRDefault="00D5152C" w:rsidP="00954DFE">
      <w:pPr>
        <w:ind w:left="851"/>
        <w:rPr>
          <w:sz w:val="24"/>
          <w:szCs w:val="24"/>
          <w:lang w:val="en-GB"/>
        </w:rPr>
      </w:pPr>
      <w:r w:rsidRPr="00CC70C2">
        <w:rPr>
          <w:sz w:val="24"/>
          <w:szCs w:val="24"/>
          <w:lang w:val="en-GB"/>
        </w:rPr>
        <w:t>In two recurrence prevention studies evaluating quetiapine in combination with mood stabilizers, in patients with manic, depressed or mixed mood episodes, the combination with quetiapine was superior to mood stabilizers monotherapy in increasing the time to recurrence of any mood event (manic, mixed or depressed). Quetiapine was administered twice-daily totalling 400 mg to 800 mg a day as combination therapy to lithium or valproate.</w:t>
      </w:r>
    </w:p>
    <w:p w14:paraId="119D5A5E" w14:textId="77777777" w:rsidR="00D5152C" w:rsidRPr="00CC70C2" w:rsidRDefault="00D5152C" w:rsidP="00954DFE">
      <w:pPr>
        <w:ind w:left="851"/>
        <w:rPr>
          <w:sz w:val="24"/>
          <w:szCs w:val="24"/>
          <w:lang w:val="en-GB"/>
        </w:rPr>
      </w:pPr>
    </w:p>
    <w:p w14:paraId="5CA07BD9" w14:textId="2354D7C7" w:rsidR="00D5152C" w:rsidRPr="00CC70C2" w:rsidRDefault="00D5152C" w:rsidP="00954DFE">
      <w:pPr>
        <w:ind w:left="851"/>
        <w:rPr>
          <w:sz w:val="24"/>
          <w:szCs w:val="24"/>
          <w:lang w:val="en-GB"/>
        </w:rPr>
      </w:pPr>
      <w:r w:rsidRPr="00CC70C2">
        <w:rPr>
          <w:sz w:val="24"/>
          <w:szCs w:val="24"/>
          <w:lang w:val="en-GB"/>
        </w:rPr>
        <w:t>In a 6-week, randomised, study of lithium and quetiapine prolonged release versus placebo and quetiapine prolonged release in adult patients with acute mania, the difference in YMRS mean improvement between the lithium add-on group and the placebo add-on group was 2.8 points and the difference in</w:t>
      </w:r>
      <w:r w:rsidR="00F96C97">
        <w:rPr>
          <w:sz w:val="24"/>
          <w:szCs w:val="24"/>
          <w:lang w:val="en-GB"/>
        </w:rPr>
        <w:t xml:space="preserve"> %</w:t>
      </w:r>
      <w:r w:rsidRPr="00CC70C2">
        <w:rPr>
          <w:sz w:val="24"/>
          <w:szCs w:val="24"/>
          <w:lang w:val="en-GB"/>
        </w:rPr>
        <w:t xml:space="preserve"> responders (defined as 50</w:t>
      </w:r>
      <w:r w:rsidR="00F96C97">
        <w:rPr>
          <w:sz w:val="24"/>
          <w:szCs w:val="24"/>
          <w:lang w:val="en-GB"/>
        </w:rPr>
        <w:t xml:space="preserve"> %</w:t>
      </w:r>
      <w:r w:rsidRPr="00CC70C2">
        <w:rPr>
          <w:sz w:val="24"/>
          <w:szCs w:val="24"/>
          <w:lang w:val="en-GB"/>
        </w:rPr>
        <w:t xml:space="preserve"> improvement from baseline on the YMRS) was 11</w:t>
      </w:r>
      <w:r w:rsidR="00F96C97">
        <w:rPr>
          <w:sz w:val="24"/>
          <w:szCs w:val="24"/>
          <w:lang w:val="en-GB"/>
        </w:rPr>
        <w:t xml:space="preserve"> %</w:t>
      </w:r>
      <w:r w:rsidRPr="00CC70C2">
        <w:rPr>
          <w:sz w:val="24"/>
          <w:szCs w:val="24"/>
          <w:lang w:val="en-GB"/>
        </w:rPr>
        <w:t xml:space="preserve"> (79</w:t>
      </w:r>
      <w:r w:rsidR="00F96C97">
        <w:rPr>
          <w:sz w:val="24"/>
          <w:szCs w:val="24"/>
          <w:lang w:val="en-GB"/>
        </w:rPr>
        <w:t xml:space="preserve"> %</w:t>
      </w:r>
      <w:r w:rsidRPr="00CC70C2">
        <w:rPr>
          <w:sz w:val="24"/>
          <w:szCs w:val="24"/>
          <w:lang w:val="en-GB"/>
        </w:rPr>
        <w:t xml:space="preserve"> in the lithium add-on group vs. 68</w:t>
      </w:r>
      <w:r w:rsidR="00F96C97">
        <w:rPr>
          <w:sz w:val="24"/>
          <w:szCs w:val="24"/>
          <w:lang w:val="en-GB"/>
        </w:rPr>
        <w:t xml:space="preserve"> %</w:t>
      </w:r>
      <w:r w:rsidRPr="00CC70C2">
        <w:rPr>
          <w:sz w:val="24"/>
          <w:szCs w:val="24"/>
          <w:lang w:val="en-GB"/>
        </w:rPr>
        <w:t xml:space="preserve"> in the placebo add-on group).</w:t>
      </w:r>
    </w:p>
    <w:p w14:paraId="13BC25EA" w14:textId="77777777" w:rsidR="00D5152C" w:rsidRPr="00CC70C2" w:rsidRDefault="00D5152C" w:rsidP="00954DFE">
      <w:pPr>
        <w:ind w:left="851"/>
        <w:rPr>
          <w:sz w:val="24"/>
          <w:szCs w:val="24"/>
          <w:lang w:val="en-GB"/>
        </w:rPr>
      </w:pPr>
    </w:p>
    <w:p w14:paraId="3407375C" w14:textId="787C5212" w:rsidR="00D5152C" w:rsidRPr="00CC70C2" w:rsidRDefault="00D5152C" w:rsidP="00954DFE">
      <w:pPr>
        <w:ind w:left="851"/>
        <w:rPr>
          <w:sz w:val="24"/>
          <w:szCs w:val="24"/>
          <w:lang w:val="en-GB"/>
        </w:rPr>
      </w:pPr>
      <w:r w:rsidRPr="00CC70C2">
        <w:rPr>
          <w:sz w:val="24"/>
          <w:szCs w:val="24"/>
          <w:lang w:val="en-GB"/>
        </w:rPr>
        <w:t>In one long-term study (up to 2 years treatment) evaluating recurrence prevention in patients with manic, depressed or mixed mood episodes quetiapine was superior to placebo in increasing the time to recurrence of any mood event (manic, mixed or depressed), in patients with bipolar I disorder. The number of patients with a mood event was 91 (22.5</w:t>
      </w:r>
      <w:r w:rsidR="00F96C97">
        <w:rPr>
          <w:sz w:val="24"/>
          <w:szCs w:val="24"/>
          <w:lang w:val="en-GB"/>
        </w:rPr>
        <w:t xml:space="preserve"> %</w:t>
      </w:r>
      <w:r w:rsidRPr="00CC70C2">
        <w:rPr>
          <w:sz w:val="24"/>
          <w:szCs w:val="24"/>
          <w:lang w:val="en-GB"/>
        </w:rPr>
        <w:t>) in the quetiapine group, 208 (51.5</w:t>
      </w:r>
      <w:r w:rsidR="00F96C97">
        <w:rPr>
          <w:sz w:val="24"/>
          <w:szCs w:val="24"/>
          <w:lang w:val="en-GB"/>
        </w:rPr>
        <w:t xml:space="preserve"> %</w:t>
      </w:r>
      <w:r w:rsidRPr="00CC70C2">
        <w:rPr>
          <w:sz w:val="24"/>
          <w:szCs w:val="24"/>
          <w:lang w:val="en-GB"/>
        </w:rPr>
        <w:t>) in the placebo group and 95 (26.1</w:t>
      </w:r>
      <w:r w:rsidR="00F96C97">
        <w:rPr>
          <w:sz w:val="24"/>
          <w:szCs w:val="24"/>
          <w:lang w:val="en-GB"/>
        </w:rPr>
        <w:t xml:space="preserve"> %</w:t>
      </w:r>
      <w:r w:rsidRPr="00CC70C2">
        <w:rPr>
          <w:sz w:val="24"/>
          <w:szCs w:val="24"/>
          <w:lang w:val="en-GB"/>
        </w:rPr>
        <w:t>) in the lithium treatment groups respectively. In patients who responded to quetiapine, when comparing continued treatment with quetiapine to switching to lithium, the results indicated that a switch to lithium treatment does not appear to be associated with an increased time to recurrence of a mood event.</w:t>
      </w:r>
    </w:p>
    <w:p w14:paraId="13E3847D" w14:textId="77777777" w:rsidR="00D5152C" w:rsidRPr="00CC70C2" w:rsidRDefault="00D5152C" w:rsidP="00954DFE">
      <w:pPr>
        <w:ind w:left="851"/>
        <w:rPr>
          <w:sz w:val="24"/>
          <w:szCs w:val="24"/>
          <w:lang w:val="en-GB"/>
        </w:rPr>
      </w:pPr>
    </w:p>
    <w:p w14:paraId="1A5E6E81" w14:textId="77777777" w:rsidR="00D5152C" w:rsidRPr="00CC70C2" w:rsidRDefault="00D5152C" w:rsidP="00954DFE">
      <w:pPr>
        <w:ind w:left="851"/>
        <w:rPr>
          <w:i/>
          <w:sz w:val="24"/>
          <w:szCs w:val="24"/>
          <w:lang w:val="en-GB"/>
        </w:rPr>
      </w:pPr>
      <w:r w:rsidRPr="00CC70C2">
        <w:rPr>
          <w:i/>
          <w:sz w:val="24"/>
          <w:szCs w:val="24"/>
          <w:lang w:val="en-GB"/>
        </w:rPr>
        <w:t>Major depressive episodes in MDD</w:t>
      </w:r>
    </w:p>
    <w:p w14:paraId="33C1FC18" w14:textId="77777777" w:rsidR="00D5152C" w:rsidRPr="00CC70C2" w:rsidRDefault="00D5152C" w:rsidP="00954DFE">
      <w:pPr>
        <w:ind w:left="851"/>
        <w:rPr>
          <w:sz w:val="24"/>
          <w:szCs w:val="24"/>
          <w:lang w:val="en-GB"/>
        </w:rPr>
      </w:pPr>
      <w:r w:rsidRPr="00CC70C2">
        <w:rPr>
          <w:sz w:val="24"/>
          <w:szCs w:val="24"/>
          <w:lang w:val="en-GB"/>
        </w:rPr>
        <w:t>Two short-term (6 week) studies enrolled patients who had shown an inadequate response to at least one antidepressant. Quetiapine prolonged release 150 mg and 300 mg/day, given as add-on treatment to ongoing antidepressant therapy (amitriptyline, bupropion, citalopram, duloxetine, escitalopram, fluoxetine, paroxetine, sertraline or venlafaxine) demonstrated superiority over antidepressant therapy alone in reducing depressive symptoms as measured by improvement in MADRS total score (LS mean change vs. placebo of 2-3.3 points).</w:t>
      </w:r>
    </w:p>
    <w:p w14:paraId="33F0E528" w14:textId="77777777" w:rsidR="00D5152C" w:rsidRPr="00CC70C2" w:rsidRDefault="00D5152C" w:rsidP="00954DFE">
      <w:pPr>
        <w:ind w:left="851"/>
        <w:rPr>
          <w:sz w:val="24"/>
          <w:szCs w:val="24"/>
          <w:lang w:val="en-GB"/>
        </w:rPr>
      </w:pPr>
    </w:p>
    <w:p w14:paraId="3B941177" w14:textId="57412E68" w:rsidR="00D5152C" w:rsidRPr="00CC70C2" w:rsidRDefault="00D5152C" w:rsidP="00954DFE">
      <w:pPr>
        <w:ind w:left="851"/>
        <w:rPr>
          <w:sz w:val="24"/>
          <w:szCs w:val="24"/>
          <w:lang w:val="en-GB"/>
        </w:rPr>
      </w:pPr>
      <w:r w:rsidRPr="00CC70C2">
        <w:rPr>
          <w:sz w:val="24"/>
          <w:szCs w:val="24"/>
          <w:lang w:val="en-GB"/>
        </w:rPr>
        <w:t>Long-term efficacy and safety in patients with MDD ha</w:t>
      </w:r>
      <w:r w:rsidR="00ED2647">
        <w:rPr>
          <w:sz w:val="24"/>
          <w:szCs w:val="24"/>
          <w:lang w:val="en-GB"/>
        </w:rPr>
        <w:t>ve</w:t>
      </w:r>
      <w:r w:rsidRPr="00CC70C2">
        <w:rPr>
          <w:sz w:val="24"/>
          <w:szCs w:val="24"/>
          <w:lang w:val="en-GB"/>
        </w:rPr>
        <w:t xml:space="preserve"> not been evaluated as add-on therapy, however long-term efficacy and safety has been evaluated in adult patients as monotherapy (see below).</w:t>
      </w:r>
    </w:p>
    <w:p w14:paraId="3A6EC538" w14:textId="77777777" w:rsidR="00D5152C" w:rsidRPr="00CC70C2" w:rsidRDefault="00D5152C" w:rsidP="00954DFE">
      <w:pPr>
        <w:ind w:left="851"/>
        <w:rPr>
          <w:sz w:val="24"/>
          <w:szCs w:val="24"/>
          <w:lang w:val="en-GB"/>
        </w:rPr>
      </w:pPr>
    </w:p>
    <w:p w14:paraId="4690B7A8" w14:textId="77777777" w:rsidR="00D5152C" w:rsidRPr="00CC70C2" w:rsidRDefault="00D5152C" w:rsidP="00954DFE">
      <w:pPr>
        <w:ind w:left="851"/>
        <w:rPr>
          <w:sz w:val="24"/>
          <w:szCs w:val="24"/>
          <w:lang w:val="en-GB"/>
        </w:rPr>
      </w:pPr>
      <w:r w:rsidRPr="00CC70C2">
        <w:rPr>
          <w:sz w:val="24"/>
          <w:szCs w:val="24"/>
          <w:lang w:val="en-GB"/>
        </w:rPr>
        <w:t>The following studies were conducted with quetiapine prolonged release as monotherapy treatment, however quetiapine prolonged release is only indicated for use as add-on therapy:</w:t>
      </w:r>
    </w:p>
    <w:p w14:paraId="38E2785B" w14:textId="77777777" w:rsidR="00D5152C" w:rsidRPr="00CC70C2" w:rsidRDefault="00D5152C" w:rsidP="00954DFE">
      <w:pPr>
        <w:ind w:left="851"/>
        <w:rPr>
          <w:sz w:val="24"/>
          <w:szCs w:val="24"/>
          <w:lang w:val="en-GB"/>
        </w:rPr>
      </w:pPr>
    </w:p>
    <w:p w14:paraId="63300A1B" w14:textId="77777777" w:rsidR="00D5152C" w:rsidRPr="00CC70C2" w:rsidRDefault="00D5152C" w:rsidP="00954DFE">
      <w:pPr>
        <w:ind w:left="851"/>
        <w:rPr>
          <w:sz w:val="24"/>
          <w:szCs w:val="24"/>
          <w:lang w:val="en-GB"/>
        </w:rPr>
      </w:pPr>
      <w:r w:rsidRPr="00CC70C2">
        <w:rPr>
          <w:sz w:val="24"/>
          <w:szCs w:val="24"/>
          <w:lang w:val="en-GB"/>
        </w:rPr>
        <w:t>In three out of four short term (up to 8 weeks) monotherapy studies, in patients with major depressive disorder, quetiapine prolonged release 50 mg, 150 mg and 300 mg/day demonstrated superior efficacy to placebo in reducing depressive symptoms as measured by improvement in the Montgomery-</w:t>
      </w:r>
      <w:proofErr w:type="spellStart"/>
      <w:r w:rsidRPr="00CC70C2">
        <w:rPr>
          <w:sz w:val="24"/>
          <w:szCs w:val="24"/>
          <w:lang w:val="en-GB"/>
        </w:rPr>
        <w:t>Åsberg</w:t>
      </w:r>
      <w:proofErr w:type="spellEnd"/>
      <w:r w:rsidRPr="00CC70C2">
        <w:rPr>
          <w:sz w:val="24"/>
          <w:szCs w:val="24"/>
          <w:lang w:val="en-GB"/>
        </w:rPr>
        <w:t xml:space="preserve"> Depression Rating Scale (MADRS) total score (LS mean change vs. placebo of 2-4 points).</w:t>
      </w:r>
    </w:p>
    <w:p w14:paraId="45009FD9" w14:textId="77777777" w:rsidR="00D5152C" w:rsidRPr="00CC70C2" w:rsidRDefault="00D5152C" w:rsidP="00954DFE">
      <w:pPr>
        <w:ind w:left="851"/>
        <w:rPr>
          <w:sz w:val="24"/>
          <w:szCs w:val="24"/>
          <w:lang w:val="en-GB"/>
        </w:rPr>
      </w:pPr>
    </w:p>
    <w:p w14:paraId="44013334" w14:textId="43D8F656" w:rsidR="00D5152C" w:rsidRPr="00CC70C2" w:rsidRDefault="00D5152C" w:rsidP="00954DFE">
      <w:pPr>
        <w:ind w:left="851"/>
        <w:rPr>
          <w:sz w:val="24"/>
          <w:szCs w:val="24"/>
          <w:lang w:val="en-GB"/>
        </w:rPr>
      </w:pPr>
      <w:r w:rsidRPr="00CC70C2">
        <w:rPr>
          <w:sz w:val="24"/>
          <w:szCs w:val="24"/>
          <w:lang w:val="en-GB"/>
        </w:rPr>
        <w:t>In a monotherapy relapse prevention study, patients with depressive episodes stabilised on open-label quetiapine prolonged release treatment for at least 12 weeks were randomised to either quetiapine prolonged release once daily or placebo for up to 52 weeks. The mean dose of quetiapine prolonged release during the randomised phase was 177 mg/day. The incidence of relapse was 14.2</w:t>
      </w:r>
      <w:r w:rsidR="00F96C97">
        <w:rPr>
          <w:sz w:val="24"/>
          <w:szCs w:val="24"/>
          <w:lang w:val="en-GB"/>
        </w:rPr>
        <w:t xml:space="preserve"> %</w:t>
      </w:r>
      <w:r w:rsidRPr="00CC70C2">
        <w:rPr>
          <w:sz w:val="24"/>
          <w:szCs w:val="24"/>
          <w:lang w:val="en-GB"/>
        </w:rPr>
        <w:t xml:space="preserve"> for quetiapine prolonged release treated patients and 34.4</w:t>
      </w:r>
      <w:r w:rsidR="00F96C97">
        <w:rPr>
          <w:sz w:val="24"/>
          <w:szCs w:val="24"/>
          <w:lang w:val="en-GB"/>
        </w:rPr>
        <w:t xml:space="preserve"> %</w:t>
      </w:r>
      <w:r w:rsidRPr="00CC70C2">
        <w:rPr>
          <w:sz w:val="24"/>
          <w:szCs w:val="24"/>
          <w:lang w:val="en-GB"/>
        </w:rPr>
        <w:t xml:space="preserve"> for placebo-treated patients.</w:t>
      </w:r>
    </w:p>
    <w:p w14:paraId="7D1636E4" w14:textId="77777777" w:rsidR="00D5152C" w:rsidRPr="00CC70C2" w:rsidRDefault="00D5152C" w:rsidP="00954DFE">
      <w:pPr>
        <w:ind w:left="851"/>
        <w:rPr>
          <w:sz w:val="24"/>
          <w:szCs w:val="24"/>
          <w:lang w:val="en-GB"/>
        </w:rPr>
      </w:pPr>
    </w:p>
    <w:p w14:paraId="5844C356" w14:textId="43071F72" w:rsidR="00D5152C" w:rsidRPr="00CC70C2" w:rsidRDefault="00D5152C" w:rsidP="00954DFE">
      <w:pPr>
        <w:ind w:left="851"/>
        <w:rPr>
          <w:sz w:val="24"/>
          <w:szCs w:val="24"/>
          <w:lang w:val="en-GB"/>
        </w:rPr>
      </w:pPr>
      <w:r w:rsidRPr="00CC70C2">
        <w:rPr>
          <w:sz w:val="24"/>
          <w:szCs w:val="24"/>
          <w:lang w:val="en-GB"/>
        </w:rPr>
        <w:t>In a short-term (9 week) study non-demented elderly patients (aged 66 to 89 years) with major depressive disorder, quetiapine prolonged release dosed flexibly in the range of 50 mg to 300 mg/day demonstrated superior efficacy to placebo in reducing depressive symptoms as measured by improvement in MADRS total score (LS mean change vs placebo -7.54). In this study patients randomised to quetiapine prolonged release received 50 mg/day on Days 1- 3, the dose could be increased to 100 mg/day on Day 4, 150 mg/day on Day 8 and up to 300 mg/day depending on clinical response and tolerability. The mean dose of quetiapine prolonged release was 160 mg/day. Other than the incidence of extrapyramidal symptoms (see section 4.8 and ‘Clinical Safety’ below) the tolerability of quetiapine prolonged release once daily in elderly patients was comparable to that seen in adults (aged 18-65 years). The proportion of randomized patients over 75 years of age was 19</w:t>
      </w:r>
      <w:r w:rsidR="00F96C97">
        <w:rPr>
          <w:sz w:val="24"/>
          <w:szCs w:val="24"/>
          <w:lang w:val="en-GB"/>
        </w:rPr>
        <w:t xml:space="preserve"> %</w:t>
      </w:r>
      <w:r w:rsidRPr="00CC70C2">
        <w:rPr>
          <w:sz w:val="24"/>
          <w:szCs w:val="24"/>
          <w:lang w:val="en-GB"/>
        </w:rPr>
        <w:t>.</w:t>
      </w:r>
    </w:p>
    <w:p w14:paraId="6106937B" w14:textId="77777777" w:rsidR="00D5152C" w:rsidRPr="00CC70C2" w:rsidRDefault="00D5152C" w:rsidP="00954DFE">
      <w:pPr>
        <w:ind w:left="851"/>
        <w:rPr>
          <w:sz w:val="24"/>
          <w:szCs w:val="24"/>
          <w:lang w:val="en-GB"/>
        </w:rPr>
      </w:pPr>
    </w:p>
    <w:p w14:paraId="5454BC56" w14:textId="77777777" w:rsidR="00D5152C" w:rsidRPr="00CC70C2" w:rsidRDefault="00D5152C" w:rsidP="00954DFE">
      <w:pPr>
        <w:ind w:left="851"/>
        <w:rPr>
          <w:i/>
          <w:sz w:val="24"/>
          <w:szCs w:val="24"/>
          <w:u w:val="single"/>
          <w:lang w:val="en-GB"/>
        </w:rPr>
      </w:pPr>
      <w:r w:rsidRPr="00CC70C2">
        <w:rPr>
          <w:sz w:val="24"/>
          <w:szCs w:val="24"/>
          <w:u w:val="single"/>
          <w:lang w:val="en-GB"/>
        </w:rPr>
        <w:t>Clinical safety</w:t>
      </w:r>
    </w:p>
    <w:p w14:paraId="4DEB0663" w14:textId="21CE3958" w:rsidR="00D5152C" w:rsidRPr="00CC70C2" w:rsidRDefault="00D5152C" w:rsidP="00954DFE">
      <w:pPr>
        <w:ind w:left="851"/>
        <w:rPr>
          <w:sz w:val="24"/>
          <w:szCs w:val="24"/>
          <w:lang w:val="en-GB"/>
        </w:rPr>
      </w:pPr>
      <w:r w:rsidRPr="00CC70C2">
        <w:rPr>
          <w:sz w:val="24"/>
          <w:szCs w:val="24"/>
          <w:lang w:val="en-GB"/>
        </w:rPr>
        <w:t>In short-term, placebo-controlled clinical trials in schizophrenia and bipolar mania the aggregated incidence of extrapyramidal symptoms was similar to placebo (schizophrenia: 7.8</w:t>
      </w:r>
      <w:r w:rsidR="00350C0E">
        <w:rPr>
          <w:sz w:val="24"/>
          <w:szCs w:val="24"/>
          <w:lang w:val="en-GB"/>
        </w:rPr>
        <w:t> </w:t>
      </w:r>
      <w:r w:rsidR="00F96C97">
        <w:rPr>
          <w:sz w:val="24"/>
          <w:szCs w:val="24"/>
          <w:lang w:val="en-GB"/>
        </w:rPr>
        <w:t>%</w:t>
      </w:r>
      <w:r w:rsidRPr="00CC70C2">
        <w:rPr>
          <w:sz w:val="24"/>
          <w:szCs w:val="24"/>
          <w:lang w:val="en-GB"/>
        </w:rPr>
        <w:t xml:space="preserve"> for quetiapine and 8.0</w:t>
      </w:r>
      <w:r w:rsidR="00F96C97">
        <w:rPr>
          <w:sz w:val="24"/>
          <w:szCs w:val="24"/>
          <w:lang w:val="en-GB"/>
        </w:rPr>
        <w:t xml:space="preserve"> %</w:t>
      </w:r>
      <w:r w:rsidRPr="00CC70C2">
        <w:rPr>
          <w:sz w:val="24"/>
          <w:szCs w:val="24"/>
          <w:lang w:val="en-GB"/>
        </w:rPr>
        <w:t xml:space="preserve"> for placebo; bipolar mania: 11.2</w:t>
      </w:r>
      <w:r w:rsidR="00F96C97">
        <w:rPr>
          <w:sz w:val="24"/>
          <w:szCs w:val="24"/>
          <w:lang w:val="en-GB"/>
        </w:rPr>
        <w:t xml:space="preserve"> %</w:t>
      </w:r>
      <w:r w:rsidRPr="00CC70C2">
        <w:rPr>
          <w:sz w:val="24"/>
          <w:szCs w:val="24"/>
          <w:lang w:val="en-GB"/>
        </w:rPr>
        <w:t xml:space="preserve"> for quetiapine and 11.4</w:t>
      </w:r>
      <w:r w:rsidR="00350C0E">
        <w:rPr>
          <w:sz w:val="24"/>
          <w:szCs w:val="24"/>
          <w:lang w:val="en-GB"/>
        </w:rPr>
        <w:t> </w:t>
      </w:r>
      <w:r w:rsidR="00F96C97">
        <w:rPr>
          <w:sz w:val="24"/>
          <w:szCs w:val="24"/>
          <w:lang w:val="en-GB"/>
        </w:rPr>
        <w:t>%</w:t>
      </w:r>
      <w:r w:rsidRPr="00CC70C2">
        <w:rPr>
          <w:sz w:val="24"/>
          <w:szCs w:val="24"/>
          <w:lang w:val="en-GB"/>
        </w:rPr>
        <w:t xml:space="preserve"> for placebo). Higher rates of extrapyramidal symptoms were seen in quetiapine treated patients compared to those treated with placebo in short-term, placebo-controlled clinical trials in MDD and bipolar depression. In short-term, placebo-controlled bipolar depression trials the aggregated incidence of extrapyramidal symptoms was 8.9</w:t>
      </w:r>
      <w:r w:rsidR="00F96C97">
        <w:rPr>
          <w:sz w:val="24"/>
          <w:szCs w:val="24"/>
          <w:lang w:val="en-GB"/>
        </w:rPr>
        <w:t xml:space="preserve"> %</w:t>
      </w:r>
      <w:r w:rsidRPr="00CC70C2">
        <w:rPr>
          <w:sz w:val="24"/>
          <w:szCs w:val="24"/>
          <w:lang w:val="en-GB"/>
        </w:rPr>
        <w:t xml:space="preserve"> for quetiapine compared to</w:t>
      </w:r>
      <w:r w:rsidR="00444B40" w:rsidRPr="00CC70C2">
        <w:rPr>
          <w:sz w:val="24"/>
          <w:szCs w:val="24"/>
          <w:lang w:val="en-GB"/>
        </w:rPr>
        <w:t xml:space="preserve"> </w:t>
      </w:r>
      <w:r w:rsidRPr="00CC70C2">
        <w:rPr>
          <w:sz w:val="24"/>
          <w:szCs w:val="24"/>
          <w:lang w:val="en-GB"/>
        </w:rPr>
        <w:t>3.8</w:t>
      </w:r>
      <w:r w:rsidR="00F96C97">
        <w:rPr>
          <w:sz w:val="24"/>
          <w:szCs w:val="24"/>
          <w:lang w:val="en-GB"/>
        </w:rPr>
        <w:t xml:space="preserve"> %</w:t>
      </w:r>
      <w:r w:rsidRPr="00CC70C2">
        <w:rPr>
          <w:sz w:val="24"/>
          <w:szCs w:val="24"/>
          <w:lang w:val="en-GB"/>
        </w:rPr>
        <w:t xml:space="preserve"> for placebo. In short-term, placebo-controlled monotherapy clinical trials in major depressive disorder the aggregated incidence of extrapyramidal symptoms was 5.4</w:t>
      </w:r>
      <w:r w:rsidR="00ED2647">
        <w:rPr>
          <w:sz w:val="24"/>
          <w:szCs w:val="24"/>
          <w:lang w:val="en-GB"/>
        </w:rPr>
        <w:t> </w:t>
      </w:r>
      <w:r w:rsidR="00F96C97">
        <w:rPr>
          <w:sz w:val="24"/>
          <w:szCs w:val="24"/>
          <w:lang w:val="en-GB"/>
        </w:rPr>
        <w:t>%</w:t>
      </w:r>
      <w:r w:rsidRPr="00CC70C2">
        <w:rPr>
          <w:sz w:val="24"/>
          <w:szCs w:val="24"/>
          <w:lang w:val="en-GB"/>
        </w:rPr>
        <w:t xml:space="preserve"> for quetiapine prolonged release and 3.2</w:t>
      </w:r>
      <w:r w:rsidR="00F96C97">
        <w:rPr>
          <w:sz w:val="24"/>
          <w:szCs w:val="24"/>
          <w:lang w:val="en-GB"/>
        </w:rPr>
        <w:t xml:space="preserve"> %</w:t>
      </w:r>
      <w:r w:rsidRPr="00CC70C2">
        <w:rPr>
          <w:sz w:val="24"/>
          <w:szCs w:val="24"/>
          <w:lang w:val="en-GB"/>
        </w:rPr>
        <w:t xml:space="preserve"> for placebo. In a short-term placebo-controlled monotherapy trial in elderly patients with major depressive disorder, the aggregated incidence of extrapyramidal symptoms was 9.0</w:t>
      </w:r>
      <w:r w:rsidR="00F96C97">
        <w:rPr>
          <w:sz w:val="24"/>
          <w:szCs w:val="24"/>
          <w:lang w:val="en-GB"/>
        </w:rPr>
        <w:t xml:space="preserve"> %</w:t>
      </w:r>
      <w:r w:rsidRPr="00CC70C2">
        <w:rPr>
          <w:sz w:val="24"/>
          <w:szCs w:val="24"/>
          <w:lang w:val="en-GB"/>
        </w:rPr>
        <w:t xml:space="preserve"> for quetiapine prolonged release and 2.3</w:t>
      </w:r>
      <w:r w:rsidR="00ED2647">
        <w:rPr>
          <w:sz w:val="24"/>
          <w:szCs w:val="24"/>
          <w:lang w:val="en-GB"/>
        </w:rPr>
        <w:t> </w:t>
      </w:r>
      <w:r w:rsidR="00F96C97">
        <w:rPr>
          <w:sz w:val="24"/>
          <w:szCs w:val="24"/>
          <w:lang w:val="en-GB"/>
        </w:rPr>
        <w:t>%</w:t>
      </w:r>
      <w:r w:rsidRPr="00CC70C2">
        <w:rPr>
          <w:sz w:val="24"/>
          <w:szCs w:val="24"/>
          <w:lang w:val="en-GB"/>
        </w:rPr>
        <w:t xml:space="preserve"> for placebo. In both bipolar depression and MDD, the incidence of the individual adverse events (</w:t>
      </w:r>
      <w:proofErr w:type="spellStart"/>
      <w:r w:rsidRPr="00CC70C2">
        <w:rPr>
          <w:sz w:val="24"/>
          <w:szCs w:val="24"/>
          <w:lang w:val="en-GB"/>
        </w:rPr>
        <w:t>eg</w:t>
      </w:r>
      <w:proofErr w:type="spellEnd"/>
      <w:r w:rsidRPr="00CC70C2">
        <w:rPr>
          <w:sz w:val="24"/>
          <w:szCs w:val="24"/>
          <w:lang w:val="en-GB"/>
        </w:rPr>
        <w:t>, akathisia, extrapyramidal disorder, tremor, dyskinesia, dystonia, restlessness, muscle contractions involuntary, psychomotor hyperactivity and muscle rigidity) did not exceed 4</w:t>
      </w:r>
      <w:r w:rsidR="00F96C97">
        <w:rPr>
          <w:sz w:val="24"/>
          <w:szCs w:val="24"/>
          <w:lang w:val="en-GB"/>
        </w:rPr>
        <w:t xml:space="preserve"> %</w:t>
      </w:r>
      <w:r w:rsidRPr="00CC70C2">
        <w:rPr>
          <w:sz w:val="24"/>
          <w:szCs w:val="24"/>
          <w:lang w:val="en-GB"/>
        </w:rPr>
        <w:t xml:space="preserve"> in any treatment group.</w:t>
      </w:r>
    </w:p>
    <w:p w14:paraId="4C60EBE4" w14:textId="77777777" w:rsidR="00D5152C" w:rsidRPr="00CC70C2" w:rsidRDefault="00D5152C" w:rsidP="00954DFE">
      <w:pPr>
        <w:ind w:left="851"/>
        <w:rPr>
          <w:sz w:val="24"/>
          <w:szCs w:val="24"/>
          <w:lang w:val="en-GB"/>
        </w:rPr>
      </w:pPr>
    </w:p>
    <w:p w14:paraId="3D466132" w14:textId="6736F4C5" w:rsidR="00D5152C" w:rsidRPr="00CC70C2" w:rsidRDefault="00D5152C" w:rsidP="00954DFE">
      <w:pPr>
        <w:ind w:left="851"/>
        <w:rPr>
          <w:sz w:val="24"/>
          <w:szCs w:val="24"/>
          <w:lang w:val="en-GB"/>
        </w:rPr>
      </w:pPr>
      <w:r w:rsidRPr="00CC70C2">
        <w:rPr>
          <w:sz w:val="24"/>
          <w:szCs w:val="24"/>
          <w:lang w:val="en-GB"/>
        </w:rPr>
        <w:t>In short term, fixed dose (50mg/d to 800 mg/d), placebo-controlled studies (ranging from 3 to 8 weeks), the mean weight gain for quetiapine-treated patients ranged from 0.8 kg for the 50 mg daily dose to 1.4 kg for the 600 mg daily dose (with lower gain for the 800 mg daily dose), compared to 0.2 kg for the placebo treated patients. The percentage of quetiapine treated patients who gained ≥7</w:t>
      </w:r>
      <w:r w:rsidR="00F96C97">
        <w:rPr>
          <w:sz w:val="24"/>
          <w:szCs w:val="24"/>
          <w:lang w:val="en-GB"/>
        </w:rPr>
        <w:t xml:space="preserve"> %</w:t>
      </w:r>
      <w:r w:rsidRPr="00CC70C2">
        <w:rPr>
          <w:sz w:val="24"/>
          <w:szCs w:val="24"/>
          <w:lang w:val="en-GB"/>
        </w:rPr>
        <w:t xml:space="preserve"> of body weight ranged from 5.3</w:t>
      </w:r>
      <w:r w:rsidR="00F96C97">
        <w:rPr>
          <w:sz w:val="24"/>
          <w:szCs w:val="24"/>
          <w:lang w:val="en-GB"/>
        </w:rPr>
        <w:t xml:space="preserve"> %</w:t>
      </w:r>
      <w:r w:rsidRPr="00CC70C2">
        <w:rPr>
          <w:sz w:val="24"/>
          <w:szCs w:val="24"/>
          <w:lang w:val="en-GB"/>
        </w:rPr>
        <w:t xml:space="preserve"> for the 50 mg daily dose to 15.5</w:t>
      </w:r>
      <w:r w:rsidR="00F96C97">
        <w:rPr>
          <w:sz w:val="24"/>
          <w:szCs w:val="24"/>
          <w:lang w:val="en-GB"/>
        </w:rPr>
        <w:t xml:space="preserve"> %</w:t>
      </w:r>
      <w:r w:rsidRPr="00CC70C2">
        <w:rPr>
          <w:sz w:val="24"/>
          <w:szCs w:val="24"/>
          <w:lang w:val="en-GB"/>
        </w:rPr>
        <w:t xml:space="preserve"> for the 400 mg daily dose (with lower gain for the 600 and 800 mg daily doses), compared to 3.7</w:t>
      </w:r>
      <w:r w:rsidR="00F96C97">
        <w:rPr>
          <w:sz w:val="24"/>
          <w:szCs w:val="24"/>
          <w:lang w:val="en-GB"/>
        </w:rPr>
        <w:t xml:space="preserve"> %</w:t>
      </w:r>
      <w:r w:rsidRPr="00CC70C2">
        <w:rPr>
          <w:sz w:val="24"/>
          <w:szCs w:val="24"/>
          <w:lang w:val="en-GB"/>
        </w:rPr>
        <w:t xml:space="preserve"> for placebo treated patients.</w:t>
      </w:r>
    </w:p>
    <w:p w14:paraId="500B8D0F" w14:textId="77777777" w:rsidR="00D5152C" w:rsidRPr="00CC70C2" w:rsidRDefault="00D5152C" w:rsidP="00954DFE">
      <w:pPr>
        <w:ind w:left="851"/>
        <w:rPr>
          <w:sz w:val="24"/>
          <w:szCs w:val="24"/>
          <w:lang w:val="en-GB"/>
        </w:rPr>
      </w:pPr>
    </w:p>
    <w:p w14:paraId="662F66BE" w14:textId="4EFFDCCE" w:rsidR="00D5152C" w:rsidRPr="00CC70C2" w:rsidRDefault="00D5152C" w:rsidP="00954DFE">
      <w:pPr>
        <w:ind w:left="851"/>
        <w:rPr>
          <w:sz w:val="24"/>
          <w:szCs w:val="24"/>
          <w:lang w:val="en-GB"/>
        </w:rPr>
      </w:pPr>
      <w:r w:rsidRPr="00CC70C2">
        <w:rPr>
          <w:sz w:val="24"/>
          <w:szCs w:val="24"/>
          <w:lang w:val="en-GB"/>
        </w:rPr>
        <w:t>A 6-week, randomised, study of lithium and quetiapine prolonged release versus placebo and quetiapine prolonged release in adult patients with acute mania indicated that the combination of quetiapine prolonged release with lithium leads to more adverse events (63</w:t>
      </w:r>
      <w:r w:rsidR="00F96C97">
        <w:rPr>
          <w:sz w:val="24"/>
          <w:szCs w:val="24"/>
          <w:lang w:val="en-GB"/>
        </w:rPr>
        <w:t xml:space="preserve"> %</w:t>
      </w:r>
      <w:r w:rsidRPr="00CC70C2">
        <w:rPr>
          <w:sz w:val="24"/>
          <w:szCs w:val="24"/>
          <w:lang w:val="en-GB"/>
        </w:rPr>
        <w:t xml:space="preserve"> versus 48</w:t>
      </w:r>
      <w:r w:rsidR="00F96C97">
        <w:rPr>
          <w:sz w:val="24"/>
          <w:szCs w:val="24"/>
          <w:lang w:val="en-GB"/>
        </w:rPr>
        <w:t xml:space="preserve"> %</w:t>
      </w:r>
      <w:r w:rsidRPr="00CC70C2">
        <w:rPr>
          <w:sz w:val="24"/>
          <w:szCs w:val="24"/>
          <w:lang w:val="en-GB"/>
        </w:rPr>
        <w:t xml:space="preserve"> in quetiapine prolonged release in combination with placebo). The safety results showed a higher incidence of extrapyramidal symptoms reported in 16.8</w:t>
      </w:r>
      <w:r w:rsidR="00F96C97">
        <w:rPr>
          <w:sz w:val="24"/>
          <w:szCs w:val="24"/>
          <w:lang w:val="en-GB"/>
        </w:rPr>
        <w:t xml:space="preserve"> %</w:t>
      </w:r>
      <w:r w:rsidRPr="00CC70C2">
        <w:rPr>
          <w:sz w:val="24"/>
          <w:szCs w:val="24"/>
          <w:lang w:val="en-GB"/>
        </w:rPr>
        <w:t xml:space="preserve"> of patients in the lithium add-on group and 6.6</w:t>
      </w:r>
      <w:r w:rsidR="00F96C97">
        <w:rPr>
          <w:sz w:val="24"/>
          <w:szCs w:val="24"/>
          <w:lang w:val="en-GB"/>
        </w:rPr>
        <w:t xml:space="preserve"> %</w:t>
      </w:r>
      <w:r w:rsidRPr="00CC70C2">
        <w:rPr>
          <w:sz w:val="24"/>
          <w:szCs w:val="24"/>
          <w:lang w:val="en-GB"/>
        </w:rPr>
        <w:t xml:space="preserve"> in the placebo add-on group, the majority of which consisted of tremor, reported in 15.6</w:t>
      </w:r>
      <w:r w:rsidR="00F96C97">
        <w:rPr>
          <w:sz w:val="24"/>
          <w:szCs w:val="24"/>
          <w:lang w:val="en-GB"/>
        </w:rPr>
        <w:t xml:space="preserve"> %</w:t>
      </w:r>
      <w:r w:rsidRPr="00CC70C2">
        <w:rPr>
          <w:sz w:val="24"/>
          <w:szCs w:val="24"/>
          <w:lang w:val="en-GB"/>
        </w:rPr>
        <w:t xml:space="preserve"> of the patients in the lithium add-on group and 4.9</w:t>
      </w:r>
      <w:r w:rsidR="00C97CE8">
        <w:rPr>
          <w:sz w:val="24"/>
          <w:szCs w:val="24"/>
          <w:lang w:val="en-GB"/>
        </w:rPr>
        <w:t> </w:t>
      </w:r>
      <w:r w:rsidR="00F96C97">
        <w:rPr>
          <w:sz w:val="24"/>
          <w:szCs w:val="24"/>
          <w:lang w:val="en-GB"/>
        </w:rPr>
        <w:t>%</w:t>
      </w:r>
      <w:r w:rsidRPr="00CC70C2">
        <w:rPr>
          <w:sz w:val="24"/>
          <w:szCs w:val="24"/>
          <w:lang w:val="en-GB"/>
        </w:rPr>
        <w:t xml:space="preserve"> in the placebo add-on group. The incidence of somnolence was higher in the quetiapine prolonged release with lithium add-on group (12.7</w:t>
      </w:r>
      <w:r w:rsidR="00F96C97">
        <w:rPr>
          <w:sz w:val="24"/>
          <w:szCs w:val="24"/>
          <w:lang w:val="en-GB"/>
        </w:rPr>
        <w:t xml:space="preserve"> %</w:t>
      </w:r>
      <w:r w:rsidRPr="00CC70C2">
        <w:rPr>
          <w:sz w:val="24"/>
          <w:szCs w:val="24"/>
          <w:lang w:val="en-GB"/>
        </w:rPr>
        <w:t>) compared to the quetiapine prolonged release with the placebo add-on group (5.5</w:t>
      </w:r>
      <w:r w:rsidR="00F96C97">
        <w:rPr>
          <w:sz w:val="24"/>
          <w:szCs w:val="24"/>
          <w:lang w:val="en-GB"/>
        </w:rPr>
        <w:t xml:space="preserve"> %</w:t>
      </w:r>
      <w:r w:rsidRPr="00CC70C2">
        <w:rPr>
          <w:sz w:val="24"/>
          <w:szCs w:val="24"/>
          <w:lang w:val="en-GB"/>
        </w:rPr>
        <w:t>). In addition, a higher percentage of patients treated in the lithium add-on group (8.0</w:t>
      </w:r>
      <w:r w:rsidR="00F96C97">
        <w:rPr>
          <w:sz w:val="24"/>
          <w:szCs w:val="24"/>
          <w:lang w:val="en-GB"/>
        </w:rPr>
        <w:t xml:space="preserve"> %</w:t>
      </w:r>
      <w:r w:rsidRPr="00CC70C2">
        <w:rPr>
          <w:sz w:val="24"/>
          <w:szCs w:val="24"/>
          <w:lang w:val="en-GB"/>
        </w:rPr>
        <w:t>) had weight gain (≥7</w:t>
      </w:r>
      <w:r w:rsidR="00F96C97">
        <w:rPr>
          <w:sz w:val="24"/>
          <w:szCs w:val="24"/>
          <w:lang w:val="en-GB"/>
        </w:rPr>
        <w:t xml:space="preserve"> %</w:t>
      </w:r>
      <w:r w:rsidRPr="00CC70C2">
        <w:rPr>
          <w:sz w:val="24"/>
          <w:szCs w:val="24"/>
          <w:lang w:val="en-GB"/>
        </w:rPr>
        <w:t>) at the end of treatment compared to patients in the placebo add-on group (4.7</w:t>
      </w:r>
      <w:r w:rsidR="00F96C97">
        <w:rPr>
          <w:sz w:val="24"/>
          <w:szCs w:val="24"/>
          <w:lang w:val="en-GB"/>
        </w:rPr>
        <w:t xml:space="preserve"> %</w:t>
      </w:r>
      <w:r w:rsidRPr="00CC70C2">
        <w:rPr>
          <w:sz w:val="24"/>
          <w:szCs w:val="24"/>
          <w:lang w:val="en-GB"/>
        </w:rPr>
        <w:t>).</w:t>
      </w:r>
    </w:p>
    <w:p w14:paraId="43856F40" w14:textId="77777777" w:rsidR="00D5152C" w:rsidRPr="00CC70C2" w:rsidRDefault="00D5152C" w:rsidP="00954DFE">
      <w:pPr>
        <w:ind w:left="851"/>
        <w:rPr>
          <w:sz w:val="24"/>
          <w:szCs w:val="24"/>
          <w:lang w:val="en-GB"/>
        </w:rPr>
      </w:pPr>
    </w:p>
    <w:p w14:paraId="7109B720" w14:textId="77777777" w:rsidR="00D5152C" w:rsidRPr="00CC70C2" w:rsidRDefault="00D5152C" w:rsidP="00954DFE">
      <w:pPr>
        <w:ind w:left="851"/>
        <w:rPr>
          <w:sz w:val="24"/>
          <w:szCs w:val="24"/>
          <w:lang w:val="en-GB"/>
        </w:rPr>
      </w:pPr>
      <w:r w:rsidRPr="00CC70C2">
        <w:rPr>
          <w:sz w:val="24"/>
          <w:szCs w:val="24"/>
          <w:lang w:val="en-GB"/>
        </w:rPr>
        <w:t>Longer term relapse prevention trials had an open label period (ranging from 4 to 36 weeks) during which patients were treated with quetiapine, followed by a randomized withdrawal period during which patients were randomized to quetiapine or placebo. For patients who were randomized to quetiapine, the mean weight gain during the open label period was 2.56 kg, and by week 48 of the randomized period, the mean weight gain was 3.22 kg, compared to open label baseline. For patients who were randomized to placebo, the mean weight gain during the open label period was 2.39 kg, and by week 48 of the randomized period the mean weight gain was 0.89 kg, compared to open label baseline.</w:t>
      </w:r>
    </w:p>
    <w:p w14:paraId="1CC32E67" w14:textId="77777777" w:rsidR="00D5152C" w:rsidRPr="00CC70C2" w:rsidRDefault="00D5152C" w:rsidP="00954DFE">
      <w:pPr>
        <w:ind w:left="851"/>
        <w:rPr>
          <w:sz w:val="24"/>
          <w:szCs w:val="24"/>
          <w:lang w:val="en-GB"/>
        </w:rPr>
      </w:pPr>
    </w:p>
    <w:p w14:paraId="06D7EEED" w14:textId="77777777" w:rsidR="00D5152C" w:rsidRPr="00CC70C2" w:rsidRDefault="00D5152C" w:rsidP="00954DFE">
      <w:pPr>
        <w:ind w:left="851"/>
        <w:rPr>
          <w:sz w:val="24"/>
          <w:szCs w:val="24"/>
          <w:lang w:val="en-GB"/>
        </w:rPr>
      </w:pPr>
      <w:r w:rsidRPr="00CC70C2">
        <w:rPr>
          <w:sz w:val="24"/>
          <w:szCs w:val="24"/>
          <w:lang w:val="en-GB"/>
        </w:rPr>
        <w:t>In placebo-controlled studies in elderly patients with dementia-related psychosis, the incidence of cerebrovascular adverse events per 100 patient years was not higher in quetiapine-treated patients than in placebo-treated patients.</w:t>
      </w:r>
    </w:p>
    <w:p w14:paraId="24F5B4D8" w14:textId="77777777" w:rsidR="00D5152C" w:rsidRPr="00CC70C2" w:rsidRDefault="00D5152C" w:rsidP="00954DFE">
      <w:pPr>
        <w:ind w:left="851"/>
        <w:rPr>
          <w:sz w:val="24"/>
          <w:szCs w:val="24"/>
          <w:lang w:val="en-GB"/>
        </w:rPr>
      </w:pPr>
    </w:p>
    <w:p w14:paraId="01278589" w14:textId="3111009B" w:rsidR="00D5152C" w:rsidRPr="00CC70C2" w:rsidRDefault="00D5152C" w:rsidP="00954DFE">
      <w:pPr>
        <w:ind w:left="851"/>
        <w:rPr>
          <w:sz w:val="24"/>
          <w:szCs w:val="24"/>
          <w:lang w:val="en-GB"/>
        </w:rPr>
      </w:pPr>
      <w:r w:rsidRPr="00CC70C2">
        <w:rPr>
          <w:sz w:val="24"/>
          <w:szCs w:val="24"/>
          <w:lang w:val="en-GB"/>
        </w:rPr>
        <w:t>In all short-term placebo-controlled monotherapy trials in patients with a baseline neutrophil count ≥1.5 x 10</w:t>
      </w:r>
      <w:r w:rsidRPr="00CC70C2">
        <w:rPr>
          <w:sz w:val="24"/>
          <w:szCs w:val="24"/>
          <w:vertAlign w:val="superscript"/>
          <w:lang w:val="en-GB"/>
        </w:rPr>
        <w:t>9</w:t>
      </w:r>
      <w:r w:rsidRPr="00CC70C2">
        <w:rPr>
          <w:sz w:val="24"/>
          <w:szCs w:val="24"/>
          <w:lang w:val="en-GB"/>
        </w:rPr>
        <w:t>/L, the incidence of at least one occurrence of a shift to neutrophil count &lt;1.5 x 10</w:t>
      </w:r>
      <w:r w:rsidRPr="00CC70C2">
        <w:rPr>
          <w:sz w:val="24"/>
          <w:szCs w:val="24"/>
          <w:vertAlign w:val="superscript"/>
          <w:lang w:val="en-GB"/>
        </w:rPr>
        <w:t>9</w:t>
      </w:r>
      <w:r w:rsidRPr="00CC70C2">
        <w:rPr>
          <w:sz w:val="24"/>
          <w:szCs w:val="24"/>
          <w:lang w:val="en-GB"/>
        </w:rPr>
        <w:t>/L, was 1.9</w:t>
      </w:r>
      <w:r w:rsidR="00F96C97">
        <w:rPr>
          <w:sz w:val="24"/>
          <w:szCs w:val="24"/>
          <w:lang w:val="en-GB"/>
        </w:rPr>
        <w:t xml:space="preserve"> %</w:t>
      </w:r>
      <w:r w:rsidRPr="00CC70C2">
        <w:rPr>
          <w:sz w:val="24"/>
          <w:szCs w:val="24"/>
          <w:lang w:val="en-GB"/>
        </w:rPr>
        <w:t xml:space="preserve"> in patients treated with quetiapine compared to 1. 5</w:t>
      </w:r>
      <w:r w:rsidR="00F96C97">
        <w:rPr>
          <w:sz w:val="24"/>
          <w:szCs w:val="24"/>
          <w:lang w:val="en-GB"/>
        </w:rPr>
        <w:t xml:space="preserve"> %</w:t>
      </w:r>
      <w:r w:rsidRPr="00CC70C2">
        <w:rPr>
          <w:sz w:val="24"/>
          <w:szCs w:val="24"/>
          <w:lang w:val="en-GB"/>
        </w:rPr>
        <w:t xml:space="preserve"> in placebo-treated patients. The incidence of shifts to &gt;0.5-&lt;1.0 x 10</w:t>
      </w:r>
      <w:r w:rsidRPr="00CC70C2">
        <w:rPr>
          <w:sz w:val="24"/>
          <w:szCs w:val="24"/>
          <w:vertAlign w:val="superscript"/>
          <w:lang w:val="en-GB"/>
        </w:rPr>
        <w:t>9</w:t>
      </w:r>
      <w:r w:rsidRPr="00CC70C2">
        <w:rPr>
          <w:sz w:val="24"/>
          <w:szCs w:val="24"/>
          <w:lang w:val="en-GB"/>
        </w:rPr>
        <w:t>/L was the same (0.2</w:t>
      </w:r>
      <w:r w:rsidR="00F96C97">
        <w:rPr>
          <w:sz w:val="24"/>
          <w:szCs w:val="24"/>
          <w:lang w:val="en-GB"/>
        </w:rPr>
        <w:t xml:space="preserve"> %</w:t>
      </w:r>
      <w:r w:rsidRPr="00CC70C2">
        <w:rPr>
          <w:sz w:val="24"/>
          <w:szCs w:val="24"/>
          <w:lang w:val="en-GB"/>
        </w:rPr>
        <w:t>) in patients treated with quetiapine as with placebo-treated patients. In all clinical trials (placebo-controlled, open-label, active comparator) in patients with a baseline neutrophil count ≥1.5 x 10</w:t>
      </w:r>
      <w:r w:rsidRPr="00CC70C2">
        <w:rPr>
          <w:sz w:val="24"/>
          <w:szCs w:val="24"/>
          <w:vertAlign w:val="superscript"/>
          <w:lang w:val="en-GB"/>
        </w:rPr>
        <w:t>9</w:t>
      </w:r>
      <w:r w:rsidRPr="00CC70C2">
        <w:rPr>
          <w:sz w:val="24"/>
          <w:szCs w:val="24"/>
          <w:lang w:val="en-GB"/>
        </w:rPr>
        <w:t>/L, the incidence of at least one occurrence of a shift to neutrophil count &lt;1.5 x 10</w:t>
      </w:r>
      <w:r w:rsidRPr="00CC70C2">
        <w:rPr>
          <w:sz w:val="24"/>
          <w:szCs w:val="24"/>
          <w:vertAlign w:val="superscript"/>
          <w:lang w:val="en-GB"/>
        </w:rPr>
        <w:t>9</w:t>
      </w:r>
      <w:r w:rsidRPr="00CC70C2">
        <w:rPr>
          <w:sz w:val="24"/>
          <w:szCs w:val="24"/>
          <w:lang w:val="en-GB"/>
        </w:rPr>
        <w:t>/L was 2.9</w:t>
      </w:r>
      <w:r w:rsidR="00F96C97">
        <w:rPr>
          <w:sz w:val="24"/>
          <w:szCs w:val="24"/>
          <w:lang w:val="en-GB"/>
        </w:rPr>
        <w:t xml:space="preserve"> %</w:t>
      </w:r>
      <w:r w:rsidRPr="00CC70C2">
        <w:rPr>
          <w:sz w:val="24"/>
          <w:szCs w:val="24"/>
          <w:lang w:val="en-GB"/>
        </w:rPr>
        <w:t xml:space="preserve"> and to &lt;0.5 x 10</w:t>
      </w:r>
      <w:r w:rsidRPr="00CC70C2">
        <w:rPr>
          <w:sz w:val="24"/>
          <w:szCs w:val="24"/>
          <w:vertAlign w:val="superscript"/>
          <w:lang w:val="en-GB"/>
        </w:rPr>
        <w:t>9</w:t>
      </w:r>
      <w:r w:rsidRPr="00CC70C2">
        <w:rPr>
          <w:sz w:val="24"/>
          <w:szCs w:val="24"/>
          <w:lang w:val="en-GB"/>
        </w:rPr>
        <w:t>/L was 0.21</w:t>
      </w:r>
      <w:r w:rsidR="00F96C97">
        <w:rPr>
          <w:sz w:val="24"/>
          <w:szCs w:val="24"/>
          <w:lang w:val="en-GB"/>
        </w:rPr>
        <w:t xml:space="preserve"> %</w:t>
      </w:r>
      <w:r w:rsidRPr="00CC70C2">
        <w:rPr>
          <w:sz w:val="24"/>
          <w:szCs w:val="24"/>
          <w:lang w:val="en-GB"/>
        </w:rPr>
        <w:t xml:space="preserve"> in patients treated with quetiapine.</w:t>
      </w:r>
    </w:p>
    <w:p w14:paraId="643A7BAF" w14:textId="77777777" w:rsidR="00D5152C" w:rsidRPr="00CC70C2" w:rsidRDefault="00D5152C" w:rsidP="00954DFE">
      <w:pPr>
        <w:ind w:left="851"/>
        <w:rPr>
          <w:sz w:val="24"/>
          <w:szCs w:val="24"/>
          <w:lang w:val="en-GB"/>
        </w:rPr>
      </w:pPr>
    </w:p>
    <w:p w14:paraId="32A7DB24" w14:textId="048DD838" w:rsidR="00D5152C" w:rsidRPr="00CC70C2" w:rsidRDefault="00D5152C" w:rsidP="00954DFE">
      <w:pPr>
        <w:ind w:left="851"/>
        <w:rPr>
          <w:sz w:val="24"/>
          <w:szCs w:val="24"/>
          <w:lang w:val="en-GB"/>
        </w:rPr>
      </w:pPr>
      <w:r w:rsidRPr="00CC70C2">
        <w:rPr>
          <w:sz w:val="24"/>
          <w:szCs w:val="24"/>
          <w:lang w:val="en-GB"/>
        </w:rPr>
        <w:t>Quetiapine treatment was associated with dose-related decreases in thyroid hormone levels. The incidences of shifts in TSH was 3.2</w:t>
      </w:r>
      <w:r w:rsidR="00F96C97">
        <w:rPr>
          <w:sz w:val="24"/>
          <w:szCs w:val="24"/>
          <w:lang w:val="en-GB"/>
        </w:rPr>
        <w:t xml:space="preserve"> %</w:t>
      </w:r>
      <w:r w:rsidRPr="00CC70C2">
        <w:rPr>
          <w:sz w:val="24"/>
          <w:szCs w:val="24"/>
          <w:lang w:val="en-GB"/>
        </w:rPr>
        <w:t xml:space="preserve"> for quetiapine versus 2.7</w:t>
      </w:r>
      <w:r w:rsidR="00F96C97">
        <w:rPr>
          <w:sz w:val="24"/>
          <w:szCs w:val="24"/>
          <w:lang w:val="en-GB"/>
        </w:rPr>
        <w:t xml:space="preserve"> %</w:t>
      </w:r>
      <w:r w:rsidRPr="00CC70C2">
        <w:rPr>
          <w:sz w:val="24"/>
          <w:szCs w:val="24"/>
          <w:lang w:val="en-GB"/>
        </w:rPr>
        <w:t xml:space="preserve"> for placebo. The incidence of reciprocal, potentially clinically significant shifts of both T3 or T4 and TSH in these trials were rare, and the observed changes in thyroid hormone levels were not associated with clinically symptomatic hypothyroidism. The reduction in total and free T4 was maximal within the first six weeks of quetiapine treatment, with no further reduction during long-term treatment. For about 2/3 of all cases, cessation of quetiapine treatment was associated with a reversal of the effects on total and free T4, irrespective of the duration of treatment.</w:t>
      </w:r>
    </w:p>
    <w:p w14:paraId="6C8ECEF7" w14:textId="0E2D657F" w:rsidR="008C187F" w:rsidRDefault="008C187F">
      <w:pPr>
        <w:rPr>
          <w:sz w:val="24"/>
          <w:szCs w:val="24"/>
          <w:lang w:val="en-GB"/>
        </w:rPr>
      </w:pPr>
      <w:r>
        <w:rPr>
          <w:sz w:val="24"/>
          <w:szCs w:val="24"/>
          <w:lang w:val="en-GB"/>
        </w:rPr>
        <w:br w:type="page"/>
      </w:r>
    </w:p>
    <w:p w14:paraId="7E9B833D" w14:textId="77777777" w:rsidR="00D5152C" w:rsidRPr="00CC70C2" w:rsidRDefault="00D5152C" w:rsidP="00954DFE">
      <w:pPr>
        <w:ind w:left="851"/>
        <w:rPr>
          <w:sz w:val="24"/>
          <w:szCs w:val="24"/>
          <w:lang w:val="en-GB"/>
        </w:rPr>
      </w:pPr>
    </w:p>
    <w:p w14:paraId="3DA6C03C" w14:textId="77777777" w:rsidR="00D5152C" w:rsidRPr="00CC70C2" w:rsidRDefault="00D5152C" w:rsidP="00954DFE">
      <w:pPr>
        <w:ind w:left="851"/>
        <w:rPr>
          <w:i/>
          <w:sz w:val="24"/>
          <w:szCs w:val="24"/>
          <w:lang w:val="en-GB"/>
        </w:rPr>
      </w:pPr>
      <w:r w:rsidRPr="00CC70C2">
        <w:rPr>
          <w:i/>
          <w:sz w:val="24"/>
          <w:szCs w:val="24"/>
          <w:lang w:val="en-GB"/>
        </w:rPr>
        <w:t>Cataracts/lens opacities</w:t>
      </w:r>
    </w:p>
    <w:p w14:paraId="412983DB" w14:textId="48D20728" w:rsidR="00D5152C" w:rsidRPr="00CC70C2" w:rsidRDefault="00D5152C" w:rsidP="00954DFE">
      <w:pPr>
        <w:ind w:left="851"/>
        <w:rPr>
          <w:sz w:val="24"/>
          <w:szCs w:val="24"/>
          <w:lang w:val="en-GB"/>
        </w:rPr>
      </w:pPr>
      <w:r w:rsidRPr="00CC70C2">
        <w:rPr>
          <w:sz w:val="24"/>
          <w:szCs w:val="24"/>
          <w:lang w:val="en-GB"/>
        </w:rPr>
        <w:t xml:space="preserve">In a clinical trial to evaluate the </w:t>
      </w:r>
      <w:proofErr w:type="spellStart"/>
      <w:r w:rsidRPr="00CC70C2">
        <w:rPr>
          <w:sz w:val="24"/>
          <w:szCs w:val="24"/>
          <w:lang w:val="en-GB"/>
        </w:rPr>
        <w:t>cataractogenic</w:t>
      </w:r>
      <w:proofErr w:type="spellEnd"/>
      <w:r w:rsidRPr="00CC70C2">
        <w:rPr>
          <w:sz w:val="24"/>
          <w:szCs w:val="24"/>
          <w:lang w:val="en-GB"/>
        </w:rPr>
        <w:t xml:space="preserve"> potential of quetiapine (200-800 mg/ day) versus risperidone (2-8 mg/day) in patients with schizophrenia or schizoaffective disorder, the percentage of patients with increased lens opacity grade was not higher in quetiapine (4</w:t>
      </w:r>
      <w:r w:rsidR="00ED2647">
        <w:rPr>
          <w:sz w:val="24"/>
          <w:szCs w:val="24"/>
          <w:lang w:val="en-GB"/>
        </w:rPr>
        <w:t> </w:t>
      </w:r>
      <w:r w:rsidR="00F96C97">
        <w:rPr>
          <w:sz w:val="24"/>
          <w:szCs w:val="24"/>
          <w:lang w:val="en-GB"/>
        </w:rPr>
        <w:t>%</w:t>
      </w:r>
      <w:r w:rsidRPr="00CC70C2">
        <w:rPr>
          <w:sz w:val="24"/>
          <w:szCs w:val="24"/>
          <w:lang w:val="en-GB"/>
        </w:rPr>
        <w:t>) compared with risperidone (10</w:t>
      </w:r>
      <w:r w:rsidR="00F96C97">
        <w:rPr>
          <w:sz w:val="24"/>
          <w:szCs w:val="24"/>
          <w:lang w:val="en-GB"/>
        </w:rPr>
        <w:t xml:space="preserve"> %</w:t>
      </w:r>
      <w:r w:rsidRPr="00CC70C2">
        <w:rPr>
          <w:sz w:val="24"/>
          <w:szCs w:val="24"/>
          <w:lang w:val="en-GB"/>
        </w:rPr>
        <w:t>), for patients with at least 21 months of exposure.</w:t>
      </w:r>
    </w:p>
    <w:p w14:paraId="70B43C07" w14:textId="77777777" w:rsidR="00D5152C" w:rsidRPr="00CC70C2" w:rsidRDefault="00D5152C" w:rsidP="00954DFE">
      <w:pPr>
        <w:ind w:left="851"/>
        <w:rPr>
          <w:sz w:val="24"/>
          <w:szCs w:val="24"/>
          <w:lang w:val="en-GB"/>
        </w:rPr>
      </w:pPr>
    </w:p>
    <w:p w14:paraId="4D6FBFB8" w14:textId="77777777" w:rsidR="00D5152C" w:rsidRPr="00CC70C2" w:rsidRDefault="00D5152C" w:rsidP="00954DFE">
      <w:pPr>
        <w:ind w:left="851"/>
        <w:rPr>
          <w:sz w:val="24"/>
          <w:szCs w:val="24"/>
          <w:u w:val="single"/>
          <w:lang w:val="en-GB"/>
        </w:rPr>
      </w:pPr>
      <w:r w:rsidRPr="00CC70C2">
        <w:rPr>
          <w:sz w:val="24"/>
          <w:szCs w:val="24"/>
          <w:u w:val="single"/>
          <w:lang w:val="en-GB"/>
        </w:rPr>
        <w:t>Paediatric population</w:t>
      </w:r>
    </w:p>
    <w:p w14:paraId="531AD454" w14:textId="77777777" w:rsidR="00D5152C" w:rsidRPr="00CC70C2" w:rsidRDefault="00D5152C" w:rsidP="00954DFE">
      <w:pPr>
        <w:ind w:left="851"/>
        <w:rPr>
          <w:i/>
          <w:sz w:val="24"/>
          <w:szCs w:val="24"/>
          <w:lang w:val="en-GB"/>
        </w:rPr>
      </w:pPr>
      <w:r w:rsidRPr="00CC70C2">
        <w:rPr>
          <w:i/>
          <w:sz w:val="24"/>
          <w:szCs w:val="24"/>
          <w:lang w:val="en-GB"/>
        </w:rPr>
        <w:t>Clinical efficacy</w:t>
      </w:r>
    </w:p>
    <w:p w14:paraId="4750763A" w14:textId="05043005" w:rsidR="00D5152C" w:rsidRPr="00CC70C2" w:rsidRDefault="00D5152C" w:rsidP="00954DFE">
      <w:pPr>
        <w:ind w:left="851"/>
        <w:rPr>
          <w:sz w:val="24"/>
          <w:szCs w:val="24"/>
          <w:lang w:val="en-GB"/>
        </w:rPr>
      </w:pPr>
      <w:r w:rsidRPr="00CC70C2">
        <w:rPr>
          <w:sz w:val="24"/>
          <w:szCs w:val="24"/>
          <w:lang w:val="en-GB"/>
        </w:rPr>
        <w:t xml:space="preserve">The efficacy and safety of quetiapine was studied in a 3-week </w:t>
      </w:r>
      <w:r w:rsidR="000D5EE2" w:rsidRPr="00CC70C2">
        <w:rPr>
          <w:sz w:val="24"/>
          <w:szCs w:val="24"/>
          <w:lang w:val="en-GB"/>
        </w:rPr>
        <w:t>placebo-controlled</w:t>
      </w:r>
      <w:r w:rsidRPr="00CC70C2">
        <w:rPr>
          <w:sz w:val="24"/>
          <w:szCs w:val="24"/>
          <w:lang w:val="en-GB"/>
        </w:rPr>
        <w:t xml:space="preserve"> study for the treatment of mania (n= 284 patients from the US, aged 10-17). About 45</w:t>
      </w:r>
      <w:r w:rsidR="00F96C97">
        <w:rPr>
          <w:sz w:val="24"/>
          <w:szCs w:val="24"/>
          <w:lang w:val="en-GB"/>
        </w:rPr>
        <w:t xml:space="preserve"> %</w:t>
      </w:r>
      <w:r w:rsidRPr="00CC70C2">
        <w:rPr>
          <w:sz w:val="24"/>
          <w:szCs w:val="24"/>
          <w:lang w:val="en-GB"/>
        </w:rPr>
        <w:t xml:space="preserve"> of the patient population had an additional diagnosis of ADHD. In addition, a 6-week </w:t>
      </w:r>
      <w:r w:rsidR="000D5EE2" w:rsidRPr="00CC70C2">
        <w:rPr>
          <w:sz w:val="24"/>
          <w:szCs w:val="24"/>
          <w:lang w:val="en-GB"/>
        </w:rPr>
        <w:t>placebo-controlled</w:t>
      </w:r>
      <w:r w:rsidRPr="00CC70C2">
        <w:rPr>
          <w:sz w:val="24"/>
          <w:szCs w:val="24"/>
          <w:lang w:val="en-GB"/>
        </w:rPr>
        <w:t xml:space="preserve"> study for the treatment of schizophrenia (n=222 patients, aged 13-17) was performed. In both studies, patients with known lack of response to quetiapine were excluded. Treatment with quetiapine was initiated at 50 mg/day and on day 2 increased to 100 mg/day; subsequently the dose was titrated to a target dose (mania 400-600 mg/day; schizophrenia 400-800 mg/day) using increments of 100 mg/day given two or three times daily.</w:t>
      </w:r>
    </w:p>
    <w:p w14:paraId="74D4757F" w14:textId="77777777" w:rsidR="00D5152C" w:rsidRPr="00CC70C2" w:rsidRDefault="00D5152C" w:rsidP="00954DFE">
      <w:pPr>
        <w:ind w:left="851"/>
        <w:rPr>
          <w:sz w:val="24"/>
          <w:szCs w:val="24"/>
          <w:lang w:val="en-GB"/>
        </w:rPr>
      </w:pPr>
    </w:p>
    <w:p w14:paraId="15AC6E98" w14:textId="2A08A9A7" w:rsidR="00D5152C" w:rsidRPr="00CC70C2" w:rsidRDefault="00D5152C" w:rsidP="00954DFE">
      <w:pPr>
        <w:ind w:left="851"/>
        <w:rPr>
          <w:sz w:val="24"/>
          <w:szCs w:val="24"/>
          <w:lang w:val="en-GB"/>
        </w:rPr>
      </w:pPr>
      <w:r w:rsidRPr="00CC70C2">
        <w:rPr>
          <w:sz w:val="24"/>
          <w:szCs w:val="24"/>
          <w:lang w:val="en-GB"/>
        </w:rPr>
        <w:t>In the mania study, the difference in LS mean change from baseline in YMRS total score (active minus placebo) was –5.21 for quetiapine 400 mg/day and –6.56 for quetiapine 600 mg/day. Responder rates (YMRS improvement ≥50</w:t>
      </w:r>
      <w:r w:rsidR="00F96C97">
        <w:rPr>
          <w:sz w:val="24"/>
          <w:szCs w:val="24"/>
          <w:lang w:val="en-GB"/>
        </w:rPr>
        <w:t xml:space="preserve"> %</w:t>
      </w:r>
      <w:r w:rsidRPr="00CC70C2">
        <w:rPr>
          <w:sz w:val="24"/>
          <w:szCs w:val="24"/>
          <w:lang w:val="en-GB"/>
        </w:rPr>
        <w:t>) were 64</w:t>
      </w:r>
      <w:r w:rsidR="00F96C97">
        <w:rPr>
          <w:sz w:val="24"/>
          <w:szCs w:val="24"/>
          <w:lang w:val="en-GB"/>
        </w:rPr>
        <w:t xml:space="preserve"> %</w:t>
      </w:r>
      <w:r w:rsidRPr="00CC70C2">
        <w:rPr>
          <w:sz w:val="24"/>
          <w:szCs w:val="24"/>
          <w:lang w:val="en-GB"/>
        </w:rPr>
        <w:t xml:space="preserve"> for quetiapine 400 mg/day, 58</w:t>
      </w:r>
      <w:r w:rsidR="00F96C97">
        <w:rPr>
          <w:sz w:val="24"/>
          <w:szCs w:val="24"/>
          <w:lang w:val="en-GB"/>
        </w:rPr>
        <w:t xml:space="preserve"> %</w:t>
      </w:r>
      <w:r w:rsidRPr="00CC70C2">
        <w:rPr>
          <w:sz w:val="24"/>
          <w:szCs w:val="24"/>
          <w:lang w:val="en-GB"/>
        </w:rPr>
        <w:t xml:space="preserve"> for 600 mg/day and 37</w:t>
      </w:r>
      <w:r w:rsidR="00F96C97">
        <w:rPr>
          <w:sz w:val="24"/>
          <w:szCs w:val="24"/>
          <w:lang w:val="en-GB"/>
        </w:rPr>
        <w:t xml:space="preserve"> %</w:t>
      </w:r>
      <w:r w:rsidRPr="00CC70C2">
        <w:rPr>
          <w:sz w:val="24"/>
          <w:szCs w:val="24"/>
          <w:lang w:val="en-GB"/>
        </w:rPr>
        <w:t xml:space="preserve"> in the placebo arm.</w:t>
      </w:r>
    </w:p>
    <w:p w14:paraId="131B6E99" w14:textId="77777777" w:rsidR="00D5152C" w:rsidRPr="00CC70C2" w:rsidRDefault="00D5152C" w:rsidP="00954DFE">
      <w:pPr>
        <w:ind w:left="851"/>
        <w:rPr>
          <w:sz w:val="24"/>
          <w:szCs w:val="24"/>
          <w:lang w:val="en-GB"/>
        </w:rPr>
      </w:pPr>
    </w:p>
    <w:p w14:paraId="1E6EB1F6" w14:textId="13B45DE7" w:rsidR="00D5152C" w:rsidRPr="00CC70C2" w:rsidRDefault="00D5152C" w:rsidP="00954DFE">
      <w:pPr>
        <w:ind w:left="851"/>
        <w:rPr>
          <w:sz w:val="24"/>
          <w:szCs w:val="24"/>
          <w:lang w:val="en-GB"/>
        </w:rPr>
      </w:pPr>
      <w:r w:rsidRPr="00CC70C2">
        <w:rPr>
          <w:sz w:val="24"/>
          <w:szCs w:val="24"/>
          <w:lang w:val="en-GB"/>
        </w:rPr>
        <w:t>In the schizophrenia study, the difference in LS mean change from baseline in PANSS total score (active minus placebo) was –8.16 for quetiapine 400 mg/day and –9.29 for quetiapine 800 mg/day. Neither low dose (400 mg/day) nor high dose regimen (800 mg/day) quetiapine was superior to placebo with respect to the percentage of patients achieving response, defined as ≥30</w:t>
      </w:r>
      <w:r w:rsidR="00F96C97">
        <w:rPr>
          <w:sz w:val="24"/>
          <w:szCs w:val="24"/>
          <w:lang w:val="en-GB"/>
        </w:rPr>
        <w:t xml:space="preserve"> %</w:t>
      </w:r>
      <w:r w:rsidRPr="00CC70C2">
        <w:rPr>
          <w:sz w:val="24"/>
          <w:szCs w:val="24"/>
          <w:lang w:val="en-GB"/>
        </w:rPr>
        <w:t xml:space="preserve"> reduction from baseline in PANSS total score. Both in mania and schizophrenia higher doses resulted in numerically lower response rates.</w:t>
      </w:r>
    </w:p>
    <w:p w14:paraId="17ADDDB2" w14:textId="77777777" w:rsidR="00D5152C" w:rsidRPr="00CC70C2" w:rsidRDefault="00D5152C" w:rsidP="00954DFE">
      <w:pPr>
        <w:ind w:left="851"/>
        <w:rPr>
          <w:sz w:val="24"/>
          <w:szCs w:val="24"/>
          <w:lang w:val="en-GB"/>
        </w:rPr>
      </w:pPr>
    </w:p>
    <w:p w14:paraId="041EB967" w14:textId="77777777" w:rsidR="00D5152C" w:rsidRPr="00CC70C2" w:rsidRDefault="00D5152C" w:rsidP="00954DFE">
      <w:pPr>
        <w:ind w:left="851"/>
        <w:rPr>
          <w:sz w:val="24"/>
          <w:szCs w:val="24"/>
          <w:lang w:val="en-GB"/>
        </w:rPr>
      </w:pPr>
      <w:r w:rsidRPr="00CC70C2">
        <w:rPr>
          <w:sz w:val="24"/>
          <w:szCs w:val="24"/>
          <w:lang w:val="en-GB"/>
        </w:rPr>
        <w:t>In a third short-term placebo-controlled monotherapy trial with quetiapine prolonged release in children and adolescent patients (10-17 years of age) with bipolar depression, efficacy was not demonstrated.</w:t>
      </w:r>
    </w:p>
    <w:p w14:paraId="29BB5FB0" w14:textId="77777777" w:rsidR="00D5152C" w:rsidRPr="00CC70C2" w:rsidRDefault="00D5152C" w:rsidP="00954DFE">
      <w:pPr>
        <w:ind w:left="851"/>
        <w:rPr>
          <w:sz w:val="24"/>
          <w:szCs w:val="24"/>
          <w:lang w:val="en-GB"/>
        </w:rPr>
      </w:pPr>
    </w:p>
    <w:p w14:paraId="1452B06B" w14:textId="77777777" w:rsidR="00D5152C" w:rsidRPr="00CC70C2" w:rsidRDefault="00D5152C" w:rsidP="00954DFE">
      <w:pPr>
        <w:ind w:left="851"/>
        <w:rPr>
          <w:sz w:val="24"/>
          <w:szCs w:val="24"/>
          <w:lang w:val="en-GB"/>
        </w:rPr>
      </w:pPr>
      <w:r w:rsidRPr="00CC70C2">
        <w:rPr>
          <w:sz w:val="24"/>
          <w:szCs w:val="24"/>
          <w:lang w:val="en-GB"/>
        </w:rPr>
        <w:t>No data are available on maintenance of effect or recurrence prevention in this age group.</w:t>
      </w:r>
    </w:p>
    <w:p w14:paraId="4346A54E" w14:textId="77777777" w:rsidR="00D5152C" w:rsidRPr="00CC70C2" w:rsidRDefault="00D5152C" w:rsidP="00954DFE">
      <w:pPr>
        <w:ind w:left="851"/>
        <w:rPr>
          <w:sz w:val="24"/>
          <w:szCs w:val="24"/>
          <w:lang w:val="en-GB"/>
        </w:rPr>
      </w:pPr>
    </w:p>
    <w:p w14:paraId="0840702A" w14:textId="77777777" w:rsidR="00D5152C" w:rsidRPr="00CC70C2" w:rsidRDefault="00D5152C" w:rsidP="00954DFE">
      <w:pPr>
        <w:ind w:left="851"/>
        <w:rPr>
          <w:i/>
          <w:sz w:val="24"/>
          <w:szCs w:val="24"/>
          <w:lang w:val="en-GB"/>
        </w:rPr>
      </w:pPr>
      <w:r w:rsidRPr="00CC70C2">
        <w:rPr>
          <w:i/>
          <w:sz w:val="24"/>
          <w:szCs w:val="24"/>
          <w:lang w:val="en-GB"/>
        </w:rPr>
        <w:t>Clinical safety</w:t>
      </w:r>
    </w:p>
    <w:p w14:paraId="2B1BB208" w14:textId="2E40A820" w:rsidR="00D5152C" w:rsidRPr="00CC70C2" w:rsidRDefault="00D5152C" w:rsidP="00954DFE">
      <w:pPr>
        <w:ind w:left="851"/>
        <w:rPr>
          <w:sz w:val="24"/>
          <w:szCs w:val="24"/>
          <w:lang w:val="en-GB"/>
        </w:rPr>
      </w:pPr>
      <w:r w:rsidRPr="00CC70C2">
        <w:rPr>
          <w:sz w:val="24"/>
          <w:szCs w:val="24"/>
          <w:lang w:val="en-GB"/>
        </w:rPr>
        <w:t xml:space="preserve">In the short-term </w:t>
      </w:r>
      <w:proofErr w:type="spellStart"/>
      <w:r w:rsidRPr="00CC70C2">
        <w:rPr>
          <w:sz w:val="24"/>
          <w:szCs w:val="24"/>
          <w:lang w:val="en-GB"/>
        </w:rPr>
        <w:t>pediatric</w:t>
      </w:r>
      <w:proofErr w:type="spellEnd"/>
      <w:r w:rsidRPr="00CC70C2">
        <w:rPr>
          <w:sz w:val="24"/>
          <w:szCs w:val="24"/>
          <w:lang w:val="en-GB"/>
        </w:rPr>
        <w:t xml:space="preserve"> trials with quetiapine described above, the rates of EPS in the active arm vs. placebo were 12.9</w:t>
      </w:r>
      <w:r w:rsidR="00F96C97">
        <w:rPr>
          <w:sz w:val="24"/>
          <w:szCs w:val="24"/>
          <w:lang w:val="en-GB"/>
        </w:rPr>
        <w:t xml:space="preserve"> %</w:t>
      </w:r>
      <w:r w:rsidRPr="00CC70C2">
        <w:rPr>
          <w:sz w:val="24"/>
          <w:szCs w:val="24"/>
          <w:lang w:val="en-GB"/>
        </w:rPr>
        <w:t xml:space="preserve"> vs. 5.3</w:t>
      </w:r>
      <w:r w:rsidR="00F96C97">
        <w:rPr>
          <w:sz w:val="24"/>
          <w:szCs w:val="24"/>
          <w:lang w:val="en-GB"/>
        </w:rPr>
        <w:t xml:space="preserve"> %</w:t>
      </w:r>
      <w:r w:rsidRPr="00CC70C2">
        <w:rPr>
          <w:sz w:val="24"/>
          <w:szCs w:val="24"/>
          <w:lang w:val="en-GB"/>
        </w:rPr>
        <w:t xml:space="preserve"> in the schizophrenia trial, 3.6</w:t>
      </w:r>
      <w:r w:rsidR="00F96C97">
        <w:rPr>
          <w:sz w:val="24"/>
          <w:szCs w:val="24"/>
          <w:lang w:val="en-GB"/>
        </w:rPr>
        <w:t xml:space="preserve"> %</w:t>
      </w:r>
      <w:r w:rsidRPr="00CC70C2">
        <w:rPr>
          <w:sz w:val="24"/>
          <w:szCs w:val="24"/>
          <w:lang w:val="en-GB"/>
        </w:rPr>
        <w:t xml:space="preserve"> vs. 1.1</w:t>
      </w:r>
      <w:r w:rsidR="00F96C97">
        <w:rPr>
          <w:sz w:val="24"/>
          <w:szCs w:val="24"/>
          <w:lang w:val="en-GB"/>
        </w:rPr>
        <w:t xml:space="preserve"> %</w:t>
      </w:r>
      <w:r w:rsidRPr="00CC70C2">
        <w:rPr>
          <w:sz w:val="24"/>
          <w:szCs w:val="24"/>
          <w:lang w:val="en-GB"/>
        </w:rPr>
        <w:t xml:space="preserve"> in the bipolar mania trial, and 1.1</w:t>
      </w:r>
      <w:r w:rsidR="00F96C97">
        <w:rPr>
          <w:sz w:val="24"/>
          <w:szCs w:val="24"/>
          <w:lang w:val="en-GB"/>
        </w:rPr>
        <w:t xml:space="preserve"> %</w:t>
      </w:r>
      <w:r w:rsidRPr="00CC70C2">
        <w:rPr>
          <w:sz w:val="24"/>
          <w:szCs w:val="24"/>
          <w:lang w:val="en-GB"/>
        </w:rPr>
        <w:t xml:space="preserve"> vs. 0</w:t>
      </w:r>
      <w:r w:rsidR="00F96C97">
        <w:rPr>
          <w:sz w:val="24"/>
          <w:szCs w:val="24"/>
          <w:lang w:val="en-GB"/>
        </w:rPr>
        <w:t xml:space="preserve"> %</w:t>
      </w:r>
      <w:r w:rsidRPr="00CC70C2">
        <w:rPr>
          <w:sz w:val="24"/>
          <w:szCs w:val="24"/>
          <w:lang w:val="en-GB"/>
        </w:rPr>
        <w:t xml:space="preserve"> in the bipolar depression trial. The rates of weight gain ≥ 7</w:t>
      </w:r>
      <w:r w:rsidR="00F96C97">
        <w:rPr>
          <w:sz w:val="24"/>
          <w:szCs w:val="24"/>
          <w:lang w:val="en-GB"/>
        </w:rPr>
        <w:t xml:space="preserve"> %</w:t>
      </w:r>
      <w:r w:rsidRPr="00CC70C2">
        <w:rPr>
          <w:sz w:val="24"/>
          <w:szCs w:val="24"/>
          <w:lang w:val="en-GB"/>
        </w:rPr>
        <w:t xml:space="preserve"> of baseline body weight in the active arm vs. placebo were 17</w:t>
      </w:r>
      <w:r w:rsidR="00F96C97">
        <w:rPr>
          <w:sz w:val="24"/>
          <w:szCs w:val="24"/>
          <w:lang w:val="en-GB"/>
        </w:rPr>
        <w:t xml:space="preserve"> %</w:t>
      </w:r>
      <w:r w:rsidRPr="00CC70C2">
        <w:rPr>
          <w:sz w:val="24"/>
          <w:szCs w:val="24"/>
          <w:lang w:val="en-GB"/>
        </w:rPr>
        <w:t xml:space="preserve"> vs. 2.5</w:t>
      </w:r>
      <w:r w:rsidR="008C187F">
        <w:rPr>
          <w:sz w:val="24"/>
          <w:szCs w:val="24"/>
          <w:lang w:val="en-GB"/>
        </w:rPr>
        <w:t> </w:t>
      </w:r>
      <w:r w:rsidR="00F96C97">
        <w:rPr>
          <w:sz w:val="24"/>
          <w:szCs w:val="24"/>
          <w:lang w:val="en-GB"/>
        </w:rPr>
        <w:t>%</w:t>
      </w:r>
      <w:r w:rsidRPr="00CC70C2">
        <w:rPr>
          <w:sz w:val="24"/>
          <w:szCs w:val="24"/>
          <w:lang w:val="en-GB"/>
        </w:rPr>
        <w:t xml:space="preserve"> in the schizophrenia and bipolar mania trials, and 13.7</w:t>
      </w:r>
      <w:r w:rsidR="00F96C97">
        <w:rPr>
          <w:sz w:val="24"/>
          <w:szCs w:val="24"/>
          <w:lang w:val="en-GB"/>
        </w:rPr>
        <w:t xml:space="preserve"> %</w:t>
      </w:r>
      <w:r w:rsidRPr="00CC70C2">
        <w:rPr>
          <w:sz w:val="24"/>
          <w:szCs w:val="24"/>
          <w:lang w:val="en-GB"/>
        </w:rPr>
        <w:t xml:space="preserve"> vs. 6.8</w:t>
      </w:r>
      <w:r w:rsidR="00F96C97">
        <w:rPr>
          <w:sz w:val="24"/>
          <w:szCs w:val="24"/>
          <w:lang w:val="en-GB"/>
        </w:rPr>
        <w:t xml:space="preserve"> %</w:t>
      </w:r>
      <w:r w:rsidRPr="00CC70C2">
        <w:rPr>
          <w:sz w:val="24"/>
          <w:szCs w:val="24"/>
          <w:lang w:val="en-GB"/>
        </w:rPr>
        <w:t xml:space="preserve"> in the bipolar depression trial. The rates of suicide related events in the active arm vs. placebo were 1.4</w:t>
      </w:r>
      <w:r w:rsidR="00F96C97">
        <w:rPr>
          <w:sz w:val="24"/>
          <w:szCs w:val="24"/>
          <w:lang w:val="en-GB"/>
        </w:rPr>
        <w:t xml:space="preserve"> %</w:t>
      </w:r>
      <w:r w:rsidRPr="00CC70C2">
        <w:rPr>
          <w:sz w:val="24"/>
          <w:szCs w:val="24"/>
          <w:lang w:val="en-GB"/>
        </w:rPr>
        <w:t xml:space="preserve"> vs. 1.3</w:t>
      </w:r>
      <w:r w:rsidR="00F96C97">
        <w:rPr>
          <w:sz w:val="24"/>
          <w:szCs w:val="24"/>
          <w:lang w:val="en-GB"/>
        </w:rPr>
        <w:t xml:space="preserve"> %</w:t>
      </w:r>
      <w:r w:rsidRPr="00CC70C2">
        <w:rPr>
          <w:sz w:val="24"/>
          <w:szCs w:val="24"/>
          <w:lang w:val="en-GB"/>
        </w:rPr>
        <w:t xml:space="preserve"> in the schizophrenia trial, 1.0</w:t>
      </w:r>
      <w:r w:rsidR="00F96C97">
        <w:rPr>
          <w:sz w:val="24"/>
          <w:szCs w:val="24"/>
          <w:lang w:val="en-GB"/>
        </w:rPr>
        <w:t xml:space="preserve"> %</w:t>
      </w:r>
      <w:r w:rsidRPr="00CC70C2">
        <w:rPr>
          <w:sz w:val="24"/>
          <w:szCs w:val="24"/>
          <w:lang w:val="en-GB"/>
        </w:rPr>
        <w:t xml:space="preserve"> vs. 0</w:t>
      </w:r>
      <w:r w:rsidR="00F96C97">
        <w:rPr>
          <w:sz w:val="24"/>
          <w:szCs w:val="24"/>
          <w:lang w:val="en-GB"/>
        </w:rPr>
        <w:t xml:space="preserve"> %</w:t>
      </w:r>
      <w:r w:rsidRPr="00CC70C2">
        <w:rPr>
          <w:sz w:val="24"/>
          <w:szCs w:val="24"/>
          <w:lang w:val="en-GB"/>
        </w:rPr>
        <w:t xml:space="preserve"> in the bipolar mania trial, and 1.1</w:t>
      </w:r>
      <w:r w:rsidR="00F96C97">
        <w:rPr>
          <w:sz w:val="24"/>
          <w:szCs w:val="24"/>
          <w:lang w:val="en-GB"/>
        </w:rPr>
        <w:t xml:space="preserve"> %</w:t>
      </w:r>
      <w:r w:rsidRPr="00CC70C2">
        <w:rPr>
          <w:sz w:val="24"/>
          <w:szCs w:val="24"/>
          <w:lang w:val="en-GB"/>
        </w:rPr>
        <w:t xml:space="preserve"> vs. 0</w:t>
      </w:r>
      <w:r w:rsidR="00F96C97">
        <w:rPr>
          <w:sz w:val="24"/>
          <w:szCs w:val="24"/>
          <w:lang w:val="en-GB"/>
        </w:rPr>
        <w:t xml:space="preserve"> %</w:t>
      </w:r>
      <w:r w:rsidRPr="00CC70C2">
        <w:rPr>
          <w:sz w:val="24"/>
          <w:szCs w:val="24"/>
          <w:lang w:val="en-GB"/>
        </w:rPr>
        <w:t xml:space="preserve"> in the bipolar depression trial. During an extended post-treatment follow-up phase of the bipolar depression trial, there were two additional suicide related events in two patients; one of these patients was on quetiapine at the time of the event.</w:t>
      </w:r>
    </w:p>
    <w:p w14:paraId="6089AE47" w14:textId="77777777" w:rsidR="00D5152C" w:rsidRPr="00CC70C2" w:rsidRDefault="00D5152C" w:rsidP="00954DFE">
      <w:pPr>
        <w:ind w:left="851"/>
        <w:rPr>
          <w:sz w:val="24"/>
          <w:szCs w:val="24"/>
          <w:lang w:val="en-GB"/>
        </w:rPr>
      </w:pPr>
    </w:p>
    <w:p w14:paraId="1CEFBDAD" w14:textId="77777777" w:rsidR="00D5152C" w:rsidRPr="00CC70C2" w:rsidRDefault="00D5152C" w:rsidP="00954DFE">
      <w:pPr>
        <w:ind w:left="851"/>
        <w:rPr>
          <w:i/>
          <w:sz w:val="24"/>
          <w:szCs w:val="24"/>
          <w:lang w:val="en-GB"/>
        </w:rPr>
      </w:pPr>
      <w:r w:rsidRPr="00CC70C2">
        <w:rPr>
          <w:i/>
          <w:sz w:val="24"/>
          <w:szCs w:val="24"/>
          <w:lang w:val="en-GB"/>
        </w:rPr>
        <w:t>Long-term safety</w:t>
      </w:r>
    </w:p>
    <w:p w14:paraId="344C4E32" w14:textId="77777777" w:rsidR="00D5152C" w:rsidRPr="00CC70C2" w:rsidRDefault="00D5152C" w:rsidP="00954DFE">
      <w:pPr>
        <w:ind w:left="851"/>
        <w:rPr>
          <w:sz w:val="24"/>
          <w:szCs w:val="24"/>
          <w:lang w:val="en-GB"/>
        </w:rPr>
      </w:pPr>
      <w:r w:rsidRPr="00CC70C2">
        <w:rPr>
          <w:sz w:val="24"/>
          <w:szCs w:val="24"/>
          <w:lang w:val="en-GB"/>
        </w:rPr>
        <w:t>A 26-week open-label extension to the acute trials (n=380 patients), with quetiapine flexibly dosed at 400-800 mg/day, provided additional safety data. Increases in blood pressure were reported in children and adolescents and increased appetite, extrapyramidal symptoms and elevations in serum prolactin were reported with higher frequency in children and adolescents than in adult patients (see sections 4.4 and 4.8).</w:t>
      </w:r>
    </w:p>
    <w:p w14:paraId="6E609E6A" w14:textId="2C606FCE" w:rsidR="00D5152C" w:rsidRPr="00CC70C2" w:rsidRDefault="00D5152C" w:rsidP="00954DFE">
      <w:pPr>
        <w:ind w:left="851"/>
        <w:rPr>
          <w:sz w:val="24"/>
          <w:szCs w:val="24"/>
          <w:lang w:val="en-GB"/>
        </w:rPr>
      </w:pPr>
      <w:r w:rsidRPr="00CC70C2">
        <w:rPr>
          <w:sz w:val="24"/>
          <w:szCs w:val="24"/>
          <w:lang w:val="en-GB"/>
        </w:rPr>
        <w:t>With respect to weight gain, when adjusting for normal growth over the longer term, an increase of at least 0.5 standard deviation from baseline in Body Mass Index (BMI) was used as a measure of a clinically significant change; 18.3</w:t>
      </w:r>
      <w:r w:rsidR="00F96C97">
        <w:rPr>
          <w:sz w:val="24"/>
          <w:szCs w:val="24"/>
          <w:lang w:val="en-GB"/>
        </w:rPr>
        <w:t xml:space="preserve"> %</w:t>
      </w:r>
      <w:r w:rsidRPr="00CC70C2">
        <w:rPr>
          <w:sz w:val="24"/>
          <w:szCs w:val="24"/>
          <w:lang w:val="en-GB"/>
        </w:rPr>
        <w:t xml:space="preserve"> of patients who were treated with quetiapine for at least 26 weeks met this criterion.</w:t>
      </w:r>
    </w:p>
    <w:p w14:paraId="569C478A" w14:textId="77777777" w:rsidR="007C5D2A" w:rsidRPr="00CC70C2" w:rsidRDefault="007C5D2A" w:rsidP="003E0341">
      <w:pPr>
        <w:tabs>
          <w:tab w:val="left" w:pos="851"/>
        </w:tabs>
        <w:ind w:left="851"/>
        <w:rPr>
          <w:sz w:val="24"/>
          <w:szCs w:val="24"/>
          <w:lang w:val="en-GB"/>
        </w:rPr>
      </w:pPr>
    </w:p>
    <w:p w14:paraId="44716B2C" w14:textId="69B2E93B" w:rsidR="007C5D2A" w:rsidRPr="00CC70C2" w:rsidRDefault="007C5D2A" w:rsidP="007C5D2A">
      <w:pPr>
        <w:tabs>
          <w:tab w:val="left" w:pos="851"/>
        </w:tabs>
        <w:ind w:left="851" w:hanging="851"/>
        <w:rPr>
          <w:b/>
          <w:sz w:val="24"/>
          <w:szCs w:val="24"/>
          <w:lang w:val="en-GB"/>
        </w:rPr>
      </w:pPr>
      <w:r w:rsidRPr="00CC70C2">
        <w:rPr>
          <w:b/>
          <w:sz w:val="24"/>
          <w:szCs w:val="24"/>
          <w:lang w:val="en-GB"/>
        </w:rPr>
        <w:t>5.2</w:t>
      </w:r>
      <w:r w:rsidRPr="00CC70C2">
        <w:rPr>
          <w:b/>
          <w:sz w:val="24"/>
          <w:szCs w:val="24"/>
          <w:lang w:val="en-GB"/>
        </w:rPr>
        <w:tab/>
        <w:t>Pharmacokinetic properties</w:t>
      </w:r>
    </w:p>
    <w:p w14:paraId="19C73309" w14:textId="77777777" w:rsidR="005D3884" w:rsidRPr="00CC70C2" w:rsidRDefault="005D3884" w:rsidP="00954DFE">
      <w:pPr>
        <w:ind w:left="851"/>
        <w:rPr>
          <w:color w:val="000000"/>
          <w:sz w:val="24"/>
          <w:szCs w:val="24"/>
          <w:u w:val="single"/>
          <w:lang w:val="en-GB"/>
        </w:rPr>
      </w:pPr>
    </w:p>
    <w:p w14:paraId="4A432703" w14:textId="0FAA77EB" w:rsidR="00D5152C" w:rsidRPr="00CC70C2" w:rsidRDefault="00D5152C" w:rsidP="00954DFE">
      <w:pPr>
        <w:ind w:left="851"/>
        <w:rPr>
          <w:color w:val="000000"/>
          <w:sz w:val="24"/>
          <w:szCs w:val="24"/>
          <w:u w:val="single"/>
          <w:lang w:val="en-GB"/>
        </w:rPr>
      </w:pPr>
      <w:r w:rsidRPr="00CC70C2">
        <w:rPr>
          <w:color w:val="000000"/>
          <w:sz w:val="24"/>
          <w:szCs w:val="24"/>
          <w:u w:val="single"/>
          <w:lang w:val="en-GB"/>
        </w:rPr>
        <w:t>Absorption</w:t>
      </w:r>
    </w:p>
    <w:p w14:paraId="0D3C8472" w14:textId="4DAD2F70" w:rsidR="00D5152C" w:rsidRPr="00CC70C2" w:rsidRDefault="00D5152C" w:rsidP="00954DFE">
      <w:pPr>
        <w:ind w:left="851"/>
        <w:rPr>
          <w:color w:val="000000"/>
          <w:sz w:val="24"/>
          <w:szCs w:val="24"/>
          <w:lang w:val="en-GB"/>
        </w:rPr>
      </w:pPr>
      <w:r w:rsidRPr="00CC70C2">
        <w:rPr>
          <w:color w:val="000000"/>
          <w:sz w:val="24"/>
          <w:szCs w:val="24"/>
          <w:lang w:val="en-GB"/>
        </w:rPr>
        <w:t xml:space="preserve">Quetiapine is well absorbed following oral administration. Quetiapine prolonged release achieves peak quetiapine and </w:t>
      </w:r>
      <w:proofErr w:type="spellStart"/>
      <w:r w:rsidRPr="00CC70C2">
        <w:rPr>
          <w:color w:val="000000"/>
          <w:sz w:val="24"/>
          <w:szCs w:val="24"/>
          <w:lang w:val="en-GB"/>
        </w:rPr>
        <w:t>norquetiapine</w:t>
      </w:r>
      <w:proofErr w:type="spellEnd"/>
      <w:r w:rsidRPr="00CC70C2">
        <w:rPr>
          <w:color w:val="000000"/>
          <w:sz w:val="24"/>
          <w:szCs w:val="24"/>
          <w:lang w:val="en-GB"/>
        </w:rPr>
        <w:t xml:space="preserve"> plasma concentrations at approximately 6 hours after administration (</w:t>
      </w:r>
      <w:proofErr w:type="spellStart"/>
      <w:r w:rsidRPr="00CC70C2">
        <w:rPr>
          <w:color w:val="000000"/>
          <w:sz w:val="24"/>
          <w:szCs w:val="24"/>
          <w:lang w:val="en-GB"/>
        </w:rPr>
        <w:t>T</w:t>
      </w:r>
      <w:r w:rsidRPr="00CC70C2">
        <w:rPr>
          <w:color w:val="000000"/>
          <w:sz w:val="24"/>
          <w:szCs w:val="24"/>
          <w:vertAlign w:val="subscript"/>
          <w:lang w:val="en-GB"/>
        </w:rPr>
        <w:t>max</w:t>
      </w:r>
      <w:proofErr w:type="spellEnd"/>
      <w:r w:rsidRPr="00CC70C2">
        <w:rPr>
          <w:color w:val="000000"/>
          <w:sz w:val="24"/>
          <w:szCs w:val="24"/>
          <w:lang w:val="en-GB"/>
        </w:rPr>
        <w:t xml:space="preserve">). Steady-state peak molar concentrations of the active metabolite </w:t>
      </w:r>
      <w:proofErr w:type="spellStart"/>
      <w:r w:rsidRPr="00CC70C2">
        <w:rPr>
          <w:color w:val="000000"/>
          <w:sz w:val="24"/>
          <w:szCs w:val="24"/>
          <w:lang w:val="en-GB"/>
        </w:rPr>
        <w:t>norquetiapine</w:t>
      </w:r>
      <w:proofErr w:type="spellEnd"/>
      <w:r w:rsidRPr="00CC70C2">
        <w:rPr>
          <w:color w:val="000000"/>
          <w:sz w:val="24"/>
          <w:szCs w:val="24"/>
          <w:lang w:val="en-GB"/>
        </w:rPr>
        <w:t xml:space="preserve"> are 35</w:t>
      </w:r>
      <w:r w:rsidR="00F96C97">
        <w:rPr>
          <w:color w:val="000000"/>
          <w:sz w:val="24"/>
          <w:szCs w:val="24"/>
          <w:lang w:val="en-GB"/>
        </w:rPr>
        <w:t xml:space="preserve"> %</w:t>
      </w:r>
      <w:r w:rsidRPr="00CC70C2">
        <w:rPr>
          <w:color w:val="000000"/>
          <w:sz w:val="24"/>
          <w:szCs w:val="24"/>
          <w:lang w:val="en-GB"/>
        </w:rPr>
        <w:t xml:space="preserve"> of that observed for quetiapine.</w:t>
      </w:r>
    </w:p>
    <w:p w14:paraId="65B1C189" w14:textId="77777777" w:rsidR="00D5152C" w:rsidRPr="00CC70C2" w:rsidRDefault="00D5152C" w:rsidP="00954DFE">
      <w:pPr>
        <w:ind w:left="851"/>
        <w:rPr>
          <w:color w:val="000000"/>
          <w:sz w:val="24"/>
          <w:szCs w:val="24"/>
          <w:lang w:val="en-GB"/>
        </w:rPr>
      </w:pPr>
    </w:p>
    <w:p w14:paraId="6F5A807B" w14:textId="4374EE47" w:rsidR="00D5152C" w:rsidRPr="00CC70C2" w:rsidRDefault="00D5152C" w:rsidP="00954DFE">
      <w:pPr>
        <w:ind w:left="851"/>
        <w:rPr>
          <w:color w:val="000000"/>
          <w:sz w:val="24"/>
          <w:szCs w:val="24"/>
          <w:lang w:val="en-GB"/>
        </w:rPr>
      </w:pPr>
      <w:r w:rsidRPr="00CC70C2">
        <w:rPr>
          <w:color w:val="000000"/>
          <w:sz w:val="24"/>
          <w:szCs w:val="24"/>
          <w:lang w:val="en-GB"/>
        </w:rPr>
        <w:t xml:space="preserve">The pharmacokinetics of quetiapine and </w:t>
      </w:r>
      <w:proofErr w:type="spellStart"/>
      <w:r w:rsidRPr="00CC70C2">
        <w:rPr>
          <w:color w:val="000000"/>
          <w:sz w:val="24"/>
          <w:szCs w:val="24"/>
          <w:lang w:val="en-GB"/>
        </w:rPr>
        <w:t>norquetiapine</w:t>
      </w:r>
      <w:proofErr w:type="spellEnd"/>
      <w:r w:rsidRPr="00CC70C2">
        <w:rPr>
          <w:color w:val="000000"/>
          <w:sz w:val="24"/>
          <w:szCs w:val="24"/>
          <w:lang w:val="en-GB"/>
        </w:rPr>
        <w:t xml:space="preserve"> are linear and dose-proportional for doses up to 800 mg administered once daily. When quetiapine prolonged release administered once daily is compared to the same total daily dose of immediate-release quetiapine fumarate administered twice daily, the area under the plasma concentration-time curve (AUC) is equivalent, but the maximum plasma concentration (</w:t>
      </w:r>
      <w:proofErr w:type="spellStart"/>
      <w:r w:rsidRPr="00CC70C2">
        <w:rPr>
          <w:color w:val="000000"/>
          <w:sz w:val="24"/>
          <w:szCs w:val="24"/>
          <w:lang w:val="en-GB"/>
        </w:rPr>
        <w:t>C</w:t>
      </w:r>
      <w:r w:rsidRPr="00CC70C2">
        <w:rPr>
          <w:color w:val="000000"/>
          <w:sz w:val="24"/>
          <w:szCs w:val="24"/>
          <w:vertAlign w:val="subscript"/>
          <w:lang w:val="en-GB"/>
        </w:rPr>
        <w:t>max</w:t>
      </w:r>
      <w:proofErr w:type="spellEnd"/>
      <w:r w:rsidRPr="00CC70C2">
        <w:rPr>
          <w:color w:val="000000"/>
          <w:sz w:val="24"/>
          <w:szCs w:val="24"/>
          <w:lang w:val="en-GB"/>
        </w:rPr>
        <w:t>) is 13</w:t>
      </w:r>
      <w:r w:rsidR="00F96C97">
        <w:rPr>
          <w:color w:val="000000"/>
          <w:sz w:val="24"/>
          <w:szCs w:val="24"/>
          <w:lang w:val="en-GB"/>
        </w:rPr>
        <w:t xml:space="preserve"> %</w:t>
      </w:r>
      <w:r w:rsidRPr="00CC70C2">
        <w:rPr>
          <w:color w:val="000000"/>
          <w:sz w:val="24"/>
          <w:szCs w:val="24"/>
          <w:lang w:val="en-GB"/>
        </w:rPr>
        <w:t xml:space="preserve"> lower at steady state. When quetiapine prolonged release is compared to quetiapine immediate release, the </w:t>
      </w:r>
      <w:proofErr w:type="spellStart"/>
      <w:r w:rsidRPr="00CC70C2">
        <w:rPr>
          <w:color w:val="000000"/>
          <w:sz w:val="24"/>
          <w:szCs w:val="24"/>
          <w:lang w:val="en-GB"/>
        </w:rPr>
        <w:t>norquetiapine</w:t>
      </w:r>
      <w:proofErr w:type="spellEnd"/>
      <w:r w:rsidRPr="00CC70C2">
        <w:rPr>
          <w:color w:val="000000"/>
          <w:sz w:val="24"/>
          <w:szCs w:val="24"/>
          <w:lang w:val="en-GB"/>
        </w:rPr>
        <w:t xml:space="preserve"> metabolite AUC is 18</w:t>
      </w:r>
      <w:r w:rsidR="00F96C97">
        <w:rPr>
          <w:color w:val="000000"/>
          <w:sz w:val="24"/>
          <w:szCs w:val="24"/>
          <w:lang w:val="en-GB"/>
        </w:rPr>
        <w:t xml:space="preserve"> %</w:t>
      </w:r>
      <w:r w:rsidRPr="00CC70C2">
        <w:rPr>
          <w:color w:val="000000"/>
          <w:sz w:val="24"/>
          <w:szCs w:val="24"/>
          <w:lang w:val="en-GB"/>
        </w:rPr>
        <w:t xml:space="preserve"> lower.</w:t>
      </w:r>
    </w:p>
    <w:p w14:paraId="7DFFD51B" w14:textId="71D33061" w:rsidR="00D5152C" w:rsidRPr="00CC70C2" w:rsidRDefault="00D5152C" w:rsidP="00954DFE">
      <w:pPr>
        <w:ind w:left="851"/>
        <w:rPr>
          <w:color w:val="000000"/>
          <w:sz w:val="24"/>
          <w:szCs w:val="24"/>
          <w:lang w:val="en-GB"/>
        </w:rPr>
      </w:pPr>
      <w:r w:rsidRPr="00CC70C2">
        <w:rPr>
          <w:color w:val="000000"/>
          <w:sz w:val="24"/>
          <w:szCs w:val="24"/>
          <w:lang w:val="en-GB"/>
        </w:rPr>
        <w:t xml:space="preserve">In a study examining the effects of food on the bioavailability of quetiapine, a high-fat meal was found to produce statistically significant increases in the quetiapine prolonged release </w:t>
      </w:r>
      <w:proofErr w:type="spellStart"/>
      <w:r w:rsidRPr="00CC70C2">
        <w:rPr>
          <w:color w:val="000000"/>
          <w:sz w:val="24"/>
          <w:szCs w:val="24"/>
          <w:lang w:val="en-GB"/>
        </w:rPr>
        <w:t>C</w:t>
      </w:r>
      <w:r w:rsidRPr="00CC70C2">
        <w:rPr>
          <w:color w:val="000000"/>
          <w:sz w:val="24"/>
          <w:szCs w:val="24"/>
          <w:vertAlign w:val="subscript"/>
          <w:lang w:val="en-GB"/>
        </w:rPr>
        <w:t>max</w:t>
      </w:r>
      <w:proofErr w:type="spellEnd"/>
      <w:r w:rsidRPr="00CC70C2">
        <w:rPr>
          <w:color w:val="000000"/>
          <w:sz w:val="24"/>
          <w:szCs w:val="24"/>
          <w:lang w:val="en-GB"/>
        </w:rPr>
        <w:t xml:space="preserve"> and AUC of approximately 50</w:t>
      </w:r>
      <w:r w:rsidR="00F96C97">
        <w:rPr>
          <w:color w:val="000000"/>
          <w:sz w:val="24"/>
          <w:szCs w:val="24"/>
          <w:lang w:val="en-GB"/>
        </w:rPr>
        <w:t xml:space="preserve"> %</w:t>
      </w:r>
      <w:r w:rsidRPr="00CC70C2">
        <w:rPr>
          <w:color w:val="000000"/>
          <w:sz w:val="24"/>
          <w:szCs w:val="24"/>
          <w:lang w:val="en-GB"/>
        </w:rPr>
        <w:t xml:space="preserve"> and 20</w:t>
      </w:r>
      <w:r w:rsidR="00F96C97">
        <w:rPr>
          <w:color w:val="000000"/>
          <w:sz w:val="24"/>
          <w:szCs w:val="24"/>
          <w:lang w:val="en-GB"/>
        </w:rPr>
        <w:t xml:space="preserve"> %</w:t>
      </w:r>
      <w:r w:rsidRPr="00CC70C2">
        <w:rPr>
          <w:color w:val="000000"/>
          <w:sz w:val="24"/>
          <w:szCs w:val="24"/>
          <w:lang w:val="en-GB"/>
        </w:rPr>
        <w:t xml:space="preserve"> respectively., It cannot be excluded that the effect of a high fat meal on the formulation may be larger. In comparison, a light meal had no significant effect on the </w:t>
      </w:r>
      <w:proofErr w:type="spellStart"/>
      <w:r w:rsidRPr="00CC70C2">
        <w:rPr>
          <w:color w:val="000000"/>
          <w:sz w:val="24"/>
          <w:szCs w:val="24"/>
          <w:lang w:val="en-GB"/>
        </w:rPr>
        <w:t>C</w:t>
      </w:r>
      <w:r w:rsidRPr="00CC70C2">
        <w:rPr>
          <w:color w:val="000000"/>
          <w:sz w:val="24"/>
          <w:szCs w:val="24"/>
          <w:vertAlign w:val="subscript"/>
          <w:lang w:val="en-GB"/>
        </w:rPr>
        <w:t>max</w:t>
      </w:r>
      <w:proofErr w:type="spellEnd"/>
      <w:r w:rsidRPr="00CC70C2">
        <w:rPr>
          <w:color w:val="000000"/>
          <w:sz w:val="24"/>
          <w:szCs w:val="24"/>
          <w:lang w:val="en-GB"/>
        </w:rPr>
        <w:t xml:space="preserve"> or AUC of quetiapine. It is recommended that quetiapine prolonged release is taken once daily without food.</w:t>
      </w:r>
    </w:p>
    <w:p w14:paraId="5A9F78B3" w14:textId="77777777" w:rsidR="00D5152C" w:rsidRPr="00CC70C2" w:rsidRDefault="00D5152C" w:rsidP="00954DFE">
      <w:pPr>
        <w:ind w:left="851"/>
        <w:rPr>
          <w:color w:val="000000"/>
          <w:sz w:val="24"/>
          <w:szCs w:val="24"/>
          <w:lang w:val="en-GB"/>
        </w:rPr>
      </w:pPr>
    </w:p>
    <w:p w14:paraId="32E649AA" w14:textId="77777777" w:rsidR="00D5152C" w:rsidRPr="00CC70C2" w:rsidRDefault="00D5152C" w:rsidP="00954DFE">
      <w:pPr>
        <w:ind w:left="851"/>
        <w:rPr>
          <w:color w:val="000000"/>
          <w:sz w:val="24"/>
          <w:szCs w:val="24"/>
          <w:u w:val="single"/>
          <w:lang w:val="en-GB"/>
        </w:rPr>
      </w:pPr>
      <w:r w:rsidRPr="00CC70C2">
        <w:rPr>
          <w:color w:val="000000"/>
          <w:sz w:val="24"/>
          <w:szCs w:val="24"/>
          <w:u w:val="single"/>
          <w:lang w:val="en-GB"/>
        </w:rPr>
        <w:t>Distribution</w:t>
      </w:r>
    </w:p>
    <w:p w14:paraId="47A4C20B" w14:textId="21930E5F" w:rsidR="00D5152C" w:rsidRPr="00CC70C2" w:rsidRDefault="00D5152C" w:rsidP="00954DFE">
      <w:pPr>
        <w:ind w:left="851"/>
        <w:rPr>
          <w:color w:val="000000"/>
          <w:sz w:val="24"/>
          <w:szCs w:val="24"/>
          <w:lang w:val="en-GB"/>
        </w:rPr>
      </w:pPr>
      <w:r w:rsidRPr="00CC70C2">
        <w:rPr>
          <w:color w:val="000000"/>
          <w:sz w:val="24"/>
          <w:szCs w:val="24"/>
          <w:lang w:val="en-GB"/>
        </w:rPr>
        <w:t>Quetiapine is approximately 83</w:t>
      </w:r>
      <w:r w:rsidR="00F96C97">
        <w:rPr>
          <w:color w:val="000000"/>
          <w:sz w:val="24"/>
          <w:szCs w:val="24"/>
          <w:lang w:val="en-GB"/>
        </w:rPr>
        <w:t xml:space="preserve"> %</w:t>
      </w:r>
      <w:r w:rsidRPr="00CC70C2">
        <w:rPr>
          <w:color w:val="000000"/>
          <w:sz w:val="24"/>
          <w:szCs w:val="24"/>
          <w:lang w:val="en-GB"/>
        </w:rPr>
        <w:t xml:space="preserve"> bound to plasma proteins.</w:t>
      </w:r>
    </w:p>
    <w:p w14:paraId="16B4FE2F" w14:textId="77777777" w:rsidR="00D5152C" w:rsidRPr="00CC70C2" w:rsidRDefault="00D5152C" w:rsidP="00954DFE">
      <w:pPr>
        <w:ind w:left="851"/>
        <w:rPr>
          <w:color w:val="000000"/>
          <w:sz w:val="24"/>
          <w:szCs w:val="24"/>
          <w:lang w:val="en-GB"/>
        </w:rPr>
      </w:pPr>
    </w:p>
    <w:p w14:paraId="388810EA" w14:textId="77777777" w:rsidR="00D5152C" w:rsidRPr="00CC70C2" w:rsidRDefault="00D5152C" w:rsidP="00954DFE">
      <w:pPr>
        <w:ind w:left="851"/>
        <w:rPr>
          <w:color w:val="000000"/>
          <w:sz w:val="24"/>
          <w:szCs w:val="24"/>
          <w:lang w:val="en-GB"/>
        </w:rPr>
      </w:pPr>
      <w:r w:rsidRPr="00CC70C2">
        <w:rPr>
          <w:color w:val="000000"/>
          <w:sz w:val="24"/>
          <w:szCs w:val="24"/>
          <w:u w:val="single"/>
          <w:lang w:val="en-GB"/>
        </w:rPr>
        <w:t>Biotransformation</w:t>
      </w:r>
    </w:p>
    <w:p w14:paraId="56FDB18E" w14:textId="5697462C" w:rsidR="00D5152C" w:rsidRPr="00CC70C2" w:rsidRDefault="00D5152C" w:rsidP="00954DFE">
      <w:pPr>
        <w:ind w:left="851"/>
        <w:rPr>
          <w:color w:val="000000"/>
          <w:sz w:val="24"/>
          <w:szCs w:val="24"/>
          <w:lang w:val="en-GB"/>
        </w:rPr>
      </w:pPr>
      <w:r w:rsidRPr="00CC70C2">
        <w:rPr>
          <w:color w:val="000000"/>
          <w:sz w:val="24"/>
          <w:szCs w:val="24"/>
          <w:lang w:val="en-GB"/>
        </w:rPr>
        <w:t>Quetiapine is extensively metabolised by the liver, with parent compound accounting for less than 5</w:t>
      </w:r>
      <w:r w:rsidR="00F96C97">
        <w:rPr>
          <w:color w:val="000000"/>
          <w:sz w:val="24"/>
          <w:szCs w:val="24"/>
          <w:lang w:val="en-GB"/>
        </w:rPr>
        <w:t xml:space="preserve"> %</w:t>
      </w:r>
      <w:r w:rsidRPr="00CC70C2">
        <w:rPr>
          <w:color w:val="000000"/>
          <w:sz w:val="24"/>
          <w:szCs w:val="24"/>
          <w:lang w:val="en-GB"/>
        </w:rPr>
        <w:t xml:space="preserve"> of unchanged active substance in the urine or faeces, following the administration of radiolabelled quetiapine.</w:t>
      </w:r>
    </w:p>
    <w:p w14:paraId="5D91788A" w14:textId="77777777" w:rsidR="00D5152C" w:rsidRPr="00CC70C2" w:rsidRDefault="00D5152C" w:rsidP="00954DFE">
      <w:pPr>
        <w:ind w:left="851"/>
        <w:rPr>
          <w:color w:val="000000"/>
          <w:sz w:val="24"/>
          <w:szCs w:val="24"/>
          <w:lang w:val="en-GB"/>
        </w:rPr>
      </w:pPr>
      <w:r w:rsidRPr="00CC70C2">
        <w:rPr>
          <w:i/>
          <w:iCs/>
          <w:color w:val="000000"/>
          <w:sz w:val="24"/>
          <w:szCs w:val="24"/>
          <w:lang w:val="en-GB"/>
        </w:rPr>
        <w:t xml:space="preserve">In vitro </w:t>
      </w:r>
      <w:r w:rsidRPr="00CC70C2">
        <w:rPr>
          <w:color w:val="000000"/>
          <w:sz w:val="24"/>
          <w:szCs w:val="24"/>
          <w:lang w:val="en-GB"/>
        </w:rPr>
        <w:t xml:space="preserve">investigations established that CYP3A4 is the primary enzyme responsible for cytochrome P450 mediated metabolism of quetiapine. </w:t>
      </w:r>
      <w:proofErr w:type="spellStart"/>
      <w:r w:rsidRPr="00CC70C2">
        <w:rPr>
          <w:color w:val="000000"/>
          <w:sz w:val="24"/>
          <w:szCs w:val="24"/>
          <w:lang w:val="en-GB"/>
        </w:rPr>
        <w:t>Norquetiapine</w:t>
      </w:r>
      <w:proofErr w:type="spellEnd"/>
      <w:r w:rsidRPr="00CC70C2">
        <w:rPr>
          <w:color w:val="000000"/>
          <w:sz w:val="24"/>
          <w:szCs w:val="24"/>
          <w:lang w:val="en-GB"/>
        </w:rPr>
        <w:t xml:space="preserve"> is primarily formed and eliminated via CYP3A4.</w:t>
      </w:r>
    </w:p>
    <w:p w14:paraId="30CA2BD0" w14:textId="77777777" w:rsidR="00D5152C" w:rsidRPr="00CC70C2" w:rsidRDefault="00D5152C" w:rsidP="00954DFE">
      <w:pPr>
        <w:ind w:left="851"/>
        <w:rPr>
          <w:color w:val="000000"/>
          <w:sz w:val="24"/>
          <w:szCs w:val="24"/>
          <w:lang w:val="en-GB"/>
        </w:rPr>
      </w:pPr>
    </w:p>
    <w:p w14:paraId="56FF90B2" w14:textId="77777777" w:rsidR="00D5152C" w:rsidRPr="00CC70C2" w:rsidRDefault="00D5152C" w:rsidP="00954DFE">
      <w:pPr>
        <w:ind w:left="851"/>
        <w:rPr>
          <w:color w:val="000000"/>
          <w:sz w:val="24"/>
          <w:szCs w:val="24"/>
          <w:lang w:val="en-GB"/>
        </w:rPr>
      </w:pPr>
      <w:r w:rsidRPr="00CC70C2">
        <w:rPr>
          <w:color w:val="000000"/>
          <w:sz w:val="24"/>
          <w:szCs w:val="24"/>
          <w:lang w:val="en-GB"/>
        </w:rPr>
        <w:t xml:space="preserve">Quetiapine and several of its metabolites (including </w:t>
      </w:r>
      <w:proofErr w:type="spellStart"/>
      <w:r w:rsidRPr="00CC70C2">
        <w:rPr>
          <w:color w:val="000000"/>
          <w:sz w:val="24"/>
          <w:szCs w:val="24"/>
          <w:lang w:val="en-GB"/>
        </w:rPr>
        <w:t>norquetiapine</w:t>
      </w:r>
      <w:proofErr w:type="spellEnd"/>
      <w:r w:rsidRPr="00CC70C2">
        <w:rPr>
          <w:color w:val="000000"/>
          <w:sz w:val="24"/>
          <w:szCs w:val="24"/>
          <w:lang w:val="en-GB"/>
        </w:rPr>
        <w:t xml:space="preserve">) were found to be weak inhibitors of human cytochrome P450 1A2, 2C9, 2C19, 2D6 and 3A4 activities </w:t>
      </w:r>
      <w:r w:rsidRPr="00CC70C2">
        <w:rPr>
          <w:i/>
          <w:color w:val="000000"/>
          <w:sz w:val="24"/>
          <w:szCs w:val="24"/>
          <w:lang w:val="en-GB"/>
        </w:rPr>
        <w:t>in vitro</w:t>
      </w:r>
      <w:r w:rsidRPr="00CC70C2">
        <w:rPr>
          <w:color w:val="000000"/>
          <w:sz w:val="24"/>
          <w:szCs w:val="24"/>
          <w:lang w:val="en-GB"/>
        </w:rPr>
        <w:t xml:space="preserve">. </w:t>
      </w:r>
      <w:r w:rsidRPr="00CC70C2">
        <w:rPr>
          <w:i/>
          <w:color w:val="000000"/>
          <w:sz w:val="24"/>
          <w:szCs w:val="24"/>
          <w:lang w:val="en-GB"/>
        </w:rPr>
        <w:t>In vitro</w:t>
      </w:r>
      <w:r w:rsidRPr="00CC70C2">
        <w:rPr>
          <w:color w:val="000000"/>
          <w:sz w:val="24"/>
          <w:szCs w:val="24"/>
          <w:lang w:val="en-GB"/>
        </w:rPr>
        <w:t xml:space="preserve"> CYP inhibition is observed only at concentrations approximately 5 to </w:t>
      </w:r>
      <w:proofErr w:type="gramStart"/>
      <w:r w:rsidRPr="00CC70C2">
        <w:rPr>
          <w:color w:val="000000"/>
          <w:sz w:val="24"/>
          <w:szCs w:val="24"/>
          <w:lang w:val="en-GB"/>
        </w:rPr>
        <w:t>50 fold</w:t>
      </w:r>
      <w:proofErr w:type="gramEnd"/>
      <w:r w:rsidRPr="00CC70C2">
        <w:rPr>
          <w:color w:val="000000"/>
          <w:sz w:val="24"/>
          <w:szCs w:val="24"/>
          <w:lang w:val="en-GB"/>
        </w:rPr>
        <w:t xml:space="preserve"> higher than those observed at a dose range of 300 to 800 mg/day in humans. Based on these </w:t>
      </w:r>
      <w:r w:rsidRPr="00CC70C2">
        <w:rPr>
          <w:i/>
          <w:color w:val="000000"/>
          <w:sz w:val="24"/>
          <w:szCs w:val="24"/>
          <w:lang w:val="en-GB"/>
        </w:rPr>
        <w:t>in vitro</w:t>
      </w:r>
      <w:r w:rsidRPr="00CC70C2">
        <w:rPr>
          <w:color w:val="000000"/>
          <w:sz w:val="24"/>
          <w:szCs w:val="24"/>
          <w:lang w:val="en-GB"/>
        </w:rPr>
        <w:t xml:space="preserve"> results, it is unlikely that co-administration of quetiapine with other medicinal products will result in clinically significant inhibition of cytochrome P450 mediated metabolism of the other active substances. From animal studies it appears that quetiapine can induce cytochrome P450 enzymes. In a specific interaction study in psychotic patients, however, no increase in the cytochrome P450 activity was found after administration of quetiapine.</w:t>
      </w:r>
    </w:p>
    <w:p w14:paraId="255ED71B" w14:textId="77777777" w:rsidR="00D5152C" w:rsidRPr="00CC70C2" w:rsidRDefault="00D5152C" w:rsidP="00954DFE">
      <w:pPr>
        <w:ind w:left="851"/>
        <w:rPr>
          <w:color w:val="000000"/>
          <w:sz w:val="24"/>
          <w:szCs w:val="24"/>
          <w:lang w:val="en-GB"/>
        </w:rPr>
      </w:pPr>
    </w:p>
    <w:p w14:paraId="426EE380" w14:textId="77777777" w:rsidR="00D5152C" w:rsidRPr="00CC70C2" w:rsidRDefault="00D5152C" w:rsidP="00954DFE">
      <w:pPr>
        <w:ind w:left="851"/>
        <w:rPr>
          <w:color w:val="000000"/>
          <w:sz w:val="24"/>
          <w:szCs w:val="24"/>
          <w:lang w:val="en-GB"/>
        </w:rPr>
      </w:pPr>
      <w:r w:rsidRPr="00CC70C2">
        <w:rPr>
          <w:color w:val="000000"/>
          <w:sz w:val="24"/>
          <w:szCs w:val="24"/>
          <w:u w:val="single"/>
          <w:lang w:val="en-GB"/>
        </w:rPr>
        <w:t>Elimination</w:t>
      </w:r>
    </w:p>
    <w:p w14:paraId="331A8449" w14:textId="51009247" w:rsidR="00D5152C" w:rsidRPr="00CC70C2" w:rsidRDefault="00D5152C" w:rsidP="00954DFE">
      <w:pPr>
        <w:ind w:left="851"/>
        <w:rPr>
          <w:color w:val="000000"/>
          <w:sz w:val="24"/>
          <w:szCs w:val="24"/>
          <w:lang w:val="en-GB"/>
        </w:rPr>
      </w:pPr>
      <w:r w:rsidRPr="00CC70C2">
        <w:rPr>
          <w:color w:val="000000"/>
          <w:sz w:val="24"/>
          <w:szCs w:val="24"/>
          <w:lang w:val="en-GB"/>
        </w:rPr>
        <w:t xml:space="preserve">The elimination half-lives of quetiapine and </w:t>
      </w:r>
      <w:proofErr w:type="spellStart"/>
      <w:r w:rsidRPr="00CC70C2">
        <w:rPr>
          <w:color w:val="000000"/>
          <w:sz w:val="24"/>
          <w:szCs w:val="24"/>
          <w:lang w:val="en-GB"/>
        </w:rPr>
        <w:t>norquetiapine</w:t>
      </w:r>
      <w:proofErr w:type="spellEnd"/>
      <w:r w:rsidRPr="00CC70C2">
        <w:rPr>
          <w:color w:val="000000"/>
          <w:sz w:val="24"/>
          <w:szCs w:val="24"/>
          <w:lang w:val="en-GB"/>
        </w:rPr>
        <w:t xml:space="preserve"> are approximately 7 and 12 hours, respectively. Approximately 73</w:t>
      </w:r>
      <w:r w:rsidR="00F96C97">
        <w:rPr>
          <w:color w:val="000000"/>
          <w:sz w:val="24"/>
          <w:szCs w:val="24"/>
          <w:lang w:val="en-GB"/>
        </w:rPr>
        <w:t xml:space="preserve"> %</w:t>
      </w:r>
      <w:r w:rsidRPr="00CC70C2">
        <w:rPr>
          <w:color w:val="000000"/>
          <w:sz w:val="24"/>
          <w:szCs w:val="24"/>
          <w:lang w:val="en-GB"/>
        </w:rPr>
        <w:t xml:space="preserve"> of a radiolabelled active substance was excreted in the urine and 21</w:t>
      </w:r>
      <w:r w:rsidR="00F96C97">
        <w:rPr>
          <w:color w:val="000000"/>
          <w:sz w:val="24"/>
          <w:szCs w:val="24"/>
          <w:lang w:val="en-GB"/>
        </w:rPr>
        <w:t xml:space="preserve"> %</w:t>
      </w:r>
      <w:r w:rsidRPr="00CC70C2">
        <w:rPr>
          <w:color w:val="000000"/>
          <w:sz w:val="24"/>
          <w:szCs w:val="24"/>
          <w:lang w:val="en-GB"/>
        </w:rPr>
        <w:t xml:space="preserve"> in the faeces with less than 5</w:t>
      </w:r>
      <w:r w:rsidR="00F96C97">
        <w:rPr>
          <w:color w:val="000000"/>
          <w:sz w:val="24"/>
          <w:szCs w:val="24"/>
          <w:lang w:val="en-GB"/>
        </w:rPr>
        <w:t xml:space="preserve"> %</w:t>
      </w:r>
      <w:r w:rsidRPr="00CC70C2">
        <w:rPr>
          <w:color w:val="000000"/>
          <w:sz w:val="24"/>
          <w:szCs w:val="24"/>
          <w:lang w:val="en-GB"/>
        </w:rPr>
        <w:t xml:space="preserve"> of the total radioactivity representing unchanged active substance. The average molar dose fraction of free quetiapine and the active human plasma metabolite </w:t>
      </w:r>
      <w:proofErr w:type="spellStart"/>
      <w:r w:rsidRPr="00CC70C2">
        <w:rPr>
          <w:color w:val="000000"/>
          <w:sz w:val="24"/>
          <w:szCs w:val="24"/>
          <w:lang w:val="en-GB"/>
        </w:rPr>
        <w:t>norquetiapine</w:t>
      </w:r>
      <w:proofErr w:type="spellEnd"/>
      <w:r w:rsidRPr="00CC70C2">
        <w:rPr>
          <w:color w:val="000000"/>
          <w:sz w:val="24"/>
          <w:szCs w:val="24"/>
          <w:lang w:val="en-GB"/>
        </w:rPr>
        <w:t xml:space="preserve"> is &lt;5</w:t>
      </w:r>
      <w:r w:rsidR="00F96C97">
        <w:rPr>
          <w:color w:val="000000"/>
          <w:sz w:val="24"/>
          <w:szCs w:val="24"/>
          <w:lang w:val="en-GB"/>
        </w:rPr>
        <w:t xml:space="preserve"> %</w:t>
      </w:r>
      <w:r w:rsidRPr="00CC70C2">
        <w:rPr>
          <w:color w:val="000000"/>
          <w:sz w:val="24"/>
          <w:szCs w:val="24"/>
          <w:lang w:val="en-GB"/>
        </w:rPr>
        <w:t xml:space="preserve"> excreted in the urine.</w:t>
      </w:r>
    </w:p>
    <w:p w14:paraId="1B51B5BF" w14:textId="77777777" w:rsidR="00D5152C" w:rsidRPr="00CC70C2" w:rsidRDefault="00D5152C" w:rsidP="00954DFE">
      <w:pPr>
        <w:ind w:left="851"/>
        <w:rPr>
          <w:i/>
          <w:iCs/>
          <w:color w:val="000000"/>
          <w:sz w:val="24"/>
          <w:szCs w:val="24"/>
          <w:lang w:val="en-GB"/>
        </w:rPr>
      </w:pPr>
    </w:p>
    <w:p w14:paraId="28B60FF8" w14:textId="77777777" w:rsidR="00D5152C" w:rsidRPr="00CC70C2" w:rsidRDefault="00D5152C" w:rsidP="00954DFE">
      <w:pPr>
        <w:ind w:left="851"/>
        <w:rPr>
          <w:iCs/>
          <w:color w:val="000000"/>
          <w:sz w:val="24"/>
          <w:szCs w:val="24"/>
          <w:u w:val="single"/>
          <w:lang w:val="en-GB"/>
        </w:rPr>
      </w:pPr>
      <w:r w:rsidRPr="00CC70C2">
        <w:rPr>
          <w:iCs/>
          <w:color w:val="000000"/>
          <w:sz w:val="24"/>
          <w:szCs w:val="24"/>
          <w:u w:val="single"/>
          <w:lang w:val="en-GB"/>
        </w:rPr>
        <w:t>Special populations</w:t>
      </w:r>
    </w:p>
    <w:p w14:paraId="6B8F5DAE" w14:textId="77777777" w:rsidR="00D5152C" w:rsidRPr="00CC70C2" w:rsidRDefault="00D5152C" w:rsidP="00954DFE">
      <w:pPr>
        <w:ind w:left="851"/>
        <w:rPr>
          <w:i/>
          <w:color w:val="000000"/>
          <w:sz w:val="24"/>
          <w:szCs w:val="24"/>
          <w:lang w:val="en-GB"/>
        </w:rPr>
      </w:pPr>
      <w:r w:rsidRPr="00CC70C2">
        <w:rPr>
          <w:i/>
          <w:color w:val="000000"/>
          <w:sz w:val="24"/>
          <w:szCs w:val="24"/>
          <w:lang w:val="en-GB"/>
        </w:rPr>
        <w:t>Gender</w:t>
      </w:r>
    </w:p>
    <w:p w14:paraId="7609CC13" w14:textId="77777777" w:rsidR="00D5152C" w:rsidRPr="00CC70C2" w:rsidRDefault="00D5152C" w:rsidP="00954DFE">
      <w:pPr>
        <w:ind w:left="851"/>
        <w:rPr>
          <w:color w:val="000000"/>
          <w:sz w:val="24"/>
          <w:szCs w:val="24"/>
          <w:lang w:val="en-GB"/>
        </w:rPr>
      </w:pPr>
      <w:r w:rsidRPr="00CC70C2">
        <w:rPr>
          <w:color w:val="000000"/>
          <w:sz w:val="24"/>
          <w:szCs w:val="24"/>
          <w:lang w:val="en-GB"/>
        </w:rPr>
        <w:t>The pharmacokinetics of quetiapine does not differ between men and women.</w:t>
      </w:r>
    </w:p>
    <w:p w14:paraId="70E6FC72" w14:textId="77777777" w:rsidR="00D5152C" w:rsidRPr="00CC70C2" w:rsidRDefault="00D5152C" w:rsidP="00954DFE">
      <w:pPr>
        <w:ind w:left="851"/>
        <w:rPr>
          <w:color w:val="000000"/>
          <w:sz w:val="24"/>
          <w:szCs w:val="24"/>
          <w:lang w:val="en-GB"/>
        </w:rPr>
      </w:pPr>
    </w:p>
    <w:p w14:paraId="686F91E1" w14:textId="77777777" w:rsidR="00D5152C" w:rsidRPr="00CC70C2" w:rsidRDefault="00D5152C" w:rsidP="00954DFE">
      <w:pPr>
        <w:ind w:left="851"/>
        <w:rPr>
          <w:i/>
          <w:color w:val="000000"/>
          <w:sz w:val="24"/>
          <w:szCs w:val="24"/>
          <w:lang w:val="en-GB"/>
        </w:rPr>
      </w:pPr>
      <w:r w:rsidRPr="00CC70C2">
        <w:rPr>
          <w:i/>
          <w:color w:val="000000"/>
          <w:sz w:val="24"/>
          <w:szCs w:val="24"/>
          <w:lang w:val="en-GB"/>
        </w:rPr>
        <w:t>Elderly</w:t>
      </w:r>
    </w:p>
    <w:p w14:paraId="1B3C574E" w14:textId="64388F59" w:rsidR="00D5152C" w:rsidRPr="00CC70C2" w:rsidRDefault="00D5152C" w:rsidP="00954DFE">
      <w:pPr>
        <w:ind w:left="851"/>
        <w:rPr>
          <w:color w:val="000000"/>
          <w:sz w:val="24"/>
          <w:szCs w:val="24"/>
          <w:lang w:val="en-GB"/>
        </w:rPr>
      </w:pPr>
      <w:r w:rsidRPr="00CC70C2">
        <w:rPr>
          <w:color w:val="000000"/>
          <w:sz w:val="24"/>
          <w:szCs w:val="24"/>
          <w:lang w:val="en-GB"/>
        </w:rPr>
        <w:t>The mean clearance of quetiapine in the elderly is approximately 30 to 50</w:t>
      </w:r>
      <w:r w:rsidR="00F96C97">
        <w:rPr>
          <w:color w:val="000000"/>
          <w:sz w:val="24"/>
          <w:szCs w:val="24"/>
          <w:lang w:val="en-GB"/>
        </w:rPr>
        <w:t xml:space="preserve"> %</w:t>
      </w:r>
      <w:r w:rsidRPr="00CC70C2">
        <w:rPr>
          <w:color w:val="000000"/>
          <w:sz w:val="24"/>
          <w:szCs w:val="24"/>
          <w:lang w:val="en-GB"/>
        </w:rPr>
        <w:t xml:space="preserve"> lower than that seen in adults aged 18 to 65 years.</w:t>
      </w:r>
    </w:p>
    <w:p w14:paraId="74EE1AC2" w14:textId="77777777" w:rsidR="00D5152C" w:rsidRPr="00CC70C2" w:rsidRDefault="00D5152C" w:rsidP="00954DFE">
      <w:pPr>
        <w:ind w:left="851"/>
        <w:rPr>
          <w:color w:val="000000"/>
          <w:sz w:val="24"/>
          <w:szCs w:val="24"/>
          <w:lang w:val="en-GB"/>
        </w:rPr>
      </w:pPr>
    </w:p>
    <w:p w14:paraId="6D8572FE" w14:textId="77777777" w:rsidR="00D5152C" w:rsidRPr="00CC70C2" w:rsidRDefault="00D5152C" w:rsidP="00954DFE">
      <w:pPr>
        <w:ind w:left="851"/>
        <w:rPr>
          <w:i/>
          <w:color w:val="000000"/>
          <w:sz w:val="24"/>
          <w:szCs w:val="24"/>
          <w:lang w:val="en-GB"/>
        </w:rPr>
      </w:pPr>
      <w:r w:rsidRPr="00CC70C2">
        <w:rPr>
          <w:i/>
          <w:color w:val="000000"/>
          <w:sz w:val="24"/>
          <w:szCs w:val="24"/>
          <w:lang w:val="en-GB"/>
        </w:rPr>
        <w:t>Renal impairment</w:t>
      </w:r>
    </w:p>
    <w:p w14:paraId="3399777B" w14:textId="7B055164" w:rsidR="00D5152C" w:rsidRPr="00CC70C2" w:rsidRDefault="00D5152C" w:rsidP="00954DFE">
      <w:pPr>
        <w:ind w:left="851"/>
        <w:rPr>
          <w:color w:val="000000"/>
          <w:sz w:val="24"/>
          <w:szCs w:val="24"/>
          <w:lang w:val="en-GB"/>
        </w:rPr>
      </w:pPr>
      <w:r w:rsidRPr="00CC70C2">
        <w:rPr>
          <w:color w:val="000000"/>
          <w:sz w:val="24"/>
          <w:szCs w:val="24"/>
          <w:lang w:val="en-GB"/>
        </w:rPr>
        <w:t>The mean plasma clearance of quetiapine was reduced by approximately 25</w:t>
      </w:r>
      <w:r w:rsidR="00F96C97">
        <w:rPr>
          <w:color w:val="000000"/>
          <w:sz w:val="24"/>
          <w:szCs w:val="24"/>
          <w:lang w:val="en-GB"/>
        </w:rPr>
        <w:t xml:space="preserve"> %</w:t>
      </w:r>
      <w:r w:rsidRPr="00CC70C2">
        <w:rPr>
          <w:color w:val="000000"/>
          <w:sz w:val="24"/>
          <w:szCs w:val="24"/>
          <w:lang w:val="en-GB"/>
        </w:rPr>
        <w:t xml:space="preserve"> in subjects with severe renal impairment (creatinine clearance less than 30 ml/min/1.73 m</w:t>
      </w:r>
      <w:r w:rsidRPr="00350C0E">
        <w:rPr>
          <w:color w:val="000000"/>
          <w:sz w:val="24"/>
          <w:szCs w:val="24"/>
          <w:vertAlign w:val="superscript"/>
          <w:lang w:val="en-GB"/>
        </w:rPr>
        <w:t>2</w:t>
      </w:r>
      <w:r w:rsidRPr="00CC70C2">
        <w:rPr>
          <w:color w:val="000000"/>
          <w:sz w:val="24"/>
          <w:szCs w:val="24"/>
          <w:lang w:val="en-GB"/>
        </w:rPr>
        <w:t>), but the individual clearance values are within the range for normal subjects.</w:t>
      </w:r>
    </w:p>
    <w:p w14:paraId="2189713E" w14:textId="77777777" w:rsidR="00D5152C" w:rsidRPr="00CC70C2" w:rsidRDefault="00D5152C" w:rsidP="00954DFE">
      <w:pPr>
        <w:ind w:left="851"/>
        <w:rPr>
          <w:color w:val="000000"/>
          <w:sz w:val="24"/>
          <w:szCs w:val="24"/>
          <w:lang w:val="en-GB"/>
        </w:rPr>
      </w:pPr>
    </w:p>
    <w:p w14:paraId="30CA1CE9" w14:textId="77777777" w:rsidR="00D5152C" w:rsidRPr="00CC70C2" w:rsidRDefault="00D5152C" w:rsidP="00954DFE">
      <w:pPr>
        <w:ind w:left="851"/>
        <w:rPr>
          <w:i/>
          <w:color w:val="000000"/>
          <w:sz w:val="24"/>
          <w:szCs w:val="24"/>
          <w:lang w:val="en-GB"/>
        </w:rPr>
      </w:pPr>
      <w:r w:rsidRPr="00CC70C2">
        <w:rPr>
          <w:i/>
          <w:color w:val="000000"/>
          <w:sz w:val="24"/>
          <w:szCs w:val="24"/>
          <w:lang w:val="en-GB"/>
        </w:rPr>
        <w:t>Hepatic impairment</w:t>
      </w:r>
    </w:p>
    <w:p w14:paraId="54C3D1C3" w14:textId="10794377" w:rsidR="00D5152C" w:rsidRPr="00CC70C2" w:rsidRDefault="00D5152C" w:rsidP="00954DFE">
      <w:pPr>
        <w:ind w:left="851"/>
        <w:rPr>
          <w:color w:val="000000"/>
          <w:sz w:val="24"/>
          <w:szCs w:val="24"/>
          <w:lang w:val="en-GB"/>
        </w:rPr>
      </w:pPr>
      <w:r w:rsidRPr="00CC70C2">
        <w:rPr>
          <w:color w:val="000000"/>
          <w:sz w:val="24"/>
          <w:szCs w:val="24"/>
          <w:lang w:val="en-GB"/>
        </w:rPr>
        <w:t>The mean quetiapine plasma clearance decreases with approximately 25</w:t>
      </w:r>
      <w:r w:rsidR="00F96C97">
        <w:rPr>
          <w:color w:val="000000"/>
          <w:sz w:val="24"/>
          <w:szCs w:val="24"/>
          <w:lang w:val="en-GB"/>
        </w:rPr>
        <w:t xml:space="preserve"> %</w:t>
      </w:r>
      <w:r w:rsidRPr="00CC70C2">
        <w:rPr>
          <w:color w:val="000000"/>
          <w:sz w:val="24"/>
          <w:szCs w:val="24"/>
          <w:lang w:val="en-GB"/>
        </w:rPr>
        <w:t xml:space="preserve"> in persons with known hepatic impairment (stable </w:t>
      </w:r>
      <w:proofErr w:type="spellStart"/>
      <w:r w:rsidRPr="00CC70C2">
        <w:rPr>
          <w:color w:val="000000"/>
          <w:sz w:val="24"/>
          <w:szCs w:val="24"/>
          <w:lang w:val="en-GB"/>
        </w:rPr>
        <w:t>alcoholcirrhosis</w:t>
      </w:r>
      <w:proofErr w:type="spellEnd"/>
      <w:r w:rsidRPr="00CC70C2">
        <w:rPr>
          <w:color w:val="000000"/>
          <w:sz w:val="24"/>
          <w:szCs w:val="24"/>
          <w:lang w:val="en-GB"/>
        </w:rPr>
        <w:t>). As quetiapine is extensively metabolised by the liver, elevated plasma levels are expected in the population with hepatic impairment. Dose adjustments may be necessary in these patients (see section 4.2).</w:t>
      </w:r>
    </w:p>
    <w:p w14:paraId="77530BBD" w14:textId="77777777" w:rsidR="00D5152C" w:rsidRPr="00CC70C2" w:rsidRDefault="00D5152C" w:rsidP="00954DFE">
      <w:pPr>
        <w:ind w:left="851"/>
        <w:rPr>
          <w:bCs/>
          <w:color w:val="000000"/>
          <w:sz w:val="24"/>
          <w:szCs w:val="24"/>
          <w:lang w:val="en-GB"/>
        </w:rPr>
      </w:pPr>
    </w:p>
    <w:p w14:paraId="47F65310" w14:textId="77777777" w:rsidR="00D5152C" w:rsidRPr="00CC70C2" w:rsidRDefault="00D5152C" w:rsidP="00954DFE">
      <w:pPr>
        <w:ind w:left="851"/>
        <w:rPr>
          <w:bCs/>
          <w:i/>
          <w:color w:val="000000"/>
          <w:sz w:val="24"/>
          <w:szCs w:val="24"/>
          <w:lang w:val="en-GB"/>
        </w:rPr>
      </w:pPr>
      <w:r w:rsidRPr="00CC70C2">
        <w:rPr>
          <w:bCs/>
          <w:i/>
          <w:color w:val="000000"/>
          <w:sz w:val="24"/>
          <w:szCs w:val="24"/>
          <w:lang w:val="en-GB"/>
        </w:rPr>
        <w:t>Paediatric population</w:t>
      </w:r>
    </w:p>
    <w:p w14:paraId="4FDD5AF6" w14:textId="2B5F4DF2" w:rsidR="00D5152C" w:rsidRPr="00CC70C2" w:rsidRDefault="00D5152C" w:rsidP="00954DFE">
      <w:pPr>
        <w:ind w:left="851"/>
        <w:rPr>
          <w:color w:val="000000"/>
          <w:sz w:val="24"/>
          <w:szCs w:val="24"/>
          <w:lang w:val="en-GB"/>
        </w:rPr>
      </w:pPr>
      <w:r w:rsidRPr="00CC70C2">
        <w:rPr>
          <w:color w:val="000000"/>
          <w:sz w:val="24"/>
          <w:szCs w:val="24"/>
          <w:lang w:val="en-GB"/>
        </w:rPr>
        <w:t xml:space="preserve">Pharmacokinetic data were sampled in 9 children aged 10-12 years old and 12 adolescents, who were on steady-state treatment with 400 mg quetiapine twice daily. At steady-state, the dose-normalized plasma levels of the parent compound, quetiapine, in children and adolescents (10-17 years of age) were in general similar to adults, though </w:t>
      </w:r>
      <w:proofErr w:type="spellStart"/>
      <w:r w:rsidRPr="00CC70C2">
        <w:rPr>
          <w:color w:val="000000"/>
          <w:sz w:val="24"/>
          <w:szCs w:val="24"/>
          <w:lang w:val="en-GB"/>
        </w:rPr>
        <w:t>C</w:t>
      </w:r>
      <w:r w:rsidRPr="00CC70C2">
        <w:rPr>
          <w:color w:val="000000"/>
          <w:sz w:val="24"/>
          <w:szCs w:val="24"/>
          <w:vertAlign w:val="subscript"/>
          <w:lang w:val="en-GB"/>
        </w:rPr>
        <w:t>max</w:t>
      </w:r>
      <w:proofErr w:type="spellEnd"/>
      <w:r w:rsidRPr="00CC70C2">
        <w:rPr>
          <w:color w:val="000000"/>
          <w:sz w:val="24"/>
          <w:szCs w:val="24"/>
          <w:lang w:val="en-GB"/>
        </w:rPr>
        <w:t xml:space="preserve"> in children was at the higher end of the range observed in adults. The AUC and </w:t>
      </w:r>
      <w:proofErr w:type="spellStart"/>
      <w:r w:rsidRPr="00CC70C2">
        <w:rPr>
          <w:color w:val="000000"/>
          <w:sz w:val="24"/>
          <w:szCs w:val="24"/>
          <w:lang w:val="en-GB"/>
        </w:rPr>
        <w:t>C</w:t>
      </w:r>
      <w:r w:rsidRPr="00CC70C2">
        <w:rPr>
          <w:color w:val="000000"/>
          <w:sz w:val="24"/>
          <w:szCs w:val="24"/>
          <w:vertAlign w:val="subscript"/>
          <w:lang w:val="en-GB"/>
        </w:rPr>
        <w:t>max</w:t>
      </w:r>
      <w:proofErr w:type="spellEnd"/>
      <w:r w:rsidRPr="00CC70C2">
        <w:rPr>
          <w:color w:val="000000"/>
          <w:sz w:val="24"/>
          <w:szCs w:val="24"/>
          <w:lang w:val="en-GB"/>
        </w:rPr>
        <w:t xml:space="preserve"> for the active metabolite, </w:t>
      </w:r>
      <w:proofErr w:type="spellStart"/>
      <w:r w:rsidRPr="00CC70C2">
        <w:rPr>
          <w:color w:val="000000"/>
          <w:sz w:val="24"/>
          <w:szCs w:val="24"/>
          <w:lang w:val="en-GB"/>
        </w:rPr>
        <w:t>norquetiapine</w:t>
      </w:r>
      <w:proofErr w:type="spellEnd"/>
      <w:r w:rsidRPr="00CC70C2">
        <w:rPr>
          <w:color w:val="000000"/>
          <w:sz w:val="24"/>
          <w:szCs w:val="24"/>
          <w:lang w:val="en-GB"/>
        </w:rPr>
        <w:t>, were higher, approximately 62</w:t>
      </w:r>
      <w:r w:rsidR="00F96C97">
        <w:rPr>
          <w:color w:val="000000"/>
          <w:sz w:val="24"/>
          <w:szCs w:val="24"/>
          <w:lang w:val="en-GB"/>
        </w:rPr>
        <w:t xml:space="preserve"> %</w:t>
      </w:r>
      <w:r w:rsidRPr="00CC70C2">
        <w:rPr>
          <w:color w:val="000000"/>
          <w:sz w:val="24"/>
          <w:szCs w:val="24"/>
          <w:lang w:val="en-GB"/>
        </w:rPr>
        <w:t xml:space="preserve"> and 49</w:t>
      </w:r>
      <w:r w:rsidR="00F96C97">
        <w:rPr>
          <w:color w:val="000000"/>
          <w:sz w:val="24"/>
          <w:szCs w:val="24"/>
          <w:lang w:val="en-GB"/>
        </w:rPr>
        <w:t xml:space="preserve"> %</w:t>
      </w:r>
      <w:r w:rsidRPr="00CC70C2">
        <w:rPr>
          <w:color w:val="000000"/>
          <w:sz w:val="24"/>
          <w:szCs w:val="24"/>
          <w:lang w:val="en-GB"/>
        </w:rPr>
        <w:t xml:space="preserve"> in children (10-12 years), respectively and 28</w:t>
      </w:r>
      <w:r w:rsidR="00F96C97">
        <w:rPr>
          <w:color w:val="000000"/>
          <w:sz w:val="24"/>
          <w:szCs w:val="24"/>
          <w:lang w:val="en-GB"/>
        </w:rPr>
        <w:t xml:space="preserve"> %</w:t>
      </w:r>
      <w:r w:rsidRPr="00CC70C2">
        <w:rPr>
          <w:color w:val="000000"/>
          <w:sz w:val="24"/>
          <w:szCs w:val="24"/>
          <w:lang w:val="en-GB"/>
        </w:rPr>
        <w:t xml:space="preserve"> and 14</w:t>
      </w:r>
      <w:r w:rsidR="00F96C97">
        <w:rPr>
          <w:color w:val="000000"/>
          <w:sz w:val="24"/>
          <w:szCs w:val="24"/>
          <w:lang w:val="en-GB"/>
        </w:rPr>
        <w:t xml:space="preserve"> %</w:t>
      </w:r>
      <w:r w:rsidRPr="00CC70C2">
        <w:rPr>
          <w:color w:val="000000"/>
          <w:sz w:val="24"/>
          <w:szCs w:val="24"/>
          <w:lang w:val="en-GB"/>
        </w:rPr>
        <w:t xml:space="preserve"> in adolescents (13-17 years), respectively, compared to adults.</w:t>
      </w:r>
    </w:p>
    <w:p w14:paraId="79F77A83" w14:textId="77777777" w:rsidR="00D5152C" w:rsidRPr="00CC70C2" w:rsidRDefault="00D5152C" w:rsidP="00954DFE">
      <w:pPr>
        <w:ind w:left="851"/>
        <w:rPr>
          <w:color w:val="000000"/>
          <w:sz w:val="24"/>
          <w:szCs w:val="24"/>
          <w:lang w:val="en-GB"/>
        </w:rPr>
      </w:pPr>
    </w:p>
    <w:p w14:paraId="2623EA0E" w14:textId="77777777" w:rsidR="00D5152C" w:rsidRPr="00CC70C2" w:rsidRDefault="00D5152C" w:rsidP="00954DFE">
      <w:pPr>
        <w:ind w:left="851"/>
        <w:rPr>
          <w:color w:val="000000"/>
          <w:sz w:val="24"/>
          <w:szCs w:val="24"/>
          <w:lang w:val="en-GB"/>
        </w:rPr>
      </w:pPr>
      <w:r w:rsidRPr="00CC70C2">
        <w:rPr>
          <w:color w:val="000000"/>
          <w:sz w:val="24"/>
          <w:szCs w:val="24"/>
          <w:lang w:val="en-GB"/>
        </w:rPr>
        <w:t>No information is available for quetiapine prolonged release in children and adolescents.</w:t>
      </w:r>
    </w:p>
    <w:p w14:paraId="24AF2210" w14:textId="77777777" w:rsidR="007C5D2A" w:rsidRPr="00CC70C2" w:rsidRDefault="007C5D2A" w:rsidP="003E0341">
      <w:pPr>
        <w:tabs>
          <w:tab w:val="left" w:pos="851"/>
        </w:tabs>
        <w:ind w:left="851"/>
        <w:rPr>
          <w:sz w:val="24"/>
          <w:szCs w:val="24"/>
          <w:lang w:val="en-GB"/>
        </w:rPr>
      </w:pPr>
    </w:p>
    <w:p w14:paraId="6DBA93F4" w14:textId="77777777" w:rsidR="007C5D2A" w:rsidRPr="00CC70C2" w:rsidRDefault="00180A12" w:rsidP="007C5D2A">
      <w:pPr>
        <w:tabs>
          <w:tab w:val="left" w:pos="851"/>
        </w:tabs>
        <w:ind w:left="851" w:hanging="851"/>
        <w:rPr>
          <w:b/>
          <w:sz w:val="24"/>
          <w:szCs w:val="24"/>
          <w:lang w:val="en-GB"/>
        </w:rPr>
      </w:pPr>
      <w:r w:rsidRPr="00CC70C2">
        <w:rPr>
          <w:b/>
          <w:sz w:val="24"/>
          <w:szCs w:val="24"/>
          <w:lang w:val="en-GB"/>
        </w:rPr>
        <w:t>5.3</w:t>
      </w:r>
      <w:r w:rsidRPr="00CC70C2">
        <w:rPr>
          <w:b/>
          <w:sz w:val="24"/>
          <w:szCs w:val="24"/>
          <w:lang w:val="en-GB"/>
        </w:rPr>
        <w:tab/>
        <w:t>Preclinical safety data</w:t>
      </w:r>
    </w:p>
    <w:p w14:paraId="40B67F2E" w14:textId="77777777" w:rsidR="00D5152C" w:rsidRPr="00CC70C2" w:rsidRDefault="00D5152C" w:rsidP="00954DFE">
      <w:pPr>
        <w:ind w:left="851"/>
        <w:rPr>
          <w:color w:val="000000"/>
          <w:sz w:val="24"/>
          <w:szCs w:val="24"/>
          <w:lang w:val="en-GB"/>
        </w:rPr>
      </w:pPr>
      <w:r w:rsidRPr="00CC70C2">
        <w:rPr>
          <w:color w:val="000000"/>
          <w:sz w:val="24"/>
          <w:szCs w:val="24"/>
          <w:lang w:val="en-GB"/>
        </w:rPr>
        <w:t xml:space="preserve">There was no evidence of genotoxicity in a series of </w:t>
      </w:r>
      <w:r w:rsidRPr="00CC70C2">
        <w:rPr>
          <w:i/>
          <w:iCs/>
          <w:color w:val="000000"/>
          <w:sz w:val="24"/>
          <w:szCs w:val="24"/>
          <w:lang w:val="en-GB"/>
        </w:rPr>
        <w:t xml:space="preserve">in vitro </w:t>
      </w:r>
      <w:r w:rsidRPr="00CC70C2">
        <w:rPr>
          <w:color w:val="000000"/>
          <w:sz w:val="24"/>
          <w:szCs w:val="24"/>
          <w:lang w:val="en-GB"/>
        </w:rPr>
        <w:t xml:space="preserve">and </w:t>
      </w:r>
      <w:r w:rsidRPr="00CC70C2">
        <w:rPr>
          <w:i/>
          <w:iCs/>
          <w:color w:val="000000"/>
          <w:sz w:val="24"/>
          <w:szCs w:val="24"/>
          <w:lang w:val="en-GB"/>
        </w:rPr>
        <w:t xml:space="preserve">in vivo </w:t>
      </w:r>
      <w:r w:rsidRPr="00CC70C2">
        <w:rPr>
          <w:color w:val="000000"/>
          <w:sz w:val="24"/>
          <w:szCs w:val="24"/>
          <w:lang w:val="en-GB"/>
        </w:rPr>
        <w:t>genotoxicity studies. In laboratory animals at a clinically relevant exposure level the following deviations were seen, which as yet have not been confirmed in long-term clinical research:</w:t>
      </w:r>
    </w:p>
    <w:p w14:paraId="3439E18D" w14:textId="77777777" w:rsidR="00D5152C" w:rsidRPr="00CC70C2" w:rsidRDefault="00D5152C" w:rsidP="00954DFE">
      <w:pPr>
        <w:ind w:left="851"/>
        <w:rPr>
          <w:color w:val="000000"/>
          <w:sz w:val="24"/>
          <w:szCs w:val="24"/>
          <w:lang w:val="en-GB"/>
        </w:rPr>
      </w:pPr>
      <w:r w:rsidRPr="00CC70C2">
        <w:rPr>
          <w:color w:val="000000"/>
          <w:sz w:val="24"/>
          <w:szCs w:val="24"/>
          <w:lang w:val="en-GB"/>
        </w:rPr>
        <w:t>In rats, pigment deposition in the thyroid gland has been observed; in cynomolgus monkeys thyroid follicular cell hypertrophy, a lowering in plasma T3 levels, decreased haemoglobin concentration and a decrease of red and white blood cell count have been observed; and in dogs lens opacity and cataracts (for cataracts/lens opacities see section 5.1).</w:t>
      </w:r>
    </w:p>
    <w:p w14:paraId="2B8EAFE5" w14:textId="77777777" w:rsidR="00D5152C" w:rsidRPr="00CC70C2" w:rsidRDefault="00D5152C" w:rsidP="00954DFE">
      <w:pPr>
        <w:ind w:left="851"/>
        <w:rPr>
          <w:sz w:val="24"/>
          <w:szCs w:val="24"/>
          <w:lang w:val="en-GB"/>
        </w:rPr>
      </w:pPr>
    </w:p>
    <w:p w14:paraId="1BFEBD95" w14:textId="77777777" w:rsidR="00D5152C" w:rsidRPr="00CC70C2" w:rsidRDefault="00D5152C" w:rsidP="00954DFE">
      <w:pPr>
        <w:ind w:left="851"/>
        <w:rPr>
          <w:sz w:val="24"/>
          <w:szCs w:val="24"/>
          <w:lang w:val="en-GB"/>
        </w:rPr>
      </w:pPr>
      <w:r w:rsidRPr="00CC70C2">
        <w:rPr>
          <w:sz w:val="24"/>
          <w:szCs w:val="24"/>
          <w:lang w:val="en-GB"/>
        </w:rPr>
        <w:t>In an embryofoetal toxicity study in rabbits the foetal incidence of carpal/tarsal flexure was increased. This effect occurred in the presence of overt maternal effects such as reduced body weight gain. These effects were apparent at maternal exposure levels similar or slightly above those in humans at the maximal therapeutic dose. The relevance of this finding for humans is unknown.</w:t>
      </w:r>
    </w:p>
    <w:p w14:paraId="16BBCB5B" w14:textId="77777777" w:rsidR="00D5152C" w:rsidRPr="00CC70C2" w:rsidRDefault="00D5152C" w:rsidP="00954DFE">
      <w:pPr>
        <w:ind w:left="851"/>
        <w:rPr>
          <w:sz w:val="24"/>
          <w:szCs w:val="24"/>
          <w:lang w:val="en-GB"/>
        </w:rPr>
      </w:pPr>
    </w:p>
    <w:p w14:paraId="3D752DD0" w14:textId="77777777" w:rsidR="00D5152C" w:rsidRPr="00CC70C2" w:rsidRDefault="00D5152C" w:rsidP="00954DFE">
      <w:pPr>
        <w:ind w:left="851"/>
        <w:rPr>
          <w:sz w:val="24"/>
          <w:szCs w:val="24"/>
          <w:lang w:val="en-GB"/>
        </w:rPr>
      </w:pPr>
      <w:r w:rsidRPr="00CC70C2">
        <w:rPr>
          <w:sz w:val="24"/>
          <w:szCs w:val="24"/>
          <w:lang w:val="en-GB"/>
        </w:rPr>
        <w:t xml:space="preserve">In a fertility study in rats, marginal reduction in male fertility and pseudopregnancy, protracted periods of </w:t>
      </w:r>
      <w:proofErr w:type="spellStart"/>
      <w:r w:rsidRPr="00CC70C2">
        <w:rPr>
          <w:sz w:val="24"/>
          <w:szCs w:val="24"/>
          <w:lang w:val="en-GB"/>
        </w:rPr>
        <w:t>diestrus</w:t>
      </w:r>
      <w:proofErr w:type="spellEnd"/>
      <w:r w:rsidRPr="00CC70C2">
        <w:rPr>
          <w:sz w:val="24"/>
          <w:szCs w:val="24"/>
          <w:lang w:val="en-GB"/>
        </w:rPr>
        <w:t xml:space="preserve">, increased </w:t>
      </w:r>
      <w:proofErr w:type="spellStart"/>
      <w:r w:rsidRPr="00CC70C2">
        <w:rPr>
          <w:sz w:val="24"/>
          <w:szCs w:val="24"/>
          <w:lang w:val="en-GB"/>
        </w:rPr>
        <w:t>precoital</w:t>
      </w:r>
      <w:proofErr w:type="spellEnd"/>
      <w:r w:rsidRPr="00CC70C2">
        <w:rPr>
          <w:sz w:val="24"/>
          <w:szCs w:val="24"/>
          <w:lang w:val="en-GB"/>
        </w:rPr>
        <w:t xml:space="preserve"> interval and reduced pregnancy rate were seen. These effects are related to elevated prolactin levels and not directly relevant to humans because of species differences in hormonal control of reproduction.</w:t>
      </w:r>
    </w:p>
    <w:p w14:paraId="6A790C74" w14:textId="77777777" w:rsidR="007C5D2A" w:rsidRPr="00CC70C2" w:rsidRDefault="007C5D2A" w:rsidP="003E0341">
      <w:pPr>
        <w:tabs>
          <w:tab w:val="left" w:pos="851"/>
        </w:tabs>
        <w:ind w:left="851"/>
        <w:rPr>
          <w:sz w:val="24"/>
          <w:szCs w:val="24"/>
          <w:lang w:val="en-GB"/>
        </w:rPr>
      </w:pPr>
    </w:p>
    <w:p w14:paraId="40DFA431" w14:textId="77777777" w:rsidR="007C5D2A" w:rsidRPr="00CC70C2" w:rsidRDefault="007C5D2A" w:rsidP="003E0341">
      <w:pPr>
        <w:tabs>
          <w:tab w:val="left" w:pos="851"/>
        </w:tabs>
        <w:ind w:left="851"/>
        <w:rPr>
          <w:sz w:val="24"/>
          <w:szCs w:val="24"/>
          <w:lang w:val="en-GB"/>
        </w:rPr>
      </w:pPr>
    </w:p>
    <w:p w14:paraId="5EAAD4C6" w14:textId="77777777" w:rsidR="007C5D2A" w:rsidRPr="00CC70C2" w:rsidRDefault="009925C9" w:rsidP="007C5D2A">
      <w:pPr>
        <w:ind w:left="851" w:hanging="851"/>
        <w:rPr>
          <w:b/>
          <w:sz w:val="24"/>
          <w:szCs w:val="24"/>
          <w:lang w:val="en-GB"/>
        </w:rPr>
      </w:pPr>
      <w:r w:rsidRPr="00CC70C2">
        <w:rPr>
          <w:b/>
          <w:sz w:val="24"/>
          <w:szCs w:val="24"/>
          <w:lang w:val="en-GB"/>
        </w:rPr>
        <w:t>6.</w:t>
      </w:r>
      <w:r w:rsidR="007C5D2A" w:rsidRPr="00CC70C2">
        <w:rPr>
          <w:b/>
          <w:sz w:val="24"/>
          <w:szCs w:val="24"/>
          <w:lang w:val="en-GB"/>
        </w:rPr>
        <w:tab/>
        <w:t>PHARMACEUTICAL PARTICULARS</w:t>
      </w:r>
    </w:p>
    <w:p w14:paraId="5AB19C20" w14:textId="77777777" w:rsidR="007C5D2A" w:rsidRPr="00CC70C2" w:rsidRDefault="007C5D2A" w:rsidP="003E0341">
      <w:pPr>
        <w:tabs>
          <w:tab w:val="left" w:pos="851"/>
        </w:tabs>
        <w:ind w:left="851"/>
        <w:rPr>
          <w:sz w:val="24"/>
          <w:szCs w:val="24"/>
          <w:lang w:val="en-GB"/>
        </w:rPr>
      </w:pPr>
    </w:p>
    <w:p w14:paraId="6ABF5C8D" w14:textId="77777777" w:rsidR="007C5D2A" w:rsidRPr="00CC70C2" w:rsidRDefault="007C5D2A" w:rsidP="007C5D2A">
      <w:pPr>
        <w:ind w:left="851" w:hanging="851"/>
        <w:rPr>
          <w:b/>
          <w:sz w:val="24"/>
          <w:szCs w:val="24"/>
          <w:lang w:val="en-GB"/>
        </w:rPr>
      </w:pPr>
      <w:r w:rsidRPr="00CC70C2">
        <w:rPr>
          <w:b/>
          <w:sz w:val="24"/>
          <w:szCs w:val="24"/>
          <w:lang w:val="en-GB"/>
        </w:rPr>
        <w:t>6.1</w:t>
      </w:r>
      <w:r w:rsidRPr="00CC70C2">
        <w:rPr>
          <w:b/>
          <w:sz w:val="24"/>
          <w:szCs w:val="24"/>
          <w:lang w:val="en-GB"/>
        </w:rPr>
        <w:tab/>
        <w:t>List of excipients</w:t>
      </w:r>
    </w:p>
    <w:p w14:paraId="64724602" w14:textId="77777777" w:rsidR="005D3884" w:rsidRPr="00CC70C2" w:rsidRDefault="005D3884" w:rsidP="00954DFE">
      <w:pPr>
        <w:ind w:left="851"/>
        <w:rPr>
          <w:bCs/>
          <w:color w:val="000000"/>
          <w:sz w:val="24"/>
          <w:szCs w:val="24"/>
          <w:lang w:val="en-GB"/>
        </w:rPr>
      </w:pPr>
    </w:p>
    <w:p w14:paraId="67CA4C35" w14:textId="09FDB0BF" w:rsidR="00D5152C" w:rsidRPr="00CC70C2" w:rsidRDefault="00D5152C" w:rsidP="00954DFE">
      <w:pPr>
        <w:ind w:left="851"/>
        <w:rPr>
          <w:b/>
          <w:bCs/>
          <w:color w:val="000000"/>
          <w:sz w:val="24"/>
          <w:szCs w:val="24"/>
          <w:lang w:val="en-GB"/>
        </w:rPr>
      </w:pPr>
      <w:r w:rsidRPr="00CC70C2">
        <w:rPr>
          <w:b/>
          <w:bCs/>
          <w:color w:val="000000"/>
          <w:sz w:val="24"/>
          <w:szCs w:val="24"/>
          <w:lang w:val="en-GB"/>
        </w:rPr>
        <w:t>Core</w:t>
      </w:r>
    </w:p>
    <w:p w14:paraId="56DA6F55" w14:textId="77777777" w:rsidR="00D5152C" w:rsidRPr="00CC70C2" w:rsidRDefault="00D5152C" w:rsidP="00954DFE">
      <w:pPr>
        <w:ind w:left="851"/>
        <w:rPr>
          <w:color w:val="000000"/>
          <w:sz w:val="24"/>
          <w:szCs w:val="24"/>
          <w:lang w:val="en-GB"/>
        </w:rPr>
      </w:pPr>
      <w:r w:rsidRPr="00CC70C2">
        <w:rPr>
          <w:color w:val="000000"/>
          <w:sz w:val="24"/>
          <w:szCs w:val="24"/>
          <w:lang w:val="en-GB" w:eastAsia="ro-RO"/>
        </w:rPr>
        <w:t>Methacrylic acid – ethyl acrylate copolymer (1:1), type A</w:t>
      </w:r>
      <w:r w:rsidRPr="00CC70C2">
        <w:rPr>
          <w:color w:val="000000"/>
          <w:sz w:val="24"/>
          <w:szCs w:val="24"/>
          <w:lang w:val="en-GB"/>
        </w:rPr>
        <w:t xml:space="preserve"> </w:t>
      </w:r>
    </w:p>
    <w:p w14:paraId="14EE072B" w14:textId="77777777" w:rsidR="00D5152C" w:rsidRPr="00CC70C2" w:rsidRDefault="00D5152C" w:rsidP="00954DFE">
      <w:pPr>
        <w:ind w:left="851"/>
        <w:rPr>
          <w:color w:val="000000"/>
          <w:sz w:val="24"/>
          <w:szCs w:val="24"/>
          <w:lang w:val="en-GB"/>
        </w:rPr>
      </w:pPr>
      <w:r w:rsidRPr="00CC70C2">
        <w:rPr>
          <w:color w:val="000000"/>
          <w:sz w:val="24"/>
          <w:szCs w:val="24"/>
          <w:lang w:val="en-GB"/>
        </w:rPr>
        <w:t xml:space="preserve">Lactose </w:t>
      </w:r>
      <w:r w:rsidRPr="00CC70C2">
        <w:rPr>
          <w:sz w:val="24"/>
          <w:szCs w:val="24"/>
          <w:lang w:val="en-GB"/>
        </w:rPr>
        <w:t>anhydrous</w:t>
      </w:r>
    </w:p>
    <w:p w14:paraId="0A95B6B2" w14:textId="77777777" w:rsidR="00D5152C" w:rsidRPr="00CC70C2" w:rsidRDefault="00D5152C" w:rsidP="00954DFE">
      <w:pPr>
        <w:ind w:left="851"/>
        <w:rPr>
          <w:color w:val="000000"/>
          <w:sz w:val="24"/>
          <w:szCs w:val="24"/>
          <w:lang w:val="en-GB"/>
        </w:rPr>
      </w:pPr>
      <w:r w:rsidRPr="00CC70C2">
        <w:rPr>
          <w:color w:val="000000"/>
          <w:sz w:val="24"/>
          <w:szCs w:val="24"/>
          <w:lang w:val="en-GB"/>
        </w:rPr>
        <w:t xml:space="preserve">Magnesium stearate </w:t>
      </w:r>
    </w:p>
    <w:p w14:paraId="2C8E7560" w14:textId="77777777" w:rsidR="00D5152C" w:rsidRPr="00CC70C2" w:rsidRDefault="00D5152C" w:rsidP="00954DFE">
      <w:pPr>
        <w:ind w:left="851"/>
        <w:rPr>
          <w:sz w:val="24"/>
          <w:szCs w:val="24"/>
          <w:lang w:val="en-GB"/>
        </w:rPr>
      </w:pPr>
      <w:r w:rsidRPr="00CC70C2">
        <w:rPr>
          <w:sz w:val="24"/>
          <w:szCs w:val="24"/>
          <w:lang w:val="en-GB"/>
        </w:rPr>
        <w:t xml:space="preserve">Crystalline Maltose </w:t>
      </w:r>
    </w:p>
    <w:p w14:paraId="7039ABE1" w14:textId="5236C13C" w:rsidR="00D5152C" w:rsidRPr="00CC70C2" w:rsidRDefault="00D5152C" w:rsidP="00954DFE">
      <w:pPr>
        <w:ind w:left="851"/>
        <w:rPr>
          <w:sz w:val="24"/>
          <w:szCs w:val="24"/>
          <w:lang w:val="en-GB"/>
        </w:rPr>
      </w:pPr>
      <w:r w:rsidRPr="00CC70C2">
        <w:rPr>
          <w:sz w:val="24"/>
          <w:szCs w:val="24"/>
          <w:lang w:val="en-GB"/>
        </w:rPr>
        <w:t>Talc</w:t>
      </w:r>
    </w:p>
    <w:p w14:paraId="6F83C5EE" w14:textId="77777777" w:rsidR="00D5152C" w:rsidRPr="00CC70C2" w:rsidRDefault="00D5152C" w:rsidP="00954DFE">
      <w:pPr>
        <w:ind w:left="851"/>
        <w:rPr>
          <w:sz w:val="24"/>
          <w:szCs w:val="24"/>
          <w:lang w:val="en-GB"/>
        </w:rPr>
      </w:pPr>
    </w:p>
    <w:p w14:paraId="2D4D2A95" w14:textId="77777777" w:rsidR="00D5152C" w:rsidRPr="00CC70C2" w:rsidRDefault="00D5152C" w:rsidP="00954DFE">
      <w:pPr>
        <w:ind w:left="851"/>
        <w:rPr>
          <w:b/>
          <w:bCs/>
          <w:color w:val="000000"/>
          <w:sz w:val="24"/>
          <w:szCs w:val="24"/>
          <w:lang w:val="en-GB"/>
        </w:rPr>
      </w:pPr>
      <w:r w:rsidRPr="00CC70C2">
        <w:rPr>
          <w:b/>
          <w:bCs/>
          <w:color w:val="000000"/>
          <w:sz w:val="24"/>
          <w:szCs w:val="24"/>
          <w:lang w:val="en-GB"/>
        </w:rPr>
        <w:t>Coating</w:t>
      </w:r>
    </w:p>
    <w:p w14:paraId="046757FF" w14:textId="77777777" w:rsidR="00D5152C" w:rsidRPr="00CC70C2" w:rsidRDefault="00D5152C" w:rsidP="00954DFE">
      <w:pPr>
        <w:ind w:left="851"/>
        <w:rPr>
          <w:color w:val="000000"/>
          <w:sz w:val="24"/>
          <w:szCs w:val="24"/>
          <w:lang w:val="en-GB"/>
        </w:rPr>
      </w:pPr>
      <w:r w:rsidRPr="00CC70C2">
        <w:rPr>
          <w:color w:val="000000"/>
          <w:sz w:val="24"/>
          <w:szCs w:val="24"/>
          <w:lang w:val="en-GB"/>
        </w:rPr>
        <w:t>Methacrylic acid – ethyl acrylate copolymer (1:1), type A</w:t>
      </w:r>
    </w:p>
    <w:p w14:paraId="0BA77827" w14:textId="77777777" w:rsidR="00D5152C" w:rsidRPr="00CC70C2" w:rsidRDefault="00D5152C" w:rsidP="00954DFE">
      <w:pPr>
        <w:ind w:left="851"/>
        <w:jc w:val="both"/>
        <w:rPr>
          <w:sz w:val="24"/>
          <w:szCs w:val="24"/>
          <w:lang w:val="en-GB"/>
        </w:rPr>
      </w:pPr>
      <w:r w:rsidRPr="00CC70C2">
        <w:rPr>
          <w:sz w:val="24"/>
          <w:szCs w:val="24"/>
          <w:lang w:val="en-GB"/>
        </w:rPr>
        <w:t>Triethyl Citrate</w:t>
      </w:r>
      <w:r w:rsidRPr="00CC70C2">
        <w:rPr>
          <w:color w:val="000000"/>
          <w:sz w:val="24"/>
          <w:szCs w:val="24"/>
          <w:lang w:val="en-GB"/>
        </w:rPr>
        <w:t xml:space="preserve"> </w:t>
      </w:r>
    </w:p>
    <w:p w14:paraId="40AE9620" w14:textId="77777777" w:rsidR="007C5D2A" w:rsidRPr="00CC70C2" w:rsidRDefault="007C5D2A" w:rsidP="003D727E">
      <w:pPr>
        <w:tabs>
          <w:tab w:val="left" w:pos="851"/>
        </w:tabs>
        <w:ind w:left="851"/>
        <w:rPr>
          <w:sz w:val="24"/>
          <w:szCs w:val="24"/>
          <w:lang w:val="en-GB"/>
        </w:rPr>
      </w:pPr>
    </w:p>
    <w:p w14:paraId="04C228F0" w14:textId="77777777" w:rsidR="007C5D2A" w:rsidRPr="00CC70C2" w:rsidRDefault="007C5D2A" w:rsidP="007C5D2A">
      <w:pPr>
        <w:ind w:left="851" w:hanging="851"/>
        <w:rPr>
          <w:b/>
          <w:sz w:val="24"/>
          <w:szCs w:val="24"/>
          <w:lang w:val="en-GB"/>
        </w:rPr>
      </w:pPr>
      <w:r w:rsidRPr="00CC70C2">
        <w:rPr>
          <w:b/>
          <w:sz w:val="24"/>
          <w:szCs w:val="24"/>
          <w:lang w:val="en-GB"/>
        </w:rPr>
        <w:t>6.2</w:t>
      </w:r>
      <w:r w:rsidRPr="00CC70C2">
        <w:rPr>
          <w:b/>
          <w:sz w:val="24"/>
          <w:szCs w:val="24"/>
          <w:lang w:val="en-GB"/>
        </w:rPr>
        <w:tab/>
        <w:t>Incompatibilities</w:t>
      </w:r>
    </w:p>
    <w:p w14:paraId="7AAD0FF5" w14:textId="77777777" w:rsidR="00D5152C" w:rsidRPr="00CC70C2" w:rsidRDefault="00D5152C" w:rsidP="00954DFE">
      <w:pPr>
        <w:ind w:left="851"/>
        <w:rPr>
          <w:bCs/>
          <w:color w:val="000000"/>
          <w:sz w:val="24"/>
          <w:szCs w:val="24"/>
          <w:lang w:val="en-GB"/>
        </w:rPr>
      </w:pPr>
      <w:r w:rsidRPr="00CC70C2">
        <w:rPr>
          <w:bCs/>
          <w:color w:val="000000"/>
          <w:sz w:val="24"/>
          <w:szCs w:val="24"/>
          <w:lang w:val="en-GB"/>
        </w:rPr>
        <w:t>Not applicable.</w:t>
      </w:r>
    </w:p>
    <w:p w14:paraId="214E7254" w14:textId="77777777" w:rsidR="007C5D2A" w:rsidRPr="00CC70C2" w:rsidRDefault="007C5D2A" w:rsidP="003E0341">
      <w:pPr>
        <w:tabs>
          <w:tab w:val="left" w:pos="851"/>
        </w:tabs>
        <w:ind w:left="851"/>
        <w:rPr>
          <w:sz w:val="24"/>
          <w:szCs w:val="24"/>
          <w:lang w:val="en-GB"/>
        </w:rPr>
      </w:pPr>
    </w:p>
    <w:p w14:paraId="5984C3BA" w14:textId="28B8200B" w:rsidR="007C5D2A" w:rsidRPr="00CC70C2" w:rsidRDefault="007C5D2A" w:rsidP="007C5D2A">
      <w:pPr>
        <w:ind w:left="851" w:hanging="851"/>
        <w:rPr>
          <w:b/>
          <w:sz w:val="24"/>
          <w:szCs w:val="24"/>
          <w:lang w:val="en-GB"/>
        </w:rPr>
      </w:pPr>
      <w:r w:rsidRPr="00CC70C2">
        <w:rPr>
          <w:b/>
          <w:sz w:val="24"/>
          <w:szCs w:val="24"/>
          <w:lang w:val="en-GB"/>
        </w:rPr>
        <w:t>6.3</w:t>
      </w:r>
      <w:r w:rsidRPr="00CC70C2">
        <w:rPr>
          <w:b/>
          <w:sz w:val="24"/>
          <w:szCs w:val="24"/>
          <w:lang w:val="en-GB"/>
        </w:rPr>
        <w:tab/>
        <w:t>Shelf</w:t>
      </w:r>
      <w:r w:rsidR="005C0380">
        <w:rPr>
          <w:b/>
          <w:sz w:val="24"/>
          <w:szCs w:val="24"/>
          <w:lang w:val="en-GB"/>
        </w:rPr>
        <w:t xml:space="preserve"> </w:t>
      </w:r>
      <w:r w:rsidRPr="00CC70C2">
        <w:rPr>
          <w:b/>
          <w:sz w:val="24"/>
          <w:szCs w:val="24"/>
          <w:lang w:val="en-GB"/>
        </w:rPr>
        <w:t>life</w:t>
      </w:r>
    </w:p>
    <w:p w14:paraId="6E30ACEE" w14:textId="77777777" w:rsidR="00D5152C" w:rsidRPr="00CC70C2" w:rsidRDefault="00D5152C" w:rsidP="00954DFE">
      <w:pPr>
        <w:ind w:left="851"/>
        <w:rPr>
          <w:bCs/>
          <w:color w:val="000000"/>
          <w:sz w:val="24"/>
          <w:szCs w:val="24"/>
          <w:lang w:val="en-GB"/>
        </w:rPr>
      </w:pPr>
      <w:r w:rsidRPr="00CC70C2">
        <w:rPr>
          <w:bCs/>
          <w:color w:val="000000"/>
          <w:sz w:val="24"/>
          <w:szCs w:val="24"/>
          <w:lang w:val="en-GB"/>
        </w:rPr>
        <w:t>3 years</w:t>
      </w:r>
    </w:p>
    <w:p w14:paraId="4E2D4258" w14:textId="77777777" w:rsidR="007C5D2A" w:rsidRPr="00CC70C2" w:rsidRDefault="007C5D2A" w:rsidP="003E0341">
      <w:pPr>
        <w:tabs>
          <w:tab w:val="left" w:pos="851"/>
        </w:tabs>
        <w:ind w:left="851"/>
        <w:rPr>
          <w:sz w:val="24"/>
          <w:szCs w:val="24"/>
          <w:lang w:val="en-GB"/>
        </w:rPr>
      </w:pPr>
    </w:p>
    <w:p w14:paraId="3956FA25" w14:textId="77777777" w:rsidR="007C5D2A" w:rsidRPr="00CC70C2" w:rsidRDefault="007C5D2A" w:rsidP="007C5D2A">
      <w:pPr>
        <w:ind w:left="851" w:hanging="851"/>
        <w:rPr>
          <w:b/>
          <w:sz w:val="24"/>
          <w:szCs w:val="24"/>
          <w:lang w:val="en-GB"/>
        </w:rPr>
      </w:pPr>
      <w:r w:rsidRPr="00CC70C2">
        <w:rPr>
          <w:b/>
          <w:sz w:val="24"/>
          <w:szCs w:val="24"/>
          <w:lang w:val="en-GB"/>
        </w:rPr>
        <w:t>6.4</w:t>
      </w:r>
      <w:r w:rsidRPr="00CC70C2">
        <w:rPr>
          <w:b/>
          <w:sz w:val="24"/>
          <w:szCs w:val="24"/>
          <w:lang w:val="en-GB"/>
        </w:rPr>
        <w:tab/>
        <w:t>Special precautions for storage</w:t>
      </w:r>
    </w:p>
    <w:p w14:paraId="18269829" w14:textId="77777777" w:rsidR="00D5152C" w:rsidRPr="00CC70C2" w:rsidRDefault="00D5152C" w:rsidP="00954DFE">
      <w:pPr>
        <w:ind w:left="851"/>
        <w:rPr>
          <w:bCs/>
          <w:color w:val="000000"/>
          <w:sz w:val="24"/>
          <w:szCs w:val="24"/>
          <w:lang w:val="en-GB"/>
        </w:rPr>
      </w:pPr>
      <w:r w:rsidRPr="00CC70C2">
        <w:rPr>
          <w:bCs/>
          <w:color w:val="000000"/>
          <w:sz w:val="24"/>
          <w:szCs w:val="24"/>
          <w:lang w:val="en-GB"/>
        </w:rPr>
        <w:t>This medicinal product does not require any special storage conditions.</w:t>
      </w:r>
    </w:p>
    <w:p w14:paraId="69EC0181" w14:textId="77777777" w:rsidR="007C5D2A" w:rsidRPr="00CC70C2" w:rsidRDefault="007C5D2A" w:rsidP="003E0341">
      <w:pPr>
        <w:tabs>
          <w:tab w:val="left" w:pos="851"/>
        </w:tabs>
        <w:ind w:left="851"/>
        <w:rPr>
          <w:sz w:val="24"/>
          <w:szCs w:val="24"/>
          <w:lang w:val="en-GB"/>
        </w:rPr>
      </w:pPr>
    </w:p>
    <w:p w14:paraId="1E029C7D" w14:textId="77777777" w:rsidR="007C5D2A" w:rsidRPr="00CC70C2" w:rsidRDefault="007C5D2A" w:rsidP="007C5D2A">
      <w:pPr>
        <w:ind w:left="851" w:hanging="851"/>
        <w:rPr>
          <w:b/>
          <w:sz w:val="24"/>
          <w:szCs w:val="24"/>
          <w:lang w:val="en-GB"/>
        </w:rPr>
      </w:pPr>
      <w:r w:rsidRPr="00CC70C2">
        <w:rPr>
          <w:b/>
          <w:sz w:val="24"/>
          <w:szCs w:val="24"/>
          <w:lang w:val="en-GB"/>
        </w:rPr>
        <w:t>6.5</w:t>
      </w:r>
      <w:r w:rsidRPr="00CC70C2">
        <w:rPr>
          <w:b/>
          <w:sz w:val="24"/>
          <w:szCs w:val="24"/>
          <w:lang w:val="en-GB"/>
        </w:rPr>
        <w:tab/>
        <w:t>Nature and contents of container</w:t>
      </w:r>
    </w:p>
    <w:p w14:paraId="51965301" w14:textId="77777777" w:rsidR="00D5152C" w:rsidRPr="00CC70C2" w:rsidRDefault="00D5152C" w:rsidP="00954DFE">
      <w:pPr>
        <w:ind w:left="851"/>
        <w:rPr>
          <w:bCs/>
          <w:color w:val="000000"/>
          <w:sz w:val="24"/>
          <w:szCs w:val="24"/>
          <w:lang w:val="en-GB"/>
        </w:rPr>
      </w:pPr>
      <w:r w:rsidRPr="00CC70C2">
        <w:rPr>
          <w:bCs/>
          <w:iCs/>
          <w:color w:val="000000"/>
          <w:sz w:val="24"/>
          <w:szCs w:val="24"/>
          <w:lang w:val="en-GB"/>
        </w:rPr>
        <w:t>A cardboard box containing the appropriate number of white opaque PVC/PCTFE-Aluminium foil blisters and an instruction leaflet.</w:t>
      </w:r>
    </w:p>
    <w:p w14:paraId="5460C475" w14:textId="77777777" w:rsidR="00D5152C" w:rsidRPr="00CC70C2" w:rsidRDefault="00D5152C" w:rsidP="00954DFE">
      <w:pPr>
        <w:ind w:left="851"/>
        <w:rPr>
          <w:spacing w:val="-1"/>
          <w:sz w:val="24"/>
          <w:szCs w:val="24"/>
          <w:lang w:val="en-GB"/>
        </w:rPr>
      </w:pPr>
    </w:p>
    <w:p w14:paraId="1F5DA615" w14:textId="0EF4A487" w:rsidR="00D5152C" w:rsidRPr="00CC70C2" w:rsidRDefault="00D5152C" w:rsidP="00954DFE">
      <w:pPr>
        <w:ind w:left="851"/>
        <w:rPr>
          <w:spacing w:val="-1"/>
          <w:sz w:val="24"/>
          <w:szCs w:val="24"/>
          <w:lang w:val="en-GB"/>
        </w:rPr>
      </w:pPr>
      <w:r w:rsidRPr="00CC70C2">
        <w:rPr>
          <w:spacing w:val="-1"/>
          <w:sz w:val="24"/>
          <w:szCs w:val="24"/>
          <w:lang w:val="en-GB"/>
        </w:rPr>
        <w:t>The pack sizes are:</w:t>
      </w:r>
      <w:r w:rsidRPr="00CC70C2">
        <w:rPr>
          <w:bCs/>
          <w:spacing w:val="-1"/>
          <w:sz w:val="24"/>
          <w:szCs w:val="24"/>
          <w:lang w:val="en-GB"/>
        </w:rPr>
        <w:t xml:space="preserve"> 10, 30, 50, 56, 60 and 100 tablets.</w:t>
      </w:r>
    </w:p>
    <w:p w14:paraId="66B9247B" w14:textId="77777777" w:rsidR="00D5152C" w:rsidRPr="00CC70C2" w:rsidRDefault="00D5152C" w:rsidP="00954DFE">
      <w:pPr>
        <w:ind w:left="851"/>
        <w:rPr>
          <w:bCs/>
          <w:spacing w:val="-1"/>
          <w:sz w:val="24"/>
          <w:szCs w:val="24"/>
          <w:lang w:val="en-GB"/>
        </w:rPr>
      </w:pPr>
    </w:p>
    <w:p w14:paraId="67B96D01" w14:textId="77777777" w:rsidR="00D5152C" w:rsidRPr="00CC70C2" w:rsidRDefault="00D5152C" w:rsidP="00954DFE">
      <w:pPr>
        <w:ind w:left="851"/>
        <w:rPr>
          <w:bCs/>
          <w:color w:val="000000"/>
          <w:sz w:val="24"/>
          <w:szCs w:val="24"/>
          <w:lang w:val="en-GB"/>
        </w:rPr>
      </w:pPr>
      <w:r w:rsidRPr="00CC70C2">
        <w:rPr>
          <w:bCs/>
          <w:color w:val="000000"/>
          <w:sz w:val="24"/>
          <w:szCs w:val="24"/>
          <w:lang w:val="en-GB"/>
        </w:rPr>
        <w:t>Not all pack sizes may be marketed.</w:t>
      </w:r>
    </w:p>
    <w:p w14:paraId="03E0C8B7" w14:textId="77777777" w:rsidR="007C5D2A" w:rsidRPr="00CC70C2" w:rsidRDefault="007C5D2A" w:rsidP="003E0341">
      <w:pPr>
        <w:tabs>
          <w:tab w:val="left" w:pos="851"/>
        </w:tabs>
        <w:ind w:left="851"/>
        <w:rPr>
          <w:sz w:val="24"/>
          <w:szCs w:val="24"/>
          <w:lang w:val="en-GB"/>
        </w:rPr>
      </w:pPr>
    </w:p>
    <w:p w14:paraId="6180C389" w14:textId="77777777" w:rsidR="007C5D2A" w:rsidRPr="00CC70C2" w:rsidRDefault="007C5D2A" w:rsidP="007C5D2A">
      <w:pPr>
        <w:ind w:left="851" w:hanging="851"/>
        <w:rPr>
          <w:b/>
          <w:sz w:val="24"/>
          <w:szCs w:val="24"/>
          <w:lang w:val="en-GB"/>
        </w:rPr>
      </w:pPr>
      <w:r w:rsidRPr="00CC70C2">
        <w:rPr>
          <w:b/>
          <w:sz w:val="24"/>
          <w:szCs w:val="24"/>
          <w:lang w:val="en-GB"/>
        </w:rPr>
        <w:t>6.6</w:t>
      </w:r>
      <w:r w:rsidRPr="00CC70C2">
        <w:rPr>
          <w:b/>
          <w:sz w:val="24"/>
          <w:szCs w:val="24"/>
          <w:lang w:val="en-GB"/>
        </w:rPr>
        <w:tab/>
        <w:t>Special precautions for disposal and other handling</w:t>
      </w:r>
    </w:p>
    <w:p w14:paraId="4A307939" w14:textId="77777777" w:rsidR="00D5152C" w:rsidRPr="00CC70C2" w:rsidRDefault="00D5152C" w:rsidP="00954DFE">
      <w:pPr>
        <w:ind w:left="851"/>
        <w:rPr>
          <w:bCs/>
          <w:color w:val="000000"/>
          <w:sz w:val="24"/>
          <w:szCs w:val="24"/>
          <w:lang w:val="en-GB"/>
        </w:rPr>
      </w:pPr>
      <w:r w:rsidRPr="00CC70C2">
        <w:rPr>
          <w:bCs/>
          <w:color w:val="000000"/>
          <w:sz w:val="24"/>
          <w:szCs w:val="24"/>
          <w:lang w:val="en-GB"/>
        </w:rPr>
        <w:t>No special requirements.</w:t>
      </w:r>
    </w:p>
    <w:p w14:paraId="062205B1" w14:textId="77777777" w:rsidR="007C5D2A" w:rsidRPr="00CC70C2" w:rsidRDefault="007C5D2A" w:rsidP="00AB4376">
      <w:pPr>
        <w:tabs>
          <w:tab w:val="left" w:pos="851"/>
        </w:tabs>
        <w:ind w:left="851"/>
        <w:rPr>
          <w:sz w:val="24"/>
          <w:szCs w:val="24"/>
          <w:lang w:val="en-GB"/>
        </w:rPr>
      </w:pPr>
    </w:p>
    <w:p w14:paraId="62410F6C" w14:textId="77777777" w:rsidR="007C5D2A" w:rsidRPr="00CC70C2" w:rsidRDefault="007C5D2A" w:rsidP="007C5D2A">
      <w:pPr>
        <w:tabs>
          <w:tab w:val="left" w:pos="851"/>
        </w:tabs>
        <w:ind w:left="851" w:hanging="851"/>
        <w:jc w:val="both"/>
        <w:rPr>
          <w:b/>
          <w:sz w:val="24"/>
          <w:szCs w:val="24"/>
          <w:lang w:val="en-GB"/>
        </w:rPr>
      </w:pPr>
      <w:r w:rsidRPr="00CC70C2">
        <w:rPr>
          <w:b/>
          <w:sz w:val="24"/>
          <w:szCs w:val="24"/>
          <w:lang w:val="en-GB"/>
        </w:rPr>
        <w:t>7.</w:t>
      </w:r>
      <w:r w:rsidRPr="00CC70C2">
        <w:rPr>
          <w:b/>
          <w:sz w:val="24"/>
          <w:szCs w:val="24"/>
          <w:lang w:val="en-GB"/>
        </w:rPr>
        <w:tab/>
        <w:t>MARKETING AUTHORISATION HOLDER</w:t>
      </w:r>
    </w:p>
    <w:p w14:paraId="22619358" w14:textId="79F54BC3" w:rsidR="007C5D2A" w:rsidRPr="00CC70C2" w:rsidRDefault="006E41BB" w:rsidP="003E0341">
      <w:pPr>
        <w:tabs>
          <w:tab w:val="left" w:pos="851"/>
        </w:tabs>
        <w:ind w:left="851"/>
        <w:jc w:val="both"/>
        <w:rPr>
          <w:sz w:val="24"/>
          <w:szCs w:val="24"/>
          <w:lang w:val="en-GB"/>
        </w:rPr>
      </w:pPr>
      <w:proofErr w:type="spellStart"/>
      <w:r w:rsidRPr="00CC70C2">
        <w:rPr>
          <w:sz w:val="24"/>
          <w:szCs w:val="24"/>
          <w:lang w:val="en-GB"/>
        </w:rPr>
        <w:t>Hexal</w:t>
      </w:r>
      <w:proofErr w:type="spellEnd"/>
      <w:r w:rsidRPr="00CC70C2">
        <w:rPr>
          <w:sz w:val="24"/>
          <w:szCs w:val="24"/>
          <w:lang w:val="en-GB"/>
        </w:rPr>
        <w:t xml:space="preserve"> A/S</w:t>
      </w:r>
    </w:p>
    <w:p w14:paraId="526874D2" w14:textId="61C68FE2" w:rsidR="006E41BB" w:rsidRPr="00CC70C2" w:rsidRDefault="006E41BB" w:rsidP="003E0341">
      <w:pPr>
        <w:tabs>
          <w:tab w:val="left" w:pos="851"/>
        </w:tabs>
        <w:ind w:left="851"/>
        <w:jc w:val="both"/>
        <w:rPr>
          <w:sz w:val="24"/>
          <w:szCs w:val="24"/>
          <w:lang w:val="en-GB"/>
        </w:rPr>
      </w:pPr>
      <w:r w:rsidRPr="00CC70C2">
        <w:rPr>
          <w:sz w:val="24"/>
          <w:szCs w:val="24"/>
          <w:lang w:val="en-GB"/>
        </w:rPr>
        <w:t xml:space="preserve">Edvard </w:t>
      </w:r>
      <w:proofErr w:type="spellStart"/>
      <w:r w:rsidRPr="00CC70C2">
        <w:rPr>
          <w:sz w:val="24"/>
          <w:szCs w:val="24"/>
          <w:lang w:val="en-GB"/>
        </w:rPr>
        <w:t>Thomsens</w:t>
      </w:r>
      <w:proofErr w:type="spellEnd"/>
      <w:r w:rsidRPr="00CC70C2">
        <w:rPr>
          <w:sz w:val="24"/>
          <w:szCs w:val="24"/>
          <w:lang w:val="en-GB"/>
        </w:rPr>
        <w:t xml:space="preserve"> </w:t>
      </w:r>
      <w:proofErr w:type="spellStart"/>
      <w:r w:rsidRPr="00CC70C2">
        <w:rPr>
          <w:sz w:val="24"/>
          <w:szCs w:val="24"/>
          <w:lang w:val="en-GB"/>
        </w:rPr>
        <w:t>Vej</w:t>
      </w:r>
      <w:proofErr w:type="spellEnd"/>
      <w:r w:rsidRPr="00CC70C2">
        <w:rPr>
          <w:sz w:val="24"/>
          <w:szCs w:val="24"/>
          <w:lang w:val="en-GB"/>
        </w:rPr>
        <w:t xml:space="preserve"> 14</w:t>
      </w:r>
    </w:p>
    <w:p w14:paraId="198ACE29" w14:textId="49AA038B" w:rsidR="006E41BB" w:rsidRPr="00CC70C2" w:rsidRDefault="006E41BB" w:rsidP="003E0341">
      <w:pPr>
        <w:tabs>
          <w:tab w:val="left" w:pos="851"/>
        </w:tabs>
        <w:ind w:left="851"/>
        <w:jc w:val="both"/>
        <w:rPr>
          <w:sz w:val="24"/>
          <w:szCs w:val="24"/>
          <w:lang w:val="en-GB"/>
        </w:rPr>
      </w:pPr>
      <w:r w:rsidRPr="00CC70C2">
        <w:rPr>
          <w:sz w:val="24"/>
          <w:szCs w:val="24"/>
          <w:lang w:val="en-GB"/>
        </w:rPr>
        <w:t xml:space="preserve">2300 </w:t>
      </w:r>
      <w:proofErr w:type="spellStart"/>
      <w:r w:rsidRPr="00CC70C2">
        <w:rPr>
          <w:sz w:val="24"/>
          <w:szCs w:val="24"/>
          <w:lang w:val="en-GB"/>
        </w:rPr>
        <w:t>København</w:t>
      </w:r>
      <w:proofErr w:type="spellEnd"/>
      <w:r w:rsidRPr="00CC70C2">
        <w:rPr>
          <w:sz w:val="24"/>
          <w:szCs w:val="24"/>
          <w:lang w:val="en-GB"/>
        </w:rPr>
        <w:t xml:space="preserve"> S</w:t>
      </w:r>
    </w:p>
    <w:p w14:paraId="1A56BB99" w14:textId="77777777" w:rsidR="006E41BB" w:rsidRPr="00CC70C2" w:rsidRDefault="006E41BB" w:rsidP="003E0341">
      <w:pPr>
        <w:tabs>
          <w:tab w:val="left" w:pos="851"/>
        </w:tabs>
        <w:ind w:left="851"/>
        <w:jc w:val="both"/>
        <w:rPr>
          <w:sz w:val="24"/>
          <w:szCs w:val="24"/>
          <w:lang w:val="en-GB"/>
        </w:rPr>
      </w:pPr>
    </w:p>
    <w:p w14:paraId="145E5623" w14:textId="77777777" w:rsidR="007C5D2A" w:rsidRPr="00CC70C2" w:rsidRDefault="007C5D2A" w:rsidP="007C5D2A">
      <w:pPr>
        <w:ind w:left="851" w:hanging="851"/>
        <w:jc w:val="both"/>
        <w:rPr>
          <w:b/>
          <w:sz w:val="24"/>
          <w:szCs w:val="24"/>
          <w:lang w:val="en-GB"/>
        </w:rPr>
      </w:pPr>
      <w:r w:rsidRPr="00CC70C2">
        <w:rPr>
          <w:b/>
          <w:sz w:val="24"/>
          <w:szCs w:val="24"/>
          <w:lang w:val="en-GB"/>
        </w:rPr>
        <w:t>8.</w:t>
      </w:r>
      <w:r w:rsidRPr="00CC70C2">
        <w:rPr>
          <w:b/>
          <w:sz w:val="24"/>
          <w:szCs w:val="24"/>
          <w:lang w:val="en-GB"/>
        </w:rPr>
        <w:tab/>
        <w:t>MARKETING AUTHORISATION NUMBER(S)</w:t>
      </w:r>
    </w:p>
    <w:p w14:paraId="021B34EA" w14:textId="4BC8B3FB" w:rsidR="007C5D2A" w:rsidRPr="00CC70C2" w:rsidRDefault="009A379C" w:rsidP="00A85D26">
      <w:pPr>
        <w:tabs>
          <w:tab w:val="left" w:pos="851"/>
        </w:tabs>
        <w:ind w:left="851"/>
        <w:jc w:val="both"/>
        <w:rPr>
          <w:sz w:val="24"/>
          <w:szCs w:val="24"/>
          <w:lang w:val="en-GB"/>
        </w:rPr>
      </w:pPr>
      <w:r w:rsidRPr="00CC70C2">
        <w:rPr>
          <w:sz w:val="24"/>
          <w:szCs w:val="24"/>
          <w:lang w:val="en-GB"/>
        </w:rPr>
        <w:t>64156</w:t>
      </w:r>
    </w:p>
    <w:p w14:paraId="68C9B153" w14:textId="77777777" w:rsidR="007C5D2A" w:rsidRPr="00CC70C2" w:rsidRDefault="007C5D2A" w:rsidP="00180A12">
      <w:pPr>
        <w:tabs>
          <w:tab w:val="left" w:pos="851"/>
        </w:tabs>
        <w:ind w:left="851"/>
        <w:jc w:val="both"/>
        <w:rPr>
          <w:sz w:val="24"/>
          <w:szCs w:val="24"/>
          <w:lang w:val="en-GB"/>
        </w:rPr>
      </w:pPr>
    </w:p>
    <w:p w14:paraId="1CA49F77" w14:textId="77777777" w:rsidR="007C5D2A" w:rsidRPr="00CC70C2" w:rsidRDefault="007C5D2A" w:rsidP="007C5D2A">
      <w:pPr>
        <w:tabs>
          <w:tab w:val="left" w:pos="851"/>
        </w:tabs>
        <w:jc w:val="both"/>
        <w:rPr>
          <w:sz w:val="24"/>
          <w:szCs w:val="24"/>
          <w:lang w:val="en-GB"/>
        </w:rPr>
      </w:pPr>
      <w:r w:rsidRPr="00CC70C2">
        <w:rPr>
          <w:b/>
          <w:sz w:val="24"/>
          <w:szCs w:val="24"/>
          <w:lang w:val="en-GB"/>
        </w:rPr>
        <w:t>9.</w:t>
      </w:r>
      <w:r w:rsidRPr="00CC70C2">
        <w:rPr>
          <w:b/>
          <w:sz w:val="24"/>
          <w:szCs w:val="24"/>
          <w:lang w:val="en-GB"/>
        </w:rPr>
        <w:tab/>
        <w:t>DATE OF FIRST AUTHORISATION</w:t>
      </w:r>
    </w:p>
    <w:p w14:paraId="1D60D9BB" w14:textId="52DB0C31" w:rsidR="003D5214" w:rsidRPr="00CC70C2" w:rsidRDefault="003D5214" w:rsidP="003D5214">
      <w:pPr>
        <w:ind w:left="851" w:hanging="851"/>
        <w:rPr>
          <w:sz w:val="24"/>
          <w:szCs w:val="24"/>
          <w:lang w:val="en-GB"/>
        </w:rPr>
      </w:pPr>
      <w:r w:rsidRPr="00CC70C2">
        <w:rPr>
          <w:sz w:val="24"/>
          <w:szCs w:val="24"/>
          <w:lang w:val="en-GB"/>
        </w:rPr>
        <w:tab/>
        <w:t>21 December 2007</w:t>
      </w:r>
    </w:p>
    <w:p w14:paraId="2491D63F" w14:textId="77777777" w:rsidR="007C5D2A" w:rsidRPr="00CC70C2" w:rsidRDefault="007C5D2A" w:rsidP="003E0341">
      <w:pPr>
        <w:tabs>
          <w:tab w:val="left" w:pos="851"/>
        </w:tabs>
        <w:ind w:left="851"/>
        <w:jc w:val="both"/>
        <w:rPr>
          <w:sz w:val="24"/>
          <w:szCs w:val="24"/>
          <w:lang w:val="en-GB"/>
        </w:rPr>
      </w:pPr>
    </w:p>
    <w:p w14:paraId="09D501FC" w14:textId="77777777" w:rsidR="007C5D2A" w:rsidRPr="00CC70C2" w:rsidRDefault="007C5D2A" w:rsidP="007C5D2A">
      <w:pPr>
        <w:tabs>
          <w:tab w:val="left" w:pos="851"/>
        </w:tabs>
        <w:jc w:val="both"/>
        <w:rPr>
          <w:sz w:val="24"/>
          <w:szCs w:val="24"/>
          <w:lang w:val="en-GB"/>
        </w:rPr>
      </w:pPr>
      <w:r w:rsidRPr="00CC70C2">
        <w:rPr>
          <w:b/>
          <w:sz w:val="24"/>
          <w:szCs w:val="24"/>
          <w:lang w:val="en-GB"/>
        </w:rPr>
        <w:t>10.</w:t>
      </w:r>
      <w:r w:rsidRPr="00CC70C2">
        <w:rPr>
          <w:b/>
          <w:sz w:val="24"/>
          <w:szCs w:val="24"/>
          <w:lang w:val="en-GB"/>
        </w:rPr>
        <w:tab/>
        <w:t>DATE OF REVISION OF THE TEXT</w:t>
      </w:r>
    </w:p>
    <w:p w14:paraId="4BB9E4E2" w14:textId="798203ED" w:rsidR="007C5D2A" w:rsidRPr="00CC70C2" w:rsidRDefault="007D65A5" w:rsidP="003E0341">
      <w:pPr>
        <w:tabs>
          <w:tab w:val="left" w:pos="851"/>
        </w:tabs>
        <w:ind w:left="851"/>
        <w:jc w:val="both"/>
        <w:rPr>
          <w:sz w:val="24"/>
          <w:szCs w:val="24"/>
          <w:lang w:val="en-GB"/>
        </w:rPr>
      </w:pPr>
      <w:r>
        <w:rPr>
          <w:sz w:val="24"/>
          <w:szCs w:val="24"/>
          <w:lang w:val="en-GB"/>
        </w:rPr>
        <w:t>26 September 2024</w:t>
      </w:r>
    </w:p>
    <w:sectPr w:rsidR="007C5D2A" w:rsidRPr="00CC70C2"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42C2" w14:textId="77777777" w:rsidR="005C0380" w:rsidRDefault="005C0380">
      <w:r>
        <w:separator/>
      </w:r>
    </w:p>
  </w:endnote>
  <w:endnote w:type="continuationSeparator" w:id="0">
    <w:p w14:paraId="7131D2C2" w14:textId="77777777" w:rsidR="005C0380" w:rsidRDefault="005C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CFF1" w14:textId="77777777" w:rsidR="005C0380" w:rsidRDefault="005C038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512E" w14:textId="77777777" w:rsidR="005C0380" w:rsidRDefault="005C0380">
    <w:pPr>
      <w:pStyle w:val="Sidefod"/>
      <w:pBdr>
        <w:bottom w:val="single" w:sz="6" w:space="1" w:color="auto"/>
      </w:pBdr>
    </w:pPr>
  </w:p>
  <w:p w14:paraId="01753080" w14:textId="77777777" w:rsidR="005C0380" w:rsidRDefault="005C0380">
    <w:pPr>
      <w:pStyle w:val="Sidefod"/>
      <w:tabs>
        <w:tab w:val="clear" w:pos="4819"/>
        <w:tab w:val="left" w:pos="8647"/>
      </w:tabs>
      <w:rPr>
        <w:i/>
        <w:snapToGrid w:val="0"/>
        <w:sz w:val="18"/>
      </w:rPr>
    </w:pPr>
  </w:p>
  <w:p w14:paraId="07D2495D" w14:textId="0555D124" w:rsidR="005C0380" w:rsidRPr="00F96C97" w:rsidRDefault="005C0380" w:rsidP="00AC033C">
    <w:pPr>
      <w:pStyle w:val="Sidefod"/>
      <w:tabs>
        <w:tab w:val="clear" w:pos="4819"/>
        <w:tab w:val="left" w:pos="8364"/>
      </w:tabs>
      <w:rPr>
        <w:i/>
        <w:sz w:val="18"/>
        <w:lang w:val="en-US"/>
      </w:rPr>
    </w:pPr>
    <w:r>
      <w:rPr>
        <w:i/>
        <w:snapToGrid w:val="0"/>
        <w:sz w:val="18"/>
      </w:rPr>
      <w:fldChar w:fldCharType="begin"/>
    </w:r>
    <w:r w:rsidRPr="00F96C97">
      <w:rPr>
        <w:i/>
        <w:snapToGrid w:val="0"/>
        <w:sz w:val="18"/>
        <w:lang w:val="en-US"/>
      </w:rPr>
      <w:instrText xml:space="preserve"> FILENAME </w:instrText>
    </w:r>
    <w:r>
      <w:rPr>
        <w:i/>
        <w:snapToGrid w:val="0"/>
        <w:sz w:val="18"/>
      </w:rPr>
      <w:fldChar w:fldCharType="separate"/>
    </w:r>
    <w:r w:rsidRPr="00F96C97">
      <w:rPr>
        <w:i/>
        <w:noProof/>
        <w:snapToGrid w:val="0"/>
        <w:sz w:val="18"/>
        <w:lang w:val="en-US"/>
      </w:rPr>
      <w:t>Quetiapin Hexal, depottabletter 600 mg.docx</w:t>
    </w:r>
    <w:r>
      <w:rPr>
        <w:i/>
        <w:snapToGrid w:val="0"/>
        <w:sz w:val="18"/>
      </w:rPr>
      <w:fldChar w:fldCharType="end"/>
    </w:r>
    <w:r w:rsidRPr="00F96C97">
      <w:rPr>
        <w:i/>
        <w:snapToGrid w:val="0"/>
        <w:sz w:val="18"/>
        <w:lang w:val="en-US"/>
      </w:rPr>
      <w:tab/>
      <w:t xml:space="preserve">Page </w:t>
    </w:r>
    <w:r>
      <w:rPr>
        <w:i/>
        <w:snapToGrid w:val="0"/>
        <w:sz w:val="18"/>
      </w:rPr>
      <w:fldChar w:fldCharType="begin"/>
    </w:r>
    <w:r w:rsidRPr="00F96C97">
      <w:rPr>
        <w:i/>
        <w:snapToGrid w:val="0"/>
        <w:sz w:val="18"/>
        <w:lang w:val="en-US"/>
      </w:rPr>
      <w:instrText xml:space="preserve"> PAGE </w:instrText>
    </w:r>
    <w:r>
      <w:rPr>
        <w:i/>
        <w:snapToGrid w:val="0"/>
        <w:sz w:val="18"/>
      </w:rPr>
      <w:fldChar w:fldCharType="separate"/>
    </w:r>
    <w:r w:rsidRPr="00F96C97">
      <w:rPr>
        <w:i/>
        <w:noProof/>
        <w:snapToGrid w:val="0"/>
        <w:sz w:val="18"/>
        <w:lang w:val="en-US"/>
      </w:rPr>
      <w:t>1</w:t>
    </w:r>
    <w:r>
      <w:rPr>
        <w:i/>
        <w:snapToGrid w:val="0"/>
        <w:sz w:val="18"/>
      </w:rPr>
      <w:fldChar w:fldCharType="end"/>
    </w:r>
    <w:r w:rsidRPr="00F96C97">
      <w:rPr>
        <w:i/>
        <w:snapToGrid w:val="0"/>
        <w:sz w:val="18"/>
        <w:lang w:val="en-US"/>
      </w:rPr>
      <w:t xml:space="preserve"> of </w:t>
    </w:r>
    <w:r>
      <w:rPr>
        <w:i/>
        <w:snapToGrid w:val="0"/>
        <w:sz w:val="18"/>
      </w:rPr>
      <w:fldChar w:fldCharType="begin"/>
    </w:r>
    <w:r w:rsidRPr="00F96C97">
      <w:rPr>
        <w:i/>
        <w:snapToGrid w:val="0"/>
        <w:sz w:val="18"/>
        <w:lang w:val="en-US"/>
      </w:rPr>
      <w:instrText xml:space="preserve"> NUMPAGES </w:instrText>
    </w:r>
    <w:r>
      <w:rPr>
        <w:i/>
        <w:snapToGrid w:val="0"/>
        <w:sz w:val="18"/>
      </w:rPr>
      <w:fldChar w:fldCharType="separate"/>
    </w:r>
    <w:r w:rsidRPr="00F96C9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909E" w14:textId="77777777" w:rsidR="005C0380" w:rsidRDefault="005C0380">
    <w:pPr>
      <w:pStyle w:val="Sidefod"/>
      <w:pBdr>
        <w:bottom w:val="single" w:sz="6" w:space="1" w:color="auto"/>
      </w:pBdr>
      <w:tabs>
        <w:tab w:val="clear" w:pos="4819"/>
        <w:tab w:val="left" w:pos="8789"/>
      </w:tabs>
      <w:rPr>
        <w:i/>
        <w:snapToGrid w:val="0"/>
        <w:sz w:val="18"/>
      </w:rPr>
    </w:pPr>
  </w:p>
  <w:p w14:paraId="7584EA44" w14:textId="77777777" w:rsidR="005C0380" w:rsidRDefault="005C0380">
    <w:pPr>
      <w:pStyle w:val="Sidefod"/>
      <w:tabs>
        <w:tab w:val="clear" w:pos="4819"/>
        <w:tab w:val="left" w:pos="8789"/>
      </w:tabs>
      <w:rPr>
        <w:i/>
        <w:snapToGrid w:val="0"/>
        <w:sz w:val="18"/>
      </w:rPr>
    </w:pPr>
  </w:p>
  <w:p w14:paraId="071C3010" w14:textId="197D3B13" w:rsidR="005C0380" w:rsidRPr="00F96C97" w:rsidRDefault="005C0380">
    <w:pPr>
      <w:pStyle w:val="Sidefod"/>
      <w:tabs>
        <w:tab w:val="clear" w:pos="4819"/>
        <w:tab w:val="left" w:pos="8647"/>
      </w:tabs>
      <w:rPr>
        <w:i/>
        <w:sz w:val="18"/>
        <w:lang w:val="en-US"/>
      </w:rPr>
    </w:pPr>
    <w:r>
      <w:rPr>
        <w:i/>
        <w:snapToGrid w:val="0"/>
        <w:sz w:val="18"/>
      </w:rPr>
      <w:fldChar w:fldCharType="begin"/>
    </w:r>
    <w:r w:rsidRPr="00F96C97">
      <w:rPr>
        <w:i/>
        <w:snapToGrid w:val="0"/>
        <w:sz w:val="18"/>
        <w:lang w:val="en-US"/>
      </w:rPr>
      <w:instrText xml:space="preserve"> FILENAME </w:instrText>
    </w:r>
    <w:r>
      <w:rPr>
        <w:i/>
        <w:snapToGrid w:val="0"/>
        <w:sz w:val="18"/>
      </w:rPr>
      <w:fldChar w:fldCharType="separate"/>
    </w:r>
    <w:r w:rsidRPr="00F96C97">
      <w:rPr>
        <w:i/>
        <w:noProof/>
        <w:snapToGrid w:val="0"/>
        <w:sz w:val="18"/>
        <w:lang w:val="en-US"/>
      </w:rPr>
      <w:t>Quetiapin Hexal, depottabletter 600 mg.docx</w:t>
    </w:r>
    <w:r>
      <w:rPr>
        <w:i/>
        <w:snapToGrid w:val="0"/>
        <w:sz w:val="18"/>
      </w:rPr>
      <w:fldChar w:fldCharType="end"/>
    </w:r>
    <w:r w:rsidRPr="00F96C97">
      <w:rPr>
        <w:i/>
        <w:snapToGrid w:val="0"/>
        <w:sz w:val="18"/>
        <w:lang w:val="en-US"/>
      </w:rPr>
      <w:tab/>
      <w:t xml:space="preserve">Page </w:t>
    </w:r>
    <w:r>
      <w:rPr>
        <w:i/>
        <w:snapToGrid w:val="0"/>
        <w:sz w:val="18"/>
      </w:rPr>
      <w:fldChar w:fldCharType="begin"/>
    </w:r>
    <w:r w:rsidRPr="00F96C97">
      <w:rPr>
        <w:i/>
        <w:snapToGrid w:val="0"/>
        <w:sz w:val="18"/>
        <w:lang w:val="en-US"/>
      </w:rPr>
      <w:instrText xml:space="preserve"> PAGE </w:instrText>
    </w:r>
    <w:r>
      <w:rPr>
        <w:i/>
        <w:snapToGrid w:val="0"/>
        <w:sz w:val="18"/>
      </w:rPr>
      <w:fldChar w:fldCharType="separate"/>
    </w:r>
    <w:r w:rsidRPr="00F96C97">
      <w:rPr>
        <w:i/>
        <w:noProof/>
        <w:snapToGrid w:val="0"/>
        <w:sz w:val="18"/>
        <w:lang w:val="en-US"/>
      </w:rPr>
      <w:t>1</w:t>
    </w:r>
    <w:r>
      <w:rPr>
        <w:i/>
        <w:snapToGrid w:val="0"/>
        <w:sz w:val="18"/>
      </w:rPr>
      <w:fldChar w:fldCharType="end"/>
    </w:r>
    <w:r w:rsidRPr="00F96C97">
      <w:rPr>
        <w:i/>
        <w:snapToGrid w:val="0"/>
        <w:sz w:val="18"/>
        <w:lang w:val="en-US"/>
      </w:rPr>
      <w:t xml:space="preserve"> of </w:t>
    </w:r>
    <w:r>
      <w:rPr>
        <w:i/>
        <w:snapToGrid w:val="0"/>
        <w:sz w:val="18"/>
      </w:rPr>
      <w:fldChar w:fldCharType="begin"/>
    </w:r>
    <w:r w:rsidRPr="00F96C97">
      <w:rPr>
        <w:i/>
        <w:snapToGrid w:val="0"/>
        <w:sz w:val="18"/>
        <w:lang w:val="en-US"/>
      </w:rPr>
      <w:instrText xml:space="preserve"> NUMPAGES </w:instrText>
    </w:r>
    <w:r>
      <w:rPr>
        <w:i/>
        <w:snapToGrid w:val="0"/>
        <w:sz w:val="18"/>
      </w:rPr>
      <w:fldChar w:fldCharType="separate"/>
    </w:r>
    <w:r w:rsidRPr="00F96C9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36798" w14:textId="77777777" w:rsidR="005C0380" w:rsidRDefault="005C0380">
      <w:r>
        <w:separator/>
      </w:r>
    </w:p>
  </w:footnote>
  <w:footnote w:type="continuationSeparator" w:id="0">
    <w:p w14:paraId="78AF2292" w14:textId="77777777" w:rsidR="005C0380" w:rsidRDefault="005C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F065B" w14:textId="77777777" w:rsidR="005C0380" w:rsidRDefault="005C038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1583" w14:textId="77777777" w:rsidR="005C0380" w:rsidRDefault="005C0380">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F63D" w14:textId="77777777" w:rsidR="005C0380" w:rsidRDefault="005C03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631D90"/>
    <w:multiLevelType w:val="multilevel"/>
    <w:tmpl w:val="C610085E"/>
    <w:lvl w:ilvl="0">
      <w:start w:val="1"/>
      <w:numFmt w:val="bullet"/>
      <w:lvlText w:val="-"/>
      <w:lvlJc w:val="center"/>
      <w:pPr>
        <w:tabs>
          <w:tab w:val="num" w:pos="864"/>
        </w:tabs>
        <w:ind w:left="864" w:hanging="432"/>
      </w:pPr>
      <w:rPr>
        <w:b/>
        <w:color w:val="auto"/>
      </w:rPr>
    </w:lvl>
    <w:lvl w:ilvl="1">
      <w:start w:val="1"/>
      <w:numFmt w:val="decimal"/>
      <w:lvlText w:val="%1.%2"/>
      <w:lvlJc w:val="left"/>
      <w:pPr>
        <w:tabs>
          <w:tab w:val="num" w:pos="1008"/>
        </w:tabs>
        <w:ind w:left="1008" w:hanging="576"/>
      </w:pPr>
    </w:lvl>
    <w:lvl w:ilvl="2">
      <w:start w:val="1"/>
      <w:numFmt w:val="decimal"/>
      <w:lvlText w:val="%1.%2.%3"/>
      <w:lvlJc w:val="left"/>
      <w:pPr>
        <w:tabs>
          <w:tab w:val="num" w:pos="1152"/>
        </w:tabs>
        <w:ind w:left="1152" w:hanging="720"/>
      </w:pPr>
    </w:lvl>
    <w:lvl w:ilvl="3">
      <w:start w:val="1"/>
      <w:numFmt w:val="decimal"/>
      <w:lvlText w:val="%1.%2.%3.%4"/>
      <w:lvlJc w:val="left"/>
      <w:pPr>
        <w:tabs>
          <w:tab w:val="num" w:pos="1296"/>
        </w:tabs>
        <w:ind w:left="1296"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4" w15:restartNumberingAfterBreak="0">
    <w:nsid w:val="680D18D5"/>
    <w:multiLevelType w:val="hybridMultilevel"/>
    <w:tmpl w:val="A538D1E4"/>
    <w:lvl w:ilvl="0" w:tplc="0409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F4"/>
    <w:rsid w:val="00056601"/>
    <w:rsid w:val="000B07BB"/>
    <w:rsid w:val="000B772F"/>
    <w:rsid w:val="000C3846"/>
    <w:rsid w:val="000C6218"/>
    <w:rsid w:val="000C62FB"/>
    <w:rsid w:val="000D3C9D"/>
    <w:rsid w:val="000D5EE2"/>
    <w:rsid w:val="000F0D47"/>
    <w:rsid w:val="001242DE"/>
    <w:rsid w:val="00180A12"/>
    <w:rsid w:val="001A5D59"/>
    <w:rsid w:val="00214331"/>
    <w:rsid w:val="00214CF4"/>
    <w:rsid w:val="00281F03"/>
    <w:rsid w:val="0029458A"/>
    <w:rsid w:val="002A1587"/>
    <w:rsid w:val="002B27C5"/>
    <w:rsid w:val="00303008"/>
    <w:rsid w:val="00314607"/>
    <w:rsid w:val="00350C0E"/>
    <w:rsid w:val="00373B55"/>
    <w:rsid w:val="00383581"/>
    <w:rsid w:val="003D5214"/>
    <w:rsid w:val="003D727E"/>
    <w:rsid w:val="003E0341"/>
    <w:rsid w:val="003E3402"/>
    <w:rsid w:val="003F4736"/>
    <w:rsid w:val="00401B49"/>
    <w:rsid w:val="0042292D"/>
    <w:rsid w:val="00440254"/>
    <w:rsid w:val="00444B40"/>
    <w:rsid w:val="00484CF4"/>
    <w:rsid w:val="004860D3"/>
    <w:rsid w:val="004A3BF4"/>
    <w:rsid w:val="004A5DB3"/>
    <w:rsid w:val="005152D9"/>
    <w:rsid w:val="00533AD4"/>
    <w:rsid w:val="00534849"/>
    <w:rsid w:val="00560102"/>
    <w:rsid w:val="00562EA1"/>
    <w:rsid w:val="005B0D4B"/>
    <w:rsid w:val="005C0380"/>
    <w:rsid w:val="005D3884"/>
    <w:rsid w:val="00617BB8"/>
    <w:rsid w:val="0066592E"/>
    <w:rsid w:val="00680052"/>
    <w:rsid w:val="00683267"/>
    <w:rsid w:val="006844E9"/>
    <w:rsid w:val="006B3847"/>
    <w:rsid w:val="006E41BB"/>
    <w:rsid w:val="00717EE5"/>
    <w:rsid w:val="0075453D"/>
    <w:rsid w:val="007A4CC6"/>
    <w:rsid w:val="007C3623"/>
    <w:rsid w:val="007C5D2A"/>
    <w:rsid w:val="007D65A5"/>
    <w:rsid w:val="007F1E00"/>
    <w:rsid w:val="00816AE5"/>
    <w:rsid w:val="00830FB3"/>
    <w:rsid w:val="008400E3"/>
    <w:rsid w:val="00864538"/>
    <w:rsid w:val="00873B4F"/>
    <w:rsid w:val="008B41EF"/>
    <w:rsid w:val="008C187F"/>
    <w:rsid w:val="008E51AE"/>
    <w:rsid w:val="008F2F8C"/>
    <w:rsid w:val="00954DFE"/>
    <w:rsid w:val="0095717C"/>
    <w:rsid w:val="00970C64"/>
    <w:rsid w:val="009925C9"/>
    <w:rsid w:val="009A379C"/>
    <w:rsid w:val="009C7FC9"/>
    <w:rsid w:val="00A179D0"/>
    <w:rsid w:val="00A358A3"/>
    <w:rsid w:val="00A4505B"/>
    <w:rsid w:val="00A46747"/>
    <w:rsid w:val="00A730D1"/>
    <w:rsid w:val="00A731EF"/>
    <w:rsid w:val="00A80446"/>
    <w:rsid w:val="00A85D26"/>
    <w:rsid w:val="00A9153A"/>
    <w:rsid w:val="00AB4376"/>
    <w:rsid w:val="00AC033C"/>
    <w:rsid w:val="00AC0B01"/>
    <w:rsid w:val="00AD2E36"/>
    <w:rsid w:val="00B5396D"/>
    <w:rsid w:val="00BD3490"/>
    <w:rsid w:val="00C26226"/>
    <w:rsid w:val="00C3571D"/>
    <w:rsid w:val="00C54F0B"/>
    <w:rsid w:val="00C77560"/>
    <w:rsid w:val="00C82621"/>
    <w:rsid w:val="00C97CE8"/>
    <w:rsid w:val="00CB1423"/>
    <w:rsid w:val="00CC70C2"/>
    <w:rsid w:val="00D02508"/>
    <w:rsid w:val="00D4324F"/>
    <w:rsid w:val="00D5152C"/>
    <w:rsid w:val="00D778CC"/>
    <w:rsid w:val="00D82FE9"/>
    <w:rsid w:val="00D97B77"/>
    <w:rsid w:val="00DB6A85"/>
    <w:rsid w:val="00DC16C9"/>
    <w:rsid w:val="00E06B32"/>
    <w:rsid w:val="00E1290F"/>
    <w:rsid w:val="00E36A80"/>
    <w:rsid w:val="00E37FB9"/>
    <w:rsid w:val="00EB21D7"/>
    <w:rsid w:val="00ED2647"/>
    <w:rsid w:val="00EE3EB7"/>
    <w:rsid w:val="00F57E16"/>
    <w:rsid w:val="00F60336"/>
    <w:rsid w:val="00F96C9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18E49"/>
  <w15:chartTrackingRefBased/>
  <w15:docId w15:val="{7C0E6C3E-3455-47E9-9F24-553C8188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99"/>
    <w:qFormat/>
    <w:rsid w:val="000C62FB"/>
    <w:pPr>
      <w:ind w:left="720"/>
      <w:contextualSpacing/>
    </w:pPr>
    <w:rPr>
      <w:sz w:val="24"/>
      <w:lang w:val="en-US" w:eastAsia="en-US"/>
    </w:rPr>
  </w:style>
  <w:style w:type="paragraph" w:customStyle="1" w:styleId="Default">
    <w:name w:val="Default"/>
    <w:rsid w:val="000C62FB"/>
    <w:pPr>
      <w:autoSpaceDE w:val="0"/>
      <w:autoSpaceDN w:val="0"/>
      <w:adjustRightInd w:val="0"/>
    </w:pPr>
    <w:rPr>
      <w:rFonts w:eastAsia="SimSun"/>
      <w:color w:val="000000"/>
      <w:sz w:val="24"/>
      <w:szCs w:val="24"/>
      <w:lang w:val="el-GR" w:eastAsia="el-GR"/>
    </w:rPr>
  </w:style>
  <w:style w:type="paragraph" w:styleId="Brdtekst">
    <w:name w:val="Body Text"/>
    <w:basedOn w:val="Normal"/>
    <w:link w:val="BrdtekstTegn"/>
    <w:uiPriority w:val="1"/>
    <w:semiHidden/>
    <w:unhideWhenUsed/>
    <w:qFormat/>
    <w:rsid w:val="00D5152C"/>
    <w:pPr>
      <w:widowControl w:val="0"/>
      <w:autoSpaceDE w:val="0"/>
      <w:autoSpaceDN w:val="0"/>
    </w:pPr>
    <w:rPr>
      <w:sz w:val="24"/>
      <w:szCs w:val="24"/>
      <w:lang w:val="en-US" w:eastAsia="en-US"/>
    </w:rPr>
  </w:style>
  <w:style w:type="character" w:customStyle="1" w:styleId="BrdtekstTegn">
    <w:name w:val="Brødtekst Tegn"/>
    <w:basedOn w:val="Standardskrifttypeiafsnit"/>
    <w:link w:val="Brdtekst"/>
    <w:uiPriority w:val="1"/>
    <w:semiHidden/>
    <w:rsid w:val="00D5152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4707">
      <w:bodyDiv w:val="1"/>
      <w:marLeft w:val="0"/>
      <w:marRight w:val="0"/>
      <w:marTop w:val="0"/>
      <w:marBottom w:val="0"/>
      <w:divBdr>
        <w:top w:val="none" w:sz="0" w:space="0" w:color="auto"/>
        <w:left w:val="none" w:sz="0" w:space="0" w:color="auto"/>
        <w:bottom w:val="none" w:sz="0" w:space="0" w:color="auto"/>
        <w:right w:val="none" w:sz="0" w:space="0" w:color="auto"/>
      </w:divBdr>
    </w:div>
    <w:div w:id="95365933">
      <w:bodyDiv w:val="1"/>
      <w:marLeft w:val="0"/>
      <w:marRight w:val="0"/>
      <w:marTop w:val="0"/>
      <w:marBottom w:val="0"/>
      <w:divBdr>
        <w:top w:val="none" w:sz="0" w:space="0" w:color="auto"/>
        <w:left w:val="none" w:sz="0" w:space="0" w:color="auto"/>
        <w:bottom w:val="none" w:sz="0" w:space="0" w:color="auto"/>
        <w:right w:val="none" w:sz="0" w:space="0" w:color="auto"/>
      </w:divBdr>
    </w:div>
    <w:div w:id="98986168">
      <w:bodyDiv w:val="1"/>
      <w:marLeft w:val="0"/>
      <w:marRight w:val="0"/>
      <w:marTop w:val="0"/>
      <w:marBottom w:val="0"/>
      <w:divBdr>
        <w:top w:val="none" w:sz="0" w:space="0" w:color="auto"/>
        <w:left w:val="none" w:sz="0" w:space="0" w:color="auto"/>
        <w:bottom w:val="none" w:sz="0" w:space="0" w:color="auto"/>
        <w:right w:val="none" w:sz="0" w:space="0" w:color="auto"/>
      </w:divBdr>
    </w:div>
    <w:div w:id="219904219">
      <w:bodyDiv w:val="1"/>
      <w:marLeft w:val="0"/>
      <w:marRight w:val="0"/>
      <w:marTop w:val="0"/>
      <w:marBottom w:val="0"/>
      <w:divBdr>
        <w:top w:val="none" w:sz="0" w:space="0" w:color="auto"/>
        <w:left w:val="none" w:sz="0" w:space="0" w:color="auto"/>
        <w:bottom w:val="none" w:sz="0" w:space="0" w:color="auto"/>
        <w:right w:val="none" w:sz="0" w:space="0" w:color="auto"/>
      </w:divBdr>
    </w:div>
    <w:div w:id="233858077">
      <w:bodyDiv w:val="1"/>
      <w:marLeft w:val="0"/>
      <w:marRight w:val="0"/>
      <w:marTop w:val="0"/>
      <w:marBottom w:val="0"/>
      <w:divBdr>
        <w:top w:val="none" w:sz="0" w:space="0" w:color="auto"/>
        <w:left w:val="none" w:sz="0" w:space="0" w:color="auto"/>
        <w:bottom w:val="none" w:sz="0" w:space="0" w:color="auto"/>
        <w:right w:val="none" w:sz="0" w:space="0" w:color="auto"/>
      </w:divBdr>
    </w:div>
    <w:div w:id="344942810">
      <w:bodyDiv w:val="1"/>
      <w:marLeft w:val="0"/>
      <w:marRight w:val="0"/>
      <w:marTop w:val="0"/>
      <w:marBottom w:val="0"/>
      <w:divBdr>
        <w:top w:val="none" w:sz="0" w:space="0" w:color="auto"/>
        <w:left w:val="none" w:sz="0" w:space="0" w:color="auto"/>
        <w:bottom w:val="none" w:sz="0" w:space="0" w:color="auto"/>
        <w:right w:val="none" w:sz="0" w:space="0" w:color="auto"/>
      </w:divBdr>
    </w:div>
    <w:div w:id="386732231">
      <w:bodyDiv w:val="1"/>
      <w:marLeft w:val="0"/>
      <w:marRight w:val="0"/>
      <w:marTop w:val="0"/>
      <w:marBottom w:val="0"/>
      <w:divBdr>
        <w:top w:val="none" w:sz="0" w:space="0" w:color="auto"/>
        <w:left w:val="none" w:sz="0" w:space="0" w:color="auto"/>
        <w:bottom w:val="none" w:sz="0" w:space="0" w:color="auto"/>
        <w:right w:val="none" w:sz="0" w:space="0" w:color="auto"/>
      </w:divBdr>
    </w:div>
    <w:div w:id="432360476">
      <w:bodyDiv w:val="1"/>
      <w:marLeft w:val="0"/>
      <w:marRight w:val="0"/>
      <w:marTop w:val="0"/>
      <w:marBottom w:val="0"/>
      <w:divBdr>
        <w:top w:val="none" w:sz="0" w:space="0" w:color="auto"/>
        <w:left w:val="none" w:sz="0" w:space="0" w:color="auto"/>
        <w:bottom w:val="none" w:sz="0" w:space="0" w:color="auto"/>
        <w:right w:val="none" w:sz="0" w:space="0" w:color="auto"/>
      </w:divBdr>
    </w:div>
    <w:div w:id="519273664">
      <w:bodyDiv w:val="1"/>
      <w:marLeft w:val="0"/>
      <w:marRight w:val="0"/>
      <w:marTop w:val="0"/>
      <w:marBottom w:val="0"/>
      <w:divBdr>
        <w:top w:val="none" w:sz="0" w:space="0" w:color="auto"/>
        <w:left w:val="none" w:sz="0" w:space="0" w:color="auto"/>
        <w:bottom w:val="none" w:sz="0" w:space="0" w:color="auto"/>
        <w:right w:val="none" w:sz="0" w:space="0" w:color="auto"/>
      </w:divBdr>
    </w:div>
    <w:div w:id="605111940">
      <w:bodyDiv w:val="1"/>
      <w:marLeft w:val="0"/>
      <w:marRight w:val="0"/>
      <w:marTop w:val="0"/>
      <w:marBottom w:val="0"/>
      <w:divBdr>
        <w:top w:val="none" w:sz="0" w:space="0" w:color="auto"/>
        <w:left w:val="none" w:sz="0" w:space="0" w:color="auto"/>
        <w:bottom w:val="none" w:sz="0" w:space="0" w:color="auto"/>
        <w:right w:val="none" w:sz="0" w:space="0" w:color="auto"/>
      </w:divBdr>
    </w:div>
    <w:div w:id="691491231">
      <w:bodyDiv w:val="1"/>
      <w:marLeft w:val="0"/>
      <w:marRight w:val="0"/>
      <w:marTop w:val="0"/>
      <w:marBottom w:val="0"/>
      <w:divBdr>
        <w:top w:val="none" w:sz="0" w:space="0" w:color="auto"/>
        <w:left w:val="none" w:sz="0" w:space="0" w:color="auto"/>
        <w:bottom w:val="none" w:sz="0" w:space="0" w:color="auto"/>
        <w:right w:val="none" w:sz="0" w:space="0" w:color="auto"/>
      </w:divBdr>
    </w:div>
    <w:div w:id="1019745854">
      <w:bodyDiv w:val="1"/>
      <w:marLeft w:val="0"/>
      <w:marRight w:val="0"/>
      <w:marTop w:val="0"/>
      <w:marBottom w:val="0"/>
      <w:divBdr>
        <w:top w:val="none" w:sz="0" w:space="0" w:color="auto"/>
        <w:left w:val="none" w:sz="0" w:space="0" w:color="auto"/>
        <w:bottom w:val="none" w:sz="0" w:space="0" w:color="auto"/>
        <w:right w:val="none" w:sz="0" w:space="0" w:color="auto"/>
      </w:divBdr>
    </w:div>
    <w:div w:id="1036658357">
      <w:bodyDiv w:val="1"/>
      <w:marLeft w:val="0"/>
      <w:marRight w:val="0"/>
      <w:marTop w:val="0"/>
      <w:marBottom w:val="0"/>
      <w:divBdr>
        <w:top w:val="none" w:sz="0" w:space="0" w:color="auto"/>
        <w:left w:val="none" w:sz="0" w:space="0" w:color="auto"/>
        <w:bottom w:val="none" w:sz="0" w:space="0" w:color="auto"/>
        <w:right w:val="none" w:sz="0" w:space="0" w:color="auto"/>
      </w:divBdr>
    </w:div>
    <w:div w:id="1151141333">
      <w:bodyDiv w:val="1"/>
      <w:marLeft w:val="0"/>
      <w:marRight w:val="0"/>
      <w:marTop w:val="0"/>
      <w:marBottom w:val="0"/>
      <w:divBdr>
        <w:top w:val="none" w:sz="0" w:space="0" w:color="auto"/>
        <w:left w:val="none" w:sz="0" w:space="0" w:color="auto"/>
        <w:bottom w:val="none" w:sz="0" w:space="0" w:color="auto"/>
        <w:right w:val="none" w:sz="0" w:space="0" w:color="auto"/>
      </w:divBdr>
    </w:div>
    <w:div w:id="1220901397">
      <w:bodyDiv w:val="1"/>
      <w:marLeft w:val="0"/>
      <w:marRight w:val="0"/>
      <w:marTop w:val="0"/>
      <w:marBottom w:val="0"/>
      <w:divBdr>
        <w:top w:val="none" w:sz="0" w:space="0" w:color="auto"/>
        <w:left w:val="none" w:sz="0" w:space="0" w:color="auto"/>
        <w:bottom w:val="none" w:sz="0" w:space="0" w:color="auto"/>
        <w:right w:val="none" w:sz="0" w:space="0" w:color="auto"/>
      </w:divBdr>
    </w:div>
    <w:div w:id="1329602193">
      <w:bodyDiv w:val="1"/>
      <w:marLeft w:val="0"/>
      <w:marRight w:val="0"/>
      <w:marTop w:val="0"/>
      <w:marBottom w:val="0"/>
      <w:divBdr>
        <w:top w:val="none" w:sz="0" w:space="0" w:color="auto"/>
        <w:left w:val="none" w:sz="0" w:space="0" w:color="auto"/>
        <w:bottom w:val="none" w:sz="0" w:space="0" w:color="auto"/>
        <w:right w:val="none" w:sz="0" w:space="0" w:color="auto"/>
      </w:divBdr>
    </w:div>
    <w:div w:id="1342854722">
      <w:bodyDiv w:val="1"/>
      <w:marLeft w:val="0"/>
      <w:marRight w:val="0"/>
      <w:marTop w:val="0"/>
      <w:marBottom w:val="0"/>
      <w:divBdr>
        <w:top w:val="none" w:sz="0" w:space="0" w:color="auto"/>
        <w:left w:val="none" w:sz="0" w:space="0" w:color="auto"/>
        <w:bottom w:val="none" w:sz="0" w:space="0" w:color="auto"/>
        <w:right w:val="none" w:sz="0" w:space="0" w:color="auto"/>
      </w:divBdr>
    </w:div>
    <w:div w:id="1464225509">
      <w:bodyDiv w:val="1"/>
      <w:marLeft w:val="0"/>
      <w:marRight w:val="0"/>
      <w:marTop w:val="0"/>
      <w:marBottom w:val="0"/>
      <w:divBdr>
        <w:top w:val="none" w:sz="0" w:space="0" w:color="auto"/>
        <w:left w:val="none" w:sz="0" w:space="0" w:color="auto"/>
        <w:bottom w:val="none" w:sz="0" w:space="0" w:color="auto"/>
        <w:right w:val="none" w:sz="0" w:space="0" w:color="auto"/>
      </w:divBdr>
    </w:div>
    <w:div w:id="1630357316">
      <w:bodyDiv w:val="1"/>
      <w:marLeft w:val="0"/>
      <w:marRight w:val="0"/>
      <w:marTop w:val="0"/>
      <w:marBottom w:val="0"/>
      <w:divBdr>
        <w:top w:val="none" w:sz="0" w:space="0" w:color="auto"/>
        <w:left w:val="none" w:sz="0" w:space="0" w:color="auto"/>
        <w:bottom w:val="none" w:sz="0" w:space="0" w:color="auto"/>
        <w:right w:val="none" w:sz="0" w:space="0" w:color="auto"/>
      </w:divBdr>
    </w:div>
    <w:div w:id="1790127400">
      <w:bodyDiv w:val="1"/>
      <w:marLeft w:val="0"/>
      <w:marRight w:val="0"/>
      <w:marTop w:val="0"/>
      <w:marBottom w:val="0"/>
      <w:divBdr>
        <w:top w:val="none" w:sz="0" w:space="0" w:color="auto"/>
        <w:left w:val="none" w:sz="0" w:space="0" w:color="auto"/>
        <w:bottom w:val="none" w:sz="0" w:space="0" w:color="auto"/>
        <w:right w:val="none" w:sz="0" w:space="0" w:color="auto"/>
      </w:divBdr>
    </w:div>
    <w:div w:id="1800996270">
      <w:bodyDiv w:val="1"/>
      <w:marLeft w:val="0"/>
      <w:marRight w:val="0"/>
      <w:marTop w:val="0"/>
      <w:marBottom w:val="0"/>
      <w:divBdr>
        <w:top w:val="none" w:sz="0" w:space="0" w:color="auto"/>
        <w:left w:val="none" w:sz="0" w:space="0" w:color="auto"/>
        <w:bottom w:val="none" w:sz="0" w:space="0" w:color="auto"/>
        <w:right w:val="none" w:sz="0" w:space="0" w:color="auto"/>
      </w:divBdr>
    </w:div>
    <w:div w:id="1841853293">
      <w:bodyDiv w:val="1"/>
      <w:marLeft w:val="0"/>
      <w:marRight w:val="0"/>
      <w:marTop w:val="0"/>
      <w:marBottom w:val="0"/>
      <w:divBdr>
        <w:top w:val="none" w:sz="0" w:space="0" w:color="auto"/>
        <w:left w:val="none" w:sz="0" w:space="0" w:color="auto"/>
        <w:bottom w:val="none" w:sz="0" w:space="0" w:color="auto"/>
        <w:right w:val="none" w:sz="0" w:space="0" w:color="auto"/>
      </w:divBdr>
    </w:div>
    <w:div w:id="1966888135">
      <w:bodyDiv w:val="1"/>
      <w:marLeft w:val="0"/>
      <w:marRight w:val="0"/>
      <w:marTop w:val="0"/>
      <w:marBottom w:val="0"/>
      <w:divBdr>
        <w:top w:val="none" w:sz="0" w:space="0" w:color="auto"/>
        <w:left w:val="none" w:sz="0" w:space="0" w:color="auto"/>
        <w:bottom w:val="none" w:sz="0" w:space="0" w:color="auto"/>
        <w:right w:val="none" w:sz="0" w:space="0" w:color="auto"/>
      </w:divBdr>
    </w:div>
    <w:div w:id="1975600598">
      <w:bodyDiv w:val="1"/>
      <w:marLeft w:val="0"/>
      <w:marRight w:val="0"/>
      <w:marTop w:val="0"/>
      <w:marBottom w:val="0"/>
      <w:divBdr>
        <w:top w:val="none" w:sz="0" w:space="0" w:color="auto"/>
        <w:left w:val="none" w:sz="0" w:space="0" w:color="auto"/>
        <w:bottom w:val="none" w:sz="0" w:space="0" w:color="auto"/>
        <w:right w:val="none" w:sz="0" w:space="0" w:color="auto"/>
      </w:divBdr>
    </w:div>
    <w:div w:id="20181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10650</Words>
  <Characters>62656</Characters>
  <Application>Microsoft Office Word</Application>
  <DocSecurity>0</DocSecurity>
  <Lines>522</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2024071148, var. 31, pkt. 4.4 og 4.5</dc:description>
  <cp:lastModifiedBy>Gitte Jørgensen</cp:lastModifiedBy>
  <cp:revision>7</cp:revision>
  <cp:lastPrinted>2006-02-24T09:31:00Z</cp:lastPrinted>
  <dcterms:created xsi:type="dcterms:W3CDTF">2024-09-26T07:50:00Z</dcterms:created>
  <dcterms:modified xsi:type="dcterms:W3CDTF">2024-09-26T07:59:00Z</dcterms:modified>
</cp:coreProperties>
</file>