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DF806" w14:textId="1D8E26F4" w:rsidR="009260DE" w:rsidRPr="00E01000" w:rsidRDefault="0021526C" w:rsidP="00F12FD6">
      <w:pPr>
        <w:rPr>
          <w:sz w:val="24"/>
          <w:szCs w:val="24"/>
        </w:rPr>
      </w:pPr>
      <w:r w:rsidRPr="00F12FD6">
        <w:rPr>
          <w:noProof/>
          <w:sz w:val="24"/>
          <w:szCs w:val="24"/>
          <w:lang w:eastAsia="da-DK"/>
        </w:rPr>
        <w:drawing>
          <wp:anchor distT="0" distB="0" distL="114300" distR="114300" simplePos="0" relativeHeight="251658240" behindDoc="0" locked="0" layoutInCell="1" allowOverlap="1" wp14:anchorId="5A346B9C" wp14:editId="281133F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12FD6">
        <w:rPr>
          <w:sz w:val="24"/>
          <w:szCs w:val="24"/>
        </w:rPr>
        <w:br w:type="textWrapping" w:clear="all"/>
      </w:r>
    </w:p>
    <w:p w14:paraId="0D40FC70" w14:textId="40D0ADDA" w:rsidR="009260DE" w:rsidRPr="00F12FD6" w:rsidRDefault="009260DE" w:rsidP="009260DE">
      <w:pPr>
        <w:pStyle w:val="Titel"/>
        <w:tabs>
          <w:tab w:val="right" w:pos="9356"/>
        </w:tabs>
        <w:jc w:val="left"/>
        <w:rPr>
          <w:b w:val="0"/>
          <w:szCs w:val="24"/>
          <w:lang w:eastAsia="en-US"/>
        </w:rPr>
      </w:pPr>
      <w:r w:rsidRPr="00F12FD6">
        <w:rPr>
          <w:b w:val="0"/>
          <w:szCs w:val="24"/>
          <w:lang w:eastAsia="en-US"/>
        </w:rPr>
        <w:tab/>
      </w:r>
      <w:r w:rsidR="00D56D6F">
        <w:rPr>
          <w:szCs w:val="24"/>
        </w:rPr>
        <w:t>6. september 2024</w:t>
      </w:r>
    </w:p>
    <w:p w14:paraId="11210AB7" w14:textId="77777777" w:rsidR="009260DE" w:rsidRPr="00F12FD6" w:rsidRDefault="009260DE" w:rsidP="009260DE">
      <w:pPr>
        <w:pStyle w:val="Titel"/>
        <w:tabs>
          <w:tab w:val="left" w:pos="8222"/>
        </w:tabs>
        <w:jc w:val="left"/>
        <w:rPr>
          <w:b w:val="0"/>
          <w:szCs w:val="24"/>
        </w:rPr>
      </w:pPr>
    </w:p>
    <w:p w14:paraId="3BA4C088" w14:textId="77777777" w:rsidR="009260DE" w:rsidRPr="00F12FD6" w:rsidRDefault="009260DE" w:rsidP="009260DE">
      <w:pPr>
        <w:pStyle w:val="Titel"/>
        <w:jc w:val="left"/>
        <w:rPr>
          <w:b w:val="0"/>
          <w:szCs w:val="24"/>
        </w:rPr>
      </w:pPr>
    </w:p>
    <w:p w14:paraId="3A7B0822" w14:textId="77777777" w:rsidR="009260DE" w:rsidRPr="00F12FD6" w:rsidRDefault="009260DE" w:rsidP="009260DE">
      <w:pPr>
        <w:pStyle w:val="Titel"/>
        <w:jc w:val="left"/>
        <w:rPr>
          <w:b w:val="0"/>
          <w:szCs w:val="24"/>
        </w:rPr>
      </w:pPr>
    </w:p>
    <w:p w14:paraId="1CF3DB51" w14:textId="77777777" w:rsidR="009260DE" w:rsidRPr="00F12FD6" w:rsidRDefault="009260DE" w:rsidP="009260DE">
      <w:pPr>
        <w:jc w:val="center"/>
        <w:rPr>
          <w:b/>
          <w:sz w:val="24"/>
          <w:szCs w:val="24"/>
        </w:rPr>
      </w:pPr>
      <w:r w:rsidRPr="00F12FD6">
        <w:rPr>
          <w:b/>
          <w:sz w:val="24"/>
          <w:szCs w:val="24"/>
        </w:rPr>
        <w:t>PRODUKTRESUMÉ</w:t>
      </w:r>
    </w:p>
    <w:p w14:paraId="52317988" w14:textId="77777777" w:rsidR="009260DE" w:rsidRPr="00F12FD6" w:rsidRDefault="009260DE" w:rsidP="009260DE">
      <w:pPr>
        <w:jc w:val="center"/>
        <w:rPr>
          <w:b/>
          <w:sz w:val="24"/>
          <w:szCs w:val="24"/>
        </w:rPr>
      </w:pPr>
    </w:p>
    <w:p w14:paraId="4F103EB5" w14:textId="77777777" w:rsidR="009260DE" w:rsidRPr="00F12FD6" w:rsidRDefault="009260DE" w:rsidP="009260DE">
      <w:pPr>
        <w:jc w:val="center"/>
        <w:rPr>
          <w:b/>
          <w:sz w:val="24"/>
          <w:szCs w:val="24"/>
        </w:rPr>
      </w:pPr>
      <w:r w:rsidRPr="00F12FD6">
        <w:rPr>
          <w:b/>
          <w:sz w:val="24"/>
          <w:szCs w:val="24"/>
        </w:rPr>
        <w:t>for</w:t>
      </w:r>
    </w:p>
    <w:p w14:paraId="3D427999" w14:textId="77777777" w:rsidR="000B058C" w:rsidRPr="00F12FD6" w:rsidRDefault="000B058C" w:rsidP="009260DE">
      <w:pPr>
        <w:jc w:val="center"/>
        <w:rPr>
          <w:b/>
          <w:sz w:val="24"/>
          <w:szCs w:val="24"/>
        </w:rPr>
      </w:pPr>
    </w:p>
    <w:p w14:paraId="3A3FC63D" w14:textId="5E765435" w:rsidR="009260DE" w:rsidRPr="00F12FD6" w:rsidRDefault="00E63280" w:rsidP="009260DE">
      <w:pPr>
        <w:jc w:val="center"/>
        <w:rPr>
          <w:b/>
          <w:sz w:val="24"/>
          <w:szCs w:val="24"/>
        </w:rPr>
      </w:pPr>
      <w:r w:rsidRPr="00F12FD6">
        <w:rPr>
          <w:b/>
          <w:sz w:val="24"/>
          <w:szCs w:val="24"/>
        </w:rPr>
        <w:t>Ramiliv, tabletter</w:t>
      </w:r>
    </w:p>
    <w:p w14:paraId="3BA4DBF7" w14:textId="77777777" w:rsidR="009260DE" w:rsidRPr="00F12FD6" w:rsidRDefault="009260DE" w:rsidP="009260DE">
      <w:pPr>
        <w:jc w:val="both"/>
        <w:rPr>
          <w:sz w:val="24"/>
          <w:szCs w:val="24"/>
        </w:rPr>
      </w:pPr>
    </w:p>
    <w:p w14:paraId="3E976959" w14:textId="77777777" w:rsidR="009260DE" w:rsidRPr="00F12FD6" w:rsidRDefault="009260DE" w:rsidP="009260DE">
      <w:pPr>
        <w:jc w:val="both"/>
        <w:rPr>
          <w:sz w:val="24"/>
          <w:szCs w:val="24"/>
        </w:rPr>
      </w:pPr>
    </w:p>
    <w:p w14:paraId="51B15445" w14:textId="77777777" w:rsidR="009260DE" w:rsidRPr="00F12FD6" w:rsidRDefault="009260DE" w:rsidP="009260DE">
      <w:pPr>
        <w:tabs>
          <w:tab w:val="left" w:pos="851"/>
        </w:tabs>
        <w:ind w:left="851" w:hanging="851"/>
        <w:rPr>
          <w:b/>
          <w:sz w:val="24"/>
          <w:szCs w:val="24"/>
        </w:rPr>
      </w:pPr>
      <w:r w:rsidRPr="00F12FD6">
        <w:rPr>
          <w:b/>
          <w:sz w:val="24"/>
          <w:szCs w:val="24"/>
        </w:rPr>
        <w:t>0.</w:t>
      </w:r>
      <w:r w:rsidRPr="00F12FD6">
        <w:rPr>
          <w:b/>
          <w:sz w:val="24"/>
          <w:szCs w:val="24"/>
        </w:rPr>
        <w:tab/>
        <w:t>D.SP.NR.</w:t>
      </w:r>
    </w:p>
    <w:p w14:paraId="1AFACC36" w14:textId="02F955B6" w:rsidR="009260DE" w:rsidRPr="00F12FD6" w:rsidRDefault="00E63280" w:rsidP="009260DE">
      <w:pPr>
        <w:tabs>
          <w:tab w:val="left" w:pos="851"/>
        </w:tabs>
        <w:ind w:left="851"/>
        <w:rPr>
          <w:sz w:val="24"/>
          <w:szCs w:val="24"/>
        </w:rPr>
      </w:pPr>
      <w:r w:rsidRPr="00F12FD6">
        <w:rPr>
          <w:sz w:val="24"/>
          <w:szCs w:val="24"/>
        </w:rPr>
        <w:t>32867</w:t>
      </w:r>
    </w:p>
    <w:p w14:paraId="2278F1BC" w14:textId="77777777" w:rsidR="009260DE" w:rsidRPr="00F12FD6" w:rsidRDefault="009260DE" w:rsidP="009260DE">
      <w:pPr>
        <w:tabs>
          <w:tab w:val="left" w:pos="851"/>
        </w:tabs>
        <w:ind w:left="851"/>
        <w:rPr>
          <w:sz w:val="24"/>
          <w:szCs w:val="24"/>
        </w:rPr>
      </w:pPr>
    </w:p>
    <w:p w14:paraId="14DE8307" w14:textId="77777777" w:rsidR="009260DE" w:rsidRPr="00F12FD6" w:rsidRDefault="009260DE" w:rsidP="009260DE">
      <w:pPr>
        <w:tabs>
          <w:tab w:val="left" w:pos="851"/>
        </w:tabs>
        <w:ind w:left="851" w:hanging="851"/>
        <w:rPr>
          <w:b/>
          <w:sz w:val="24"/>
          <w:szCs w:val="24"/>
        </w:rPr>
      </w:pPr>
      <w:r w:rsidRPr="00F12FD6">
        <w:rPr>
          <w:b/>
          <w:sz w:val="24"/>
          <w:szCs w:val="24"/>
        </w:rPr>
        <w:t>1.</w:t>
      </w:r>
      <w:r w:rsidRPr="00F12FD6">
        <w:rPr>
          <w:b/>
          <w:sz w:val="24"/>
          <w:szCs w:val="24"/>
        </w:rPr>
        <w:tab/>
        <w:t>LÆGEMIDLETS NAVN</w:t>
      </w:r>
    </w:p>
    <w:p w14:paraId="37557331" w14:textId="533C2A16" w:rsidR="009260DE" w:rsidRPr="00F12FD6" w:rsidRDefault="00E63280" w:rsidP="009260DE">
      <w:pPr>
        <w:tabs>
          <w:tab w:val="left" w:pos="851"/>
        </w:tabs>
        <w:ind w:left="851"/>
        <w:rPr>
          <w:sz w:val="24"/>
          <w:szCs w:val="24"/>
        </w:rPr>
      </w:pPr>
      <w:r w:rsidRPr="00F12FD6">
        <w:rPr>
          <w:sz w:val="24"/>
          <w:szCs w:val="24"/>
        </w:rPr>
        <w:t>Ramiliv</w:t>
      </w:r>
    </w:p>
    <w:p w14:paraId="6430FBDC" w14:textId="77777777" w:rsidR="009260DE" w:rsidRPr="00F12FD6" w:rsidRDefault="009260DE" w:rsidP="009260DE">
      <w:pPr>
        <w:tabs>
          <w:tab w:val="left" w:pos="851"/>
        </w:tabs>
        <w:ind w:left="851"/>
        <w:rPr>
          <w:sz w:val="24"/>
          <w:szCs w:val="24"/>
        </w:rPr>
      </w:pPr>
    </w:p>
    <w:p w14:paraId="463B17B0" w14:textId="77777777" w:rsidR="009260DE" w:rsidRPr="00F12FD6" w:rsidRDefault="009260DE" w:rsidP="009260DE">
      <w:pPr>
        <w:tabs>
          <w:tab w:val="left" w:pos="851"/>
        </w:tabs>
        <w:ind w:left="851" w:hanging="851"/>
        <w:rPr>
          <w:b/>
          <w:sz w:val="24"/>
          <w:szCs w:val="24"/>
        </w:rPr>
      </w:pPr>
      <w:r w:rsidRPr="00F12FD6">
        <w:rPr>
          <w:b/>
          <w:sz w:val="24"/>
          <w:szCs w:val="24"/>
        </w:rPr>
        <w:t>2.</w:t>
      </w:r>
      <w:r w:rsidRPr="00F12FD6">
        <w:rPr>
          <w:b/>
          <w:sz w:val="24"/>
          <w:szCs w:val="24"/>
        </w:rPr>
        <w:tab/>
        <w:t>KVALITATIV OG KVANTITATIV SAMMENSÆTNING</w:t>
      </w:r>
    </w:p>
    <w:p w14:paraId="2009AD18" w14:textId="77777777" w:rsidR="00E01000" w:rsidRDefault="00E01000" w:rsidP="008D7C83">
      <w:pPr>
        <w:ind w:left="851"/>
        <w:rPr>
          <w:sz w:val="24"/>
          <w:szCs w:val="24"/>
        </w:rPr>
      </w:pPr>
    </w:p>
    <w:p w14:paraId="1B894D33" w14:textId="78E90FA2" w:rsidR="00D2303A" w:rsidRPr="00E01000" w:rsidRDefault="00D2303A" w:rsidP="008D7C83">
      <w:pPr>
        <w:ind w:left="851"/>
        <w:rPr>
          <w:sz w:val="24"/>
          <w:szCs w:val="24"/>
          <w:u w:val="single"/>
          <w:lang w:eastAsia="ro-RO"/>
        </w:rPr>
      </w:pPr>
      <w:r w:rsidRPr="00E01000">
        <w:rPr>
          <w:sz w:val="24"/>
          <w:szCs w:val="24"/>
          <w:u w:val="single"/>
        </w:rPr>
        <w:t>Ramiliv, 2,5 mg</w:t>
      </w:r>
    </w:p>
    <w:p w14:paraId="7D635139" w14:textId="77777777" w:rsidR="00D2303A" w:rsidRPr="00F12FD6" w:rsidRDefault="00D2303A" w:rsidP="008D7C83">
      <w:pPr>
        <w:ind w:left="851"/>
        <w:rPr>
          <w:sz w:val="24"/>
          <w:szCs w:val="24"/>
        </w:rPr>
      </w:pPr>
      <w:r w:rsidRPr="00F12FD6">
        <w:rPr>
          <w:sz w:val="24"/>
          <w:szCs w:val="24"/>
        </w:rPr>
        <w:t xml:space="preserve">Hver tablet indeholder 2,5 mg </w:t>
      </w:r>
      <w:proofErr w:type="spellStart"/>
      <w:r w:rsidRPr="00F12FD6">
        <w:rPr>
          <w:sz w:val="24"/>
          <w:szCs w:val="24"/>
        </w:rPr>
        <w:t>ramipril</w:t>
      </w:r>
      <w:proofErr w:type="spellEnd"/>
      <w:r w:rsidRPr="00F12FD6">
        <w:rPr>
          <w:sz w:val="24"/>
          <w:szCs w:val="24"/>
        </w:rPr>
        <w:t>.</w:t>
      </w:r>
    </w:p>
    <w:p w14:paraId="663004A5" w14:textId="77777777" w:rsidR="00D2303A" w:rsidRPr="00F12FD6" w:rsidRDefault="00D2303A" w:rsidP="008D7C83">
      <w:pPr>
        <w:ind w:left="851"/>
        <w:rPr>
          <w:bCs/>
          <w:iCs/>
          <w:sz w:val="24"/>
          <w:szCs w:val="24"/>
        </w:rPr>
      </w:pPr>
    </w:p>
    <w:p w14:paraId="5B2F2168" w14:textId="77777777" w:rsidR="00D2303A" w:rsidRPr="00E01000" w:rsidRDefault="00D2303A" w:rsidP="008D7C83">
      <w:pPr>
        <w:ind w:left="851"/>
        <w:rPr>
          <w:sz w:val="24"/>
          <w:szCs w:val="24"/>
          <w:u w:val="single"/>
        </w:rPr>
      </w:pPr>
      <w:r w:rsidRPr="00E01000">
        <w:rPr>
          <w:sz w:val="24"/>
          <w:szCs w:val="24"/>
          <w:u w:val="single"/>
        </w:rPr>
        <w:t>Ramiliv, 5 mg</w:t>
      </w:r>
    </w:p>
    <w:p w14:paraId="3A216919" w14:textId="77777777" w:rsidR="00D2303A" w:rsidRPr="00F12FD6" w:rsidRDefault="00D2303A" w:rsidP="008D7C83">
      <w:pPr>
        <w:ind w:left="851"/>
        <w:rPr>
          <w:bCs/>
          <w:iCs/>
          <w:sz w:val="24"/>
          <w:szCs w:val="24"/>
        </w:rPr>
      </w:pPr>
      <w:r w:rsidRPr="00F12FD6">
        <w:rPr>
          <w:sz w:val="24"/>
          <w:szCs w:val="24"/>
        </w:rPr>
        <w:t xml:space="preserve">Hver tablet indeholder 5 mg </w:t>
      </w:r>
      <w:proofErr w:type="spellStart"/>
      <w:r w:rsidRPr="00F12FD6">
        <w:rPr>
          <w:sz w:val="24"/>
          <w:szCs w:val="24"/>
        </w:rPr>
        <w:t>ramipril</w:t>
      </w:r>
      <w:proofErr w:type="spellEnd"/>
      <w:r w:rsidRPr="00F12FD6">
        <w:rPr>
          <w:bCs/>
          <w:iCs/>
          <w:sz w:val="24"/>
          <w:szCs w:val="24"/>
        </w:rPr>
        <w:t>.</w:t>
      </w:r>
    </w:p>
    <w:p w14:paraId="2EC9C783" w14:textId="77777777" w:rsidR="00D2303A" w:rsidRPr="00F12FD6" w:rsidRDefault="00D2303A" w:rsidP="008D7C83">
      <w:pPr>
        <w:ind w:left="851"/>
        <w:rPr>
          <w:bCs/>
          <w:iCs/>
          <w:sz w:val="24"/>
          <w:szCs w:val="24"/>
        </w:rPr>
      </w:pPr>
    </w:p>
    <w:p w14:paraId="0DF7C7DB" w14:textId="77777777" w:rsidR="00D2303A" w:rsidRPr="00E01000" w:rsidRDefault="00D2303A" w:rsidP="008D7C83">
      <w:pPr>
        <w:ind w:left="851"/>
        <w:rPr>
          <w:sz w:val="24"/>
          <w:szCs w:val="24"/>
          <w:u w:val="single"/>
        </w:rPr>
      </w:pPr>
      <w:r w:rsidRPr="00E01000">
        <w:rPr>
          <w:sz w:val="24"/>
          <w:szCs w:val="24"/>
          <w:u w:val="single"/>
        </w:rPr>
        <w:t>Ramiliv, 10 mg</w:t>
      </w:r>
    </w:p>
    <w:p w14:paraId="75BAD92C" w14:textId="77777777" w:rsidR="00D2303A" w:rsidRPr="00F12FD6" w:rsidRDefault="00D2303A" w:rsidP="008D7C83">
      <w:pPr>
        <w:ind w:left="851"/>
        <w:rPr>
          <w:bCs/>
          <w:iCs/>
          <w:sz w:val="24"/>
          <w:szCs w:val="24"/>
        </w:rPr>
      </w:pPr>
      <w:r w:rsidRPr="00F12FD6">
        <w:rPr>
          <w:sz w:val="24"/>
          <w:szCs w:val="24"/>
        </w:rPr>
        <w:t xml:space="preserve">Hver tablet indeholder 10 mg </w:t>
      </w:r>
      <w:proofErr w:type="spellStart"/>
      <w:r w:rsidRPr="00F12FD6">
        <w:rPr>
          <w:sz w:val="24"/>
          <w:szCs w:val="24"/>
        </w:rPr>
        <w:t>ramipril</w:t>
      </w:r>
      <w:proofErr w:type="spellEnd"/>
      <w:r w:rsidRPr="00F12FD6">
        <w:rPr>
          <w:bCs/>
          <w:iCs/>
          <w:sz w:val="24"/>
          <w:szCs w:val="24"/>
        </w:rPr>
        <w:t>.</w:t>
      </w:r>
    </w:p>
    <w:p w14:paraId="1C2A6B2B" w14:textId="77777777" w:rsidR="00D2303A" w:rsidRPr="00F12FD6" w:rsidRDefault="00D2303A" w:rsidP="008D7C83">
      <w:pPr>
        <w:ind w:left="851"/>
        <w:rPr>
          <w:sz w:val="24"/>
          <w:szCs w:val="24"/>
        </w:rPr>
      </w:pPr>
    </w:p>
    <w:p w14:paraId="225DFF9A" w14:textId="77777777" w:rsidR="00D2303A" w:rsidRPr="00F12FD6" w:rsidRDefault="00D2303A" w:rsidP="008D7C83">
      <w:pPr>
        <w:ind w:left="851"/>
        <w:rPr>
          <w:sz w:val="24"/>
          <w:szCs w:val="24"/>
        </w:rPr>
      </w:pPr>
      <w:r w:rsidRPr="00F12FD6">
        <w:rPr>
          <w:sz w:val="24"/>
          <w:szCs w:val="24"/>
        </w:rPr>
        <w:t>Alle hjælpestoffer er anført under pkt. 6.1.</w:t>
      </w:r>
    </w:p>
    <w:p w14:paraId="3A5FAF86" w14:textId="77777777" w:rsidR="009260DE" w:rsidRPr="00F12FD6" w:rsidRDefault="009260DE" w:rsidP="009260DE">
      <w:pPr>
        <w:tabs>
          <w:tab w:val="left" w:pos="851"/>
        </w:tabs>
        <w:ind w:left="851"/>
        <w:rPr>
          <w:sz w:val="24"/>
          <w:szCs w:val="24"/>
        </w:rPr>
      </w:pPr>
    </w:p>
    <w:p w14:paraId="03DD7576" w14:textId="77777777" w:rsidR="009260DE" w:rsidRPr="00F12FD6" w:rsidRDefault="009260DE" w:rsidP="009260DE">
      <w:pPr>
        <w:tabs>
          <w:tab w:val="left" w:pos="851"/>
        </w:tabs>
        <w:ind w:left="851" w:hanging="851"/>
        <w:rPr>
          <w:b/>
          <w:sz w:val="24"/>
          <w:szCs w:val="24"/>
        </w:rPr>
      </w:pPr>
      <w:r w:rsidRPr="00F12FD6">
        <w:rPr>
          <w:b/>
          <w:sz w:val="24"/>
          <w:szCs w:val="24"/>
        </w:rPr>
        <w:t>3.</w:t>
      </w:r>
      <w:r w:rsidRPr="00F12FD6">
        <w:rPr>
          <w:b/>
          <w:sz w:val="24"/>
          <w:szCs w:val="24"/>
        </w:rPr>
        <w:tab/>
        <w:t>LÆGEMIDDELFORM</w:t>
      </w:r>
    </w:p>
    <w:p w14:paraId="0F02A615" w14:textId="77777777" w:rsidR="00D2303A" w:rsidRPr="00F12FD6" w:rsidRDefault="00D2303A" w:rsidP="008D7C83">
      <w:pPr>
        <w:ind w:left="851"/>
        <w:rPr>
          <w:sz w:val="24"/>
          <w:szCs w:val="24"/>
          <w:lang w:eastAsia="ro-RO"/>
        </w:rPr>
      </w:pPr>
      <w:r w:rsidRPr="00F12FD6">
        <w:rPr>
          <w:sz w:val="24"/>
          <w:szCs w:val="24"/>
        </w:rPr>
        <w:t>Tabletter</w:t>
      </w:r>
    </w:p>
    <w:p w14:paraId="73AA3B7B" w14:textId="77777777" w:rsidR="00D2303A" w:rsidRPr="00F12FD6" w:rsidRDefault="00D2303A" w:rsidP="008D7C83">
      <w:pPr>
        <w:ind w:left="851"/>
        <w:rPr>
          <w:sz w:val="24"/>
          <w:szCs w:val="24"/>
        </w:rPr>
      </w:pPr>
    </w:p>
    <w:p w14:paraId="64B8E54D" w14:textId="2E423348" w:rsidR="00D2303A" w:rsidRPr="00E01000" w:rsidRDefault="00D2303A" w:rsidP="008D7C83">
      <w:pPr>
        <w:ind w:left="851"/>
        <w:rPr>
          <w:sz w:val="24"/>
          <w:szCs w:val="24"/>
          <w:u w:val="single"/>
        </w:rPr>
      </w:pPr>
      <w:r w:rsidRPr="00E01000">
        <w:rPr>
          <w:sz w:val="24"/>
          <w:szCs w:val="24"/>
          <w:u w:val="single"/>
        </w:rPr>
        <w:t>Ramiliv, 2,5 mg</w:t>
      </w:r>
    </w:p>
    <w:p w14:paraId="2441B27C" w14:textId="77777777" w:rsidR="00D2303A" w:rsidRPr="00F12FD6" w:rsidRDefault="00D2303A" w:rsidP="008D7C83">
      <w:pPr>
        <w:ind w:left="851"/>
        <w:rPr>
          <w:sz w:val="24"/>
          <w:szCs w:val="24"/>
        </w:rPr>
      </w:pPr>
      <w:r w:rsidRPr="00F12FD6">
        <w:rPr>
          <w:sz w:val="24"/>
          <w:szCs w:val="24"/>
        </w:rPr>
        <w:t xml:space="preserve">Gullig til marmoreret gul, rund, </w:t>
      </w:r>
      <w:proofErr w:type="spellStart"/>
      <w:r w:rsidRPr="00F12FD6">
        <w:rPr>
          <w:sz w:val="24"/>
          <w:szCs w:val="24"/>
        </w:rPr>
        <w:t>bikonveks</w:t>
      </w:r>
      <w:proofErr w:type="spellEnd"/>
      <w:r w:rsidRPr="00F12FD6">
        <w:rPr>
          <w:sz w:val="24"/>
          <w:szCs w:val="24"/>
        </w:rPr>
        <w:t xml:space="preserve"> tablet uden filmovertræk med en diameter på 7 mm.</w:t>
      </w:r>
    </w:p>
    <w:p w14:paraId="07690E06" w14:textId="77777777" w:rsidR="00D2303A" w:rsidRPr="00F12FD6" w:rsidRDefault="00D2303A" w:rsidP="008D7C83">
      <w:pPr>
        <w:ind w:left="851"/>
        <w:rPr>
          <w:sz w:val="24"/>
          <w:szCs w:val="24"/>
        </w:rPr>
      </w:pPr>
      <w:r w:rsidRPr="00F12FD6">
        <w:rPr>
          <w:sz w:val="24"/>
          <w:szCs w:val="24"/>
        </w:rPr>
        <w:t xml:space="preserve"> </w:t>
      </w:r>
    </w:p>
    <w:p w14:paraId="644BC0E3" w14:textId="3CB62886" w:rsidR="00D2303A" w:rsidRPr="00E01000" w:rsidRDefault="00D2303A" w:rsidP="008D7C83">
      <w:pPr>
        <w:ind w:left="851"/>
        <w:rPr>
          <w:sz w:val="24"/>
          <w:szCs w:val="24"/>
          <w:u w:val="single"/>
        </w:rPr>
      </w:pPr>
      <w:r w:rsidRPr="00E01000">
        <w:rPr>
          <w:sz w:val="24"/>
          <w:szCs w:val="24"/>
          <w:u w:val="single"/>
        </w:rPr>
        <w:t>Ramiliv, 5 mg</w:t>
      </w:r>
    </w:p>
    <w:p w14:paraId="4933B3F5" w14:textId="77777777" w:rsidR="00D2303A" w:rsidRPr="00F12FD6" w:rsidRDefault="00D2303A" w:rsidP="008D7C83">
      <w:pPr>
        <w:ind w:left="851"/>
        <w:rPr>
          <w:sz w:val="24"/>
          <w:szCs w:val="24"/>
        </w:rPr>
      </w:pPr>
      <w:r w:rsidRPr="00F12FD6">
        <w:rPr>
          <w:sz w:val="24"/>
          <w:szCs w:val="24"/>
        </w:rPr>
        <w:t xml:space="preserve">Marmoreret lyserød, rund, </w:t>
      </w:r>
      <w:proofErr w:type="spellStart"/>
      <w:r w:rsidRPr="00F12FD6">
        <w:rPr>
          <w:sz w:val="24"/>
          <w:szCs w:val="24"/>
        </w:rPr>
        <w:t>bikonveks</w:t>
      </w:r>
      <w:proofErr w:type="spellEnd"/>
      <w:r w:rsidRPr="00F12FD6">
        <w:rPr>
          <w:sz w:val="24"/>
          <w:szCs w:val="24"/>
        </w:rPr>
        <w:t xml:space="preserve"> tablet uden filmovertræk med en diameter på 7 mm.</w:t>
      </w:r>
    </w:p>
    <w:p w14:paraId="5F8BA2A2" w14:textId="77777777" w:rsidR="00D2303A" w:rsidRPr="00F12FD6" w:rsidRDefault="00D2303A" w:rsidP="008D7C83">
      <w:pPr>
        <w:ind w:left="851"/>
        <w:rPr>
          <w:sz w:val="24"/>
          <w:szCs w:val="24"/>
        </w:rPr>
      </w:pPr>
    </w:p>
    <w:p w14:paraId="0AEAF885" w14:textId="333D6E94" w:rsidR="00D2303A" w:rsidRPr="00E01000" w:rsidRDefault="00D2303A" w:rsidP="008D7C83">
      <w:pPr>
        <w:ind w:left="851"/>
        <w:rPr>
          <w:sz w:val="24"/>
          <w:szCs w:val="24"/>
          <w:u w:val="single"/>
        </w:rPr>
      </w:pPr>
      <w:r w:rsidRPr="00E01000">
        <w:rPr>
          <w:sz w:val="24"/>
          <w:szCs w:val="24"/>
          <w:u w:val="single"/>
        </w:rPr>
        <w:t>Ramiliv, 10 mg</w:t>
      </w:r>
    </w:p>
    <w:p w14:paraId="734CCDB8" w14:textId="77777777" w:rsidR="00D2303A" w:rsidRPr="00F12FD6" w:rsidRDefault="00D2303A" w:rsidP="008D7C83">
      <w:pPr>
        <w:ind w:left="851"/>
        <w:rPr>
          <w:sz w:val="24"/>
          <w:szCs w:val="24"/>
        </w:rPr>
      </w:pPr>
      <w:r w:rsidRPr="00F12FD6">
        <w:rPr>
          <w:sz w:val="24"/>
          <w:szCs w:val="24"/>
        </w:rPr>
        <w:t xml:space="preserve">Hvid eller næsten hvid, rund og </w:t>
      </w:r>
      <w:proofErr w:type="spellStart"/>
      <w:r w:rsidRPr="00F12FD6">
        <w:rPr>
          <w:sz w:val="24"/>
          <w:szCs w:val="24"/>
        </w:rPr>
        <w:t>bikonveks</w:t>
      </w:r>
      <w:proofErr w:type="spellEnd"/>
      <w:r w:rsidRPr="00F12FD6">
        <w:rPr>
          <w:sz w:val="24"/>
          <w:szCs w:val="24"/>
        </w:rPr>
        <w:t xml:space="preserve"> tablet med en diameter på 7 mm.</w:t>
      </w:r>
    </w:p>
    <w:p w14:paraId="4850D6E7" w14:textId="77777777" w:rsidR="009260DE" w:rsidRPr="00F12FD6" w:rsidRDefault="009260DE" w:rsidP="009260DE">
      <w:pPr>
        <w:tabs>
          <w:tab w:val="left" w:pos="851"/>
        </w:tabs>
        <w:ind w:left="851"/>
        <w:rPr>
          <w:sz w:val="24"/>
          <w:szCs w:val="24"/>
        </w:rPr>
      </w:pPr>
    </w:p>
    <w:p w14:paraId="60513A8D" w14:textId="56C7EBB2" w:rsidR="00E01000" w:rsidRDefault="00E01000">
      <w:pPr>
        <w:rPr>
          <w:sz w:val="24"/>
          <w:szCs w:val="24"/>
        </w:rPr>
      </w:pPr>
      <w:r>
        <w:rPr>
          <w:sz w:val="24"/>
          <w:szCs w:val="24"/>
        </w:rPr>
        <w:br w:type="page"/>
      </w:r>
    </w:p>
    <w:p w14:paraId="4EA9F3E4" w14:textId="77777777" w:rsidR="009260DE" w:rsidRPr="00F12FD6" w:rsidRDefault="009260DE" w:rsidP="009260DE">
      <w:pPr>
        <w:tabs>
          <w:tab w:val="left" w:pos="851"/>
        </w:tabs>
        <w:ind w:left="851"/>
        <w:rPr>
          <w:sz w:val="24"/>
          <w:szCs w:val="24"/>
        </w:rPr>
      </w:pPr>
    </w:p>
    <w:p w14:paraId="27401CE0" w14:textId="77777777" w:rsidR="009260DE" w:rsidRPr="00F12FD6" w:rsidRDefault="009260DE" w:rsidP="009260DE">
      <w:pPr>
        <w:tabs>
          <w:tab w:val="left" w:pos="851"/>
        </w:tabs>
        <w:ind w:left="851" w:hanging="851"/>
        <w:rPr>
          <w:b/>
          <w:sz w:val="24"/>
          <w:szCs w:val="24"/>
        </w:rPr>
      </w:pPr>
      <w:r w:rsidRPr="00F12FD6">
        <w:rPr>
          <w:b/>
          <w:sz w:val="24"/>
          <w:szCs w:val="24"/>
        </w:rPr>
        <w:t>4.</w:t>
      </w:r>
      <w:r w:rsidRPr="00F12FD6">
        <w:rPr>
          <w:b/>
          <w:sz w:val="24"/>
          <w:szCs w:val="24"/>
        </w:rPr>
        <w:tab/>
        <w:t>KLINISKE OPLYSNINGER</w:t>
      </w:r>
    </w:p>
    <w:p w14:paraId="61A07532" w14:textId="77777777" w:rsidR="009260DE" w:rsidRPr="00F12FD6" w:rsidRDefault="009260DE" w:rsidP="009260DE">
      <w:pPr>
        <w:tabs>
          <w:tab w:val="left" w:pos="851"/>
        </w:tabs>
        <w:ind w:left="851"/>
        <w:rPr>
          <w:b/>
          <w:sz w:val="24"/>
          <w:szCs w:val="24"/>
        </w:rPr>
      </w:pPr>
    </w:p>
    <w:p w14:paraId="63BCE55D" w14:textId="77777777" w:rsidR="009260DE" w:rsidRPr="00F12FD6" w:rsidRDefault="009260DE" w:rsidP="009260DE">
      <w:pPr>
        <w:tabs>
          <w:tab w:val="left" w:pos="851"/>
        </w:tabs>
        <w:ind w:left="851" w:hanging="851"/>
        <w:rPr>
          <w:b/>
          <w:sz w:val="24"/>
          <w:szCs w:val="24"/>
          <w:u w:val="single"/>
        </w:rPr>
      </w:pPr>
      <w:r w:rsidRPr="00F12FD6">
        <w:rPr>
          <w:b/>
          <w:sz w:val="24"/>
          <w:szCs w:val="24"/>
        </w:rPr>
        <w:t>4.1</w:t>
      </w:r>
      <w:r w:rsidRPr="00F12FD6">
        <w:rPr>
          <w:b/>
          <w:sz w:val="24"/>
          <w:szCs w:val="24"/>
        </w:rPr>
        <w:tab/>
        <w:t>Terapeutiske indikationer</w:t>
      </w:r>
    </w:p>
    <w:p w14:paraId="67B8DB29" w14:textId="77777777" w:rsidR="00D2303A" w:rsidRPr="00F12FD6" w:rsidRDefault="00D2303A" w:rsidP="00F12FD6">
      <w:pPr>
        <w:pStyle w:val="Listeafsnit"/>
        <w:numPr>
          <w:ilvl w:val="0"/>
          <w:numId w:val="12"/>
        </w:numPr>
        <w:ind w:left="1276" w:hanging="425"/>
        <w:rPr>
          <w:rFonts w:eastAsia="MS Mincho"/>
          <w:sz w:val="24"/>
          <w:szCs w:val="24"/>
          <w:lang w:eastAsia="ro-RO"/>
        </w:rPr>
      </w:pPr>
      <w:r w:rsidRPr="00F12FD6">
        <w:rPr>
          <w:sz w:val="24"/>
          <w:szCs w:val="24"/>
        </w:rPr>
        <w:t>Behandling af hypertension.</w:t>
      </w:r>
    </w:p>
    <w:p w14:paraId="39BCA0D7" w14:textId="77777777" w:rsidR="00D2303A" w:rsidRPr="00F12FD6" w:rsidRDefault="00D2303A" w:rsidP="00F12FD6">
      <w:pPr>
        <w:ind w:left="1276" w:hanging="425"/>
        <w:rPr>
          <w:rFonts w:eastAsia="MS Mincho"/>
          <w:sz w:val="24"/>
          <w:szCs w:val="24"/>
          <w:lang w:val="en-US"/>
        </w:rPr>
      </w:pPr>
    </w:p>
    <w:p w14:paraId="147335FE" w14:textId="77777777" w:rsidR="00D2303A" w:rsidRPr="00F12FD6" w:rsidRDefault="00D2303A" w:rsidP="00F12FD6">
      <w:pPr>
        <w:pStyle w:val="Listeafsnit"/>
        <w:numPr>
          <w:ilvl w:val="0"/>
          <w:numId w:val="12"/>
        </w:numPr>
        <w:ind w:left="1276" w:hanging="425"/>
        <w:rPr>
          <w:rFonts w:eastAsia="MS Mincho"/>
          <w:spacing w:val="-6"/>
          <w:sz w:val="24"/>
          <w:szCs w:val="24"/>
          <w:lang w:eastAsia="ro-RO"/>
        </w:rPr>
      </w:pPr>
      <w:proofErr w:type="spellStart"/>
      <w:r w:rsidRPr="00F12FD6">
        <w:rPr>
          <w:sz w:val="24"/>
          <w:szCs w:val="24"/>
        </w:rPr>
        <w:t>Kardiovaskulær</w:t>
      </w:r>
      <w:proofErr w:type="spellEnd"/>
      <w:r w:rsidRPr="00F12FD6">
        <w:rPr>
          <w:sz w:val="24"/>
          <w:szCs w:val="24"/>
        </w:rPr>
        <w:t xml:space="preserve"> profylakse: Reduktion of </w:t>
      </w:r>
      <w:proofErr w:type="spellStart"/>
      <w:r w:rsidRPr="00F12FD6">
        <w:rPr>
          <w:sz w:val="24"/>
          <w:szCs w:val="24"/>
        </w:rPr>
        <w:t>kardiovaskulær</w:t>
      </w:r>
      <w:proofErr w:type="spellEnd"/>
      <w:r w:rsidRPr="00F12FD6">
        <w:rPr>
          <w:sz w:val="24"/>
          <w:szCs w:val="24"/>
        </w:rPr>
        <w:t xml:space="preserve"> morbiditet og mortalitet hos patienter med:</w:t>
      </w:r>
    </w:p>
    <w:p w14:paraId="22EB1B9B" w14:textId="77777777" w:rsidR="00D2303A" w:rsidRPr="00F12FD6" w:rsidRDefault="00D2303A" w:rsidP="00F12FD6">
      <w:pPr>
        <w:pStyle w:val="Listeafsnit"/>
        <w:numPr>
          <w:ilvl w:val="0"/>
          <w:numId w:val="13"/>
        </w:numPr>
        <w:ind w:hanging="295"/>
        <w:rPr>
          <w:rFonts w:eastAsia="MS Mincho"/>
          <w:sz w:val="24"/>
          <w:szCs w:val="24"/>
        </w:rPr>
      </w:pPr>
      <w:r w:rsidRPr="00F12FD6">
        <w:rPr>
          <w:sz w:val="24"/>
          <w:szCs w:val="24"/>
        </w:rPr>
        <w:t xml:space="preserve">Klinisk diagnosticeret </w:t>
      </w:r>
      <w:proofErr w:type="spellStart"/>
      <w:r w:rsidRPr="00F12FD6">
        <w:rPr>
          <w:sz w:val="24"/>
          <w:szCs w:val="24"/>
        </w:rPr>
        <w:t>aterotrombotisk</w:t>
      </w:r>
      <w:proofErr w:type="spellEnd"/>
      <w:r w:rsidRPr="00F12FD6">
        <w:rPr>
          <w:sz w:val="24"/>
          <w:szCs w:val="24"/>
        </w:rPr>
        <w:t xml:space="preserve"> </w:t>
      </w:r>
      <w:proofErr w:type="spellStart"/>
      <w:r w:rsidRPr="00F12FD6">
        <w:rPr>
          <w:sz w:val="24"/>
          <w:szCs w:val="24"/>
        </w:rPr>
        <w:t>kardiovaskulær</w:t>
      </w:r>
      <w:proofErr w:type="spellEnd"/>
      <w:r w:rsidRPr="00F12FD6">
        <w:rPr>
          <w:sz w:val="24"/>
          <w:szCs w:val="24"/>
        </w:rPr>
        <w:t xml:space="preserve"> sygdom (</w:t>
      </w:r>
      <w:proofErr w:type="spellStart"/>
      <w:r w:rsidRPr="00F12FD6">
        <w:rPr>
          <w:sz w:val="24"/>
          <w:szCs w:val="24"/>
        </w:rPr>
        <w:t>koronar</w:t>
      </w:r>
      <w:proofErr w:type="spellEnd"/>
      <w:r w:rsidRPr="00F12FD6">
        <w:rPr>
          <w:sz w:val="24"/>
          <w:szCs w:val="24"/>
        </w:rPr>
        <w:t xml:space="preserve"> hjertesygdom eller stroke eller perifer </w:t>
      </w:r>
      <w:proofErr w:type="spellStart"/>
      <w:r w:rsidRPr="00F12FD6">
        <w:rPr>
          <w:sz w:val="24"/>
          <w:szCs w:val="24"/>
        </w:rPr>
        <w:t>vaskulær</w:t>
      </w:r>
      <w:proofErr w:type="spellEnd"/>
      <w:r w:rsidRPr="00F12FD6">
        <w:rPr>
          <w:sz w:val="24"/>
          <w:szCs w:val="24"/>
        </w:rPr>
        <w:t xml:space="preserve"> sygdom i anamnesen) eller</w:t>
      </w:r>
    </w:p>
    <w:p w14:paraId="308EC3FB" w14:textId="77777777" w:rsidR="00D2303A" w:rsidRPr="00F12FD6" w:rsidRDefault="00D2303A" w:rsidP="00F12FD6">
      <w:pPr>
        <w:pStyle w:val="Listeafsnit"/>
        <w:numPr>
          <w:ilvl w:val="0"/>
          <w:numId w:val="13"/>
        </w:numPr>
        <w:ind w:hanging="295"/>
        <w:rPr>
          <w:rFonts w:eastAsia="MS Mincho"/>
          <w:sz w:val="24"/>
          <w:szCs w:val="24"/>
        </w:rPr>
      </w:pPr>
      <w:r w:rsidRPr="00F12FD6">
        <w:rPr>
          <w:sz w:val="24"/>
          <w:szCs w:val="24"/>
        </w:rPr>
        <w:t xml:space="preserve">Diabetes med mindst én </w:t>
      </w:r>
      <w:proofErr w:type="spellStart"/>
      <w:r w:rsidRPr="00F12FD6">
        <w:rPr>
          <w:sz w:val="24"/>
          <w:szCs w:val="24"/>
        </w:rPr>
        <w:t>kardiovaskulær</w:t>
      </w:r>
      <w:proofErr w:type="spellEnd"/>
      <w:r w:rsidRPr="00F12FD6">
        <w:rPr>
          <w:sz w:val="24"/>
          <w:szCs w:val="24"/>
        </w:rPr>
        <w:t xml:space="preserve"> risikofaktor (se pkt. 4.3, 4.4, 4.5 og 5.1).</w:t>
      </w:r>
    </w:p>
    <w:p w14:paraId="70013046" w14:textId="77777777" w:rsidR="00D2303A" w:rsidRPr="00F12FD6" w:rsidRDefault="00D2303A" w:rsidP="00F12FD6">
      <w:pPr>
        <w:ind w:left="1276" w:hanging="425"/>
        <w:rPr>
          <w:rFonts w:eastAsia="MS Mincho"/>
          <w:sz w:val="24"/>
          <w:szCs w:val="24"/>
        </w:rPr>
      </w:pPr>
    </w:p>
    <w:p w14:paraId="78A5E131" w14:textId="77777777" w:rsidR="00D2303A" w:rsidRPr="00F12FD6" w:rsidRDefault="00D2303A" w:rsidP="00F12FD6">
      <w:pPr>
        <w:pStyle w:val="Listeafsnit"/>
        <w:numPr>
          <w:ilvl w:val="0"/>
          <w:numId w:val="12"/>
        </w:numPr>
        <w:ind w:left="1276" w:hanging="425"/>
        <w:rPr>
          <w:rFonts w:eastAsia="MS Mincho"/>
          <w:sz w:val="24"/>
          <w:szCs w:val="24"/>
          <w:lang w:eastAsia="ro-RO"/>
        </w:rPr>
      </w:pPr>
      <w:r w:rsidRPr="00F12FD6">
        <w:rPr>
          <w:sz w:val="24"/>
          <w:szCs w:val="24"/>
        </w:rPr>
        <w:t>Behandling af nyresygdom:</w:t>
      </w:r>
    </w:p>
    <w:p w14:paraId="0EBD0712" w14:textId="77777777" w:rsidR="00D2303A" w:rsidRPr="00F12FD6" w:rsidRDefault="00D2303A" w:rsidP="00F12FD6">
      <w:pPr>
        <w:pStyle w:val="Listeafsnit"/>
        <w:numPr>
          <w:ilvl w:val="0"/>
          <w:numId w:val="14"/>
        </w:numPr>
        <w:ind w:hanging="295"/>
        <w:rPr>
          <w:rFonts w:eastAsia="MS Mincho"/>
          <w:sz w:val="24"/>
          <w:szCs w:val="24"/>
        </w:rPr>
      </w:pPr>
      <w:r w:rsidRPr="00F12FD6">
        <w:rPr>
          <w:sz w:val="24"/>
          <w:szCs w:val="24"/>
        </w:rPr>
        <w:t xml:space="preserve">Begyndende </w:t>
      </w:r>
      <w:proofErr w:type="spellStart"/>
      <w:r w:rsidRPr="00F12FD6">
        <w:rPr>
          <w:sz w:val="24"/>
          <w:szCs w:val="24"/>
        </w:rPr>
        <w:t>glomerulær</w:t>
      </w:r>
      <w:proofErr w:type="spellEnd"/>
      <w:r w:rsidRPr="00F12FD6">
        <w:rPr>
          <w:sz w:val="24"/>
          <w:szCs w:val="24"/>
        </w:rPr>
        <w:t xml:space="preserve"> diabetisk </w:t>
      </w:r>
      <w:proofErr w:type="spellStart"/>
      <w:r w:rsidRPr="00F12FD6">
        <w:rPr>
          <w:sz w:val="24"/>
          <w:szCs w:val="24"/>
        </w:rPr>
        <w:t>nefropati</w:t>
      </w:r>
      <w:proofErr w:type="spellEnd"/>
      <w:r w:rsidRPr="00F12FD6">
        <w:rPr>
          <w:sz w:val="24"/>
          <w:szCs w:val="24"/>
        </w:rPr>
        <w:t xml:space="preserve"> defineret ved tilstedeværelsen af </w:t>
      </w:r>
      <w:proofErr w:type="spellStart"/>
      <w:r w:rsidRPr="00F12FD6">
        <w:rPr>
          <w:sz w:val="24"/>
          <w:szCs w:val="24"/>
        </w:rPr>
        <w:t>mikroalbuminuri</w:t>
      </w:r>
      <w:proofErr w:type="spellEnd"/>
      <w:r w:rsidRPr="00F12FD6">
        <w:rPr>
          <w:sz w:val="24"/>
          <w:szCs w:val="24"/>
        </w:rPr>
        <w:t>.</w:t>
      </w:r>
    </w:p>
    <w:p w14:paraId="04C4F12B" w14:textId="77777777" w:rsidR="00D2303A" w:rsidRPr="00F12FD6" w:rsidRDefault="00D2303A" w:rsidP="00F12FD6">
      <w:pPr>
        <w:pStyle w:val="Listeafsnit"/>
        <w:numPr>
          <w:ilvl w:val="0"/>
          <w:numId w:val="14"/>
        </w:numPr>
        <w:ind w:hanging="295"/>
        <w:rPr>
          <w:rFonts w:eastAsia="MS Mincho"/>
          <w:sz w:val="24"/>
          <w:szCs w:val="24"/>
        </w:rPr>
      </w:pPr>
      <w:r w:rsidRPr="00F12FD6">
        <w:rPr>
          <w:sz w:val="24"/>
          <w:szCs w:val="24"/>
        </w:rPr>
        <w:t xml:space="preserve">Klinisk diagnosticeret </w:t>
      </w:r>
      <w:proofErr w:type="spellStart"/>
      <w:r w:rsidRPr="00F12FD6">
        <w:rPr>
          <w:sz w:val="24"/>
          <w:szCs w:val="24"/>
        </w:rPr>
        <w:t>glomerulær</w:t>
      </w:r>
      <w:proofErr w:type="spellEnd"/>
      <w:r w:rsidRPr="00F12FD6">
        <w:rPr>
          <w:sz w:val="24"/>
          <w:szCs w:val="24"/>
        </w:rPr>
        <w:t xml:space="preserve"> diabetisk </w:t>
      </w:r>
      <w:proofErr w:type="spellStart"/>
      <w:r w:rsidRPr="00F12FD6">
        <w:rPr>
          <w:sz w:val="24"/>
          <w:szCs w:val="24"/>
        </w:rPr>
        <w:t>nefropati</w:t>
      </w:r>
      <w:proofErr w:type="spellEnd"/>
      <w:r w:rsidRPr="00F12FD6">
        <w:rPr>
          <w:sz w:val="24"/>
          <w:szCs w:val="24"/>
        </w:rPr>
        <w:t xml:space="preserve"> defineret ved </w:t>
      </w:r>
      <w:proofErr w:type="spellStart"/>
      <w:r w:rsidRPr="00F12FD6">
        <w:rPr>
          <w:sz w:val="24"/>
          <w:szCs w:val="24"/>
        </w:rPr>
        <w:t>makroproteinuri</w:t>
      </w:r>
      <w:proofErr w:type="spellEnd"/>
      <w:r w:rsidRPr="00F12FD6">
        <w:rPr>
          <w:sz w:val="24"/>
          <w:szCs w:val="24"/>
        </w:rPr>
        <w:t xml:space="preserve"> hos patienter med mindst én </w:t>
      </w:r>
      <w:proofErr w:type="spellStart"/>
      <w:r w:rsidRPr="00F12FD6">
        <w:rPr>
          <w:sz w:val="24"/>
          <w:szCs w:val="24"/>
        </w:rPr>
        <w:t>kardiovaskulær</w:t>
      </w:r>
      <w:proofErr w:type="spellEnd"/>
      <w:r w:rsidRPr="00F12FD6">
        <w:rPr>
          <w:sz w:val="24"/>
          <w:szCs w:val="24"/>
        </w:rPr>
        <w:t xml:space="preserve"> risikofaktor (se pkt. 4.3, 4.4, 4.5 og 5.1).</w:t>
      </w:r>
    </w:p>
    <w:p w14:paraId="1264B7DF" w14:textId="77777777" w:rsidR="00D2303A" w:rsidRPr="00F12FD6" w:rsidRDefault="00D2303A" w:rsidP="00F12FD6">
      <w:pPr>
        <w:pStyle w:val="Listeafsnit"/>
        <w:numPr>
          <w:ilvl w:val="0"/>
          <w:numId w:val="14"/>
        </w:numPr>
        <w:ind w:hanging="295"/>
        <w:rPr>
          <w:rFonts w:eastAsia="MS Mincho"/>
          <w:sz w:val="24"/>
          <w:szCs w:val="24"/>
        </w:rPr>
      </w:pPr>
      <w:r w:rsidRPr="00F12FD6">
        <w:rPr>
          <w:sz w:val="24"/>
          <w:szCs w:val="24"/>
        </w:rPr>
        <w:t xml:space="preserve">Klinisk diagnosticeret </w:t>
      </w:r>
      <w:proofErr w:type="spellStart"/>
      <w:r w:rsidRPr="00F12FD6">
        <w:rPr>
          <w:sz w:val="24"/>
          <w:szCs w:val="24"/>
        </w:rPr>
        <w:t>glomerulær</w:t>
      </w:r>
      <w:proofErr w:type="spellEnd"/>
      <w:r w:rsidRPr="00F12FD6">
        <w:rPr>
          <w:sz w:val="24"/>
          <w:szCs w:val="24"/>
        </w:rPr>
        <w:t xml:space="preserve"> nondiabetisk </w:t>
      </w:r>
      <w:proofErr w:type="spellStart"/>
      <w:r w:rsidRPr="00F12FD6">
        <w:rPr>
          <w:sz w:val="24"/>
          <w:szCs w:val="24"/>
        </w:rPr>
        <w:t>nefropati</w:t>
      </w:r>
      <w:proofErr w:type="spellEnd"/>
      <w:r w:rsidRPr="00F12FD6">
        <w:rPr>
          <w:sz w:val="24"/>
          <w:szCs w:val="24"/>
        </w:rPr>
        <w:t xml:space="preserve"> defineret ved </w:t>
      </w:r>
      <w:proofErr w:type="spellStart"/>
      <w:r w:rsidRPr="00F12FD6">
        <w:rPr>
          <w:sz w:val="24"/>
          <w:szCs w:val="24"/>
        </w:rPr>
        <w:t>makroproteinuri</w:t>
      </w:r>
      <w:proofErr w:type="spellEnd"/>
      <w:r w:rsidRPr="00F12FD6">
        <w:rPr>
          <w:sz w:val="24"/>
          <w:szCs w:val="24"/>
        </w:rPr>
        <w:t xml:space="preserve"> ≥3 g/dag (se pkt. 5.1).</w:t>
      </w:r>
    </w:p>
    <w:p w14:paraId="3CEE90CC" w14:textId="77777777" w:rsidR="00D2303A" w:rsidRPr="00F12FD6" w:rsidRDefault="00D2303A" w:rsidP="00F12FD6">
      <w:pPr>
        <w:ind w:left="1276" w:hanging="425"/>
        <w:rPr>
          <w:rFonts w:eastAsia="MS Mincho"/>
          <w:sz w:val="24"/>
          <w:szCs w:val="24"/>
        </w:rPr>
      </w:pPr>
    </w:p>
    <w:p w14:paraId="2735B116" w14:textId="77777777" w:rsidR="00D2303A" w:rsidRPr="00F12FD6" w:rsidRDefault="00D2303A" w:rsidP="00F12FD6">
      <w:pPr>
        <w:pStyle w:val="Listeafsnit"/>
        <w:numPr>
          <w:ilvl w:val="0"/>
          <w:numId w:val="12"/>
        </w:numPr>
        <w:ind w:left="1276" w:hanging="425"/>
        <w:rPr>
          <w:rFonts w:eastAsia="MS Mincho"/>
          <w:sz w:val="24"/>
          <w:szCs w:val="24"/>
          <w:lang w:eastAsia="ro-RO"/>
        </w:rPr>
      </w:pPr>
      <w:r w:rsidRPr="00F12FD6">
        <w:rPr>
          <w:sz w:val="24"/>
          <w:szCs w:val="24"/>
        </w:rPr>
        <w:t>Behandling af symptomatisk hjerteinsufficiens.</w:t>
      </w:r>
    </w:p>
    <w:p w14:paraId="51D75DB3" w14:textId="77777777" w:rsidR="00D2303A" w:rsidRPr="00F12FD6" w:rsidRDefault="00D2303A" w:rsidP="00F12FD6">
      <w:pPr>
        <w:ind w:left="1276" w:hanging="425"/>
        <w:rPr>
          <w:rFonts w:eastAsia="MS Mincho"/>
          <w:sz w:val="24"/>
          <w:szCs w:val="24"/>
          <w:lang w:val="en-US"/>
        </w:rPr>
      </w:pPr>
    </w:p>
    <w:p w14:paraId="4E328B85" w14:textId="77777777" w:rsidR="00D2303A" w:rsidRPr="00F12FD6" w:rsidRDefault="00D2303A" w:rsidP="00F12FD6">
      <w:pPr>
        <w:pStyle w:val="Listeafsnit"/>
        <w:numPr>
          <w:ilvl w:val="0"/>
          <w:numId w:val="12"/>
        </w:numPr>
        <w:ind w:left="1276" w:hanging="425"/>
        <w:rPr>
          <w:rFonts w:eastAsia="MS Mincho"/>
          <w:sz w:val="24"/>
          <w:szCs w:val="24"/>
          <w:lang w:eastAsia="ro-RO"/>
        </w:rPr>
      </w:pPr>
      <w:r w:rsidRPr="00F12FD6">
        <w:rPr>
          <w:sz w:val="24"/>
          <w:szCs w:val="24"/>
        </w:rPr>
        <w:t>Sekundær profylakse efter akut myokardieinfarkt: Reduktion af mortalitet i den akutte fase af myokardieinfarkt hos patienter med kliniske tegn på hjerteinsufficiens, når behandlingen påbegyndes &gt;48 timer efter akut myokardieinfarkt.</w:t>
      </w:r>
    </w:p>
    <w:p w14:paraId="1171EB9F" w14:textId="77777777" w:rsidR="009260DE" w:rsidRPr="00F12FD6" w:rsidRDefault="009260DE" w:rsidP="009260DE">
      <w:pPr>
        <w:tabs>
          <w:tab w:val="left" w:pos="851"/>
        </w:tabs>
        <w:ind w:left="851"/>
        <w:rPr>
          <w:sz w:val="24"/>
          <w:szCs w:val="24"/>
        </w:rPr>
      </w:pPr>
    </w:p>
    <w:p w14:paraId="5A68F213" w14:textId="77777777" w:rsidR="009260DE" w:rsidRPr="00F12FD6" w:rsidRDefault="009260DE" w:rsidP="009260DE">
      <w:pPr>
        <w:tabs>
          <w:tab w:val="left" w:pos="851"/>
        </w:tabs>
        <w:ind w:left="851" w:hanging="851"/>
        <w:rPr>
          <w:b/>
          <w:sz w:val="24"/>
          <w:szCs w:val="24"/>
        </w:rPr>
      </w:pPr>
      <w:r w:rsidRPr="00F12FD6">
        <w:rPr>
          <w:b/>
          <w:sz w:val="24"/>
          <w:szCs w:val="24"/>
        </w:rPr>
        <w:t>4.2</w:t>
      </w:r>
      <w:r w:rsidRPr="00F12FD6">
        <w:rPr>
          <w:b/>
          <w:sz w:val="24"/>
          <w:szCs w:val="24"/>
        </w:rPr>
        <w:tab/>
        <w:t xml:space="preserve">Dosering og </w:t>
      </w:r>
      <w:r w:rsidR="002C1EC0" w:rsidRPr="00F12FD6">
        <w:rPr>
          <w:b/>
          <w:sz w:val="24"/>
          <w:szCs w:val="24"/>
        </w:rPr>
        <w:t>administration</w:t>
      </w:r>
    </w:p>
    <w:p w14:paraId="03C5AED9" w14:textId="77777777" w:rsidR="005A7D31" w:rsidRDefault="005A7D31" w:rsidP="008D7C83">
      <w:pPr>
        <w:ind w:left="851"/>
        <w:rPr>
          <w:sz w:val="24"/>
          <w:szCs w:val="24"/>
        </w:rPr>
      </w:pPr>
    </w:p>
    <w:p w14:paraId="7EC66B03" w14:textId="204B4C95" w:rsidR="00D2303A" w:rsidRPr="005A7D31" w:rsidRDefault="00D2303A" w:rsidP="008D7C83">
      <w:pPr>
        <w:ind w:left="851"/>
        <w:rPr>
          <w:b/>
          <w:sz w:val="24"/>
          <w:szCs w:val="24"/>
          <w:lang w:eastAsia="ro-RO"/>
        </w:rPr>
      </w:pPr>
      <w:r w:rsidRPr="005A7D31">
        <w:rPr>
          <w:b/>
          <w:sz w:val="24"/>
          <w:szCs w:val="24"/>
        </w:rPr>
        <w:t>Dosering</w:t>
      </w:r>
    </w:p>
    <w:p w14:paraId="47C4F0CA" w14:textId="77777777" w:rsidR="00D2303A" w:rsidRPr="00F12FD6" w:rsidRDefault="00D2303A" w:rsidP="008D7C83">
      <w:pPr>
        <w:ind w:left="851"/>
        <w:rPr>
          <w:sz w:val="24"/>
          <w:szCs w:val="24"/>
        </w:rPr>
      </w:pPr>
      <w:r w:rsidRPr="00F12FD6">
        <w:rPr>
          <w:sz w:val="24"/>
          <w:szCs w:val="24"/>
        </w:rPr>
        <w:t>Oral anvendelse.</w:t>
      </w:r>
    </w:p>
    <w:p w14:paraId="69564CBF" w14:textId="77777777" w:rsidR="00D2303A" w:rsidRPr="00F12FD6" w:rsidRDefault="00D2303A" w:rsidP="008D7C83">
      <w:pPr>
        <w:ind w:left="851"/>
        <w:rPr>
          <w:sz w:val="24"/>
          <w:szCs w:val="24"/>
        </w:rPr>
      </w:pPr>
    </w:p>
    <w:p w14:paraId="2ECB33A6" w14:textId="77777777" w:rsidR="00D2303A" w:rsidRPr="00F12FD6" w:rsidRDefault="00D2303A" w:rsidP="008D7C83">
      <w:pPr>
        <w:ind w:left="851"/>
        <w:rPr>
          <w:sz w:val="24"/>
          <w:szCs w:val="24"/>
        </w:rPr>
      </w:pPr>
      <w:r w:rsidRPr="00F12FD6">
        <w:rPr>
          <w:sz w:val="24"/>
          <w:szCs w:val="24"/>
        </w:rPr>
        <w:t>Ramiliv bør tages hver dag på samme tidspunkt.</w:t>
      </w:r>
    </w:p>
    <w:p w14:paraId="44892F3C" w14:textId="77777777" w:rsidR="00D2303A" w:rsidRPr="00F12FD6" w:rsidRDefault="00D2303A" w:rsidP="008D7C83">
      <w:pPr>
        <w:ind w:left="851"/>
        <w:rPr>
          <w:sz w:val="24"/>
          <w:szCs w:val="24"/>
        </w:rPr>
      </w:pPr>
    </w:p>
    <w:p w14:paraId="5DE5F905" w14:textId="77777777" w:rsidR="00D2303A" w:rsidRPr="00F12FD6" w:rsidRDefault="00D2303A" w:rsidP="008D7C83">
      <w:pPr>
        <w:ind w:left="851"/>
        <w:rPr>
          <w:sz w:val="24"/>
          <w:szCs w:val="24"/>
        </w:rPr>
      </w:pPr>
      <w:r w:rsidRPr="00F12FD6">
        <w:rPr>
          <w:sz w:val="24"/>
          <w:szCs w:val="24"/>
        </w:rPr>
        <w:t>Ramiliv kan tages før, sammen med eller efter måltider, da fødeindtag ikke ændrer biotilgængeligheden (se pkt. 5.2).</w:t>
      </w:r>
    </w:p>
    <w:p w14:paraId="5A8F280E" w14:textId="77777777" w:rsidR="00D2303A" w:rsidRPr="00F12FD6" w:rsidRDefault="00D2303A" w:rsidP="008D7C83">
      <w:pPr>
        <w:ind w:left="851"/>
        <w:rPr>
          <w:sz w:val="24"/>
          <w:szCs w:val="24"/>
        </w:rPr>
      </w:pPr>
    </w:p>
    <w:p w14:paraId="410088DD" w14:textId="77777777" w:rsidR="00D2303A" w:rsidRPr="00F12FD6" w:rsidRDefault="00D2303A" w:rsidP="008D7C83">
      <w:pPr>
        <w:ind w:left="851"/>
        <w:rPr>
          <w:sz w:val="24"/>
          <w:szCs w:val="24"/>
        </w:rPr>
      </w:pPr>
      <w:r w:rsidRPr="00F12FD6">
        <w:rPr>
          <w:sz w:val="24"/>
          <w:szCs w:val="24"/>
        </w:rPr>
        <w:t>Ramiliv skal synkes med væske. Må ikke tygges eller knuses, da tabletterne kan have en ubehagelig smag.</w:t>
      </w:r>
    </w:p>
    <w:p w14:paraId="4C8F4FB7" w14:textId="77777777" w:rsidR="00D2303A" w:rsidRPr="00F12FD6" w:rsidRDefault="00D2303A" w:rsidP="008D7C83">
      <w:pPr>
        <w:ind w:left="851"/>
        <w:rPr>
          <w:sz w:val="24"/>
          <w:szCs w:val="24"/>
        </w:rPr>
      </w:pPr>
    </w:p>
    <w:p w14:paraId="30F1F99F" w14:textId="77777777" w:rsidR="00D2303A" w:rsidRPr="00F12FD6" w:rsidRDefault="00D2303A" w:rsidP="008D7C83">
      <w:pPr>
        <w:ind w:left="851"/>
        <w:rPr>
          <w:iCs/>
          <w:sz w:val="24"/>
          <w:szCs w:val="24"/>
        </w:rPr>
      </w:pPr>
      <w:r w:rsidRPr="00F12FD6">
        <w:rPr>
          <w:iCs/>
          <w:sz w:val="24"/>
          <w:szCs w:val="24"/>
        </w:rPr>
        <w:t>Ramiliv kan ikke deles i lige store doser.</w:t>
      </w:r>
      <w:r w:rsidRPr="00F12FD6">
        <w:rPr>
          <w:sz w:val="24"/>
          <w:szCs w:val="24"/>
        </w:rPr>
        <w:t xml:space="preserve"> </w:t>
      </w:r>
      <w:r w:rsidRPr="00F12FD6">
        <w:rPr>
          <w:iCs/>
          <w:sz w:val="24"/>
          <w:szCs w:val="24"/>
        </w:rPr>
        <w:t xml:space="preserve">Ved doser, der ikke kan opnås med Ramiliv, findes der andre lægemidler med </w:t>
      </w:r>
      <w:proofErr w:type="spellStart"/>
      <w:r w:rsidRPr="00F12FD6">
        <w:rPr>
          <w:iCs/>
          <w:sz w:val="24"/>
          <w:szCs w:val="24"/>
        </w:rPr>
        <w:t>ramipril</w:t>
      </w:r>
      <w:proofErr w:type="spellEnd"/>
      <w:r w:rsidRPr="00F12FD6">
        <w:rPr>
          <w:iCs/>
          <w:sz w:val="24"/>
          <w:szCs w:val="24"/>
        </w:rPr>
        <w:t xml:space="preserve"> med andre styrker.</w:t>
      </w:r>
    </w:p>
    <w:p w14:paraId="4E020FF1" w14:textId="77777777" w:rsidR="00D2303A" w:rsidRPr="00F12FD6" w:rsidRDefault="00D2303A" w:rsidP="008D7C83">
      <w:pPr>
        <w:ind w:left="851"/>
        <w:rPr>
          <w:sz w:val="24"/>
          <w:szCs w:val="24"/>
          <w:u w:val="single"/>
        </w:rPr>
      </w:pPr>
    </w:p>
    <w:p w14:paraId="402A7FD2" w14:textId="77777777" w:rsidR="00D2303A" w:rsidRPr="00F12FD6" w:rsidRDefault="00D2303A" w:rsidP="008D7C83">
      <w:pPr>
        <w:ind w:left="851"/>
        <w:rPr>
          <w:sz w:val="24"/>
          <w:szCs w:val="24"/>
        </w:rPr>
      </w:pPr>
      <w:r w:rsidRPr="00F12FD6">
        <w:rPr>
          <w:sz w:val="24"/>
          <w:szCs w:val="24"/>
          <w:u w:val="single"/>
        </w:rPr>
        <w:t xml:space="preserve">Patienter i behandling med </w:t>
      </w:r>
      <w:proofErr w:type="spellStart"/>
      <w:r w:rsidRPr="00F12FD6">
        <w:rPr>
          <w:sz w:val="24"/>
          <w:szCs w:val="24"/>
          <w:u w:val="single"/>
        </w:rPr>
        <w:t>diuretika</w:t>
      </w:r>
      <w:proofErr w:type="spellEnd"/>
    </w:p>
    <w:p w14:paraId="39766B03" w14:textId="77777777" w:rsidR="00D2303A" w:rsidRPr="00F12FD6" w:rsidRDefault="00D2303A" w:rsidP="008D7C83">
      <w:pPr>
        <w:ind w:left="851"/>
        <w:rPr>
          <w:sz w:val="24"/>
          <w:szCs w:val="24"/>
        </w:rPr>
      </w:pPr>
      <w:r w:rsidRPr="00F12FD6">
        <w:rPr>
          <w:sz w:val="24"/>
          <w:szCs w:val="24"/>
        </w:rPr>
        <w:t xml:space="preserve">Hypotension kan forekomme efter påbegyndelse af behandling med Ramiliv. Dette er mere sandsynligt hos patienter, der samtidigt behandles med </w:t>
      </w:r>
      <w:proofErr w:type="spellStart"/>
      <w:r w:rsidRPr="00F12FD6">
        <w:rPr>
          <w:sz w:val="24"/>
          <w:szCs w:val="24"/>
        </w:rPr>
        <w:t>diuretika</w:t>
      </w:r>
      <w:proofErr w:type="spellEnd"/>
      <w:r w:rsidRPr="00F12FD6">
        <w:rPr>
          <w:sz w:val="24"/>
          <w:szCs w:val="24"/>
        </w:rPr>
        <w:t>. Det anbefales derfor at udvise forsigtighed, da disse patienter kan være dehydrerede og/eller have saltmangel.</w:t>
      </w:r>
    </w:p>
    <w:p w14:paraId="0EF4361F" w14:textId="77777777" w:rsidR="00D2303A" w:rsidRPr="00F12FD6" w:rsidRDefault="00D2303A" w:rsidP="008D7C83">
      <w:pPr>
        <w:ind w:left="851"/>
        <w:rPr>
          <w:sz w:val="24"/>
          <w:szCs w:val="24"/>
        </w:rPr>
      </w:pPr>
      <w:proofErr w:type="spellStart"/>
      <w:r w:rsidRPr="00F12FD6">
        <w:rPr>
          <w:sz w:val="24"/>
          <w:szCs w:val="24"/>
        </w:rPr>
        <w:t>Diuretika</w:t>
      </w:r>
      <w:proofErr w:type="spellEnd"/>
      <w:r w:rsidRPr="00F12FD6">
        <w:rPr>
          <w:sz w:val="24"/>
          <w:szCs w:val="24"/>
        </w:rPr>
        <w:t xml:space="preserve"> skal om muligt seponeres 2 til 3 dage før påbegyndelse af behandling med Ramiliv (se pkt. 4.4).</w:t>
      </w:r>
    </w:p>
    <w:p w14:paraId="49CD098B" w14:textId="77777777" w:rsidR="00D2303A" w:rsidRPr="00F12FD6" w:rsidRDefault="00D2303A" w:rsidP="008D7C83">
      <w:pPr>
        <w:ind w:left="851"/>
        <w:rPr>
          <w:sz w:val="24"/>
          <w:szCs w:val="24"/>
        </w:rPr>
      </w:pPr>
      <w:r w:rsidRPr="00F12FD6">
        <w:rPr>
          <w:sz w:val="24"/>
          <w:szCs w:val="24"/>
        </w:rPr>
        <w:lastRenderedPageBreak/>
        <w:t xml:space="preserve">Hos </w:t>
      </w:r>
      <w:proofErr w:type="spellStart"/>
      <w:r w:rsidRPr="00F12FD6">
        <w:rPr>
          <w:sz w:val="24"/>
          <w:szCs w:val="24"/>
        </w:rPr>
        <w:t>hypertensive</w:t>
      </w:r>
      <w:proofErr w:type="spellEnd"/>
      <w:r w:rsidRPr="00F12FD6">
        <w:rPr>
          <w:sz w:val="24"/>
          <w:szCs w:val="24"/>
        </w:rPr>
        <w:t xml:space="preserve"> patienter, hvor </w:t>
      </w:r>
      <w:proofErr w:type="spellStart"/>
      <w:r w:rsidRPr="00F12FD6">
        <w:rPr>
          <w:sz w:val="24"/>
          <w:szCs w:val="24"/>
        </w:rPr>
        <w:t>diuretika</w:t>
      </w:r>
      <w:proofErr w:type="spellEnd"/>
      <w:r w:rsidRPr="00F12FD6">
        <w:rPr>
          <w:sz w:val="24"/>
          <w:szCs w:val="24"/>
        </w:rPr>
        <w:t xml:space="preserve"> ikke seponeres, skal behandling med Ramiliv indledes med en dosis på 1,25 mg. Nyrefunktionen og serumkalium skal monitoreres. Den efterfølgende dosis Ramiliv skal justeres i overensstemmelse med blodtryksmålet.</w:t>
      </w:r>
    </w:p>
    <w:p w14:paraId="59F401DF" w14:textId="77777777" w:rsidR="00D2303A" w:rsidRPr="00F12FD6" w:rsidRDefault="00D2303A" w:rsidP="008D7C83">
      <w:pPr>
        <w:ind w:left="851"/>
        <w:rPr>
          <w:i/>
          <w:iCs/>
          <w:sz w:val="24"/>
          <w:szCs w:val="24"/>
        </w:rPr>
      </w:pPr>
    </w:p>
    <w:p w14:paraId="00F8A2D4" w14:textId="77777777" w:rsidR="00D2303A" w:rsidRPr="00F12FD6" w:rsidRDefault="00D2303A" w:rsidP="008D7C83">
      <w:pPr>
        <w:ind w:left="851"/>
        <w:rPr>
          <w:i/>
          <w:iCs/>
          <w:sz w:val="24"/>
          <w:szCs w:val="24"/>
        </w:rPr>
      </w:pPr>
      <w:r w:rsidRPr="00F12FD6">
        <w:rPr>
          <w:i/>
          <w:iCs/>
          <w:sz w:val="24"/>
          <w:szCs w:val="24"/>
        </w:rPr>
        <w:t>Hypertension</w:t>
      </w:r>
    </w:p>
    <w:p w14:paraId="5D8B582F" w14:textId="77777777" w:rsidR="00D2303A" w:rsidRPr="00F12FD6" w:rsidRDefault="00D2303A" w:rsidP="008D7C83">
      <w:pPr>
        <w:ind w:left="851"/>
        <w:rPr>
          <w:sz w:val="24"/>
          <w:szCs w:val="24"/>
        </w:rPr>
      </w:pPr>
      <w:r w:rsidRPr="00F12FD6">
        <w:rPr>
          <w:sz w:val="24"/>
          <w:szCs w:val="24"/>
        </w:rPr>
        <w:t>Dosis skal individualiseres alt efter patientprofilen (se pkt. 4.4) og blodtrykskontrol.</w:t>
      </w:r>
    </w:p>
    <w:p w14:paraId="45C2F39E" w14:textId="77777777" w:rsidR="00D2303A" w:rsidRPr="00F12FD6" w:rsidRDefault="00D2303A" w:rsidP="008D7C83">
      <w:pPr>
        <w:ind w:left="851"/>
        <w:rPr>
          <w:sz w:val="24"/>
          <w:szCs w:val="24"/>
        </w:rPr>
      </w:pPr>
      <w:r w:rsidRPr="00F12FD6">
        <w:rPr>
          <w:sz w:val="24"/>
          <w:szCs w:val="24"/>
        </w:rPr>
        <w:t xml:space="preserve">Ramiliv kan anvendes til monoterapi eller i kombination med andre typer </w:t>
      </w:r>
      <w:proofErr w:type="spellStart"/>
      <w:r w:rsidRPr="00F12FD6">
        <w:rPr>
          <w:sz w:val="24"/>
          <w:szCs w:val="24"/>
        </w:rPr>
        <w:t>antihypertensiva</w:t>
      </w:r>
      <w:proofErr w:type="spellEnd"/>
      <w:r w:rsidRPr="00F12FD6">
        <w:rPr>
          <w:sz w:val="24"/>
          <w:szCs w:val="24"/>
        </w:rPr>
        <w:t xml:space="preserve"> (se pkt. 4.3, 4.4, 4.5 og 5.1).</w:t>
      </w:r>
    </w:p>
    <w:p w14:paraId="6308D2F5" w14:textId="77777777" w:rsidR="00D2303A" w:rsidRPr="00F12FD6" w:rsidRDefault="00D2303A" w:rsidP="008D7C83">
      <w:pPr>
        <w:ind w:left="851"/>
        <w:rPr>
          <w:sz w:val="24"/>
          <w:szCs w:val="24"/>
        </w:rPr>
      </w:pPr>
    </w:p>
    <w:p w14:paraId="6491E3AF" w14:textId="77777777" w:rsidR="00D2303A" w:rsidRPr="00F12FD6" w:rsidRDefault="00D2303A" w:rsidP="008D7C83">
      <w:pPr>
        <w:ind w:left="851"/>
        <w:rPr>
          <w:sz w:val="24"/>
          <w:szCs w:val="24"/>
        </w:rPr>
      </w:pPr>
      <w:r w:rsidRPr="00F12FD6">
        <w:rPr>
          <w:sz w:val="24"/>
          <w:szCs w:val="24"/>
          <w:u w:val="single"/>
        </w:rPr>
        <w:t>Startdosis</w:t>
      </w:r>
    </w:p>
    <w:p w14:paraId="4BD892E1" w14:textId="77777777" w:rsidR="00D2303A" w:rsidRPr="00F12FD6" w:rsidRDefault="00D2303A" w:rsidP="008D7C83">
      <w:pPr>
        <w:ind w:left="851"/>
        <w:rPr>
          <w:sz w:val="24"/>
          <w:szCs w:val="24"/>
        </w:rPr>
      </w:pPr>
      <w:r w:rsidRPr="00F12FD6">
        <w:rPr>
          <w:sz w:val="24"/>
          <w:szCs w:val="24"/>
        </w:rPr>
        <w:t>Ramiliv skal opstartes gradvist med en anbefalet startdosis på 2,5 mg dagligt.</w:t>
      </w:r>
    </w:p>
    <w:p w14:paraId="4E87A791" w14:textId="77777777" w:rsidR="00D2303A" w:rsidRPr="00F12FD6" w:rsidRDefault="00D2303A" w:rsidP="008D7C83">
      <w:pPr>
        <w:ind w:left="851"/>
        <w:rPr>
          <w:sz w:val="24"/>
          <w:szCs w:val="24"/>
        </w:rPr>
      </w:pPr>
      <w:r w:rsidRPr="00F12FD6">
        <w:rPr>
          <w:sz w:val="24"/>
          <w:szCs w:val="24"/>
        </w:rPr>
        <w:t xml:space="preserve">Patienter med et stærkt aktiveret </w:t>
      </w:r>
      <w:proofErr w:type="spellStart"/>
      <w:r w:rsidRPr="00F12FD6">
        <w:rPr>
          <w:sz w:val="24"/>
          <w:szCs w:val="24"/>
        </w:rPr>
        <w:t>renin</w:t>
      </w:r>
      <w:proofErr w:type="spellEnd"/>
      <w:r w:rsidRPr="00F12FD6">
        <w:rPr>
          <w:sz w:val="24"/>
          <w:szCs w:val="24"/>
        </w:rPr>
        <w:t>-</w:t>
      </w:r>
      <w:proofErr w:type="spellStart"/>
      <w:r w:rsidRPr="00F12FD6">
        <w:rPr>
          <w:sz w:val="24"/>
          <w:szCs w:val="24"/>
        </w:rPr>
        <w:t>angiotension</w:t>
      </w:r>
      <w:proofErr w:type="spellEnd"/>
      <w:r w:rsidRPr="00F12FD6">
        <w:rPr>
          <w:sz w:val="24"/>
          <w:szCs w:val="24"/>
        </w:rPr>
        <w:t>-</w:t>
      </w:r>
      <w:proofErr w:type="spellStart"/>
      <w:r w:rsidRPr="00F12FD6">
        <w:rPr>
          <w:sz w:val="24"/>
          <w:szCs w:val="24"/>
        </w:rPr>
        <w:t>aldosteron</w:t>
      </w:r>
      <w:proofErr w:type="spellEnd"/>
      <w:r w:rsidRPr="00F12FD6">
        <w:rPr>
          <w:sz w:val="24"/>
          <w:szCs w:val="24"/>
        </w:rPr>
        <w:t>-system kan efter den første dosis opleve et særligt stort blodtryksfald. En startdosis på 1,25 mg anbefales til sådanne patienter, og påbegyndelse af behandlingen skal foregå under medicinsk tilsyn (se pkt. 4.4).</w:t>
      </w:r>
    </w:p>
    <w:p w14:paraId="453439BF" w14:textId="77777777" w:rsidR="00D2303A" w:rsidRPr="00F12FD6" w:rsidRDefault="00D2303A" w:rsidP="008D7C83">
      <w:pPr>
        <w:ind w:left="851"/>
        <w:rPr>
          <w:sz w:val="24"/>
          <w:szCs w:val="24"/>
        </w:rPr>
      </w:pPr>
    </w:p>
    <w:p w14:paraId="7F982694" w14:textId="77777777" w:rsidR="00D2303A" w:rsidRPr="00F12FD6" w:rsidRDefault="00D2303A" w:rsidP="008D7C83">
      <w:pPr>
        <w:ind w:left="851"/>
        <w:rPr>
          <w:sz w:val="24"/>
          <w:szCs w:val="24"/>
        </w:rPr>
      </w:pPr>
      <w:r w:rsidRPr="00F12FD6">
        <w:rPr>
          <w:sz w:val="24"/>
          <w:szCs w:val="24"/>
          <w:u w:val="single"/>
        </w:rPr>
        <w:t>Titrering og vedligeholdelsesdosis</w:t>
      </w:r>
    </w:p>
    <w:p w14:paraId="0B0D05F0" w14:textId="77777777" w:rsidR="00D2303A" w:rsidRPr="00F12FD6" w:rsidRDefault="00D2303A" w:rsidP="008D7C83">
      <w:pPr>
        <w:ind w:left="851"/>
        <w:rPr>
          <w:sz w:val="24"/>
          <w:szCs w:val="24"/>
        </w:rPr>
      </w:pPr>
      <w:r w:rsidRPr="00F12FD6">
        <w:rPr>
          <w:sz w:val="24"/>
          <w:szCs w:val="24"/>
        </w:rPr>
        <w:t>Dosis kan fordobles i intervaller på to til fire uger for progressivt at nå blodtryksmålet. Den maksimalt tilladte dosis Ramiliv er 10 mg dagligt. Denne dosis administreres sædvanligvis én gang dagligt.</w:t>
      </w:r>
    </w:p>
    <w:p w14:paraId="0DA97992" w14:textId="77777777" w:rsidR="00D2303A" w:rsidRPr="00F12FD6" w:rsidRDefault="00D2303A" w:rsidP="008D7C83">
      <w:pPr>
        <w:ind w:left="851"/>
        <w:rPr>
          <w:sz w:val="24"/>
          <w:szCs w:val="24"/>
        </w:rPr>
      </w:pPr>
    </w:p>
    <w:p w14:paraId="39A97E0D" w14:textId="77777777" w:rsidR="00D2303A" w:rsidRPr="005A7D31" w:rsidRDefault="00D2303A" w:rsidP="008D7C83">
      <w:pPr>
        <w:ind w:left="851"/>
        <w:rPr>
          <w:sz w:val="24"/>
          <w:szCs w:val="24"/>
        </w:rPr>
      </w:pPr>
      <w:proofErr w:type="spellStart"/>
      <w:r w:rsidRPr="005A7D31">
        <w:rPr>
          <w:i/>
          <w:iCs/>
          <w:sz w:val="24"/>
          <w:szCs w:val="24"/>
        </w:rPr>
        <w:t>Kardiovaskulær</w:t>
      </w:r>
      <w:proofErr w:type="spellEnd"/>
      <w:r w:rsidRPr="005A7D31">
        <w:rPr>
          <w:i/>
          <w:iCs/>
          <w:sz w:val="24"/>
          <w:szCs w:val="24"/>
        </w:rPr>
        <w:t xml:space="preserve"> forebyggelse</w:t>
      </w:r>
    </w:p>
    <w:p w14:paraId="6AB27C2C" w14:textId="77777777" w:rsidR="005A7D31" w:rsidRDefault="005A7D31" w:rsidP="008D7C83">
      <w:pPr>
        <w:ind w:left="851"/>
        <w:rPr>
          <w:sz w:val="24"/>
          <w:szCs w:val="24"/>
          <w:u w:val="single"/>
        </w:rPr>
      </w:pPr>
    </w:p>
    <w:p w14:paraId="3655926A" w14:textId="51D16F95" w:rsidR="00D2303A" w:rsidRPr="00F12FD6" w:rsidRDefault="00D2303A" w:rsidP="008D7C83">
      <w:pPr>
        <w:ind w:left="851"/>
        <w:rPr>
          <w:sz w:val="24"/>
          <w:szCs w:val="24"/>
        </w:rPr>
      </w:pPr>
      <w:r w:rsidRPr="00F12FD6">
        <w:rPr>
          <w:sz w:val="24"/>
          <w:szCs w:val="24"/>
          <w:u w:val="single"/>
        </w:rPr>
        <w:t>Startdosis</w:t>
      </w:r>
    </w:p>
    <w:p w14:paraId="0BDEB03F" w14:textId="77777777" w:rsidR="00D2303A" w:rsidRPr="00F12FD6" w:rsidRDefault="00D2303A" w:rsidP="008D7C83">
      <w:pPr>
        <w:ind w:left="851"/>
        <w:rPr>
          <w:sz w:val="24"/>
          <w:szCs w:val="24"/>
        </w:rPr>
      </w:pPr>
      <w:r w:rsidRPr="00F12FD6">
        <w:rPr>
          <w:sz w:val="24"/>
          <w:szCs w:val="24"/>
        </w:rPr>
        <w:t>Den anbefalede startdosis er 2,5 mg Ramiliv én gang dagligt.</w:t>
      </w:r>
    </w:p>
    <w:p w14:paraId="791C1C27" w14:textId="77777777" w:rsidR="00D2303A" w:rsidRPr="00F12FD6" w:rsidRDefault="00D2303A" w:rsidP="008D7C83">
      <w:pPr>
        <w:ind w:left="851"/>
        <w:rPr>
          <w:sz w:val="24"/>
          <w:szCs w:val="24"/>
        </w:rPr>
      </w:pPr>
    </w:p>
    <w:p w14:paraId="4670F802" w14:textId="77777777" w:rsidR="00D2303A" w:rsidRPr="00F12FD6" w:rsidRDefault="00D2303A" w:rsidP="008D7C83">
      <w:pPr>
        <w:ind w:left="851"/>
        <w:rPr>
          <w:sz w:val="24"/>
          <w:szCs w:val="24"/>
        </w:rPr>
      </w:pPr>
      <w:r w:rsidRPr="00F12FD6">
        <w:rPr>
          <w:sz w:val="24"/>
          <w:szCs w:val="24"/>
          <w:u w:val="single"/>
        </w:rPr>
        <w:t>Titrering og vedligeholdelsesdosis</w:t>
      </w:r>
    </w:p>
    <w:p w14:paraId="76E737AB" w14:textId="77777777" w:rsidR="00D2303A" w:rsidRPr="00F12FD6" w:rsidRDefault="00D2303A" w:rsidP="008D7C83">
      <w:pPr>
        <w:ind w:left="851"/>
        <w:rPr>
          <w:sz w:val="24"/>
          <w:szCs w:val="24"/>
        </w:rPr>
      </w:pPr>
      <w:r w:rsidRPr="00F12FD6">
        <w:rPr>
          <w:sz w:val="24"/>
          <w:szCs w:val="24"/>
        </w:rPr>
        <w:t>Dosis bør gradvist øges, afhængigt af patientens tolerance over for det aktive indholdsstof. Det anbefales at fordoble dosis efter en eller to ugers behandling og – efter yderligere to til tre uger – at forøge den op til målvedligeholdelsesdosis på 10 mg Ramiliv én gang dagligt.</w:t>
      </w:r>
    </w:p>
    <w:p w14:paraId="1F4F9E3F" w14:textId="77777777" w:rsidR="00D2303A" w:rsidRPr="00F12FD6" w:rsidRDefault="00D2303A" w:rsidP="008D7C83">
      <w:pPr>
        <w:ind w:left="851"/>
        <w:rPr>
          <w:sz w:val="24"/>
          <w:szCs w:val="24"/>
        </w:rPr>
      </w:pPr>
    </w:p>
    <w:p w14:paraId="4C76ABEE" w14:textId="77777777" w:rsidR="00D2303A" w:rsidRPr="00F12FD6" w:rsidRDefault="00D2303A" w:rsidP="008D7C83">
      <w:pPr>
        <w:ind w:left="851"/>
        <w:rPr>
          <w:sz w:val="24"/>
          <w:szCs w:val="24"/>
        </w:rPr>
      </w:pPr>
      <w:r w:rsidRPr="00F12FD6">
        <w:rPr>
          <w:sz w:val="24"/>
          <w:szCs w:val="24"/>
        </w:rPr>
        <w:t xml:space="preserve">Se også dosering til patienter i behandling med </w:t>
      </w:r>
      <w:proofErr w:type="spellStart"/>
      <w:r w:rsidRPr="00F12FD6">
        <w:rPr>
          <w:sz w:val="24"/>
          <w:szCs w:val="24"/>
        </w:rPr>
        <w:t>diuretika</w:t>
      </w:r>
      <w:proofErr w:type="spellEnd"/>
      <w:r w:rsidRPr="00F12FD6">
        <w:rPr>
          <w:sz w:val="24"/>
          <w:szCs w:val="24"/>
        </w:rPr>
        <w:t xml:space="preserve"> ovenfor.</w:t>
      </w:r>
    </w:p>
    <w:p w14:paraId="7FAEA984" w14:textId="77777777" w:rsidR="00D2303A" w:rsidRPr="00F12FD6" w:rsidRDefault="00D2303A" w:rsidP="008D7C83">
      <w:pPr>
        <w:ind w:left="851"/>
        <w:rPr>
          <w:sz w:val="24"/>
          <w:szCs w:val="24"/>
        </w:rPr>
      </w:pPr>
    </w:p>
    <w:p w14:paraId="6AAA27E8" w14:textId="77777777" w:rsidR="00D2303A" w:rsidRPr="00F12FD6" w:rsidRDefault="00D2303A" w:rsidP="008D7C83">
      <w:pPr>
        <w:ind w:left="851"/>
        <w:rPr>
          <w:sz w:val="24"/>
          <w:szCs w:val="24"/>
        </w:rPr>
      </w:pPr>
      <w:r w:rsidRPr="00F12FD6">
        <w:rPr>
          <w:i/>
          <w:iCs/>
          <w:sz w:val="24"/>
          <w:szCs w:val="24"/>
        </w:rPr>
        <w:t>Behandling af nyresygdom</w:t>
      </w:r>
    </w:p>
    <w:p w14:paraId="1CC9F255" w14:textId="77777777" w:rsidR="00D2303A" w:rsidRPr="00F12FD6" w:rsidRDefault="00D2303A" w:rsidP="008D7C83">
      <w:pPr>
        <w:ind w:left="851"/>
        <w:rPr>
          <w:sz w:val="24"/>
          <w:szCs w:val="24"/>
        </w:rPr>
      </w:pPr>
    </w:p>
    <w:p w14:paraId="0A6274CF" w14:textId="77777777" w:rsidR="00D2303A" w:rsidRPr="00F12FD6" w:rsidRDefault="00D2303A" w:rsidP="008D7C83">
      <w:pPr>
        <w:ind w:left="851"/>
        <w:rPr>
          <w:iCs/>
          <w:sz w:val="24"/>
          <w:szCs w:val="24"/>
        </w:rPr>
      </w:pPr>
      <w:r w:rsidRPr="00F12FD6">
        <w:rPr>
          <w:i/>
          <w:iCs/>
          <w:sz w:val="24"/>
          <w:szCs w:val="24"/>
          <w:u w:val="single"/>
        </w:rPr>
        <w:t xml:space="preserve">Hos patienter med diabetes og </w:t>
      </w:r>
      <w:proofErr w:type="spellStart"/>
      <w:r w:rsidRPr="00F12FD6">
        <w:rPr>
          <w:i/>
          <w:iCs/>
          <w:sz w:val="24"/>
          <w:szCs w:val="24"/>
          <w:u w:val="single"/>
        </w:rPr>
        <w:t>mikroalbuminuri</w:t>
      </w:r>
      <w:proofErr w:type="spellEnd"/>
      <w:r w:rsidRPr="00F12FD6">
        <w:rPr>
          <w:i/>
          <w:iCs/>
          <w:sz w:val="24"/>
          <w:szCs w:val="24"/>
          <w:u w:val="single"/>
        </w:rPr>
        <w:t xml:space="preserve"> </w:t>
      </w:r>
      <w:r w:rsidRPr="00F12FD6">
        <w:rPr>
          <w:iCs/>
          <w:sz w:val="24"/>
          <w:szCs w:val="24"/>
        </w:rPr>
        <w:t>(se pkt. 4.3, 4.4, 4.5 og 5.1).</w:t>
      </w:r>
    </w:p>
    <w:p w14:paraId="7E27D913" w14:textId="77777777" w:rsidR="00D2303A" w:rsidRPr="00F12FD6" w:rsidRDefault="00D2303A" w:rsidP="008D7C83">
      <w:pPr>
        <w:ind w:left="851"/>
        <w:rPr>
          <w:sz w:val="24"/>
          <w:szCs w:val="24"/>
        </w:rPr>
      </w:pPr>
    </w:p>
    <w:p w14:paraId="59BFB0BA" w14:textId="77777777" w:rsidR="00D2303A" w:rsidRPr="00F12FD6" w:rsidRDefault="00D2303A" w:rsidP="008D7C83">
      <w:pPr>
        <w:ind w:left="851"/>
        <w:rPr>
          <w:sz w:val="24"/>
          <w:szCs w:val="24"/>
        </w:rPr>
      </w:pPr>
      <w:r w:rsidRPr="00F12FD6">
        <w:rPr>
          <w:sz w:val="24"/>
          <w:szCs w:val="24"/>
          <w:u w:val="single"/>
        </w:rPr>
        <w:t>Startdosis</w:t>
      </w:r>
    </w:p>
    <w:p w14:paraId="29EBAF1B" w14:textId="77777777" w:rsidR="00D2303A" w:rsidRPr="00F12FD6" w:rsidRDefault="00D2303A" w:rsidP="008D7C83">
      <w:pPr>
        <w:ind w:left="851"/>
        <w:rPr>
          <w:sz w:val="24"/>
          <w:szCs w:val="24"/>
        </w:rPr>
      </w:pPr>
      <w:r w:rsidRPr="00F12FD6">
        <w:rPr>
          <w:sz w:val="24"/>
          <w:szCs w:val="24"/>
        </w:rPr>
        <w:t xml:space="preserve">Den anbefalede startdosis er 1,25 mg </w:t>
      </w:r>
      <w:proofErr w:type="spellStart"/>
      <w:r w:rsidRPr="00F12FD6">
        <w:rPr>
          <w:sz w:val="24"/>
          <w:szCs w:val="24"/>
        </w:rPr>
        <w:t>ramipril</w:t>
      </w:r>
      <w:proofErr w:type="spellEnd"/>
      <w:r w:rsidRPr="00F12FD6">
        <w:rPr>
          <w:sz w:val="24"/>
          <w:szCs w:val="24"/>
        </w:rPr>
        <w:t xml:space="preserve"> én gang dagligt.</w:t>
      </w:r>
    </w:p>
    <w:p w14:paraId="51A968FD" w14:textId="77777777" w:rsidR="00D2303A" w:rsidRPr="00F12FD6" w:rsidRDefault="00D2303A" w:rsidP="008D7C83">
      <w:pPr>
        <w:ind w:left="851"/>
        <w:rPr>
          <w:sz w:val="24"/>
          <w:szCs w:val="24"/>
          <w:u w:val="single"/>
        </w:rPr>
      </w:pPr>
    </w:p>
    <w:p w14:paraId="6B2D8501" w14:textId="77777777" w:rsidR="00D2303A" w:rsidRPr="00F12FD6" w:rsidRDefault="00D2303A" w:rsidP="008D7C83">
      <w:pPr>
        <w:ind w:left="851"/>
        <w:rPr>
          <w:sz w:val="24"/>
          <w:szCs w:val="24"/>
        </w:rPr>
      </w:pPr>
      <w:r w:rsidRPr="00F12FD6">
        <w:rPr>
          <w:sz w:val="24"/>
          <w:szCs w:val="24"/>
          <w:u w:val="single"/>
        </w:rPr>
        <w:t>Titrering og vedligeholdelsesdosis</w:t>
      </w:r>
    </w:p>
    <w:p w14:paraId="4C546210" w14:textId="77777777" w:rsidR="00D2303A" w:rsidRPr="00F12FD6" w:rsidRDefault="00D2303A" w:rsidP="008D7C83">
      <w:pPr>
        <w:ind w:left="851"/>
        <w:rPr>
          <w:sz w:val="24"/>
          <w:szCs w:val="24"/>
        </w:rPr>
      </w:pPr>
      <w:r w:rsidRPr="00F12FD6">
        <w:rPr>
          <w:sz w:val="24"/>
          <w:szCs w:val="24"/>
        </w:rPr>
        <w:t>Dosis øges derefter, afhængigt af patientens tolerance over for det aktive indholdsstof. Det anbefales at fordoble den ene daglige dosis til 2,5 mg efter to uger og derefter forøge dosis til 5 mg dagligt efter endnu to uger.</w:t>
      </w:r>
    </w:p>
    <w:p w14:paraId="5C42CC76" w14:textId="77777777" w:rsidR="00D2303A" w:rsidRPr="00F12FD6" w:rsidRDefault="00D2303A" w:rsidP="008D7C83">
      <w:pPr>
        <w:ind w:left="851"/>
        <w:rPr>
          <w:sz w:val="24"/>
          <w:szCs w:val="24"/>
        </w:rPr>
      </w:pPr>
    </w:p>
    <w:p w14:paraId="09AAC41B" w14:textId="77777777" w:rsidR="00D2303A" w:rsidRPr="00F12FD6" w:rsidRDefault="00D2303A" w:rsidP="008D7C83">
      <w:pPr>
        <w:ind w:left="851"/>
        <w:rPr>
          <w:iCs/>
          <w:spacing w:val="-4"/>
          <w:sz w:val="24"/>
          <w:szCs w:val="24"/>
        </w:rPr>
      </w:pPr>
      <w:r w:rsidRPr="00F12FD6">
        <w:rPr>
          <w:i/>
          <w:iCs/>
          <w:sz w:val="24"/>
          <w:szCs w:val="24"/>
          <w:u w:val="single"/>
        </w:rPr>
        <w:t xml:space="preserve">Hos patienter med diabetes og med mindst én </w:t>
      </w:r>
      <w:proofErr w:type="spellStart"/>
      <w:r w:rsidRPr="00F12FD6">
        <w:rPr>
          <w:i/>
          <w:iCs/>
          <w:sz w:val="24"/>
          <w:szCs w:val="24"/>
          <w:u w:val="single"/>
        </w:rPr>
        <w:t>kardiovaskulær</w:t>
      </w:r>
      <w:proofErr w:type="spellEnd"/>
      <w:r w:rsidRPr="00F12FD6">
        <w:rPr>
          <w:i/>
          <w:iCs/>
          <w:sz w:val="24"/>
          <w:szCs w:val="24"/>
          <w:u w:val="single"/>
        </w:rPr>
        <w:t xml:space="preserve"> risikofaktor</w:t>
      </w:r>
      <w:r w:rsidRPr="00F12FD6">
        <w:rPr>
          <w:iCs/>
          <w:sz w:val="24"/>
          <w:szCs w:val="24"/>
        </w:rPr>
        <w:t xml:space="preserve"> (se pkt. 4.3, 4.4, 4.5 og 5.1).</w:t>
      </w:r>
    </w:p>
    <w:p w14:paraId="7731EF3C" w14:textId="77777777" w:rsidR="00D2303A" w:rsidRPr="00F12FD6" w:rsidRDefault="00D2303A" w:rsidP="008D7C83">
      <w:pPr>
        <w:ind w:left="851"/>
        <w:rPr>
          <w:spacing w:val="-4"/>
          <w:sz w:val="24"/>
          <w:szCs w:val="24"/>
        </w:rPr>
      </w:pPr>
    </w:p>
    <w:p w14:paraId="51B3D02D" w14:textId="77777777" w:rsidR="00D2303A" w:rsidRPr="00F12FD6" w:rsidRDefault="00D2303A" w:rsidP="008D7C83">
      <w:pPr>
        <w:ind w:left="851"/>
        <w:rPr>
          <w:sz w:val="24"/>
          <w:szCs w:val="24"/>
        </w:rPr>
      </w:pPr>
      <w:r w:rsidRPr="00F12FD6">
        <w:rPr>
          <w:sz w:val="24"/>
          <w:szCs w:val="24"/>
          <w:u w:val="single"/>
        </w:rPr>
        <w:t>Startdosis</w:t>
      </w:r>
    </w:p>
    <w:p w14:paraId="7A462017" w14:textId="77777777" w:rsidR="00D2303A" w:rsidRPr="00F12FD6" w:rsidRDefault="00D2303A" w:rsidP="008D7C83">
      <w:pPr>
        <w:ind w:left="851"/>
        <w:rPr>
          <w:sz w:val="24"/>
          <w:szCs w:val="24"/>
        </w:rPr>
      </w:pPr>
      <w:r w:rsidRPr="00F12FD6">
        <w:rPr>
          <w:sz w:val="24"/>
          <w:szCs w:val="24"/>
        </w:rPr>
        <w:t>Den anbefalede startdosis er 2,5 mg Ramiliv én gang dagligt.</w:t>
      </w:r>
    </w:p>
    <w:p w14:paraId="6F4A1913" w14:textId="77777777" w:rsidR="00D2303A" w:rsidRPr="00F12FD6" w:rsidRDefault="00D2303A" w:rsidP="008D7C83">
      <w:pPr>
        <w:ind w:left="851"/>
        <w:rPr>
          <w:sz w:val="24"/>
          <w:szCs w:val="24"/>
        </w:rPr>
      </w:pPr>
    </w:p>
    <w:p w14:paraId="08B0DE86" w14:textId="77777777" w:rsidR="00D2303A" w:rsidRPr="00F12FD6" w:rsidRDefault="00D2303A" w:rsidP="008D7C83">
      <w:pPr>
        <w:ind w:left="851"/>
        <w:rPr>
          <w:sz w:val="24"/>
          <w:szCs w:val="24"/>
        </w:rPr>
      </w:pPr>
      <w:r w:rsidRPr="00F12FD6">
        <w:rPr>
          <w:sz w:val="24"/>
          <w:szCs w:val="24"/>
          <w:u w:val="single"/>
        </w:rPr>
        <w:lastRenderedPageBreak/>
        <w:t>Titrering og vedligeholdelsesdosis</w:t>
      </w:r>
    </w:p>
    <w:p w14:paraId="04556E76" w14:textId="77777777" w:rsidR="00D2303A" w:rsidRPr="00F12FD6" w:rsidRDefault="00D2303A" w:rsidP="008D7C83">
      <w:pPr>
        <w:ind w:left="851"/>
        <w:rPr>
          <w:sz w:val="24"/>
          <w:szCs w:val="24"/>
        </w:rPr>
      </w:pPr>
      <w:r w:rsidRPr="00F12FD6">
        <w:rPr>
          <w:sz w:val="24"/>
          <w:szCs w:val="24"/>
        </w:rPr>
        <w:t>Dosis øges derefter, afhængigt af patientens tolerance over for det aktive indholdsstof. Det anbefales at fordoble den daglige dosis til 5 mg Ramiliv efter en eller to uger og derefter forøge dosis til 10 mg Ramiliv efter endnu to eller tre uger. Den daglige måldosis er 10 mg.</w:t>
      </w:r>
    </w:p>
    <w:p w14:paraId="5C7B45AF" w14:textId="77777777" w:rsidR="00D2303A" w:rsidRPr="00F12FD6" w:rsidRDefault="00D2303A" w:rsidP="008D7C83">
      <w:pPr>
        <w:ind w:left="851"/>
        <w:rPr>
          <w:sz w:val="24"/>
          <w:szCs w:val="24"/>
        </w:rPr>
      </w:pPr>
    </w:p>
    <w:p w14:paraId="002D39D9" w14:textId="77777777" w:rsidR="00D2303A" w:rsidRPr="00F12FD6" w:rsidRDefault="00D2303A" w:rsidP="008D7C83">
      <w:pPr>
        <w:ind w:left="851"/>
        <w:rPr>
          <w:i/>
          <w:iCs/>
          <w:sz w:val="24"/>
          <w:szCs w:val="24"/>
          <w:u w:val="single"/>
        </w:rPr>
      </w:pPr>
      <w:r w:rsidRPr="00F12FD6">
        <w:rPr>
          <w:i/>
          <w:iCs/>
          <w:sz w:val="24"/>
          <w:szCs w:val="24"/>
          <w:u w:val="single"/>
        </w:rPr>
        <w:t xml:space="preserve">Hos patienter med nondiabetisk </w:t>
      </w:r>
      <w:proofErr w:type="spellStart"/>
      <w:r w:rsidRPr="00F12FD6">
        <w:rPr>
          <w:i/>
          <w:iCs/>
          <w:sz w:val="24"/>
          <w:szCs w:val="24"/>
          <w:u w:val="single"/>
        </w:rPr>
        <w:t>nefropati</w:t>
      </w:r>
      <w:proofErr w:type="spellEnd"/>
      <w:r w:rsidRPr="00F12FD6">
        <w:rPr>
          <w:i/>
          <w:iCs/>
          <w:sz w:val="24"/>
          <w:szCs w:val="24"/>
          <w:u w:val="single"/>
        </w:rPr>
        <w:t xml:space="preserve"> defineret ved </w:t>
      </w:r>
      <w:proofErr w:type="spellStart"/>
      <w:r w:rsidRPr="00F12FD6">
        <w:rPr>
          <w:i/>
          <w:iCs/>
          <w:sz w:val="24"/>
          <w:szCs w:val="24"/>
          <w:u w:val="single"/>
        </w:rPr>
        <w:t>makroproteinuri</w:t>
      </w:r>
      <w:proofErr w:type="spellEnd"/>
      <w:r w:rsidRPr="00F12FD6">
        <w:rPr>
          <w:i/>
          <w:iCs/>
          <w:sz w:val="24"/>
          <w:szCs w:val="24"/>
          <w:u w:val="single"/>
        </w:rPr>
        <w:t xml:space="preserve"> ≥3 g/dag.</w:t>
      </w:r>
    </w:p>
    <w:p w14:paraId="6210E331" w14:textId="77777777" w:rsidR="00D2303A" w:rsidRPr="00F12FD6" w:rsidRDefault="00D2303A" w:rsidP="008D7C83">
      <w:pPr>
        <w:ind w:left="851"/>
        <w:rPr>
          <w:sz w:val="24"/>
          <w:szCs w:val="24"/>
        </w:rPr>
      </w:pPr>
    </w:p>
    <w:p w14:paraId="3CE8B2D5" w14:textId="77777777" w:rsidR="00D2303A" w:rsidRPr="00F12FD6" w:rsidRDefault="00D2303A" w:rsidP="008D7C83">
      <w:pPr>
        <w:ind w:left="851"/>
        <w:rPr>
          <w:sz w:val="24"/>
          <w:szCs w:val="24"/>
        </w:rPr>
      </w:pPr>
      <w:r w:rsidRPr="00F12FD6">
        <w:rPr>
          <w:sz w:val="24"/>
          <w:szCs w:val="24"/>
          <w:u w:val="single"/>
        </w:rPr>
        <w:t>Startdosis</w:t>
      </w:r>
    </w:p>
    <w:p w14:paraId="46216A0C" w14:textId="77777777" w:rsidR="00D2303A" w:rsidRPr="00F12FD6" w:rsidRDefault="00D2303A" w:rsidP="008D7C83">
      <w:pPr>
        <w:ind w:left="851"/>
        <w:rPr>
          <w:sz w:val="24"/>
          <w:szCs w:val="24"/>
        </w:rPr>
      </w:pPr>
      <w:r w:rsidRPr="00F12FD6">
        <w:rPr>
          <w:sz w:val="24"/>
          <w:szCs w:val="24"/>
        </w:rPr>
        <w:t xml:space="preserve">Den anbefalede startdosis er 1,25 mg </w:t>
      </w:r>
      <w:proofErr w:type="spellStart"/>
      <w:r w:rsidRPr="00F12FD6">
        <w:rPr>
          <w:sz w:val="24"/>
          <w:szCs w:val="24"/>
        </w:rPr>
        <w:t>ramipril</w:t>
      </w:r>
      <w:proofErr w:type="spellEnd"/>
      <w:r w:rsidRPr="00F12FD6">
        <w:rPr>
          <w:sz w:val="24"/>
          <w:szCs w:val="24"/>
        </w:rPr>
        <w:t xml:space="preserve"> én gang dagligt.</w:t>
      </w:r>
    </w:p>
    <w:p w14:paraId="0AEE31F1" w14:textId="77777777" w:rsidR="00D2303A" w:rsidRPr="00F12FD6" w:rsidRDefault="00D2303A" w:rsidP="008D7C83">
      <w:pPr>
        <w:ind w:left="851"/>
        <w:rPr>
          <w:sz w:val="24"/>
          <w:szCs w:val="24"/>
        </w:rPr>
      </w:pPr>
    </w:p>
    <w:p w14:paraId="6EFEAD62" w14:textId="77777777" w:rsidR="00D2303A" w:rsidRPr="00F12FD6" w:rsidRDefault="00D2303A" w:rsidP="008D7C83">
      <w:pPr>
        <w:ind w:left="851"/>
        <w:rPr>
          <w:sz w:val="24"/>
          <w:szCs w:val="24"/>
        </w:rPr>
      </w:pPr>
      <w:r w:rsidRPr="00F12FD6">
        <w:rPr>
          <w:sz w:val="24"/>
          <w:szCs w:val="24"/>
          <w:u w:val="single"/>
        </w:rPr>
        <w:t>Titrering og vedligeholdelsesdosis</w:t>
      </w:r>
    </w:p>
    <w:p w14:paraId="3B4E89B4" w14:textId="77777777" w:rsidR="00D2303A" w:rsidRPr="00F12FD6" w:rsidRDefault="00D2303A" w:rsidP="008D7C83">
      <w:pPr>
        <w:ind w:left="851"/>
        <w:rPr>
          <w:sz w:val="24"/>
          <w:szCs w:val="24"/>
        </w:rPr>
      </w:pPr>
      <w:r w:rsidRPr="00F12FD6">
        <w:rPr>
          <w:sz w:val="24"/>
          <w:szCs w:val="24"/>
        </w:rPr>
        <w:t>Dosis øges derefter, afhængigt af patientens tolerance over for det aktive indholdsstof. Det anbefales at fordoble den ene daglige dosis til 2,5 mg efter to uger og forøge dosis til 5 mg dagligt efter endnu to uger.</w:t>
      </w:r>
    </w:p>
    <w:p w14:paraId="4F059708" w14:textId="77777777" w:rsidR="00D2303A" w:rsidRPr="00F12FD6" w:rsidRDefault="00D2303A" w:rsidP="008D7C83">
      <w:pPr>
        <w:ind w:left="851"/>
        <w:rPr>
          <w:sz w:val="24"/>
          <w:szCs w:val="24"/>
        </w:rPr>
      </w:pPr>
    </w:p>
    <w:p w14:paraId="247FE32D" w14:textId="77777777" w:rsidR="00D2303A" w:rsidRPr="00F12FD6" w:rsidRDefault="00D2303A" w:rsidP="008D7C83">
      <w:pPr>
        <w:ind w:left="851"/>
        <w:rPr>
          <w:i/>
          <w:iCs/>
          <w:sz w:val="24"/>
          <w:szCs w:val="24"/>
        </w:rPr>
      </w:pPr>
      <w:r w:rsidRPr="00F12FD6">
        <w:rPr>
          <w:i/>
          <w:iCs/>
          <w:sz w:val="24"/>
          <w:szCs w:val="24"/>
        </w:rPr>
        <w:t>Symptomgivende hjerteinsufficiens</w:t>
      </w:r>
    </w:p>
    <w:p w14:paraId="593B03F2" w14:textId="77777777" w:rsidR="00D2303A" w:rsidRPr="00F12FD6" w:rsidRDefault="00D2303A" w:rsidP="008D7C83">
      <w:pPr>
        <w:ind w:left="851"/>
        <w:rPr>
          <w:sz w:val="24"/>
          <w:szCs w:val="24"/>
        </w:rPr>
      </w:pPr>
    </w:p>
    <w:p w14:paraId="48134982" w14:textId="77777777" w:rsidR="00D2303A" w:rsidRPr="00F12FD6" w:rsidRDefault="00D2303A" w:rsidP="008D7C83">
      <w:pPr>
        <w:ind w:left="851"/>
        <w:rPr>
          <w:sz w:val="24"/>
          <w:szCs w:val="24"/>
        </w:rPr>
      </w:pPr>
      <w:r w:rsidRPr="00F12FD6">
        <w:rPr>
          <w:sz w:val="24"/>
          <w:szCs w:val="24"/>
          <w:u w:val="single"/>
        </w:rPr>
        <w:t>Startdosis</w:t>
      </w:r>
    </w:p>
    <w:p w14:paraId="26F7DDF7" w14:textId="77777777" w:rsidR="00D2303A" w:rsidRPr="00F12FD6" w:rsidRDefault="00D2303A" w:rsidP="008D7C83">
      <w:pPr>
        <w:ind w:left="851"/>
        <w:rPr>
          <w:sz w:val="24"/>
          <w:szCs w:val="24"/>
        </w:rPr>
      </w:pPr>
      <w:r w:rsidRPr="00F12FD6">
        <w:rPr>
          <w:sz w:val="24"/>
          <w:szCs w:val="24"/>
        </w:rPr>
        <w:t>Den anbefalede startdosis hos patienter i stabiliseret diuretisk behandling er 1,25 mg dagligt.</w:t>
      </w:r>
    </w:p>
    <w:p w14:paraId="0E0B0920" w14:textId="77777777" w:rsidR="00D2303A" w:rsidRPr="00F12FD6" w:rsidRDefault="00D2303A" w:rsidP="008D7C83">
      <w:pPr>
        <w:ind w:left="851"/>
        <w:rPr>
          <w:sz w:val="24"/>
          <w:szCs w:val="24"/>
        </w:rPr>
      </w:pPr>
    </w:p>
    <w:p w14:paraId="5869D389" w14:textId="77777777" w:rsidR="00D2303A" w:rsidRPr="00F12FD6" w:rsidRDefault="00D2303A" w:rsidP="008D7C83">
      <w:pPr>
        <w:ind w:left="851"/>
        <w:rPr>
          <w:sz w:val="24"/>
          <w:szCs w:val="24"/>
        </w:rPr>
      </w:pPr>
      <w:r w:rsidRPr="00F12FD6">
        <w:rPr>
          <w:sz w:val="24"/>
          <w:szCs w:val="24"/>
          <w:u w:val="single"/>
        </w:rPr>
        <w:t>Titrering og vedligeholdelsesdosis</w:t>
      </w:r>
    </w:p>
    <w:p w14:paraId="6EE51079" w14:textId="77777777" w:rsidR="00D2303A" w:rsidRPr="00F12FD6" w:rsidRDefault="00D2303A" w:rsidP="008D7C83">
      <w:pPr>
        <w:ind w:left="851"/>
        <w:rPr>
          <w:sz w:val="24"/>
          <w:szCs w:val="24"/>
        </w:rPr>
      </w:pPr>
      <w:r w:rsidRPr="00F12FD6">
        <w:rPr>
          <w:sz w:val="24"/>
          <w:szCs w:val="24"/>
        </w:rPr>
        <w:t>Ramiliv bør titreres ved at fordoble dosis hver en til to uger op til en maksimal dosis på 10 mg. To daglige administrationer er at foretrække.</w:t>
      </w:r>
    </w:p>
    <w:p w14:paraId="64B5ECC3" w14:textId="77777777" w:rsidR="00D2303A" w:rsidRPr="00F12FD6" w:rsidRDefault="00D2303A" w:rsidP="008D7C83">
      <w:pPr>
        <w:ind w:left="851"/>
        <w:rPr>
          <w:sz w:val="24"/>
          <w:szCs w:val="24"/>
        </w:rPr>
      </w:pPr>
    </w:p>
    <w:p w14:paraId="3248E9F4" w14:textId="5C52840B" w:rsidR="00D2303A" w:rsidRPr="00F12FD6" w:rsidRDefault="00D2303A" w:rsidP="008D7C83">
      <w:pPr>
        <w:ind w:left="851"/>
        <w:rPr>
          <w:i/>
          <w:iCs/>
          <w:sz w:val="24"/>
          <w:szCs w:val="24"/>
        </w:rPr>
      </w:pPr>
      <w:r w:rsidRPr="00F12FD6">
        <w:rPr>
          <w:i/>
          <w:iCs/>
          <w:sz w:val="24"/>
          <w:szCs w:val="24"/>
        </w:rPr>
        <w:t>Sekundær forebyggels</w:t>
      </w:r>
      <w:r w:rsidR="005A7D31">
        <w:rPr>
          <w:i/>
          <w:iCs/>
          <w:sz w:val="24"/>
          <w:szCs w:val="24"/>
        </w:rPr>
        <w:t>e</w:t>
      </w:r>
      <w:r w:rsidRPr="00F12FD6">
        <w:rPr>
          <w:i/>
          <w:iCs/>
          <w:sz w:val="24"/>
          <w:szCs w:val="24"/>
        </w:rPr>
        <w:t xml:space="preserve"> efter akut myokardieinfarkt og ved hjerteinsufficiens</w:t>
      </w:r>
    </w:p>
    <w:p w14:paraId="32440BCF" w14:textId="77777777" w:rsidR="00D2303A" w:rsidRPr="00F12FD6" w:rsidRDefault="00D2303A" w:rsidP="008D7C83">
      <w:pPr>
        <w:ind w:left="851"/>
        <w:rPr>
          <w:sz w:val="24"/>
          <w:szCs w:val="24"/>
        </w:rPr>
      </w:pPr>
    </w:p>
    <w:p w14:paraId="7785D9B0" w14:textId="77777777" w:rsidR="00D2303A" w:rsidRPr="00F12FD6" w:rsidRDefault="00D2303A" w:rsidP="008D7C83">
      <w:pPr>
        <w:ind w:left="851"/>
        <w:rPr>
          <w:sz w:val="24"/>
          <w:szCs w:val="24"/>
        </w:rPr>
      </w:pPr>
      <w:r w:rsidRPr="00F12FD6">
        <w:rPr>
          <w:sz w:val="24"/>
          <w:szCs w:val="24"/>
          <w:u w:val="single"/>
        </w:rPr>
        <w:t>Startdosis</w:t>
      </w:r>
    </w:p>
    <w:p w14:paraId="64FD3ECE" w14:textId="77777777" w:rsidR="00D2303A" w:rsidRPr="00F12FD6" w:rsidRDefault="00D2303A" w:rsidP="008D7C83">
      <w:pPr>
        <w:ind w:left="851"/>
        <w:rPr>
          <w:sz w:val="24"/>
          <w:szCs w:val="24"/>
        </w:rPr>
      </w:pPr>
      <w:r w:rsidRPr="00F12FD6">
        <w:rPr>
          <w:sz w:val="24"/>
          <w:szCs w:val="24"/>
        </w:rPr>
        <w:t xml:space="preserve">Efter 48 timer efter myokardieinfarkt hos en klinisk og </w:t>
      </w:r>
      <w:proofErr w:type="spellStart"/>
      <w:r w:rsidRPr="00F12FD6">
        <w:rPr>
          <w:sz w:val="24"/>
          <w:szCs w:val="24"/>
        </w:rPr>
        <w:t>hæmodynamisk</w:t>
      </w:r>
      <w:proofErr w:type="spellEnd"/>
      <w:r w:rsidRPr="00F12FD6">
        <w:rPr>
          <w:sz w:val="24"/>
          <w:szCs w:val="24"/>
        </w:rPr>
        <w:t xml:space="preserve"> stabil patient, er startdosis 2,5 mg to gange dagligt i tre dage. Hvis startdosis på 2,5 mg ikke tolereres, bør der gives 1,25 mg to gange dagligt i to dage, før dosis øges til 2,5 mg og 5 mg to gange dagligt. Hvis dosis ikke kan øges til 2,5 mg to gange dagligt, bør behandlingen seponeres.</w:t>
      </w:r>
    </w:p>
    <w:p w14:paraId="625F4711" w14:textId="77777777" w:rsidR="00D2303A" w:rsidRPr="00F12FD6" w:rsidRDefault="00D2303A" w:rsidP="008D7C83">
      <w:pPr>
        <w:ind w:left="851"/>
        <w:rPr>
          <w:sz w:val="24"/>
          <w:szCs w:val="24"/>
        </w:rPr>
      </w:pPr>
    </w:p>
    <w:p w14:paraId="7C363608" w14:textId="77777777" w:rsidR="00D2303A" w:rsidRPr="00F12FD6" w:rsidRDefault="00D2303A" w:rsidP="008D7C83">
      <w:pPr>
        <w:ind w:left="851"/>
        <w:rPr>
          <w:sz w:val="24"/>
          <w:szCs w:val="24"/>
        </w:rPr>
      </w:pPr>
      <w:r w:rsidRPr="00F12FD6">
        <w:rPr>
          <w:sz w:val="24"/>
          <w:szCs w:val="24"/>
        </w:rPr>
        <w:t xml:space="preserve">Se også dosering til patienter i behandling med </w:t>
      </w:r>
      <w:proofErr w:type="spellStart"/>
      <w:r w:rsidRPr="00F12FD6">
        <w:rPr>
          <w:sz w:val="24"/>
          <w:szCs w:val="24"/>
        </w:rPr>
        <w:t>diuretika</w:t>
      </w:r>
      <w:proofErr w:type="spellEnd"/>
      <w:r w:rsidRPr="00F12FD6">
        <w:rPr>
          <w:sz w:val="24"/>
          <w:szCs w:val="24"/>
        </w:rPr>
        <w:t xml:space="preserve"> ovenfor. </w:t>
      </w:r>
    </w:p>
    <w:p w14:paraId="46C3CF76" w14:textId="77777777" w:rsidR="00D2303A" w:rsidRPr="00F12FD6" w:rsidRDefault="00D2303A" w:rsidP="008D7C83">
      <w:pPr>
        <w:ind w:left="851"/>
        <w:rPr>
          <w:sz w:val="24"/>
          <w:szCs w:val="24"/>
        </w:rPr>
      </w:pPr>
    </w:p>
    <w:p w14:paraId="60FAB3C3" w14:textId="77777777" w:rsidR="00D2303A" w:rsidRPr="00F12FD6" w:rsidRDefault="00D2303A" w:rsidP="008D7C83">
      <w:pPr>
        <w:ind w:left="851"/>
        <w:rPr>
          <w:sz w:val="24"/>
          <w:szCs w:val="24"/>
        </w:rPr>
      </w:pPr>
      <w:r w:rsidRPr="00F12FD6">
        <w:rPr>
          <w:sz w:val="24"/>
          <w:szCs w:val="24"/>
          <w:u w:val="single"/>
        </w:rPr>
        <w:t>Titrering og vedligeholdelsesdosis</w:t>
      </w:r>
    </w:p>
    <w:p w14:paraId="0CCF2E23" w14:textId="7CB8672A" w:rsidR="00D2303A" w:rsidRPr="00F12FD6" w:rsidRDefault="00D2303A" w:rsidP="008D7C83">
      <w:pPr>
        <w:ind w:left="851"/>
        <w:rPr>
          <w:sz w:val="24"/>
          <w:szCs w:val="24"/>
        </w:rPr>
      </w:pPr>
      <w:r w:rsidRPr="00F12FD6">
        <w:rPr>
          <w:sz w:val="24"/>
          <w:szCs w:val="24"/>
        </w:rPr>
        <w:t>Den daglige dosis fordobles derefter i intervaller på en til tre dage op til den ønskede vedligeholdelsesdosis på 5 mg to gange daglig</w:t>
      </w:r>
      <w:r w:rsidR="00E01000">
        <w:rPr>
          <w:sz w:val="24"/>
          <w:szCs w:val="24"/>
        </w:rPr>
        <w:t>t</w:t>
      </w:r>
      <w:r w:rsidRPr="00F12FD6">
        <w:rPr>
          <w:sz w:val="24"/>
          <w:szCs w:val="24"/>
        </w:rPr>
        <w:t>.</w:t>
      </w:r>
      <w:r w:rsidR="00E01000">
        <w:rPr>
          <w:sz w:val="24"/>
          <w:szCs w:val="24"/>
        </w:rPr>
        <w:t xml:space="preserve"> </w:t>
      </w:r>
      <w:r w:rsidRPr="00F12FD6">
        <w:rPr>
          <w:sz w:val="24"/>
          <w:szCs w:val="24"/>
        </w:rPr>
        <w:t>Vedligeholdelsesdosis opdeles i 2 daglige doser, hvor det er muligt.</w:t>
      </w:r>
    </w:p>
    <w:p w14:paraId="0329B695" w14:textId="77777777" w:rsidR="00D2303A" w:rsidRPr="00F12FD6" w:rsidRDefault="00D2303A" w:rsidP="008D7C83">
      <w:pPr>
        <w:ind w:left="851"/>
        <w:rPr>
          <w:sz w:val="24"/>
          <w:szCs w:val="24"/>
        </w:rPr>
      </w:pPr>
      <w:r w:rsidRPr="00F12FD6">
        <w:rPr>
          <w:sz w:val="24"/>
          <w:szCs w:val="24"/>
        </w:rPr>
        <w:t>Hvis dosis ikke kan øges til 2,5 mg to gange dagligt, bør behandlingen seponeres. Der er stadig utilstrækkelig erfaring med behandlingen af patienter med alvorlig (NYHA IV) hjerteinsufficiens umiddelbart efter myokardieinfarkt. Hvis det besluttes at behandle disse patienter, anbefales det at starte behandlingen med 1,25 mg én gang dagligt samt udvise særlig forsigtighed ved enhver dosisforøgelse.</w:t>
      </w:r>
    </w:p>
    <w:p w14:paraId="724E18A4" w14:textId="495AA60D" w:rsidR="00E01000" w:rsidRDefault="00E01000">
      <w:pPr>
        <w:rPr>
          <w:sz w:val="24"/>
          <w:szCs w:val="24"/>
        </w:rPr>
      </w:pPr>
      <w:r>
        <w:rPr>
          <w:sz w:val="24"/>
          <w:szCs w:val="24"/>
        </w:rPr>
        <w:br w:type="page"/>
      </w:r>
    </w:p>
    <w:p w14:paraId="35A11ADD" w14:textId="77777777" w:rsidR="00D2303A" w:rsidRPr="00F12FD6" w:rsidRDefault="00D2303A" w:rsidP="008D7C83">
      <w:pPr>
        <w:ind w:left="851"/>
        <w:rPr>
          <w:sz w:val="24"/>
          <w:szCs w:val="24"/>
        </w:rPr>
      </w:pPr>
    </w:p>
    <w:p w14:paraId="3914335B" w14:textId="77777777" w:rsidR="00D2303A" w:rsidRPr="00F12FD6" w:rsidRDefault="00D2303A" w:rsidP="008D7C83">
      <w:pPr>
        <w:ind w:left="851"/>
        <w:rPr>
          <w:sz w:val="24"/>
          <w:szCs w:val="24"/>
          <w:u w:val="single"/>
        </w:rPr>
      </w:pPr>
      <w:r w:rsidRPr="00F12FD6">
        <w:rPr>
          <w:i/>
          <w:iCs/>
          <w:sz w:val="24"/>
          <w:szCs w:val="24"/>
          <w:u w:val="single"/>
        </w:rPr>
        <w:t>Særlige populationer</w:t>
      </w:r>
    </w:p>
    <w:p w14:paraId="57030A7D" w14:textId="77777777" w:rsidR="00D2303A" w:rsidRPr="00F12FD6" w:rsidRDefault="00D2303A" w:rsidP="008D7C83">
      <w:pPr>
        <w:ind w:left="851"/>
        <w:rPr>
          <w:sz w:val="24"/>
          <w:szCs w:val="24"/>
        </w:rPr>
      </w:pPr>
    </w:p>
    <w:p w14:paraId="2AB654D9" w14:textId="77777777" w:rsidR="00D2303A" w:rsidRPr="00F12FD6" w:rsidRDefault="00D2303A" w:rsidP="008D7C83">
      <w:pPr>
        <w:ind w:left="851"/>
        <w:rPr>
          <w:iCs/>
          <w:sz w:val="24"/>
          <w:szCs w:val="24"/>
        </w:rPr>
      </w:pPr>
      <w:r w:rsidRPr="00F12FD6">
        <w:rPr>
          <w:i/>
          <w:iCs/>
          <w:sz w:val="24"/>
          <w:szCs w:val="24"/>
        </w:rPr>
        <w:t>Patienter med nedsat nyrefunktion</w:t>
      </w:r>
      <w:r w:rsidRPr="00F12FD6">
        <w:rPr>
          <w:iCs/>
          <w:sz w:val="24"/>
          <w:szCs w:val="24"/>
        </w:rPr>
        <w:t xml:space="preserve"> (se pkt. 4.3, 4.4, 4.5 og 5.1).</w:t>
      </w:r>
    </w:p>
    <w:p w14:paraId="2FE1D0D7" w14:textId="77777777" w:rsidR="00D2303A" w:rsidRPr="00F12FD6" w:rsidRDefault="00D2303A" w:rsidP="008D7C83">
      <w:pPr>
        <w:ind w:left="851"/>
        <w:rPr>
          <w:sz w:val="24"/>
          <w:szCs w:val="24"/>
        </w:rPr>
      </w:pPr>
    </w:p>
    <w:p w14:paraId="051590F1" w14:textId="77777777" w:rsidR="00D2303A" w:rsidRPr="00F12FD6" w:rsidRDefault="00D2303A" w:rsidP="008D7C83">
      <w:pPr>
        <w:ind w:left="851"/>
        <w:rPr>
          <w:sz w:val="24"/>
          <w:szCs w:val="24"/>
        </w:rPr>
      </w:pPr>
      <w:r w:rsidRPr="00F12FD6">
        <w:rPr>
          <w:sz w:val="24"/>
          <w:szCs w:val="24"/>
        </w:rPr>
        <w:t xml:space="preserve">Den daglige dosis hos patienter med nedsat nyrefunktion skal baseres på </w:t>
      </w:r>
      <w:proofErr w:type="spellStart"/>
      <w:r w:rsidRPr="00F12FD6">
        <w:rPr>
          <w:sz w:val="24"/>
          <w:szCs w:val="24"/>
        </w:rPr>
        <w:t>kreatininclearance</w:t>
      </w:r>
      <w:proofErr w:type="spellEnd"/>
      <w:r w:rsidRPr="00F12FD6">
        <w:rPr>
          <w:sz w:val="24"/>
          <w:szCs w:val="24"/>
        </w:rPr>
        <w:t xml:space="preserve"> (se pkt. 5.2):</w:t>
      </w:r>
    </w:p>
    <w:p w14:paraId="27660FF2" w14:textId="77777777" w:rsidR="00D2303A" w:rsidRPr="005A7D31" w:rsidRDefault="00D2303A" w:rsidP="005A7D31">
      <w:pPr>
        <w:pStyle w:val="Listeafsnit"/>
        <w:numPr>
          <w:ilvl w:val="0"/>
          <w:numId w:val="15"/>
        </w:numPr>
        <w:ind w:left="1276" w:hanging="425"/>
        <w:rPr>
          <w:sz w:val="24"/>
          <w:szCs w:val="24"/>
        </w:rPr>
      </w:pPr>
      <w:r w:rsidRPr="005A7D31">
        <w:rPr>
          <w:sz w:val="24"/>
          <w:szCs w:val="24"/>
        </w:rPr>
        <w:t xml:space="preserve">Hvis </w:t>
      </w:r>
      <w:proofErr w:type="spellStart"/>
      <w:r w:rsidRPr="005A7D31">
        <w:rPr>
          <w:sz w:val="24"/>
          <w:szCs w:val="24"/>
        </w:rPr>
        <w:t>kreatininclearance</w:t>
      </w:r>
      <w:proofErr w:type="spellEnd"/>
      <w:r w:rsidRPr="005A7D31">
        <w:rPr>
          <w:sz w:val="24"/>
          <w:szCs w:val="24"/>
        </w:rPr>
        <w:t xml:space="preserve"> er ≥60 ml/min, er det ikke nødvendigt at justere startdosis (2,5 mg/dag). Den maksimale daglige dosis er 10 mg.</w:t>
      </w:r>
    </w:p>
    <w:p w14:paraId="117E78B4" w14:textId="77777777" w:rsidR="00D2303A" w:rsidRPr="005A7D31" w:rsidRDefault="00D2303A" w:rsidP="005A7D31">
      <w:pPr>
        <w:pStyle w:val="Listeafsnit"/>
        <w:numPr>
          <w:ilvl w:val="0"/>
          <w:numId w:val="15"/>
        </w:numPr>
        <w:ind w:left="1276" w:hanging="425"/>
        <w:rPr>
          <w:sz w:val="24"/>
          <w:szCs w:val="24"/>
        </w:rPr>
      </w:pPr>
      <w:r w:rsidRPr="005A7D31">
        <w:rPr>
          <w:sz w:val="24"/>
          <w:szCs w:val="24"/>
        </w:rPr>
        <w:t xml:space="preserve">Hvis </w:t>
      </w:r>
      <w:proofErr w:type="spellStart"/>
      <w:r w:rsidRPr="005A7D31">
        <w:rPr>
          <w:sz w:val="24"/>
          <w:szCs w:val="24"/>
        </w:rPr>
        <w:t>kreatininclearance</w:t>
      </w:r>
      <w:proofErr w:type="spellEnd"/>
      <w:r w:rsidRPr="005A7D31">
        <w:rPr>
          <w:sz w:val="24"/>
          <w:szCs w:val="24"/>
        </w:rPr>
        <w:t xml:space="preserve"> er mellem 30-60 ml/min, er det ikke nødvendigt at justere startdosis (2,5 mg/dag). Den maksimale daglige dosis er 5 mg.</w:t>
      </w:r>
    </w:p>
    <w:p w14:paraId="3BE9574D" w14:textId="77777777" w:rsidR="00D2303A" w:rsidRPr="005A7D31" w:rsidRDefault="00D2303A" w:rsidP="005A7D31">
      <w:pPr>
        <w:pStyle w:val="Listeafsnit"/>
        <w:numPr>
          <w:ilvl w:val="0"/>
          <w:numId w:val="15"/>
        </w:numPr>
        <w:ind w:left="1276" w:hanging="425"/>
        <w:rPr>
          <w:sz w:val="24"/>
          <w:szCs w:val="24"/>
        </w:rPr>
      </w:pPr>
      <w:r w:rsidRPr="005A7D31">
        <w:rPr>
          <w:sz w:val="24"/>
          <w:szCs w:val="24"/>
        </w:rPr>
        <w:t xml:space="preserve">Hvis </w:t>
      </w:r>
      <w:proofErr w:type="spellStart"/>
      <w:r w:rsidRPr="005A7D31">
        <w:rPr>
          <w:sz w:val="24"/>
          <w:szCs w:val="24"/>
        </w:rPr>
        <w:t>kreatininclearance</w:t>
      </w:r>
      <w:proofErr w:type="spellEnd"/>
      <w:r w:rsidRPr="005A7D31">
        <w:rPr>
          <w:sz w:val="24"/>
          <w:szCs w:val="24"/>
        </w:rPr>
        <w:t xml:space="preserve"> er mellem 10-30 ml/min, er startdosis 1,25 mg/dag og den maksimale daglige dosis 5 mg.</w:t>
      </w:r>
    </w:p>
    <w:p w14:paraId="01C6EA83" w14:textId="77777777" w:rsidR="00D2303A" w:rsidRPr="005A7D31" w:rsidRDefault="00D2303A" w:rsidP="005A7D31">
      <w:pPr>
        <w:pStyle w:val="Listeafsnit"/>
        <w:numPr>
          <w:ilvl w:val="0"/>
          <w:numId w:val="15"/>
        </w:numPr>
        <w:ind w:left="1276" w:hanging="425"/>
        <w:rPr>
          <w:sz w:val="24"/>
          <w:szCs w:val="24"/>
        </w:rPr>
      </w:pPr>
      <w:r w:rsidRPr="005A7D31">
        <w:rPr>
          <w:sz w:val="24"/>
          <w:szCs w:val="24"/>
        </w:rPr>
        <w:t xml:space="preserve">Hos hæmodialyserede </w:t>
      </w:r>
      <w:proofErr w:type="spellStart"/>
      <w:r w:rsidRPr="005A7D31">
        <w:rPr>
          <w:sz w:val="24"/>
          <w:szCs w:val="24"/>
        </w:rPr>
        <w:t>hypertensive</w:t>
      </w:r>
      <w:proofErr w:type="spellEnd"/>
      <w:r w:rsidRPr="005A7D31">
        <w:rPr>
          <w:sz w:val="24"/>
          <w:szCs w:val="24"/>
        </w:rPr>
        <w:t xml:space="preserve"> patienter: </w:t>
      </w:r>
      <w:proofErr w:type="spellStart"/>
      <w:r w:rsidRPr="005A7D31">
        <w:rPr>
          <w:sz w:val="24"/>
          <w:szCs w:val="24"/>
        </w:rPr>
        <w:t>Ramipril</w:t>
      </w:r>
      <w:proofErr w:type="spellEnd"/>
      <w:r w:rsidRPr="005A7D31">
        <w:rPr>
          <w:sz w:val="24"/>
          <w:szCs w:val="24"/>
        </w:rPr>
        <w:t xml:space="preserve"> er svagt </w:t>
      </w:r>
      <w:proofErr w:type="spellStart"/>
      <w:r w:rsidRPr="005A7D31">
        <w:rPr>
          <w:sz w:val="24"/>
          <w:szCs w:val="24"/>
        </w:rPr>
        <w:t>dialysérbart</w:t>
      </w:r>
      <w:proofErr w:type="spellEnd"/>
      <w:r w:rsidRPr="005A7D31">
        <w:rPr>
          <w:sz w:val="24"/>
          <w:szCs w:val="24"/>
        </w:rPr>
        <w:t>. Startdosis er 1,25 mg dagligt, og den maksimale dosis er 5 mg. Lægemidlet bør administreres få timer efter udført hæmodialyse.</w:t>
      </w:r>
    </w:p>
    <w:p w14:paraId="471F4648" w14:textId="77777777" w:rsidR="00D2303A" w:rsidRPr="00F12FD6" w:rsidRDefault="00D2303A" w:rsidP="005A7D31">
      <w:pPr>
        <w:ind w:left="1276" w:hanging="425"/>
        <w:rPr>
          <w:sz w:val="24"/>
          <w:szCs w:val="24"/>
          <w:lang w:val="en-US"/>
        </w:rPr>
      </w:pPr>
    </w:p>
    <w:p w14:paraId="15D815D2" w14:textId="77777777" w:rsidR="00D2303A" w:rsidRPr="00F12FD6" w:rsidRDefault="00D2303A" w:rsidP="008D7C83">
      <w:pPr>
        <w:ind w:left="851"/>
        <w:rPr>
          <w:sz w:val="24"/>
          <w:szCs w:val="24"/>
        </w:rPr>
      </w:pPr>
      <w:r w:rsidRPr="00F12FD6">
        <w:rPr>
          <w:i/>
          <w:iCs/>
          <w:sz w:val="24"/>
          <w:szCs w:val="24"/>
        </w:rPr>
        <w:t xml:space="preserve">Patienter med nedsat leverfunktion </w:t>
      </w:r>
      <w:r w:rsidRPr="00F12FD6">
        <w:rPr>
          <w:sz w:val="24"/>
          <w:szCs w:val="24"/>
        </w:rPr>
        <w:t>(se pkt. 5.2)</w:t>
      </w:r>
    </w:p>
    <w:p w14:paraId="1DC9E5B8" w14:textId="77777777" w:rsidR="00D2303A" w:rsidRPr="00F12FD6" w:rsidRDefault="00D2303A" w:rsidP="008D7C83">
      <w:pPr>
        <w:ind w:left="851"/>
        <w:rPr>
          <w:sz w:val="24"/>
          <w:szCs w:val="24"/>
        </w:rPr>
      </w:pPr>
      <w:r w:rsidRPr="00F12FD6">
        <w:rPr>
          <w:sz w:val="24"/>
          <w:szCs w:val="24"/>
        </w:rPr>
        <w:t>Hos patienter med nedsat leverfunktion må behandling med Ramiliv kun indledes under tæt medicinsk overvågning. Den maksimale daglige dosis er 2,5 mg Ramiliv.</w:t>
      </w:r>
    </w:p>
    <w:p w14:paraId="657E81CF" w14:textId="77777777" w:rsidR="00D2303A" w:rsidRPr="00F12FD6" w:rsidRDefault="00D2303A" w:rsidP="008D7C83">
      <w:pPr>
        <w:ind w:left="851"/>
        <w:rPr>
          <w:sz w:val="24"/>
          <w:szCs w:val="24"/>
        </w:rPr>
      </w:pPr>
    </w:p>
    <w:p w14:paraId="4146C45B" w14:textId="77777777" w:rsidR="00D2303A" w:rsidRPr="00F12FD6" w:rsidRDefault="00D2303A" w:rsidP="008D7C83">
      <w:pPr>
        <w:ind w:left="851"/>
        <w:rPr>
          <w:sz w:val="24"/>
          <w:szCs w:val="24"/>
        </w:rPr>
      </w:pPr>
      <w:r w:rsidRPr="00F12FD6">
        <w:rPr>
          <w:i/>
          <w:iCs/>
          <w:sz w:val="24"/>
          <w:szCs w:val="24"/>
        </w:rPr>
        <w:t>Ældre</w:t>
      </w:r>
    </w:p>
    <w:p w14:paraId="52E7AEF3" w14:textId="77777777" w:rsidR="00D2303A" w:rsidRPr="00F12FD6" w:rsidRDefault="00D2303A" w:rsidP="008D7C83">
      <w:pPr>
        <w:ind w:left="851"/>
        <w:rPr>
          <w:sz w:val="24"/>
          <w:szCs w:val="24"/>
        </w:rPr>
      </w:pPr>
      <w:r w:rsidRPr="00F12FD6">
        <w:rPr>
          <w:sz w:val="24"/>
          <w:szCs w:val="24"/>
        </w:rPr>
        <w:t xml:space="preserve">Startdosis skal være lavere, og efterfølgende dosistitrering skal ske mere gradvist, grundet den større risiko for bivirkninger, særligt hos meget gamle og skrøbelige patienter. En reduceret startdosis på 1,25 mg </w:t>
      </w:r>
      <w:proofErr w:type="spellStart"/>
      <w:r w:rsidRPr="00F12FD6">
        <w:rPr>
          <w:sz w:val="24"/>
          <w:szCs w:val="24"/>
        </w:rPr>
        <w:t>ramipril</w:t>
      </w:r>
      <w:proofErr w:type="spellEnd"/>
      <w:r w:rsidRPr="00F12FD6">
        <w:rPr>
          <w:sz w:val="24"/>
          <w:szCs w:val="24"/>
        </w:rPr>
        <w:t xml:space="preserve"> skal overvejes.</w:t>
      </w:r>
    </w:p>
    <w:p w14:paraId="1D2F7C97" w14:textId="77777777" w:rsidR="00D2303A" w:rsidRPr="00F12FD6" w:rsidRDefault="00D2303A" w:rsidP="008D7C83">
      <w:pPr>
        <w:ind w:left="851"/>
        <w:rPr>
          <w:sz w:val="24"/>
          <w:szCs w:val="24"/>
        </w:rPr>
      </w:pPr>
    </w:p>
    <w:p w14:paraId="41CB7E4E" w14:textId="77777777" w:rsidR="00D2303A" w:rsidRPr="00F12FD6" w:rsidRDefault="00D2303A" w:rsidP="008D7C83">
      <w:pPr>
        <w:ind w:left="851"/>
        <w:rPr>
          <w:i/>
          <w:sz w:val="24"/>
          <w:szCs w:val="24"/>
        </w:rPr>
      </w:pPr>
      <w:r w:rsidRPr="00F12FD6">
        <w:rPr>
          <w:i/>
          <w:sz w:val="24"/>
          <w:szCs w:val="24"/>
        </w:rPr>
        <w:t>Pædiatrisk population</w:t>
      </w:r>
    </w:p>
    <w:p w14:paraId="3BD2F460" w14:textId="77777777" w:rsidR="005A7D31" w:rsidRDefault="00D2303A" w:rsidP="008D7C83">
      <w:pPr>
        <w:ind w:left="851"/>
        <w:rPr>
          <w:sz w:val="24"/>
          <w:szCs w:val="24"/>
        </w:rPr>
      </w:pPr>
      <w:proofErr w:type="spellStart"/>
      <w:r w:rsidRPr="00F12FD6">
        <w:rPr>
          <w:sz w:val="24"/>
          <w:szCs w:val="24"/>
        </w:rPr>
        <w:t>Ramiprils</w:t>
      </w:r>
      <w:proofErr w:type="spellEnd"/>
      <w:r w:rsidRPr="00F12FD6">
        <w:rPr>
          <w:sz w:val="24"/>
          <w:szCs w:val="24"/>
        </w:rPr>
        <w:t xml:space="preserve"> sikkerhed og virkning hos børn er endnu ikke klarlagt. Nuværende tilgængelige data for Ramiliv er beskrevet i pkt. 4.8, 5.1, 5.2 og 5.3, men der kan ikke gives nogle specifikke anbefalinger for dosering</w:t>
      </w:r>
      <w:r w:rsidR="005A7D31">
        <w:rPr>
          <w:sz w:val="24"/>
          <w:szCs w:val="24"/>
        </w:rPr>
        <w:t>.</w:t>
      </w:r>
    </w:p>
    <w:p w14:paraId="3E5C44F3" w14:textId="77777777" w:rsidR="005A7D31" w:rsidRDefault="005A7D31" w:rsidP="008D7C83">
      <w:pPr>
        <w:ind w:left="851"/>
        <w:rPr>
          <w:sz w:val="24"/>
          <w:szCs w:val="24"/>
          <w:u w:val="single"/>
        </w:rPr>
      </w:pPr>
    </w:p>
    <w:p w14:paraId="0BB4D65F" w14:textId="26F5CA3D" w:rsidR="00D2303A" w:rsidRPr="00F12FD6" w:rsidRDefault="00D2303A" w:rsidP="008D7C83">
      <w:pPr>
        <w:ind w:left="851"/>
        <w:rPr>
          <w:sz w:val="24"/>
          <w:szCs w:val="24"/>
          <w:u w:val="single"/>
        </w:rPr>
      </w:pPr>
      <w:r w:rsidRPr="00F12FD6">
        <w:rPr>
          <w:sz w:val="24"/>
          <w:szCs w:val="24"/>
          <w:u w:val="single"/>
        </w:rPr>
        <w:t>Administration</w:t>
      </w:r>
    </w:p>
    <w:p w14:paraId="3390AAB1" w14:textId="77777777" w:rsidR="00D2303A" w:rsidRPr="00F12FD6" w:rsidRDefault="00D2303A" w:rsidP="008D7C83">
      <w:pPr>
        <w:ind w:left="851"/>
        <w:rPr>
          <w:sz w:val="24"/>
          <w:szCs w:val="24"/>
        </w:rPr>
      </w:pPr>
      <w:r w:rsidRPr="00F12FD6">
        <w:rPr>
          <w:sz w:val="24"/>
          <w:szCs w:val="24"/>
        </w:rPr>
        <w:t>Oral administration.</w:t>
      </w:r>
    </w:p>
    <w:p w14:paraId="4C24B67E" w14:textId="77777777" w:rsidR="009260DE" w:rsidRPr="00F12FD6" w:rsidRDefault="009260DE" w:rsidP="009260DE">
      <w:pPr>
        <w:tabs>
          <w:tab w:val="left" w:pos="851"/>
        </w:tabs>
        <w:ind w:left="851"/>
        <w:rPr>
          <w:sz w:val="24"/>
          <w:szCs w:val="24"/>
        </w:rPr>
      </w:pPr>
    </w:p>
    <w:p w14:paraId="3779E2D4" w14:textId="77777777" w:rsidR="009260DE" w:rsidRPr="00F12FD6" w:rsidRDefault="009260DE" w:rsidP="009260DE">
      <w:pPr>
        <w:tabs>
          <w:tab w:val="left" w:pos="851"/>
        </w:tabs>
        <w:ind w:left="851" w:hanging="851"/>
        <w:rPr>
          <w:b/>
          <w:sz w:val="24"/>
          <w:szCs w:val="24"/>
        </w:rPr>
      </w:pPr>
      <w:r w:rsidRPr="00F12FD6">
        <w:rPr>
          <w:b/>
          <w:sz w:val="24"/>
          <w:szCs w:val="24"/>
        </w:rPr>
        <w:t>4.3</w:t>
      </w:r>
      <w:r w:rsidRPr="00F12FD6">
        <w:rPr>
          <w:b/>
          <w:sz w:val="24"/>
          <w:szCs w:val="24"/>
        </w:rPr>
        <w:tab/>
        <w:t>Kontraindikationer</w:t>
      </w:r>
    </w:p>
    <w:p w14:paraId="0FC22CA8" w14:textId="77777777" w:rsidR="00D2303A" w:rsidRPr="005D5B8E" w:rsidRDefault="00D2303A" w:rsidP="005D5B8E">
      <w:pPr>
        <w:pStyle w:val="Listeafsnit"/>
        <w:numPr>
          <w:ilvl w:val="0"/>
          <w:numId w:val="16"/>
        </w:numPr>
        <w:ind w:left="1276" w:hanging="425"/>
        <w:rPr>
          <w:sz w:val="24"/>
          <w:szCs w:val="24"/>
          <w:lang w:eastAsia="ro-RO"/>
        </w:rPr>
      </w:pPr>
      <w:r w:rsidRPr="005D5B8E">
        <w:rPr>
          <w:sz w:val="24"/>
          <w:szCs w:val="24"/>
        </w:rPr>
        <w:t>Overfølsomhed over for det aktive stof eller over for et eller flere af hjælpestofferne anført i pkt. 6.1 eller andre ACE-</w:t>
      </w:r>
      <w:proofErr w:type="spellStart"/>
      <w:r w:rsidRPr="005D5B8E">
        <w:rPr>
          <w:sz w:val="24"/>
          <w:szCs w:val="24"/>
        </w:rPr>
        <w:t>hæmmere</w:t>
      </w:r>
      <w:proofErr w:type="spellEnd"/>
      <w:r w:rsidRPr="005D5B8E">
        <w:rPr>
          <w:sz w:val="24"/>
          <w:szCs w:val="24"/>
        </w:rPr>
        <w:t xml:space="preserve"> (</w:t>
      </w:r>
      <w:proofErr w:type="spellStart"/>
      <w:r w:rsidRPr="005D5B8E">
        <w:rPr>
          <w:sz w:val="24"/>
          <w:szCs w:val="24"/>
        </w:rPr>
        <w:t>Angiotensin</w:t>
      </w:r>
      <w:proofErr w:type="spellEnd"/>
      <w:r w:rsidRPr="005D5B8E">
        <w:rPr>
          <w:sz w:val="24"/>
          <w:szCs w:val="24"/>
        </w:rPr>
        <w:t xml:space="preserve"> </w:t>
      </w:r>
      <w:proofErr w:type="spellStart"/>
      <w:r w:rsidRPr="005D5B8E">
        <w:rPr>
          <w:sz w:val="24"/>
          <w:szCs w:val="24"/>
        </w:rPr>
        <w:t>Converting</w:t>
      </w:r>
      <w:proofErr w:type="spellEnd"/>
      <w:r w:rsidRPr="005D5B8E">
        <w:rPr>
          <w:sz w:val="24"/>
          <w:szCs w:val="24"/>
        </w:rPr>
        <w:t xml:space="preserve"> </w:t>
      </w:r>
      <w:proofErr w:type="spellStart"/>
      <w:r w:rsidRPr="005D5B8E">
        <w:rPr>
          <w:sz w:val="24"/>
          <w:szCs w:val="24"/>
        </w:rPr>
        <w:t>Enzyme</w:t>
      </w:r>
      <w:proofErr w:type="spellEnd"/>
      <w:r w:rsidRPr="005D5B8E">
        <w:rPr>
          <w:sz w:val="24"/>
          <w:szCs w:val="24"/>
        </w:rPr>
        <w:t>).</w:t>
      </w:r>
    </w:p>
    <w:p w14:paraId="2737F47C" w14:textId="77777777" w:rsidR="00D2303A" w:rsidRPr="005D5B8E" w:rsidRDefault="00D2303A" w:rsidP="005D5B8E">
      <w:pPr>
        <w:pStyle w:val="Listeafsnit"/>
        <w:numPr>
          <w:ilvl w:val="0"/>
          <w:numId w:val="16"/>
        </w:numPr>
        <w:ind w:left="1276" w:hanging="425"/>
        <w:rPr>
          <w:sz w:val="24"/>
          <w:szCs w:val="24"/>
        </w:rPr>
      </w:pPr>
      <w:r w:rsidRPr="005D5B8E">
        <w:rPr>
          <w:sz w:val="24"/>
          <w:szCs w:val="24"/>
        </w:rPr>
        <w:t xml:space="preserve">Ved </w:t>
      </w:r>
      <w:proofErr w:type="spellStart"/>
      <w:r w:rsidRPr="005D5B8E">
        <w:rPr>
          <w:sz w:val="24"/>
          <w:szCs w:val="24"/>
        </w:rPr>
        <w:t>angioødem</w:t>
      </w:r>
      <w:proofErr w:type="spellEnd"/>
      <w:r w:rsidRPr="005D5B8E">
        <w:rPr>
          <w:sz w:val="24"/>
          <w:szCs w:val="24"/>
        </w:rPr>
        <w:t xml:space="preserve"> (arveligt eller idiopatisk </w:t>
      </w:r>
      <w:proofErr w:type="spellStart"/>
      <w:r w:rsidRPr="005D5B8E">
        <w:rPr>
          <w:sz w:val="24"/>
          <w:szCs w:val="24"/>
        </w:rPr>
        <w:t>angioødem</w:t>
      </w:r>
      <w:proofErr w:type="spellEnd"/>
      <w:r w:rsidRPr="005D5B8E">
        <w:rPr>
          <w:sz w:val="24"/>
          <w:szCs w:val="24"/>
        </w:rPr>
        <w:t xml:space="preserve">, eller grundet tidligere </w:t>
      </w:r>
      <w:proofErr w:type="spellStart"/>
      <w:r w:rsidRPr="005D5B8E">
        <w:rPr>
          <w:sz w:val="24"/>
          <w:szCs w:val="24"/>
        </w:rPr>
        <w:t>angioødem</w:t>
      </w:r>
      <w:proofErr w:type="spellEnd"/>
      <w:r w:rsidRPr="005D5B8E">
        <w:rPr>
          <w:sz w:val="24"/>
          <w:szCs w:val="24"/>
        </w:rPr>
        <w:t xml:space="preserve"> med ACE-</w:t>
      </w:r>
      <w:proofErr w:type="spellStart"/>
      <w:r w:rsidRPr="005D5B8E">
        <w:rPr>
          <w:sz w:val="24"/>
          <w:szCs w:val="24"/>
        </w:rPr>
        <w:t>hæmmere</w:t>
      </w:r>
      <w:proofErr w:type="spellEnd"/>
      <w:r w:rsidRPr="005D5B8E">
        <w:rPr>
          <w:sz w:val="24"/>
          <w:szCs w:val="24"/>
        </w:rPr>
        <w:t xml:space="preserve"> eller </w:t>
      </w:r>
      <w:proofErr w:type="spellStart"/>
      <w:r w:rsidRPr="005D5B8E">
        <w:rPr>
          <w:sz w:val="24"/>
          <w:szCs w:val="24"/>
        </w:rPr>
        <w:t>AIIRA’ere</w:t>
      </w:r>
      <w:proofErr w:type="spellEnd"/>
      <w:r w:rsidRPr="005D5B8E">
        <w:rPr>
          <w:sz w:val="24"/>
          <w:szCs w:val="24"/>
        </w:rPr>
        <w:t>) i anamnesen.</w:t>
      </w:r>
    </w:p>
    <w:p w14:paraId="28AB0F84" w14:textId="77777777" w:rsidR="00D2303A" w:rsidRPr="005D5B8E" w:rsidRDefault="00D2303A" w:rsidP="005D5B8E">
      <w:pPr>
        <w:pStyle w:val="Listeafsnit"/>
        <w:numPr>
          <w:ilvl w:val="0"/>
          <w:numId w:val="16"/>
        </w:numPr>
        <w:ind w:left="1276" w:hanging="425"/>
        <w:rPr>
          <w:sz w:val="24"/>
          <w:szCs w:val="24"/>
        </w:rPr>
      </w:pPr>
      <w:r w:rsidRPr="005D5B8E">
        <w:rPr>
          <w:sz w:val="24"/>
          <w:szCs w:val="24"/>
        </w:rPr>
        <w:t xml:space="preserve">Samtidig anvendelse med </w:t>
      </w:r>
      <w:proofErr w:type="spellStart"/>
      <w:r w:rsidRPr="005D5B8E">
        <w:rPr>
          <w:sz w:val="24"/>
          <w:szCs w:val="24"/>
        </w:rPr>
        <w:t>sacubitril</w:t>
      </w:r>
      <w:proofErr w:type="spellEnd"/>
      <w:r w:rsidRPr="005D5B8E">
        <w:rPr>
          <w:sz w:val="24"/>
          <w:szCs w:val="24"/>
        </w:rPr>
        <w:t>-/</w:t>
      </w:r>
      <w:proofErr w:type="spellStart"/>
      <w:r w:rsidRPr="005D5B8E">
        <w:rPr>
          <w:sz w:val="24"/>
          <w:szCs w:val="24"/>
        </w:rPr>
        <w:t>valsartanbehandling</w:t>
      </w:r>
      <w:proofErr w:type="spellEnd"/>
      <w:r w:rsidRPr="005D5B8E">
        <w:rPr>
          <w:sz w:val="24"/>
          <w:szCs w:val="24"/>
        </w:rPr>
        <w:t xml:space="preserve"> (se pkt. 4.4 og 4.5).</w:t>
      </w:r>
    </w:p>
    <w:p w14:paraId="457F05F5" w14:textId="77777777" w:rsidR="00D2303A" w:rsidRPr="005D5B8E" w:rsidRDefault="00D2303A" w:rsidP="005D5B8E">
      <w:pPr>
        <w:pStyle w:val="Listeafsnit"/>
        <w:numPr>
          <w:ilvl w:val="0"/>
          <w:numId w:val="16"/>
        </w:numPr>
        <w:ind w:left="1276" w:hanging="425"/>
        <w:rPr>
          <w:sz w:val="24"/>
          <w:szCs w:val="24"/>
        </w:rPr>
      </w:pPr>
      <w:r w:rsidRPr="005D5B8E">
        <w:rPr>
          <w:sz w:val="24"/>
          <w:szCs w:val="24"/>
        </w:rPr>
        <w:t>Ekstrakorporal behandling, der fører til blodkontakt med negativt ladede overflader (se pkt. 4.5).</w:t>
      </w:r>
    </w:p>
    <w:p w14:paraId="35145B07" w14:textId="77777777" w:rsidR="00D2303A" w:rsidRPr="005D5B8E" w:rsidRDefault="00D2303A" w:rsidP="005D5B8E">
      <w:pPr>
        <w:pStyle w:val="Listeafsnit"/>
        <w:numPr>
          <w:ilvl w:val="0"/>
          <w:numId w:val="16"/>
        </w:numPr>
        <w:ind w:left="1276" w:hanging="425"/>
        <w:rPr>
          <w:spacing w:val="-6"/>
          <w:sz w:val="24"/>
          <w:szCs w:val="24"/>
        </w:rPr>
      </w:pPr>
      <w:r w:rsidRPr="005D5B8E">
        <w:rPr>
          <w:sz w:val="24"/>
          <w:szCs w:val="24"/>
        </w:rPr>
        <w:t xml:space="preserve">Signifikant bilateral </w:t>
      </w:r>
      <w:proofErr w:type="spellStart"/>
      <w:r w:rsidRPr="005D5B8E">
        <w:rPr>
          <w:sz w:val="24"/>
          <w:szCs w:val="24"/>
        </w:rPr>
        <w:t>renal</w:t>
      </w:r>
      <w:proofErr w:type="spellEnd"/>
      <w:r w:rsidRPr="005D5B8E">
        <w:rPr>
          <w:sz w:val="24"/>
          <w:szCs w:val="24"/>
        </w:rPr>
        <w:t xml:space="preserve"> arteriestenose eller </w:t>
      </w:r>
      <w:proofErr w:type="spellStart"/>
      <w:r w:rsidRPr="005D5B8E">
        <w:rPr>
          <w:sz w:val="24"/>
          <w:szCs w:val="24"/>
        </w:rPr>
        <w:t>renal</w:t>
      </w:r>
      <w:proofErr w:type="spellEnd"/>
      <w:r w:rsidRPr="005D5B8E">
        <w:rPr>
          <w:sz w:val="24"/>
          <w:szCs w:val="24"/>
        </w:rPr>
        <w:t xml:space="preserve"> arteriestenose i en enkelt fungerende nyre.</w:t>
      </w:r>
    </w:p>
    <w:p w14:paraId="68F4D8E8" w14:textId="77777777" w:rsidR="00D2303A" w:rsidRPr="005D5B8E" w:rsidRDefault="00D2303A" w:rsidP="005D5B8E">
      <w:pPr>
        <w:pStyle w:val="Listeafsnit"/>
        <w:numPr>
          <w:ilvl w:val="0"/>
          <w:numId w:val="16"/>
        </w:numPr>
        <w:ind w:left="1276" w:hanging="425"/>
        <w:rPr>
          <w:sz w:val="24"/>
          <w:szCs w:val="24"/>
        </w:rPr>
      </w:pPr>
      <w:r w:rsidRPr="005D5B8E">
        <w:rPr>
          <w:sz w:val="24"/>
          <w:szCs w:val="24"/>
        </w:rPr>
        <w:t>Graviditetens andet og tredje trimester (se pkt. 4.4 og 4.6).</w:t>
      </w:r>
    </w:p>
    <w:p w14:paraId="1432336C" w14:textId="77777777" w:rsidR="00D2303A" w:rsidRPr="005D5B8E" w:rsidRDefault="00D2303A" w:rsidP="005D5B8E">
      <w:pPr>
        <w:pStyle w:val="Listeafsnit"/>
        <w:numPr>
          <w:ilvl w:val="0"/>
          <w:numId w:val="16"/>
        </w:numPr>
        <w:ind w:left="1276" w:hanging="425"/>
        <w:rPr>
          <w:spacing w:val="-6"/>
          <w:sz w:val="24"/>
          <w:szCs w:val="24"/>
        </w:rPr>
      </w:pPr>
      <w:proofErr w:type="spellStart"/>
      <w:r w:rsidRPr="005D5B8E">
        <w:rPr>
          <w:sz w:val="24"/>
          <w:szCs w:val="24"/>
        </w:rPr>
        <w:t>Ramipril</w:t>
      </w:r>
      <w:proofErr w:type="spellEnd"/>
      <w:r w:rsidRPr="005D5B8E">
        <w:rPr>
          <w:sz w:val="24"/>
          <w:szCs w:val="24"/>
        </w:rPr>
        <w:t xml:space="preserve"> må ikke anvendes til </w:t>
      </w:r>
      <w:proofErr w:type="spellStart"/>
      <w:r w:rsidRPr="005D5B8E">
        <w:rPr>
          <w:sz w:val="24"/>
          <w:szCs w:val="24"/>
        </w:rPr>
        <w:t>hypotensive</w:t>
      </w:r>
      <w:proofErr w:type="spellEnd"/>
      <w:r w:rsidRPr="005D5B8E">
        <w:rPr>
          <w:sz w:val="24"/>
          <w:szCs w:val="24"/>
        </w:rPr>
        <w:t xml:space="preserve"> eller </w:t>
      </w:r>
      <w:proofErr w:type="spellStart"/>
      <w:r w:rsidRPr="005D5B8E">
        <w:rPr>
          <w:sz w:val="24"/>
          <w:szCs w:val="24"/>
        </w:rPr>
        <w:t>hæmodynamisk</w:t>
      </w:r>
      <w:proofErr w:type="spellEnd"/>
      <w:r w:rsidRPr="005D5B8E">
        <w:rPr>
          <w:sz w:val="24"/>
          <w:szCs w:val="24"/>
        </w:rPr>
        <w:t xml:space="preserve"> ustabile patienter.</w:t>
      </w:r>
    </w:p>
    <w:p w14:paraId="64EB625D" w14:textId="77777777" w:rsidR="00D2303A" w:rsidRPr="005D5B8E" w:rsidRDefault="00D2303A" w:rsidP="005D5B8E">
      <w:pPr>
        <w:pStyle w:val="Listeafsnit"/>
        <w:numPr>
          <w:ilvl w:val="0"/>
          <w:numId w:val="16"/>
        </w:numPr>
        <w:ind w:left="1276" w:hanging="425"/>
        <w:rPr>
          <w:spacing w:val="-6"/>
          <w:sz w:val="24"/>
          <w:szCs w:val="24"/>
        </w:rPr>
      </w:pPr>
      <w:r w:rsidRPr="005D5B8E">
        <w:rPr>
          <w:sz w:val="24"/>
          <w:szCs w:val="24"/>
        </w:rPr>
        <w:t xml:space="preserve">Samtidig brug af Ramiliv og lægemidler indeholdende </w:t>
      </w:r>
      <w:proofErr w:type="spellStart"/>
      <w:r w:rsidRPr="005D5B8E">
        <w:rPr>
          <w:sz w:val="24"/>
          <w:szCs w:val="24"/>
        </w:rPr>
        <w:t>aliskiren</w:t>
      </w:r>
      <w:proofErr w:type="spellEnd"/>
      <w:r w:rsidRPr="005D5B8E">
        <w:rPr>
          <w:sz w:val="24"/>
          <w:szCs w:val="24"/>
        </w:rPr>
        <w:t xml:space="preserve"> er kontraindiceret hos patienter med diabetes mellitus eller nedsat nyrefunktion (GFR &lt;60 ml/min/1,73m²) (se pkt. 4.5 og 5.1).</w:t>
      </w:r>
    </w:p>
    <w:p w14:paraId="432132B2" w14:textId="7E3676CB" w:rsidR="008E0B2A" w:rsidRDefault="008E0B2A">
      <w:pPr>
        <w:rPr>
          <w:sz w:val="24"/>
          <w:szCs w:val="24"/>
        </w:rPr>
      </w:pPr>
      <w:r>
        <w:rPr>
          <w:sz w:val="24"/>
          <w:szCs w:val="24"/>
        </w:rPr>
        <w:br w:type="page"/>
      </w:r>
    </w:p>
    <w:p w14:paraId="0A785784" w14:textId="77777777" w:rsidR="009260DE" w:rsidRPr="00F12FD6" w:rsidRDefault="009260DE" w:rsidP="009260DE">
      <w:pPr>
        <w:tabs>
          <w:tab w:val="left" w:pos="851"/>
        </w:tabs>
        <w:ind w:left="851"/>
        <w:rPr>
          <w:sz w:val="24"/>
          <w:szCs w:val="24"/>
        </w:rPr>
      </w:pPr>
    </w:p>
    <w:p w14:paraId="6BA2AC9B" w14:textId="77777777" w:rsidR="009260DE" w:rsidRPr="00F12FD6" w:rsidRDefault="009260DE" w:rsidP="009260DE">
      <w:pPr>
        <w:tabs>
          <w:tab w:val="left" w:pos="851"/>
        </w:tabs>
        <w:ind w:left="851" w:hanging="851"/>
        <w:rPr>
          <w:b/>
          <w:sz w:val="24"/>
          <w:szCs w:val="24"/>
        </w:rPr>
      </w:pPr>
      <w:r w:rsidRPr="00F12FD6">
        <w:rPr>
          <w:b/>
          <w:sz w:val="24"/>
          <w:szCs w:val="24"/>
        </w:rPr>
        <w:t>4.4</w:t>
      </w:r>
      <w:r w:rsidRPr="00F12FD6">
        <w:rPr>
          <w:b/>
          <w:sz w:val="24"/>
          <w:szCs w:val="24"/>
        </w:rPr>
        <w:tab/>
        <w:t>Særlige advarsler og forsigtighedsregler vedrørende brugen</w:t>
      </w:r>
    </w:p>
    <w:p w14:paraId="28840EFC" w14:textId="77777777" w:rsidR="005D5B8E" w:rsidRDefault="005D5B8E" w:rsidP="008D7C83">
      <w:pPr>
        <w:ind w:left="851"/>
        <w:rPr>
          <w:sz w:val="24"/>
          <w:szCs w:val="24"/>
        </w:rPr>
      </w:pPr>
    </w:p>
    <w:p w14:paraId="760A78BD" w14:textId="7C6ACE94" w:rsidR="00D2303A" w:rsidRPr="005D5B8E" w:rsidRDefault="00D2303A" w:rsidP="008D7C83">
      <w:pPr>
        <w:ind w:left="851"/>
        <w:rPr>
          <w:i/>
          <w:sz w:val="24"/>
          <w:szCs w:val="24"/>
          <w:u w:val="single"/>
          <w:lang w:eastAsia="ro-RO"/>
        </w:rPr>
      </w:pPr>
      <w:r w:rsidRPr="005D5B8E">
        <w:rPr>
          <w:i/>
          <w:sz w:val="24"/>
          <w:szCs w:val="24"/>
          <w:u w:val="single"/>
        </w:rPr>
        <w:t>Særlige populationer</w:t>
      </w:r>
    </w:p>
    <w:p w14:paraId="0AC6EB3E" w14:textId="77777777" w:rsidR="00D2303A" w:rsidRPr="00F12FD6" w:rsidRDefault="00D2303A" w:rsidP="008D7C83">
      <w:pPr>
        <w:ind w:left="851"/>
        <w:rPr>
          <w:sz w:val="24"/>
          <w:szCs w:val="24"/>
        </w:rPr>
      </w:pPr>
      <w:r w:rsidRPr="00F12FD6">
        <w:rPr>
          <w:sz w:val="24"/>
          <w:szCs w:val="24"/>
        </w:rPr>
        <w:t>Graviditet: ACE-</w:t>
      </w:r>
      <w:proofErr w:type="spellStart"/>
      <w:r w:rsidRPr="00F12FD6">
        <w:rPr>
          <w:sz w:val="24"/>
          <w:szCs w:val="24"/>
        </w:rPr>
        <w:t>hæmmere</w:t>
      </w:r>
      <w:proofErr w:type="spellEnd"/>
      <w:r w:rsidRPr="00F12FD6">
        <w:rPr>
          <w:sz w:val="24"/>
          <w:szCs w:val="24"/>
        </w:rPr>
        <w:t xml:space="preserve"> som f.eks.  </w:t>
      </w:r>
      <w:proofErr w:type="spellStart"/>
      <w:r w:rsidRPr="00F12FD6">
        <w:rPr>
          <w:sz w:val="24"/>
          <w:szCs w:val="24"/>
        </w:rPr>
        <w:t>ramipril</w:t>
      </w:r>
      <w:proofErr w:type="spellEnd"/>
      <w:r w:rsidRPr="00F12FD6">
        <w:rPr>
          <w:sz w:val="24"/>
          <w:szCs w:val="24"/>
        </w:rPr>
        <w:t xml:space="preserve"> eller </w:t>
      </w:r>
      <w:proofErr w:type="spellStart"/>
      <w:r w:rsidRPr="00F12FD6">
        <w:rPr>
          <w:sz w:val="24"/>
          <w:szCs w:val="24"/>
        </w:rPr>
        <w:t>angiotensin</w:t>
      </w:r>
      <w:proofErr w:type="spellEnd"/>
      <w:r w:rsidRPr="00F12FD6">
        <w:rPr>
          <w:sz w:val="24"/>
          <w:szCs w:val="24"/>
        </w:rPr>
        <w:t xml:space="preserve"> II receptorantagonister (AIIRA) bør ikke påbegyndes under graviditet. Patienter, der planlægger graviditet, bør skiftes til alternativ </w:t>
      </w:r>
      <w:proofErr w:type="spellStart"/>
      <w:r w:rsidRPr="00F12FD6">
        <w:rPr>
          <w:sz w:val="24"/>
          <w:szCs w:val="24"/>
        </w:rPr>
        <w:t>antihypertensiv</w:t>
      </w:r>
      <w:proofErr w:type="spellEnd"/>
      <w:r w:rsidRPr="00F12FD6">
        <w:rPr>
          <w:sz w:val="24"/>
          <w:szCs w:val="24"/>
        </w:rPr>
        <w:t xml:space="preserve"> behandling, der besidder en etableret sikkerhedsprofil for gravide, medmindre fortsat behandling med ACE-</w:t>
      </w:r>
      <w:proofErr w:type="spellStart"/>
      <w:r w:rsidRPr="00F12FD6">
        <w:rPr>
          <w:sz w:val="24"/>
          <w:szCs w:val="24"/>
        </w:rPr>
        <w:t>hæmmere</w:t>
      </w:r>
      <w:proofErr w:type="spellEnd"/>
      <w:r w:rsidRPr="00F12FD6">
        <w:rPr>
          <w:sz w:val="24"/>
          <w:szCs w:val="24"/>
        </w:rPr>
        <w:t>/</w:t>
      </w:r>
      <w:proofErr w:type="spellStart"/>
      <w:r w:rsidRPr="00F12FD6">
        <w:rPr>
          <w:sz w:val="24"/>
          <w:szCs w:val="24"/>
        </w:rPr>
        <w:t>AIIRA'er</w:t>
      </w:r>
      <w:proofErr w:type="spellEnd"/>
      <w:r w:rsidRPr="00F12FD6">
        <w:rPr>
          <w:sz w:val="24"/>
          <w:szCs w:val="24"/>
        </w:rPr>
        <w:t xml:space="preserve"> betragtes som essentiel. Ved påvisning af graviditet skal behandling med ACE-</w:t>
      </w:r>
      <w:proofErr w:type="spellStart"/>
      <w:r w:rsidRPr="00F12FD6">
        <w:rPr>
          <w:sz w:val="24"/>
          <w:szCs w:val="24"/>
        </w:rPr>
        <w:t>hæmmere</w:t>
      </w:r>
      <w:proofErr w:type="spellEnd"/>
      <w:r w:rsidRPr="00F12FD6">
        <w:rPr>
          <w:sz w:val="24"/>
          <w:szCs w:val="24"/>
        </w:rPr>
        <w:t xml:space="preserve"> og </w:t>
      </w:r>
      <w:proofErr w:type="spellStart"/>
      <w:r w:rsidRPr="00F12FD6">
        <w:rPr>
          <w:sz w:val="24"/>
          <w:szCs w:val="24"/>
        </w:rPr>
        <w:t>AIIRA'er</w:t>
      </w:r>
      <w:proofErr w:type="spellEnd"/>
      <w:r w:rsidRPr="00F12FD6">
        <w:rPr>
          <w:sz w:val="24"/>
          <w:szCs w:val="24"/>
        </w:rPr>
        <w:t xml:space="preserve"> seponeres øjeblikkeligt, og der skal opstartes en alternativ behandling, hvis det er relevant (se pkt. 4.3 og 4.6).</w:t>
      </w:r>
    </w:p>
    <w:p w14:paraId="0C3B5150" w14:textId="77777777" w:rsidR="00D2303A" w:rsidRPr="005D5B8E" w:rsidRDefault="00D2303A" w:rsidP="008D7C83">
      <w:pPr>
        <w:ind w:left="851"/>
        <w:rPr>
          <w:sz w:val="24"/>
          <w:szCs w:val="24"/>
        </w:rPr>
      </w:pPr>
    </w:p>
    <w:p w14:paraId="5AAB2ED8" w14:textId="77777777" w:rsidR="00D2303A" w:rsidRPr="005D5B8E" w:rsidRDefault="00D2303A" w:rsidP="008D7C83">
      <w:pPr>
        <w:ind w:left="851"/>
        <w:rPr>
          <w:i/>
          <w:sz w:val="24"/>
          <w:szCs w:val="24"/>
          <w:u w:val="single"/>
        </w:rPr>
      </w:pPr>
      <w:r w:rsidRPr="005D5B8E">
        <w:rPr>
          <w:i/>
          <w:sz w:val="24"/>
          <w:szCs w:val="24"/>
          <w:u w:val="single"/>
        </w:rPr>
        <w:t>Patienter med særlig risiko for hypotension</w:t>
      </w:r>
    </w:p>
    <w:p w14:paraId="74310AED" w14:textId="77777777" w:rsidR="00D2303A" w:rsidRPr="00F12FD6" w:rsidRDefault="00D2303A" w:rsidP="008D7C83">
      <w:pPr>
        <w:ind w:left="851"/>
        <w:rPr>
          <w:sz w:val="24"/>
          <w:szCs w:val="24"/>
        </w:rPr>
      </w:pPr>
    </w:p>
    <w:p w14:paraId="187D2CF9" w14:textId="3CE65043" w:rsidR="00D2303A" w:rsidRPr="005D5B8E" w:rsidRDefault="00D2303A" w:rsidP="008D7C83">
      <w:pPr>
        <w:ind w:left="851"/>
        <w:rPr>
          <w:i/>
          <w:sz w:val="24"/>
          <w:szCs w:val="24"/>
        </w:rPr>
      </w:pPr>
      <w:r w:rsidRPr="005D5B8E">
        <w:rPr>
          <w:i/>
          <w:sz w:val="24"/>
          <w:szCs w:val="24"/>
        </w:rPr>
        <w:t xml:space="preserve">Patienter med stærkt aktiveret </w:t>
      </w:r>
      <w:proofErr w:type="spellStart"/>
      <w:r w:rsidRPr="005D5B8E">
        <w:rPr>
          <w:i/>
          <w:sz w:val="24"/>
          <w:szCs w:val="24"/>
        </w:rPr>
        <w:t>renin</w:t>
      </w:r>
      <w:proofErr w:type="spellEnd"/>
      <w:r w:rsidRPr="005D5B8E">
        <w:rPr>
          <w:i/>
          <w:sz w:val="24"/>
          <w:szCs w:val="24"/>
        </w:rPr>
        <w:t>-</w:t>
      </w:r>
      <w:proofErr w:type="spellStart"/>
      <w:r w:rsidRPr="005D5B8E">
        <w:rPr>
          <w:i/>
          <w:sz w:val="24"/>
          <w:szCs w:val="24"/>
        </w:rPr>
        <w:t>angiotensin</w:t>
      </w:r>
      <w:proofErr w:type="spellEnd"/>
      <w:r w:rsidRPr="005D5B8E">
        <w:rPr>
          <w:i/>
          <w:sz w:val="24"/>
          <w:szCs w:val="24"/>
        </w:rPr>
        <w:t>-</w:t>
      </w:r>
      <w:proofErr w:type="spellStart"/>
      <w:r w:rsidRPr="005D5B8E">
        <w:rPr>
          <w:i/>
          <w:sz w:val="24"/>
          <w:szCs w:val="24"/>
        </w:rPr>
        <w:t>aldosteron</w:t>
      </w:r>
      <w:proofErr w:type="spellEnd"/>
      <w:r w:rsidRPr="005D5B8E">
        <w:rPr>
          <w:i/>
          <w:sz w:val="24"/>
          <w:szCs w:val="24"/>
        </w:rPr>
        <w:t>-system</w:t>
      </w:r>
    </w:p>
    <w:p w14:paraId="1532FE23" w14:textId="77777777" w:rsidR="00D2303A" w:rsidRPr="00F12FD6" w:rsidRDefault="00D2303A" w:rsidP="008D7C83">
      <w:pPr>
        <w:ind w:left="851"/>
        <w:rPr>
          <w:sz w:val="24"/>
          <w:szCs w:val="24"/>
        </w:rPr>
      </w:pPr>
      <w:r w:rsidRPr="00F12FD6">
        <w:rPr>
          <w:sz w:val="24"/>
          <w:szCs w:val="24"/>
        </w:rPr>
        <w:t xml:space="preserve">Patienter med stærkt aktiveret </w:t>
      </w:r>
      <w:proofErr w:type="spellStart"/>
      <w:r w:rsidRPr="00F12FD6">
        <w:rPr>
          <w:sz w:val="24"/>
          <w:szCs w:val="24"/>
        </w:rPr>
        <w:t>renin</w:t>
      </w:r>
      <w:proofErr w:type="spellEnd"/>
      <w:r w:rsidRPr="00F12FD6">
        <w:rPr>
          <w:sz w:val="24"/>
          <w:szCs w:val="24"/>
        </w:rPr>
        <w:t>-</w:t>
      </w:r>
      <w:proofErr w:type="spellStart"/>
      <w:r w:rsidRPr="00F12FD6">
        <w:rPr>
          <w:sz w:val="24"/>
          <w:szCs w:val="24"/>
        </w:rPr>
        <w:t>angiotensin</w:t>
      </w:r>
      <w:proofErr w:type="spellEnd"/>
      <w:r w:rsidRPr="00F12FD6">
        <w:rPr>
          <w:sz w:val="24"/>
          <w:szCs w:val="24"/>
        </w:rPr>
        <w:t>-</w:t>
      </w:r>
      <w:proofErr w:type="spellStart"/>
      <w:r w:rsidRPr="00F12FD6">
        <w:rPr>
          <w:sz w:val="24"/>
          <w:szCs w:val="24"/>
        </w:rPr>
        <w:t>aldosteron</w:t>
      </w:r>
      <w:proofErr w:type="spellEnd"/>
      <w:r w:rsidRPr="00F12FD6">
        <w:rPr>
          <w:sz w:val="24"/>
          <w:szCs w:val="24"/>
        </w:rPr>
        <w:t xml:space="preserve">-system har risiko for udtalt blodtryksfald og forværrelse af nyrefunktionen grundet ACE-hæmning, særligt når en ACE-hæmmer eller et samtidigt </w:t>
      </w:r>
      <w:proofErr w:type="spellStart"/>
      <w:r w:rsidRPr="00F12FD6">
        <w:rPr>
          <w:sz w:val="24"/>
          <w:szCs w:val="24"/>
        </w:rPr>
        <w:t>diuretikum</w:t>
      </w:r>
      <w:proofErr w:type="spellEnd"/>
      <w:r w:rsidRPr="00F12FD6">
        <w:rPr>
          <w:sz w:val="24"/>
          <w:szCs w:val="24"/>
        </w:rPr>
        <w:t xml:space="preserve"> gives første gang eller ved første dosisøgning.</w:t>
      </w:r>
    </w:p>
    <w:p w14:paraId="604C4899" w14:textId="77777777" w:rsidR="00D2303A" w:rsidRPr="00F12FD6" w:rsidRDefault="00D2303A" w:rsidP="008D7C83">
      <w:pPr>
        <w:ind w:left="851"/>
        <w:rPr>
          <w:sz w:val="24"/>
          <w:szCs w:val="24"/>
        </w:rPr>
      </w:pPr>
    </w:p>
    <w:p w14:paraId="698A0526" w14:textId="77777777" w:rsidR="00D2303A" w:rsidRPr="00F12FD6" w:rsidRDefault="00D2303A" w:rsidP="008D7C83">
      <w:pPr>
        <w:ind w:left="851"/>
        <w:rPr>
          <w:sz w:val="24"/>
          <w:szCs w:val="24"/>
        </w:rPr>
      </w:pPr>
      <w:r w:rsidRPr="00F12FD6">
        <w:rPr>
          <w:sz w:val="24"/>
          <w:szCs w:val="24"/>
        </w:rPr>
        <w:t xml:space="preserve">Betydelig aktivering af </w:t>
      </w:r>
      <w:proofErr w:type="spellStart"/>
      <w:r w:rsidRPr="00F12FD6">
        <w:rPr>
          <w:sz w:val="24"/>
          <w:szCs w:val="24"/>
        </w:rPr>
        <w:t>renin</w:t>
      </w:r>
      <w:proofErr w:type="spellEnd"/>
      <w:r w:rsidRPr="00F12FD6">
        <w:rPr>
          <w:sz w:val="24"/>
          <w:szCs w:val="24"/>
        </w:rPr>
        <w:t>-</w:t>
      </w:r>
      <w:proofErr w:type="spellStart"/>
      <w:r w:rsidRPr="00F12FD6">
        <w:rPr>
          <w:sz w:val="24"/>
          <w:szCs w:val="24"/>
        </w:rPr>
        <w:t>angiotenson</w:t>
      </w:r>
      <w:proofErr w:type="spellEnd"/>
      <w:r w:rsidRPr="00F12FD6">
        <w:rPr>
          <w:sz w:val="24"/>
          <w:szCs w:val="24"/>
        </w:rPr>
        <w:t>-</w:t>
      </w:r>
      <w:proofErr w:type="spellStart"/>
      <w:r w:rsidRPr="00F12FD6">
        <w:rPr>
          <w:sz w:val="24"/>
          <w:szCs w:val="24"/>
        </w:rPr>
        <w:t>aldosteron</w:t>
      </w:r>
      <w:proofErr w:type="spellEnd"/>
      <w:r w:rsidRPr="00F12FD6">
        <w:rPr>
          <w:sz w:val="24"/>
          <w:szCs w:val="24"/>
        </w:rPr>
        <w:t>-systemet er forventelig, og medicinsk overvågning, herunder blodtryksmonitorering er nødvendig, særligt hos:</w:t>
      </w:r>
    </w:p>
    <w:p w14:paraId="6EF46E66" w14:textId="77777777" w:rsidR="00D2303A" w:rsidRPr="005D5B8E" w:rsidRDefault="00D2303A" w:rsidP="005D5B8E">
      <w:pPr>
        <w:pStyle w:val="Listeafsnit"/>
        <w:numPr>
          <w:ilvl w:val="0"/>
          <w:numId w:val="17"/>
        </w:numPr>
        <w:ind w:left="1276" w:hanging="425"/>
        <w:rPr>
          <w:sz w:val="24"/>
          <w:szCs w:val="24"/>
        </w:rPr>
      </w:pPr>
      <w:r w:rsidRPr="005D5B8E">
        <w:rPr>
          <w:sz w:val="24"/>
          <w:szCs w:val="24"/>
        </w:rPr>
        <w:t>Patienter med svær hypertension.</w:t>
      </w:r>
    </w:p>
    <w:p w14:paraId="323C38F7" w14:textId="77777777" w:rsidR="00D2303A" w:rsidRPr="005D5B8E" w:rsidRDefault="00D2303A" w:rsidP="005D5B8E">
      <w:pPr>
        <w:pStyle w:val="Listeafsnit"/>
        <w:numPr>
          <w:ilvl w:val="0"/>
          <w:numId w:val="17"/>
        </w:numPr>
        <w:ind w:left="1276" w:hanging="425"/>
        <w:rPr>
          <w:sz w:val="24"/>
          <w:szCs w:val="24"/>
        </w:rPr>
      </w:pPr>
      <w:r w:rsidRPr="005D5B8E">
        <w:rPr>
          <w:sz w:val="24"/>
          <w:szCs w:val="24"/>
        </w:rPr>
        <w:t xml:space="preserve">Patienter med </w:t>
      </w:r>
      <w:proofErr w:type="spellStart"/>
      <w:r w:rsidRPr="005D5B8E">
        <w:rPr>
          <w:sz w:val="24"/>
          <w:szCs w:val="24"/>
        </w:rPr>
        <w:t>dekompenseret</w:t>
      </w:r>
      <w:proofErr w:type="spellEnd"/>
      <w:r w:rsidRPr="005D5B8E">
        <w:rPr>
          <w:sz w:val="24"/>
          <w:szCs w:val="24"/>
        </w:rPr>
        <w:t xml:space="preserve"> kongestiv hjerteinsufficiens.</w:t>
      </w:r>
    </w:p>
    <w:p w14:paraId="4B622396" w14:textId="77777777" w:rsidR="00D2303A" w:rsidRPr="005D5B8E" w:rsidRDefault="00D2303A" w:rsidP="005D5B8E">
      <w:pPr>
        <w:pStyle w:val="Listeafsnit"/>
        <w:numPr>
          <w:ilvl w:val="0"/>
          <w:numId w:val="17"/>
        </w:numPr>
        <w:ind w:left="1276" w:hanging="425"/>
        <w:rPr>
          <w:sz w:val="24"/>
          <w:szCs w:val="24"/>
        </w:rPr>
      </w:pPr>
      <w:r w:rsidRPr="005D5B8E">
        <w:rPr>
          <w:sz w:val="24"/>
          <w:szCs w:val="24"/>
        </w:rPr>
        <w:t xml:space="preserve">Patienter med </w:t>
      </w:r>
      <w:proofErr w:type="spellStart"/>
      <w:r w:rsidRPr="005D5B8E">
        <w:rPr>
          <w:sz w:val="24"/>
          <w:szCs w:val="24"/>
        </w:rPr>
        <w:t>hæmodynamisk</w:t>
      </w:r>
      <w:proofErr w:type="spellEnd"/>
      <w:r w:rsidRPr="005D5B8E">
        <w:rPr>
          <w:sz w:val="24"/>
          <w:szCs w:val="24"/>
        </w:rPr>
        <w:t xml:space="preserve"> relevant hindret </w:t>
      </w:r>
      <w:proofErr w:type="spellStart"/>
      <w:r w:rsidRPr="005D5B8E">
        <w:rPr>
          <w:sz w:val="24"/>
          <w:szCs w:val="24"/>
        </w:rPr>
        <w:t>venstreventrikulært</w:t>
      </w:r>
      <w:proofErr w:type="spellEnd"/>
      <w:r w:rsidRPr="005D5B8E">
        <w:rPr>
          <w:sz w:val="24"/>
          <w:szCs w:val="24"/>
        </w:rPr>
        <w:t xml:space="preserve"> indløb eller udløb (f.eks. ved </w:t>
      </w:r>
      <w:proofErr w:type="gramStart"/>
      <w:r w:rsidRPr="005D5B8E">
        <w:rPr>
          <w:sz w:val="24"/>
          <w:szCs w:val="24"/>
        </w:rPr>
        <w:t>stenose</w:t>
      </w:r>
      <w:proofErr w:type="gramEnd"/>
      <w:r w:rsidRPr="005D5B8E">
        <w:rPr>
          <w:sz w:val="24"/>
          <w:szCs w:val="24"/>
        </w:rPr>
        <w:t xml:space="preserve"> i aorta- eller </w:t>
      </w:r>
      <w:proofErr w:type="spellStart"/>
      <w:r w:rsidRPr="005D5B8E">
        <w:rPr>
          <w:sz w:val="24"/>
          <w:szCs w:val="24"/>
        </w:rPr>
        <w:t>mitralklap</w:t>
      </w:r>
      <w:proofErr w:type="spellEnd"/>
      <w:r w:rsidRPr="005D5B8E">
        <w:rPr>
          <w:sz w:val="24"/>
          <w:szCs w:val="24"/>
        </w:rPr>
        <w:t>).</w:t>
      </w:r>
    </w:p>
    <w:p w14:paraId="0EFC12C1" w14:textId="77777777" w:rsidR="00D2303A" w:rsidRPr="005D5B8E" w:rsidRDefault="00D2303A" w:rsidP="005D5B8E">
      <w:pPr>
        <w:pStyle w:val="Listeafsnit"/>
        <w:numPr>
          <w:ilvl w:val="0"/>
          <w:numId w:val="17"/>
        </w:numPr>
        <w:ind w:left="1276" w:hanging="425"/>
        <w:rPr>
          <w:sz w:val="24"/>
          <w:szCs w:val="24"/>
        </w:rPr>
      </w:pPr>
      <w:r w:rsidRPr="005D5B8E">
        <w:rPr>
          <w:sz w:val="24"/>
          <w:szCs w:val="24"/>
        </w:rPr>
        <w:t xml:space="preserve">Patienter med unilateral </w:t>
      </w:r>
      <w:proofErr w:type="spellStart"/>
      <w:r w:rsidRPr="005D5B8E">
        <w:rPr>
          <w:sz w:val="24"/>
          <w:szCs w:val="24"/>
        </w:rPr>
        <w:t>renal</w:t>
      </w:r>
      <w:proofErr w:type="spellEnd"/>
      <w:r w:rsidRPr="005D5B8E">
        <w:rPr>
          <w:sz w:val="24"/>
          <w:szCs w:val="24"/>
        </w:rPr>
        <w:t xml:space="preserve"> arteriestenose med en anden fungerende nyre.</w:t>
      </w:r>
    </w:p>
    <w:p w14:paraId="776820BF" w14:textId="77777777" w:rsidR="00D2303A" w:rsidRPr="005D5B8E" w:rsidRDefault="00D2303A" w:rsidP="005D5B8E">
      <w:pPr>
        <w:pStyle w:val="Listeafsnit"/>
        <w:numPr>
          <w:ilvl w:val="0"/>
          <w:numId w:val="17"/>
        </w:numPr>
        <w:ind w:left="1276" w:hanging="425"/>
        <w:rPr>
          <w:sz w:val="24"/>
          <w:szCs w:val="24"/>
        </w:rPr>
      </w:pPr>
      <w:r w:rsidRPr="005D5B8E">
        <w:rPr>
          <w:sz w:val="24"/>
          <w:szCs w:val="24"/>
        </w:rPr>
        <w:t xml:space="preserve">Patienter med væske- eller </w:t>
      </w:r>
      <w:proofErr w:type="spellStart"/>
      <w:r w:rsidRPr="005D5B8E">
        <w:rPr>
          <w:sz w:val="24"/>
          <w:szCs w:val="24"/>
        </w:rPr>
        <w:t>saltdepletering</w:t>
      </w:r>
      <w:proofErr w:type="spellEnd"/>
      <w:r w:rsidRPr="005D5B8E">
        <w:rPr>
          <w:sz w:val="24"/>
          <w:szCs w:val="24"/>
        </w:rPr>
        <w:t xml:space="preserve"> eller risiko herfor (herunder patienter, der får </w:t>
      </w:r>
      <w:proofErr w:type="spellStart"/>
      <w:r w:rsidRPr="005D5B8E">
        <w:rPr>
          <w:sz w:val="24"/>
          <w:szCs w:val="24"/>
        </w:rPr>
        <w:t>diuretika</w:t>
      </w:r>
      <w:proofErr w:type="spellEnd"/>
      <w:r w:rsidRPr="005D5B8E">
        <w:rPr>
          <w:sz w:val="24"/>
          <w:szCs w:val="24"/>
        </w:rPr>
        <w:t>).</w:t>
      </w:r>
    </w:p>
    <w:p w14:paraId="70BD26C9" w14:textId="77777777" w:rsidR="00D2303A" w:rsidRPr="005D5B8E" w:rsidRDefault="00D2303A" w:rsidP="005D5B8E">
      <w:pPr>
        <w:pStyle w:val="Listeafsnit"/>
        <w:numPr>
          <w:ilvl w:val="0"/>
          <w:numId w:val="17"/>
        </w:numPr>
        <w:ind w:left="1276" w:hanging="425"/>
        <w:rPr>
          <w:sz w:val="24"/>
          <w:szCs w:val="24"/>
        </w:rPr>
      </w:pPr>
      <w:r w:rsidRPr="005D5B8E">
        <w:rPr>
          <w:sz w:val="24"/>
          <w:szCs w:val="24"/>
        </w:rPr>
        <w:t xml:space="preserve">Patienter med </w:t>
      </w:r>
      <w:proofErr w:type="spellStart"/>
      <w:r w:rsidRPr="005D5B8E">
        <w:rPr>
          <w:sz w:val="24"/>
          <w:szCs w:val="24"/>
        </w:rPr>
        <w:t>levercirrhose</w:t>
      </w:r>
      <w:proofErr w:type="spellEnd"/>
      <w:r w:rsidRPr="005D5B8E">
        <w:rPr>
          <w:sz w:val="24"/>
          <w:szCs w:val="24"/>
        </w:rPr>
        <w:t xml:space="preserve"> og/eller </w:t>
      </w:r>
      <w:proofErr w:type="spellStart"/>
      <w:r w:rsidRPr="005D5B8E">
        <w:rPr>
          <w:sz w:val="24"/>
          <w:szCs w:val="24"/>
        </w:rPr>
        <w:t>ascites</w:t>
      </w:r>
      <w:proofErr w:type="spellEnd"/>
      <w:r w:rsidRPr="005D5B8E">
        <w:rPr>
          <w:sz w:val="24"/>
          <w:szCs w:val="24"/>
        </w:rPr>
        <w:t>.</w:t>
      </w:r>
    </w:p>
    <w:p w14:paraId="2385E056" w14:textId="77777777" w:rsidR="00D2303A" w:rsidRPr="005D5B8E" w:rsidRDefault="00D2303A" w:rsidP="005D5B8E">
      <w:pPr>
        <w:pStyle w:val="Listeafsnit"/>
        <w:numPr>
          <w:ilvl w:val="0"/>
          <w:numId w:val="17"/>
        </w:numPr>
        <w:ind w:left="1276" w:hanging="425"/>
        <w:rPr>
          <w:spacing w:val="-4"/>
          <w:sz w:val="24"/>
          <w:szCs w:val="24"/>
        </w:rPr>
      </w:pPr>
      <w:r w:rsidRPr="005D5B8E">
        <w:rPr>
          <w:sz w:val="24"/>
          <w:szCs w:val="24"/>
        </w:rPr>
        <w:t xml:space="preserve">Patienter planlagt til større operationer eller under anæstesi med stoffer der medfører hypotension. </w:t>
      </w:r>
    </w:p>
    <w:p w14:paraId="61FC0BB2" w14:textId="77777777" w:rsidR="00D2303A" w:rsidRPr="00F12FD6" w:rsidRDefault="00D2303A" w:rsidP="008D7C83">
      <w:pPr>
        <w:ind w:left="851"/>
        <w:rPr>
          <w:sz w:val="24"/>
          <w:szCs w:val="24"/>
        </w:rPr>
      </w:pPr>
    </w:p>
    <w:p w14:paraId="1D599E4F" w14:textId="77777777" w:rsidR="00D2303A" w:rsidRPr="00F12FD6" w:rsidRDefault="00D2303A" w:rsidP="008D7C83">
      <w:pPr>
        <w:ind w:left="851"/>
        <w:rPr>
          <w:sz w:val="24"/>
          <w:szCs w:val="24"/>
        </w:rPr>
      </w:pPr>
      <w:r w:rsidRPr="00F12FD6">
        <w:rPr>
          <w:sz w:val="24"/>
          <w:szCs w:val="24"/>
        </w:rPr>
        <w:t xml:space="preserve">Generelt anbefales det at korrigere dehydrering, </w:t>
      </w:r>
      <w:proofErr w:type="spellStart"/>
      <w:r w:rsidRPr="00F12FD6">
        <w:rPr>
          <w:sz w:val="24"/>
          <w:szCs w:val="24"/>
        </w:rPr>
        <w:t>hypovolæmi</w:t>
      </w:r>
      <w:proofErr w:type="spellEnd"/>
      <w:r w:rsidRPr="00F12FD6">
        <w:rPr>
          <w:sz w:val="24"/>
          <w:szCs w:val="24"/>
        </w:rPr>
        <w:t xml:space="preserve"> eller saltmangel, før behandlingen påbegyndes (dog bør sådanne korrigerende handlinger nøje opvejes mod risikoen for volumenoverbelastning hos patienter med hjerteinsufficiens).</w:t>
      </w:r>
    </w:p>
    <w:p w14:paraId="121AECBB" w14:textId="77777777" w:rsidR="00D2303A" w:rsidRPr="00F12FD6" w:rsidRDefault="00D2303A" w:rsidP="008D7C83">
      <w:pPr>
        <w:ind w:left="851"/>
        <w:rPr>
          <w:spacing w:val="-4"/>
          <w:sz w:val="24"/>
          <w:szCs w:val="24"/>
        </w:rPr>
      </w:pPr>
    </w:p>
    <w:p w14:paraId="2DF885F8" w14:textId="323A437E" w:rsidR="00D2303A" w:rsidRPr="005D5B8E" w:rsidRDefault="00D2303A" w:rsidP="008D7C83">
      <w:pPr>
        <w:ind w:left="851"/>
        <w:rPr>
          <w:i/>
          <w:spacing w:val="-4"/>
          <w:sz w:val="24"/>
          <w:szCs w:val="24"/>
        </w:rPr>
      </w:pPr>
      <w:r w:rsidRPr="005D5B8E">
        <w:rPr>
          <w:bCs/>
          <w:i/>
          <w:sz w:val="24"/>
          <w:szCs w:val="24"/>
        </w:rPr>
        <w:t xml:space="preserve">Dobbelthæmning af </w:t>
      </w:r>
      <w:proofErr w:type="spellStart"/>
      <w:r w:rsidRPr="005D5B8E">
        <w:rPr>
          <w:bCs/>
          <w:i/>
          <w:sz w:val="24"/>
          <w:szCs w:val="24"/>
        </w:rPr>
        <w:t>renin</w:t>
      </w:r>
      <w:proofErr w:type="spellEnd"/>
      <w:r w:rsidRPr="005D5B8E">
        <w:rPr>
          <w:bCs/>
          <w:i/>
          <w:sz w:val="24"/>
          <w:szCs w:val="24"/>
        </w:rPr>
        <w:t>-</w:t>
      </w:r>
      <w:proofErr w:type="spellStart"/>
      <w:r w:rsidRPr="005D5B8E">
        <w:rPr>
          <w:bCs/>
          <w:i/>
          <w:sz w:val="24"/>
          <w:szCs w:val="24"/>
        </w:rPr>
        <w:t>angiotensin</w:t>
      </w:r>
      <w:proofErr w:type="spellEnd"/>
      <w:r w:rsidRPr="005D5B8E">
        <w:rPr>
          <w:bCs/>
          <w:i/>
          <w:sz w:val="24"/>
          <w:szCs w:val="24"/>
        </w:rPr>
        <w:t>-</w:t>
      </w:r>
      <w:proofErr w:type="spellStart"/>
      <w:r w:rsidRPr="005D5B8E">
        <w:rPr>
          <w:bCs/>
          <w:i/>
          <w:sz w:val="24"/>
          <w:szCs w:val="24"/>
        </w:rPr>
        <w:t>aldosteron</w:t>
      </w:r>
      <w:proofErr w:type="spellEnd"/>
      <w:r w:rsidRPr="005D5B8E">
        <w:rPr>
          <w:bCs/>
          <w:i/>
          <w:sz w:val="24"/>
          <w:szCs w:val="24"/>
        </w:rPr>
        <w:t>-systemet (RAAS)</w:t>
      </w:r>
    </w:p>
    <w:p w14:paraId="3238523D" w14:textId="77777777" w:rsidR="00D2303A" w:rsidRPr="00F12FD6" w:rsidRDefault="00D2303A" w:rsidP="008D7C83">
      <w:pPr>
        <w:ind w:left="851"/>
        <w:rPr>
          <w:spacing w:val="-4"/>
          <w:sz w:val="24"/>
          <w:szCs w:val="24"/>
        </w:rPr>
      </w:pPr>
      <w:r w:rsidRPr="00F12FD6">
        <w:rPr>
          <w:sz w:val="24"/>
          <w:szCs w:val="24"/>
        </w:rPr>
        <w:t>Der er tegn på, at samtidig brug af ACE-</w:t>
      </w:r>
      <w:proofErr w:type="spellStart"/>
      <w:r w:rsidRPr="00F12FD6">
        <w:rPr>
          <w:sz w:val="24"/>
          <w:szCs w:val="24"/>
        </w:rPr>
        <w:t>hæmmere</w:t>
      </w:r>
      <w:proofErr w:type="spellEnd"/>
      <w:r w:rsidRPr="00F12FD6">
        <w:rPr>
          <w:sz w:val="24"/>
          <w:szCs w:val="24"/>
        </w:rPr>
        <w:t xml:space="preserve">, </w:t>
      </w:r>
      <w:proofErr w:type="spellStart"/>
      <w:r w:rsidRPr="00F12FD6">
        <w:rPr>
          <w:sz w:val="24"/>
          <w:szCs w:val="24"/>
        </w:rPr>
        <w:t>angiotensin</w:t>
      </w:r>
      <w:proofErr w:type="spellEnd"/>
      <w:r w:rsidRPr="00F12FD6">
        <w:rPr>
          <w:sz w:val="24"/>
          <w:szCs w:val="24"/>
        </w:rPr>
        <w:t xml:space="preserve"> II-receptorantagonister eller </w:t>
      </w:r>
      <w:proofErr w:type="spellStart"/>
      <w:r w:rsidRPr="00F12FD6">
        <w:rPr>
          <w:sz w:val="24"/>
          <w:szCs w:val="24"/>
        </w:rPr>
        <w:t>aliskiren</w:t>
      </w:r>
      <w:proofErr w:type="spellEnd"/>
      <w:r w:rsidRPr="00F12FD6">
        <w:rPr>
          <w:sz w:val="24"/>
          <w:szCs w:val="24"/>
        </w:rPr>
        <w:t xml:space="preserve"> øger risikoen for hypotension, </w:t>
      </w:r>
      <w:proofErr w:type="spellStart"/>
      <w:r w:rsidRPr="00F12FD6">
        <w:rPr>
          <w:sz w:val="24"/>
          <w:szCs w:val="24"/>
        </w:rPr>
        <w:t>hyperkaliæmi</w:t>
      </w:r>
      <w:proofErr w:type="spellEnd"/>
      <w:r w:rsidRPr="00F12FD6">
        <w:rPr>
          <w:sz w:val="24"/>
          <w:szCs w:val="24"/>
        </w:rPr>
        <w:t xml:space="preserve"> og nedsat nyrefunktion (herunder akut nyresvigt). Dobbelthæmning af RAAS ved kombination af ACE-</w:t>
      </w:r>
      <w:proofErr w:type="spellStart"/>
      <w:r w:rsidRPr="00F12FD6">
        <w:rPr>
          <w:sz w:val="24"/>
          <w:szCs w:val="24"/>
        </w:rPr>
        <w:t>hæmmere</w:t>
      </w:r>
      <w:proofErr w:type="spellEnd"/>
      <w:r w:rsidRPr="00F12FD6">
        <w:rPr>
          <w:sz w:val="24"/>
          <w:szCs w:val="24"/>
        </w:rPr>
        <w:t xml:space="preserve"> med </w:t>
      </w:r>
      <w:proofErr w:type="spellStart"/>
      <w:r w:rsidRPr="00F12FD6">
        <w:rPr>
          <w:sz w:val="24"/>
          <w:szCs w:val="24"/>
        </w:rPr>
        <w:t>angiotensin</w:t>
      </w:r>
      <w:proofErr w:type="spellEnd"/>
      <w:r w:rsidRPr="00F12FD6">
        <w:rPr>
          <w:sz w:val="24"/>
          <w:szCs w:val="24"/>
        </w:rPr>
        <w:t xml:space="preserve"> II-receptorantagonister eller </w:t>
      </w:r>
      <w:proofErr w:type="spellStart"/>
      <w:r w:rsidRPr="00F12FD6">
        <w:rPr>
          <w:sz w:val="24"/>
          <w:szCs w:val="24"/>
        </w:rPr>
        <w:t>aliskiren</w:t>
      </w:r>
      <w:proofErr w:type="spellEnd"/>
      <w:r w:rsidRPr="00F12FD6">
        <w:rPr>
          <w:sz w:val="24"/>
          <w:szCs w:val="24"/>
        </w:rPr>
        <w:t xml:space="preserve"> frarådes derfor (se pkt. 4.5 og 5.1).</w:t>
      </w:r>
    </w:p>
    <w:p w14:paraId="35B7AB27" w14:textId="77777777" w:rsidR="00D2303A" w:rsidRPr="00F12FD6" w:rsidRDefault="00D2303A" w:rsidP="008D7C83">
      <w:pPr>
        <w:ind w:left="851"/>
        <w:rPr>
          <w:spacing w:val="-4"/>
          <w:sz w:val="24"/>
          <w:szCs w:val="24"/>
        </w:rPr>
      </w:pPr>
      <w:r w:rsidRPr="00F12FD6">
        <w:rPr>
          <w:sz w:val="24"/>
          <w:szCs w:val="24"/>
        </w:rPr>
        <w:t xml:space="preserve">Hvis dobbelthæmmende behandling anses for absolut nødvendig, må dette kun ske under opsyn af en speciallæge og under tæt monitorering af patientens nyrefunktion, elektrolytter og blodtryk. </w:t>
      </w:r>
    </w:p>
    <w:p w14:paraId="622DCB76" w14:textId="77777777" w:rsidR="00D2303A" w:rsidRPr="00F12FD6" w:rsidRDefault="00D2303A" w:rsidP="008D7C83">
      <w:pPr>
        <w:ind w:left="851"/>
        <w:rPr>
          <w:spacing w:val="-4"/>
          <w:sz w:val="24"/>
          <w:szCs w:val="24"/>
        </w:rPr>
      </w:pPr>
      <w:r w:rsidRPr="00F12FD6">
        <w:rPr>
          <w:sz w:val="24"/>
          <w:szCs w:val="24"/>
        </w:rPr>
        <w:t>ACE-</w:t>
      </w:r>
      <w:proofErr w:type="spellStart"/>
      <w:r w:rsidRPr="00F12FD6">
        <w:rPr>
          <w:sz w:val="24"/>
          <w:szCs w:val="24"/>
        </w:rPr>
        <w:t>hæmmere</w:t>
      </w:r>
      <w:proofErr w:type="spellEnd"/>
      <w:r w:rsidRPr="00F12FD6">
        <w:rPr>
          <w:sz w:val="24"/>
          <w:szCs w:val="24"/>
        </w:rPr>
        <w:t xml:space="preserve"> og </w:t>
      </w:r>
      <w:proofErr w:type="spellStart"/>
      <w:r w:rsidRPr="00F12FD6">
        <w:rPr>
          <w:sz w:val="24"/>
          <w:szCs w:val="24"/>
        </w:rPr>
        <w:t>angiotensin</w:t>
      </w:r>
      <w:proofErr w:type="spellEnd"/>
      <w:r w:rsidRPr="00F12FD6">
        <w:rPr>
          <w:sz w:val="24"/>
          <w:szCs w:val="24"/>
        </w:rPr>
        <w:t xml:space="preserve"> II-receptorantagonister må ikke anvendes samtidig hos patienter med diabetisk </w:t>
      </w:r>
      <w:proofErr w:type="spellStart"/>
      <w:r w:rsidRPr="00F12FD6">
        <w:rPr>
          <w:sz w:val="24"/>
          <w:szCs w:val="24"/>
        </w:rPr>
        <w:t>nefropati</w:t>
      </w:r>
      <w:proofErr w:type="spellEnd"/>
      <w:r w:rsidRPr="00F12FD6">
        <w:rPr>
          <w:sz w:val="24"/>
          <w:szCs w:val="24"/>
        </w:rPr>
        <w:t xml:space="preserve">. </w:t>
      </w:r>
    </w:p>
    <w:p w14:paraId="11E354F9" w14:textId="77777777" w:rsidR="00D2303A" w:rsidRPr="00F12FD6" w:rsidRDefault="00D2303A" w:rsidP="008D7C83">
      <w:pPr>
        <w:ind w:left="851"/>
        <w:rPr>
          <w:sz w:val="24"/>
          <w:szCs w:val="24"/>
        </w:rPr>
      </w:pPr>
    </w:p>
    <w:p w14:paraId="593F8589" w14:textId="1C523AD2" w:rsidR="00D2303A" w:rsidRPr="005D5B8E" w:rsidRDefault="00D2303A" w:rsidP="008D7C83">
      <w:pPr>
        <w:ind w:left="851"/>
        <w:rPr>
          <w:i/>
          <w:sz w:val="24"/>
          <w:szCs w:val="24"/>
        </w:rPr>
      </w:pPr>
      <w:r w:rsidRPr="005D5B8E">
        <w:rPr>
          <w:i/>
          <w:sz w:val="24"/>
          <w:szCs w:val="24"/>
        </w:rPr>
        <w:t>Forbigående eller vedvarende hjerteinsufficiens post MI.</w:t>
      </w:r>
    </w:p>
    <w:p w14:paraId="74F2B1A2" w14:textId="77777777" w:rsidR="00D2303A" w:rsidRPr="005D5B8E" w:rsidRDefault="00D2303A" w:rsidP="008D7C83">
      <w:pPr>
        <w:ind w:left="851"/>
        <w:rPr>
          <w:i/>
          <w:sz w:val="24"/>
          <w:szCs w:val="24"/>
        </w:rPr>
      </w:pPr>
    </w:p>
    <w:p w14:paraId="1D957E07" w14:textId="427A6B6C" w:rsidR="00D2303A" w:rsidRPr="005D5B8E" w:rsidRDefault="00D2303A" w:rsidP="008D7C83">
      <w:pPr>
        <w:ind w:left="851"/>
        <w:rPr>
          <w:i/>
          <w:sz w:val="24"/>
          <w:szCs w:val="24"/>
        </w:rPr>
      </w:pPr>
      <w:r w:rsidRPr="005D5B8E">
        <w:rPr>
          <w:i/>
          <w:sz w:val="24"/>
          <w:szCs w:val="24"/>
        </w:rPr>
        <w:t xml:space="preserve">Patienter med risiko for </w:t>
      </w:r>
      <w:proofErr w:type="spellStart"/>
      <w:r w:rsidRPr="005D5B8E">
        <w:rPr>
          <w:i/>
          <w:sz w:val="24"/>
          <w:szCs w:val="24"/>
        </w:rPr>
        <w:t>kardiel</w:t>
      </w:r>
      <w:proofErr w:type="spellEnd"/>
      <w:r w:rsidRPr="005D5B8E">
        <w:rPr>
          <w:i/>
          <w:sz w:val="24"/>
          <w:szCs w:val="24"/>
        </w:rPr>
        <w:t xml:space="preserve"> eller cerebral iskæmi i tilfælde af akut hypotension.</w:t>
      </w:r>
    </w:p>
    <w:p w14:paraId="0B1094DC" w14:textId="2B87D8A7" w:rsidR="00D2303A" w:rsidRPr="00F12FD6" w:rsidRDefault="00D2303A" w:rsidP="008D7C83">
      <w:pPr>
        <w:ind w:left="851"/>
        <w:rPr>
          <w:sz w:val="24"/>
          <w:szCs w:val="24"/>
        </w:rPr>
      </w:pPr>
      <w:r w:rsidRPr="00F12FD6">
        <w:rPr>
          <w:sz w:val="24"/>
          <w:szCs w:val="24"/>
        </w:rPr>
        <w:t>Behandlingens opstartsfase kræver særligt medicinsk overvågning.</w:t>
      </w:r>
    </w:p>
    <w:p w14:paraId="162B65E2" w14:textId="77777777" w:rsidR="00D2303A" w:rsidRPr="00F12FD6" w:rsidRDefault="00D2303A" w:rsidP="008D7C83">
      <w:pPr>
        <w:ind w:left="851"/>
        <w:rPr>
          <w:sz w:val="24"/>
          <w:szCs w:val="24"/>
        </w:rPr>
      </w:pPr>
    </w:p>
    <w:p w14:paraId="19F05E27" w14:textId="77777777" w:rsidR="00D2303A" w:rsidRPr="005D5B8E" w:rsidRDefault="00D2303A" w:rsidP="008D7C83">
      <w:pPr>
        <w:ind w:left="851"/>
        <w:rPr>
          <w:i/>
          <w:sz w:val="24"/>
          <w:szCs w:val="24"/>
        </w:rPr>
      </w:pPr>
      <w:r w:rsidRPr="005D5B8E">
        <w:rPr>
          <w:i/>
          <w:sz w:val="24"/>
          <w:szCs w:val="24"/>
        </w:rPr>
        <w:t xml:space="preserve">Ældre </w:t>
      </w:r>
    </w:p>
    <w:p w14:paraId="2A444ED8" w14:textId="158F5A02" w:rsidR="00D2303A" w:rsidRPr="00F12FD6" w:rsidRDefault="00D2303A" w:rsidP="008D7C83">
      <w:pPr>
        <w:ind w:left="851"/>
        <w:rPr>
          <w:sz w:val="24"/>
          <w:szCs w:val="24"/>
        </w:rPr>
      </w:pPr>
      <w:r w:rsidRPr="00F12FD6">
        <w:rPr>
          <w:sz w:val="24"/>
          <w:szCs w:val="24"/>
        </w:rPr>
        <w:t>Se pkt. 4.2.</w:t>
      </w:r>
    </w:p>
    <w:p w14:paraId="1991731D" w14:textId="77777777" w:rsidR="00D2303A" w:rsidRPr="00F12FD6" w:rsidRDefault="00D2303A" w:rsidP="008D7C83">
      <w:pPr>
        <w:ind w:left="851"/>
        <w:rPr>
          <w:sz w:val="24"/>
          <w:szCs w:val="24"/>
        </w:rPr>
      </w:pPr>
    </w:p>
    <w:p w14:paraId="7BF9CD50" w14:textId="77777777" w:rsidR="00D2303A" w:rsidRPr="005D5B8E" w:rsidRDefault="00D2303A" w:rsidP="008D7C83">
      <w:pPr>
        <w:ind w:left="851"/>
        <w:rPr>
          <w:i/>
          <w:sz w:val="24"/>
          <w:szCs w:val="24"/>
          <w:u w:val="single"/>
        </w:rPr>
      </w:pPr>
      <w:r w:rsidRPr="005D5B8E">
        <w:rPr>
          <w:i/>
          <w:sz w:val="24"/>
          <w:szCs w:val="24"/>
          <w:u w:val="single"/>
        </w:rPr>
        <w:t>Kirurgiske indgreb</w:t>
      </w:r>
    </w:p>
    <w:p w14:paraId="39467597" w14:textId="77777777" w:rsidR="00D2303A" w:rsidRPr="00F12FD6" w:rsidRDefault="00D2303A" w:rsidP="008D7C83">
      <w:pPr>
        <w:ind w:left="851"/>
        <w:rPr>
          <w:sz w:val="24"/>
          <w:szCs w:val="24"/>
        </w:rPr>
      </w:pPr>
      <w:r w:rsidRPr="00F12FD6">
        <w:rPr>
          <w:sz w:val="24"/>
          <w:szCs w:val="24"/>
        </w:rPr>
        <w:t>Det anbefales at seponere behandling med ACE-</w:t>
      </w:r>
      <w:proofErr w:type="spellStart"/>
      <w:r w:rsidRPr="00F12FD6">
        <w:rPr>
          <w:sz w:val="24"/>
          <w:szCs w:val="24"/>
        </w:rPr>
        <w:t>hæmmere</w:t>
      </w:r>
      <w:proofErr w:type="spellEnd"/>
      <w:r w:rsidRPr="00F12FD6">
        <w:rPr>
          <w:sz w:val="24"/>
          <w:szCs w:val="24"/>
        </w:rPr>
        <w:t xml:space="preserve"> såsom </w:t>
      </w:r>
      <w:proofErr w:type="spellStart"/>
      <w:r w:rsidRPr="00F12FD6">
        <w:rPr>
          <w:sz w:val="24"/>
          <w:szCs w:val="24"/>
        </w:rPr>
        <w:t>ramipril</w:t>
      </w:r>
      <w:proofErr w:type="spellEnd"/>
      <w:r w:rsidRPr="00F12FD6">
        <w:rPr>
          <w:sz w:val="24"/>
          <w:szCs w:val="24"/>
        </w:rPr>
        <w:t xml:space="preserve"> seponeres, om muligt en dag før operationen.</w:t>
      </w:r>
    </w:p>
    <w:p w14:paraId="5F1A01B0" w14:textId="77777777" w:rsidR="00D2303A" w:rsidRPr="00F12FD6" w:rsidRDefault="00D2303A" w:rsidP="008D7C83">
      <w:pPr>
        <w:ind w:left="851"/>
        <w:rPr>
          <w:sz w:val="24"/>
          <w:szCs w:val="24"/>
        </w:rPr>
      </w:pPr>
    </w:p>
    <w:p w14:paraId="03BFA2FE" w14:textId="77777777" w:rsidR="00D2303A" w:rsidRPr="005D5B8E" w:rsidRDefault="00D2303A" w:rsidP="008D7C83">
      <w:pPr>
        <w:ind w:left="851"/>
        <w:rPr>
          <w:i/>
          <w:sz w:val="24"/>
          <w:szCs w:val="24"/>
          <w:u w:val="single"/>
        </w:rPr>
      </w:pPr>
      <w:r w:rsidRPr="005D5B8E">
        <w:rPr>
          <w:i/>
          <w:sz w:val="24"/>
          <w:szCs w:val="24"/>
          <w:u w:val="single"/>
        </w:rPr>
        <w:t>Monitorering af nyrefunktionen</w:t>
      </w:r>
    </w:p>
    <w:p w14:paraId="69DCACE2" w14:textId="77777777" w:rsidR="00D2303A" w:rsidRPr="00F12FD6" w:rsidRDefault="00D2303A" w:rsidP="008D7C83">
      <w:pPr>
        <w:ind w:left="851"/>
        <w:rPr>
          <w:sz w:val="24"/>
          <w:szCs w:val="24"/>
        </w:rPr>
      </w:pPr>
      <w:r w:rsidRPr="00F12FD6">
        <w:rPr>
          <w:sz w:val="24"/>
          <w:szCs w:val="24"/>
        </w:rPr>
        <w:t>Nyrefunktionen skal vurderes før og under behandlingen, og dosis skal justeres i de første uger af behandlingen. Særligt grundig monitorering er påkrævet hos patienter med nedsat nyrefunktion (se pkt. 4.2). Der er risiko for nedsat nyrefunktion, særligt hos patienter med kongestiv hjerteinsufficiens eller efter nyretransplantation.</w:t>
      </w:r>
    </w:p>
    <w:p w14:paraId="51E1464C" w14:textId="77777777" w:rsidR="00D2303A" w:rsidRPr="00F12FD6" w:rsidRDefault="00D2303A" w:rsidP="008D7C83">
      <w:pPr>
        <w:ind w:left="851"/>
        <w:rPr>
          <w:sz w:val="24"/>
          <w:szCs w:val="24"/>
        </w:rPr>
      </w:pPr>
    </w:p>
    <w:p w14:paraId="4A52B68A" w14:textId="77777777" w:rsidR="00D2303A" w:rsidRPr="005D5B8E" w:rsidRDefault="00D2303A" w:rsidP="008D7C83">
      <w:pPr>
        <w:ind w:left="851"/>
        <w:rPr>
          <w:i/>
          <w:sz w:val="24"/>
          <w:szCs w:val="24"/>
          <w:u w:val="single"/>
        </w:rPr>
      </w:pPr>
      <w:proofErr w:type="spellStart"/>
      <w:r w:rsidRPr="005D5B8E">
        <w:rPr>
          <w:i/>
          <w:sz w:val="24"/>
          <w:szCs w:val="24"/>
          <w:u w:val="single"/>
        </w:rPr>
        <w:t>Angioødem</w:t>
      </w:r>
      <w:proofErr w:type="spellEnd"/>
    </w:p>
    <w:p w14:paraId="6231994F" w14:textId="48374AC2" w:rsidR="00D2303A" w:rsidRPr="00F12FD6" w:rsidRDefault="00D2303A" w:rsidP="008D7C83">
      <w:pPr>
        <w:ind w:left="851"/>
        <w:rPr>
          <w:sz w:val="24"/>
          <w:szCs w:val="24"/>
        </w:rPr>
      </w:pPr>
      <w:proofErr w:type="spellStart"/>
      <w:r w:rsidRPr="00F12FD6">
        <w:rPr>
          <w:sz w:val="24"/>
          <w:szCs w:val="24"/>
        </w:rPr>
        <w:t>Angioødem</w:t>
      </w:r>
      <w:proofErr w:type="spellEnd"/>
      <w:r w:rsidRPr="00F12FD6">
        <w:rPr>
          <w:sz w:val="24"/>
          <w:szCs w:val="24"/>
        </w:rPr>
        <w:t xml:space="preserve"> er blevet rapporteret hos patienter i behandling med ACE-</w:t>
      </w:r>
      <w:proofErr w:type="spellStart"/>
      <w:r w:rsidRPr="00F12FD6">
        <w:rPr>
          <w:sz w:val="24"/>
          <w:szCs w:val="24"/>
        </w:rPr>
        <w:t>hæmmere</w:t>
      </w:r>
      <w:proofErr w:type="spellEnd"/>
      <w:r w:rsidRPr="00F12FD6">
        <w:rPr>
          <w:sz w:val="24"/>
          <w:szCs w:val="24"/>
        </w:rPr>
        <w:t>, inklusiv</w:t>
      </w:r>
      <w:r w:rsidR="005D5B8E">
        <w:rPr>
          <w:sz w:val="24"/>
          <w:szCs w:val="24"/>
        </w:rPr>
        <w:t>e</w:t>
      </w:r>
      <w:r w:rsidRPr="00F12FD6">
        <w:rPr>
          <w:sz w:val="24"/>
          <w:szCs w:val="24"/>
        </w:rPr>
        <w:t xml:space="preserve"> </w:t>
      </w:r>
      <w:proofErr w:type="spellStart"/>
      <w:r w:rsidRPr="00F12FD6">
        <w:rPr>
          <w:sz w:val="24"/>
          <w:szCs w:val="24"/>
        </w:rPr>
        <w:t>ramipril</w:t>
      </w:r>
      <w:proofErr w:type="spellEnd"/>
      <w:r w:rsidRPr="00F12FD6">
        <w:rPr>
          <w:sz w:val="24"/>
          <w:szCs w:val="24"/>
        </w:rPr>
        <w:t xml:space="preserve"> (se pkt. 4.8). Denne risiko for </w:t>
      </w:r>
      <w:proofErr w:type="spellStart"/>
      <w:r w:rsidRPr="00F12FD6">
        <w:rPr>
          <w:sz w:val="24"/>
          <w:szCs w:val="24"/>
        </w:rPr>
        <w:t>angioødem</w:t>
      </w:r>
      <w:proofErr w:type="spellEnd"/>
      <w:r w:rsidRPr="00F12FD6">
        <w:rPr>
          <w:sz w:val="24"/>
          <w:szCs w:val="24"/>
        </w:rPr>
        <w:t xml:space="preserve"> (f.eks. hævelse af luftveje eller tunge, med eller uden nedsat respiratorisk funktion) kan være højere hos patienter, som samtidig tager lægemidler, der kan forårsage </w:t>
      </w:r>
      <w:proofErr w:type="spellStart"/>
      <w:r w:rsidRPr="00F12FD6">
        <w:rPr>
          <w:sz w:val="24"/>
          <w:szCs w:val="24"/>
        </w:rPr>
        <w:t>angioødem</w:t>
      </w:r>
      <w:proofErr w:type="spellEnd"/>
      <w:r w:rsidRPr="00F12FD6">
        <w:rPr>
          <w:sz w:val="24"/>
          <w:szCs w:val="24"/>
        </w:rPr>
        <w:t xml:space="preserve"> såsom </w:t>
      </w:r>
      <w:proofErr w:type="spellStart"/>
      <w:r w:rsidRPr="00F12FD6">
        <w:rPr>
          <w:sz w:val="24"/>
          <w:szCs w:val="24"/>
        </w:rPr>
        <w:t>mTOR-hæmmere</w:t>
      </w:r>
      <w:proofErr w:type="spellEnd"/>
      <w:r w:rsidRPr="00F12FD6">
        <w:rPr>
          <w:sz w:val="24"/>
          <w:szCs w:val="24"/>
        </w:rPr>
        <w:t xml:space="preserve"> (</w:t>
      </w:r>
      <w:proofErr w:type="spellStart"/>
      <w:r w:rsidRPr="00F12FD6">
        <w:rPr>
          <w:sz w:val="24"/>
          <w:szCs w:val="24"/>
        </w:rPr>
        <w:t>mammalian</w:t>
      </w:r>
      <w:proofErr w:type="spellEnd"/>
      <w:r w:rsidRPr="00F12FD6">
        <w:rPr>
          <w:sz w:val="24"/>
          <w:szCs w:val="24"/>
        </w:rPr>
        <w:t xml:space="preserve"> </w:t>
      </w:r>
      <w:proofErr w:type="spellStart"/>
      <w:r w:rsidRPr="00F12FD6">
        <w:rPr>
          <w:sz w:val="24"/>
          <w:szCs w:val="24"/>
        </w:rPr>
        <w:t>target</w:t>
      </w:r>
      <w:proofErr w:type="spellEnd"/>
      <w:r w:rsidRPr="00F12FD6">
        <w:rPr>
          <w:sz w:val="24"/>
          <w:szCs w:val="24"/>
        </w:rPr>
        <w:t xml:space="preserve"> of </w:t>
      </w:r>
      <w:proofErr w:type="spellStart"/>
      <w:r w:rsidRPr="00F12FD6">
        <w:rPr>
          <w:sz w:val="24"/>
          <w:szCs w:val="24"/>
        </w:rPr>
        <w:t>rapamycin</w:t>
      </w:r>
      <w:proofErr w:type="spellEnd"/>
      <w:r w:rsidRPr="00F12FD6">
        <w:rPr>
          <w:sz w:val="24"/>
          <w:szCs w:val="24"/>
        </w:rPr>
        <w:t xml:space="preserve">) (f.eks. </w:t>
      </w:r>
      <w:proofErr w:type="spellStart"/>
      <w:r w:rsidRPr="00F12FD6">
        <w:rPr>
          <w:sz w:val="24"/>
          <w:szCs w:val="24"/>
        </w:rPr>
        <w:t>temsirolimus</w:t>
      </w:r>
      <w:proofErr w:type="spellEnd"/>
      <w:r w:rsidRPr="00F12FD6">
        <w:rPr>
          <w:sz w:val="24"/>
          <w:szCs w:val="24"/>
        </w:rPr>
        <w:t xml:space="preserve">, </w:t>
      </w:r>
      <w:proofErr w:type="spellStart"/>
      <w:r w:rsidRPr="00F12FD6">
        <w:rPr>
          <w:sz w:val="24"/>
          <w:szCs w:val="24"/>
        </w:rPr>
        <w:t>everolimus</w:t>
      </w:r>
      <w:proofErr w:type="spellEnd"/>
      <w:r w:rsidRPr="00F12FD6">
        <w:rPr>
          <w:sz w:val="24"/>
          <w:szCs w:val="24"/>
        </w:rPr>
        <w:t xml:space="preserve">, </w:t>
      </w:r>
      <w:proofErr w:type="spellStart"/>
      <w:r w:rsidRPr="00F12FD6">
        <w:rPr>
          <w:sz w:val="24"/>
          <w:szCs w:val="24"/>
        </w:rPr>
        <w:t>sirolimus</w:t>
      </w:r>
      <w:proofErr w:type="spellEnd"/>
      <w:r w:rsidRPr="00F12FD6">
        <w:rPr>
          <w:sz w:val="24"/>
          <w:szCs w:val="24"/>
        </w:rPr>
        <w:t xml:space="preserve">), </w:t>
      </w:r>
      <w:proofErr w:type="spellStart"/>
      <w:r w:rsidRPr="00F12FD6">
        <w:rPr>
          <w:sz w:val="24"/>
          <w:szCs w:val="24"/>
        </w:rPr>
        <w:t>vildagliptin</w:t>
      </w:r>
      <w:proofErr w:type="spellEnd"/>
      <w:r w:rsidRPr="00F12FD6">
        <w:rPr>
          <w:sz w:val="24"/>
          <w:szCs w:val="24"/>
        </w:rPr>
        <w:t xml:space="preserve">- eller </w:t>
      </w:r>
      <w:proofErr w:type="spellStart"/>
      <w:r w:rsidRPr="00F12FD6">
        <w:rPr>
          <w:sz w:val="24"/>
          <w:szCs w:val="24"/>
        </w:rPr>
        <w:t>neprilysin</w:t>
      </w:r>
      <w:proofErr w:type="spellEnd"/>
      <w:r w:rsidRPr="00F12FD6">
        <w:rPr>
          <w:sz w:val="24"/>
          <w:szCs w:val="24"/>
        </w:rPr>
        <w:t xml:space="preserve">- (NEP) </w:t>
      </w:r>
      <w:proofErr w:type="spellStart"/>
      <w:r w:rsidRPr="00F12FD6">
        <w:rPr>
          <w:sz w:val="24"/>
          <w:szCs w:val="24"/>
        </w:rPr>
        <w:t>hæmmere</w:t>
      </w:r>
      <w:proofErr w:type="spellEnd"/>
      <w:r w:rsidRPr="00F12FD6">
        <w:rPr>
          <w:sz w:val="24"/>
          <w:szCs w:val="24"/>
        </w:rPr>
        <w:t xml:space="preserve"> (såsom </w:t>
      </w:r>
      <w:proofErr w:type="spellStart"/>
      <w:r w:rsidRPr="00F12FD6">
        <w:rPr>
          <w:sz w:val="24"/>
          <w:szCs w:val="24"/>
        </w:rPr>
        <w:t>racecadotril</w:t>
      </w:r>
      <w:proofErr w:type="spellEnd"/>
      <w:r w:rsidRPr="00F12FD6">
        <w:rPr>
          <w:sz w:val="24"/>
          <w:szCs w:val="24"/>
        </w:rPr>
        <w:t xml:space="preserve">). Samtidig brug af </w:t>
      </w:r>
      <w:proofErr w:type="spellStart"/>
      <w:r w:rsidRPr="00F12FD6">
        <w:rPr>
          <w:sz w:val="24"/>
          <w:szCs w:val="24"/>
        </w:rPr>
        <w:t>ramipril</w:t>
      </w:r>
      <w:proofErr w:type="spellEnd"/>
      <w:r w:rsidRPr="00F12FD6">
        <w:rPr>
          <w:sz w:val="24"/>
          <w:szCs w:val="24"/>
        </w:rPr>
        <w:t xml:space="preserve"> med </w:t>
      </w:r>
      <w:proofErr w:type="spellStart"/>
      <w:r w:rsidRPr="00F12FD6">
        <w:rPr>
          <w:sz w:val="24"/>
          <w:szCs w:val="24"/>
        </w:rPr>
        <w:t>sacubitril</w:t>
      </w:r>
      <w:proofErr w:type="spellEnd"/>
      <w:r w:rsidRPr="00F12FD6">
        <w:rPr>
          <w:sz w:val="24"/>
          <w:szCs w:val="24"/>
        </w:rPr>
        <w:t>/</w:t>
      </w:r>
      <w:proofErr w:type="spellStart"/>
      <w:r w:rsidRPr="00F12FD6">
        <w:rPr>
          <w:sz w:val="24"/>
          <w:szCs w:val="24"/>
        </w:rPr>
        <w:t>valsartan</w:t>
      </w:r>
      <w:proofErr w:type="spellEnd"/>
      <w:r w:rsidRPr="00F12FD6">
        <w:rPr>
          <w:sz w:val="24"/>
          <w:szCs w:val="24"/>
        </w:rPr>
        <w:t xml:space="preserve"> er kontraindiceret grundet den øgede risiko for </w:t>
      </w:r>
      <w:proofErr w:type="spellStart"/>
      <w:r w:rsidRPr="00F12FD6">
        <w:rPr>
          <w:sz w:val="24"/>
          <w:szCs w:val="24"/>
        </w:rPr>
        <w:t>angioødem</w:t>
      </w:r>
      <w:proofErr w:type="spellEnd"/>
      <w:r w:rsidRPr="00F12FD6">
        <w:rPr>
          <w:sz w:val="24"/>
          <w:szCs w:val="24"/>
        </w:rPr>
        <w:t xml:space="preserve"> (pkt. 4.3 og 4.5).</w:t>
      </w:r>
    </w:p>
    <w:p w14:paraId="23D348FD" w14:textId="77777777" w:rsidR="00D2303A" w:rsidRPr="00F12FD6" w:rsidRDefault="00D2303A" w:rsidP="008D7C83">
      <w:pPr>
        <w:ind w:left="851"/>
        <w:rPr>
          <w:sz w:val="24"/>
          <w:szCs w:val="24"/>
        </w:rPr>
      </w:pPr>
    </w:p>
    <w:p w14:paraId="6CC8B235" w14:textId="77777777" w:rsidR="005D5B8E" w:rsidRDefault="00D2303A" w:rsidP="008D7C83">
      <w:pPr>
        <w:ind w:left="851"/>
        <w:rPr>
          <w:sz w:val="24"/>
          <w:szCs w:val="24"/>
        </w:rPr>
      </w:pPr>
      <w:proofErr w:type="spellStart"/>
      <w:r w:rsidRPr="00F12FD6">
        <w:rPr>
          <w:sz w:val="24"/>
          <w:szCs w:val="24"/>
        </w:rPr>
        <w:t>Ramipril</w:t>
      </w:r>
      <w:proofErr w:type="spellEnd"/>
      <w:r w:rsidRPr="00F12FD6">
        <w:rPr>
          <w:sz w:val="24"/>
          <w:szCs w:val="24"/>
        </w:rPr>
        <w:t xml:space="preserve"> skal seponeres i tilfælde af </w:t>
      </w:r>
      <w:proofErr w:type="spellStart"/>
      <w:r w:rsidRPr="00F12FD6">
        <w:rPr>
          <w:sz w:val="24"/>
          <w:szCs w:val="24"/>
        </w:rPr>
        <w:t>angioødem</w:t>
      </w:r>
      <w:proofErr w:type="spellEnd"/>
      <w:r w:rsidRPr="00F12FD6">
        <w:rPr>
          <w:sz w:val="24"/>
          <w:szCs w:val="24"/>
        </w:rPr>
        <w:t>.</w:t>
      </w:r>
    </w:p>
    <w:p w14:paraId="6FE5502D" w14:textId="77777777" w:rsidR="005D5B8E" w:rsidRDefault="005D5B8E" w:rsidP="008D7C83">
      <w:pPr>
        <w:ind w:left="851"/>
        <w:rPr>
          <w:sz w:val="24"/>
          <w:szCs w:val="24"/>
        </w:rPr>
      </w:pPr>
    </w:p>
    <w:p w14:paraId="7BA3CADA" w14:textId="6A69977C" w:rsidR="00D2303A" w:rsidRPr="00F12FD6" w:rsidRDefault="00D2303A" w:rsidP="008D7C83">
      <w:pPr>
        <w:ind w:left="851"/>
        <w:rPr>
          <w:sz w:val="24"/>
          <w:szCs w:val="24"/>
        </w:rPr>
      </w:pPr>
      <w:r w:rsidRPr="00F12FD6">
        <w:rPr>
          <w:sz w:val="24"/>
          <w:szCs w:val="24"/>
        </w:rPr>
        <w:t>Nødbehandling skal iværksættes straks. Patienten skal holdes under observation i mindst 12 til 24 timer og udskrives efter fuldstændig remission af symptomerne.</w:t>
      </w:r>
    </w:p>
    <w:p w14:paraId="55AA0F32" w14:textId="77777777" w:rsidR="00D2303A" w:rsidRPr="00F12FD6" w:rsidRDefault="00D2303A" w:rsidP="008D7C83">
      <w:pPr>
        <w:ind w:left="851"/>
        <w:rPr>
          <w:sz w:val="24"/>
          <w:szCs w:val="24"/>
        </w:rPr>
      </w:pPr>
      <w:proofErr w:type="spellStart"/>
      <w:r w:rsidRPr="00F12FD6">
        <w:rPr>
          <w:sz w:val="24"/>
          <w:szCs w:val="24"/>
        </w:rPr>
        <w:t>Intestinalt</w:t>
      </w:r>
      <w:proofErr w:type="spellEnd"/>
      <w:r w:rsidRPr="00F12FD6">
        <w:rPr>
          <w:sz w:val="24"/>
          <w:szCs w:val="24"/>
        </w:rPr>
        <w:t xml:space="preserve"> </w:t>
      </w:r>
      <w:proofErr w:type="spellStart"/>
      <w:r w:rsidRPr="00F12FD6">
        <w:rPr>
          <w:sz w:val="24"/>
          <w:szCs w:val="24"/>
        </w:rPr>
        <w:t>angioødem</w:t>
      </w:r>
      <w:proofErr w:type="spellEnd"/>
      <w:r w:rsidRPr="00F12FD6">
        <w:rPr>
          <w:sz w:val="24"/>
          <w:szCs w:val="24"/>
        </w:rPr>
        <w:t xml:space="preserve"> er blevet rapporteret hos patienter i behandling med ACE-</w:t>
      </w:r>
      <w:proofErr w:type="spellStart"/>
      <w:r w:rsidRPr="00F12FD6">
        <w:rPr>
          <w:sz w:val="24"/>
          <w:szCs w:val="24"/>
        </w:rPr>
        <w:t>hæmmere</w:t>
      </w:r>
      <w:proofErr w:type="spellEnd"/>
      <w:r w:rsidRPr="00F12FD6">
        <w:rPr>
          <w:sz w:val="24"/>
          <w:szCs w:val="24"/>
        </w:rPr>
        <w:t xml:space="preserve"> herunder Ramiliv (se pkt. 4.8). Disse patienter meldte om mavesmerter (med eller uden kvalme eller opkastning).</w:t>
      </w:r>
    </w:p>
    <w:p w14:paraId="7815D0B2" w14:textId="77777777" w:rsidR="00D2303A" w:rsidRPr="00F12FD6" w:rsidRDefault="00D2303A" w:rsidP="008D7C83">
      <w:pPr>
        <w:ind w:left="851"/>
        <w:rPr>
          <w:sz w:val="24"/>
          <w:szCs w:val="24"/>
        </w:rPr>
      </w:pPr>
    </w:p>
    <w:p w14:paraId="77F42D34" w14:textId="77777777" w:rsidR="00D2303A" w:rsidRPr="005D5B8E" w:rsidRDefault="00D2303A" w:rsidP="008D7C83">
      <w:pPr>
        <w:ind w:left="851"/>
        <w:rPr>
          <w:i/>
          <w:sz w:val="24"/>
          <w:szCs w:val="24"/>
          <w:u w:val="single"/>
        </w:rPr>
      </w:pPr>
      <w:proofErr w:type="spellStart"/>
      <w:r w:rsidRPr="005D5B8E">
        <w:rPr>
          <w:i/>
          <w:sz w:val="24"/>
          <w:szCs w:val="24"/>
          <w:u w:val="single"/>
        </w:rPr>
        <w:t>Anafylaktiske</w:t>
      </w:r>
      <w:proofErr w:type="spellEnd"/>
      <w:r w:rsidRPr="005D5B8E">
        <w:rPr>
          <w:i/>
          <w:sz w:val="24"/>
          <w:szCs w:val="24"/>
          <w:u w:val="single"/>
        </w:rPr>
        <w:t xml:space="preserve"> reaktioner under </w:t>
      </w:r>
      <w:proofErr w:type="spellStart"/>
      <w:r w:rsidRPr="005D5B8E">
        <w:rPr>
          <w:i/>
          <w:sz w:val="24"/>
          <w:szCs w:val="24"/>
          <w:u w:val="single"/>
        </w:rPr>
        <w:t>desensibilisering</w:t>
      </w:r>
      <w:proofErr w:type="spellEnd"/>
    </w:p>
    <w:p w14:paraId="6D771D7F" w14:textId="77777777" w:rsidR="00D2303A" w:rsidRPr="00F12FD6" w:rsidRDefault="00D2303A" w:rsidP="008D7C83">
      <w:pPr>
        <w:ind w:left="851"/>
        <w:rPr>
          <w:sz w:val="24"/>
          <w:szCs w:val="24"/>
        </w:rPr>
      </w:pPr>
      <w:r w:rsidRPr="00F12FD6">
        <w:rPr>
          <w:sz w:val="24"/>
          <w:szCs w:val="24"/>
        </w:rPr>
        <w:t xml:space="preserve">Sandsynligheden og sværhedsgraden af </w:t>
      </w:r>
      <w:proofErr w:type="spellStart"/>
      <w:r w:rsidRPr="00F12FD6">
        <w:rPr>
          <w:sz w:val="24"/>
          <w:szCs w:val="24"/>
        </w:rPr>
        <w:t>anafylaktiske</w:t>
      </w:r>
      <w:proofErr w:type="spellEnd"/>
      <w:r w:rsidRPr="00F12FD6">
        <w:rPr>
          <w:sz w:val="24"/>
          <w:szCs w:val="24"/>
        </w:rPr>
        <w:t xml:space="preserve"> og </w:t>
      </w:r>
      <w:proofErr w:type="spellStart"/>
      <w:r w:rsidRPr="00F12FD6">
        <w:rPr>
          <w:sz w:val="24"/>
          <w:szCs w:val="24"/>
        </w:rPr>
        <w:t>anafylaktoide</w:t>
      </w:r>
      <w:proofErr w:type="spellEnd"/>
      <w:r w:rsidRPr="00F12FD6">
        <w:rPr>
          <w:sz w:val="24"/>
          <w:szCs w:val="24"/>
        </w:rPr>
        <w:t xml:space="preserve"> reaktioner på insektgift og andre allergener er øget under ACE-hæmning. En midlertidig </w:t>
      </w:r>
      <w:proofErr w:type="spellStart"/>
      <w:r w:rsidRPr="00F12FD6">
        <w:rPr>
          <w:sz w:val="24"/>
          <w:szCs w:val="24"/>
        </w:rPr>
        <w:t>seponering</w:t>
      </w:r>
      <w:proofErr w:type="spellEnd"/>
      <w:r w:rsidRPr="00F12FD6">
        <w:rPr>
          <w:sz w:val="24"/>
          <w:szCs w:val="24"/>
        </w:rPr>
        <w:t xml:space="preserve"> af Ramiliv bør overvejes før </w:t>
      </w:r>
      <w:proofErr w:type="spellStart"/>
      <w:r w:rsidRPr="00F12FD6">
        <w:rPr>
          <w:sz w:val="24"/>
          <w:szCs w:val="24"/>
        </w:rPr>
        <w:t>desensibilisering</w:t>
      </w:r>
      <w:proofErr w:type="spellEnd"/>
      <w:r w:rsidRPr="00F12FD6">
        <w:rPr>
          <w:sz w:val="24"/>
          <w:szCs w:val="24"/>
        </w:rPr>
        <w:t>.</w:t>
      </w:r>
    </w:p>
    <w:p w14:paraId="0DB389D9" w14:textId="77777777" w:rsidR="00D2303A" w:rsidRPr="00F12FD6" w:rsidRDefault="00D2303A" w:rsidP="008D7C83">
      <w:pPr>
        <w:ind w:left="851"/>
        <w:rPr>
          <w:sz w:val="24"/>
          <w:szCs w:val="24"/>
        </w:rPr>
      </w:pPr>
    </w:p>
    <w:p w14:paraId="3BBC1549" w14:textId="77777777" w:rsidR="00D2303A" w:rsidRPr="005D5B8E" w:rsidRDefault="00D2303A" w:rsidP="008D7C83">
      <w:pPr>
        <w:ind w:left="851"/>
        <w:rPr>
          <w:i/>
          <w:sz w:val="24"/>
          <w:szCs w:val="24"/>
          <w:u w:val="single"/>
        </w:rPr>
      </w:pPr>
      <w:proofErr w:type="spellStart"/>
      <w:r w:rsidRPr="005D5B8E">
        <w:rPr>
          <w:i/>
          <w:sz w:val="24"/>
          <w:szCs w:val="24"/>
          <w:u w:val="single"/>
        </w:rPr>
        <w:t>Hyperkaliæmi</w:t>
      </w:r>
      <w:proofErr w:type="spellEnd"/>
    </w:p>
    <w:p w14:paraId="398967FD" w14:textId="4B41D046" w:rsidR="00D2303A" w:rsidRPr="00F12FD6" w:rsidRDefault="00D2303A" w:rsidP="008D7C83">
      <w:pPr>
        <w:ind w:left="851"/>
        <w:rPr>
          <w:sz w:val="24"/>
          <w:szCs w:val="24"/>
        </w:rPr>
      </w:pPr>
      <w:proofErr w:type="spellStart"/>
      <w:r w:rsidRPr="00F12FD6">
        <w:rPr>
          <w:sz w:val="24"/>
          <w:szCs w:val="24"/>
        </w:rPr>
        <w:t>Hyperkaliæmi</w:t>
      </w:r>
      <w:proofErr w:type="spellEnd"/>
      <w:r w:rsidRPr="00F12FD6">
        <w:rPr>
          <w:sz w:val="24"/>
          <w:szCs w:val="24"/>
        </w:rPr>
        <w:t xml:space="preserve"> er blevet observeret hos en antal patienter i behandling med ACE-</w:t>
      </w:r>
      <w:proofErr w:type="spellStart"/>
      <w:r w:rsidRPr="00F12FD6">
        <w:rPr>
          <w:sz w:val="24"/>
          <w:szCs w:val="24"/>
        </w:rPr>
        <w:t>hæmmere</w:t>
      </w:r>
      <w:proofErr w:type="spellEnd"/>
      <w:r w:rsidRPr="00F12FD6">
        <w:rPr>
          <w:sz w:val="24"/>
          <w:szCs w:val="24"/>
        </w:rPr>
        <w:t xml:space="preserve"> inklusiv</w:t>
      </w:r>
      <w:r w:rsidR="005D5B8E">
        <w:rPr>
          <w:sz w:val="24"/>
          <w:szCs w:val="24"/>
        </w:rPr>
        <w:t>e</w:t>
      </w:r>
      <w:r w:rsidRPr="00F12FD6">
        <w:rPr>
          <w:sz w:val="24"/>
          <w:szCs w:val="24"/>
        </w:rPr>
        <w:t xml:space="preserve"> Ramiliv.</w:t>
      </w:r>
    </w:p>
    <w:p w14:paraId="67671FE9" w14:textId="36DFE612" w:rsidR="00D2303A" w:rsidRPr="00F12FD6" w:rsidRDefault="00D2303A" w:rsidP="008D7C83">
      <w:pPr>
        <w:ind w:left="851"/>
        <w:rPr>
          <w:sz w:val="24"/>
          <w:szCs w:val="24"/>
        </w:rPr>
      </w:pPr>
      <w:r w:rsidRPr="00F12FD6">
        <w:rPr>
          <w:sz w:val="24"/>
          <w:szCs w:val="24"/>
        </w:rPr>
        <w:t xml:space="preserve">Patienter med risiko for udvikling af </w:t>
      </w:r>
      <w:proofErr w:type="spellStart"/>
      <w:r w:rsidRPr="00F12FD6">
        <w:rPr>
          <w:sz w:val="24"/>
          <w:szCs w:val="24"/>
        </w:rPr>
        <w:t>hyperkaliæmi</w:t>
      </w:r>
      <w:proofErr w:type="spellEnd"/>
      <w:r w:rsidRPr="00F12FD6">
        <w:rPr>
          <w:sz w:val="24"/>
          <w:szCs w:val="24"/>
        </w:rPr>
        <w:t xml:space="preserve"> omfatter patienter med nedsat nyrefunktion, alder (&gt;70 år), ubehandlet diabetes mellitus eller patienter i behandling med kaliumsalte, kaliumbesparende </w:t>
      </w:r>
      <w:proofErr w:type="spellStart"/>
      <w:r w:rsidRPr="00F12FD6">
        <w:rPr>
          <w:sz w:val="24"/>
          <w:szCs w:val="24"/>
        </w:rPr>
        <w:t>diuretika</w:t>
      </w:r>
      <w:proofErr w:type="spellEnd"/>
      <w:r w:rsidRPr="00F12FD6">
        <w:rPr>
          <w:sz w:val="24"/>
          <w:szCs w:val="24"/>
        </w:rPr>
        <w:t xml:space="preserve"> og andre aktive stoffer, der øger plasmakalium, eller tilstande såsom dehydrering, akut </w:t>
      </w:r>
      <w:proofErr w:type="spellStart"/>
      <w:r w:rsidRPr="00F12FD6">
        <w:rPr>
          <w:sz w:val="24"/>
          <w:szCs w:val="24"/>
        </w:rPr>
        <w:t>hjertedekompensation</w:t>
      </w:r>
      <w:proofErr w:type="spellEnd"/>
      <w:r w:rsidRPr="00F12FD6">
        <w:rPr>
          <w:sz w:val="24"/>
          <w:szCs w:val="24"/>
        </w:rPr>
        <w:t xml:space="preserve"> eller metabolisk </w:t>
      </w:r>
      <w:proofErr w:type="spellStart"/>
      <w:r w:rsidRPr="00F12FD6">
        <w:rPr>
          <w:sz w:val="24"/>
          <w:szCs w:val="24"/>
        </w:rPr>
        <w:t>acidose</w:t>
      </w:r>
      <w:proofErr w:type="spellEnd"/>
      <w:r w:rsidRPr="00F12FD6">
        <w:rPr>
          <w:sz w:val="24"/>
          <w:szCs w:val="24"/>
        </w:rPr>
        <w:t>. Hvis samtidig brug af ovenstående lægemidler vurderes at være passende, anbefales det regelmæssigt at monitorere serumkaliumværdien (se pkt. 4.5).</w:t>
      </w:r>
    </w:p>
    <w:p w14:paraId="7A402706" w14:textId="77777777" w:rsidR="00D2303A" w:rsidRPr="00F12FD6" w:rsidRDefault="00D2303A" w:rsidP="008D7C83">
      <w:pPr>
        <w:ind w:left="851"/>
        <w:rPr>
          <w:sz w:val="24"/>
          <w:szCs w:val="24"/>
        </w:rPr>
      </w:pPr>
    </w:p>
    <w:p w14:paraId="0A261B47" w14:textId="77777777" w:rsidR="00D2303A" w:rsidRPr="005D5B8E" w:rsidRDefault="00D2303A" w:rsidP="008D7C83">
      <w:pPr>
        <w:ind w:left="851"/>
        <w:rPr>
          <w:i/>
          <w:sz w:val="24"/>
          <w:szCs w:val="24"/>
          <w:u w:val="single"/>
        </w:rPr>
      </w:pPr>
      <w:proofErr w:type="spellStart"/>
      <w:r w:rsidRPr="005D5B8E">
        <w:rPr>
          <w:i/>
          <w:sz w:val="24"/>
          <w:szCs w:val="24"/>
          <w:u w:val="single"/>
        </w:rPr>
        <w:t>Hyponatriæmi</w:t>
      </w:r>
      <w:proofErr w:type="spellEnd"/>
    </w:p>
    <w:p w14:paraId="72F11D46" w14:textId="7A54A4B3" w:rsidR="00D2303A" w:rsidRPr="00F12FD6" w:rsidRDefault="00D2303A" w:rsidP="008D7C83">
      <w:pPr>
        <w:ind w:left="851"/>
        <w:rPr>
          <w:sz w:val="24"/>
          <w:szCs w:val="24"/>
        </w:rPr>
      </w:pPr>
      <w:r w:rsidRPr="00F12FD6">
        <w:rPr>
          <w:sz w:val="24"/>
          <w:szCs w:val="24"/>
        </w:rPr>
        <w:t xml:space="preserve">SIADH-syndrom (uhensigtsmæssig udskillelse af antidiuretisk hormon) og efterfølgende </w:t>
      </w:r>
      <w:proofErr w:type="spellStart"/>
      <w:r w:rsidRPr="00F12FD6">
        <w:rPr>
          <w:sz w:val="24"/>
          <w:szCs w:val="24"/>
        </w:rPr>
        <w:t>hyponatriæmi</w:t>
      </w:r>
      <w:proofErr w:type="spellEnd"/>
      <w:r w:rsidRPr="00F12FD6">
        <w:rPr>
          <w:sz w:val="24"/>
          <w:szCs w:val="24"/>
        </w:rPr>
        <w:t xml:space="preserve"> er blevet observeret hos nogle patienter i behandling med </w:t>
      </w:r>
      <w:proofErr w:type="spellStart"/>
      <w:r w:rsidRPr="00F12FD6">
        <w:rPr>
          <w:sz w:val="24"/>
          <w:szCs w:val="24"/>
        </w:rPr>
        <w:t>ramipril</w:t>
      </w:r>
      <w:proofErr w:type="spellEnd"/>
      <w:r w:rsidRPr="00F12FD6">
        <w:rPr>
          <w:sz w:val="24"/>
          <w:szCs w:val="24"/>
        </w:rPr>
        <w:t xml:space="preserve">. Det anbefales, at niveauet af serumnatrium kontrolleres regelmæssigt hos ældre og hos andre patienter med risiko for </w:t>
      </w:r>
      <w:proofErr w:type="spellStart"/>
      <w:r w:rsidRPr="00F12FD6">
        <w:rPr>
          <w:sz w:val="24"/>
          <w:szCs w:val="24"/>
        </w:rPr>
        <w:t>hyponatriæmi</w:t>
      </w:r>
      <w:proofErr w:type="spellEnd"/>
      <w:r w:rsidRPr="00F12FD6">
        <w:rPr>
          <w:sz w:val="24"/>
          <w:szCs w:val="24"/>
        </w:rPr>
        <w:t>.</w:t>
      </w:r>
    </w:p>
    <w:p w14:paraId="3A7374CD" w14:textId="77777777" w:rsidR="005D5B8E" w:rsidRDefault="005D5B8E" w:rsidP="008D7C83">
      <w:pPr>
        <w:ind w:left="851"/>
        <w:rPr>
          <w:sz w:val="24"/>
          <w:szCs w:val="24"/>
        </w:rPr>
      </w:pPr>
    </w:p>
    <w:p w14:paraId="26FD0642" w14:textId="468A15CF" w:rsidR="00D2303A" w:rsidRPr="005D5B8E" w:rsidRDefault="00D2303A" w:rsidP="008D7C83">
      <w:pPr>
        <w:ind w:left="851"/>
        <w:rPr>
          <w:i/>
          <w:sz w:val="24"/>
          <w:szCs w:val="24"/>
          <w:u w:val="single"/>
        </w:rPr>
      </w:pPr>
      <w:proofErr w:type="spellStart"/>
      <w:r w:rsidRPr="005D5B8E">
        <w:rPr>
          <w:i/>
          <w:sz w:val="24"/>
          <w:szCs w:val="24"/>
          <w:u w:val="single"/>
        </w:rPr>
        <w:t>Neutropeni</w:t>
      </w:r>
      <w:proofErr w:type="spellEnd"/>
      <w:r w:rsidRPr="005D5B8E">
        <w:rPr>
          <w:i/>
          <w:sz w:val="24"/>
          <w:szCs w:val="24"/>
          <w:u w:val="single"/>
        </w:rPr>
        <w:t>/</w:t>
      </w:r>
      <w:proofErr w:type="spellStart"/>
      <w:r w:rsidRPr="005D5B8E">
        <w:rPr>
          <w:i/>
          <w:sz w:val="24"/>
          <w:szCs w:val="24"/>
          <w:u w:val="single"/>
        </w:rPr>
        <w:t>agranulocytose</w:t>
      </w:r>
      <w:proofErr w:type="spellEnd"/>
    </w:p>
    <w:p w14:paraId="53E5E752" w14:textId="77777777" w:rsidR="00D2303A" w:rsidRPr="00F12FD6" w:rsidRDefault="00D2303A" w:rsidP="008D7C83">
      <w:pPr>
        <w:ind w:left="851"/>
        <w:rPr>
          <w:sz w:val="24"/>
          <w:szCs w:val="24"/>
        </w:rPr>
      </w:pPr>
      <w:proofErr w:type="spellStart"/>
      <w:r w:rsidRPr="00F12FD6">
        <w:rPr>
          <w:sz w:val="24"/>
          <w:szCs w:val="24"/>
        </w:rPr>
        <w:t>Neutropeni</w:t>
      </w:r>
      <w:proofErr w:type="spellEnd"/>
      <w:r w:rsidRPr="00F12FD6">
        <w:rPr>
          <w:sz w:val="24"/>
          <w:szCs w:val="24"/>
        </w:rPr>
        <w:t>/</w:t>
      </w:r>
      <w:proofErr w:type="spellStart"/>
      <w:r w:rsidRPr="00F12FD6">
        <w:rPr>
          <w:sz w:val="24"/>
          <w:szCs w:val="24"/>
        </w:rPr>
        <w:t>agranulocytose</w:t>
      </w:r>
      <w:proofErr w:type="spellEnd"/>
      <w:r w:rsidRPr="00F12FD6">
        <w:rPr>
          <w:sz w:val="24"/>
          <w:szCs w:val="24"/>
        </w:rPr>
        <w:t xml:space="preserve"> såvel som </w:t>
      </w:r>
      <w:proofErr w:type="spellStart"/>
      <w:r w:rsidRPr="00F12FD6">
        <w:rPr>
          <w:sz w:val="24"/>
          <w:szCs w:val="24"/>
        </w:rPr>
        <w:t>trombocytopeni</w:t>
      </w:r>
      <w:proofErr w:type="spellEnd"/>
      <w:r w:rsidRPr="00F12FD6">
        <w:rPr>
          <w:sz w:val="24"/>
          <w:szCs w:val="24"/>
        </w:rPr>
        <w:t xml:space="preserve"> og anæmi ses sjældent, mens også knoglemarvsdepression er rapporteret. Det anbefales at monitorere leukocyttallet for at kunne detektere mulig </w:t>
      </w:r>
      <w:proofErr w:type="spellStart"/>
      <w:r w:rsidRPr="00F12FD6">
        <w:rPr>
          <w:sz w:val="24"/>
          <w:szCs w:val="24"/>
        </w:rPr>
        <w:t>leukopeni</w:t>
      </w:r>
      <w:proofErr w:type="spellEnd"/>
      <w:r w:rsidRPr="00F12FD6">
        <w:rPr>
          <w:sz w:val="24"/>
          <w:szCs w:val="24"/>
        </w:rPr>
        <w:t xml:space="preserve">. Hyppigere monitorering tilrådes i behandlingens startfase og hos patienter med nedsat nyrefunktion, patienter med samtidig kollagen sygdom (f.eks. lupus </w:t>
      </w:r>
      <w:proofErr w:type="spellStart"/>
      <w:r w:rsidRPr="00F12FD6">
        <w:rPr>
          <w:sz w:val="24"/>
          <w:szCs w:val="24"/>
        </w:rPr>
        <w:t>erythematosus</w:t>
      </w:r>
      <w:proofErr w:type="spellEnd"/>
      <w:r w:rsidRPr="00F12FD6">
        <w:rPr>
          <w:sz w:val="24"/>
          <w:szCs w:val="24"/>
        </w:rPr>
        <w:t xml:space="preserve"> eller </w:t>
      </w:r>
      <w:proofErr w:type="spellStart"/>
      <w:r w:rsidRPr="00F12FD6">
        <w:rPr>
          <w:sz w:val="24"/>
          <w:szCs w:val="24"/>
        </w:rPr>
        <w:t>skleroderma</w:t>
      </w:r>
      <w:proofErr w:type="spellEnd"/>
      <w:r w:rsidRPr="00F12FD6">
        <w:rPr>
          <w:sz w:val="24"/>
          <w:szCs w:val="24"/>
        </w:rPr>
        <w:t>) og hos alle i behandling med andre lægemidler, der kan medføre ændringer i blodbilledet (se pkt. 4.5 og 4.8).</w:t>
      </w:r>
    </w:p>
    <w:p w14:paraId="35E80A5C" w14:textId="77777777" w:rsidR="00D2303A" w:rsidRPr="00F12FD6" w:rsidRDefault="00D2303A" w:rsidP="008D7C83">
      <w:pPr>
        <w:ind w:left="851"/>
        <w:rPr>
          <w:sz w:val="24"/>
          <w:szCs w:val="24"/>
        </w:rPr>
      </w:pPr>
    </w:p>
    <w:p w14:paraId="21E22F89" w14:textId="77777777" w:rsidR="00D2303A" w:rsidRPr="005D5B8E" w:rsidRDefault="00D2303A" w:rsidP="008D7C83">
      <w:pPr>
        <w:ind w:left="851"/>
        <w:rPr>
          <w:i/>
          <w:sz w:val="24"/>
          <w:szCs w:val="24"/>
          <w:u w:val="single"/>
        </w:rPr>
      </w:pPr>
      <w:r w:rsidRPr="005D5B8E">
        <w:rPr>
          <w:i/>
          <w:sz w:val="24"/>
          <w:szCs w:val="24"/>
          <w:u w:val="single"/>
        </w:rPr>
        <w:t>Etniske forskelle</w:t>
      </w:r>
    </w:p>
    <w:p w14:paraId="7D465283" w14:textId="45C2098B" w:rsidR="00D2303A" w:rsidRPr="00F12FD6" w:rsidRDefault="00D2303A" w:rsidP="008D7C83">
      <w:pPr>
        <w:ind w:left="851"/>
        <w:rPr>
          <w:sz w:val="24"/>
          <w:szCs w:val="24"/>
        </w:rPr>
      </w:pPr>
      <w:r w:rsidRPr="00F12FD6">
        <w:rPr>
          <w:sz w:val="24"/>
          <w:szCs w:val="24"/>
        </w:rPr>
        <w:t>ACE-</w:t>
      </w:r>
      <w:proofErr w:type="spellStart"/>
      <w:r w:rsidRPr="00F12FD6">
        <w:rPr>
          <w:sz w:val="24"/>
          <w:szCs w:val="24"/>
        </w:rPr>
        <w:t>hæmmere</w:t>
      </w:r>
      <w:proofErr w:type="spellEnd"/>
      <w:r w:rsidRPr="00F12FD6">
        <w:rPr>
          <w:sz w:val="24"/>
          <w:szCs w:val="24"/>
        </w:rPr>
        <w:t xml:space="preserve"> medfører en højere forekomst af </w:t>
      </w:r>
      <w:proofErr w:type="spellStart"/>
      <w:r w:rsidRPr="00F12FD6">
        <w:rPr>
          <w:sz w:val="24"/>
          <w:szCs w:val="24"/>
        </w:rPr>
        <w:t>angioødem</w:t>
      </w:r>
      <w:proofErr w:type="spellEnd"/>
      <w:r w:rsidRPr="00F12FD6">
        <w:rPr>
          <w:sz w:val="24"/>
          <w:szCs w:val="24"/>
        </w:rPr>
        <w:t xml:space="preserve"> hos sorte patienter end hos ikke-sorte patienter.</w:t>
      </w:r>
    </w:p>
    <w:p w14:paraId="0DD87131" w14:textId="77777777" w:rsidR="00D2303A" w:rsidRPr="00F12FD6" w:rsidRDefault="00D2303A" w:rsidP="008D7C83">
      <w:pPr>
        <w:ind w:left="851"/>
        <w:rPr>
          <w:sz w:val="24"/>
          <w:szCs w:val="24"/>
        </w:rPr>
      </w:pPr>
      <w:r w:rsidRPr="00F12FD6">
        <w:rPr>
          <w:sz w:val="24"/>
          <w:szCs w:val="24"/>
        </w:rPr>
        <w:t>Som med andre ACE-</w:t>
      </w:r>
      <w:proofErr w:type="spellStart"/>
      <w:r w:rsidRPr="00F12FD6">
        <w:rPr>
          <w:sz w:val="24"/>
          <w:szCs w:val="24"/>
        </w:rPr>
        <w:t>hæmmere</w:t>
      </w:r>
      <w:proofErr w:type="spellEnd"/>
      <w:r w:rsidRPr="00F12FD6">
        <w:rPr>
          <w:sz w:val="24"/>
          <w:szCs w:val="24"/>
        </w:rPr>
        <w:t xml:space="preserve"> kan </w:t>
      </w:r>
      <w:proofErr w:type="spellStart"/>
      <w:r w:rsidRPr="00F12FD6">
        <w:rPr>
          <w:sz w:val="24"/>
          <w:szCs w:val="24"/>
        </w:rPr>
        <w:t>ramipril</w:t>
      </w:r>
      <w:proofErr w:type="spellEnd"/>
      <w:r w:rsidRPr="00F12FD6">
        <w:rPr>
          <w:sz w:val="24"/>
          <w:szCs w:val="24"/>
        </w:rPr>
        <w:t xml:space="preserve"> være mindre effektiv til sænkning af blodtrykket hos sorte patienter end hos ikke- sorte patienter, sandsynligvis på grund af en højere prævalens af hypertension med lavt </w:t>
      </w:r>
      <w:proofErr w:type="spellStart"/>
      <w:r w:rsidRPr="00F12FD6">
        <w:rPr>
          <w:sz w:val="24"/>
          <w:szCs w:val="24"/>
        </w:rPr>
        <w:t>reninniveau</w:t>
      </w:r>
      <w:proofErr w:type="spellEnd"/>
      <w:r w:rsidRPr="00F12FD6">
        <w:rPr>
          <w:sz w:val="24"/>
          <w:szCs w:val="24"/>
        </w:rPr>
        <w:t xml:space="preserve"> hos den sorte, </w:t>
      </w:r>
      <w:proofErr w:type="spellStart"/>
      <w:r w:rsidRPr="00F12FD6">
        <w:rPr>
          <w:sz w:val="24"/>
          <w:szCs w:val="24"/>
        </w:rPr>
        <w:t>hypertensive</w:t>
      </w:r>
      <w:proofErr w:type="spellEnd"/>
      <w:r w:rsidRPr="00F12FD6">
        <w:rPr>
          <w:sz w:val="24"/>
          <w:szCs w:val="24"/>
        </w:rPr>
        <w:t xml:space="preserve"> population.</w:t>
      </w:r>
    </w:p>
    <w:p w14:paraId="437B132E" w14:textId="77777777" w:rsidR="00D2303A" w:rsidRPr="00F12FD6" w:rsidRDefault="00D2303A" w:rsidP="008D7C83">
      <w:pPr>
        <w:ind w:left="851"/>
        <w:rPr>
          <w:sz w:val="24"/>
          <w:szCs w:val="24"/>
        </w:rPr>
      </w:pPr>
    </w:p>
    <w:p w14:paraId="639BB642" w14:textId="77777777" w:rsidR="00D2303A" w:rsidRPr="005D5B8E" w:rsidRDefault="00D2303A" w:rsidP="008D7C83">
      <w:pPr>
        <w:ind w:left="851"/>
        <w:rPr>
          <w:i/>
          <w:sz w:val="24"/>
          <w:szCs w:val="24"/>
          <w:u w:val="single"/>
        </w:rPr>
      </w:pPr>
      <w:r w:rsidRPr="005D5B8E">
        <w:rPr>
          <w:i/>
          <w:sz w:val="24"/>
          <w:szCs w:val="24"/>
          <w:u w:val="single"/>
        </w:rPr>
        <w:t>Hoste</w:t>
      </w:r>
    </w:p>
    <w:p w14:paraId="67ABE70D" w14:textId="77777777" w:rsidR="00D2303A" w:rsidRPr="00F12FD6" w:rsidRDefault="00D2303A" w:rsidP="008D7C83">
      <w:pPr>
        <w:ind w:left="851"/>
        <w:rPr>
          <w:sz w:val="24"/>
          <w:szCs w:val="24"/>
        </w:rPr>
      </w:pPr>
      <w:r w:rsidRPr="00F12FD6">
        <w:rPr>
          <w:sz w:val="24"/>
          <w:szCs w:val="24"/>
        </w:rPr>
        <w:t>Der er rapporteret om hoste ved brug af ACE-</w:t>
      </w:r>
      <w:proofErr w:type="spellStart"/>
      <w:r w:rsidRPr="00F12FD6">
        <w:rPr>
          <w:sz w:val="24"/>
          <w:szCs w:val="24"/>
        </w:rPr>
        <w:t>hæmmere</w:t>
      </w:r>
      <w:proofErr w:type="spellEnd"/>
      <w:r w:rsidRPr="00F12FD6">
        <w:rPr>
          <w:sz w:val="24"/>
          <w:szCs w:val="24"/>
        </w:rPr>
        <w:t xml:space="preserve">. Det er karakteristisk for hosten, at den er non-produktiv, vedvarende og forsvinder efter </w:t>
      </w:r>
      <w:proofErr w:type="spellStart"/>
      <w:r w:rsidRPr="00F12FD6">
        <w:rPr>
          <w:sz w:val="24"/>
          <w:szCs w:val="24"/>
        </w:rPr>
        <w:t>seponering</w:t>
      </w:r>
      <w:proofErr w:type="spellEnd"/>
      <w:r w:rsidRPr="00F12FD6">
        <w:rPr>
          <w:sz w:val="24"/>
          <w:szCs w:val="24"/>
        </w:rPr>
        <w:t xml:space="preserve"> af behandlingen. ACE-</w:t>
      </w:r>
      <w:proofErr w:type="spellStart"/>
      <w:r w:rsidRPr="00F12FD6">
        <w:rPr>
          <w:sz w:val="24"/>
          <w:szCs w:val="24"/>
        </w:rPr>
        <w:t>hæmmerinduceret</w:t>
      </w:r>
      <w:proofErr w:type="spellEnd"/>
      <w:r w:rsidRPr="00F12FD6">
        <w:rPr>
          <w:sz w:val="24"/>
          <w:szCs w:val="24"/>
        </w:rPr>
        <w:t xml:space="preserve"> hoste skal overvejes som en del af differentialdiagnosen for hoste.</w:t>
      </w:r>
    </w:p>
    <w:p w14:paraId="48CBDF33" w14:textId="77777777" w:rsidR="00D2303A" w:rsidRPr="00F12FD6" w:rsidRDefault="00D2303A" w:rsidP="008D7C83">
      <w:pPr>
        <w:ind w:left="851"/>
        <w:rPr>
          <w:sz w:val="24"/>
          <w:szCs w:val="24"/>
        </w:rPr>
      </w:pPr>
    </w:p>
    <w:p w14:paraId="503E7C92" w14:textId="77777777" w:rsidR="00D2303A" w:rsidRPr="005D5B8E" w:rsidRDefault="00D2303A" w:rsidP="008D7C83">
      <w:pPr>
        <w:ind w:left="851"/>
        <w:rPr>
          <w:bCs/>
          <w:sz w:val="24"/>
          <w:szCs w:val="24"/>
          <w:u w:val="single"/>
        </w:rPr>
      </w:pPr>
      <w:r w:rsidRPr="005D5B8E">
        <w:rPr>
          <w:bCs/>
          <w:sz w:val="24"/>
          <w:szCs w:val="24"/>
          <w:u w:val="single"/>
        </w:rPr>
        <w:t>Ramiliv indeholder natrium</w:t>
      </w:r>
    </w:p>
    <w:p w14:paraId="083DCD1A" w14:textId="77777777" w:rsidR="00D2303A" w:rsidRPr="00F12FD6" w:rsidRDefault="00D2303A" w:rsidP="008D7C83">
      <w:pPr>
        <w:ind w:left="851"/>
        <w:rPr>
          <w:sz w:val="24"/>
          <w:szCs w:val="24"/>
        </w:rPr>
      </w:pPr>
      <w:r w:rsidRPr="00F12FD6">
        <w:rPr>
          <w:sz w:val="24"/>
          <w:szCs w:val="24"/>
        </w:rPr>
        <w:t>Dette lægemiddel indeholder mindre end 1 mmol (23 mg) natrium pr. tablet, dvs. det er i det væsentlige natriumfrit.</w:t>
      </w:r>
    </w:p>
    <w:p w14:paraId="43D1DCFF" w14:textId="77777777" w:rsidR="009260DE" w:rsidRPr="00F12FD6" w:rsidRDefault="009260DE" w:rsidP="009260DE">
      <w:pPr>
        <w:tabs>
          <w:tab w:val="left" w:pos="851"/>
        </w:tabs>
        <w:ind w:left="851"/>
        <w:rPr>
          <w:sz w:val="24"/>
          <w:szCs w:val="24"/>
        </w:rPr>
      </w:pPr>
    </w:p>
    <w:p w14:paraId="6517EB51" w14:textId="77777777" w:rsidR="009260DE" w:rsidRPr="00F12FD6" w:rsidRDefault="009260DE" w:rsidP="009260DE">
      <w:pPr>
        <w:tabs>
          <w:tab w:val="left" w:pos="851"/>
        </w:tabs>
        <w:ind w:left="851" w:hanging="851"/>
        <w:rPr>
          <w:b/>
          <w:sz w:val="24"/>
          <w:szCs w:val="24"/>
        </w:rPr>
      </w:pPr>
      <w:r w:rsidRPr="00F12FD6">
        <w:rPr>
          <w:b/>
          <w:sz w:val="24"/>
          <w:szCs w:val="24"/>
        </w:rPr>
        <w:t>4.5</w:t>
      </w:r>
      <w:r w:rsidRPr="00F12FD6">
        <w:rPr>
          <w:b/>
          <w:sz w:val="24"/>
          <w:szCs w:val="24"/>
        </w:rPr>
        <w:tab/>
        <w:t>Interaktion med andre lægemidler og andre former for interaktion</w:t>
      </w:r>
    </w:p>
    <w:p w14:paraId="4C942C19" w14:textId="77777777" w:rsidR="00D2303A" w:rsidRPr="00F12FD6" w:rsidRDefault="00D2303A" w:rsidP="008D7C83">
      <w:pPr>
        <w:ind w:left="851"/>
        <w:rPr>
          <w:sz w:val="24"/>
          <w:szCs w:val="24"/>
        </w:rPr>
      </w:pPr>
      <w:r w:rsidRPr="00F12FD6">
        <w:rPr>
          <w:sz w:val="24"/>
          <w:szCs w:val="24"/>
        </w:rPr>
        <w:t xml:space="preserve">Data fra kliniske studier har vist, at dobbelthæmning af </w:t>
      </w:r>
      <w:proofErr w:type="spellStart"/>
      <w:r w:rsidRPr="00F12FD6">
        <w:rPr>
          <w:sz w:val="24"/>
          <w:szCs w:val="24"/>
        </w:rPr>
        <w:t>renin</w:t>
      </w:r>
      <w:proofErr w:type="spellEnd"/>
      <w:r w:rsidRPr="00F12FD6">
        <w:rPr>
          <w:sz w:val="24"/>
          <w:szCs w:val="24"/>
        </w:rPr>
        <w:t>-</w:t>
      </w:r>
      <w:proofErr w:type="spellStart"/>
      <w:r w:rsidRPr="00F12FD6">
        <w:rPr>
          <w:sz w:val="24"/>
          <w:szCs w:val="24"/>
        </w:rPr>
        <w:t>angiotensin</w:t>
      </w:r>
      <w:proofErr w:type="spellEnd"/>
      <w:r w:rsidRPr="00F12FD6">
        <w:rPr>
          <w:sz w:val="24"/>
          <w:szCs w:val="24"/>
        </w:rPr>
        <w:t>-</w:t>
      </w:r>
      <w:proofErr w:type="spellStart"/>
      <w:r w:rsidRPr="00F12FD6">
        <w:rPr>
          <w:sz w:val="24"/>
          <w:szCs w:val="24"/>
        </w:rPr>
        <w:t>aldosteron</w:t>
      </w:r>
      <w:proofErr w:type="spellEnd"/>
      <w:r w:rsidRPr="00F12FD6">
        <w:rPr>
          <w:sz w:val="24"/>
          <w:szCs w:val="24"/>
        </w:rPr>
        <w:t>-systemet (RAAS) gennem kombinationsbehandling med ACE-</w:t>
      </w:r>
      <w:proofErr w:type="spellStart"/>
      <w:r w:rsidRPr="00F12FD6">
        <w:rPr>
          <w:sz w:val="24"/>
          <w:szCs w:val="24"/>
        </w:rPr>
        <w:t>hæmmere</w:t>
      </w:r>
      <w:proofErr w:type="spellEnd"/>
      <w:r w:rsidRPr="00F12FD6">
        <w:rPr>
          <w:sz w:val="24"/>
          <w:szCs w:val="24"/>
        </w:rPr>
        <w:t xml:space="preserve">, </w:t>
      </w:r>
      <w:proofErr w:type="spellStart"/>
      <w:r w:rsidRPr="00F12FD6">
        <w:rPr>
          <w:sz w:val="24"/>
          <w:szCs w:val="24"/>
        </w:rPr>
        <w:t>angiotensin</w:t>
      </w:r>
      <w:proofErr w:type="spellEnd"/>
      <w:r w:rsidRPr="00F12FD6">
        <w:rPr>
          <w:sz w:val="24"/>
          <w:szCs w:val="24"/>
        </w:rPr>
        <w:t xml:space="preserve"> II-receptorantagonister eller </w:t>
      </w:r>
      <w:proofErr w:type="spellStart"/>
      <w:r w:rsidRPr="00F12FD6">
        <w:rPr>
          <w:sz w:val="24"/>
          <w:szCs w:val="24"/>
        </w:rPr>
        <w:t>aliskiren</w:t>
      </w:r>
      <w:proofErr w:type="spellEnd"/>
      <w:r w:rsidRPr="00F12FD6">
        <w:rPr>
          <w:sz w:val="24"/>
          <w:szCs w:val="24"/>
        </w:rPr>
        <w:t xml:space="preserve"> er forbundet med en højere hyppighed af bivirkninger såsom hypotension, </w:t>
      </w:r>
      <w:proofErr w:type="spellStart"/>
      <w:r w:rsidRPr="00F12FD6">
        <w:rPr>
          <w:sz w:val="24"/>
          <w:szCs w:val="24"/>
        </w:rPr>
        <w:t>hyperkaliæmi</w:t>
      </w:r>
      <w:proofErr w:type="spellEnd"/>
      <w:r w:rsidRPr="00F12FD6">
        <w:rPr>
          <w:sz w:val="24"/>
          <w:szCs w:val="24"/>
        </w:rPr>
        <w:t xml:space="preserve"> og nedsat nyrefunktion (herunder akut nyresvigt) sammenlignet med brug af et enkelt RAAS-virkende lægemiddel (se pkt. 4.3, 4.4 og 5.1).</w:t>
      </w:r>
    </w:p>
    <w:p w14:paraId="6B6C924C" w14:textId="77777777" w:rsidR="00D2303A" w:rsidRPr="005D5B8E" w:rsidRDefault="00D2303A" w:rsidP="008D7C83">
      <w:pPr>
        <w:ind w:left="851"/>
        <w:rPr>
          <w:sz w:val="24"/>
          <w:szCs w:val="24"/>
          <w:u w:val="single"/>
        </w:rPr>
      </w:pPr>
    </w:p>
    <w:p w14:paraId="3F3557EF" w14:textId="77777777" w:rsidR="00D2303A" w:rsidRPr="005D5B8E" w:rsidRDefault="00D2303A" w:rsidP="008D7C83">
      <w:pPr>
        <w:ind w:left="851"/>
        <w:rPr>
          <w:sz w:val="24"/>
          <w:szCs w:val="24"/>
          <w:u w:val="single"/>
        </w:rPr>
      </w:pPr>
      <w:r w:rsidRPr="005D5B8E">
        <w:rPr>
          <w:sz w:val="24"/>
          <w:szCs w:val="24"/>
          <w:u w:val="single"/>
        </w:rPr>
        <w:t>Kontraindicerede kombinationer</w:t>
      </w:r>
    </w:p>
    <w:p w14:paraId="7C7B3C12" w14:textId="77777777" w:rsidR="00D2303A" w:rsidRPr="00F12FD6" w:rsidRDefault="00D2303A" w:rsidP="008D7C83">
      <w:pPr>
        <w:ind w:left="851"/>
        <w:rPr>
          <w:sz w:val="24"/>
          <w:szCs w:val="24"/>
        </w:rPr>
      </w:pPr>
      <w:r w:rsidRPr="00F12FD6">
        <w:rPr>
          <w:sz w:val="24"/>
          <w:szCs w:val="24"/>
        </w:rPr>
        <w:t>Samtidig anvendelse af ACE-</w:t>
      </w:r>
      <w:proofErr w:type="spellStart"/>
      <w:r w:rsidRPr="00F12FD6">
        <w:rPr>
          <w:sz w:val="24"/>
          <w:szCs w:val="24"/>
        </w:rPr>
        <w:t>hæmmere</w:t>
      </w:r>
      <w:proofErr w:type="spellEnd"/>
      <w:r w:rsidRPr="00F12FD6">
        <w:rPr>
          <w:sz w:val="24"/>
          <w:szCs w:val="24"/>
        </w:rPr>
        <w:t xml:space="preserve"> med </w:t>
      </w:r>
      <w:proofErr w:type="spellStart"/>
      <w:r w:rsidRPr="00F12FD6">
        <w:rPr>
          <w:sz w:val="24"/>
          <w:szCs w:val="24"/>
        </w:rPr>
        <w:t>sacubitril</w:t>
      </w:r>
      <w:proofErr w:type="spellEnd"/>
      <w:r w:rsidRPr="00F12FD6">
        <w:rPr>
          <w:sz w:val="24"/>
          <w:szCs w:val="24"/>
        </w:rPr>
        <w:t>/</w:t>
      </w:r>
      <w:proofErr w:type="spellStart"/>
      <w:r w:rsidRPr="00F12FD6">
        <w:rPr>
          <w:sz w:val="24"/>
          <w:szCs w:val="24"/>
        </w:rPr>
        <w:t>valsartan</w:t>
      </w:r>
      <w:proofErr w:type="spellEnd"/>
      <w:r w:rsidRPr="00F12FD6">
        <w:rPr>
          <w:sz w:val="24"/>
          <w:szCs w:val="24"/>
        </w:rPr>
        <w:t xml:space="preserve"> er kontraindiceret, da dette øger risikoen for </w:t>
      </w:r>
      <w:proofErr w:type="spellStart"/>
      <w:r w:rsidRPr="00F12FD6">
        <w:rPr>
          <w:sz w:val="24"/>
          <w:szCs w:val="24"/>
        </w:rPr>
        <w:t>angioødem</w:t>
      </w:r>
      <w:proofErr w:type="spellEnd"/>
      <w:r w:rsidRPr="00F12FD6">
        <w:rPr>
          <w:sz w:val="24"/>
          <w:szCs w:val="24"/>
        </w:rPr>
        <w:t xml:space="preserve"> (se pkt. 4.3 og 4.4). Behandling med </w:t>
      </w:r>
      <w:proofErr w:type="spellStart"/>
      <w:r w:rsidRPr="00F12FD6">
        <w:rPr>
          <w:sz w:val="24"/>
          <w:szCs w:val="24"/>
        </w:rPr>
        <w:t>ramipril</w:t>
      </w:r>
      <w:proofErr w:type="spellEnd"/>
      <w:r w:rsidRPr="00F12FD6">
        <w:rPr>
          <w:sz w:val="24"/>
          <w:szCs w:val="24"/>
        </w:rPr>
        <w:t xml:space="preserve"> må ikke startes, førend 36 timer efter den sidste dosis </w:t>
      </w:r>
      <w:proofErr w:type="spellStart"/>
      <w:r w:rsidRPr="00F12FD6">
        <w:rPr>
          <w:sz w:val="24"/>
          <w:szCs w:val="24"/>
        </w:rPr>
        <w:t>sacubitril</w:t>
      </w:r>
      <w:proofErr w:type="spellEnd"/>
      <w:r w:rsidRPr="00F12FD6">
        <w:rPr>
          <w:sz w:val="24"/>
          <w:szCs w:val="24"/>
        </w:rPr>
        <w:t>/</w:t>
      </w:r>
      <w:proofErr w:type="spellStart"/>
      <w:r w:rsidRPr="00F12FD6">
        <w:rPr>
          <w:sz w:val="24"/>
          <w:szCs w:val="24"/>
        </w:rPr>
        <w:t>valsartan</w:t>
      </w:r>
      <w:proofErr w:type="spellEnd"/>
      <w:r w:rsidRPr="00F12FD6">
        <w:rPr>
          <w:sz w:val="24"/>
          <w:szCs w:val="24"/>
        </w:rPr>
        <w:t xml:space="preserve">. </w:t>
      </w:r>
      <w:proofErr w:type="spellStart"/>
      <w:r w:rsidRPr="00F12FD6">
        <w:rPr>
          <w:sz w:val="24"/>
          <w:szCs w:val="24"/>
        </w:rPr>
        <w:t>Sacubitril</w:t>
      </w:r>
      <w:proofErr w:type="spellEnd"/>
      <w:r w:rsidRPr="00F12FD6">
        <w:rPr>
          <w:sz w:val="24"/>
          <w:szCs w:val="24"/>
        </w:rPr>
        <w:t>/</w:t>
      </w:r>
      <w:proofErr w:type="spellStart"/>
      <w:r w:rsidRPr="00F12FD6">
        <w:rPr>
          <w:sz w:val="24"/>
          <w:szCs w:val="24"/>
        </w:rPr>
        <w:t>valsartan</w:t>
      </w:r>
      <w:proofErr w:type="spellEnd"/>
      <w:r w:rsidRPr="00F12FD6">
        <w:rPr>
          <w:sz w:val="24"/>
          <w:szCs w:val="24"/>
        </w:rPr>
        <w:t xml:space="preserve"> må ikke startes, førend 36 timer efter den sidste dosis Ramiliv.</w:t>
      </w:r>
    </w:p>
    <w:p w14:paraId="1EBC6CFC" w14:textId="77777777" w:rsidR="00D2303A" w:rsidRPr="00F12FD6" w:rsidRDefault="00D2303A" w:rsidP="008D7C83">
      <w:pPr>
        <w:ind w:left="851"/>
        <w:rPr>
          <w:sz w:val="24"/>
          <w:szCs w:val="24"/>
        </w:rPr>
      </w:pPr>
    </w:p>
    <w:p w14:paraId="3DADCF7F" w14:textId="77777777" w:rsidR="00D2303A" w:rsidRPr="00F12FD6" w:rsidRDefault="00D2303A" w:rsidP="008D7C83">
      <w:pPr>
        <w:ind w:left="851"/>
        <w:rPr>
          <w:sz w:val="24"/>
          <w:szCs w:val="24"/>
        </w:rPr>
      </w:pPr>
      <w:proofErr w:type="spellStart"/>
      <w:r w:rsidRPr="00F12FD6">
        <w:rPr>
          <w:sz w:val="24"/>
          <w:szCs w:val="24"/>
        </w:rPr>
        <w:t>Ekstrakorporale</w:t>
      </w:r>
      <w:proofErr w:type="spellEnd"/>
      <w:r w:rsidRPr="00F12FD6">
        <w:rPr>
          <w:sz w:val="24"/>
          <w:szCs w:val="24"/>
        </w:rPr>
        <w:t xml:space="preserve"> behandlinger, der medfører blodkontakt med negativt ladede overflader såsom dialyse og </w:t>
      </w:r>
      <w:proofErr w:type="spellStart"/>
      <w:r w:rsidRPr="00F12FD6">
        <w:rPr>
          <w:sz w:val="24"/>
          <w:szCs w:val="24"/>
        </w:rPr>
        <w:t>hæmofiltrering</w:t>
      </w:r>
      <w:proofErr w:type="spellEnd"/>
      <w:r w:rsidRPr="00F12FD6">
        <w:rPr>
          <w:sz w:val="24"/>
          <w:szCs w:val="24"/>
        </w:rPr>
        <w:t xml:space="preserve"> med bestemte high-flux-membraner (f.eks. </w:t>
      </w:r>
      <w:proofErr w:type="spellStart"/>
      <w:r w:rsidRPr="00F12FD6">
        <w:rPr>
          <w:sz w:val="24"/>
          <w:szCs w:val="24"/>
        </w:rPr>
        <w:t>polyakrylnitrilmembraner</w:t>
      </w:r>
      <w:proofErr w:type="spellEnd"/>
      <w:r w:rsidRPr="00F12FD6">
        <w:rPr>
          <w:sz w:val="24"/>
          <w:szCs w:val="24"/>
        </w:rPr>
        <w:t xml:space="preserve">) og lavdensitets </w:t>
      </w:r>
      <w:proofErr w:type="spellStart"/>
      <w:r w:rsidRPr="00F12FD6">
        <w:rPr>
          <w:sz w:val="24"/>
          <w:szCs w:val="24"/>
        </w:rPr>
        <w:t>lipoprotein</w:t>
      </w:r>
      <w:proofErr w:type="spellEnd"/>
      <w:r w:rsidRPr="00F12FD6">
        <w:rPr>
          <w:sz w:val="24"/>
          <w:szCs w:val="24"/>
        </w:rPr>
        <w:t xml:space="preserve"> </w:t>
      </w:r>
      <w:proofErr w:type="spellStart"/>
      <w:r w:rsidRPr="00F12FD6">
        <w:rPr>
          <w:sz w:val="24"/>
          <w:szCs w:val="24"/>
        </w:rPr>
        <w:t>aferese</w:t>
      </w:r>
      <w:proofErr w:type="spellEnd"/>
      <w:r w:rsidRPr="00F12FD6">
        <w:rPr>
          <w:sz w:val="24"/>
          <w:szCs w:val="24"/>
        </w:rPr>
        <w:t xml:space="preserve"> med </w:t>
      </w:r>
      <w:proofErr w:type="spellStart"/>
      <w:r w:rsidRPr="00F12FD6">
        <w:rPr>
          <w:sz w:val="24"/>
          <w:szCs w:val="24"/>
        </w:rPr>
        <w:t>dextransulfat</w:t>
      </w:r>
      <w:proofErr w:type="spellEnd"/>
      <w:r w:rsidRPr="00F12FD6">
        <w:rPr>
          <w:sz w:val="24"/>
          <w:szCs w:val="24"/>
        </w:rPr>
        <w:t xml:space="preserve">, grundet øget risiko for svære </w:t>
      </w:r>
      <w:proofErr w:type="spellStart"/>
      <w:r w:rsidRPr="00F12FD6">
        <w:rPr>
          <w:sz w:val="24"/>
          <w:szCs w:val="24"/>
        </w:rPr>
        <w:t>anafylaktoide</w:t>
      </w:r>
      <w:proofErr w:type="spellEnd"/>
      <w:r w:rsidRPr="00F12FD6">
        <w:rPr>
          <w:sz w:val="24"/>
          <w:szCs w:val="24"/>
        </w:rPr>
        <w:t xml:space="preserve"> reaktioner (se pkt. 4.3). Hvis sådanne behandlinger er påkrævet, bør det overvejes at anvende en anden type dialysemembran eller en anden type </w:t>
      </w:r>
      <w:proofErr w:type="spellStart"/>
      <w:r w:rsidRPr="00F12FD6">
        <w:rPr>
          <w:sz w:val="24"/>
          <w:szCs w:val="24"/>
        </w:rPr>
        <w:t>antihypertensivum</w:t>
      </w:r>
      <w:proofErr w:type="spellEnd"/>
      <w:r w:rsidRPr="00F12FD6">
        <w:rPr>
          <w:sz w:val="24"/>
          <w:szCs w:val="24"/>
        </w:rPr>
        <w:t>.</w:t>
      </w:r>
    </w:p>
    <w:p w14:paraId="6060B909" w14:textId="77777777" w:rsidR="00D2303A" w:rsidRPr="00F12FD6" w:rsidRDefault="00D2303A" w:rsidP="008D7C83">
      <w:pPr>
        <w:ind w:left="851"/>
        <w:rPr>
          <w:sz w:val="24"/>
          <w:szCs w:val="24"/>
        </w:rPr>
      </w:pPr>
    </w:p>
    <w:p w14:paraId="79A777C4" w14:textId="77777777" w:rsidR="00D2303A" w:rsidRPr="005D5B8E" w:rsidRDefault="00D2303A" w:rsidP="008D7C83">
      <w:pPr>
        <w:ind w:left="851"/>
        <w:rPr>
          <w:sz w:val="24"/>
          <w:szCs w:val="24"/>
          <w:u w:val="single"/>
        </w:rPr>
      </w:pPr>
      <w:r w:rsidRPr="005D5B8E">
        <w:rPr>
          <w:sz w:val="24"/>
          <w:szCs w:val="24"/>
          <w:u w:val="single"/>
        </w:rPr>
        <w:t>Forsigtighedsregler vedrørende brugen</w:t>
      </w:r>
    </w:p>
    <w:p w14:paraId="28AA90D1" w14:textId="77777777" w:rsidR="00D2303A" w:rsidRPr="00F12FD6" w:rsidRDefault="00D2303A" w:rsidP="008D7C83">
      <w:pPr>
        <w:ind w:left="851"/>
        <w:rPr>
          <w:i/>
          <w:iCs/>
          <w:sz w:val="24"/>
          <w:szCs w:val="24"/>
        </w:rPr>
      </w:pPr>
      <w:r w:rsidRPr="00F12FD6">
        <w:rPr>
          <w:i/>
          <w:iCs/>
          <w:sz w:val="24"/>
          <w:szCs w:val="24"/>
        </w:rPr>
        <w:t xml:space="preserve">Kaliumsalte, </w:t>
      </w:r>
      <w:proofErr w:type="spellStart"/>
      <w:r w:rsidRPr="00F12FD6">
        <w:rPr>
          <w:i/>
          <w:iCs/>
          <w:sz w:val="24"/>
          <w:szCs w:val="24"/>
        </w:rPr>
        <w:t>heparin</w:t>
      </w:r>
      <w:proofErr w:type="spellEnd"/>
      <w:r w:rsidRPr="00F12FD6">
        <w:rPr>
          <w:i/>
          <w:iCs/>
          <w:sz w:val="24"/>
          <w:szCs w:val="24"/>
        </w:rPr>
        <w:t xml:space="preserve">, kaliumbesparende </w:t>
      </w:r>
      <w:proofErr w:type="spellStart"/>
      <w:r w:rsidRPr="00F12FD6">
        <w:rPr>
          <w:i/>
          <w:iCs/>
          <w:sz w:val="24"/>
          <w:szCs w:val="24"/>
        </w:rPr>
        <w:t>diuretika</w:t>
      </w:r>
      <w:proofErr w:type="spellEnd"/>
      <w:r w:rsidRPr="00F12FD6">
        <w:rPr>
          <w:i/>
          <w:iCs/>
          <w:sz w:val="24"/>
          <w:szCs w:val="24"/>
        </w:rPr>
        <w:t xml:space="preserve"> og andre aktive indholdsstoffer, der øger plasmakalium </w:t>
      </w:r>
      <w:r w:rsidRPr="00F12FD6">
        <w:rPr>
          <w:sz w:val="24"/>
          <w:szCs w:val="24"/>
        </w:rPr>
        <w:t xml:space="preserve">(herunder </w:t>
      </w:r>
      <w:proofErr w:type="spellStart"/>
      <w:r w:rsidRPr="00F12FD6">
        <w:rPr>
          <w:sz w:val="24"/>
          <w:szCs w:val="24"/>
        </w:rPr>
        <w:t>angiotensin</w:t>
      </w:r>
      <w:proofErr w:type="spellEnd"/>
      <w:r w:rsidRPr="00F12FD6">
        <w:rPr>
          <w:sz w:val="24"/>
          <w:szCs w:val="24"/>
        </w:rPr>
        <w:t xml:space="preserve"> II-antagonister, </w:t>
      </w:r>
      <w:proofErr w:type="spellStart"/>
      <w:r w:rsidRPr="00F12FD6">
        <w:rPr>
          <w:sz w:val="24"/>
          <w:szCs w:val="24"/>
        </w:rPr>
        <w:t>trimethoprim</w:t>
      </w:r>
      <w:proofErr w:type="spellEnd"/>
      <w:r w:rsidRPr="00F12FD6">
        <w:rPr>
          <w:sz w:val="24"/>
          <w:szCs w:val="24"/>
        </w:rPr>
        <w:t xml:space="preserve"> og i fast dosiskombination med </w:t>
      </w:r>
      <w:proofErr w:type="spellStart"/>
      <w:r w:rsidRPr="00F12FD6">
        <w:rPr>
          <w:sz w:val="24"/>
          <w:szCs w:val="24"/>
        </w:rPr>
        <w:t>sulfamethoxazol</w:t>
      </w:r>
      <w:proofErr w:type="spellEnd"/>
      <w:r w:rsidRPr="00F12FD6">
        <w:rPr>
          <w:sz w:val="24"/>
          <w:szCs w:val="24"/>
        </w:rPr>
        <w:t xml:space="preserve">, </w:t>
      </w:r>
      <w:proofErr w:type="spellStart"/>
      <w:r w:rsidRPr="00F12FD6">
        <w:rPr>
          <w:sz w:val="24"/>
          <w:szCs w:val="24"/>
        </w:rPr>
        <w:t>tacrolimus</w:t>
      </w:r>
      <w:proofErr w:type="spellEnd"/>
      <w:r w:rsidRPr="00F12FD6">
        <w:rPr>
          <w:sz w:val="24"/>
          <w:szCs w:val="24"/>
        </w:rPr>
        <w:t xml:space="preserve">, </w:t>
      </w:r>
      <w:proofErr w:type="spellStart"/>
      <w:r w:rsidRPr="00F12FD6">
        <w:rPr>
          <w:sz w:val="24"/>
          <w:szCs w:val="24"/>
        </w:rPr>
        <w:t>ciclosporin</w:t>
      </w:r>
      <w:proofErr w:type="spellEnd"/>
      <w:r w:rsidRPr="00F12FD6">
        <w:rPr>
          <w:sz w:val="24"/>
          <w:szCs w:val="24"/>
        </w:rPr>
        <w:t>):</w:t>
      </w:r>
      <w:r w:rsidRPr="00F12FD6">
        <w:rPr>
          <w:i/>
          <w:iCs/>
          <w:sz w:val="24"/>
          <w:szCs w:val="24"/>
        </w:rPr>
        <w:t xml:space="preserve"> </w:t>
      </w:r>
      <w:proofErr w:type="spellStart"/>
      <w:r w:rsidRPr="00F12FD6">
        <w:rPr>
          <w:sz w:val="24"/>
          <w:szCs w:val="24"/>
        </w:rPr>
        <w:t>hyperkaliæmi</w:t>
      </w:r>
      <w:proofErr w:type="spellEnd"/>
      <w:r w:rsidRPr="00F12FD6">
        <w:rPr>
          <w:sz w:val="24"/>
          <w:szCs w:val="24"/>
        </w:rPr>
        <w:t xml:space="preserve"> kan opstå. Derfor kræves tæt monitorering af serumkalium.</w:t>
      </w:r>
    </w:p>
    <w:p w14:paraId="32826A15" w14:textId="77777777" w:rsidR="00D2303A" w:rsidRPr="00F12FD6" w:rsidRDefault="00D2303A" w:rsidP="008D7C83">
      <w:pPr>
        <w:ind w:left="851"/>
        <w:rPr>
          <w:i/>
          <w:iCs/>
          <w:sz w:val="24"/>
          <w:szCs w:val="24"/>
        </w:rPr>
      </w:pPr>
    </w:p>
    <w:p w14:paraId="502C7E65" w14:textId="308A3A0C" w:rsidR="00D2303A" w:rsidRPr="00F12FD6" w:rsidRDefault="00D2303A" w:rsidP="008D7C83">
      <w:pPr>
        <w:ind w:left="851"/>
        <w:rPr>
          <w:sz w:val="24"/>
          <w:szCs w:val="24"/>
        </w:rPr>
      </w:pPr>
      <w:proofErr w:type="spellStart"/>
      <w:r w:rsidRPr="00F12FD6">
        <w:rPr>
          <w:i/>
          <w:iCs/>
          <w:sz w:val="24"/>
          <w:szCs w:val="24"/>
        </w:rPr>
        <w:t>Antihypertensiva</w:t>
      </w:r>
      <w:proofErr w:type="spellEnd"/>
      <w:r w:rsidRPr="00F12FD6">
        <w:rPr>
          <w:i/>
          <w:iCs/>
          <w:sz w:val="24"/>
          <w:szCs w:val="24"/>
        </w:rPr>
        <w:t xml:space="preserve"> (f.eks. </w:t>
      </w:r>
      <w:proofErr w:type="spellStart"/>
      <w:r w:rsidRPr="00F12FD6">
        <w:rPr>
          <w:i/>
          <w:iCs/>
          <w:sz w:val="24"/>
          <w:szCs w:val="24"/>
        </w:rPr>
        <w:t>diuretika</w:t>
      </w:r>
      <w:proofErr w:type="spellEnd"/>
      <w:r w:rsidRPr="00F12FD6">
        <w:rPr>
          <w:i/>
          <w:iCs/>
          <w:sz w:val="24"/>
          <w:szCs w:val="24"/>
        </w:rPr>
        <w:t xml:space="preserve">) og andre stoffer, der kan sænke blodtrykket (f.eks. nitrater, tricykliske </w:t>
      </w:r>
      <w:proofErr w:type="spellStart"/>
      <w:r w:rsidRPr="00F12FD6">
        <w:rPr>
          <w:i/>
          <w:iCs/>
          <w:sz w:val="24"/>
          <w:szCs w:val="24"/>
        </w:rPr>
        <w:t>antidepressiva</w:t>
      </w:r>
      <w:proofErr w:type="spellEnd"/>
      <w:r w:rsidRPr="00F12FD6">
        <w:rPr>
          <w:i/>
          <w:iCs/>
          <w:sz w:val="24"/>
          <w:szCs w:val="24"/>
        </w:rPr>
        <w:t xml:space="preserve">, </w:t>
      </w:r>
      <w:proofErr w:type="spellStart"/>
      <w:r w:rsidRPr="00F12FD6">
        <w:rPr>
          <w:i/>
          <w:iCs/>
          <w:sz w:val="24"/>
          <w:szCs w:val="24"/>
        </w:rPr>
        <w:t>anæstetika</w:t>
      </w:r>
      <w:proofErr w:type="spellEnd"/>
      <w:r w:rsidRPr="00F12FD6">
        <w:rPr>
          <w:i/>
          <w:iCs/>
          <w:sz w:val="24"/>
          <w:szCs w:val="24"/>
        </w:rPr>
        <w:t xml:space="preserve">, akut alkoholindtag, </w:t>
      </w:r>
      <w:proofErr w:type="spellStart"/>
      <w:r w:rsidRPr="00F12FD6">
        <w:rPr>
          <w:i/>
          <w:iCs/>
          <w:sz w:val="24"/>
          <w:szCs w:val="24"/>
        </w:rPr>
        <w:t>bacloren</w:t>
      </w:r>
      <w:proofErr w:type="spellEnd"/>
      <w:r w:rsidRPr="00F12FD6">
        <w:rPr>
          <w:i/>
          <w:iCs/>
          <w:sz w:val="24"/>
          <w:szCs w:val="24"/>
        </w:rPr>
        <w:t xml:space="preserve">, </w:t>
      </w:r>
      <w:proofErr w:type="spellStart"/>
      <w:r w:rsidRPr="00F12FD6">
        <w:rPr>
          <w:i/>
          <w:iCs/>
          <w:sz w:val="24"/>
          <w:szCs w:val="24"/>
        </w:rPr>
        <w:t>alfuzosin</w:t>
      </w:r>
      <w:proofErr w:type="spellEnd"/>
      <w:r w:rsidRPr="00F12FD6">
        <w:rPr>
          <w:i/>
          <w:iCs/>
          <w:sz w:val="24"/>
          <w:szCs w:val="24"/>
        </w:rPr>
        <w:t xml:space="preserve">, </w:t>
      </w:r>
      <w:proofErr w:type="spellStart"/>
      <w:r w:rsidRPr="00F12FD6">
        <w:rPr>
          <w:i/>
          <w:iCs/>
          <w:sz w:val="24"/>
          <w:szCs w:val="24"/>
        </w:rPr>
        <w:t>doxazosin</w:t>
      </w:r>
      <w:proofErr w:type="spellEnd"/>
      <w:r w:rsidRPr="00F12FD6">
        <w:rPr>
          <w:i/>
          <w:iCs/>
          <w:sz w:val="24"/>
          <w:szCs w:val="24"/>
        </w:rPr>
        <w:t xml:space="preserve">, </w:t>
      </w:r>
      <w:proofErr w:type="spellStart"/>
      <w:r w:rsidRPr="00F12FD6">
        <w:rPr>
          <w:i/>
          <w:iCs/>
          <w:sz w:val="24"/>
          <w:szCs w:val="24"/>
        </w:rPr>
        <w:t>prazosin</w:t>
      </w:r>
      <w:proofErr w:type="spellEnd"/>
      <w:r w:rsidRPr="00F12FD6">
        <w:rPr>
          <w:i/>
          <w:iCs/>
          <w:sz w:val="24"/>
          <w:szCs w:val="24"/>
        </w:rPr>
        <w:t xml:space="preserve">, </w:t>
      </w:r>
      <w:proofErr w:type="spellStart"/>
      <w:r w:rsidRPr="00F12FD6">
        <w:rPr>
          <w:i/>
          <w:iCs/>
          <w:sz w:val="24"/>
          <w:szCs w:val="24"/>
        </w:rPr>
        <w:t>tamsulosin</w:t>
      </w:r>
      <w:proofErr w:type="spellEnd"/>
      <w:r w:rsidRPr="00F12FD6">
        <w:rPr>
          <w:i/>
          <w:iCs/>
          <w:sz w:val="24"/>
          <w:szCs w:val="24"/>
        </w:rPr>
        <w:t xml:space="preserve">, </w:t>
      </w:r>
      <w:proofErr w:type="spellStart"/>
      <w:r w:rsidRPr="00F12FD6">
        <w:rPr>
          <w:i/>
          <w:iCs/>
          <w:sz w:val="24"/>
          <w:szCs w:val="24"/>
        </w:rPr>
        <w:t>terazosin</w:t>
      </w:r>
      <w:proofErr w:type="spellEnd"/>
      <w:r w:rsidRPr="00F12FD6">
        <w:rPr>
          <w:i/>
          <w:iCs/>
          <w:sz w:val="24"/>
          <w:szCs w:val="24"/>
        </w:rPr>
        <w:t>):</w:t>
      </w:r>
      <w:r w:rsidR="008E0B2A">
        <w:rPr>
          <w:i/>
          <w:iCs/>
          <w:sz w:val="24"/>
          <w:szCs w:val="24"/>
        </w:rPr>
        <w:t xml:space="preserve"> </w:t>
      </w:r>
      <w:r w:rsidRPr="00F12FD6">
        <w:rPr>
          <w:sz w:val="24"/>
          <w:szCs w:val="24"/>
        </w:rPr>
        <w:t xml:space="preserve">Forstærket risiko for hypotension er forventelig (se pkt. 4.2 vedr. </w:t>
      </w:r>
      <w:proofErr w:type="spellStart"/>
      <w:r w:rsidRPr="00F12FD6">
        <w:rPr>
          <w:sz w:val="24"/>
          <w:szCs w:val="24"/>
        </w:rPr>
        <w:t>diuretika</w:t>
      </w:r>
      <w:proofErr w:type="spellEnd"/>
      <w:r w:rsidRPr="00F12FD6">
        <w:rPr>
          <w:sz w:val="24"/>
          <w:szCs w:val="24"/>
        </w:rPr>
        <w:t>).</w:t>
      </w:r>
    </w:p>
    <w:p w14:paraId="55F9CF91" w14:textId="77777777" w:rsidR="00D2303A" w:rsidRPr="00F12FD6" w:rsidRDefault="00D2303A" w:rsidP="008D7C83">
      <w:pPr>
        <w:ind w:left="851"/>
        <w:rPr>
          <w:i/>
          <w:iCs/>
          <w:sz w:val="24"/>
          <w:szCs w:val="24"/>
        </w:rPr>
      </w:pPr>
    </w:p>
    <w:p w14:paraId="6B9CD693" w14:textId="77777777" w:rsidR="00D2303A" w:rsidRPr="00F12FD6" w:rsidRDefault="00D2303A" w:rsidP="008D7C83">
      <w:pPr>
        <w:ind w:left="851"/>
        <w:rPr>
          <w:i/>
          <w:iCs/>
          <w:sz w:val="24"/>
          <w:szCs w:val="24"/>
        </w:rPr>
      </w:pPr>
      <w:proofErr w:type="spellStart"/>
      <w:r w:rsidRPr="00F12FD6">
        <w:rPr>
          <w:i/>
          <w:iCs/>
          <w:sz w:val="24"/>
          <w:szCs w:val="24"/>
        </w:rPr>
        <w:t>Vasopressor</w:t>
      </w:r>
      <w:proofErr w:type="spellEnd"/>
      <w:r w:rsidRPr="00F12FD6">
        <w:rPr>
          <w:i/>
          <w:iCs/>
          <w:sz w:val="24"/>
          <w:szCs w:val="24"/>
        </w:rPr>
        <w:t xml:space="preserve"> </w:t>
      </w:r>
      <w:proofErr w:type="spellStart"/>
      <w:r w:rsidRPr="00F12FD6">
        <w:rPr>
          <w:i/>
          <w:iCs/>
          <w:sz w:val="24"/>
          <w:szCs w:val="24"/>
        </w:rPr>
        <w:t>sympatomimetika</w:t>
      </w:r>
      <w:proofErr w:type="spellEnd"/>
      <w:r w:rsidRPr="00F12FD6">
        <w:rPr>
          <w:i/>
          <w:iCs/>
          <w:sz w:val="24"/>
          <w:szCs w:val="24"/>
        </w:rPr>
        <w:t xml:space="preserve"> og andre stoffer (f.eks. </w:t>
      </w:r>
      <w:proofErr w:type="spellStart"/>
      <w:r w:rsidRPr="00F12FD6">
        <w:rPr>
          <w:i/>
          <w:iCs/>
          <w:sz w:val="24"/>
          <w:szCs w:val="24"/>
        </w:rPr>
        <w:t>isoproterenol</w:t>
      </w:r>
      <w:proofErr w:type="spellEnd"/>
      <w:r w:rsidRPr="00F12FD6">
        <w:rPr>
          <w:i/>
          <w:iCs/>
          <w:sz w:val="24"/>
          <w:szCs w:val="24"/>
        </w:rPr>
        <w:t xml:space="preserve">, </w:t>
      </w:r>
      <w:proofErr w:type="spellStart"/>
      <w:r w:rsidRPr="00F12FD6">
        <w:rPr>
          <w:i/>
          <w:iCs/>
          <w:sz w:val="24"/>
          <w:szCs w:val="24"/>
        </w:rPr>
        <w:t>dobutamin</w:t>
      </w:r>
      <w:proofErr w:type="spellEnd"/>
      <w:r w:rsidRPr="00F12FD6">
        <w:rPr>
          <w:i/>
          <w:iCs/>
          <w:sz w:val="24"/>
          <w:szCs w:val="24"/>
        </w:rPr>
        <w:t xml:space="preserve">, dopamin, </w:t>
      </w:r>
      <w:proofErr w:type="spellStart"/>
      <w:r w:rsidRPr="00F12FD6">
        <w:rPr>
          <w:i/>
          <w:iCs/>
          <w:sz w:val="24"/>
          <w:szCs w:val="24"/>
        </w:rPr>
        <w:t>epinephrin</w:t>
      </w:r>
      <w:proofErr w:type="spellEnd"/>
      <w:r w:rsidRPr="00F12FD6">
        <w:rPr>
          <w:i/>
          <w:iCs/>
          <w:sz w:val="24"/>
          <w:szCs w:val="24"/>
        </w:rPr>
        <w:t xml:space="preserve">), der kan reducere den </w:t>
      </w:r>
      <w:proofErr w:type="spellStart"/>
      <w:r w:rsidRPr="00F12FD6">
        <w:rPr>
          <w:i/>
          <w:iCs/>
          <w:sz w:val="24"/>
          <w:szCs w:val="24"/>
        </w:rPr>
        <w:t>antihypertensive</w:t>
      </w:r>
      <w:proofErr w:type="spellEnd"/>
      <w:r w:rsidRPr="00F12FD6">
        <w:rPr>
          <w:i/>
          <w:iCs/>
          <w:sz w:val="24"/>
          <w:szCs w:val="24"/>
        </w:rPr>
        <w:t xml:space="preserve"> effekt af </w:t>
      </w:r>
      <w:r w:rsidRPr="00F12FD6">
        <w:rPr>
          <w:i/>
          <w:sz w:val="24"/>
          <w:szCs w:val="24"/>
        </w:rPr>
        <w:t>Ramiliv</w:t>
      </w:r>
      <w:r w:rsidRPr="00F12FD6">
        <w:rPr>
          <w:sz w:val="24"/>
          <w:szCs w:val="24"/>
        </w:rPr>
        <w:t>: Monitorering af blodtrykket</w:t>
      </w:r>
      <w:r w:rsidRPr="00F12FD6">
        <w:rPr>
          <w:i/>
          <w:iCs/>
          <w:sz w:val="24"/>
          <w:szCs w:val="24"/>
        </w:rPr>
        <w:t xml:space="preserve"> </w:t>
      </w:r>
      <w:r w:rsidRPr="00F12FD6">
        <w:rPr>
          <w:sz w:val="24"/>
          <w:szCs w:val="24"/>
        </w:rPr>
        <w:t>anbefales.</w:t>
      </w:r>
    </w:p>
    <w:p w14:paraId="7AE0AAA1" w14:textId="77777777" w:rsidR="00D2303A" w:rsidRPr="00F12FD6" w:rsidRDefault="00D2303A" w:rsidP="008D7C83">
      <w:pPr>
        <w:ind w:left="851"/>
        <w:rPr>
          <w:i/>
          <w:iCs/>
          <w:sz w:val="24"/>
          <w:szCs w:val="24"/>
        </w:rPr>
      </w:pPr>
    </w:p>
    <w:p w14:paraId="17FECB9E" w14:textId="77777777" w:rsidR="00D2303A" w:rsidRPr="00F12FD6" w:rsidRDefault="00D2303A" w:rsidP="008D7C83">
      <w:pPr>
        <w:ind w:left="851"/>
        <w:rPr>
          <w:sz w:val="24"/>
          <w:szCs w:val="24"/>
        </w:rPr>
      </w:pPr>
      <w:proofErr w:type="spellStart"/>
      <w:r w:rsidRPr="00F12FD6">
        <w:rPr>
          <w:i/>
          <w:iCs/>
          <w:sz w:val="24"/>
          <w:szCs w:val="24"/>
        </w:rPr>
        <w:t>Allopurinol</w:t>
      </w:r>
      <w:proofErr w:type="spellEnd"/>
      <w:r w:rsidRPr="00F12FD6">
        <w:rPr>
          <w:i/>
          <w:iCs/>
          <w:sz w:val="24"/>
          <w:szCs w:val="24"/>
        </w:rPr>
        <w:t xml:space="preserve">, </w:t>
      </w:r>
      <w:proofErr w:type="spellStart"/>
      <w:r w:rsidRPr="00F12FD6">
        <w:rPr>
          <w:i/>
          <w:iCs/>
          <w:sz w:val="24"/>
          <w:szCs w:val="24"/>
        </w:rPr>
        <w:t>immunsuppressiva</w:t>
      </w:r>
      <w:proofErr w:type="spellEnd"/>
      <w:r w:rsidRPr="00F12FD6">
        <w:rPr>
          <w:i/>
          <w:iCs/>
          <w:sz w:val="24"/>
          <w:szCs w:val="24"/>
        </w:rPr>
        <w:t xml:space="preserve">, </w:t>
      </w:r>
      <w:proofErr w:type="spellStart"/>
      <w:r w:rsidRPr="00F12FD6">
        <w:rPr>
          <w:i/>
          <w:iCs/>
          <w:sz w:val="24"/>
          <w:szCs w:val="24"/>
        </w:rPr>
        <w:t>kortikosteroider</w:t>
      </w:r>
      <w:proofErr w:type="spellEnd"/>
      <w:r w:rsidRPr="00F12FD6">
        <w:rPr>
          <w:i/>
          <w:iCs/>
          <w:sz w:val="24"/>
          <w:szCs w:val="24"/>
        </w:rPr>
        <w:t xml:space="preserve">, </w:t>
      </w:r>
      <w:proofErr w:type="spellStart"/>
      <w:r w:rsidRPr="00F12FD6">
        <w:rPr>
          <w:i/>
          <w:iCs/>
          <w:sz w:val="24"/>
          <w:szCs w:val="24"/>
        </w:rPr>
        <w:t>procainamid</w:t>
      </w:r>
      <w:proofErr w:type="spellEnd"/>
      <w:r w:rsidRPr="00F12FD6">
        <w:rPr>
          <w:i/>
          <w:iCs/>
          <w:sz w:val="24"/>
          <w:szCs w:val="24"/>
        </w:rPr>
        <w:t xml:space="preserve">, </w:t>
      </w:r>
      <w:proofErr w:type="spellStart"/>
      <w:r w:rsidRPr="00F12FD6">
        <w:rPr>
          <w:i/>
          <w:iCs/>
          <w:sz w:val="24"/>
          <w:szCs w:val="24"/>
        </w:rPr>
        <w:t>cytostatika</w:t>
      </w:r>
      <w:proofErr w:type="spellEnd"/>
      <w:r w:rsidRPr="00F12FD6">
        <w:rPr>
          <w:i/>
          <w:iCs/>
          <w:sz w:val="24"/>
          <w:szCs w:val="24"/>
        </w:rPr>
        <w:t xml:space="preserve"> og andre stoffer, der kan ændre antallet af blodceller: </w:t>
      </w:r>
      <w:r w:rsidRPr="00F12FD6">
        <w:rPr>
          <w:sz w:val="24"/>
          <w:szCs w:val="24"/>
        </w:rPr>
        <w:t>Øget risiko for hæmatologiske reaktioner (se pkt. 4.4).</w:t>
      </w:r>
    </w:p>
    <w:p w14:paraId="24D619E2" w14:textId="77777777" w:rsidR="00D2303A" w:rsidRPr="00F12FD6" w:rsidRDefault="00D2303A" w:rsidP="008D7C83">
      <w:pPr>
        <w:ind w:left="851"/>
        <w:rPr>
          <w:i/>
          <w:iCs/>
          <w:sz w:val="24"/>
          <w:szCs w:val="24"/>
        </w:rPr>
      </w:pPr>
    </w:p>
    <w:p w14:paraId="44ABB065" w14:textId="77777777" w:rsidR="00D2303A" w:rsidRPr="00F12FD6" w:rsidRDefault="00D2303A" w:rsidP="008D7C83">
      <w:pPr>
        <w:ind w:left="851"/>
        <w:rPr>
          <w:sz w:val="24"/>
          <w:szCs w:val="24"/>
        </w:rPr>
      </w:pPr>
      <w:proofErr w:type="spellStart"/>
      <w:r w:rsidRPr="00F12FD6">
        <w:rPr>
          <w:i/>
          <w:iCs/>
          <w:sz w:val="24"/>
          <w:szCs w:val="24"/>
        </w:rPr>
        <w:t>Lithiumsalte</w:t>
      </w:r>
      <w:proofErr w:type="spellEnd"/>
      <w:r w:rsidRPr="00F12FD6">
        <w:rPr>
          <w:i/>
          <w:iCs/>
          <w:sz w:val="24"/>
          <w:szCs w:val="24"/>
        </w:rPr>
        <w:t xml:space="preserve">: </w:t>
      </w:r>
      <w:r w:rsidRPr="00F12FD6">
        <w:rPr>
          <w:sz w:val="24"/>
          <w:szCs w:val="24"/>
        </w:rPr>
        <w:t xml:space="preserve">Udskillelsen af </w:t>
      </w:r>
      <w:proofErr w:type="spellStart"/>
      <w:r w:rsidRPr="00F12FD6">
        <w:rPr>
          <w:sz w:val="24"/>
          <w:szCs w:val="24"/>
        </w:rPr>
        <w:t>lithium</w:t>
      </w:r>
      <w:proofErr w:type="spellEnd"/>
      <w:r w:rsidRPr="00F12FD6">
        <w:rPr>
          <w:sz w:val="24"/>
          <w:szCs w:val="24"/>
        </w:rPr>
        <w:t xml:space="preserve"> kan reduceres med ACE-</w:t>
      </w:r>
      <w:proofErr w:type="spellStart"/>
      <w:r w:rsidRPr="00F12FD6">
        <w:rPr>
          <w:sz w:val="24"/>
          <w:szCs w:val="24"/>
        </w:rPr>
        <w:t>hæmmere</w:t>
      </w:r>
      <w:proofErr w:type="spellEnd"/>
      <w:r w:rsidRPr="00F12FD6">
        <w:rPr>
          <w:sz w:val="24"/>
          <w:szCs w:val="24"/>
        </w:rPr>
        <w:t xml:space="preserve">, og derfor kan </w:t>
      </w:r>
      <w:proofErr w:type="spellStart"/>
      <w:r w:rsidRPr="00F12FD6">
        <w:rPr>
          <w:sz w:val="24"/>
          <w:szCs w:val="24"/>
        </w:rPr>
        <w:t>lithiumtoksiciteten</w:t>
      </w:r>
      <w:proofErr w:type="spellEnd"/>
      <w:r w:rsidRPr="00F12FD6">
        <w:rPr>
          <w:sz w:val="24"/>
          <w:szCs w:val="24"/>
        </w:rPr>
        <w:t xml:space="preserve"> øges. </w:t>
      </w:r>
      <w:proofErr w:type="spellStart"/>
      <w:r w:rsidRPr="00F12FD6">
        <w:rPr>
          <w:sz w:val="24"/>
          <w:szCs w:val="24"/>
        </w:rPr>
        <w:t>Lithiumniveauet</w:t>
      </w:r>
      <w:proofErr w:type="spellEnd"/>
      <w:r w:rsidRPr="00F12FD6">
        <w:rPr>
          <w:sz w:val="24"/>
          <w:szCs w:val="24"/>
        </w:rPr>
        <w:t xml:space="preserve"> skal monitoreres.</w:t>
      </w:r>
    </w:p>
    <w:p w14:paraId="099ADC80" w14:textId="77777777" w:rsidR="00D2303A" w:rsidRPr="00F12FD6" w:rsidRDefault="00D2303A" w:rsidP="008D7C83">
      <w:pPr>
        <w:ind w:left="851"/>
        <w:rPr>
          <w:i/>
          <w:iCs/>
          <w:sz w:val="24"/>
          <w:szCs w:val="24"/>
        </w:rPr>
      </w:pPr>
    </w:p>
    <w:p w14:paraId="1509CAC2" w14:textId="77777777" w:rsidR="00D2303A" w:rsidRPr="00F12FD6" w:rsidRDefault="00D2303A" w:rsidP="008D7C83">
      <w:pPr>
        <w:ind w:left="851"/>
        <w:rPr>
          <w:sz w:val="24"/>
          <w:szCs w:val="24"/>
        </w:rPr>
      </w:pPr>
      <w:proofErr w:type="spellStart"/>
      <w:r w:rsidRPr="00F12FD6">
        <w:rPr>
          <w:i/>
          <w:iCs/>
          <w:sz w:val="24"/>
          <w:szCs w:val="24"/>
        </w:rPr>
        <w:t>Antidiabetika</w:t>
      </w:r>
      <w:proofErr w:type="spellEnd"/>
      <w:r w:rsidRPr="00F12FD6">
        <w:rPr>
          <w:i/>
          <w:iCs/>
          <w:sz w:val="24"/>
          <w:szCs w:val="24"/>
        </w:rPr>
        <w:t xml:space="preserve">, herunder insulin: </w:t>
      </w:r>
      <w:r w:rsidRPr="00F12FD6">
        <w:rPr>
          <w:sz w:val="24"/>
          <w:szCs w:val="24"/>
        </w:rPr>
        <w:t xml:space="preserve">Der kan opstå hypoglykæmiske reaktioner. Monitorering af </w:t>
      </w:r>
      <w:proofErr w:type="spellStart"/>
      <w:r w:rsidRPr="00F12FD6">
        <w:rPr>
          <w:sz w:val="24"/>
          <w:szCs w:val="24"/>
        </w:rPr>
        <w:t>blodglucose</w:t>
      </w:r>
      <w:proofErr w:type="spellEnd"/>
      <w:r w:rsidRPr="00F12FD6">
        <w:rPr>
          <w:sz w:val="24"/>
          <w:szCs w:val="24"/>
        </w:rPr>
        <w:t xml:space="preserve"> anbefales.</w:t>
      </w:r>
    </w:p>
    <w:p w14:paraId="33B4270E" w14:textId="77777777" w:rsidR="00D2303A" w:rsidRPr="00F12FD6" w:rsidRDefault="00D2303A" w:rsidP="008D7C83">
      <w:pPr>
        <w:ind w:left="851"/>
        <w:rPr>
          <w:i/>
          <w:iCs/>
          <w:sz w:val="24"/>
          <w:szCs w:val="24"/>
        </w:rPr>
      </w:pPr>
    </w:p>
    <w:p w14:paraId="214B0EDE" w14:textId="3FF4E1E1" w:rsidR="00D2303A" w:rsidRPr="00F12FD6" w:rsidRDefault="00D2303A" w:rsidP="008D7C83">
      <w:pPr>
        <w:ind w:left="851"/>
        <w:rPr>
          <w:sz w:val="24"/>
          <w:szCs w:val="24"/>
        </w:rPr>
      </w:pPr>
      <w:proofErr w:type="spellStart"/>
      <w:r w:rsidRPr="00F12FD6">
        <w:rPr>
          <w:i/>
          <w:iCs/>
          <w:sz w:val="24"/>
          <w:szCs w:val="24"/>
        </w:rPr>
        <w:t>Nonsteroide</w:t>
      </w:r>
      <w:proofErr w:type="spellEnd"/>
      <w:r w:rsidRPr="00F12FD6">
        <w:rPr>
          <w:i/>
          <w:iCs/>
          <w:sz w:val="24"/>
          <w:szCs w:val="24"/>
        </w:rPr>
        <w:t xml:space="preserve"> antiinflammatoriske stoffer og acetylsalicylsyre:</w:t>
      </w:r>
      <w:r w:rsidR="008E0B2A">
        <w:rPr>
          <w:i/>
          <w:iCs/>
          <w:sz w:val="24"/>
          <w:szCs w:val="24"/>
        </w:rPr>
        <w:t xml:space="preserve"> </w:t>
      </w:r>
      <w:r w:rsidRPr="00F12FD6">
        <w:rPr>
          <w:sz w:val="24"/>
          <w:szCs w:val="24"/>
        </w:rPr>
        <w:t xml:space="preserve">Reduktionen af Ramilivs </w:t>
      </w:r>
      <w:proofErr w:type="spellStart"/>
      <w:r w:rsidRPr="00F12FD6">
        <w:rPr>
          <w:sz w:val="24"/>
          <w:szCs w:val="24"/>
        </w:rPr>
        <w:t>antihypertensive</w:t>
      </w:r>
      <w:proofErr w:type="spellEnd"/>
      <w:r w:rsidRPr="00F12FD6">
        <w:rPr>
          <w:sz w:val="24"/>
          <w:szCs w:val="24"/>
        </w:rPr>
        <w:t xml:space="preserve"> effekt er forventelig. Desuden kan samtidig behandling med ACE-</w:t>
      </w:r>
      <w:proofErr w:type="spellStart"/>
      <w:r w:rsidRPr="00F12FD6">
        <w:rPr>
          <w:sz w:val="24"/>
          <w:szCs w:val="24"/>
        </w:rPr>
        <w:t>hæmmere</w:t>
      </w:r>
      <w:proofErr w:type="spellEnd"/>
      <w:r w:rsidRPr="00F12FD6">
        <w:rPr>
          <w:sz w:val="24"/>
          <w:szCs w:val="24"/>
        </w:rPr>
        <w:t xml:space="preserve"> og </w:t>
      </w:r>
      <w:proofErr w:type="spellStart"/>
      <w:r w:rsidRPr="00F12FD6">
        <w:rPr>
          <w:sz w:val="24"/>
          <w:szCs w:val="24"/>
        </w:rPr>
        <w:t>NSAID’er</w:t>
      </w:r>
      <w:proofErr w:type="spellEnd"/>
      <w:r w:rsidRPr="00F12FD6">
        <w:rPr>
          <w:sz w:val="24"/>
          <w:szCs w:val="24"/>
        </w:rPr>
        <w:t xml:space="preserve"> føre til øget risiko for forværret nyrefunktion og øget </w:t>
      </w:r>
      <w:proofErr w:type="spellStart"/>
      <w:r w:rsidRPr="00F12FD6">
        <w:rPr>
          <w:sz w:val="24"/>
          <w:szCs w:val="24"/>
        </w:rPr>
        <w:t>kaliæmi</w:t>
      </w:r>
      <w:proofErr w:type="spellEnd"/>
      <w:r w:rsidRPr="00F12FD6">
        <w:rPr>
          <w:sz w:val="24"/>
          <w:szCs w:val="24"/>
        </w:rPr>
        <w:t>.</w:t>
      </w:r>
    </w:p>
    <w:p w14:paraId="578618C3" w14:textId="77777777" w:rsidR="00D2303A" w:rsidRPr="00F12FD6" w:rsidRDefault="00D2303A" w:rsidP="008D7C83">
      <w:pPr>
        <w:ind w:left="851"/>
        <w:rPr>
          <w:sz w:val="24"/>
          <w:szCs w:val="24"/>
        </w:rPr>
      </w:pPr>
    </w:p>
    <w:p w14:paraId="4E70E0EF" w14:textId="77777777" w:rsidR="00D2303A" w:rsidRPr="00F12FD6" w:rsidRDefault="00D2303A" w:rsidP="008D7C83">
      <w:pPr>
        <w:ind w:left="851"/>
        <w:rPr>
          <w:sz w:val="24"/>
          <w:szCs w:val="24"/>
        </w:rPr>
      </w:pPr>
      <w:proofErr w:type="spellStart"/>
      <w:r w:rsidRPr="00F12FD6">
        <w:rPr>
          <w:i/>
          <w:sz w:val="24"/>
          <w:szCs w:val="24"/>
        </w:rPr>
        <w:t>mTOR</w:t>
      </w:r>
      <w:proofErr w:type="spellEnd"/>
      <w:r w:rsidRPr="00F12FD6">
        <w:rPr>
          <w:i/>
          <w:sz w:val="24"/>
          <w:szCs w:val="24"/>
        </w:rPr>
        <w:t>- eller DPP-IV-</w:t>
      </w:r>
      <w:proofErr w:type="spellStart"/>
      <w:r w:rsidRPr="00F12FD6">
        <w:rPr>
          <w:i/>
          <w:sz w:val="24"/>
          <w:szCs w:val="24"/>
        </w:rPr>
        <w:t>hæmmere</w:t>
      </w:r>
      <w:proofErr w:type="spellEnd"/>
      <w:r w:rsidRPr="00F12FD6">
        <w:rPr>
          <w:sz w:val="24"/>
          <w:szCs w:val="24"/>
        </w:rPr>
        <w:t xml:space="preserve">: Der er mulighed for en øget risiko for </w:t>
      </w:r>
      <w:proofErr w:type="spellStart"/>
      <w:r w:rsidRPr="00F12FD6">
        <w:rPr>
          <w:sz w:val="24"/>
          <w:szCs w:val="24"/>
        </w:rPr>
        <w:t>angioødem</w:t>
      </w:r>
      <w:proofErr w:type="spellEnd"/>
      <w:r w:rsidRPr="00F12FD6">
        <w:rPr>
          <w:sz w:val="24"/>
          <w:szCs w:val="24"/>
        </w:rPr>
        <w:t xml:space="preserve"> hos patienter, der tager samtidige lægemidler såsom </w:t>
      </w:r>
      <w:proofErr w:type="spellStart"/>
      <w:r w:rsidRPr="00F12FD6">
        <w:rPr>
          <w:sz w:val="24"/>
          <w:szCs w:val="24"/>
        </w:rPr>
        <w:t>mTOR-hæmmere</w:t>
      </w:r>
      <w:proofErr w:type="spellEnd"/>
      <w:r w:rsidRPr="00F12FD6">
        <w:rPr>
          <w:sz w:val="24"/>
          <w:szCs w:val="24"/>
        </w:rPr>
        <w:t xml:space="preserve"> (f.eks. </w:t>
      </w:r>
      <w:proofErr w:type="spellStart"/>
      <w:r w:rsidRPr="00F12FD6">
        <w:rPr>
          <w:sz w:val="24"/>
          <w:szCs w:val="24"/>
        </w:rPr>
        <w:t>temsirolimus</w:t>
      </w:r>
      <w:proofErr w:type="spellEnd"/>
      <w:r w:rsidRPr="00F12FD6">
        <w:rPr>
          <w:sz w:val="24"/>
          <w:szCs w:val="24"/>
        </w:rPr>
        <w:t xml:space="preserve">, </w:t>
      </w:r>
      <w:proofErr w:type="spellStart"/>
      <w:r w:rsidRPr="00F12FD6">
        <w:rPr>
          <w:sz w:val="24"/>
          <w:szCs w:val="24"/>
        </w:rPr>
        <w:t>everolimus</w:t>
      </w:r>
      <w:proofErr w:type="spellEnd"/>
      <w:r w:rsidRPr="00F12FD6">
        <w:rPr>
          <w:sz w:val="24"/>
          <w:szCs w:val="24"/>
        </w:rPr>
        <w:t xml:space="preserve">, </w:t>
      </w:r>
      <w:proofErr w:type="spellStart"/>
      <w:r w:rsidRPr="00F12FD6">
        <w:rPr>
          <w:sz w:val="24"/>
          <w:szCs w:val="24"/>
        </w:rPr>
        <w:t>sirolimus</w:t>
      </w:r>
      <w:proofErr w:type="spellEnd"/>
      <w:r w:rsidRPr="00F12FD6">
        <w:rPr>
          <w:sz w:val="24"/>
          <w:szCs w:val="24"/>
        </w:rPr>
        <w:t xml:space="preserve">) eller </w:t>
      </w:r>
      <w:proofErr w:type="spellStart"/>
      <w:r w:rsidRPr="00F12FD6">
        <w:rPr>
          <w:sz w:val="24"/>
          <w:szCs w:val="24"/>
        </w:rPr>
        <w:t>vildagliptin</w:t>
      </w:r>
      <w:proofErr w:type="spellEnd"/>
      <w:r w:rsidRPr="00F12FD6">
        <w:rPr>
          <w:sz w:val="24"/>
          <w:szCs w:val="24"/>
        </w:rPr>
        <w:t>. Der skal udvises forsigtighed ved start af behandling (se pkt. 4.4).</w:t>
      </w:r>
    </w:p>
    <w:p w14:paraId="5B720079" w14:textId="77777777" w:rsidR="00D2303A" w:rsidRPr="00F12FD6" w:rsidRDefault="00D2303A" w:rsidP="008D7C83">
      <w:pPr>
        <w:ind w:left="851"/>
        <w:rPr>
          <w:sz w:val="24"/>
          <w:szCs w:val="24"/>
        </w:rPr>
      </w:pPr>
    </w:p>
    <w:p w14:paraId="3F88FF05" w14:textId="77777777" w:rsidR="00D2303A" w:rsidRPr="00F12FD6" w:rsidRDefault="00D2303A" w:rsidP="008D7C83">
      <w:pPr>
        <w:ind w:left="851"/>
        <w:rPr>
          <w:sz w:val="24"/>
          <w:szCs w:val="24"/>
        </w:rPr>
      </w:pPr>
      <w:proofErr w:type="spellStart"/>
      <w:r w:rsidRPr="00F12FD6">
        <w:rPr>
          <w:i/>
          <w:sz w:val="24"/>
          <w:szCs w:val="24"/>
        </w:rPr>
        <w:t>Neprilysin-hæmmere</w:t>
      </w:r>
      <w:proofErr w:type="spellEnd"/>
      <w:r w:rsidRPr="00F12FD6">
        <w:rPr>
          <w:i/>
          <w:sz w:val="24"/>
          <w:szCs w:val="24"/>
        </w:rPr>
        <w:t xml:space="preserve"> (NEP): </w:t>
      </w:r>
      <w:r w:rsidRPr="00F12FD6">
        <w:rPr>
          <w:sz w:val="24"/>
          <w:szCs w:val="24"/>
        </w:rPr>
        <w:t xml:space="preserve">Der er rapporteret en øget risiko for </w:t>
      </w:r>
      <w:proofErr w:type="spellStart"/>
      <w:r w:rsidRPr="00F12FD6">
        <w:rPr>
          <w:sz w:val="24"/>
          <w:szCs w:val="24"/>
        </w:rPr>
        <w:t>angioødem</w:t>
      </w:r>
      <w:proofErr w:type="spellEnd"/>
      <w:r w:rsidRPr="00F12FD6">
        <w:rPr>
          <w:sz w:val="24"/>
          <w:szCs w:val="24"/>
        </w:rPr>
        <w:t xml:space="preserve"> ved samtidig brug af ACE-</w:t>
      </w:r>
      <w:proofErr w:type="spellStart"/>
      <w:r w:rsidRPr="00F12FD6">
        <w:rPr>
          <w:sz w:val="24"/>
          <w:szCs w:val="24"/>
        </w:rPr>
        <w:t>hæmmere</w:t>
      </w:r>
      <w:proofErr w:type="spellEnd"/>
      <w:r w:rsidRPr="00F12FD6">
        <w:rPr>
          <w:sz w:val="24"/>
          <w:szCs w:val="24"/>
        </w:rPr>
        <w:t xml:space="preserve"> og en NEP-hæmmer såsom </w:t>
      </w:r>
      <w:proofErr w:type="spellStart"/>
      <w:r w:rsidRPr="00F12FD6">
        <w:rPr>
          <w:sz w:val="24"/>
          <w:szCs w:val="24"/>
        </w:rPr>
        <w:t>racecadotril</w:t>
      </w:r>
      <w:proofErr w:type="spellEnd"/>
      <w:r w:rsidRPr="00F12FD6">
        <w:rPr>
          <w:sz w:val="24"/>
          <w:szCs w:val="24"/>
        </w:rPr>
        <w:t xml:space="preserve"> (se pkt. 4.4).</w:t>
      </w:r>
    </w:p>
    <w:p w14:paraId="05AC2D39" w14:textId="77777777" w:rsidR="00D2303A" w:rsidRPr="00F12FD6" w:rsidRDefault="00D2303A" w:rsidP="008D7C83">
      <w:pPr>
        <w:ind w:left="851"/>
        <w:rPr>
          <w:i/>
          <w:sz w:val="24"/>
          <w:szCs w:val="24"/>
        </w:rPr>
      </w:pPr>
    </w:p>
    <w:p w14:paraId="394FA558" w14:textId="77777777" w:rsidR="00D2303A" w:rsidRPr="00F12FD6" w:rsidRDefault="00D2303A" w:rsidP="008D7C83">
      <w:pPr>
        <w:ind w:left="851"/>
        <w:rPr>
          <w:i/>
          <w:sz w:val="24"/>
          <w:szCs w:val="24"/>
        </w:rPr>
      </w:pPr>
      <w:proofErr w:type="spellStart"/>
      <w:r w:rsidRPr="00F12FD6">
        <w:rPr>
          <w:i/>
          <w:sz w:val="24"/>
          <w:szCs w:val="24"/>
        </w:rPr>
        <w:t>Sacubitril</w:t>
      </w:r>
      <w:proofErr w:type="spellEnd"/>
      <w:r w:rsidRPr="00F12FD6">
        <w:rPr>
          <w:i/>
          <w:sz w:val="24"/>
          <w:szCs w:val="24"/>
        </w:rPr>
        <w:t>/</w:t>
      </w:r>
      <w:proofErr w:type="spellStart"/>
      <w:r w:rsidRPr="00F12FD6">
        <w:rPr>
          <w:i/>
          <w:sz w:val="24"/>
          <w:szCs w:val="24"/>
        </w:rPr>
        <w:t>valsartan</w:t>
      </w:r>
      <w:proofErr w:type="spellEnd"/>
      <w:r w:rsidRPr="00F12FD6">
        <w:rPr>
          <w:i/>
          <w:sz w:val="24"/>
          <w:szCs w:val="24"/>
        </w:rPr>
        <w:t xml:space="preserve">: </w:t>
      </w:r>
      <w:r w:rsidRPr="00F12FD6">
        <w:rPr>
          <w:sz w:val="24"/>
          <w:szCs w:val="24"/>
        </w:rPr>
        <w:t>Samtidig brug af ACE-</w:t>
      </w:r>
      <w:proofErr w:type="spellStart"/>
      <w:r w:rsidRPr="00F12FD6">
        <w:rPr>
          <w:sz w:val="24"/>
          <w:szCs w:val="24"/>
        </w:rPr>
        <w:t>hæmmere</w:t>
      </w:r>
      <w:proofErr w:type="spellEnd"/>
      <w:r w:rsidRPr="00F12FD6">
        <w:rPr>
          <w:sz w:val="24"/>
          <w:szCs w:val="24"/>
        </w:rPr>
        <w:t xml:space="preserve"> med </w:t>
      </w:r>
      <w:proofErr w:type="spellStart"/>
      <w:r w:rsidRPr="00F12FD6">
        <w:rPr>
          <w:sz w:val="24"/>
          <w:szCs w:val="24"/>
        </w:rPr>
        <w:t>sacubitril</w:t>
      </w:r>
      <w:proofErr w:type="spellEnd"/>
      <w:r w:rsidRPr="00F12FD6">
        <w:rPr>
          <w:sz w:val="24"/>
          <w:szCs w:val="24"/>
        </w:rPr>
        <w:t>/</w:t>
      </w:r>
      <w:proofErr w:type="spellStart"/>
      <w:r w:rsidRPr="00F12FD6">
        <w:rPr>
          <w:sz w:val="24"/>
          <w:szCs w:val="24"/>
        </w:rPr>
        <w:t>valsartan</w:t>
      </w:r>
      <w:proofErr w:type="spellEnd"/>
      <w:r w:rsidRPr="00F12FD6">
        <w:rPr>
          <w:sz w:val="24"/>
          <w:szCs w:val="24"/>
        </w:rPr>
        <w:t xml:space="preserve"> er kontraindiceret, da dette øger risikoen for </w:t>
      </w:r>
      <w:proofErr w:type="spellStart"/>
      <w:r w:rsidRPr="00F12FD6">
        <w:rPr>
          <w:sz w:val="24"/>
          <w:szCs w:val="24"/>
        </w:rPr>
        <w:t>angioødem</w:t>
      </w:r>
      <w:proofErr w:type="spellEnd"/>
      <w:r w:rsidRPr="00F12FD6">
        <w:rPr>
          <w:sz w:val="24"/>
          <w:szCs w:val="24"/>
        </w:rPr>
        <w:t>.</w:t>
      </w:r>
    </w:p>
    <w:p w14:paraId="071921B4" w14:textId="77777777" w:rsidR="009260DE" w:rsidRPr="00F12FD6" w:rsidRDefault="009260DE" w:rsidP="009260DE">
      <w:pPr>
        <w:tabs>
          <w:tab w:val="left" w:pos="851"/>
        </w:tabs>
        <w:ind w:left="851"/>
        <w:rPr>
          <w:sz w:val="24"/>
          <w:szCs w:val="24"/>
        </w:rPr>
      </w:pPr>
    </w:p>
    <w:p w14:paraId="6A2EBB8C" w14:textId="77777777" w:rsidR="009260DE" w:rsidRPr="00F12FD6" w:rsidRDefault="009260DE" w:rsidP="009260DE">
      <w:pPr>
        <w:tabs>
          <w:tab w:val="left" w:pos="851"/>
        </w:tabs>
        <w:ind w:left="851" w:hanging="851"/>
        <w:rPr>
          <w:b/>
          <w:sz w:val="24"/>
          <w:szCs w:val="24"/>
        </w:rPr>
      </w:pPr>
      <w:r w:rsidRPr="00F12FD6">
        <w:rPr>
          <w:b/>
          <w:sz w:val="24"/>
          <w:szCs w:val="24"/>
        </w:rPr>
        <w:t>4.6</w:t>
      </w:r>
      <w:r w:rsidRPr="00F12FD6">
        <w:rPr>
          <w:b/>
          <w:sz w:val="24"/>
          <w:szCs w:val="24"/>
        </w:rPr>
        <w:tab/>
      </w:r>
      <w:r w:rsidR="0071241E" w:rsidRPr="00F12FD6">
        <w:rPr>
          <w:b/>
          <w:sz w:val="24"/>
          <w:szCs w:val="24"/>
        </w:rPr>
        <w:t>Fertilitet, g</w:t>
      </w:r>
      <w:r w:rsidRPr="00F12FD6">
        <w:rPr>
          <w:b/>
          <w:sz w:val="24"/>
          <w:szCs w:val="24"/>
        </w:rPr>
        <w:t>raviditet og amning</w:t>
      </w:r>
    </w:p>
    <w:p w14:paraId="47FD8D75" w14:textId="77777777" w:rsidR="005D5B8E" w:rsidRDefault="005D5B8E" w:rsidP="008D7C83">
      <w:pPr>
        <w:ind w:left="851"/>
        <w:rPr>
          <w:sz w:val="24"/>
          <w:szCs w:val="24"/>
        </w:rPr>
      </w:pPr>
    </w:p>
    <w:p w14:paraId="718A5D54" w14:textId="1C3F6B21" w:rsidR="00D2303A" w:rsidRPr="005D5B8E" w:rsidRDefault="00D2303A" w:rsidP="008D7C83">
      <w:pPr>
        <w:ind w:left="851"/>
        <w:rPr>
          <w:sz w:val="24"/>
          <w:szCs w:val="24"/>
          <w:u w:val="single"/>
          <w:lang w:eastAsia="ro-RO"/>
        </w:rPr>
      </w:pPr>
      <w:r w:rsidRPr="005D5B8E">
        <w:rPr>
          <w:sz w:val="24"/>
          <w:szCs w:val="24"/>
          <w:u w:val="single"/>
        </w:rPr>
        <w:t>Graviditet</w:t>
      </w:r>
    </w:p>
    <w:p w14:paraId="642B5719" w14:textId="77777777" w:rsidR="00D2303A" w:rsidRPr="00F12FD6" w:rsidRDefault="00D2303A" w:rsidP="008D7C83">
      <w:pPr>
        <w:ind w:left="851"/>
        <w:rPr>
          <w:sz w:val="24"/>
          <w:szCs w:val="24"/>
        </w:rPr>
      </w:pPr>
      <w:r w:rsidRPr="00F12FD6">
        <w:rPr>
          <w:sz w:val="24"/>
          <w:szCs w:val="24"/>
        </w:rPr>
        <w:t>Ramiliv bør ikke anvendes i graviditetens første trimester (se pkt. 4.4) og er kontraindiceret i graviditetens andet og tredje trimester (se pkt. 4.3).</w:t>
      </w:r>
    </w:p>
    <w:p w14:paraId="6DB95663" w14:textId="77777777" w:rsidR="00D2303A" w:rsidRPr="00F12FD6" w:rsidRDefault="00D2303A" w:rsidP="008D7C83">
      <w:pPr>
        <w:ind w:left="851"/>
        <w:rPr>
          <w:sz w:val="24"/>
          <w:szCs w:val="24"/>
        </w:rPr>
      </w:pPr>
    </w:p>
    <w:p w14:paraId="7A33FAEA" w14:textId="77777777" w:rsidR="00D2303A" w:rsidRPr="00F12FD6" w:rsidRDefault="00D2303A" w:rsidP="008D7C83">
      <w:pPr>
        <w:ind w:left="851"/>
        <w:rPr>
          <w:sz w:val="24"/>
          <w:szCs w:val="24"/>
        </w:rPr>
      </w:pPr>
      <w:r w:rsidRPr="00F12FD6">
        <w:rPr>
          <w:sz w:val="24"/>
          <w:szCs w:val="24"/>
        </w:rPr>
        <w:t xml:space="preserve">Epidemiologiske undersøgelser af risikoen for </w:t>
      </w:r>
      <w:proofErr w:type="spellStart"/>
      <w:r w:rsidRPr="00F12FD6">
        <w:rPr>
          <w:sz w:val="24"/>
          <w:szCs w:val="24"/>
        </w:rPr>
        <w:t>teratogenitet</w:t>
      </w:r>
      <w:proofErr w:type="spellEnd"/>
      <w:r w:rsidRPr="00F12FD6">
        <w:rPr>
          <w:sz w:val="24"/>
          <w:szCs w:val="24"/>
        </w:rPr>
        <w:t xml:space="preserve"> ved behandling med ACE-</w:t>
      </w:r>
      <w:proofErr w:type="spellStart"/>
      <w:r w:rsidRPr="00F12FD6">
        <w:rPr>
          <w:sz w:val="24"/>
          <w:szCs w:val="24"/>
        </w:rPr>
        <w:t>hæmmere</w:t>
      </w:r>
      <w:proofErr w:type="spellEnd"/>
      <w:r w:rsidRPr="00F12FD6">
        <w:rPr>
          <w:sz w:val="24"/>
          <w:szCs w:val="24"/>
        </w:rPr>
        <w:t xml:space="preserve"> under graviditetens første trimester er </w:t>
      </w:r>
      <w:proofErr w:type="spellStart"/>
      <w:r w:rsidRPr="00F12FD6">
        <w:rPr>
          <w:sz w:val="24"/>
          <w:szCs w:val="24"/>
        </w:rPr>
        <w:t>inkonklusive</w:t>
      </w:r>
      <w:proofErr w:type="spellEnd"/>
      <w:r w:rsidRPr="00F12FD6">
        <w:rPr>
          <w:sz w:val="24"/>
          <w:szCs w:val="24"/>
        </w:rPr>
        <w:t xml:space="preserve">, men en let øget risiko kan ikke udelukkes. Ved planlægning af graviditet bør patienten skifte til alternativ </w:t>
      </w:r>
      <w:proofErr w:type="spellStart"/>
      <w:r w:rsidRPr="00F12FD6">
        <w:rPr>
          <w:sz w:val="24"/>
          <w:szCs w:val="24"/>
        </w:rPr>
        <w:t>antihypertensiv</w:t>
      </w:r>
      <w:proofErr w:type="spellEnd"/>
      <w:r w:rsidRPr="00F12FD6">
        <w:rPr>
          <w:sz w:val="24"/>
          <w:szCs w:val="24"/>
        </w:rPr>
        <w:t xml:space="preserve"> behandling med en kendt sikkerhedsprofil vedrørende brug under graviditet, medmindre fortsat behandling med ACE-</w:t>
      </w:r>
      <w:proofErr w:type="spellStart"/>
      <w:r w:rsidRPr="00F12FD6">
        <w:rPr>
          <w:sz w:val="24"/>
          <w:szCs w:val="24"/>
        </w:rPr>
        <w:t>hæmmere</w:t>
      </w:r>
      <w:proofErr w:type="spellEnd"/>
      <w:r w:rsidRPr="00F12FD6">
        <w:rPr>
          <w:sz w:val="24"/>
          <w:szCs w:val="24"/>
        </w:rPr>
        <w:t xml:space="preserve"> vurderes at være nødvendig. Ved påvist graviditet bør behandling med ACE-</w:t>
      </w:r>
      <w:proofErr w:type="spellStart"/>
      <w:r w:rsidRPr="00F12FD6">
        <w:rPr>
          <w:sz w:val="24"/>
          <w:szCs w:val="24"/>
        </w:rPr>
        <w:t>hæmmere</w:t>
      </w:r>
      <w:proofErr w:type="spellEnd"/>
      <w:r w:rsidRPr="00F12FD6">
        <w:rPr>
          <w:sz w:val="24"/>
          <w:szCs w:val="24"/>
        </w:rPr>
        <w:t xml:space="preserve"> seponeres omgående, og alternativ </w:t>
      </w:r>
      <w:proofErr w:type="spellStart"/>
      <w:r w:rsidRPr="00F12FD6">
        <w:rPr>
          <w:sz w:val="24"/>
          <w:szCs w:val="24"/>
        </w:rPr>
        <w:t>antihypertensiv</w:t>
      </w:r>
      <w:proofErr w:type="spellEnd"/>
      <w:r w:rsidRPr="00F12FD6">
        <w:rPr>
          <w:sz w:val="24"/>
          <w:szCs w:val="24"/>
        </w:rPr>
        <w:t xml:space="preserve"> behandling eventuelt indledes.</w:t>
      </w:r>
    </w:p>
    <w:p w14:paraId="372DD307" w14:textId="77777777" w:rsidR="00D2303A" w:rsidRPr="00F12FD6" w:rsidRDefault="00D2303A" w:rsidP="008D7C83">
      <w:pPr>
        <w:ind w:left="851"/>
        <w:rPr>
          <w:sz w:val="24"/>
          <w:szCs w:val="24"/>
        </w:rPr>
      </w:pPr>
      <w:r w:rsidRPr="00F12FD6">
        <w:rPr>
          <w:sz w:val="24"/>
          <w:szCs w:val="24"/>
        </w:rPr>
        <w:t>Det er kendt, at eksponering for ACE-</w:t>
      </w:r>
      <w:proofErr w:type="spellStart"/>
      <w:r w:rsidRPr="00F12FD6">
        <w:rPr>
          <w:sz w:val="24"/>
          <w:szCs w:val="24"/>
        </w:rPr>
        <w:t>hæmmere</w:t>
      </w:r>
      <w:proofErr w:type="spellEnd"/>
      <w:r w:rsidRPr="00F12FD6">
        <w:rPr>
          <w:sz w:val="24"/>
          <w:szCs w:val="24"/>
        </w:rPr>
        <w:t>/</w:t>
      </w:r>
      <w:proofErr w:type="spellStart"/>
      <w:r w:rsidRPr="00F12FD6">
        <w:rPr>
          <w:sz w:val="24"/>
          <w:szCs w:val="24"/>
        </w:rPr>
        <w:t>angiotensin</w:t>
      </w:r>
      <w:proofErr w:type="spellEnd"/>
      <w:r w:rsidRPr="00F12FD6">
        <w:rPr>
          <w:sz w:val="24"/>
          <w:szCs w:val="24"/>
        </w:rPr>
        <w:t xml:space="preserve"> II-receptorantagonister i graviditetens andet og tredje trimester forårsager human </w:t>
      </w:r>
      <w:proofErr w:type="spellStart"/>
      <w:r w:rsidRPr="00F12FD6">
        <w:rPr>
          <w:sz w:val="24"/>
          <w:szCs w:val="24"/>
        </w:rPr>
        <w:t>føtotoksicitet</w:t>
      </w:r>
      <w:proofErr w:type="spellEnd"/>
      <w:r w:rsidRPr="00F12FD6">
        <w:rPr>
          <w:sz w:val="24"/>
          <w:szCs w:val="24"/>
        </w:rPr>
        <w:t xml:space="preserve"> (nedsat nyrefunktion, </w:t>
      </w:r>
      <w:proofErr w:type="spellStart"/>
      <w:r w:rsidRPr="00F12FD6">
        <w:rPr>
          <w:sz w:val="24"/>
          <w:szCs w:val="24"/>
        </w:rPr>
        <w:t>oligohydramnion</w:t>
      </w:r>
      <w:proofErr w:type="spellEnd"/>
      <w:r w:rsidRPr="00F12FD6">
        <w:rPr>
          <w:sz w:val="24"/>
          <w:szCs w:val="24"/>
        </w:rPr>
        <w:t xml:space="preserve">, forsinket </w:t>
      </w:r>
      <w:proofErr w:type="spellStart"/>
      <w:r w:rsidRPr="00F12FD6">
        <w:rPr>
          <w:sz w:val="24"/>
          <w:szCs w:val="24"/>
        </w:rPr>
        <w:t>ossifikation</w:t>
      </w:r>
      <w:proofErr w:type="spellEnd"/>
      <w:r w:rsidRPr="00F12FD6">
        <w:rPr>
          <w:sz w:val="24"/>
          <w:szCs w:val="24"/>
        </w:rPr>
        <w:t xml:space="preserve"> af kraniet) og neonatal toksicitet (nyreinsufficiens, </w:t>
      </w:r>
      <w:r w:rsidRPr="00F12FD6">
        <w:rPr>
          <w:sz w:val="24"/>
          <w:szCs w:val="24"/>
        </w:rPr>
        <w:lastRenderedPageBreak/>
        <w:t xml:space="preserve">hypotension, </w:t>
      </w:r>
      <w:proofErr w:type="spellStart"/>
      <w:r w:rsidRPr="00F12FD6">
        <w:rPr>
          <w:sz w:val="24"/>
          <w:szCs w:val="24"/>
        </w:rPr>
        <w:t>hyperkaliæmi</w:t>
      </w:r>
      <w:proofErr w:type="spellEnd"/>
      <w:r w:rsidRPr="00F12FD6">
        <w:rPr>
          <w:sz w:val="24"/>
          <w:szCs w:val="24"/>
        </w:rPr>
        <w:t>). (Se også pkt. 5.3 Non-kliniske sikkerhedsdata). Ved eksponering for ACE-</w:t>
      </w:r>
      <w:proofErr w:type="spellStart"/>
      <w:r w:rsidRPr="00F12FD6">
        <w:rPr>
          <w:sz w:val="24"/>
          <w:szCs w:val="24"/>
        </w:rPr>
        <w:t>hæmmere</w:t>
      </w:r>
      <w:proofErr w:type="spellEnd"/>
      <w:r w:rsidRPr="00F12FD6">
        <w:rPr>
          <w:sz w:val="24"/>
          <w:szCs w:val="24"/>
        </w:rPr>
        <w:t xml:space="preserve"> i andet eller tredje trimester anbefales ultralydsscanning af fosterets nyrefunktion og kranium. Nyfødte, hvis mødre har taget ACE-</w:t>
      </w:r>
      <w:proofErr w:type="spellStart"/>
      <w:r w:rsidRPr="00F12FD6">
        <w:rPr>
          <w:sz w:val="24"/>
          <w:szCs w:val="24"/>
        </w:rPr>
        <w:t>hæmmere</w:t>
      </w:r>
      <w:proofErr w:type="spellEnd"/>
      <w:r w:rsidRPr="00F12FD6">
        <w:rPr>
          <w:sz w:val="24"/>
          <w:szCs w:val="24"/>
        </w:rPr>
        <w:t xml:space="preserve">, bør observeres nøje for hypotension, </w:t>
      </w:r>
      <w:proofErr w:type="spellStart"/>
      <w:r w:rsidRPr="00F12FD6">
        <w:rPr>
          <w:sz w:val="24"/>
          <w:szCs w:val="24"/>
        </w:rPr>
        <w:t>oliguri</w:t>
      </w:r>
      <w:proofErr w:type="spellEnd"/>
      <w:r w:rsidRPr="00F12FD6">
        <w:rPr>
          <w:sz w:val="24"/>
          <w:szCs w:val="24"/>
        </w:rPr>
        <w:t xml:space="preserve"> og </w:t>
      </w:r>
      <w:proofErr w:type="spellStart"/>
      <w:r w:rsidRPr="00F12FD6">
        <w:rPr>
          <w:sz w:val="24"/>
          <w:szCs w:val="24"/>
        </w:rPr>
        <w:t>hyperkaliæmi</w:t>
      </w:r>
      <w:proofErr w:type="spellEnd"/>
      <w:r w:rsidRPr="00F12FD6">
        <w:rPr>
          <w:sz w:val="24"/>
          <w:szCs w:val="24"/>
        </w:rPr>
        <w:t xml:space="preserve"> (se pkt. 4.3 og 4.4).</w:t>
      </w:r>
    </w:p>
    <w:p w14:paraId="74057C4C" w14:textId="77777777" w:rsidR="00D2303A" w:rsidRPr="00F12FD6" w:rsidRDefault="00D2303A" w:rsidP="008D7C83">
      <w:pPr>
        <w:ind w:left="851"/>
        <w:rPr>
          <w:sz w:val="24"/>
          <w:szCs w:val="24"/>
        </w:rPr>
      </w:pPr>
    </w:p>
    <w:p w14:paraId="117E57C3" w14:textId="77777777" w:rsidR="00D2303A" w:rsidRPr="005D5B8E" w:rsidRDefault="00D2303A" w:rsidP="008D7C83">
      <w:pPr>
        <w:ind w:left="851"/>
        <w:rPr>
          <w:sz w:val="24"/>
          <w:szCs w:val="24"/>
          <w:u w:val="single"/>
        </w:rPr>
      </w:pPr>
      <w:r w:rsidRPr="005D5B8E">
        <w:rPr>
          <w:sz w:val="24"/>
          <w:szCs w:val="24"/>
          <w:u w:val="single"/>
        </w:rPr>
        <w:t xml:space="preserve">Amning </w:t>
      </w:r>
    </w:p>
    <w:p w14:paraId="36F999E6" w14:textId="77777777" w:rsidR="00D2303A" w:rsidRPr="00F12FD6" w:rsidRDefault="00D2303A" w:rsidP="008D7C83">
      <w:pPr>
        <w:ind w:left="851"/>
        <w:rPr>
          <w:sz w:val="24"/>
          <w:szCs w:val="24"/>
        </w:rPr>
      </w:pPr>
      <w:r w:rsidRPr="00F12FD6">
        <w:rPr>
          <w:sz w:val="24"/>
          <w:szCs w:val="24"/>
        </w:rPr>
        <w:t xml:space="preserve">Der er utilstrækkelige oplysninger om brugen af </w:t>
      </w:r>
      <w:proofErr w:type="spellStart"/>
      <w:r w:rsidRPr="00F12FD6">
        <w:rPr>
          <w:sz w:val="24"/>
          <w:szCs w:val="24"/>
        </w:rPr>
        <w:t>ramipril</w:t>
      </w:r>
      <w:proofErr w:type="spellEnd"/>
      <w:r w:rsidRPr="00F12FD6">
        <w:rPr>
          <w:sz w:val="24"/>
          <w:szCs w:val="24"/>
        </w:rPr>
        <w:t xml:space="preserve"> under amning (se pkt. 5.2), og der anbefales derfor alternativ behandling med en bedre etableret sikkerhedsprofil under amning, særligt ved amning af nyfødte eller for tidligt fødte børn.</w:t>
      </w:r>
    </w:p>
    <w:p w14:paraId="636C7060" w14:textId="77777777" w:rsidR="009260DE" w:rsidRPr="00F12FD6" w:rsidRDefault="009260DE" w:rsidP="009260DE">
      <w:pPr>
        <w:tabs>
          <w:tab w:val="left" w:pos="851"/>
        </w:tabs>
        <w:ind w:left="851"/>
        <w:rPr>
          <w:sz w:val="24"/>
          <w:szCs w:val="24"/>
        </w:rPr>
      </w:pPr>
    </w:p>
    <w:p w14:paraId="521FECCA" w14:textId="77777777" w:rsidR="009260DE" w:rsidRPr="00F12FD6" w:rsidRDefault="009260DE" w:rsidP="009260DE">
      <w:pPr>
        <w:tabs>
          <w:tab w:val="left" w:pos="851"/>
        </w:tabs>
        <w:ind w:left="851" w:hanging="851"/>
        <w:rPr>
          <w:b/>
          <w:sz w:val="24"/>
          <w:szCs w:val="24"/>
        </w:rPr>
      </w:pPr>
      <w:r w:rsidRPr="00F12FD6">
        <w:rPr>
          <w:b/>
          <w:sz w:val="24"/>
          <w:szCs w:val="24"/>
        </w:rPr>
        <w:t>4.7</w:t>
      </w:r>
      <w:r w:rsidRPr="00F12FD6">
        <w:rPr>
          <w:b/>
          <w:sz w:val="24"/>
          <w:szCs w:val="24"/>
        </w:rPr>
        <w:tab/>
        <w:t xml:space="preserve">Virkning på evnen til at føre motorkøretøj </w:t>
      </w:r>
      <w:r w:rsidR="0071241E" w:rsidRPr="00F12FD6">
        <w:rPr>
          <w:b/>
          <w:sz w:val="24"/>
          <w:szCs w:val="24"/>
        </w:rPr>
        <w:t>og</w:t>
      </w:r>
      <w:r w:rsidRPr="00F12FD6">
        <w:rPr>
          <w:b/>
          <w:sz w:val="24"/>
          <w:szCs w:val="24"/>
        </w:rPr>
        <w:t xml:space="preserve"> betjene maskiner</w:t>
      </w:r>
    </w:p>
    <w:p w14:paraId="00F9BD53" w14:textId="77777777" w:rsidR="005D5B8E" w:rsidRDefault="005D5B8E" w:rsidP="008D7C83">
      <w:pPr>
        <w:ind w:left="851"/>
        <w:rPr>
          <w:sz w:val="24"/>
          <w:szCs w:val="24"/>
        </w:rPr>
      </w:pPr>
      <w:r>
        <w:rPr>
          <w:sz w:val="24"/>
          <w:szCs w:val="24"/>
        </w:rPr>
        <w:t>Ikke mærkning.</w:t>
      </w:r>
    </w:p>
    <w:p w14:paraId="480F3589" w14:textId="15AF4BC0" w:rsidR="00D2303A" w:rsidRPr="00F12FD6" w:rsidRDefault="00D2303A" w:rsidP="008D7C83">
      <w:pPr>
        <w:ind w:left="851"/>
        <w:rPr>
          <w:rFonts w:eastAsia="MS Mincho"/>
          <w:sz w:val="24"/>
          <w:szCs w:val="24"/>
          <w:lang w:eastAsia="ro-RO"/>
        </w:rPr>
      </w:pPr>
      <w:r w:rsidRPr="00F12FD6">
        <w:rPr>
          <w:sz w:val="24"/>
          <w:szCs w:val="24"/>
        </w:rPr>
        <w:t xml:space="preserve">Visse bivirkninger (f.eks. symptomer på reduktion af blodtryk såsom svimmelhed) kan påvirke evnen til </w:t>
      </w:r>
      <w:r w:rsidR="005D5B8E">
        <w:rPr>
          <w:sz w:val="24"/>
          <w:szCs w:val="24"/>
        </w:rPr>
        <w:t xml:space="preserve">at </w:t>
      </w:r>
      <w:r w:rsidRPr="00F12FD6">
        <w:rPr>
          <w:sz w:val="24"/>
          <w:szCs w:val="24"/>
        </w:rPr>
        <w:t>koncentrere sig og reagere og udgør derfor en risiko i situationer, hvor disse evner er særligt vigtige (f.eks. når man fører motorkøretøj eller betjener maskiner).</w:t>
      </w:r>
    </w:p>
    <w:p w14:paraId="2DCBDA06" w14:textId="07E0D1F4" w:rsidR="009260DE" w:rsidRPr="00F12FD6" w:rsidRDefault="00D2303A" w:rsidP="008D7C83">
      <w:pPr>
        <w:ind w:left="851"/>
        <w:rPr>
          <w:sz w:val="24"/>
          <w:szCs w:val="24"/>
        </w:rPr>
      </w:pPr>
      <w:r w:rsidRPr="00F12FD6">
        <w:rPr>
          <w:sz w:val="24"/>
          <w:szCs w:val="24"/>
        </w:rPr>
        <w:t>Dette forekommer især ved starten af behandlingen eller ved skift fra andre lægemidler. Efter første dosis eller efterfølgende stigninger i dosis frarådes det, at føre motorkøretøjer, eller betjene maskiner i adskillige timer.</w:t>
      </w:r>
    </w:p>
    <w:p w14:paraId="0077ED74" w14:textId="77777777" w:rsidR="009260DE" w:rsidRPr="00F12FD6" w:rsidRDefault="009260DE" w:rsidP="009260DE">
      <w:pPr>
        <w:tabs>
          <w:tab w:val="left" w:pos="851"/>
        </w:tabs>
        <w:ind w:left="851"/>
        <w:rPr>
          <w:sz w:val="24"/>
          <w:szCs w:val="24"/>
        </w:rPr>
      </w:pPr>
    </w:p>
    <w:p w14:paraId="13DD2361" w14:textId="77777777" w:rsidR="009260DE" w:rsidRPr="00F12FD6" w:rsidRDefault="009260DE" w:rsidP="009260DE">
      <w:pPr>
        <w:tabs>
          <w:tab w:val="left" w:pos="851"/>
        </w:tabs>
        <w:ind w:left="851" w:hanging="851"/>
        <w:rPr>
          <w:b/>
          <w:sz w:val="24"/>
          <w:szCs w:val="24"/>
        </w:rPr>
      </w:pPr>
      <w:r w:rsidRPr="00F12FD6">
        <w:rPr>
          <w:b/>
          <w:sz w:val="24"/>
          <w:szCs w:val="24"/>
        </w:rPr>
        <w:t>4.8</w:t>
      </w:r>
      <w:r w:rsidRPr="00F12FD6">
        <w:rPr>
          <w:b/>
          <w:sz w:val="24"/>
          <w:szCs w:val="24"/>
        </w:rPr>
        <w:tab/>
        <w:t>Bivirkninger</w:t>
      </w:r>
    </w:p>
    <w:p w14:paraId="1212642B" w14:textId="77777777" w:rsidR="00D2303A" w:rsidRPr="00F12FD6" w:rsidRDefault="00D2303A" w:rsidP="008D7C83">
      <w:pPr>
        <w:ind w:left="851"/>
        <w:rPr>
          <w:sz w:val="24"/>
          <w:szCs w:val="24"/>
          <w:lang w:eastAsia="ro-RO"/>
        </w:rPr>
      </w:pPr>
      <w:proofErr w:type="spellStart"/>
      <w:r w:rsidRPr="00F12FD6">
        <w:rPr>
          <w:sz w:val="24"/>
          <w:szCs w:val="24"/>
        </w:rPr>
        <w:t>Ramiprils</w:t>
      </w:r>
      <w:proofErr w:type="spellEnd"/>
      <w:r w:rsidRPr="00F12FD6">
        <w:rPr>
          <w:sz w:val="24"/>
          <w:szCs w:val="24"/>
        </w:rPr>
        <w:t xml:space="preserve"> sikkerhedsprofil omfatter vedvarende tør hoste og reaktioner på grund af hypotension. Alvorlige bivirkninger omfatter </w:t>
      </w:r>
      <w:proofErr w:type="spellStart"/>
      <w:r w:rsidRPr="00F12FD6">
        <w:rPr>
          <w:sz w:val="24"/>
          <w:szCs w:val="24"/>
        </w:rPr>
        <w:t>angioødem</w:t>
      </w:r>
      <w:proofErr w:type="spellEnd"/>
      <w:r w:rsidRPr="00F12FD6">
        <w:rPr>
          <w:sz w:val="24"/>
          <w:szCs w:val="24"/>
        </w:rPr>
        <w:t xml:space="preserve">, </w:t>
      </w:r>
      <w:proofErr w:type="spellStart"/>
      <w:r w:rsidRPr="00F12FD6">
        <w:rPr>
          <w:sz w:val="24"/>
          <w:szCs w:val="24"/>
        </w:rPr>
        <w:t>hyperkaliæmi</w:t>
      </w:r>
      <w:proofErr w:type="spellEnd"/>
      <w:r w:rsidRPr="00F12FD6">
        <w:rPr>
          <w:sz w:val="24"/>
          <w:szCs w:val="24"/>
        </w:rPr>
        <w:t xml:space="preserve">, nedsat nyre- eller leverfunktion, </w:t>
      </w:r>
      <w:proofErr w:type="spellStart"/>
      <w:r w:rsidRPr="00F12FD6">
        <w:rPr>
          <w:sz w:val="24"/>
          <w:szCs w:val="24"/>
        </w:rPr>
        <w:t>pankreatitis</w:t>
      </w:r>
      <w:proofErr w:type="spellEnd"/>
      <w:r w:rsidRPr="00F12FD6">
        <w:rPr>
          <w:sz w:val="24"/>
          <w:szCs w:val="24"/>
        </w:rPr>
        <w:t xml:space="preserve">, alvorlige hudreaktioner og </w:t>
      </w:r>
      <w:proofErr w:type="spellStart"/>
      <w:r w:rsidRPr="00F12FD6">
        <w:rPr>
          <w:sz w:val="24"/>
          <w:szCs w:val="24"/>
        </w:rPr>
        <w:t>neutropeni</w:t>
      </w:r>
      <w:proofErr w:type="spellEnd"/>
      <w:r w:rsidRPr="00F12FD6">
        <w:rPr>
          <w:sz w:val="24"/>
          <w:szCs w:val="24"/>
        </w:rPr>
        <w:t>/</w:t>
      </w:r>
      <w:proofErr w:type="spellStart"/>
      <w:r w:rsidRPr="00F12FD6">
        <w:rPr>
          <w:sz w:val="24"/>
          <w:szCs w:val="24"/>
        </w:rPr>
        <w:t>agranulocytose</w:t>
      </w:r>
      <w:proofErr w:type="spellEnd"/>
      <w:r w:rsidRPr="00F12FD6">
        <w:rPr>
          <w:sz w:val="24"/>
          <w:szCs w:val="24"/>
        </w:rPr>
        <w:t>.</w:t>
      </w:r>
    </w:p>
    <w:p w14:paraId="66998E13" w14:textId="77777777" w:rsidR="00D2303A" w:rsidRPr="00F12FD6" w:rsidRDefault="00D2303A" w:rsidP="008D7C83">
      <w:pPr>
        <w:ind w:left="851"/>
        <w:rPr>
          <w:sz w:val="24"/>
          <w:szCs w:val="24"/>
        </w:rPr>
      </w:pPr>
    </w:p>
    <w:p w14:paraId="2666E7E4" w14:textId="630E7E05" w:rsidR="00D2303A" w:rsidRPr="00F12FD6" w:rsidRDefault="00D2303A" w:rsidP="008D7C83">
      <w:pPr>
        <w:ind w:left="851"/>
        <w:rPr>
          <w:sz w:val="24"/>
          <w:szCs w:val="24"/>
        </w:rPr>
      </w:pPr>
      <w:r w:rsidRPr="00F12FD6">
        <w:rPr>
          <w:sz w:val="24"/>
          <w:szCs w:val="24"/>
        </w:rPr>
        <w:t>Meget almindelig (≥1/10), almindelig (≥1/100 til &lt;1/10), ikke almindelig (≥1/1 000 til &lt;1/100), sjælden</w:t>
      </w:r>
      <w:r w:rsidR="005D5B8E">
        <w:rPr>
          <w:sz w:val="24"/>
          <w:szCs w:val="24"/>
        </w:rPr>
        <w:t xml:space="preserve"> </w:t>
      </w:r>
      <w:r w:rsidRPr="00F12FD6">
        <w:rPr>
          <w:sz w:val="24"/>
          <w:szCs w:val="24"/>
        </w:rPr>
        <w:t>(≥1/10 000 til &lt;1/1 000), meget sjælden (&lt;1/10 000), ikke kendt (kan ikke estimeres ud fra forhåndenværende data).</w:t>
      </w:r>
    </w:p>
    <w:p w14:paraId="54DAD9DD" w14:textId="77777777" w:rsidR="00D2303A" w:rsidRPr="00F12FD6" w:rsidRDefault="00D2303A" w:rsidP="008D7C83">
      <w:pPr>
        <w:ind w:left="851"/>
        <w:rPr>
          <w:sz w:val="24"/>
          <w:szCs w:val="24"/>
        </w:rPr>
      </w:pPr>
      <w:r w:rsidRPr="00F12FD6">
        <w:rPr>
          <w:sz w:val="24"/>
          <w:szCs w:val="24"/>
        </w:rPr>
        <w:t>Inden for hver hyppighedsgruppe er bivirkningerne opstillet efter, hvor alvorlige de er, med de alvorligste angivet først</w:t>
      </w:r>
    </w:p>
    <w:p w14:paraId="6AE4CA6D" w14:textId="77777777" w:rsidR="00D2303A" w:rsidRPr="00F12FD6" w:rsidRDefault="00D2303A" w:rsidP="008D7C83">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2"/>
        <w:gridCol w:w="1674"/>
        <w:gridCol w:w="1814"/>
        <w:gridCol w:w="1558"/>
        <w:gridCol w:w="976"/>
        <w:gridCol w:w="1814"/>
      </w:tblGrid>
      <w:tr w:rsidR="00D2303A" w:rsidRPr="00DC2079" w14:paraId="6C9A159C" w14:textId="77777777" w:rsidTr="00DC2079">
        <w:tc>
          <w:tcPr>
            <w:tcW w:w="930" w:type="pct"/>
            <w:tcBorders>
              <w:top w:val="single" w:sz="4" w:space="0" w:color="auto"/>
              <w:left w:val="single" w:sz="4" w:space="0" w:color="auto"/>
              <w:bottom w:val="single" w:sz="4" w:space="0" w:color="auto"/>
              <w:right w:val="single" w:sz="4" w:space="0" w:color="auto"/>
            </w:tcBorders>
            <w:vAlign w:val="center"/>
          </w:tcPr>
          <w:p w14:paraId="66369AF3" w14:textId="77777777" w:rsidR="00D2303A" w:rsidRPr="00DC2079" w:rsidRDefault="00D2303A" w:rsidP="005D5B8E">
            <w:pPr>
              <w:rPr>
                <w:i/>
                <w:sz w:val="20"/>
              </w:rPr>
            </w:pPr>
          </w:p>
        </w:tc>
        <w:tc>
          <w:tcPr>
            <w:tcW w:w="869" w:type="pct"/>
            <w:tcBorders>
              <w:top w:val="single" w:sz="4" w:space="0" w:color="auto"/>
              <w:left w:val="single" w:sz="4" w:space="0" w:color="auto"/>
              <w:bottom w:val="single" w:sz="4" w:space="0" w:color="auto"/>
              <w:right w:val="single" w:sz="4" w:space="0" w:color="auto"/>
            </w:tcBorders>
            <w:vAlign w:val="center"/>
            <w:hideMark/>
          </w:tcPr>
          <w:p w14:paraId="57E35715" w14:textId="77777777" w:rsidR="00D2303A" w:rsidRPr="00DC2079" w:rsidRDefault="00D2303A" w:rsidP="005D5B8E">
            <w:pPr>
              <w:rPr>
                <w:sz w:val="20"/>
              </w:rPr>
            </w:pPr>
            <w:r w:rsidRPr="00DC2079">
              <w:rPr>
                <w:sz w:val="20"/>
              </w:rPr>
              <w:t>Almindelig</w:t>
            </w:r>
          </w:p>
        </w:tc>
        <w:tc>
          <w:tcPr>
            <w:tcW w:w="942" w:type="pct"/>
            <w:tcBorders>
              <w:top w:val="single" w:sz="4" w:space="0" w:color="auto"/>
              <w:left w:val="single" w:sz="4" w:space="0" w:color="auto"/>
              <w:bottom w:val="single" w:sz="4" w:space="0" w:color="auto"/>
              <w:right w:val="single" w:sz="4" w:space="0" w:color="auto"/>
            </w:tcBorders>
            <w:vAlign w:val="center"/>
            <w:hideMark/>
          </w:tcPr>
          <w:p w14:paraId="4790B5AB" w14:textId="77777777" w:rsidR="00D2303A" w:rsidRPr="00DC2079" w:rsidRDefault="00D2303A" w:rsidP="005D5B8E">
            <w:pPr>
              <w:rPr>
                <w:sz w:val="20"/>
              </w:rPr>
            </w:pPr>
            <w:r w:rsidRPr="00DC2079">
              <w:rPr>
                <w:sz w:val="20"/>
              </w:rPr>
              <w:t>Ikke almindelig</w:t>
            </w:r>
          </w:p>
        </w:tc>
        <w:tc>
          <w:tcPr>
            <w:tcW w:w="809" w:type="pct"/>
            <w:tcBorders>
              <w:top w:val="single" w:sz="4" w:space="0" w:color="auto"/>
              <w:left w:val="single" w:sz="4" w:space="0" w:color="auto"/>
              <w:bottom w:val="single" w:sz="4" w:space="0" w:color="auto"/>
              <w:right w:val="single" w:sz="4" w:space="0" w:color="auto"/>
            </w:tcBorders>
            <w:vAlign w:val="center"/>
            <w:hideMark/>
          </w:tcPr>
          <w:p w14:paraId="15963053" w14:textId="77777777" w:rsidR="00D2303A" w:rsidRPr="00DC2079" w:rsidRDefault="00D2303A" w:rsidP="005D5B8E">
            <w:pPr>
              <w:rPr>
                <w:sz w:val="20"/>
              </w:rPr>
            </w:pPr>
            <w:r w:rsidRPr="00DC2079">
              <w:rPr>
                <w:sz w:val="20"/>
              </w:rPr>
              <w:t>Sjælden</w:t>
            </w:r>
          </w:p>
        </w:tc>
        <w:tc>
          <w:tcPr>
            <w:tcW w:w="507" w:type="pct"/>
            <w:tcBorders>
              <w:top w:val="single" w:sz="4" w:space="0" w:color="auto"/>
              <w:left w:val="single" w:sz="4" w:space="0" w:color="auto"/>
              <w:bottom w:val="single" w:sz="4" w:space="0" w:color="auto"/>
              <w:right w:val="single" w:sz="4" w:space="0" w:color="auto"/>
            </w:tcBorders>
            <w:vAlign w:val="center"/>
            <w:hideMark/>
          </w:tcPr>
          <w:p w14:paraId="3DC89367" w14:textId="77777777" w:rsidR="00D2303A" w:rsidRPr="00DC2079" w:rsidRDefault="00D2303A" w:rsidP="005D5B8E">
            <w:pPr>
              <w:rPr>
                <w:sz w:val="20"/>
              </w:rPr>
            </w:pPr>
            <w:r w:rsidRPr="00DC2079">
              <w:rPr>
                <w:sz w:val="20"/>
              </w:rPr>
              <w:t>Meget sjælden</w:t>
            </w:r>
          </w:p>
        </w:tc>
        <w:tc>
          <w:tcPr>
            <w:tcW w:w="942" w:type="pct"/>
            <w:tcBorders>
              <w:top w:val="single" w:sz="4" w:space="0" w:color="auto"/>
              <w:left w:val="single" w:sz="4" w:space="0" w:color="auto"/>
              <w:bottom w:val="single" w:sz="4" w:space="0" w:color="auto"/>
              <w:right w:val="single" w:sz="4" w:space="0" w:color="auto"/>
            </w:tcBorders>
            <w:vAlign w:val="center"/>
            <w:hideMark/>
          </w:tcPr>
          <w:p w14:paraId="52CBB98C" w14:textId="77777777" w:rsidR="00D2303A" w:rsidRPr="00DC2079" w:rsidRDefault="00D2303A" w:rsidP="005D5B8E">
            <w:pPr>
              <w:rPr>
                <w:sz w:val="20"/>
              </w:rPr>
            </w:pPr>
            <w:r w:rsidRPr="00DC2079">
              <w:rPr>
                <w:sz w:val="20"/>
              </w:rPr>
              <w:t>Ikke kendt</w:t>
            </w:r>
          </w:p>
        </w:tc>
      </w:tr>
      <w:tr w:rsidR="00D2303A" w:rsidRPr="00DC2079" w14:paraId="3DD4B74A" w14:textId="77777777" w:rsidTr="00DC2079">
        <w:tc>
          <w:tcPr>
            <w:tcW w:w="930" w:type="pct"/>
            <w:tcBorders>
              <w:top w:val="single" w:sz="4" w:space="0" w:color="auto"/>
              <w:left w:val="single" w:sz="4" w:space="0" w:color="auto"/>
              <w:bottom w:val="single" w:sz="4" w:space="0" w:color="auto"/>
              <w:right w:val="single" w:sz="4" w:space="0" w:color="auto"/>
            </w:tcBorders>
          </w:tcPr>
          <w:p w14:paraId="6E3BF522" w14:textId="77777777" w:rsidR="00D2303A" w:rsidRPr="00DC2079" w:rsidRDefault="00D2303A" w:rsidP="005D5B8E">
            <w:pPr>
              <w:rPr>
                <w:i/>
                <w:sz w:val="20"/>
                <w:lang w:val="en-US"/>
              </w:rPr>
            </w:pPr>
          </w:p>
        </w:tc>
        <w:tc>
          <w:tcPr>
            <w:tcW w:w="869" w:type="pct"/>
            <w:tcBorders>
              <w:top w:val="single" w:sz="4" w:space="0" w:color="auto"/>
              <w:left w:val="single" w:sz="4" w:space="0" w:color="auto"/>
              <w:bottom w:val="single" w:sz="4" w:space="0" w:color="auto"/>
              <w:right w:val="single" w:sz="4" w:space="0" w:color="auto"/>
            </w:tcBorders>
          </w:tcPr>
          <w:p w14:paraId="0D38161C" w14:textId="77777777" w:rsidR="00D2303A" w:rsidRPr="00DC2079" w:rsidRDefault="00D2303A" w:rsidP="005D5B8E">
            <w:pPr>
              <w:rPr>
                <w:spacing w:val="-4"/>
                <w:sz w:val="20"/>
                <w:lang w:val="en-US"/>
              </w:rPr>
            </w:pPr>
          </w:p>
        </w:tc>
        <w:tc>
          <w:tcPr>
            <w:tcW w:w="942" w:type="pct"/>
            <w:tcBorders>
              <w:top w:val="single" w:sz="4" w:space="0" w:color="auto"/>
              <w:left w:val="single" w:sz="4" w:space="0" w:color="auto"/>
              <w:bottom w:val="single" w:sz="4" w:space="0" w:color="auto"/>
              <w:right w:val="single" w:sz="4" w:space="0" w:color="auto"/>
            </w:tcBorders>
          </w:tcPr>
          <w:p w14:paraId="3BB4F448" w14:textId="77777777" w:rsidR="00D2303A" w:rsidRPr="00DC2079" w:rsidRDefault="00D2303A" w:rsidP="005D5B8E">
            <w:pPr>
              <w:rPr>
                <w:spacing w:val="-4"/>
                <w:sz w:val="20"/>
                <w:lang w:val="en-US"/>
              </w:rPr>
            </w:pPr>
          </w:p>
        </w:tc>
        <w:tc>
          <w:tcPr>
            <w:tcW w:w="809" w:type="pct"/>
            <w:tcBorders>
              <w:top w:val="single" w:sz="4" w:space="0" w:color="auto"/>
              <w:left w:val="single" w:sz="4" w:space="0" w:color="auto"/>
              <w:bottom w:val="single" w:sz="4" w:space="0" w:color="auto"/>
              <w:right w:val="single" w:sz="4" w:space="0" w:color="auto"/>
            </w:tcBorders>
          </w:tcPr>
          <w:p w14:paraId="280C4C45" w14:textId="77777777" w:rsidR="00D2303A" w:rsidRPr="00DC2079" w:rsidRDefault="00D2303A" w:rsidP="005D5B8E">
            <w:pPr>
              <w:rPr>
                <w:spacing w:val="-4"/>
                <w:sz w:val="20"/>
                <w:lang w:val="en-US"/>
              </w:rPr>
            </w:pPr>
          </w:p>
        </w:tc>
        <w:tc>
          <w:tcPr>
            <w:tcW w:w="507" w:type="pct"/>
            <w:tcBorders>
              <w:top w:val="single" w:sz="4" w:space="0" w:color="auto"/>
              <w:left w:val="single" w:sz="4" w:space="0" w:color="auto"/>
              <w:bottom w:val="single" w:sz="4" w:space="0" w:color="auto"/>
              <w:right w:val="single" w:sz="4" w:space="0" w:color="auto"/>
            </w:tcBorders>
          </w:tcPr>
          <w:p w14:paraId="7AD6ABEF" w14:textId="77777777" w:rsidR="00D2303A" w:rsidRPr="00DC2079" w:rsidRDefault="00D2303A" w:rsidP="005D5B8E">
            <w:pPr>
              <w:rPr>
                <w:spacing w:val="-4"/>
                <w:sz w:val="20"/>
                <w:lang w:val="en-US"/>
              </w:rPr>
            </w:pPr>
          </w:p>
        </w:tc>
        <w:tc>
          <w:tcPr>
            <w:tcW w:w="942" w:type="pct"/>
            <w:tcBorders>
              <w:top w:val="single" w:sz="4" w:space="0" w:color="auto"/>
              <w:left w:val="single" w:sz="4" w:space="0" w:color="auto"/>
              <w:bottom w:val="single" w:sz="4" w:space="0" w:color="auto"/>
              <w:right w:val="single" w:sz="4" w:space="0" w:color="auto"/>
            </w:tcBorders>
          </w:tcPr>
          <w:p w14:paraId="188EEADC" w14:textId="77777777" w:rsidR="00D2303A" w:rsidRPr="00DC2079" w:rsidRDefault="00D2303A" w:rsidP="005D5B8E">
            <w:pPr>
              <w:rPr>
                <w:spacing w:val="-4"/>
                <w:sz w:val="20"/>
                <w:lang w:val="en-US"/>
              </w:rPr>
            </w:pPr>
          </w:p>
        </w:tc>
      </w:tr>
      <w:tr w:rsidR="00D2303A" w:rsidRPr="00DC2079" w14:paraId="4AFA0A9F" w14:textId="77777777" w:rsidTr="00DC2079">
        <w:tc>
          <w:tcPr>
            <w:tcW w:w="930" w:type="pct"/>
            <w:tcBorders>
              <w:top w:val="single" w:sz="4" w:space="0" w:color="auto"/>
              <w:left w:val="single" w:sz="4" w:space="0" w:color="auto"/>
              <w:bottom w:val="single" w:sz="4" w:space="0" w:color="auto"/>
              <w:right w:val="single" w:sz="4" w:space="0" w:color="auto"/>
            </w:tcBorders>
            <w:hideMark/>
          </w:tcPr>
          <w:p w14:paraId="248862A8" w14:textId="77777777" w:rsidR="00D2303A" w:rsidRPr="00DC2079" w:rsidRDefault="00D2303A" w:rsidP="005D5B8E">
            <w:pPr>
              <w:rPr>
                <w:i/>
                <w:sz w:val="20"/>
              </w:rPr>
            </w:pPr>
            <w:r w:rsidRPr="00DC2079">
              <w:rPr>
                <w:i/>
                <w:sz w:val="20"/>
              </w:rPr>
              <w:t>Blod og lymfesystem</w:t>
            </w:r>
          </w:p>
        </w:tc>
        <w:tc>
          <w:tcPr>
            <w:tcW w:w="869" w:type="pct"/>
            <w:tcBorders>
              <w:top w:val="single" w:sz="4" w:space="0" w:color="auto"/>
              <w:left w:val="single" w:sz="4" w:space="0" w:color="auto"/>
              <w:bottom w:val="single" w:sz="4" w:space="0" w:color="auto"/>
              <w:right w:val="single" w:sz="4" w:space="0" w:color="auto"/>
            </w:tcBorders>
          </w:tcPr>
          <w:p w14:paraId="1F3D9988" w14:textId="77777777" w:rsidR="00D2303A" w:rsidRPr="00DC2079" w:rsidRDefault="00D2303A" w:rsidP="005D5B8E">
            <w:pPr>
              <w:rPr>
                <w:spacing w:val="-4"/>
                <w:sz w:val="20"/>
                <w:lang w:val="en-US"/>
              </w:rPr>
            </w:pPr>
          </w:p>
        </w:tc>
        <w:tc>
          <w:tcPr>
            <w:tcW w:w="942" w:type="pct"/>
            <w:tcBorders>
              <w:top w:val="single" w:sz="4" w:space="0" w:color="auto"/>
              <w:left w:val="single" w:sz="4" w:space="0" w:color="auto"/>
              <w:bottom w:val="single" w:sz="4" w:space="0" w:color="auto"/>
              <w:right w:val="single" w:sz="4" w:space="0" w:color="auto"/>
            </w:tcBorders>
            <w:hideMark/>
          </w:tcPr>
          <w:p w14:paraId="1937A95C" w14:textId="77777777" w:rsidR="00D2303A" w:rsidRPr="00DC2079" w:rsidRDefault="00D2303A" w:rsidP="005D5B8E">
            <w:pPr>
              <w:rPr>
                <w:spacing w:val="-4"/>
                <w:sz w:val="20"/>
              </w:rPr>
            </w:pPr>
            <w:proofErr w:type="spellStart"/>
            <w:r w:rsidRPr="00DC2079">
              <w:rPr>
                <w:sz w:val="20"/>
              </w:rPr>
              <w:t>Eosinofili</w:t>
            </w:r>
            <w:proofErr w:type="spellEnd"/>
          </w:p>
        </w:tc>
        <w:tc>
          <w:tcPr>
            <w:tcW w:w="809" w:type="pct"/>
            <w:tcBorders>
              <w:top w:val="single" w:sz="4" w:space="0" w:color="auto"/>
              <w:left w:val="single" w:sz="4" w:space="0" w:color="auto"/>
              <w:bottom w:val="single" w:sz="4" w:space="0" w:color="auto"/>
              <w:right w:val="single" w:sz="4" w:space="0" w:color="auto"/>
            </w:tcBorders>
            <w:hideMark/>
          </w:tcPr>
          <w:p w14:paraId="0768F5AF" w14:textId="7E5A6DFC" w:rsidR="00D2303A" w:rsidRPr="00DC2079" w:rsidRDefault="00D2303A" w:rsidP="005D5B8E">
            <w:pPr>
              <w:rPr>
                <w:spacing w:val="-4"/>
                <w:sz w:val="20"/>
              </w:rPr>
            </w:pPr>
            <w:r w:rsidRPr="00DC2079">
              <w:rPr>
                <w:sz w:val="20"/>
              </w:rPr>
              <w:t>Fald i hvide blodlegemer (inklusiv</w:t>
            </w:r>
            <w:r w:rsidR="00A92BD2" w:rsidRPr="00DC2079">
              <w:rPr>
                <w:sz w:val="20"/>
              </w:rPr>
              <w:t>e</w:t>
            </w:r>
            <w:r w:rsidRPr="00DC2079">
              <w:rPr>
                <w:sz w:val="20"/>
              </w:rPr>
              <w:t xml:space="preserve"> </w:t>
            </w:r>
            <w:proofErr w:type="spellStart"/>
            <w:r w:rsidRPr="00DC2079">
              <w:rPr>
                <w:sz w:val="20"/>
              </w:rPr>
              <w:t>neutropeni</w:t>
            </w:r>
            <w:proofErr w:type="spellEnd"/>
            <w:r w:rsidRPr="00DC2079">
              <w:rPr>
                <w:sz w:val="20"/>
              </w:rPr>
              <w:t xml:space="preserve"> eller </w:t>
            </w:r>
            <w:proofErr w:type="spellStart"/>
            <w:r w:rsidRPr="00DC2079">
              <w:rPr>
                <w:sz w:val="20"/>
              </w:rPr>
              <w:t>agranulocy</w:t>
            </w:r>
            <w:r w:rsidR="00DC2079" w:rsidRPr="00DC2079">
              <w:rPr>
                <w:sz w:val="20"/>
              </w:rPr>
              <w:softHyphen/>
            </w:r>
            <w:r w:rsidRPr="00DC2079">
              <w:rPr>
                <w:sz w:val="20"/>
              </w:rPr>
              <w:t>tose</w:t>
            </w:r>
            <w:proofErr w:type="spellEnd"/>
            <w:r w:rsidRPr="00DC2079">
              <w:rPr>
                <w:sz w:val="20"/>
              </w:rPr>
              <w:t xml:space="preserve">), fald i hæmatokrit, fald i hæmoglobin, fald i </w:t>
            </w:r>
            <w:proofErr w:type="spellStart"/>
            <w:r w:rsidRPr="00DC2079">
              <w:rPr>
                <w:sz w:val="20"/>
              </w:rPr>
              <w:t>trombocyttal</w:t>
            </w:r>
            <w:proofErr w:type="spellEnd"/>
          </w:p>
        </w:tc>
        <w:tc>
          <w:tcPr>
            <w:tcW w:w="507" w:type="pct"/>
            <w:tcBorders>
              <w:top w:val="single" w:sz="4" w:space="0" w:color="auto"/>
              <w:left w:val="single" w:sz="4" w:space="0" w:color="auto"/>
              <w:bottom w:val="single" w:sz="4" w:space="0" w:color="auto"/>
              <w:right w:val="single" w:sz="4" w:space="0" w:color="auto"/>
            </w:tcBorders>
          </w:tcPr>
          <w:p w14:paraId="60A5E415" w14:textId="77777777" w:rsidR="00D2303A" w:rsidRPr="00DC2079" w:rsidRDefault="00D2303A" w:rsidP="005D5B8E">
            <w:pPr>
              <w:rPr>
                <w:spacing w:val="-4"/>
                <w:sz w:val="20"/>
              </w:rPr>
            </w:pPr>
          </w:p>
        </w:tc>
        <w:tc>
          <w:tcPr>
            <w:tcW w:w="942" w:type="pct"/>
            <w:tcBorders>
              <w:top w:val="single" w:sz="4" w:space="0" w:color="auto"/>
              <w:left w:val="single" w:sz="4" w:space="0" w:color="auto"/>
              <w:bottom w:val="single" w:sz="4" w:space="0" w:color="auto"/>
              <w:right w:val="single" w:sz="4" w:space="0" w:color="auto"/>
            </w:tcBorders>
            <w:hideMark/>
          </w:tcPr>
          <w:p w14:paraId="572BEB98" w14:textId="6F24B9BD" w:rsidR="00D2303A" w:rsidRPr="00DC2079" w:rsidRDefault="00D2303A" w:rsidP="005D5B8E">
            <w:pPr>
              <w:rPr>
                <w:spacing w:val="-4"/>
                <w:sz w:val="20"/>
              </w:rPr>
            </w:pPr>
            <w:r w:rsidRPr="00DC2079">
              <w:rPr>
                <w:sz w:val="20"/>
              </w:rPr>
              <w:t>Knoglemarv</w:t>
            </w:r>
            <w:r w:rsidR="00DC2079" w:rsidRPr="00DC2079">
              <w:rPr>
                <w:sz w:val="20"/>
              </w:rPr>
              <w:softHyphen/>
            </w:r>
            <w:r w:rsidRPr="00DC2079">
              <w:rPr>
                <w:sz w:val="20"/>
              </w:rPr>
              <w:t xml:space="preserve">svigt, </w:t>
            </w:r>
            <w:proofErr w:type="spellStart"/>
            <w:r w:rsidRPr="00DC2079">
              <w:rPr>
                <w:sz w:val="20"/>
              </w:rPr>
              <w:t>pancytopeni</w:t>
            </w:r>
            <w:proofErr w:type="spellEnd"/>
            <w:r w:rsidRPr="00DC2079">
              <w:rPr>
                <w:sz w:val="20"/>
              </w:rPr>
              <w:t xml:space="preserve">, </w:t>
            </w:r>
            <w:proofErr w:type="spellStart"/>
            <w:r w:rsidRPr="00DC2079">
              <w:rPr>
                <w:sz w:val="20"/>
              </w:rPr>
              <w:t>hæmolytisk</w:t>
            </w:r>
            <w:proofErr w:type="spellEnd"/>
            <w:r w:rsidRPr="00DC2079">
              <w:rPr>
                <w:sz w:val="20"/>
              </w:rPr>
              <w:t xml:space="preserve"> anæmi</w:t>
            </w:r>
          </w:p>
        </w:tc>
      </w:tr>
      <w:tr w:rsidR="00D2303A" w:rsidRPr="00DC2079" w14:paraId="79DABC87" w14:textId="77777777" w:rsidTr="00DC2079">
        <w:tc>
          <w:tcPr>
            <w:tcW w:w="930" w:type="pct"/>
            <w:tcBorders>
              <w:top w:val="single" w:sz="4" w:space="0" w:color="auto"/>
              <w:left w:val="single" w:sz="4" w:space="0" w:color="auto"/>
              <w:bottom w:val="single" w:sz="4" w:space="0" w:color="auto"/>
              <w:right w:val="single" w:sz="4" w:space="0" w:color="auto"/>
            </w:tcBorders>
            <w:hideMark/>
          </w:tcPr>
          <w:p w14:paraId="75765EE2" w14:textId="4D1F64DD" w:rsidR="00D2303A" w:rsidRPr="00DC2079" w:rsidRDefault="00D2303A" w:rsidP="005D5B8E">
            <w:pPr>
              <w:rPr>
                <w:i/>
                <w:sz w:val="20"/>
              </w:rPr>
            </w:pPr>
            <w:r w:rsidRPr="00DC2079">
              <w:rPr>
                <w:i/>
                <w:sz w:val="20"/>
              </w:rPr>
              <w:t>Immunsystem</w:t>
            </w:r>
            <w:r w:rsidR="00DC2079" w:rsidRPr="00DC2079">
              <w:rPr>
                <w:i/>
                <w:sz w:val="20"/>
              </w:rPr>
              <w:softHyphen/>
            </w:r>
            <w:r w:rsidRPr="00DC2079">
              <w:rPr>
                <w:i/>
                <w:sz w:val="20"/>
              </w:rPr>
              <w:t>et</w:t>
            </w:r>
          </w:p>
        </w:tc>
        <w:tc>
          <w:tcPr>
            <w:tcW w:w="869" w:type="pct"/>
            <w:tcBorders>
              <w:top w:val="single" w:sz="4" w:space="0" w:color="auto"/>
              <w:left w:val="single" w:sz="4" w:space="0" w:color="auto"/>
              <w:bottom w:val="single" w:sz="4" w:space="0" w:color="auto"/>
              <w:right w:val="single" w:sz="4" w:space="0" w:color="auto"/>
            </w:tcBorders>
          </w:tcPr>
          <w:p w14:paraId="5922FE3C" w14:textId="77777777" w:rsidR="00D2303A" w:rsidRPr="00DC2079" w:rsidRDefault="00D2303A" w:rsidP="005D5B8E">
            <w:pPr>
              <w:rPr>
                <w:spacing w:val="-4"/>
                <w:sz w:val="20"/>
                <w:lang w:val="en-US"/>
              </w:rPr>
            </w:pPr>
          </w:p>
        </w:tc>
        <w:tc>
          <w:tcPr>
            <w:tcW w:w="942" w:type="pct"/>
            <w:tcBorders>
              <w:top w:val="single" w:sz="4" w:space="0" w:color="auto"/>
              <w:left w:val="single" w:sz="4" w:space="0" w:color="auto"/>
              <w:bottom w:val="single" w:sz="4" w:space="0" w:color="auto"/>
              <w:right w:val="single" w:sz="4" w:space="0" w:color="auto"/>
            </w:tcBorders>
          </w:tcPr>
          <w:p w14:paraId="2E8020A2" w14:textId="77777777" w:rsidR="00D2303A" w:rsidRPr="00DC2079" w:rsidRDefault="00D2303A" w:rsidP="005D5B8E">
            <w:pPr>
              <w:rPr>
                <w:spacing w:val="-4"/>
                <w:sz w:val="20"/>
                <w:lang w:val="en-US"/>
              </w:rPr>
            </w:pPr>
          </w:p>
        </w:tc>
        <w:tc>
          <w:tcPr>
            <w:tcW w:w="809" w:type="pct"/>
            <w:tcBorders>
              <w:top w:val="single" w:sz="4" w:space="0" w:color="auto"/>
              <w:left w:val="single" w:sz="4" w:space="0" w:color="auto"/>
              <w:bottom w:val="single" w:sz="4" w:space="0" w:color="auto"/>
              <w:right w:val="single" w:sz="4" w:space="0" w:color="auto"/>
            </w:tcBorders>
          </w:tcPr>
          <w:p w14:paraId="0470C2B8" w14:textId="77777777" w:rsidR="00D2303A" w:rsidRPr="00DC2079" w:rsidRDefault="00D2303A" w:rsidP="005D5B8E">
            <w:pPr>
              <w:rPr>
                <w:spacing w:val="-4"/>
                <w:sz w:val="20"/>
                <w:lang w:val="en-US"/>
              </w:rPr>
            </w:pPr>
          </w:p>
        </w:tc>
        <w:tc>
          <w:tcPr>
            <w:tcW w:w="507" w:type="pct"/>
            <w:tcBorders>
              <w:top w:val="single" w:sz="4" w:space="0" w:color="auto"/>
              <w:left w:val="single" w:sz="4" w:space="0" w:color="auto"/>
              <w:bottom w:val="single" w:sz="4" w:space="0" w:color="auto"/>
              <w:right w:val="single" w:sz="4" w:space="0" w:color="auto"/>
            </w:tcBorders>
          </w:tcPr>
          <w:p w14:paraId="74EAB47A" w14:textId="77777777" w:rsidR="00D2303A" w:rsidRPr="00DC2079" w:rsidRDefault="00D2303A" w:rsidP="005D5B8E">
            <w:pPr>
              <w:rPr>
                <w:spacing w:val="-4"/>
                <w:sz w:val="20"/>
                <w:lang w:val="en-US"/>
              </w:rPr>
            </w:pPr>
          </w:p>
        </w:tc>
        <w:tc>
          <w:tcPr>
            <w:tcW w:w="942" w:type="pct"/>
            <w:tcBorders>
              <w:top w:val="single" w:sz="4" w:space="0" w:color="auto"/>
              <w:left w:val="single" w:sz="4" w:space="0" w:color="auto"/>
              <w:bottom w:val="single" w:sz="4" w:space="0" w:color="auto"/>
              <w:right w:val="single" w:sz="4" w:space="0" w:color="auto"/>
            </w:tcBorders>
            <w:hideMark/>
          </w:tcPr>
          <w:p w14:paraId="6B1AAFE4" w14:textId="77777777" w:rsidR="00D2303A" w:rsidRPr="00DC2079" w:rsidRDefault="00D2303A" w:rsidP="005D5B8E">
            <w:pPr>
              <w:rPr>
                <w:spacing w:val="-4"/>
                <w:sz w:val="20"/>
              </w:rPr>
            </w:pPr>
            <w:proofErr w:type="spellStart"/>
            <w:r w:rsidRPr="00DC2079">
              <w:rPr>
                <w:sz w:val="20"/>
              </w:rPr>
              <w:t>Anafylaktiske</w:t>
            </w:r>
            <w:proofErr w:type="spellEnd"/>
            <w:r w:rsidRPr="00DC2079">
              <w:rPr>
                <w:sz w:val="20"/>
              </w:rPr>
              <w:t xml:space="preserve"> eller </w:t>
            </w:r>
            <w:proofErr w:type="spellStart"/>
            <w:r w:rsidRPr="00DC2079">
              <w:rPr>
                <w:sz w:val="20"/>
              </w:rPr>
              <w:t>anafylaktoide</w:t>
            </w:r>
            <w:proofErr w:type="spellEnd"/>
            <w:r w:rsidRPr="00DC2079">
              <w:rPr>
                <w:sz w:val="20"/>
              </w:rPr>
              <w:t xml:space="preserve"> reaktioner, øget niveau af antinukleare antistoffer</w:t>
            </w:r>
          </w:p>
        </w:tc>
      </w:tr>
      <w:tr w:rsidR="00D2303A" w:rsidRPr="00DC2079" w14:paraId="0BC7BCAA" w14:textId="77777777" w:rsidTr="00DC2079">
        <w:trPr>
          <w:trHeight w:val="1176"/>
        </w:trPr>
        <w:tc>
          <w:tcPr>
            <w:tcW w:w="930" w:type="pct"/>
            <w:tcBorders>
              <w:top w:val="single" w:sz="4" w:space="0" w:color="auto"/>
              <w:left w:val="single" w:sz="4" w:space="0" w:color="auto"/>
              <w:bottom w:val="single" w:sz="4" w:space="0" w:color="auto"/>
              <w:right w:val="single" w:sz="4" w:space="0" w:color="auto"/>
            </w:tcBorders>
            <w:hideMark/>
          </w:tcPr>
          <w:p w14:paraId="577F8D3D" w14:textId="77777777" w:rsidR="00D2303A" w:rsidRPr="00DC2079" w:rsidRDefault="00D2303A" w:rsidP="005D5B8E">
            <w:pPr>
              <w:rPr>
                <w:i/>
                <w:sz w:val="20"/>
              </w:rPr>
            </w:pPr>
            <w:r w:rsidRPr="00DC2079">
              <w:rPr>
                <w:i/>
                <w:sz w:val="20"/>
              </w:rPr>
              <w:t>Det endokrine system</w:t>
            </w:r>
          </w:p>
        </w:tc>
        <w:tc>
          <w:tcPr>
            <w:tcW w:w="869" w:type="pct"/>
            <w:tcBorders>
              <w:top w:val="single" w:sz="4" w:space="0" w:color="auto"/>
              <w:left w:val="single" w:sz="4" w:space="0" w:color="auto"/>
              <w:bottom w:val="single" w:sz="4" w:space="0" w:color="auto"/>
              <w:right w:val="single" w:sz="4" w:space="0" w:color="auto"/>
            </w:tcBorders>
          </w:tcPr>
          <w:p w14:paraId="535A4349" w14:textId="77777777" w:rsidR="00D2303A" w:rsidRPr="00DC2079" w:rsidRDefault="00D2303A" w:rsidP="005D5B8E">
            <w:pPr>
              <w:rPr>
                <w:spacing w:val="-4"/>
                <w:sz w:val="20"/>
                <w:lang w:val="en-US"/>
              </w:rPr>
            </w:pPr>
          </w:p>
        </w:tc>
        <w:tc>
          <w:tcPr>
            <w:tcW w:w="942" w:type="pct"/>
            <w:tcBorders>
              <w:top w:val="single" w:sz="4" w:space="0" w:color="auto"/>
              <w:left w:val="single" w:sz="4" w:space="0" w:color="auto"/>
              <w:bottom w:val="single" w:sz="4" w:space="0" w:color="auto"/>
              <w:right w:val="single" w:sz="4" w:space="0" w:color="auto"/>
            </w:tcBorders>
          </w:tcPr>
          <w:p w14:paraId="48D43776" w14:textId="77777777" w:rsidR="00D2303A" w:rsidRPr="00DC2079" w:rsidRDefault="00D2303A" w:rsidP="005D5B8E">
            <w:pPr>
              <w:rPr>
                <w:spacing w:val="-4"/>
                <w:sz w:val="20"/>
                <w:lang w:val="en-US"/>
              </w:rPr>
            </w:pPr>
          </w:p>
        </w:tc>
        <w:tc>
          <w:tcPr>
            <w:tcW w:w="809" w:type="pct"/>
            <w:tcBorders>
              <w:top w:val="single" w:sz="4" w:space="0" w:color="auto"/>
              <w:left w:val="single" w:sz="4" w:space="0" w:color="auto"/>
              <w:bottom w:val="single" w:sz="4" w:space="0" w:color="auto"/>
              <w:right w:val="single" w:sz="4" w:space="0" w:color="auto"/>
            </w:tcBorders>
          </w:tcPr>
          <w:p w14:paraId="106091F2" w14:textId="77777777" w:rsidR="00D2303A" w:rsidRPr="00DC2079" w:rsidRDefault="00D2303A" w:rsidP="005D5B8E">
            <w:pPr>
              <w:rPr>
                <w:spacing w:val="-4"/>
                <w:sz w:val="20"/>
                <w:lang w:val="en-US"/>
              </w:rPr>
            </w:pPr>
          </w:p>
        </w:tc>
        <w:tc>
          <w:tcPr>
            <w:tcW w:w="507" w:type="pct"/>
            <w:tcBorders>
              <w:top w:val="single" w:sz="4" w:space="0" w:color="auto"/>
              <w:left w:val="single" w:sz="4" w:space="0" w:color="auto"/>
              <w:bottom w:val="single" w:sz="4" w:space="0" w:color="auto"/>
              <w:right w:val="single" w:sz="4" w:space="0" w:color="auto"/>
            </w:tcBorders>
          </w:tcPr>
          <w:p w14:paraId="63CBAFDA" w14:textId="77777777" w:rsidR="00D2303A" w:rsidRPr="00DC2079" w:rsidRDefault="00D2303A" w:rsidP="005D5B8E">
            <w:pPr>
              <w:rPr>
                <w:spacing w:val="-4"/>
                <w:sz w:val="20"/>
                <w:lang w:val="en-US"/>
              </w:rPr>
            </w:pPr>
          </w:p>
        </w:tc>
        <w:tc>
          <w:tcPr>
            <w:tcW w:w="942" w:type="pct"/>
            <w:tcBorders>
              <w:top w:val="single" w:sz="4" w:space="0" w:color="auto"/>
              <w:left w:val="single" w:sz="4" w:space="0" w:color="auto"/>
              <w:bottom w:val="single" w:sz="4" w:space="0" w:color="auto"/>
              <w:right w:val="single" w:sz="4" w:space="0" w:color="auto"/>
            </w:tcBorders>
            <w:hideMark/>
          </w:tcPr>
          <w:p w14:paraId="18262E37" w14:textId="6E3A496A" w:rsidR="00D2303A" w:rsidRPr="00DC2079" w:rsidRDefault="00D2303A" w:rsidP="005D5B8E">
            <w:pPr>
              <w:rPr>
                <w:spacing w:val="-4"/>
                <w:sz w:val="20"/>
              </w:rPr>
            </w:pPr>
            <w:r w:rsidRPr="00DC2079">
              <w:rPr>
                <w:iCs/>
                <w:sz w:val="20"/>
              </w:rPr>
              <w:t>Syndrom med</w:t>
            </w:r>
            <w:r w:rsidRPr="00DC2079">
              <w:rPr>
                <w:sz w:val="20"/>
              </w:rPr>
              <w:t xml:space="preserve"> uhensigtsmæs</w:t>
            </w:r>
            <w:r w:rsidR="00DC2079" w:rsidRPr="00DC2079">
              <w:rPr>
                <w:sz w:val="20"/>
              </w:rPr>
              <w:softHyphen/>
            </w:r>
            <w:r w:rsidRPr="00DC2079">
              <w:rPr>
                <w:sz w:val="20"/>
              </w:rPr>
              <w:t xml:space="preserve">sig </w:t>
            </w:r>
            <w:r w:rsidRPr="00DC2079">
              <w:rPr>
                <w:iCs/>
                <w:sz w:val="20"/>
              </w:rPr>
              <w:t>sekretion af antidiuretisk hormon</w:t>
            </w:r>
            <w:r w:rsidRPr="00DC2079">
              <w:rPr>
                <w:sz w:val="20"/>
              </w:rPr>
              <w:t xml:space="preserve"> </w:t>
            </w:r>
            <w:r w:rsidRPr="00DC2079">
              <w:rPr>
                <w:iCs/>
                <w:sz w:val="20"/>
              </w:rPr>
              <w:t>(</w:t>
            </w:r>
            <w:proofErr w:type="spellStart"/>
            <w:r w:rsidRPr="00DC2079">
              <w:rPr>
                <w:iCs/>
                <w:sz w:val="20"/>
              </w:rPr>
              <w:t>Syndrome</w:t>
            </w:r>
            <w:proofErr w:type="spellEnd"/>
            <w:r w:rsidRPr="00DC2079">
              <w:rPr>
                <w:iCs/>
                <w:sz w:val="20"/>
              </w:rPr>
              <w:t xml:space="preserve"> of </w:t>
            </w:r>
            <w:proofErr w:type="spellStart"/>
            <w:r w:rsidRPr="00DC2079">
              <w:rPr>
                <w:iCs/>
                <w:sz w:val="20"/>
              </w:rPr>
              <w:t>inappropriate</w:t>
            </w:r>
            <w:proofErr w:type="spellEnd"/>
            <w:r w:rsidRPr="00DC2079">
              <w:rPr>
                <w:iCs/>
                <w:sz w:val="20"/>
              </w:rPr>
              <w:t xml:space="preserve"> </w:t>
            </w:r>
            <w:proofErr w:type="spellStart"/>
            <w:r w:rsidRPr="00DC2079">
              <w:rPr>
                <w:iCs/>
                <w:sz w:val="20"/>
              </w:rPr>
              <w:t>anti-diuretic</w:t>
            </w:r>
            <w:proofErr w:type="spellEnd"/>
            <w:r w:rsidRPr="00DC2079">
              <w:rPr>
                <w:iCs/>
                <w:sz w:val="20"/>
              </w:rPr>
              <w:t xml:space="preserve"> </w:t>
            </w:r>
            <w:proofErr w:type="spellStart"/>
            <w:r w:rsidRPr="00DC2079">
              <w:rPr>
                <w:iCs/>
                <w:sz w:val="20"/>
              </w:rPr>
              <w:t>hormone</w:t>
            </w:r>
            <w:proofErr w:type="spellEnd"/>
            <w:r w:rsidRPr="00DC2079">
              <w:rPr>
                <w:iCs/>
                <w:sz w:val="20"/>
              </w:rPr>
              <w:t xml:space="preserve"> </w:t>
            </w:r>
            <w:proofErr w:type="spellStart"/>
            <w:r w:rsidRPr="00DC2079">
              <w:rPr>
                <w:iCs/>
                <w:sz w:val="20"/>
              </w:rPr>
              <w:t>secretion</w:t>
            </w:r>
            <w:proofErr w:type="spellEnd"/>
            <w:r w:rsidRPr="00DC2079">
              <w:rPr>
                <w:iCs/>
                <w:sz w:val="20"/>
              </w:rPr>
              <w:t xml:space="preserve"> – </w:t>
            </w:r>
            <w:r w:rsidRPr="00DC2079">
              <w:rPr>
                <w:sz w:val="20"/>
              </w:rPr>
              <w:t>SIADH</w:t>
            </w:r>
            <w:r w:rsidRPr="00DC2079">
              <w:rPr>
                <w:iCs/>
                <w:sz w:val="20"/>
              </w:rPr>
              <w:t>)</w:t>
            </w:r>
          </w:p>
        </w:tc>
      </w:tr>
      <w:tr w:rsidR="00D2303A" w:rsidRPr="00DC2079" w14:paraId="1BB66D91" w14:textId="77777777" w:rsidTr="00DC2079">
        <w:tc>
          <w:tcPr>
            <w:tcW w:w="930" w:type="pct"/>
            <w:tcBorders>
              <w:top w:val="single" w:sz="4" w:space="0" w:color="auto"/>
              <w:left w:val="single" w:sz="4" w:space="0" w:color="auto"/>
              <w:bottom w:val="single" w:sz="4" w:space="0" w:color="auto"/>
              <w:right w:val="single" w:sz="4" w:space="0" w:color="auto"/>
            </w:tcBorders>
            <w:hideMark/>
          </w:tcPr>
          <w:p w14:paraId="089D8095" w14:textId="77777777" w:rsidR="00D2303A" w:rsidRPr="00DC2079" w:rsidRDefault="00D2303A" w:rsidP="005D5B8E">
            <w:pPr>
              <w:rPr>
                <w:i/>
                <w:sz w:val="20"/>
              </w:rPr>
            </w:pPr>
            <w:r w:rsidRPr="00DC2079">
              <w:rPr>
                <w:i/>
                <w:iCs/>
                <w:sz w:val="20"/>
              </w:rPr>
              <w:t>Metabolisme og ernæring</w:t>
            </w:r>
          </w:p>
        </w:tc>
        <w:tc>
          <w:tcPr>
            <w:tcW w:w="869" w:type="pct"/>
            <w:tcBorders>
              <w:top w:val="single" w:sz="4" w:space="0" w:color="auto"/>
              <w:left w:val="single" w:sz="4" w:space="0" w:color="auto"/>
              <w:bottom w:val="single" w:sz="4" w:space="0" w:color="auto"/>
              <w:right w:val="single" w:sz="4" w:space="0" w:color="auto"/>
            </w:tcBorders>
            <w:hideMark/>
          </w:tcPr>
          <w:p w14:paraId="32B29245" w14:textId="564FEB69" w:rsidR="00D2303A" w:rsidRPr="00DC2079" w:rsidRDefault="00D2303A" w:rsidP="00A92BD2">
            <w:pPr>
              <w:rPr>
                <w:spacing w:val="-4"/>
                <w:sz w:val="20"/>
              </w:rPr>
            </w:pPr>
            <w:r w:rsidRPr="00DC2079">
              <w:rPr>
                <w:sz w:val="20"/>
              </w:rPr>
              <w:t>Øget</w:t>
            </w:r>
            <w:r w:rsidR="00A92BD2" w:rsidRPr="00DC2079">
              <w:rPr>
                <w:sz w:val="20"/>
              </w:rPr>
              <w:t xml:space="preserve"> </w:t>
            </w:r>
            <w:r w:rsidRPr="00DC2079">
              <w:rPr>
                <w:sz w:val="20"/>
              </w:rPr>
              <w:t>blodkalium</w:t>
            </w:r>
          </w:p>
        </w:tc>
        <w:tc>
          <w:tcPr>
            <w:tcW w:w="942" w:type="pct"/>
            <w:tcBorders>
              <w:top w:val="single" w:sz="4" w:space="0" w:color="auto"/>
              <w:left w:val="single" w:sz="4" w:space="0" w:color="auto"/>
              <w:bottom w:val="single" w:sz="4" w:space="0" w:color="auto"/>
              <w:right w:val="single" w:sz="4" w:space="0" w:color="auto"/>
            </w:tcBorders>
            <w:hideMark/>
          </w:tcPr>
          <w:p w14:paraId="561ADE62" w14:textId="73F1F0BE" w:rsidR="00D2303A" w:rsidRPr="00DC2079" w:rsidRDefault="00D2303A" w:rsidP="00A92BD2">
            <w:pPr>
              <w:rPr>
                <w:spacing w:val="-4"/>
                <w:sz w:val="20"/>
              </w:rPr>
            </w:pPr>
            <w:r w:rsidRPr="00DC2079">
              <w:rPr>
                <w:sz w:val="20"/>
              </w:rPr>
              <w:t>Anoreksi,</w:t>
            </w:r>
            <w:r w:rsidR="00A92BD2" w:rsidRPr="00DC2079">
              <w:rPr>
                <w:sz w:val="20"/>
              </w:rPr>
              <w:t xml:space="preserve"> </w:t>
            </w:r>
            <w:r w:rsidRPr="00DC2079">
              <w:rPr>
                <w:sz w:val="20"/>
              </w:rPr>
              <w:t>nedsat</w:t>
            </w:r>
            <w:r w:rsidR="00A92BD2" w:rsidRPr="00DC2079">
              <w:rPr>
                <w:sz w:val="20"/>
              </w:rPr>
              <w:t xml:space="preserve"> </w:t>
            </w:r>
            <w:r w:rsidRPr="00DC2079">
              <w:rPr>
                <w:sz w:val="20"/>
              </w:rPr>
              <w:t>appetit</w:t>
            </w:r>
          </w:p>
        </w:tc>
        <w:tc>
          <w:tcPr>
            <w:tcW w:w="809" w:type="pct"/>
            <w:tcBorders>
              <w:top w:val="single" w:sz="4" w:space="0" w:color="auto"/>
              <w:left w:val="single" w:sz="4" w:space="0" w:color="auto"/>
              <w:bottom w:val="single" w:sz="4" w:space="0" w:color="auto"/>
              <w:right w:val="single" w:sz="4" w:space="0" w:color="auto"/>
            </w:tcBorders>
          </w:tcPr>
          <w:p w14:paraId="5FD22E3D" w14:textId="77777777" w:rsidR="00D2303A" w:rsidRPr="00DC2079" w:rsidRDefault="00D2303A" w:rsidP="005D5B8E">
            <w:pPr>
              <w:rPr>
                <w:spacing w:val="-4"/>
                <w:sz w:val="20"/>
                <w:lang w:val="en-US"/>
              </w:rPr>
            </w:pPr>
          </w:p>
        </w:tc>
        <w:tc>
          <w:tcPr>
            <w:tcW w:w="507" w:type="pct"/>
            <w:tcBorders>
              <w:top w:val="single" w:sz="4" w:space="0" w:color="auto"/>
              <w:left w:val="single" w:sz="4" w:space="0" w:color="auto"/>
              <w:bottom w:val="single" w:sz="4" w:space="0" w:color="auto"/>
              <w:right w:val="single" w:sz="4" w:space="0" w:color="auto"/>
            </w:tcBorders>
          </w:tcPr>
          <w:p w14:paraId="1D44D5CB" w14:textId="77777777" w:rsidR="00D2303A" w:rsidRPr="00DC2079" w:rsidRDefault="00D2303A" w:rsidP="005D5B8E">
            <w:pPr>
              <w:rPr>
                <w:spacing w:val="-4"/>
                <w:sz w:val="20"/>
                <w:lang w:val="en-US"/>
              </w:rPr>
            </w:pPr>
          </w:p>
        </w:tc>
        <w:tc>
          <w:tcPr>
            <w:tcW w:w="942" w:type="pct"/>
            <w:tcBorders>
              <w:top w:val="single" w:sz="4" w:space="0" w:color="auto"/>
              <w:left w:val="single" w:sz="4" w:space="0" w:color="auto"/>
              <w:bottom w:val="single" w:sz="4" w:space="0" w:color="auto"/>
              <w:right w:val="single" w:sz="4" w:space="0" w:color="auto"/>
            </w:tcBorders>
            <w:hideMark/>
          </w:tcPr>
          <w:p w14:paraId="74CA9B58" w14:textId="77777777" w:rsidR="00D2303A" w:rsidRPr="00DC2079" w:rsidRDefault="00D2303A" w:rsidP="005D5B8E">
            <w:pPr>
              <w:rPr>
                <w:spacing w:val="-4"/>
                <w:sz w:val="20"/>
              </w:rPr>
            </w:pPr>
            <w:r w:rsidRPr="00DC2079">
              <w:rPr>
                <w:sz w:val="20"/>
              </w:rPr>
              <w:t>Nedsat blodnatrium</w:t>
            </w:r>
          </w:p>
        </w:tc>
      </w:tr>
      <w:tr w:rsidR="00D2303A" w:rsidRPr="00DC2079" w14:paraId="0422EC9C" w14:textId="77777777" w:rsidTr="00DC2079">
        <w:tc>
          <w:tcPr>
            <w:tcW w:w="930" w:type="pct"/>
            <w:tcBorders>
              <w:top w:val="single" w:sz="4" w:space="0" w:color="auto"/>
              <w:left w:val="single" w:sz="4" w:space="0" w:color="auto"/>
              <w:bottom w:val="single" w:sz="4" w:space="0" w:color="auto"/>
              <w:right w:val="single" w:sz="4" w:space="0" w:color="auto"/>
            </w:tcBorders>
            <w:hideMark/>
          </w:tcPr>
          <w:p w14:paraId="40960B0C" w14:textId="77777777" w:rsidR="00D2303A" w:rsidRPr="00DC2079" w:rsidRDefault="00D2303A" w:rsidP="005D5B8E">
            <w:pPr>
              <w:rPr>
                <w:i/>
                <w:sz w:val="20"/>
              </w:rPr>
            </w:pPr>
            <w:r w:rsidRPr="00DC2079">
              <w:rPr>
                <w:i/>
                <w:sz w:val="20"/>
              </w:rPr>
              <w:t>Psykiske forstyrrelser</w:t>
            </w:r>
          </w:p>
        </w:tc>
        <w:tc>
          <w:tcPr>
            <w:tcW w:w="869" w:type="pct"/>
            <w:tcBorders>
              <w:top w:val="single" w:sz="4" w:space="0" w:color="auto"/>
              <w:left w:val="single" w:sz="4" w:space="0" w:color="auto"/>
              <w:bottom w:val="single" w:sz="4" w:space="0" w:color="auto"/>
              <w:right w:val="single" w:sz="4" w:space="0" w:color="auto"/>
            </w:tcBorders>
          </w:tcPr>
          <w:p w14:paraId="5732AE1D" w14:textId="77777777" w:rsidR="00D2303A" w:rsidRPr="00DC2079" w:rsidRDefault="00D2303A" w:rsidP="005D5B8E">
            <w:pPr>
              <w:rPr>
                <w:spacing w:val="-4"/>
                <w:sz w:val="20"/>
                <w:lang w:val="en-US"/>
              </w:rPr>
            </w:pPr>
          </w:p>
        </w:tc>
        <w:tc>
          <w:tcPr>
            <w:tcW w:w="942" w:type="pct"/>
            <w:tcBorders>
              <w:top w:val="single" w:sz="4" w:space="0" w:color="auto"/>
              <w:left w:val="single" w:sz="4" w:space="0" w:color="auto"/>
              <w:bottom w:val="single" w:sz="4" w:space="0" w:color="auto"/>
              <w:right w:val="single" w:sz="4" w:space="0" w:color="auto"/>
            </w:tcBorders>
            <w:hideMark/>
          </w:tcPr>
          <w:p w14:paraId="4E4E77CF" w14:textId="77777777" w:rsidR="00D2303A" w:rsidRPr="00DC2079" w:rsidRDefault="00D2303A" w:rsidP="005D5B8E">
            <w:pPr>
              <w:rPr>
                <w:spacing w:val="-4"/>
                <w:sz w:val="20"/>
              </w:rPr>
            </w:pPr>
            <w:r w:rsidRPr="00DC2079">
              <w:rPr>
                <w:sz w:val="20"/>
              </w:rPr>
              <w:t xml:space="preserve">Nedtrykt sindstilstand, angst, </w:t>
            </w:r>
            <w:r w:rsidRPr="00DC2079">
              <w:rPr>
                <w:sz w:val="20"/>
              </w:rPr>
              <w:lastRenderedPageBreak/>
              <w:t xml:space="preserve">nervøsitet, rastløshed, søvnforstyrrelser herunder </w:t>
            </w:r>
            <w:proofErr w:type="spellStart"/>
            <w:r w:rsidRPr="00DC2079">
              <w:rPr>
                <w:sz w:val="20"/>
              </w:rPr>
              <w:t>somnolens</w:t>
            </w:r>
            <w:proofErr w:type="spellEnd"/>
          </w:p>
        </w:tc>
        <w:tc>
          <w:tcPr>
            <w:tcW w:w="809" w:type="pct"/>
            <w:tcBorders>
              <w:top w:val="single" w:sz="4" w:space="0" w:color="auto"/>
              <w:left w:val="single" w:sz="4" w:space="0" w:color="auto"/>
              <w:bottom w:val="single" w:sz="4" w:space="0" w:color="auto"/>
              <w:right w:val="single" w:sz="4" w:space="0" w:color="auto"/>
            </w:tcBorders>
            <w:hideMark/>
          </w:tcPr>
          <w:p w14:paraId="335721E8" w14:textId="77777777" w:rsidR="00D2303A" w:rsidRPr="00DC2079" w:rsidRDefault="00D2303A" w:rsidP="005D5B8E">
            <w:pPr>
              <w:rPr>
                <w:spacing w:val="-4"/>
                <w:sz w:val="20"/>
              </w:rPr>
            </w:pPr>
            <w:r w:rsidRPr="00DC2079">
              <w:rPr>
                <w:sz w:val="20"/>
              </w:rPr>
              <w:lastRenderedPageBreak/>
              <w:t>Forvirring</w:t>
            </w:r>
          </w:p>
        </w:tc>
        <w:tc>
          <w:tcPr>
            <w:tcW w:w="507" w:type="pct"/>
            <w:tcBorders>
              <w:top w:val="single" w:sz="4" w:space="0" w:color="auto"/>
              <w:left w:val="single" w:sz="4" w:space="0" w:color="auto"/>
              <w:bottom w:val="single" w:sz="4" w:space="0" w:color="auto"/>
              <w:right w:val="single" w:sz="4" w:space="0" w:color="auto"/>
            </w:tcBorders>
          </w:tcPr>
          <w:p w14:paraId="30BC95BA" w14:textId="77777777" w:rsidR="00D2303A" w:rsidRPr="00DC2079" w:rsidRDefault="00D2303A" w:rsidP="005D5B8E">
            <w:pPr>
              <w:rPr>
                <w:spacing w:val="-4"/>
                <w:sz w:val="20"/>
                <w:lang w:val="en-US"/>
              </w:rPr>
            </w:pPr>
          </w:p>
        </w:tc>
        <w:tc>
          <w:tcPr>
            <w:tcW w:w="942" w:type="pct"/>
            <w:tcBorders>
              <w:top w:val="single" w:sz="4" w:space="0" w:color="auto"/>
              <w:left w:val="single" w:sz="4" w:space="0" w:color="auto"/>
              <w:bottom w:val="single" w:sz="4" w:space="0" w:color="auto"/>
              <w:right w:val="single" w:sz="4" w:space="0" w:color="auto"/>
            </w:tcBorders>
            <w:hideMark/>
          </w:tcPr>
          <w:p w14:paraId="2BC37316" w14:textId="486D47C7" w:rsidR="00D2303A" w:rsidRPr="00DC2079" w:rsidRDefault="00D2303A" w:rsidP="00A92BD2">
            <w:pPr>
              <w:rPr>
                <w:spacing w:val="-4"/>
                <w:sz w:val="20"/>
              </w:rPr>
            </w:pPr>
            <w:r w:rsidRPr="00DC2079">
              <w:rPr>
                <w:sz w:val="20"/>
              </w:rPr>
              <w:t>Opmærksom</w:t>
            </w:r>
            <w:r w:rsidR="00DC2079" w:rsidRPr="00DC2079">
              <w:rPr>
                <w:sz w:val="20"/>
              </w:rPr>
              <w:softHyphen/>
            </w:r>
            <w:r w:rsidRPr="00DC2079">
              <w:rPr>
                <w:sz w:val="20"/>
              </w:rPr>
              <w:t>heds</w:t>
            </w:r>
            <w:r w:rsidR="00A92BD2" w:rsidRPr="00DC2079">
              <w:rPr>
                <w:sz w:val="20"/>
              </w:rPr>
              <w:softHyphen/>
            </w:r>
            <w:r w:rsidRPr="00DC2079">
              <w:rPr>
                <w:sz w:val="20"/>
              </w:rPr>
              <w:t>forstyrrelse</w:t>
            </w:r>
          </w:p>
        </w:tc>
      </w:tr>
      <w:tr w:rsidR="00D2303A" w:rsidRPr="00DC2079" w14:paraId="1CB75257" w14:textId="77777777" w:rsidTr="00DC2079">
        <w:tc>
          <w:tcPr>
            <w:tcW w:w="930" w:type="pct"/>
            <w:tcBorders>
              <w:top w:val="single" w:sz="4" w:space="0" w:color="auto"/>
              <w:left w:val="single" w:sz="4" w:space="0" w:color="auto"/>
              <w:bottom w:val="single" w:sz="4" w:space="0" w:color="auto"/>
              <w:right w:val="single" w:sz="4" w:space="0" w:color="auto"/>
            </w:tcBorders>
            <w:hideMark/>
          </w:tcPr>
          <w:p w14:paraId="4ADBD970" w14:textId="77777777" w:rsidR="00D2303A" w:rsidRPr="00DC2079" w:rsidRDefault="00D2303A" w:rsidP="005D5B8E">
            <w:pPr>
              <w:rPr>
                <w:i/>
                <w:sz w:val="20"/>
              </w:rPr>
            </w:pPr>
            <w:r w:rsidRPr="00DC2079">
              <w:rPr>
                <w:i/>
                <w:sz w:val="20"/>
              </w:rPr>
              <w:t>Nervesystemet</w:t>
            </w:r>
          </w:p>
        </w:tc>
        <w:tc>
          <w:tcPr>
            <w:tcW w:w="869" w:type="pct"/>
            <w:tcBorders>
              <w:top w:val="single" w:sz="4" w:space="0" w:color="auto"/>
              <w:left w:val="single" w:sz="4" w:space="0" w:color="auto"/>
              <w:bottom w:val="single" w:sz="4" w:space="0" w:color="auto"/>
              <w:right w:val="single" w:sz="4" w:space="0" w:color="auto"/>
            </w:tcBorders>
            <w:hideMark/>
          </w:tcPr>
          <w:p w14:paraId="6F318370" w14:textId="77777777" w:rsidR="00D2303A" w:rsidRPr="00DC2079" w:rsidRDefault="00D2303A" w:rsidP="005D5B8E">
            <w:pPr>
              <w:rPr>
                <w:spacing w:val="-4"/>
                <w:sz w:val="20"/>
              </w:rPr>
            </w:pPr>
            <w:r w:rsidRPr="00DC2079">
              <w:rPr>
                <w:sz w:val="20"/>
              </w:rPr>
              <w:t>Hovedpine, svimmelhed</w:t>
            </w:r>
          </w:p>
        </w:tc>
        <w:tc>
          <w:tcPr>
            <w:tcW w:w="942" w:type="pct"/>
            <w:tcBorders>
              <w:top w:val="single" w:sz="4" w:space="0" w:color="auto"/>
              <w:left w:val="single" w:sz="4" w:space="0" w:color="auto"/>
              <w:bottom w:val="single" w:sz="4" w:space="0" w:color="auto"/>
              <w:right w:val="single" w:sz="4" w:space="0" w:color="auto"/>
            </w:tcBorders>
            <w:hideMark/>
          </w:tcPr>
          <w:p w14:paraId="598C5327" w14:textId="77777777" w:rsidR="00D2303A" w:rsidRPr="00DC2079" w:rsidRDefault="00D2303A" w:rsidP="005D5B8E">
            <w:pPr>
              <w:rPr>
                <w:spacing w:val="-4"/>
                <w:sz w:val="20"/>
              </w:rPr>
            </w:pPr>
            <w:proofErr w:type="spellStart"/>
            <w:r w:rsidRPr="00DC2079">
              <w:rPr>
                <w:sz w:val="20"/>
              </w:rPr>
              <w:t>Vertigo</w:t>
            </w:r>
            <w:proofErr w:type="spellEnd"/>
            <w:r w:rsidRPr="00DC2079">
              <w:rPr>
                <w:sz w:val="20"/>
              </w:rPr>
              <w:t xml:space="preserve">, </w:t>
            </w:r>
            <w:proofErr w:type="spellStart"/>
            <w:r w:rsidRPr="00DC2079">
              <w:rPr>
                <w:sz w:val="20"/>
              </w:rPr>
              <w:t>paræstesi</w:t>
            </w:r>
            <w:proofErr w:type="spellEnd"/>
            <w:r w:rsidRPr="00DC2079">
              <w:rPr>
                <w:sz w:val="20"/>
              </w:rPr>
              <w:t xml:space="preserve">, </w:t>
            </w:r>
            <w:proofErr w:type="spellStart"/>
            <w:r w:rsidRPr="00DC2079">
              <w:rPr>
                <w:sz w:val="20"/>
              </w:rPr>
              <w:t>ageusi</w:t>
            </w:r>
            <w:proofErr w:type="spellEnd"/>
            <w:r w:rsidRPr="00DC2079">
              <w:rPr>
                <w:sz w:val="20"/>
              </w:rPr>
              <w:t xml:space="preserve">, </w:t>
            </w:r>
            <w:proofErr w:type="spellStart"/>
            <w:r w:rsidRPr="00DC2079">
              <w:rPr>
                <w:sz w:val="20"/>
              </w:rPr>
              <w:t>dysgeusi</w:t>
            </w:r>
            <w:proofErr w:type="spellEnd"/>
          </w:p>
        </w:tc>
        <w:tc>
          <w:tcPr>
            <w:tcW w:w="809" w:type="pct"/>
            <w:tcBorders>
              <w:top w:val="single" w:sz="4" w:space="0" w:color="auto"/>
              <w:left w:val="single" w:sz="4" w:space="0" w:color="auto"/>
              <w:bottom w:val="single" w:sz="4" w:space="0" w:color="auto"/>
              <w:right w:val="single" w:sz="4" w:space="0" w:color="auto"/>
            </w:tcBorders>
            <w:hideMark/>
          </w:tcPr>
          <w:p w14:paraId="0C33B95A" w14:textId="53CDCCEB" w:rsidR="00D2303A" w:rsidRPr="00DC2079" w:rsidRDefault="00D2303A" w:rsidP="00A92BD2">
            <w:pPr>
              <w:rPr>
                <w:spacing w:val="-4"/>
                <w:sz w:val="20"/>
              </w:rPr>
            </w:pPr>
            <w:proofErr w:type="spellStart"/>
            <w:r w:rsidRPr="00DC2079">
              <w:rPr>
                <w:sz w:val="20"/>
              </w:rPr>
              <w:t>Tremor</w:t>
            </w:r>
            <w:proofErr w:type="spellEnd"/>
            <w:r w:rsidRPr="00DC2079">
              <w:rPr>
                <w:sz w:val="20"/>
              </w:rPr>
              <w:t>, balance</w:t>
            </w:r>
            <w:r w:rsidR="00A92BD2" w:rsidRPr="00DC2079">
              <w:rPr>
                <w:sz w:val="20"/>
              </w:rPr>
              <w:softHyphen/>
            </w:r>
            <w:r w:rsidRPr="00DC2079">
              <w:rPr>
                <w:sz w:val="20"/>
              </w:rPr>
              <w:t>forstyrrelser</w:t>
            </w:r>
          </w:p>
        </w:tc>
        <w:tc>
          <w:tcPr>
            <w:tcW w:w="507" w:type="pct"/>
            <w:tcBorders>
              <w:top w:val="single" w:sz="4" w:space="0" w:color="auto"/>
              <w:left w:val="single" w:sz="4" w:space="0" w:color="auto"/>
              <w:bottom w:val="single" w:sz="4" w:space="0" w:color="auto"/>
              <w:right w:val="single" w:sz="4" w:space="0" w:color="auto"/>
            </w:tcBorders>
          </w:tcPr>
          <w:p w14:paraId="375A6279" w14:textId="77777777" w:rsidR="00D2303A" w:rsidRPr="00DC2079" w:rsidRDefault="00D2303A" w:rsidP="005D5B8E">
            <w:pPr>
              <w:rPr>
                <w:spacing w:val="-4"/>
                <w:sz w:val="20"/>
                <w:lang w:val="en-US"/>
              </w:rPr>
            </w:pPr>
          </w:p>
        </w:tc>
        <w:tc>
          <w:tcPr>
            <w:tcW w:w="942" w:type="pct"/>
            <w:tcBorders>
              <w:top w:val="single" w:sz="4" w:space="0" w:color="auto"/>
              <w:left w:val="single" w:sz="4" w:space="0" w:color="auto"/>
              <w:bottom w:val="single" w:sz="4" w:space="0" w:color="auto"/>
              <w:right w:val="single" w:sz="4" w:space="0" w:color="auto"/>
            </w:tcBorders>
            <w:hideMark/>
          </w:tcPr>
          <w:p w14:paraId="06844E2A" w14:textId="236780CD" w:rsidR="00D2303A" w:rsidRPr="00DC2079" w:rsidRDefault="00D2303A" w:rsidP="00A92BD2">
            <w:pPr>
              <w:rPr>
                <w:spacing w:val="-4"/>
                <w:sz w:val="20"/>
              </w:rPr>
            </w:pPr>
            <w:r w:rsidRPr="00DC2079">
              <w:rPr>
                <w:sz w:val="20"/>
              </w:rPr>
              <w:t>Cerebral iskæmi,</w:t>
            </w:r>
            <w:r w:rsidR="00A92BD2" w:rsidRPr="00DC2079">
              <w:rPr>
                <w:sz w:val="20"/>
              </w:rPr>
              <w:t xml:space="preserve"> </w:t>
            </w:r>
            <w:r w:rsidRPr="00DC2079">
              <w:rPr>
                <w:sz w:val="20"/>
              </w:rPr>
              <w:t>herunder iskæmisk stroke og transitorisk iskæmisk attak,</w:t>
            </w:r>
            <w:r w:rsidR="00A92BD2" w:rsidRPr="00DC2079">
              <w:rPr>
                <w:sz w:val="20"/>
              </w:rPr>
              <w:t xml:space="preserve"> </w:t>
            </w:r>
            <w:r w:rsidRPr="00DC2079">
              <w:rPr>
                <w:sz w:val="20"/>
              </w:rPr>
              <w:t xml:space="preserve">svækkelse af </w:t>
            </w:r>
            <w:proofErr w:type="spellStart"/>
            <w:r w:rsidRPr="00DC2079">
              <w:rPr>
                <w:sz w:val="20"/>
              </w:rPr>
              <w:t>psykomotori</w:t>
            </w:r>
            <w:r w:rsidR="00DC2079" w:rsidRPr="00DC2079">
              <w:rPr>
                <w:sz w:val="20"/>
              </w:rPr>
              <w:softHyphen/>
            </w:r>
            <w:r w:rsidRPr="00DC2079">
              <w:rPr>
                <w:sz w:val="20"/>
              </w:rPr>
              <w:t>ske</w:t>
            </w:r>
            <w:proofErr w:type="spellEnd"/>
            <w:r w:rsidRPr="00DC2079">
              <w:rPr>
                <w:sz w:val="20"/>
              </w:rPr>
              <w:t xml:space="preserve"> færdigheder, brændende fornemmelse, </w:t>
            </w:r>
            <w:proofErr w:type="spellStart"/>
            <w:r w:rsidRPr="00DC2079">
              <w:rPr>
                <w:sz w:val="20"/>
              </w:rPr>
              <w:t>parosmi</w:t>
            </w:r>
            <w:proofErr w:type="spellEnd"/>
          </w:p>
        </w:tc>
      </w:tr>
      <w:tr w:rsidR="00D2303A" w:rsidRPr="00DC2079" w14:paraId="602A8749" w14:textId="77777777" w:rsidTr="00DC2079">
        <w:tc>
          <w:tcPr>
            <w:tcW w:w="930" w:type="pct"/>
            <w:tcBorders>
              <w:top w:val="single" w:sz="4" w:space="0" w:color="auto"/>
              <w:left w:val="single" w:sz="4" w:space="0" w:color="auto"/>
              <w:bottom w:val="single" w:sz="4" w:space="0" w:color="auto"/>
              <w:right w:val="single" w:sz="4" w:space="0" w:color="auto"/>
            </w:tcBorders>
            <w:hideMark/>
          </w:tcPr>
          <w:p w14:paraId="3FDE861C" w14:textId="77777777" w:rsidR="00D2303A" w:rsidRPr="00DC2079" w:rsidRDefault="00D2303A" w:rsidP="005D5B8E">
            <w:pPr>
              <w:rPr>
                <w:i/>
                <w:sz w:val="20"/>
              </w:rPr>
            </w:pPr>
            <w:r w:rsidRPr="00DC2079">
              <w:rPr>
                <w:i/>
                <w:sz w:val="20"/>
              </w:rPr>
              <w:t>Øjne</w:t>
            </w:r>
          </w:p>
        </w:tc>
        <w:tc>
          <w:tcPr>
            <w:tcW w:w="869" w:type="pct"/>
            <w:tcBorders>
              <w:top w:val="single" w:sz="4" w:space="0" w:color="auto"/>
              <w:left w:val="single" w:sz="4" w:space="0" w:color="auto"/>
              <w:bottom w:val="single" w:sz="4" w:space="0" w:color="auto"/>
              <w:right w:val="single" w:sz="4" w:space="0" w:color="auto"/>
            </w:tcBorders>
          </w:tcPr>
          <w:p w14:paraId="56CBA3FB" w14:textId="77777777" w:rsidR="00D2303A" w:rsidRPr="00DC2079" w:rsidRDefault="00D2303A" w:rsidP="005D5B8E">
            <w:pPr>
              <w:rPr>
                <w:spacing w:val="-4"/>
                <w:sz w:val="20"/>
                <w:lang w:val="en-US"/>
              </w:rPr>
            </w:pPr>
          </w:p>
        </w:tc>
        <w:tc>
          <w:tcPr>
            <w:tcW w:w="942" w:type="pct"/>
            <w:tcBorders>
              <w:top w:val="single" w:sz="4" w:space="0" w:color="auto"/>
              <w:left w:val="single" w:sz="4" w:space="0" w:color="auto"/>
              <w:bottom w:val="single" w:sz="4" w:space="0" w:color="auto"/>
              <w:right w:val="single" w:sz="4" w:space="0" w:color="auto"/>
            </w:tcBorders>
            <w:hideMark/>
          </w:tcPr>
          <w:p w14:paraId="5D5EBCC8" w14:textId="77777777" w:rsidR="00D2303A" w:rsidRPr="00DC2079" w:rsidRDefault="00D2303A" w:rsidP="005D5B8E">
            <w:pPr>
              <w:rPr>
                <w:spacing w:val="-4"/>
                <w:sz w:val="20"/>
              </w:rPr>
            </w:pPr>
            <w:r w:rsidRPr="00DC2079">
              <w:rPr>
                <w:sz w:val="20"/>
              </w:rPr>
              <w:t>Synsforstyrrelser, herunder sløret syn</w:t>
            </w:r>
          </w:p>
        </w:tc>
        <w:tc>
          <w:tcPr>
            <w:tcW w:w="809" w:type="pct"/>
            <w:tcBorders>
              <w:top w:val="single" w:sz="4" w:space="0" w:color="auto"/>
              <w:left w:val="single" w:sz="4" w:space="0" w:color="auto"/>
              <w:bottom w:val="single" w:sz="4" w:space="0" w:color="auto"/>
              <w:right w:val="single" w:sz="4" w:space="0" w:color="auto"/>
            </w:tcBorders>
            <w:hideMark/>
          </w:tcPr>
          <w:p w14:paraId="167D3461" w14:textId="54C4F457" w:rsidR="00D2303A" w:rsidRPr="00DC2079" w:rsidRDefault="00D2303A" w:rsidP="005D5B8E">
            <w:pPr>
              <w:rPr>
                <w:spacing w:val="-4"/>
                <w:sz w:val="20"/>
              </w:rPr>
            </w:pPr>
            <w:proofErr w:type="spellStart"/>
            <w:r w:rsidRPr="00DC2079">
              <w:rPr>
                <w:sz w:val="20"/>
              </w:rPr>
              <w:t>Konjunktivi</w:t>
            </w:r>
            <w:r w:rsidR="00DC2079" w:rsidRPr="00DC2079">
              <w:rPr>
                <w:sz w:val="20"/>
              </w:rPr>
              <w:softHyphen/>
            </w:r>
            <w:r w:rsidRPr="00DC2079">
              <w:rPr>
                <w:sz w:val="20"/>
              </w:rPr>
              <w:t>tis</w:t>
            </w:r>
            <w:proofErr w:type="spellEnd"/>
          </w:p>
        </w:tc>
        <w:tc>
          <w:tcPr>
            <w:tcW w:w="507" w:type="pct"/>
            <w:tcBorders>
              <w:top w:val="single" w:sz="4" w:space="0" w:color="auto"/>
              <w:left w:val="single" w:sz="4" w:space="0" w:color="auto"/>
              <w:bottom w:val="single" w:sz="4" w:space="0" w:color="auto"/>
              <w:right w:val="single" w:sz="4" w:space="0" w:color="auto"/>
            </w:tcBorders>
          </w:tcPr>
          <w:p w14:paraId="5C4F1A0B" w14:textId="77777777" w:rsidR="00D2303A" w:rsidRPr="00DC2079" w:rsidRDefault="00D2303A" w:rsidP="005D5B8E">
            <w:pPr>
              <w:rPr>
                <w:spacing w:val="-4"/>
                <w:sz w:val="20"/>
                <w:lang w:val="en-US"/>
              </w:rPr>
            </w:pPr>
          </w:p>
        </w:tc>
        <w:tc>
          <w:tcPr>
            <w:tcW w:w="942" w:type="pct"/>
            <w:tcBorders>
              <w:top w:val="single" w:sz="4" w:space="0" w:color="auto"/>
              <w:left w:val="single" w:sz="4" w:space="0" w:color="auto"/>
              <w:bottom w:val="single" w:sz="4" w:space="0" w:color="auto"/>
              <w:right w:val="single" w:sz="4" w:space="0" w:color="auto"/>
            </w:tcBorders>
          </w:tcPr>
          <w:p w14:paraId="61A709A9" w14:textId="77777777" w:rsidR="00D2303A" w:rsidRPr="00DC2079" w:rsidRDefault="00D2303A" w:rsidP="005D5B8E">
            <w:pPr>
              <w:rPr>
                <w:spacing w:val="-4"/>
                <w:sz w:val="20"/>
                <w:lang w:val="en-US"/>
              </w:rPr>
            </w:pPr>
          </w:p>
        </w:tc>
      </w:tr>
      <w:tr w:rsidR="00D2303A" w:rsidRPr="00DC2079" w14:paraId="74E0F6B8" w14:textId="77777777" w:rsidTr="00DC2079">
        <w:tc>
          <w:tcPr>
            <w:tcW w:w="930" w:type="pct"/>
            <w:tcBorders>
              <w:top w:val="single" w:sz="4" w:space="0" w:color="auto"/>
              <w:left w:val="single" w:sz="4" w:space="0" w:color="auto"/>
              <w:bottom w:val="single" w:sz="4" w:space="0" w:color="auto"/>
              <w:right w:val="single" w:sz="4" w:space="0" w:color="auto"/>
            </w:tcBorders>
            <w:hideMark/>
          </w:tcPr>
          <w:p w14:paraId="5A94F520" w14:textId="77777777" w:rsidR="00D2303A" w:rsidRPr="00DC2079" w:rsidRDefault="00D2303A" w:rsidP="005D5B8E">
            <w:pPr>
              <w:rPr>
                <w:i/>
                <w:sz w:val="20"/>
              </w:rPr>
            </w:pPr>
            <w:r w:rsidRPr="00DC2079">
              <w:rPr>
                <w:i/>
                <w:sz w:val="20"/>
              </w:rPr>
              <w:t>Øre og labyrint</w:t>
            </w:r>
          </w:p>
        </w:tc>
        <w:tc>
          <w:tcPr>
            <w:tcW w:w="869" w:type="pct"/>
            <w:tcBorders>
              <w:top w:val="single" w:sz="4" w:space="0" w:color="auto"/>
              <w:left w:val="single" w:sz="4" w:space="0" w:color="auto"/>
              <w:bottom w:val="single" w:sz="4" w:space="0" w:color="auto"/>
              <w:right w:val="single" w:sz="4" w:space="0" w:color="auto"/>
            </w:tcBorders>
          </w:tcPr>
          <w:p w14:paraId="1F8CC543" w14:textId="77777777" w:rsidR="00D2303A" w:rsidRPr="00DC2079" w:rsidRDefault="00D2303A" w:rsidP="005D5B8E">
            <w:pPr>
              <w:rPr>
                <w:spacing w:val="-4"/>
                <w:sz w:val="20"/>
                <w:lang w:val="en-US"/>
              </w:rPr>
            </w:pPr>
          </w:p>
        </w:tc>
        <w:tc>
          <w:tcPr>
            <w:tcW w:w="942" w:type="pct"/>
            <w:tcBorders>
              <w:top w:val="single" w:sz="4" w:space="0" w:color="auto"/>
              <w:left w:val="single" w:sz="4" w:space="0" w:color="auto"/>
              <w:bottom w:val="single" w:sz="4" w:space="0" w:color="auto"/>
              <w:right w:val="single" w:sz="4" w:space="0" w:color="auto"/>
            </w:tcBorders>
          </w:tcPr>
          <w:p w14:paraId="76785FBF" w14:textId="77777777" w:rsidR="00D2303A" w:rsidRPr="00DC2079" w:rsidRDefault="00D2303A" w:rsidP="005D5B8E">
            <w:pPr>
              <w:rPr>
                <w:spacing w:val="-4"/>
                <w:sz w:val="20"/>
                <w:lang w:val="en-US"/>
              </w:rPr>
            </w:pPr>
          </w:p>
        </w:tc>
        <w:tc>
          <w:tcPr>
            <w:tcW w:w="809" w:type="pct"/>
            <w:tcBorders>
              <w:top w:val="single" w:sz="4" w:space="0" w:color="auto"/>
              <w:left w:val="single" w:sz="4" w:space="0" w:color="auto"/>
              <w:bottom w:val="single" w:sz="4" w:space="0" w:color="auto"/>
              <w:right w:val="single" w:sz="4" w:space="0" w:color="auto"/>
            </w:tcBorders>
            <w:hideMark/>
          </w:tcPr>
          <w:p w14:paraId="02FE1C60" w14:textId="02928CF0" w:rsidR="00D2303A" w:rsidRPr="00DC2079" w:rsidRDefault="008E0B2A" w:rsidP="005D5B8E">
            <w:pPr>
              <w:rPr>
                <w:spacing w:val="-4"/>
                <w:sz w:val="20"/>
              </w:rPr>
            </w:pPr>
            <w:r>
              <w:rPr>
                <w:sz w:val="20"/>
              </w:rPr>
              <w:t>H</w:t>
            </w:r>
            <w:r w:rsidR="00D2303A" w:rsidRPr="00DC2079">
              <w:rPr>
                <w:sz w:val="20"/>
              </w:rPr>
              <w:t>øreforstyrrelser, tinnitus</w:t>
            </w:r>
          </w:p>
        </w:tc>
        <w:tc>
          <w:tcPr>
            <w:tcW w:w="507" w:type="pct"/>
            <w:tcBorders>
              <w:top w:val="single" w:sz="4" w:space="0" w:color="auto"/>
              <w:left w:val="single" w:sz="4" w:space="0" w:color="auto"/>
              <w:bottom w:val="single" w:sz="4" w:space="0" w:color="auto"/>
              <w:right w:val="single" w:sz="4" w:space="0" w:color="auto"/>
            </w:tcBorders>
          </w:tcPr>
          <w:p w14:paraId="69933742" w14:textId="77777777" w:rsidR="00D2303A" w:rsidRPr="00DC2079" w:rsidRDefault="00D2303A" w:rsidP="005D5B8E">
            <w:pPr>
              <w:rPr>
                <w:spacing w:val="-4"/>
                <w:sz w:val="20"/>
                <w:lang w:val="en-US"/>
              </w:rPr>
            </w:pPr>
          </w:p>
        </w:tc>
        <w:tc>
          <w:tcPr>
            <w:tcW w:w="942" w:type="pct"/>
            <w:tcBorders>
              <w:top w:val="single" w:sz="4" w:space="0" w:color="auto"/>
              <w:left w:val="single" w:sz="4" w:space="0" w:color="auto"/>
              <w:bottom w:val="single" w:sz="4" w:space="0" w:color="auto"/>
              <w:right w:val="single" w:sz="4" w:space="0" w:color="auto"/>
            </w:tcBorders>
          </w:tcPr>
          <w:p w14:paraId="4FBBDB82" w14:textId="77777777" w:rsidR="00D2303A" w:rsidRPr="00DC2079" w:rsidRDefault="00D2303A" w:rsidP="005D5B8E">
            <w:pPr>
              <w:rPr>
                <w:spacing w:val="-4"/>
                <w:sz w:val="20"/>
                <w:lang w:val="en-US"/>
              </w:rPr>
            </w:pPr>
          </w:p>
        </w:tc>
      </w:tr>
      <w:tr w:rsidR="00D2303A" w:rsidRPr="00DC2079" w14:paraId="698A6DED" w14:textId="77777777" w:rsidTr="00DC2079">
        <w:tc>
          <w:tcPr>
            <w:tcW w:w="930" w:type="pct"/>
            <w:tcBorders>
              <w:top w:val="single" w:sz="4" w:space="0" w:color="auto"/>
              <w:left w:val="single" w:sz="4" w:space="0" w:color="auto"/>
              <w:bottom w:val="single" w:sz="4" w:space="0" w:color="auto"/>
              <w:right w:val="single" w:sz="4" w:space="0" w:color="auto"/>
            </w:tcBorders>
            <w:hideMark/>
          </w:tcPr>
          <w:p w14:paraId="7565F1A4" w14:textId="77777777" w:rsidR="00D2303A" w:rsidRPr="00DC2079" w:rsidRDefault="00D2303A" w:rsidP="005D5B8E">
            <w:pPr>
              <w:rPr>
                <w:i/>
                <w:sz w:val="20"/>
              </w:rPr>
            </w:pPr>
            <w:r w:rsidRPr="00DC2079">
              <w:rPr>
                <w:i/>
                <w:sz w:val="20"/>
              </w:rPr>
              <w:t>Hjerte</w:t>
            </w:r>
          </w:p>
        </w:tc>
        <w:tc>
          <w:tcPr>
            <w:tcW w:w="869" w:type="pct"/>
            <w:tcBorders>
              <w:top w:val="single" w:sz="4" w:space="0" w:color="auto"/>
              <w:left w:val="single" w:sz="4" w:space="0" w:color="auto"/>
              <w:bottom w:val="single" w:sz="4" w:space="0" w:color="auto"/>
              <w:right w:val="single" w:sz="4" w:space="0" w:color="auto"/>
            </w:tcBorders>
          </w:tcPr>
          <w:p w14:paraId="62F42A12" w14:textId="77777777" w:rsidR="00D2303A" w:rsidRPr="00DC2079" w:rsidRDefault="00D2303A" w:rsidP="005D5B8E">
            <w:pPr>
              <w:rPr>
                <w:spacing w:val="-4"/>
                <w:sz w:val="20"/>
                <w:lang w:val="en-US"/>
              </w:rPr>
            </w:pPr>
          </w:p>
        </w:tc>
        <w:tc>
          <w:tcPr>
            <w:tcW w:w="942" w:type="pct"/>
            <w:tcBorders>
              <w:top w:val="single" w:sz="4" w:space="0" w:color="auto"/>
              <w:left w:val="single" w:sz="4" w:space="0" w:color="auto"/>
              <w:bottom w:val="single" w:sz="4" w:space="0" w:color="auto"/>
              <w:right w:val="single" w:sz="4" w:space="0" w:color="auto"/>
            </w:tcBorders>
            <w:hideMark/>
          </w:tcPr>
          <w:p w14:paraId="4BFEDA5E" w14:textId="77777777" w:rsidR="00D2303A" w:rsidRPr="00DC2079" w:rsidRDefault="00D2303A" w:rsidP="005D5B8E">
            <w:pPr>
              <w:rPr>
                <w:spacing w:val="-4"/>
                <w:sz w:val="20"/>
              </w:rPr>
            </w:pPr>
            <w:proofErr w:type="spellStart"/>
            <w:r w:rsidRPr="00DC2079">
              <w:rPr>
                <w:sz w:val="20"/>
              </w:rPr>
              <w:t>Myokardiel</w:t>
            </w:r>
            <w:proofErr w:type="spellEnd"/>
            <w:r w:rsidRPr="00DC2079">
              <w:rPr>
                <w:sz w:val="20"/>
              </w:rPr>
              <w:t xml:space="preserve"> iskæmi, herunder angina pectoris eller myokardieinfarkt, </w:t>
            </w:r>
            <w:proofErr w:type="spellStart"/>
            <w:r w:rsidRPr="00DC2079">
              <w:rPr>
                <w:sz w:val="20"/>
              </w:rPr>
              <w:t>takykardi</w:t>
            </w:r>
            <w:proofErr w:type="spellEnd"/>
            <w:r w:rsidRPr="00DC2079">
              <w:rPr>
                <w:sz w:val="20"/>
              </w:rPr>
              <w:t xml:space="preserve">, </w:t>
            </w:r>
            <w:proofErr w:type="spellStart"/>
            <w:r w:rsidRPr="00DC2079">
              <w:rPr>
                <w:sz w:val="20"/>
              </w:rPr>
              <w:t>arytmi</w:t>
            </w:r>
            <w:proofErr w:type="spellEnd"/>
            <w:r w:rsidRPr="00DC2079">
              <w:rPr>
                <w:sz w:val="20"/>
              </w:rPr>
              <w:t xml:space="preserve">, </w:t>
            </w:r>
            <w:proofErr w:type="spellStart"/>
            <w:r w:rsidRPr="00DC2079">
              <w:rPr>
                <w:sz w:val="20"/>
              </w:rPr>
              <w:t>palpitationer</w:t>
            </w:r>
            <w:proofErr w:type="spellEnd"/>
            <w:r w:rsidRPr="00DC2079">
              <w:rPr>
                <w:sz w:val="20"/>
              </w:rPr>
              <w:t>, perifert ødem</w:t>
            </w:r>
          </w:p>
        </w:tc>
        <w:tc>
          <w:tcPr>
            <w:tcW w:w="809" w:type="pct"/>
            <w:tcBorders>
              <w:top w:val="single" w:sz="4" w:space="0" w:color="auto"/>
              <w:left w:val="single" w:sz="4" w:space="0" w:color="auto"/>
              <w:bottom w:val="single" w:sz="4" w:space="0" w:color="auto"/>
              <w:right w:val="single" w:sz="4" w:space="0" w:color="auto"/>
            </w:tcBorders>
          </w:tcPr>
          <w:p w14:paraId="0B0C1C39" w14:textId="77777777" w:rsidR="00D2303A" w:rsidRPr="00DC2079" w:rsidRDefault="00D2303A" w:rsidP="005D5B8E">
            <w:pPr>
              <w:rPr>
                <w:spacing w:val="-4"/>
                <w:sz w:val="20"/>
              </w:rPr>
            </w:pPr>
          </w:p>
        </w:tc>
        <w:tc>
          <w:tcPr>
            <w:tcW w:w="507" w:type="pct"/>
            <w:tcBorders>
              <w:top w:val="single" w:sz="4" w:space="0" w:color="auto"/>
              <w:left w:val="single" w:sz="4" w:space="0" w:color="auto"/>
              <w:bottom w:val="single" w:sz="4" w:space="0" w:color="auto"/>
              <w:right w:val="single" w:sz="4" w:space="0" w:color="auto"/>
            </w:tcBorders>
          </w:tcPr>
          <w:p w14:paraId="6AA3628A" w14:textId="77777777" w:rsidR="00D2303A" w:rsidRPr="00DC2079" w:rsidRDefault="00D2303A" w:rsidP="005D5B8E">
            <w:pPr>
              <w:rPr>
                <w:spacing w:val="-4"/>
                <w:sz w:val="20"/>
              </w:rPr>
            </w:pPr>
          </w:p>
        </w:tc>
        <w:tc>
          <w:tcPr>
            <w:tcW w:w="942" w:type="pct"/>
            <w:tcBorders>
              <w:top w:val="single" w:sz="4" w:space="0" w:color="auto"/>
              <w:left w:val="single" w:sz="4" w:space="0" w:color="auto"/>
              <w:bottom w:val="single" w:sz="4" w:space="0" w:color="auto"/>
              <w:right w:val="single" w:sz="4" w:space="0" w:color="auto"/>
            </w:tcBorders>
          </w:tcPr>
          <w:p w14:paraId="19082BF1" w14:textId="77777777" w:rsidR="00D2303A" w:rsidRPr="00DC2079" w:rsidRDefault="00D2303A" w:rsidP="005D5B8E">
            <w:pPr>
              <w:rPr>
                <w:spacing w:val="-4"/>
                <w:sz w:val="20"/>
              </w:rPr>
            </w:pPr>
          </w:p>
        </w:tc>
      </w:tr>
      <w:tr w:rsidR="00D2303A" w:rsidRPr="00DC2079" w14:paraId="7493AB48" w14:textId="77777777" w:rsidTr="00DC2079">
        <w:tc>
          <w:tcPr>
            <w:tcW w:w="930" w:type="pct"/>
            <w:tcBorders>
              <w:top w:val="single" w:sz="4" w:space="0" w:color="auto"/>
              <w:left w:val="single" w:sz="4" w:space="0" w:color="auto"/>
              <w:bottom w:val="single" w:sz="4" w:space="0" w:color="auto"/>
              <w:right w:val="single" w:sz="4" w:space="0" w:color="auto"/>
            </w:tcBorders>
            <w:hideMark/>
          </w:tcPr>
          <w:p w14:paraId="7EA811D5" w14:textId="77777777" w:rsidR="00D2303A" w:rsidRPr="00DC2079" w:rsidRDefault="00D2303A" w:rsidP="005D5B8E">
            <w:pPr>
              <w:rPr>
                <w:i/>
                <w:sz w:val="20"/>
              </w:rPr>
            </w:pPr>
            <w:proofErr w:type="spellStart"/>
            <w:r w:rsidRPr="00DC2079">
              <w:rPr>
                <w:i/>
                <w:sz w:val="20"/>
              </w:rPr>
              <w:t>Vaskulære</w:t>
            </w:r>
            <w:proofErr w:type="spellEnd"/>
            <w:r w:rsidRPr="00DC2079">
              <w:rPr>
                <w:i/>
                <w:sz w:val="20"/>
              </w:rPr>
              <w:t xml:space="preserve"> sygdomme</w:t>
            </w:r>
          </w:p>
        </w:tc>
        <w:tc>
          <w:tcPr>
            <w:tcW w:w="869" w:type="pct"/>
            <w:tcBorders>
              <w:top w:val="single" w:sz="4" w:space="0" w:color="auto"/>
              <w:left w:val="single" w:sz="4" w:space="0" w:color="auto"/>
              <w:bottom w:val="single" w:sz="4" w:space="0" w:color="auto"/>
              <w:right w:val="single" w:sz="4" w:space="0" w:color="auto"/>
            </w:tcBorders>
            <w:hideMark/>
          </w:tcPr>
          <w:p w14:paraId="5AD31E22" w14:textId="13BBE02A" w:rsidR="00D2303A" w:rsidRPr="00DC2079" w:rsidRDefault="00D2303A" w:rsidP="00A92BD2">
            <w:pPr>
              <w:rPr>
                <w:spacing w:val="-4"/>
                <w:sz w:val="20"/>
              </w:rPr>
            </w:pPr>
            <w:r w:rsidRPr="00DC2079">
              <w:rPr>
                <w:sz w:val="20"/>
              </w:rPr>
              <w:t>Hypotension,</w:t>
            </w:r>
            <w:r w:rsidR="00A92BD2" w:rsidRPr="00DC2079">
              <w:rPr>
                <w:sz w:val="20"/>
              </w:rPr>
              <w:t xml:space="preserve"> </w:t>
            </w:r>
            <w:r w:rsidRPr="00DC2079">
              <w:rPr>
                <w:sz w:val="20"/>
              </w:rPr>
              <w:t xml:space="preserve">nedsat </w:t>
            </w:r>
            <w:proofErr w:type="spellStart"/>
            <w:r w:rsidRPr="00DC2079">
              <w:rPr>
                <w:sz w:val="20"/>
              </w:rPr>
              <w:t>ortostatisk</w:t>
            </w:r>
            <w:proofErr w:type="spellEnd"/>
            <w:r w:rsidRPr="00DC2079">
              <w:rPr>
                <w:sz w:val="20"/>
              </w:rPr>
              <w:t xml:space="preserve"> blodtryk, synkope</w:t>
            </w:r>
          </w:p>
        </w:tc>
        <w:tc>
          <w:tcPr>
            <w:tcW w:w="942" w:type="pct"/>
            <w:tcBorders>
              <w:top w:val="single" w:sz="4" w:space="0" w:color="auto"/>
              <w:left w:val="single" w:sz="4" w:space="0" w:color="auto"/>
              <w:bottom w:val="single" w:sz="4" w:space="0" w:color="auto"/>
              <w:right w:val="single" w:sz="4" w:space="0" w:color="auto"/>
            </w:tcBorders>
            <w:hideMark/>
          </w:tcPr>
          <w:p w14:paraId="7037E6F3" w14:textId="77777777" w:rsidR="00D2303A" w:rsidRPr="00DC2079" w:rsidRDefault="00D2303A" w:rsidP="005D5B8E">
            <w:pPr>
              <w:rPr>
                <w:spacing w:val="-4"/>
                <w:sz w:val="20"/>
              </w:rPr>
            </w:pPr>
            <w:r w:rsidRPr="00DC2079">
              <w:rPr>
                <w:sz w:val="20"/>
              </w:rPr>
              <w:t>Rødmen</w:t>
            </w:r>
          </w:p>
        </w:tc>
        <w:tc>
          <w:tcPr>
            <w:tcW w:w="809" w:type="pct"/>
            <w:tcBorders>
              <w:top w:val="single" w:sz="4" w:space="0" w:color="auto"/>
              <w:left w:val="single" w:sz="4" w:space="0" w:color="auto"/>
              <w:bottom w:val="single" w:sz="4" w:space="0" w:color="auto"/>
              <w:right w:val="single" w:sz="4" w:space="0" w:color="auto"/>
            </w:tcBorders>
            <w:hideMark/>
          </w:tcPr>
          <w:p w14:paraId="2BA3E7FF" w14:textId="4EBF896C" w:rsidR="00D2303A" w:rsidRPr="00DC2079" w:rsidRDefault="00D2303A" w:rsidP="005D5B8E">
            <w:pPr>
              <w:rPr>
                <w:spacing w:val="-4"/>
                <w:sz w:val="20"/>
              </w:rPr>
            </w:pPr>
            <w:proofErr w:type="spellStart"/>
            <w:r w:rsidRPr="00DC2079">
              <w:rPr>
                <w:sz w:val="20"/>
              </w:rPr>
              <w:t>Vaskulær</w:t>
            </w:r>
            <w:proofErr w:type="spellEnd"/>
            <w:r w:rsidRPr="00DC2079">
              <w:rPr>
                <w:sz w:val="20"/>
              </w:rPr>
              <w:t xml:space="preserve"> stenose, </w:t>
            </w:r>
            <w:proofErr w:type="spellStart"/>
            <w:r w:rsidRPr="00DC2079">
              <w:rPr>
                <w:sz w:val="20"/>
              </w:rPr>
              <w:t>hypoperfu</w:t>
            </w:r>
            <w:r w:rsidR="00DC2079" w:rsidRPr="00DC2079">
              <w:rPr>
                <w:sz w:val="20"/>
              </w:rPr>
              <w:softHyphen/>
            </w:r>
            <w:r w:rsidRPr="00DC2079">
              <w:rPr>
                <w:sz w:val="20"/>
              </w:rPr>
              <w:t>sion</w:t>
            </w:r>
            <w:proofErr w:type="spellEnd"/>
            <w:r w:rsidRPr="00DC2079">
              <w:rPr>
                <w:sz w:val="20"/>
              </w:rPr>
              <w:t xml:space="preserve">, </w:t>
            </w:r>
            <w:proofErr w:type="spellStart"/>
            <w:r w:rsidRPr="00DC2079">
              <w:rPr>
                <w:sz w:val="20"/>
              </w:rPr>
              <w:t>vaskulitis</w:t>
            </w:r>
            <w:proofErr w:type="spellEnd"/>
          </w:p>
        </w:tc>
        <w:tc>
          <w:tcPr>
            <w:tcW w:w="507" w:type="pct"/>
            <w:tcBorders>
              <w:top w:val="single" w:sz="4" w:space="0" w:color="auto"/>
              <w:left w:val="single" w:sz="4" w:space="0" w:color="auto"/>
              <w:bottom w:val="single" w:sz="4" w:space="0" w:color="auto"/>
              <w:right w:val="single" w:sz="4" w:space="0" w:color="auto"/>
            </w:tcBorders>
          </w:tcPr>
          <w:p w14:paraId="4A07F4E2" w14:textId="77777777" w:rsidR="00D2303A" w:rsidRPr="00DC2079" w:rsidRDefault="00D2303A" w:rsidP="005D5B8E">
            <w:pPr>
              <w:rPr>
                <w:spacing w:val="-4"/>
                <w:sz w:val="20"/>
                <w:lang w:val="en-US"/>
              </w:rPr>
            </w:pPr>
          </w:p>
        </w:tc>
        <w:tc>
          <w:tcPr>
            <w:tcW w:w="942" w:type="pct"/>
            <w:tcBorders>
              <w:top w:val="single" w:sz="4" w:space="0" w:color="auto"/>
              <w:left w:val="single" w:sz="4" w:space="0" w:color="auto"/>
              <w:bottom w:val="single" w:sz="4" w:space="0" w:color="auto"/>
              <w:right w:val="single" w:sz="4" w:space="0" w:color="auto"/>
            </w:tcBorders>
            <w:hideMark/>
          </w:tcPr>
          <w:p w14:paraId="2E4A5460" w14:textId="77777777" w:rsidR="00D2303A" w:rsidRPr="00DC2079" w:rsidRDefault="00D2303A" w:rsidP="005D5B8E">
            <w:pPr>
              <w:rPr>
                <w:spacing w:val="-4"/>
                <w:sz w:val="20"/>
              </w:rPr>
            </w:pPr>
            <w:proofErr w:type="spellStart"/>
            <w:r w:rsidRPr="00DC2079">
              <w:rPr>
                <w:sz w:val="20"/>
              </w:rPr>
              <w:t>Raynauds</w:t>
            </w:r>
            <w:proofErr w:type="spellEnd"/>
            <w:r w:rsidRPr="00DC2079">
              <w:rPr>
                <w:sz w:val="20"/>
              </w:rPr>
              <w:t xml:space="preserve"> fænomen</w:t>
            </w:r>
          </w:p>
        </w:tc>
      </w:tr>
      <w:tr w:rsidR="00D2303A" w:rsidRPr="00DC2079" w14:paraId="51844569" w14:textId="77777777" w:rsidTr="00DC2079">
        <w:tc>
          <w:tcPr>
            <w:tcW w:w="930" w:type="pct"/>
            <w:tcBorders>
              <w:top w:val="single" w:sz="4" w:space="0" w:color="auto"/>
              <w:left w:val="single" w:sz="4" w:space="0" w:color="auto"/>
              <w:bottom w:val="single" w:sz="4" w:space="0" w:color="auto"/>
              <w:right w:val="single" w:sz="4" w:space="0" w:color="auto"/>
            </w:tcBorders>
            <w:hideMark/>
          </w:tcPr>
          <w:p w14:paraId="601EE323" w14:textId="77777777" w:rsidR="00D2303A" w:rsidRPr="00DC2079" w:rsidRDefault="00D2303A" w:rsidP="005D5B8E">
            <w:pPr>
              <w:rPr>
                <w:i/>
                <w:sz w:val="20"/>
              </w:rPr>
            </w:pPr>
            <w:r w:rsidRPr="00DC2079">
              <w:rPr>
                <w:i/>
                <w:iCs/>
                <w:sz w:val="20"/>
              </w:rPr>
              <w:t xml:space="preserve">Luftveje, thorax og </w:t>
            </w:r>
            <w:proofErr w:type="spellStart"/>
            <w:r w:rsidRPr="00DC2079">
              <w:rPr>
                <w:i/>
                <w:iCs/>
                <w:sz w:val="20"/>
              </w:rPr>
              <w:t>mediastinum</w:t>
            </w:r>
            <w:proofErr w:type="spellEnd"/>
          </w:p>
        </w:tc>
        <w:tc>
          <w:tcPr>
            <w:tcW w:w="869" w:type="pct"/>
            <w:tcBorders>
              <w:top w:val="single" w:sz="4" w:space="0" w:color="auto"/>
              <w:left w:val="single" w:sz="4" w:space="0" w:color="auto"/>
              <w:bottom w:val="single" w:sz="4" w:space="0" w:color="auto"/>
              <w:right w:val="single" w:sz="4" w:space="0" w:color="auto"/>
            </w:tcBorders>
            <w:hideMark/>
          </w:tcPr>
          <w:p w14:paraId="1BFCAAD5" w14:textId="77777777" w:rsidR="00D2303A" w:rsidRPr="00DC2079" w:rsidRDefault="00D2303A" w:rsidP="005D5B8E">
            <w:pPr>
              <w:rPr>
                <w:spacing w:val="-4"/>
                <w:sz w:val="20"/>
              </w:rPr>
            </w:pPr>
            <w:r w:rsidRPr="00DC2079">
              <w:rPr>
                <w:sz w:val="20"/>
              </w:rPr>
              <w:t xml:space="preserve">Nonproduktiv kildende hoste, bronkitis, </w:t>
            </w:r>
            <w:proofErr w:type="spellStart"/>
            <w:r w:rsidRPr="00DC2079">
              <w:rPr>
                <w:sz w:val="20"/>
              </w:rPr>
              <w:t>sinusitis</w:t>
            </w:r>
            <w:proofErr w:type="spellEnd"/>
            <w:r w:rsidRPr="00DC2079">
              <w:rPr>
                <w:sz w:val="20"/>
              </w:rPr>
              <w:t>, dyspnø</w:t>
            </w:r>
          </w:p>
        </w:tc>
        <w:tc>
          <w:tcPr>
            <w:tcW w:w="942" w:type="pct"/>
            <w:tcBorders>
              <w:top w:val="single" w:sz="4" w:space="0" w:color="auto"/>
              <w:left w:val="single" w:sz="4" w:space="0" w:color="auto"/>
              <w:bottom w:val="single" w:sz="4" w:space="0" w:color="auto"/>
              <w:right w:val="single" w:sz="4" w:space="0" w:color="auto"/>
            </w:tcBorders>
            <w:hideMark/>
          </w:tcPr>
          <w:p w14:paraId="47325D2F" w14:textId="77777777" w:rsidR="00D2303A" w:rsidRPr="00DC2079" w:rsidRDefault="00D2303A" w:rsidP="005D5B8E">
            <w:pPr>
              <w:rPr>
                <w:spacing w:val="-4"/>
                <w:sz w:val="20"/>
              </w:rPr>
            </w:pPr>
            <w:proofErr w:type="spellStart"/>
            <w:r w:rsidRPr="00DC2079">
              <w:rPr>
                <w:sz w:val="20"/>
              </w:rPr>
              <w:t>Bronchospasme</w:t>
            </w:r>
            <w:proofErr w:type="spellEnd"/>
            <w:r w:rsidRPr="00DC2079">
              <w:rPr>
                <w:sz w:val="20"/>
              </w:rPr>
              <w:t>, herunder forværret astma, nasal kongestion</w:t>
            </w:r>
          </w:p>
        </w:tc>
        <w:tc>
          <w:tcPr>
            <w:tcW w:w="809" w:type="pct"/>
            <w:tcBorders>
              <w:top w:val="single" w:sz="4" w:space="0" w:color="auto"/>
              <w:left w:val="single" w:sz="4" w:space="0" w:color="auto"/>
              <w:bottom w:val="single" w:sz="4" w:space="0" w:color="auto"/>
              <w:right w:val="single" w:sz="4" w:space="0" w:color="auto"/>
            </w:tcBorders>
          </w:tcPr>
          <w:p w14:paraId="722DA991" w14:textId="77777777" w:rsidR="00D2303A" w:rsidRPr="00DC2079" w:rsidRDefault="00D2303A" w:rsidP="005D5B8E">
            <w:pPr>
              <w:rPr>
                <w:spacing w:val="-4"/>
                <w:sz w:val="20"/>
              </w:rPr>
            </w:pPr>
          </w:p>
        </w:tc>
        <w:tc>
          <w:tcPr>
            <w:tcW w:w="507" w:type="pct"/>
            <w:tcBorders>
              <w:top w:val="single" w:sz="4" w:space="0" w:color="auto"/>
              <w:left w:val="single" w:sz="4" w:space="0" w:color="auto"/>
              <w:bottom w:val="single" w:sz="4" w:space="0" w:color="auto"/>
              <w:right w:val="single" w:sz="4" w:space="0" w:color="auto"/>
            </w:tcBorders>
          </w:tcPr>
          <w:p w14:paraId="5CCF032E" w14:textId="77777777" w:rsidR="00D2303A" w:rsidRPr="00DC2079" w:rsidRDefault="00D2303A" w:rsidP="005D5B8E">
            <w:pPr>
              <w:rPr>
                <w:spacing w:val="-4"/>
                <w:sz w:val="20"/>
              </w:rPr>
            </w:pPr>
          </w:p>
        </w:tc>
        <w:tc>
          <w:tcPr>
            <w:tcW w:w="942" w:type="pct"/>
            <w:tcBorders>
              <w:top w:val="single" w:sz="4" w:space="0" w:color="auto"/>
              <w:left w:val="single" w:sz="4" w:space="0" w:color="auto"/>
              <w:bottom w:val="single" w:sz="4" w:space="0" w:color="auto"/>
              <w:right w:val="single" w:sz="4" w:space="0" w:color="auto"/>
            </w:tcBorders>
          </w:tcPr>
          <w:p w14:paraId="0CB9DDF2" w14:textId="77777777" w:rsidR="00D2303A" w:rsidRPr="00DC2079" w:rsidRDefault="00D2303A" w:rsidP="005D5B8E">
            <w:pPr>
              <w:rPr>
                <w:spacing w:val="-4"/>
                <w:sz w:val="20"/>
              </w:rPr>
            </w:pPr>
          </w:p>
        </w:tc>
      </w:tr>
      <w:tr w:rsidR="00D2303A" w:rsidRPr="00DC2079" w14:paraId="34C29375" w14:textId="77777777" w:rsidTr="00DC2079">
        <w:tc>
          <w:tcPr>
            <w:tcW w:w="930" w:type="pct"/>
            <w:tcBorders>
              <w:top w:val="single" w:sz="4" w:space="0" w:color="auto"/>
              <w:left w:val="single" w:sz="4" w:space="0" w:color="auto"/>
              <w:bottom w:val="single" w:sz="4" w:space="0" w:color="auto"/>
              <w:right w:val="single" w:sz="4" w:space="0" w:color="auto"/>
            </w:tcBorders>
            <w:hideMark/>
          </w:tcPr>
          <w:p w14:paraId="5A67A555" w14:textId="77777777" w:rsidR="00D2303A" w:rsidRPr="00DC2079" w:rsidRDefault="00D2303A" w:rsidP="005D5B8E">
            <w:pPr>
              <w:rPr>
                <w:i/>
                <w:sz w:val="20"/>
              </w:rPr>
            </w:pPr>
            <w:r w:rsidRPr="00DC2079">
              <w:rPr>
                <w:i/>
                <w:sz w:val="20"/>
              </w:rPr>
              <w:t>Mave-tarm-kanalen</w:t>
            </w:r>
          </w:p>
        </w:tc>
        <w:tc>
          <w:tcPr>
            <w:tcW w:w="869" w:type="pct"/>
            <w:tcBorders>
              <w:top w:val="single" w:sz="4" w:space="0" w:color="auto"/>
              <w:left w:val="single" w:sz="4" w:space="0" w:color="auto"/>
              <w:bottom w:val="single" w:sz="4" w:space="0" w:color="auto"/>
              <w:right w:val="single" w:sz="4" w:space="0" w:color="auto"/>
            </w:tcBorders>
            <w:hideMark/>
          </w:tcPr>
          <w:p w14:paraId="553EA610" w14:textId="77777777" w:rsidR="00D2303A" w:rsidRPr="00DC2079" w:rsidRDefault="00D2303A" w:rsidP="005D5B8E">
            <w:pPr>
              <w:rPr>
                <w:spacing w:val="-4"/>
                <w:sz w:val="20"/>
              </w:rPr>
            </w:pPr>
            <w:proofErr w:type="spellStart"/>
            <w:r w:rsidRPr="00DC2079">
              <w:rPr>
                <w:sz w:val="20"/>
              </w:rPr>
              <w:t>Gastrointestinal</w:t>
            </w:r>
            <w:proofErr w:type="spellEnd"/>
            <w:r w:rsidRPr="00DC2079">
              <w:rPr>
                <w:sz w:val="20"/>
              </w:rPr>
              <w:t xml:space="preserve"> inflammation, fordøjelsesforstyrrelser, ubehag i maven, dyspepsi, diarré, kvalme, opkastning</w:t>
            </w:r>
          </w:p>
        </w:tc>
        <w:tc>
          <w:tcPr>
            <w:tcW w:w="942" w:type="pct"/>
            <w:tcBorders>
              <w:top w:val="single" w:sz="4" w:space="0" w:color="auto"/>
              <w:left w:val="single" w:sz="4" w:space="0" w:color="auto"/>
              <w:bottom w:val="single" w:sz="4" w:space="0" w:color="auto"/>
              <w:right w:val="single" w:sz="4" w:space="0" w:color="auto"/>
            </w:tcBorders>
            <w:hideMark/>
          </w:tcPr>
          <w:p w14:paraId="5F759B23" w14:textId="77777777" w:rsidR="00D2303A" w:rsidRPr="00DC2079" w:rsidRDefault="00D2303A" w:rsidP="005D5B8E">
            <w:pPr>
              <w:rPr>
                <w:spacing w:val="-4"/>
                <w:sz w:val="20"/>
              </w:rPr>
            </w:pPr>
            <w:proofErr w:type="spellStart"/>
            <w:r w:rsidRPr="00DC2079">
              <w:rPr>
                <w:sz w:val="20"/>
              </w:rPr>
              <w:t>Pankreatitis</w:t>
            </w:r>
            <w:proofErr w:type="spellEnd"/>
            <w:r w:rsidRPr="00DC2079">
              <w:rPr>
                <w:sz w:val="20"/>
              </w:rPr>
              <w:t xml:space="preserve"> (rapporter med fatalt udfald med ACE-</w:t>
            </w:r>
            <w:proofErr w:type="spellStart"/>
            <w:r w:rsidRPr="00DC2079">
              <w:rPr>
                <w:sz w:val="20"/>
              </w:rPr>
              <w:t>hæmmere</w:t>
            </w:r>
            <w:proofErr w:type="spellEnd"/>
            <w:r w:rsidRPr="00DC2079">
              <w:rPr>
                <w:sz w:val="20"/>
              </w:rPr>
              <w:t xml:space="preserve"> er meget sjældent blevet indberettet), stigning i </w:t>
            </w:r>
            <w:proofErr w:type="spellStart"/>
            <w:r w:rsidRPr="00DC2079">
              <w:rPr>
                <w:sz w:val="20"/>
              </w:rPr>
              <w:t>pankreasenzymer</w:t>
            </w:r>
            <w:proofErr w:type="spellEnd"/>
            <w:r w:rsidRPr="00DC2079">
              <w:rPr>
                <w:sz w:val="20"/>
              </w:rPr>
              <w:t xml:space="preserve">, </w:t>
            </w:r>
            <w:proofErr w:type="spellStart"/>
            <w:r w:rsidRPr="00DC2079">
              <w:rPr>
                <w:sz w:val="20"/>
              </w:rPr>
              <w:t>tyndtarmsangioødem</w:t>
            </w:r>
            <w:proofErr w:type="spellEnd"/>
            <w:r w:rsidRPr="00DC2079">
              <w:rPr>
                <w:sz w:val="20"/>
              </w:rPr>
              <w:t xml:space="preserve">, øvre </w:t>
            </w:r>
            <w:proofErr w:type="spellStart"/>
            <w:r w:rsidRPr="00DC2079">
              <w:rPr>
                <w:sz w:val="20"/>
              </w:rPr>
              <w:t>abdominalsmerter</w:t>
            </w:r>
            <w:proofErr w:type="spellEnd"/>
            <w:r w:rsidRPr="00DC2079">
              <w:rPr>
                <w:sz w:val="20"/>
              </w:rPr>
              <w:t>, herunder gastritis, obstipation, tør mund</w:t>
            </w:r>
          </w:p>
        </w:tc>
        <w:tc>
          <w:tcPr>
            <w:tcW w:w="809" w:type="pct"/>
            <w:tcBorders>
              <w:top w:val="single" w:sz="4" w:space="0" w:color="auto"/>
              <w:left w:val="single" w:sz="4" w:space="0" w:color="auto"/>
              <w:bottom w:val="single" w:sz="4" w:space="0" w:color="auto"/>
              <w:right w:val="single" w:sz="4" w:space="0" w:color="auto"/>
            </w:tcBorders>
            <w:hideMark/>
          </w:tcPr>
          <w:p w14:paraId="3DCD7A10" w14:textId="77777777" w:rsidR="00D2303A" w:rsidRPr="00DC2079" w:rsidRDefault="00D2303A" w:rsidP="005D5B8E">
            <w:pPr>
              <w:rPr>
                <w:spacing w:val="-4"/>
                <w:sz w:val="20"/>
              </w:rPr>
            </w:pPr>
            <w:r w:rsidRPr="00DC2079">
              <w:rPr>
                <w:sz w:val="20"/>
              </w:rPr>
              <w:t>Tunge-betændelse</w:t>
            </w:r>
          </w:p>
        </w:tc>
        <w:tc>
          <w:tcPr>
            <w:tcW w:w="507" w:type="pct"/>
            <w:tcBorders>
              <w:top w:val="single" w:sz="4" w:space="0" w:color="auto"/>
              <w:left w:val="single" w:sz="4" w:space="0" w:color="auto"/>
              <w:bottom w:val="single" w:sz="4" w:space="0" w:color="auto"/>
              <w:right w:val="single" w:sz="4" w:space="0" w:color="auto"/>
            </w:tcBorders>
          </w:tcPr>
          <w:p w14:paraId="0ED08451" w14:textId="77777777" w:rsidR="00D2303A" w:rsidRPr="00DC2079" w:rsidRDefault="00D2303A" w:rsidP="005D5B8E">
            <w:pPr>
              <w:rPr>
                <w:spacing w:val="-4"/>
                <w:sz w:val="20"/>
                <w:lang w:val="en-US"/>
              </w:rPr>
            </w:pPr>
          </w:p>
        </w:tc>
        <w:tc>
          <w:tcPr>
            <w:tcW w:w="942" w:type="pct"/>
            <w:tcBorders>
              <w:top w:val="single" w:sz="4" w:space="0" w:color="auto"/>
              <w:left w:val="single" w:sz="4" w:space="0" w:color="auto"/>
              <w:bottom w:val="single" w:sz="4" w:space="0" w:color="auto"/>
              <w:right w:val="single" w:sz="4" w:space="0" w:color="auto"/>
            </w:tcBorders>
            <w:hideMark/>
          </w:tcPr>
          <w:p w14:paraId="7070DC5B" w14:textId="77777777" w:rsidR="00D2303A" w:rsidRPr="00DC2079" w:rsidRDefault="00D2303A" w:rsidP="005D5B8E">
            <w:pPr>
              <w:rPr>
                <w:spacing w:val="-4"/>
                <w:sz w:val="20"/>
              </w:rPr>
            </w:pPr>
            <w:proofErr w:type="spellStart"/>
            <w:r w:rsidRPr="00DC2079">
              <w:rPr>
                <w:sz w:val="20"/>
              </w:rPr>
              <w:t>Aftøs</w:t>
            </w:r>
            <w:proofErr w:type="spellEnd"/>
            <w:r w:rsidRPr="00DC2079">
              <w:rPr>
                <w:sz w:val="20"/>
              </w:rPr>
              <w:t xml:space="preserve"> </w:t>
            </w:r>
            <w:proofErr w:type="spellStart"/>
            <w:r w:rsidRPr="00DC2079">
              <w:rPr>
                <w:sz w:val="20"/>
              </w:rPr>
              <w:t>stomatit</w:t>
            </w:r>
            <w:proofErr w:type="spellEnd"/>
          </w:p>
        </w:tc>
      </w:tr>
      <w:tr w:rsidR="00D2303A" w:rsidRPr="00DC2079" w14:paraId="489534E6" w14:textId="77777777" w:rsidTr="00DC2079">
        <w:tc>
          <w:tcPr>
            <w:tcW w:w="930" w:type="pct"/>
            <w:tcBorders>
              <w:top w:val="single" w:sz="4" w:space="0" w:color="auto"/>
              <w:left w:val="single" w:sz="4" w:space="0" w:color="auto"/>
              <w:bottom w:val="single" w:sz="4" w:space="0" w:color="auto"/>
              <w:right w:val="single" w:sz="4" w:space="0" w:color="auto"/>
            </w:tcBorders>
            <w:hideMark/>
          </w:tcPr>
          <w:p w14:paraId="279FC7D9" w14:textId="77777777" w:rsidR="00D2303A" w:rsidRPr="00DC2079" w:rsidRDefault="00D2303A" w:rsidP="005D5B8E">
            <w:pPr>
              <w:rPr>
                <w:i/>
                <w:iCs/>
                <w:sz w:val="20"/>
              </w:rPr>
            </w:pPr>
            <w:r w:rsidRPr="00DC2079">
              <w:rPr>
                <w:i/>
                <w:sz w:val="20"/>
              </w:rPr>
              <w:t>Lever og galdeveje</w:t>
            </w:r>
          </w:p>
        </w:tc>
        <w:tc>
          <w:tcPr>
            <w:tcW w:w="869" w:type="pct"/>
            <w:tcBorders>
              <w:top w:val="single" w:sz="4" w:space="0" w:color="auto"/>
              <w:left w:val="single" w:sz="4" w:space="0" w:color="auto"/>
              <w:bottom w:val="single" w:sz="4" w:space="0" w:color="auto"/>
              <w:right w:val="single" w:sz="4" w:space="0" w:color="auto"/>
            </w:tcBorders>
          </w:tcPr>
          <w:p w14:paraId="37C2893A" w14:textId="77777777" w:rsidR="00D2303A" w:rsidRPr="00DC2079" w:rsidRDefault="00D2303A" w:rsidP="005D5B8E">
            <w:pPr>
              <w:rPr>
                <w:spacing w:val="-4"/>
                <w:sz w:val="20"/>
                <w:lang w:val="en-US"/>
              </w:rPr>
            </w:pPr>
          </w:p>
        </w:tc>
        <w:tc>
          <w:tcPr>
            <w:tcW w:w="942" w:type="pct"/>
            <w:tcBorders>
              <w:top w:val="single" w:sz="4" w:space="0" w:color="auto"/>
              <w:left w:val="single" w:sz="4" w:space="0" w:color="auto"/>
              <w:bottom w:val="single" w:sz="4" w:space="0" w:color="auto"/>
              <w:right w:val="single" w:sz="4" w:space="0" w:color="auto"/>
            </w:tcBorders>
            <w:hideMark/>
          </w:tcPr>
          <w:p w14:paraId="3D175528" w14:textId="77777777" w:rsidR="00D2303A" w:rsidRPr="00DC2079" w:rsidRDefault="00D2303A" w:rsidP="005D5B8E">
            <w:pPr>
              <w:rPr>
                <w:spacing w:val="-4"/>
                <w:sz w:val="20"/>
              </w:rPr>
            </w:pPr>
            <w:r w:rsidRPr="00DC2079">
              <w:rPr>
                <w:sz w:val="20"/>
              </w:rPr>
              <w:t>Stigning</w:t>
            </w:r>
            <w:r w:rsidRPr="00DC2079">
              <w:rPr>
                <w:i/>
                <w:sz w:val="20"/>
              </w:rPr>
              <w:t xml:space="preserve"> </w:t>
            </w:r>
            <w:r w:rsidRPr="00DC2079">
              <w:rPr>
                <w:sz w:val="20"/>
              </w:rPr>
              <w:t xml:space="preserve">i leverenzymer og/eller stigning i konjugeret bilirubin </w:t>
            </w:r>
          </w:p>
        </w:tc>
        <w:tc>
          <w:tcPr>
            <w:tcW w:w="809" w:type="pct"/>
            <w:tcBorders>
              <w:top w:val="single" w:sz="4" w:space="0" w:color="auto"/>
              <w:left w:val="single" w:sz="4" w:space="0" w:color="auto"/>
              <w:bottom w:val="single" w:sz="4" w:space="0" w:color="auto"/>
              <w:right w:val="single" w:sz="4" w:space="0" w:color="auto"/>
            </w:tcBorders>
            <w:hideMark/>
          </w:tcPr>
          <w:p w14:paraId="7B1E2EBF" w14:textId="2507C60F" w:rsidR="00D2303A" w:rsidRPr="00DC2079" w:rsidRDefault="00D2303A" w:rsidP="00A92BD2">
            <w:pPr>
              <w:rPr>
                <w:spacing w:val="-4"/>
                <w:sz w:val="20"/>
              </w:rPr>
            </w:pPr>
            <w:proofErr w:type="spellStart"/>
            <w:r w:rsidRPr="00DC2079">
              <w:rPr>
                <w:sz w:val="20"/>
              </w:rPr>
              <w:t>Kolestatisk</w:t>
            </w:r>
            <w:proofErr w:type="spellEnd"/>
            <w:r w:rsidR="00A92BD2" w:rsidRPr="00DC2079">
              <w:rPr>
                <w:sz w:val="20"/>
              </w:rPr>
              <w:t xml:space="preserve"> </w:t>
            </w:r>
            <w:r w:rsidRPr="00DC2079">
              <w:rPr>
                <w:sz w:val="20"/>
              </w:rPr>
              <w:t>gulsot,</w:t>
            </w:r>
            <w:r w:rsidR="00A92BD2" w:rsidRPr="00DC2079">
              <w:rPr>
                <w:sz w:val="20"/>
              </w:rPr>
              <w:t xml:space="preserve"> </w:t>
            </w:r>
            <w:r w:rsidRPr="00DC2079">
              <w:rPr>
                <w:sz w:val="20"/>
              </w:rPr>
              <w:t>beskadigel</w:t>
            </w:r>
            <w:r w:rsidR="00DC2079" w:rsidRPr="00DC2079">
              <w:rPr>
                <w:sz w:val="20"/>
              </w:rPr>
              <w:softHyphen/>
            </w:r>
            <w:r w:rsidRPr="00DC2079">
              <w:rPr>
                <w:sz w:val="20"/>
              </w:rPr>
              <w:t>se</w:t>
            </w:r>
            <w:r w:rsidR="00A92BD2" w:rsidRPr="00DC2079">
              <w:rPr>
                <w:sz w:val="20"/>
              </w:rPr>
              <w:t xml:space="preserve"> </w:t>
            </w:r>
            <w:r w:rsidRPr="00DC2079">
              <w:rPr>
                <w:sz w:val="20"/>
              </w:rPr>
              <w:t>af leverceller</w:t>
            </w:r>
          </w:p>
        </w:tc>
        <w:tc>
          <w:tcPr>
            <w:tcW w:w="507" w:type="pct"/>
            <w:tcBorders>
              <w:top w:val="single" w:sz="4" w:space="0" w:color="auto"/>
              <w:left w:val="single" w:sz="4" w:space="0" w:color="auto"/>
              <w:bottom w:val="single" w:sz="4" w:space="0" w:color="auto"/>
              <w:right w:val="single" w:sz="4" w:space="0" w:color="auto"/>
            </w:tcBorders>
          </w:tcPr>
          <w:p w14:paraId="4FF4573D" w14:textId="77777777" w:rsidR="00D2303A" w:rsidRPr="00DC2079" w:rsidRDefault="00D2303A" w:rsidP="005D5B8E">
            <w:pPr>
              <w:rPr>
                <w:spacing w:val="-4"/>
                <w:sz w:val="20"/>
              </w:rPr>
            </w:pPr>
          </w:p>
        </w:tc>
        <w:tc>
          <w:tcPr>
            <w:tcW w:w="942" w:type="pct"/>
            <w:tcBorders>
              <w:top w:val="single" w:sz="4" w:space="0" w:color="auto"/>
              <w:left w:val="single" w:sz="4" w:space="0" w:color="auto"/>
              <w:bottom w:val="single" w:sz="4" w:space="0" w:color="auto"/>
              <w:right w:val="single" w:sz="4" w:space="0" w:color="auto"/>
            </w:tcBorders>
            <w:hideMark/>
          </w:tcPr>
          <w:p w14:paraId="6BC390C1" w14:textId="77777777" w:rsidR="00D2303A" w:rsidRPr="00DC2079" w:rsidRDefault="00D2303A" w:rsidP="005D5B8E">
            <w:pPr>
              <w:rPr>
                <w:spacing w:val="-4"/>
                <w:sz w:val="20"/>
              </w:rPr>
            </w:pPr>
            <w:r w:rsidRPr="00DC2079">
              <w:rPr>
                <w:sz w:val="20"/>
              </w:rPr>
              <w:t xml:space="preserve">Akut leverinsufficiens, </w:t>
            </w:r>
            <w:proofErr w:type="spellStart"/>
            <w:r w:rsidRPr="00DC2079">
              <w:rPr>
                <w:sz w:val="20"/>
              </w:rPr>
              <w:t>kolestatisk</w:t>
            </w:r>
            <w:proofErr w:type="spellEnd"/>
            <w:r w:rsidRPr="00DC2079">
              <w:rPr>
                <w:sz w:val="20"/>
              </w:rPr>
              <w:t xml:space="preserve"> eller </w:t>
            </w:r>
            <w:proofErr w:type="spellStart"/>
            <w:r w:rsidRPr="00DC2079">
              <w:rPr>
                <w:sz w:val="20"/>
              </w:rPr>
              <w:t>cytolitisk</w:t>
            </w:r>
            <w:proofErr w:type="spellEnd"/>
            <w:r w:rsidRPr="00DC2079">
              <w:rPr>
                <w:sz w:val="20"/>
              </w:rPr>
              <w:t xml:space="preserve"> hepatitis (i meget få tilfælde med dødelig udgang).</w:t>
            </w:r>
          </w:p>
        </w:tc>
      </w:tr>
      <w:tr w:rsidR="00D2303A" w:rsidRPr="00DC2079" w14:paraId="42BA6277" w14:textId="77777777" w:rsidTr="00DC2079">
        <w:tc>
          <w:tcPr>
            <w:tcW w:w="930" w:type="pct"/>
            <w:tcBorders>
              <w:top w:val="single" w:sz="4" w:space="0" w:color="auto"/>
              <w:left w:val="single" w:sz="4" w:space="0" w:color="auto"/>
              <w:bottom w:val="single" w:sz="4" w:space="0" w:color="auto"/>
              <w:right w:val="single" w:sz="4" w:space="0" w:color="auto"/>
            </w:tcBorders>
            <w:hideMark/>
          </w:tcPr>
          <w:p w14:paraId="1F1B2DE7" w14:textId="77777777" w:rsidR="00D2303A" w:rsidRPr="00DC2079" w:rsidRDefault="00D2303A" w:rsidP="005D5B8E">
            <w:pPr>
              <w:rPr>
                <w:i/>
                <w:sz w:val="20"/>
              </w:rPr>
            </w:pPr>
            <w:r w:rsidRPr="00DC2079">
              <w:rPr>
                <w:i/>
                <w:iCs/>
                <w:sz w:val="20"/>
              </w:rPr>
              <w:t>Hud og subkutane væv</w:t>
            </w:r>
          </w:p>
        </w:tc>
        <w:tc>
          <w:tcPr>
            <w:tcW w:w="869" w:type="pct"/>
            <w:tcBorders>
              <w:top w:val="single" w:sz="4" w:space="0" w:color="auto"/>
              <w:left w:val="single" w:sz="4" w:space="0" w:color="auto"/>
              <w:bottom w:val="single" w:sz="4" w:space="0" w:color="auto"/>
              <w:right w:val="single" w:sz="4" w:space="0" w:color="auto"/>
            </w:tcBorders>
            <w:hideMark/>
          </w:tcPr>
          <w:p w14:paraId="70BCC24B" w14:textId="77777777" w:rsidR="00D2303A" w:rsidRPr="00DC2079" w:rsidRDefault="00D2303A" w:rsidP="005D5B8E">
            <w:pPr>
              <w:rPr>
                <w:spacing w:val="-4"/>
                <w:sz w:val="20"/>
              </w:rPr>
            </w:pPr>
            <w:r w:rsidRPr="00DC2079">
              <w:rPr>
                <w:sz w:val="20"/>
              </w:rPr>
              <w:t xml:space="preserve">Udslæt, særligt </w:t>
            </w:r>
            <w:proofErr w:type="spellStart"/>
            <w:r w:rsidRPr="00DC2079">
              <w:rPr>
                <w:sz w:val="20"/>
              </w:rPr>
              <w:t>makulopapulært</w:t>
            </w:r>
            <w:proofErr w:type="spellEnd"/>
            <w:r w:rsidRPr="00DC2079">
              <w:rPr>
                <w:sz w:val="20"/>
              </w:rPr>
              <w:t>.</w:t>
            </w:r>
          </w:p>
        </w:tc>
        <w:tc>
          <w:tcPr>
            <w:tcW w:w="942" w:type="pct"/>
            <w:tcBorders>
              <w:top w:val="single" w:sz="4" w:space="0" w:color="auto"/>
              <w:left w:val="single" w:sz="4" w:space="0" w:color="auto"/>
              <w:bottom w:val="single" w:sz="4" w:space="0" w:color="auto"/>
              <w:right w:val="single" w:sz="4" w:space="0" w:color="auto"/>
            </w:tcBorders>
            <w:hideMark/>
          </w:tcPr>
          <w:p w14:paraId="1476AD1C" w14:textId="77777777" w:rsidR="00D2303A" w:rsidRPr="00DC2079" w:rsidRDefault="00D2303A" w:rsidP="005D5B8E">
            <w:pPr>
              <w:rPr>
                <w:spacing w:val="-4"/>
                <w:sz w:val="20"/>
              </w:rPr>
            </w:pPr>
            <w:proofErr w:type="spellStart"/>
            <w:r w:rsidRPr="00DC2079">
              <w:rPr>
                <w:sz w:val="20"/>
              </w:rPr>
              <w:t>Angioødem</w:t>
            </w:r>
            <w:proofErr w:type="spellEnd"/>
            <w:r w:rsidRPr="00DC2079">
              <w:rPr>
                <w:sz w:val="20"/>
              </w:rPr>
              <w:t xml:space="preserve">. Særlig sjældent kan luftvejsobstruktion på grund af </w:t>
            </w:r>
            <w:proofErr w:type="spellStart"/>
            <w:r w:rsidRPr="00DC2079">
              <w:rPr>
                <w:sz w:val="20"/>
              </w:rPr>
              <w:t>angioødem</w:t>
            </w:r>
            <w:proofErr w:type="spellEnd"/>
            <w:r w:rsidRPr="00DC2079">
              <w:rPr>
                <w:sz w:val="20"/>
              </w:rPr>
              <w:t xml:space="preserve"> have dødeligt udfald. </w:t>
            </w:r>
            <w:proofErr w:type="spellStart"/>
            <w:r w:rsidRPr="00DC2079">
              <w:rPr>
                <w:sz w:val="20"/>
              </w:rPr>
              <w:t>Pruritus</w:t>
            </w:r>
            <w:proofErr w:type="spellEnd"/>
            <w:r w:rsidRPr="00DC2079">
              <w:rPr>
                <w:sz w:val="20"/>
              </w:rPr>
              <w:t xml:space="preserve">, </w:t>
            </w:r>
            <w:proofErr w:type="spellStart"/>
            <w:r w:rsidRPr="00DC2079">
              <w:rPr>
                <w:sz w:val="20"/>
              </w:rPr>
              <w:t>hyperhidrose</w:t>
            </w:r>
            <w:proofErr w:type="spellEnd"/>
          </w:p>
        </w:tc>
        <w:tc>
          <w:tcPr>
            <w:tcW w:w="809" w:type="pct"/>
            <w:tcBorders>
              <w:top w:val="single" w:sz="4" w:space="0" w:color="auto"/>
              <w:left w:val="single" w:sz="4" w:space="0" w:color="auto"/>
              <w:bottom w:val="single" w:sz="4" w:space="0" w:color="auto"/>
              <w:right w:val="single" w:sz="4" w:space="0" w:color="auto"/>
            </w:tcBorders>
            <w:hideMark/>
          </w:tcPr>
          <w:p w14:paraId="79878FDD" w14:textId="67C14174" w:rsidR="00D2303A" w:rsidRPr="00DC2079" w:rsidRDefault="00D2303A" w:rsidP="00A92BD2">
            <w:pPr>
              <w:rPr>
                <w:spacing w:val="-4"/>
                <w:sz w:val="20"/>
              </w:rPr>
            </w:pPr>
            <w:proofErr w:type="spellStart"/>
            <w:r w:rsidRPr="00DC2079">
              <w:rPr>
                <w:sz w:val="20"/>
              </w:rPr>
              <w:t>Eksfoliativ</w:t>
            </w:r>
            <w:proofErr w:type="spellEnd"/>
            <w:r w:rsidR="00A92BD2" w:rsidRPr="00DC2079">
              <w:rPr>
                <w:sz w:val="20"/>
              </w:rPr>
              <w:t xml:space="preserve"> </w:t>
            </w:r>
            <w:proofErr w:type="spellStart"/>
            <w:r w:rsidRPr="00DC2079">
              <w:rPr>
                <w:sz w:val="20"/>
              </w:rPr>
              <w:t>dermatit</w:t>
            </w:r>
            <w:proofErr w:type="spellEnd"/>
            <w:r w:rsidRPr="00DC2079">
              <w:rPr>
                <w:sz w:val="20"/>
              </w:rPr>
              <w:t>,</w:t>
            </w:r>
            <w:r w:rsidR="00A92BD2" w:rsidRPr="00DC2079">
              <w:rPr>
                <w:sz w:val="20"/>
              </w:rPr>
              <w:t xml:space="preserve"> </w:t>
            </w:r>
            <w:proofErr w:type="spellStart"/>
            <w:r w:rsidRPr="00DC2079">
              <w:rPr>
                <w:sz w:val="20"/>
              </w:rPr>
              <w:t>urticaria</w:t>
            </w:r>
            <w:proofErr w:type="spellEnd"/>
            <w:r w:rsidRPr="00DC2079">
              <w:rPr>
                <w:sz w:val="20"/>
              </w:rPr>
              <w:t>,</w:t>
            </w:r>
            <w:r w:rsidR="00A92BD2" w:rsidRPr="00DC2079">
              <w:rPr>
                <w:sz w:val="20"/>
              </w:rPr>
              <w:t xml:space="preserve"> </w:t>
            </w:r>
            <w:r w:rsidRPr="00DC2079">
              <w:rPr>
                <w:sz w:val="20"/>
              </w:rPr>
              <w:t>nedbrydning af negle</w:t>
            </w:r>
          </w:p>
        </w:tc>
        <w:tc>
          <w:tcPr>
            <w:tcW w:w="507" w:type="pct"/>
            <w:tcBorders>
              <w:top w:val="single" w:sz="4" w:space="0" w:color="auto"/>
              <w:left w:val="single" w:sz="4" w:space="0" w:color="auto"/>
              <w:bottom w:val="single" w:sz="4" w:space="0" w:color="auto"/>
              <w:right w:val="single" w:sz="4" w:space="0" w:color="auto"/>
            </w:tcBorders>
            <w:hideMark/>
          </w:tcPr>
          <w:p w14:paraId="60A704BF" w14:textId="77777777" w:rsidR="00D2303A" w:rsidRPr="00DC2079" w:rsidRDefault="00D2303A" w:rsidP="005D5B8E">
            <w:pPr>
              <w:rPr>
                <w:spacing w:val="-4"/>
                <w:sz w:val="20"/>
              </w:rPr>
            </w:pPr>
            <w:r w:rsidRPr="00DC2079">
              <w:rPr>
                <w:sz w:val="20"/>
              </w:rPr>
              <w:t>Fotosensibilitetsreaktioner</w:t>
            </w:r>
          </w:p>
        </w:tc>
        <w:tc>
          <w:tcPr>
            <w:tcW w:w="942" w:type="pct"/>
            <w:tcBorders>
              <w:top w:val="single" w:sz="4" w:space="0" w:color="auto"/>
              <w:left w:val="single" w:sz="4" w:space="0" w:color="auto"/>
              <w:bottom w:val="single" w:sz="4" w:space="0" w:color="auto"/>
              <w:right w:val="single" w:sz="4" w:space="0" w:color="auto"/>
            </w:tcBorders>
            <w:hideMark/>
          </w:tcPr>
          <w:p w14:paraId="536E1F7A" w14:textId="7BF8E26B" w:rsidR="00D2303A" w:rsidRPr="00DC2079" w:rsidRDefault="00D2303A" w:rsidP="00A92BD2">
            <w:pPr>
              <w:rPr>
                <w:spacing w:val="-4"/>
                <w:sz w:val="20"/>
              </w:rPr>
            </w:pPr>
            <w:r w:rsidRPr="00DC2079">
              <w:rPr>
                <w:sz w:val="20"/>
              </w:rPr>
              <w:t xml:space="preserve">Toksisk </w:t>
            </w:r>
            <w:proofErr w:type="spellStart"/>
            <w:r w:rsidRPr="00DC2079">
              <w:rPr>
                <w:sz w:val="20"/>
              </w:rPr>
              <w:t>epidermal</w:t>
            </w:r>
            <w:proofErr w:type="spellEnd"/>
            <w:r w:rsidRPr="00DC2079">
              <w:rPr>
                <w:sz w:val="20"/>
              </w:rPr>
              <w:t xml:space="preserve"> </w:t>
            </w:r>
            <w:proofErr w:type="spellStart"/>
            <w:r w:rsidRPr="00DC2079">
              <w:rPr>
                <w:sz w:val="20"/>
              </w:rPr>
              <w:t>nekrolyse</w:t>
            </w:r>
            <w:proofErr w:type="spellEnd"/>
            <w:r w:rsidRPr="00DC2079">
              <w:rPr>
                <w:sz w:val="20"/>
              </w:rPr>
              <w:t xml:space="preserve">, Stevens-Johnsons syndrom, </w:t>
            </w:r>
            <w:proofErr w:type="spellStart"/>
            <w:r w:rsidRPr="00DC2079">
              <w:rPr>
                <w:sz w:val="20"/>
              </w:rPr>
              <w:t>erythema</w:t>
            </w:r>
            <w:proofErr w:type="spellEnd"/>
            <w:r w:rsidRPr="00DC2079">
              <w:rPr>
                <w:sz w:val="20"/>
              </w:rPr>
              <w:t xml:space="preserve"> multiforme, </w:t>
            </w:r>
            <w:proofErr w:type="spellStart"/>
            <w:r w:rsidRPr="00DC2079">
              <w:rPr>
                <w:sz w:val="20"/>
              </w:rPr>
              <w:t>pemphigus</w:t>
            </w:r>
            <w:proofErr w:type="spellEnd"/>
            <w:r w:rsidRPr="00DC2079">
              <w:rPr>
                <w:sz w:val="20"/>
              </w:rPr>
              <w:t xml:space="preserve">, forværret psoriasis, </w:t>
            </w:r>
            <w:proofErr w:type="spellStart"/>
            <w:r w:rsidRPr="00DC2079">
              <w:rPr>
                <w:sz w:val="20"/>
              </w:rPr>
              <w:t>psoriasiform</w:t>
            </w:r>
            <w:proofErr w:type="spellEnd"/>
            <w:r w:rsidRPr="00DC2079">
              <w:rPr>
                <w:sz w:val="20"/>
              </w:rPr>
              <w:t xml:space="preserve"> </w:t>
            </w:r>
            <w:proofErr w:type="spellStart"/>
            <w:r w:rsidRPr="00DC2079">
              <w:rPr>
                <w:sz w:val="20"/>
              </w:rPr>
              <w:t>dermatit</w:t>
            </w:r>
            <w:proofErr w:type="spellEnd"/>
            <w:r w:rsidRPr="00DC2079">
              <w:rPr>
                <w:sz w:val="20"/>
              </w:rPr>
              <w:t xml:space="preserve">, </w:t>
            </w:r>
            <w:proofErr w:type="spellStart"/>
            <w:r w:rsidRPr="00DC2079">
              <w:rPr>
                <w:sz w:val="20"/>
              </w:rPr>
              <w:t>pemfigoid</w:t>
            </w:r>
            <w:proofErr w:type="spellEnd"/>
            <w:r w:rsidRPr="00DC2079">
              <w:rPr>
                <w:sz w:val="20"/>
              </w:rPr>
              <w:t xml:space="preserve"> eller </w:t>
            </w:r>
            <w:proofErr w:type="spellStart"/>
            <w:r w:rsidRPr="00DC2079">
              <w:rPr>
                <w:sz w:val="20"/>
              </w:rPr>
              <w:t>lichenoid</w:t>
            </w:r>
            <w:proofErr w:type="spellEnd"/>
            <w:r w:rsidRPr="00DC2079">
              <w:rPr>
                <w:sz w:val="20"/>
              </w:rPr>
              <w:t xml:space="preserve"> </w:t>
            </w:r>
            <w:proofErr w:type="spellStart"/>
            <w:r w:rsidRPr="00DC2079">
              <w:rPr>
                <w:sz w:val="20"/>
              </w:rPr>
              <w:t>eksantem</w:t>
            </w:r>
            <w:proofErr w:type="spellEnd"/>
            <w:r w:rsidRPr="00DC2079">
              <w:rPr>
                <w:sz w:val="20"/>
              </w:rPr>
              <w:t xml:space="preserve"> eller </w:t>
            </w:r>
            <w:proofErr w:type="spellStart"/>
            <w:r w:rsidRPr="00DC2079">
              <w:rPr>
                <w:sz w:val="20"/>
              </w:rPr>
              <w:t>enantem</w:t>
            </w:r>
            <w:proofErr w:type="spellEnd"/>
            <w:r w:rsidRPr="00DC2079">
              <w:rPr>
                <w:sz w:val="20"/>
              </w:rPr>
              <w:t xml:space="preserve">, </w:t>
            </w:r>
            <w:proofErr w:type="spellStart"/>
            <w:r w:rsidRPr="00DC2079">
              <w:rPr>
                <w:sz w:val="20"/>
              </w:rPr>
              <w:t>alopeci</w:t>
            </w:r>
            <w:proofErr w:type="spellEnd"/>
          </w:p>
        </w:tc>
      </w:tr>
      <w:tr w:rsidR="00D2303A" w:rsidRPr="00DC2079" w14:paraId="09A03EF6" w14:textId="77777777" w:rsidTr="00DC2079">
        <w:tc>
          <w:tcPr>
            <w:tcW w:w="930" w:type="pct"/>
            <w:tcBorders>
              <w:top w:val="single" w:sz="4" w:space="0" w:color="auto"/>
              <w:left w:val="single" w:sz="4" w:space="0" w:color="auto"/>
              <w:bottom w:val="single" w:sz="4" w:space="0" w:color="auto"/>
              <w:right w:val="single" w:sz="4" w:space="0" w:color="auto"/>
            </w:tcBorders>
            <w:hideMark/>
          </w:tcPr>
          <w:p w14:paraId="0360433B" w14:textId="77777777" w:rsidR="00D2303A" w:rsidRPr="00DC2079" w:rsidRDefault="00D2303A" w:rsidP="005D5B8E">
            <w:pPr>
              <w:rPr>
                <w:i/>
                <w:sz w:val="20"/>
              </w:rPr>
            </w:pPr>
            <w:r w:rsidRPr="00DC2079">
              <w:rPr>
                <w:sz w:val="20"/>
              </w:rPr>
              <w:br w:type="page"/>
            </w:r>
            <w:r w:rsidRPr="00DC2079">
              <w:rPr>
                <w:i/>
                <w:sz w:val="20"/>
              </w:rPr>
              <w:t>Nyrer og urinveje</w:t>
            </w:r>
          </w:p>
        </w:tc>
        <w:tc>
          <w:tcPr>
            <w:tcW w:w="869" w:type="pct"/>
            <w:tcBorders>
              <w:top w:val="single" w:sz="4" w:space="0" w:color="auto"/>
              <w:left w:val="single" w:sz="4" w:space="0" w:color="auto"/>
              <w:bottom w:val="single" w:sz="4" w:space="0" w:color="auto"/>
              <w:right w:val="single" w:sz="4" w:space="0" w:color="auto"/>
            </w:tcBorders>
          </w:tcPr>
          <w:p w14:paraId="1EFFD34D" w14:textId="77777777" w:rsidR="00D2303A" w:rsidRPr="00DC2079" w:rsidRDefault="00D2303A" w:rsidP="005D5B8E">
            <w:pPr>
              <w:rPr>
                <w:spacing w:val="-4"/>
                <w:sz w:val="20"/>
                <w:lang w:val="en-US"/>
              </w:rPr>
            </w:pPr>
          </w:p>
        </w:tc>
        <w:tc>
          <w:tcPr>
            <w:tcW w:w="942" w:type="pct"/>
            <w:tcBorders>
              <w:top w:val="single" w:sz="4" w:space="0" w:color="auto"/>
              <w:left w:val="single" w:sz="4" w:space="0" w:color="auto"/>
              <w:bottom w:val="single" w:sz="4" w:space="0" w:color="auto"/>
              <w:right w:val="single" w:sz="4" w:space="0" w:color="auto"/>
            </w:tcBorders>
            <w:hideMark/>
          </w:tcPr>
          <w:p w14:paraId="5759F289" w14:textId="77777777" w:rsidR="00D2303A" w:rsidRPr="00DC2079" w:rsidRDefault="00D2303A" w:rsidP="005D5B8E">
            <w:pPr>
              <w:rPr>
                <w:spacing w:val="-4"/>
                <w:sz w:val="20"/>
              </w:rPr>
            </w:pPr>
            <w:r w:rsidRPr="00DC2079">
              <w:rPr>
                <w:sz w:val="20"/>
              </w:rPr>
              <w:t xml:space="preserve">Nedsat nyrefunktion, herunder akut nyreinsufficiens, øget urinsekretion, forværring af præeksisterende </w:t>
            </w:r>
            <w:proofErr w:type="spellStart"/>
            <w:r w:rsidRPr="00DC2079">
              <w:rPr>
                <w:sz w:val="20"/>
              </w:rPr>
              <w:t>proteinuri</w:t>
            </w:r>
            <w:proofErr w:type="spellEnd"/>
            <w:r w:rsidRPr="00DC2079">
              <w:rPr>
                <w:sz w:val="20"/>
              </w:rPr>
              <w:t xml:space="preserve">, øget urinstof i blodet, øget </w:t>
            </w:r>
            <w:proofErr w:type="spellStart"/>
            <w:r w:rsidRPr="00DC2079">
              <w:rPr>
                <w:sz w:val="20"/>
              </w:rPr>
              <w:t>blodkreatinin</w:t>
            </w:r>
            <w:proofErr w:type="spellEnd"/>
            <w:r w:rsidRPr="00DC2079">
              <w:rPr>
                <w:sz w:val="20"/>
              </w:rPr>
              <w:t>.</w:t>
            </w:r>
          </w:p>
        </w:tc>
        <w:tc>
          <w:tcPr>
            <w:tcW w:w="809" w:type="pct"/>
            <w:tcBorders>
              <w:top w:val="single" w:sz="4" w:space="0" w:color="auto"/>
              <w:left w:val="single" w:sz="4" w:space="0" w:color="auto"/>
              <w:bottom w:val="single" w:sz="4" w:space="0" w:color="auto"/>
              <w:right w:val="single" w:sz="4" w:space="0" w:color="auto"/>
            </w:tcBorders>
          </w:tcPr>
          <w:p w14:paraId="30BA4923" w14:textId="77777777" w:rsidR="00D2303A" w:rsidRPr="00DC2079" w:rsidRDefault="00D2303A" w:rsidP="005D5B8E">
            <w:pPr>
              <w:rPr>
                <w:spacing w:val="-4"/>
                <w:sz w:val="20"/>
              </w:rPr>
            </w:pPr>
          </w:p>
        </w:tc>
        <w:tc>
          <w:tcPr>
            <w:tcW w:w="507" w:type="pct"/>
            <w:tcBorders>
              <w:top w:val="single" w:sz="4" w:space="0" w:color="auto"/>
              <w:left w:val="single" w:sz="4" w:space="0" w:color="auto"/>
              <w:bottom w:val="single" w:sz="4" w:space="0" w:color="auto"/>
              <w:right w:val="single" w:sz="4" w:space="0" w:color="auto"/>
            </w:tcBorders>
          </w:tcPr>
          <w:p w14:paraId="7594959C" w14:textId="77777777" w:rsidR="00D2303A" w:rsidRPr="00DC2079" w:rsidRDefault="00D2303A" w:rsidP="005D5B8E">
            <w:pPr>
              <w:rPr>
                <w:spacing w:val="-4"/>
                <w:sz w:val="20"/>
              </w:rPr>
            </w:pPr>
          </w:p>
        </w:tc>
        <w:tc>
          <w:tcPr>
            <w:tcW w:w="942" w:type="pct"/>
            <w:tcBorders>
              <w:top w:val="single" w:sz="4" w:space="0" w:color="auto"/>
              <w:left w:val="single" w:sz="4" w:space="0" w:color="auto"/>
              <w:bottom w:val="single" w:sz="4" w:space="0" w:color="auto"/>
              <w:right w:val="single" w:sz="4" w:space="0" w:color="auto"/>
            </w:tcBorders>
          </w:tcPr>
          <w:p w14:paraId="603C6FF7" w14:textId="77777777" w:rsidR="00D2303A" w:rsidRPr="00DC2079" w:rsidRDefault="00D2303A" w:rsidP="005D5B8E">
            <w:pPr>
              <w:rPr>
                <w:spacing w:val="-4"/>
                <w:sz w:val="20"/>
              </w:rPr>
            </w:pPr>
          </w:p>
        </w:tc>
      </w:tr>
      <w:tr w:rsidR="00D2303A" w:rsidRPr="00DC2079" w14:paraId="09D8A85D" w14:textId="77777777" w:rsidTr="00DC2079">
        <w:tc>
          <w:tcPr>
            <w:tcW w:w="930" w:type="pct"/>
            <w:tcBorders>
              <w:top w:val="single" w:sz="4" w:space="0" w:color="auto"/>
              <w:left w:val="single" w:sz="4" w:space="0" w:color="auto"/>
              <w:bottom w:val="single" w:sz="4" w:space="0" w:color="auto"/>
              <w:right w:val="single" w:sz="4" w:space="0" w:color="auto"/>
            </w:tcBorders>
            <w:hideMark/>
          </w:tcPr>
          <w:p w14:paraId="639C09E1" w14:textId="77777777" w:rsidR="00D2303A" w:rsidRPr="00DC2079" w:rsidRDefault="00D2303A" w:rsidP="005D5B8E">
            <w:pPr>
              <w:rPr>
                <w:i/>
                <w:iCs/>
                <w:sz w:val="20"/>
              </w:rPr>
            </w:pPr>
            <w:r w:rsidRPr="00DC2079">
              <w:rPr>
                <w:i/>
                <w:iCs/>
                <w:sz w:val="20"/>
              </w:rPr>
              <w:lastRenderedPageBreak/>
              <w:t>Knogler, led, muskler og bindevæv</w:t>
            </w:r>
          </w:p>
        </w:tc>
        <w:tc>
          <w:tcPr>
            <w:tcW w:w="869" w:type="pct"/>
            <w:tcBorders>
              <w:top w:val="single" w:sz="4" w:space="0" w:color="auto"/>
              <w:left w:val="single" w:sz="4" w:space="0" w:color="auto"/>
              <w:bottom w:val="single" w:sz="4" w:space="0" w:color="auto"/>
              <w:right w:val="single" w:sz="4" w:space="0" w:color="auto"/>
            </w:tcBorders>
            <w:hideMark/>
          </w:tcPr>
          <w:p w14:paraId="7433E483" w14:textId="77777777" w:rsidR="00D2303A" w:rsidRPr="00DC2079" w:rsidRDefault="00D2303A" w:rsidP="005D5B8E">
            <w:pPr>
              <w:rPr>
                <w:spacing w:val="-4"/>
                <w:sz w:val="20"/>
              </w:rPr>
            </w:pPr>
            <w:r w:rsidRPr="00DC2079">
              <w:rPr>
                <w:sz w:val="20"/>
              </w:rPr>
              <w:t>Muskelkramper, myalgi</w:t>
            </w:r>
          </w:p>
        </w:tc>
        <w:tc>
          <w:tcPr>
            <w:tcW w:w="942" w:type="pct"/>
            <w:tcBorders>
              <w:top w:val="single" w:sz="4" w:space="0" w:color="auto"/>
              <w:left w:val="single" w:sz="4" w:space="0" w:color="auto"/>
              <w:bottom w:val="single" w:sz="4" w:space="0" w:color="auto"/>
              <w:right w:val="single" w:sz="4" w:space="0" w:color="auto"/>
            </w:tcBorders>
            <w:hideMark/>
          </w:tcPr>
          <w:p w14:paraId="05D26563" w14:textId="77777777" w:rsidR="00D2303A" w:rsidRPr="00DC2079" w:rsidRDefault="00D2303A" w:rsidP="005D5B8E">
            <w:pPr>
              <w:rPr>
                <w:spacing w:val="-4"/>
                <w:sz w:val="20"/>
              </w:rPr>
            </w:pPr>
            <w:proofErr w:type="spellStart"/>
            <w:r w:rsidRPr="00DC2079">
              <w:rPr>
                <w:sz w:val="20"/>
              </w:rPr>
              <w:t>Artralgi</w:t>
            </w:r>
            <w:proofErr w:type="spellEnd"/>
          </w:p>
        </w:tc>
        <w:tc>
          <w:tcPr>
            <w:tcW w:w="809" w:type="pct"/>
            <w:tcBorders>
              <w:top w:val="single" w:sz="4" w:space="0" w:color="auto"/>
              <w:left w:val="single" w:sz="4" w:space="0" w:color="auto"/>
              <w:bottom w:val="single" w:sz="4" w:space="0" w:color="auto"/>
              <w:right w:val="single" w:sz="4" w:space="0" w:color="auto"/>
            </w:tcBorders>
          </w:tcPr>
          <w:p w14:paraId="73883ABD" w14:textId="77777777" w:rsidR="00D2303A" w:rsidRPr="00DC2079" w:rsidRDefault="00D2303A" w:rsidP="005D5B8E">
            <w:pPr>
              <w:rPr>
                <w:spacing w:val="-4"/>
                <w:sz w:val="20"/>
                <w:lang w:val="en-US"/>
              </w:rPr>
            </w:pPr>
          </w:p>
        </w:tc>
        <w:tc>
          <w:tcPr>
            <w:tcW w:w="507" w:type="pct"/>
            <w:tcBorders>
              <w:top w:val="single" w:sz="4" w:space="0" w:color="auto"/>
              <w:left w:val="single" w:sz="4" w:space="0" w:color="auto"/>
              <w:bottom w:val="single" w:sz="4" w:space="0" w:color="auto"/>
              <w:right w:val="single" w:sz="4" w:space="0" w:color="auto"/>
            </w:tcBorders>
          </w:tcPr>
          <w:p w14:paraId="4C425234" w14:textId="77777777" w:rsidR="00D2303A" w:rsidRPr="00DC2079" w:rsidRDefault="00D2303A" w:rsidP="005D5B8E">
            <w:pPr>
              <w:rPr>
                <w:spacing w:val="-4"/>
                <w:sz w:val="20"/>
                <w:lang w:val="en-US"/>
              </w:rPr>
            </w:pPr>
          </w:p>
        </w:tc>
        <w:tc>
          <w:tcPr>
            <w:tcW w:w="942" w:type="pct"/>
            <w:tcBorders>
              <w:top w:val="single" w:sz="4" w:space="0" w:color="auto"/>
              <w:left w:val="single" w:sz="4" w:space="0" w:color="auto"/>
              <w:bottom w:val="single" w:sz="4" w:space="0" w:color="auto"/>
              <w:right w:val="single" w:sz="4" w:space="0" w:color="auto"/>
            </w:tcBorders>
          </w:tcPr>
          <w:p w14:paraId="27588450" w14:textId="77777777" w:rsidR="00D2303A" w:rsidRPr="00DC2079" w:rsidRDefault="00D2303A" w:rsidP="005D5B8E">
            <w:pPr>
              <w:rPr>
                <w:spacing w:val="-4"/>
                <w:sz w:val="20"/>
                <w:lang w:val="en-US"/>
              </w:rPr>
            </w:pPr>
          </w:p>
        </w:tc>
      </w:tr>
      <w:tr w:rsidR="00D2303A" w:rsidRPr="00DC2079" w14:paraId="59EDC5BF" w14:textId="77777777" w:rsidTr="00DC2079">
        <w:tc>
          <w:tcPr>
            <w:tcW w:w="930" w:type="pct"/>
            <w:tcBorders>
              <w:top w:val="single" w:sz="4" w:space="0" w:color="auto"/>
              <w:left w:val="single" w:sz="4" w:space="0" w:color="auto"/>
              <w:bottom w:val="single" w:sz="4" w:space="0" w:color="auto"/>
              <w:right w:val="single" w:sz="4" w:space="0" w:color="auto"/>
            </w:tcBorders>
            <w:hideMark/>
          </w:tcPr>
          <w:p w14:paraId="57BFAD35" w14:textId="77777777" w:rsidR="00D2303A" w:rsidRPr="00DC2079" w:rsidRDefault="00D2303A" w:rsidP="005D5B8E">
            <w:pPr>
              <w:rPr>
                <w:i/>
                <w:sz w:val="20"/>
              </w:rPr>
            </w:pPr>
            <w:r w:rsidRPr="00DC2079">
              <w:rPr>
                <w:i/>
                <w:iCs/>
                <w:sz w:val="20"/>
              </w:rPr>
              <w:t>Det reproduktive system og mammae</w:t>
            </w:r>
          </w:p>
        </w:tc>
        <w:tc>
          <w:tcPr>
            <w:tcW w:w="869" w:type="pct"/>
            <w:tcBorders>
              <w:top w:val="single" w:sz="4" w:space="0" w:color="auto"/>
              <w:left w:val="single" w:sz="4" w:space="0" w:color="auto"/>
              <w:bottom w:val="single" w:sz="4" w:space="0" w:color="auto"/>
              <w:right w:val="single" w:sz="4" w:space="0" w:color="auto"/>
            </w:tcBorders>
          </w:tcPr>
          <w:p w14:paraId="6F64B7A6" w14:textId="77777777" w:rsidR="00D2303A" w:rsidRPr="00DC2079" w:rsidRDefault="00D2303A" w:rsidP="005D5B8E">
            <w:pPr>
              <w:rPr>
                <w:spacing w:val="-4"/>
                <w:sz w:val="20"/>
              </w:rPr>
            </w:pPr>
          </w:p>
        </w:tc>
        <w:tc>
          <w:tcPr>
            <w:tcW w:w="942" w:type="pct"/>
            <w:tcBorders>
              <w:top w:val="single" w:sz="4" w:space="0" w:color="auto"/>
              <w:left w:val="single" w:sz="4" w:space="0" w:color="auto"/>
              <w:bottom w:val="single" w:sz="4" w:space="0" w:color="auto"/>
              <w:right w:val="single" w:sz="4" w:space="0" w:color="auto"/>
            </w:tcBorders>
            <w:hideMark/>
          </w:tcPr>
          <w:p w14:paraId="05E63CA4" w14:textId="77777777" w:rsidR="00D2303A" w:rsidRPr="00DC2079" w:rsidRDefault="00D2303A" w:rsidP="005D5B8E">
            <w:pPr>
              <w:rPr>
                <w:spacing w:val="-4"/>
                <w:sz w:val="20"/>
              </w:rPr>
            </w:pPr>
            <w:r w:rsidRPr="00DC2079">
              <w:rPr>
                <w:sz w:val="20"/>
              </w:rPr>
              <w:t xml:space="preserve">Forbigående </w:t>
            </w:r>
            <w:proofErr w:type="spellStart"/>
            <w:r w:rsidRPr="00DC2079">
              <w:rPr>
                <w:sz w:val="20"/>
              </w:rPr>
              <w:t>erektil</w:t>
            </w:r>
            <w:proofErr w:type="spellEnd"/>
            <w:r w:rsidRPr="00DC2079">
              <w:rPr>
                <w:sz w:val="20"/>
              </w:rPr>
              <w:t xml:space="preserve"> dysfunktion, nedsat libido </w:t>
            </w:r>
          </w:p>
        </w:tc>
        <w:tc>
          <w:tcPr>
            <w:tcW w:w="809" w:type="pct"/>
            <w:tcBorders>
              <w:top w:val="single" w:sz="4" w:space="0" w:color="auto"/>
              <w:left w:val="single" w:sz="4" w:space="0" w:color="auto"/>
              <w:bottom w:val="single" w:sz="4" w:space="0" w:color="auto"/>
              <w:right w:val="single" w:sz="4" w:space="0" w:color="auto"/>
            </w:tcBorders>
          </w:tcPr>
          <w:p w14:paraId="6CB11141" w14:textId="77777777" w:rsidR="00D2303A" w:rsidRPr="00DC2079" w:rsidRDefault="00D2303A" w:rsidP="005D5B8E">
            <w:pPr>
              <w:rPr>
                <w:spacing w:val="-4"/>
                <w:sz w:val="20"/>
              </w:rPr>
            </w:pPr>
          </w:p>
        </w:tc>
        <w:tc>
          <w:tcPr>
            <w:tcW w:w="507" w:type="pct"/>
            <w:tcBorders>
              <w:top w:val="single" w:sz="4" w:space="0" w:color="auto"/>
              <w:left w:val="single" w:sz="4" w:space="0" w:color="auto"/>
              <w:bottom w:val="single" w:sz="4" w:space="0" w:color="auto"/>
              <w:right w:val="single" w:sz="4" w:space="0" w:color="auto"/>
            </w:tcBorders>
          </w:tcPr>
          <w:p w14:paraId="5FEFD4DC" w14:textId="77777777" w:rsidR="00D2303A" w:rsidRPr="00DC2079" w:rsidRDefault="00D2303A" w:rsidP="005D5B8E">
            <w:pPr>
              <w:rPr>
                <w:spacing w:val="-4"/>
                <w:sz w:val="20"/>
              </w:rPr>
            </w:pPr>
          </w:p>
        </w:tc>
        <w:tc>
          <w:tcPr>
            <w:tcW w:w="942" w:type="pct"/>
            <w:tcBorders>
              <w:top w:val="single" w:sz="4" w:space="0" w:color="auto"/>
              <w:left w:val="single" w:sz="4" w:space="0" w:color="auto"/>
              <w:bottom w:val="single" w:sz="4" w:space="0" w:color="auto"/>
              <w:right w:val="single" w:sz="4" w:space="0" w:color="auto"/>
            </w:tcBorders>
            <w:hideMark/>
          </w:tcPr>
          <w:p w14:paraId="0EC5EBA5" w14:textId="77777777" w:rsidR="00D2303A" w:rsidRPr="00DC2079" w:rsidRDefault="00D2303A" w:rsidP="005D5B8E">
            <w:pPr>
              <w:rPr>
                <w:spacing w:val="-4"/>
                <w:sz w:val="20"/>
              </w:rPr>
            </w:pPr>
            <w:proofErr w:type="spellStart"/>
            <w:r w:rsidRPr="00DC2079">
              <w:rPr>
                <w:sz w:val="20"/>
              </w:rPr>
              <w:t>Gynækomasti</w:t>
            </w:r>
            <w:proofErr w:type="spellEnd"/>
          </w:p>
        </w:tc>
      </w:tr>
      <w:tr w:rsidR="00D2303A" w:rsidRPr="00DC2079" w14:paraId="3D09969C" w14:textId="77777777" w:rsidTr="00DC2079">
        <w:tc>
          <w:tcPr>
            <w:tcW w:w="930" w:type="pct"/>
            <w:tcBorders>
              <w:top w:val="single" w:sz="4" w:space="0" w:color="auto"/>
              <w:left w:val="single" w:sz="4" w:space="0" w:color="auto"/>
              <w:bottom w:val="single" w:sz="4" w:space="0" w:color="auto"/>
              <w:right w:val="single" w:sz="4" w:space="0" w:color="auto"/>
            </w:tcBorders>
            <w:hideMark/>
          </w:tcPr>
          <w:p w14:paraId="45CF3B9E" w14:textId="3A09D754" w:rsidR="00D2303A" w:rsidRPr="00DC2079" w:rsidRDefault="00D2303A" w:rsidP="00A92BD2">
            <w:pPr>
              <w:rPr>
                <w:i/>
                <w:sz w:val="20"/>
              </w:rPr>
            </w:pPr>
            <w:r w:rsidRPr="00DC2079">
              <w:rPr>
                <w:i/>
                <w:iCs/>
                <w:sz w:val="20"/>
              </w:rPr>
              <w:t>Almene symptomer og reaktioner på</w:t>
            </w:r>
            <w:r w:rsidR="00A92BD2" w:rsidRPr="00DC2079">
              <w:rPr>
                <w:i/>
                <w:iCs/>
                <w:sz w:val="20"/>
              </w:rPr>
              <w:t xml:space="preserve"> </w:t>
            </w:r>
            <w:r w:rsidRPr="00DC2079">
              <w:rPr>
                <w:i/>
                <w:iCs/>
                <w:sz w:val="20"/>
              </w:rPr>
              <w:t>administrations</w:t>
            </w:r>
            <w:r w:rsidR="00A92BD2" w:rsidRPr="00DC2079">
              <w:rPr>
                <w:i/>
                <w:iCs/>
                <w:sz w:val="20"/>
              </w:rPr>
              <w:softHyphen/>
            </w:r>
            <w:r w:rsidRPr="00DC2079">
              <w:rPr>
                <w:i/>
                <w:iCs/>
                <w:sz w:val="20"/>
              </w:rPr>
              <w:t>stedet</w:t>
            </w:r>
          </w:p>
        </w:tc>
        <w:tc>
          <w:tcPr>
            <w:tcW w:w="869" w:type="pct"/>
            <w:tcBorders>
              <w:top w:val="single" w:sz="4" w:space="0" w:color="auto"/>
              <w:left w:val="single" w:sz="4" w:space="0" w:color="auto"/>
              <w:bottom w:val="single" w:sz="4" w:space="0" w:color="auto"/>
              <w:right w:val="single" w:sz="4" w:space="0" w:color="auto"/>
            </w:tcBorders>
            <w:hideMark/>
          </w:tcPr>
          <w:p w14:paraId="35AC5F37" w14:textId="7555572B" w:rsidR="00D2303A" w:rsidRPr="00DC2079" w:rsidRDefault="00D2303A" w:rsidP="00A92BD2">
            <w:pPr>
              <w:rPr>
                <w:spacing w:val="-4"/>
                <w:sz w:val="20"/>
              </w:rPr>
            </w:pPr>
            <w:r w:rsidRPr="00DC2079">
              <w:rPr>
                <w:sz w:val="20"/>
              </w:rPr>
              <w:t>Brystsmerter,</w:t>
            </w:r>
            <w:r w:rsidR="00A92BD2" w:rsidRPr="00DC2079">
              <w:rPr>
                <w:sz w:val="20"/>
              </w:rPr>
              <w:t xml:space="preserve"> </w:t>
            </w:r>
            <w:r w:rsidRPr="00DC2079">
              <w:rPr>
                <w:sz w:val="20"/>
              </w:rPr>
              <w:t>træthed</w:t>
            </w:r>
          </w:p>
        </w:tc>
        <w:tc>
          <w:tcPr>
            <w:tcW w:w="942" w:type="pct"/>
            <w:tcBorders>
              <w:top w:val="single" w:sz="4" w:space="0" w:color="auto"/>
              <w:left w:val="single" w:sz="4" w:space="0" w:color="auto"/>
              <w:bottom w:val="single" w:sz="4" w:space="0" w:color="auto"/>
              <w:right w:val="single" w:sz="4" w:space="0" w:color="auto"/>
            </w:tcBorders>
            <w:hideMark/>
          </w:tcPr>
          <w:p w14:paraId="30CD8564" w14:textId="77777777" w:rsidR="00D2303A" w:rsidRPr="00DC2079" w:rsidRDefault="00D2303A" w:rsidP="005D5B8E">
            <w:pPr>
              <w:rPr>
                <w:spacing w:val="-4"/>
                <w:sz w:val="20"/>
              </w:rPr>
            </w:pPr>
            <w:r w:rsidRPr="00DC2079">
              <w:rPr>
                <w:sz w:val="20"/>
              </w:rPr>
              <w:t>Feber</w:t>
            </w:r>
          </w:p>
        </w:tc>
        <w:tc>
          <w:tcPr>
            <w:tcW w:w="809" w:type="pct"/>
            <w:tcBorders>
              <w:top w:val="single" w:sz="4" w:space="0" w:color="auto"/>
              <w:left w:val="single" w:sz="4" w:space="0" w:color="auto"/>
              <w:bottom w:val="single" w:sz="4" w:space="0" w:color="auto"/>
              <w:right w:val="single" w:sz="4" w:space="0" w:color="auto"/>
            </w:tcBorders>
            <w:hideMark/>
          </w:tcPr>
          <w:p w14:paraId="578320F2" w14:textId="77777777" w:rsidR="00D2303A" w:rsidRPr="00DC2079" w:rsidRDefault="00D2303A" w:rsidP="005D5B8E">
            <w:pPr>
              <w:rPr>
                <w:spacing w:val="-4"/>
                <w:sz w:val="20"/>
              </w:rPr>
            </w:pPr>
            <w:r w:rsidRPr="00DC2079">
              <w:rPr>
                <w:sz w:val="20"/>
              </w:rPr>
              <w:t>Asteni</w:t>
            </w:r>
          </w:p>
        </w:tc>
        <w:tc>
          <w:tcPr>
            <w:tcW w:w="507" w:type="pct"/>
            <w:tcBorders>
              <w:top w:val="single" w:sz="4" w:space="0" w:color="auto"/>
              <w:left w:val="single" w:sz="4" w:space="0" w:color="auto"/>
              <w:bottom w:val="single" w:sz="4" w:space="0" w:color="auto"/>
              <w:right w:val="single" w:sz="4" w:space="0" w:color="auto"/>
            </w:tcBorders>
          </w:tcPr>
          <w:p w14:paraId="5C93D907" w14:textId="77777777" w:rsidR="00D2303A" w:rsidRPr="00DC2079" w:rsidRDefault="00D2303A" w:rsidP="005D5B8E">
            <w:pPr>
              <w:rPr>
                <w:spacing w:val="-4"/>
                <w:sz w:val="20"/>
                <w:lang w:val="en-US"/>
              </w:rPr>
            </w:pPr>
          </w:p>
        </w:tc>
        <w:tc>
          <w:tcPr>
            <w:tcW w:w="942" w:type="pct"/>
            <w:tcBorders>
              <w:top w:val="single" w:sz="4" w:space="0" w:color="auto"/>
              <w:left w:val="single" w:sz="4" w:space="0" w:color="auto"/>
              <w:bottom w:val="single" w:sz="4" w:space="0" w:color="auto"/>
              <w:right w:val="single" w:sz="4" w:space="0" w:color="auto"/>
            </w:tcBorders>
          </w:tcPr>
          <w:p w14:paraId="2EF9B7B6" w14:textId="77777777" w:rsidR="00D2303A" w:rsidRPr="00DC2079" w:rsidRDefault="00D2303A" w:rsidP="005D5B8E">
            <w:pPr>
              <w:rPr>
                <w:spacing w:val="-4"/>
                <w:sz w:val="20"/>
                <w:lang w:val="en-US"/>
              </w:rPr>
            </w:pPr>
          </w:p>
        </w:tc>
      </w:tr>
    </w:tbl>
    <w:p w14:paraId="33E3C22D" w14:textId="0FEE3D63" w:rsidR="00DC2079" w:rsidRDefault="00DC2079" w:rsidP="008D7C83">
      <w:pPr>
        <w:ind w:left="851"/>
        <w:rPr>
          <w:sz w:val="24"/>
          <w:szCs w:val="24"/>
          <w:lang w:val="en-US" w:eastAsia="ro-RO"/>
        </w:rPr>
      </w:pPr>
    </w:p>
    <w:p w14:paraId="439D1A94" w14:textId="77777777" w:rsidR="00D2303A" w:rsidRPr="00F12FD6" w:rsidRDefault="00D2303A" w:rsidP="008D7C83">
      <w:pPr>
        <w:ind w:left="851"/>
        <w:rPr>
          <w:i/>
          <w:sz w:val="24"/>
          <w:szCs w:val="24"/>
          <w:u w:val="single"/>
        </w:rPr>
      </w:pPr>
      <w:r w:rsidRPr="00F12FD6">
        <w:rPr>
          <w:i/>
          <w:sz w:val="24"/>
          <w:szCs w:val="24"/>
          <w:u w:val="single"/>
        </w:rPr>
        <w:t>Pædiatrisk population</w:t>
      </w:r>
    </w:p>
    <w:p w14:paraId="7D117E9F" w14:textId="77777777" w:rsidR="00D2303A" w:rsidRPr="00F12FD6" w:rsidRDefault="00D2303A" w:rsidP="008D7C83">
      <w:pPr>
        <w:ind w:left="851"/>
        <w:rPr>
          <w:sz w:val="24"/>
          <w:szCs w:val="24"/>
        </w:rPr>
      </w:pPr>
      <w:r w:rsidRPr="00F12FD6">
        <w:rPr>
          <w:sz w:val="24"/>
          <w:szCs w:val="24"/>
        </w:rPr>
        <w:t xml:space="preserve">Sikkerheden for </w:t>
      </w:r>
      <w:proofErr w:type="spellStart"/>
      <w:r w:rsidRPr="00F12FD6">
        <w:rPr>
          <w:sz w:val="24"/>
          <w:szCs w:val="24"/>
        </w:rPr>
        <w:t>ramipril</w:t>
      </w:r>
      <w:proofErr w:type="spellEnd"/>
      <w:r w:rsidRPr="00F12FD6">
        <w:rPr>
          <w:sz w:val="24"/>
          <w:szCs w:val="24"/>
        </w:rPr>
        <w:t xml:space="preserve"> blev overvåget hos 325 børn og unge i alderen 2-16 år, gennem to kliniske studier. Mens typen og sværhedsgraden af bivirkningerne er de samme som dem for voksne, så er frekvensen af de følgende højere hos børn:</w:t>
      </w:r>
    </w:p>
    <w:p w14:paraId="23339851" w14:textId="77777777" w:rsidR="00D2303A" w:rsidRPr="00F12FD6" w:rsidRDefault="00D2303A" w:rsidP="008D7C83">
      <w:pPr>
        <w:ind w:left="851"/>
        <w:rPr>
          <w:sz w:val="24"/>
          <w:szCs w:val="24"/>
        </w:rPr>
      </w:pPr>
    </w:p>
    <w:p w14:paraId="0D672D53" w14:textId="77777777" w:rsidR="00D2303A" w:rsidRPr="00F12FD6" w:rsidRDefault="00D2303A" w:rsidP="008D7C83">
      <w:pPr>
        <w:ind w:left="851"/>
        <w:rPr>
          <w:sz w:val="24"/>
          <w:szCs w:val="24"/>
        </w:rPr>
      </w:pPr>
      <w:proofErr w:type="spellStart"/>
      <w:r w:rsidRPr="00F12FD6">
        <w:rPr>
          <w:sz w:val="24"/>
          <w:szCs w:val="24"/>
        </w:rPr>
        <w:t>Takykardi</w:t>
      </w:r>
      <w:proofErr w:type="spellEnd"/>
      <w:r w:rsidRPr="00F12FD6">
        <w:rPr>
          <w:sz w:val="24"/>
          <w:szCs w:val="24"/>
        </w:rPr>
        <w:t xml:space="preserve">, tilstoppet næse og </w:t>
      </w:r>
      <w:proofErr w:type="spellStart"/>
      <w:r w:rsidRPr="00F12FD6">
        <w:rPr>
          <w:sz w:val="24"/>
          <w:szCs w:val="24"/>
        </w:rPr>
        <w:t>rhinitis</w:t>
      </w:r>
      <w:proofErr w:type="spellEnd"/>
      <w:r w:rsidRPr="00F12FD6">
        <w:rPr>
          <w:sz w:val="24"/>
          <w:szCs w:val="24"/>
        </w:rPr>
        <w:t xml:space="preserve"> blev rapporteret som "almindelig" (dvs. ≥1/100 til &lt;1/10) i hos børn og unge og som "ikke almindelig" (dvs. ≥1/1 000 til &lt;1/100) i den voksne population.</w:t>
      </w:r>
    </w:p>
    <w:p w14:paraId="4A429115" w14:textId="77777777" w:rsidR="00D2303A" w:rsidRPr="00F12FD6" w:rsidRDefault="00D2303A" w:rsidP="008D7C83">
      <w:pPr>
        <w:ind w:left="851"/>
        <w:rPr>
          <w:sz w:val="24"/>
          <w:szCs w:val="24"/>
        </w:rPr>
      </w:pPr>
    </w:p>
    <w:p w14:paraId="76C4BADA" w14:textId="77777777" w:rsidR="00D2303A" w:rsidRPr="00F12FD6" w:rsidRDefault="00D2303A" w:rsidP="008D7C83">
      <w:pPr>
        <w:ind w:left="851"/>
        <w:rPr>
          <w:sz w:val="24"/>
          <w:szCs w:val="24"/>
        </w:rPr>
      </w:pPr>
      <w:proofErr w:type="spellStart"/>
      <w:r w:rsidRPr="00F12FD6">
        <w:rPr>
          <w:sz w:val="24"/>
          <w:szCs w:val="24"/>
        </w:rPr>
        <w:t>Konjunktivitis</w:t>
      </w:r>
      <w:proofErr w:type="spellEnd"/>
      <w:r w:rsidRPr="00F12FD6">
        <w:rPr>
          <w:sz w:val="24"/>
          <w:szCs w:val="24"/>
        </w:rPr>
        <w:t xml:space="preserve"> var "almindelig" (dvs. ≥1/100 til &lt;1/10) i den pædiatriske population og "sjælden” (dvs. ≥1/10 000 til &lt;1/1 000) i den voksne population.</w:t>
      </w:r>
    </w:p>
    <w:p w14:paraId="7441306F" w14:textId="77777777" w:rsidR="00D2303A" w:rsidRPr="00F12FD6" w:rsidRDefault="00D2303A" w:rsidP="008D7C83">
      <w:pPr>
        <w:ind w:left="851"/>
        <w:rPr>
          <w:sz w:val="24"/>
          <w:szCs w:val="24"/>
        </w:rPr>
      </w:pPr>
    </w:p>
    <w:p w14:paraId="03EBFA41" w14:textId="77777777" w:rsidR="00D2303A" w:rsidRPr="00F12FD6" w:rsidRDefault="00D2303A" w:rsidP="008D7C83">
      <w:pPr>
        <w:ind w:left="851"/>
        <w:rPr>
          <w:sz w:val="24"/>
          <w:szCs w:val="24"/>
        </w:rPr>
      </w:pPr>
      <w:proofErr w:type="spellStart"/>
      <w:r w:rsidRPr="00F12FD6">
        <w:rPr>
          <w:sz w:val="24"/>
          <w:szCs w:val="24"/>
        </w:rPr>
        <w:t>Tremor</w:t>
      </w:r>
      <w:proofErr w:type="spellEnd"/>
      <w:r w:rsidRPr="00F12FD6">
        <w:rPr>
          <w:sz w:val="24"/>
          <w:szCs w:val="24"/>
        </w:rPr>
        <w:t xml:space="preserve"> og nældefeber var "ikke almindelig" (dvs. ≥1/1 000 til &lt;1/100) i den pædiatriske population og "sjælden” (dvs. ≥1/10 000 til &lt;1/1 000) i den voksne population.</w:t>
      </w:r>
    </w:p>
    <w:p w14:paraId="0EEC40B2" w14:textId="77777777" w:rsidR="00D2303A" w:rsidRPr="00F12FD6" w:rsidRDefault="00D2303A" w:rsidP="008D7C83">
      <w:pPr>
        <w:ind w:left="851"/>
        <w:rPr>
          <w:sz w:val="24"/>
          <w:szCs w:val="24"/>
        </w:rPr>
      </w:pPr>
    </w:p>
    <w:p w14:paraId="187A9F2B" w14:textId="77777777" w:rsidR="00D2303A" w:rsidRPr="00F12FD6" w:rsidRDefault="00D2303A" w:rsidP="008D7C83">
      <w:pPr>
        <w:ind w:left="851"/>
        <w:rPr>
          <w:sz w:val="24"/>
          <w:szCs w:val="24"/>
        </w:rPr>
      </w:pPr>
      <w:proofErr w:type="spellStart"/>
      <w:r w:rsidRPr="00F12FD6">
        <w:rPr>
          <w:sz w:val="24"/>
          <w:szCs w:val="24"/>
        </w:rPr>
        <w:t>Ramiprils</w:t>
      </w:r>
      <w:proofErr w:type="spellEnd"/>
      <w:r w:rsidRPr="00F12FD6">
        <w:rPr>
          <w:sz w:val="24"/>
          <w:szCs w:val="24"/>
        </w:rPr>
        <w:t xml:space="preserve"> overordnede sikkerhedsprofil hos pædiatriske patienter adskiller sig ikke signifikant fra sikkerhedsprofilen hos voksne.</w:t>
      </w:r>
    </w:p>
    <w:p w14:paraId="3338F86F" w14:textId="77777777" w:rsidR="00D2303A" w:rsidRPr="00F12FD6" w:rsidRDefault="00D2303A" w:rsidP="008D7C83">
      <w:pPr>
        <w:ind w:left="851"/>
        <w:rPr>
          <w:sz w:val="24"/>
          <w:szCs w:val="24"/>
        </w:rPr>
      </w:pPr>
    </w:p>
    <w:p w14:paraId="2B9F7C90" w14:textId="77777777" w:rsidR="00D2303A" w:rsidRPr="00DC2079" w:rsidRDefault="00D2303A" w:rsidP="008D7C83">
      <w:pPr>
        <w:ind w:left="851"/>
        <w:rPr>
          <w:sz w:val="24"/>
          <w:szCs w:val="24"/>
          <w:u w:val="single"/>
        </w:rPr>
      </w:pPr>
      <w:r w:rsidRPr="00DC2079">
        <w:rPr>
          <w:sz w:val="24"/>
          <w:szCs w:val="24"/>
          <w:u w:val="single"/>
        </w:rPr>
        <w:t>Indberetning af formodede bivirkninger</w:t>
      </w:r>
    </w:p>
    <w:p w14:paraId="207A69AB" w14:textId="77777777" w:rsidR="00D2303A" w:rsidRPr="00F12FD6" w:rsidRDefault="00D2303A" w:rsidP="008D7C83">
      <w:pPr>
        <w:ind w:left="851"/>
        <w:rPr>
          <w:sz w:val="24"/>
          <w:szCs w:val="24"/>
        </w:rPr>
      </w:pPr>
      <w:r w:rsidRPr="00F12FD6">
        <w:rPr>
          <w:sz w:val="24"/>
          <w:szCs w:val="24"/>
        </w:rPr>
        <w:t>Når lægemidlet er godkendt, er indberetning af formodede bivirkninger vigtig. Det muliggør løbende overvågning af benefit/</w:t>
      </w:r>
      <w:proofErr w:type="spellStart"/>
      <w:r w:rsidRPr="00F12FD6">
        <w:rPr>
          <w:sz w:val="24"/>
          <w:szCs w:val="24"/>
        </w:rPr>
        <w:t>risk</w:t>
      </w:r>
      <w:proofErr w:type="spellEnd"/>
      <w:r w:rsidRPr="00F12FD6">
        <w:rPr>
          <w:sz w:val="24"/>
          <w:szCs w:val="24"/>
        </w:rPr>
        <w:t xml:space="preserve">-forholdet for lægemidlet. Læger og sundhedspersonale anmodes om at indberette alle formodede bivirkninger via: </w:t>
      </w:r>
    </w:p>
    <w:p w14:paraId="1334984B" w14:textId="77777777" w:rsidR="00D2303A" w:rsidRPr="00F12FD6" w:rsidRDefault="00D2303A" w:rsidP="008D7C83">
      <w:pPr>
        <w:ind w:left="851"/>
        <w:rPr>
          <w:sz w:val="24"/>
          <w:szCs w:val="24"/>
        </w:rPr>
      </w:pPr>
    </w:p>
    <w:p w14:paraId="63C3408C" w14:textId="77777777" w:rsidR="00D2303A" w:rsidRPr="00F12FD6" w:rsidRDefault="00D2303A" w:rsidP="008D7C83">
      <w:pPr>
        <w:ind w:left="851"/>
        <w:rPr>
          <w:sz w:val="24"/>
          <w:szCs w:val="24"/>
        </w:rPr>
      </w:pPr>
      <w:r w:rsidRPr="00F12FD6">
        <w:rPr>
          <w:sz w:val="24"/>
          <w:szCs w:val="24"/>
        </w:rPr>
        <w:t>Lægemiddelstyrelsen</w:t>
      </w:r>
    </w:p>
    <w:p w14:paraId="549029C1" w14:textId="77777777" w:rsidR="00D2303A" w:rsidRPr="00F12FD6" w:rsidRDefault="00D2303A" w:rsidP="008D7C83">
      <w:pPr>
        <w:ind w:left="851"/>
        <w:rPr>
          <w:sz w:val="24"/>
          <w:szCs w:val="24"/>
        </w:rPr>
      </w:pPr>
      <w:r w:rsidRPr="00F12FD6">
        <w:rPr>
          <w:sz w:val="24"/>
          <w:szCs w:val="24"/>
        </w:rPr>
        <w:t>Axel Heides Gade 1</w:t>
      </w:r>
    </w:p>
    <w:p w14:paraId="399EA45C" w14:textId="77777777" w:rsidR="00D2303A" w:rsidRPr="00F12FD6" w:rsidRDefault="00D2303A" w:rsidP="008D7C83">
      <w:pPr>
        <w:ind w:left="851"/>
        <w:rPr>
          <w:sz w:val="24"/>
          <w:szCs w:val="24"/>
        </w:rPr>
      </w:pPr>
      <w:r w:rsidRPr="00F12FD6">
        <w:rPr>
          <w:sz w:val="24"/>
          <w:szCs w:val="24"/>
        </w:rPr>
        <w:t>DK-2300 København S</w:t>
      </w:r>
    </w:p>
    <w:p w14:paraId="16142FB2" w14:textId="77777777" w:rsidR="00D2303A" w:rsidRPr="00F12FD6" w:rsidRDefault="00D2303A" w:rsidP="008D7C83">
      <w:pPr>
        <w:ind w:left="851"/>
        <w:rPr>
          <w:sz w:val="24"/>
          <w:szCs w:val="24"/>
          <w:lang w:val="en-US"/>
        </w:rPr>
      </w:pPr>
      <w:proofErr w:type="spellStart"/>
      <w:r w:rsidRPr="00F12FD6">
        <w:rPr>
          <w:sz w:val="24"/>
          <w:szCs w:val="24"/>
          <w:lang w:val="en-US"/>
        </w:rPr>
        <w:t>Websted</w:t>
      </w:r>
      <w:proofErr w:type="spellEnd"/>
      <w:r w:rsidRPr="00F12FD6">
        <w:rPr>
          <w:sz w:val="24"/>
          <w:szCs w:val="24"/>
          <w:lang w:val="en-US"/>
        </w:rPr>
        <w:t>: www.meldenbivirkning.dk</w:t>
      </w:r>
    </w:p>
    <w:p w14:paraId="7A88CCD4" w14:textId="77777777" w:rsidR="009260DE" w:rsidRPr="00F12FD6" w:rsidRDefault="009260DE" w:rsidP="00A10294">
      <w:pPr>
        <w:tabs>
          <w:tab w:val="left" w:pos="851"/>
        </w:tabs>
        <w:ind w:left="851"/>
        <w:rPr>
          <w:sz w:val="24"/>
          <w:szCs w:val="24"/>
          <w:lang w:val="en-US"/>
        </w:rPr>
      </w:pPr>
    </w:p>
    <w:p w14:paraId="6D26D26B" w14:textId="77777777" w:rsidR="009260DE" w:rsidRPr="00F12FD6" w:rsidRDefault="009260DE" w:rsidP="009260DE">
      <w:pPr>
        <w:tabs>
          <w:tab w:val="left" w:pos="851"/>
        </w:tabs>
        <w:ind w:left="851" w:hanging="851"/>
        <w:rPr>
          <w:b/>
          <w:sz w:val="24"/>
          <w:szCs w:val="24"/>
          <w:lang w:val="en-US"/>
        </w:rPr>
      </w:pPr>
      <w:r w:rsidRPr="00F12FD6">
        <w:rPr>
          <w:b/>
          <w:sz w:val="24"/>
          <w:szCs w:val="24"/>
          <w:lang w:val="en-US"/>
        </w:rPr>
        <w:t>4.9</w:t>
      </w:r>
      <w:r w:rsidRPr="00F12FD6">
        <w:rPr>
          <w:b/>
          <w:sz w:val="24"/>
          <w:szCs w:val="24"/>
          <w:lang w:val="en-US"/>
        </w:rPr>
        <w:tab/>
      </w:r>
      <w:proofErr w:type="spellStart"/>
      <w:r w:rsidRPr="00F12FD6">
        <w:rPr>
          <w:b/>
          <w:sz w:val="24"/>
          <w:szCs w:val="24"/>
          <w:lang w:val="en-US"/>
        </w:rPr>
        <w:t>Overdosering</w:t>
      </w:r>
      <w:proofErr w:type="spellEnd"/>
    </w:p>
    <w:p w14:paraId="59E60E2C" w14:textId="77777777" w:rsidR="00DC2079" w:rsidRDefault="00DC2079" w:rsidP="008D7C83">
      <w:pPr>
        <w:ind w:left="851"/>
        <w:rPr>
          <w:sz w:val="24"/>
          <w:szCs w:val="24"/>
          <w:lang w:val="en-US"/>
        </w:rPr>
      </w:pPr>
    </w:p>
    <w:p w14:paraId="2A3A2388" w14:textId="71DD828B" w:rsidR="00D2303A" w:rsidRPr="00DC2079" w:rsidRDefault="00D2303A" w:rsidP="008D7C83">
      <w:pPr>
        <w:ind w:left="851"/>
        <w:rPr>
          <w:sz w:val="24"/>
          <w:szCs w:val="24"/>
          <w:u w:val="single"/>
          <w:lang w:val="en-US"/>
        </w:rPr>
      </w:pPr>
      <w:proofErr w:type="spellStart"/>
      <w:r w:rsidRPr="00DC2079">
        <w:rPr>
          <w:sz w:val="24"/>
          <w:szCs w:val="24"/>
          <w:u w:val="single"/>
          <w:lang w:val="en-US"/>
        </w:rPr>
        <w:t>Symptomer</w:t>
      </w:r>
      <w:proofErr w:type="spellEnd"/>
    </w:p>
    <w:p w14:paraId="1371D27B" w14:textId="77777777" w:rsidR="00D2303A" w:rsidRPr="00F12FD6" w:rsidRDefault="00D2303A" w:rsidP="008D7C83">
      <w:pPr>
        <w:ind w:left="851"/>
        <w:rPr>
          <w:sz w:val="24"/>
          <w:szCs w:val="24"/>
        </w:rPr>
      </w:pPr>
      <w:r w:rsidRPr="00F12FD6">
        <w:rPr>
          <w:sz w:val="24"/>
          <w:szCs w:val="24"/>
        </w:rPr>
        <w:t>Symptomerne på overdosering med ACE-</w:t>
      </w:r>
      <w:proofErr w:type="spellStart"/>
      <w:r w:rsidRPr="00F12FD6">
        <w:rPr>
          <w:sz w:val="24"/>
          <w:szCs w:val="24"/>
        </w:rPr>
        <w:t>hæmmere</w:t>
      </w:r>
      <w:proofErr w:type="spellEnd"/>
      <w:r w:rsidRPr="00F12FD6">
        <w:rPr>
          <w:sz w:val="24"/>
          <w:szCs w:val="24"/>
        </w:rPr>
        <w:t xml:space="preserve"> kan være kraftig perifer </w:t>
      </w:r>
      <w:proofErr w:type="spellStart"/>
      <w:r w:rsidRPr="00F12FD6">
        <w:rPr>
          <w:sz w:val="24"/>
          <w:szCs w:val="24"/>
        </w:rPr>
        <w:t>vasodilation</w:t>
      </w:r>
      <w:proofErr w:type="spellEnd"/>
      <w:r w:rsidRPr="00F12FD6">
        <w:rPr>
          <w:sz w:val="24"/>
          <w:szCs w:val="24"/>
        </w:rPr>
        <w:t xml:space="preserve"> (med kraftig hypotension, </w:t>
      </w:r>
      <w:proofErr w:type="spellStart"/>
      <w:r w:rsidRPr="00F12FD6">
        <w:rPr>
          <w:sz w:val="24"/>
          <w:szCs w:val="24"/>
        </w:rPr>
        <w:t>shock</w:t>
      </w:r>
      <w:proofErr w:type="spellEnd"/>
      <w:r w:rsidRPr="00F12FD6">
        <w:rPr>
          <w:sz w:val="24"/>
          <w:szCs w:val="24"/>
        </w:rPr>
        <w:t xml:space="preserve">) bradykardi, elektrolytforstyrrelse og nyreinsufficiens. </w:t>
      </w:r>
    </w:p>
    <w:p w14:paraId="36F0592F" w14:textId="77777777" w:rsidR="00DC2079" w:rsidRDefault="00DC2079" w:rsidP="008D7C83">
      <w:pPr>
        <w:ind w:left="851"/>
        <w:rPr>
          <w:sz w:val="24"/>
          <w:szCs w:val="24"/>
        </w:rPr>
      </w:pPr>
    </w:p>
    <w:p w14:paraId="10A46365" w14:textId="69BA9B9A" w:rsidR="00D2303A" w:rsidRPr="00DC2079" w:rsidRDefault="00D2303A" w:rsidP="008D7C83">
      <w:pPr>
        <w:ind w:left="851"/>
        <w:rPr>
          <w:sz w:val="24"/>
          <w:szCs w:val="24"/>
          <w:u w:val="single"/>
        </w:rPr>
      </w:pPr>
      <w:r w:rsidRPr="00DC2079">
        <w:rPr>
          <w:sz w:val="24"/>
          <w:szCs w:val="24"/>
          <w:u w:val="single"/>
        </w:rPr>
        <w:t>Behandling</w:t>
      </w:r>
    </w:p>
    <w:p w14:paraId="0D85E1B3" w14:textId="1B004254" w:rsidR="00D2303A" w:rsidRPr="00F12FD6" w:rsidRDefault="00D2303A" w:rsidP="008D7C83">
      <w:pPr>
        <w:ind w:left="851"/>
        <w:rPr>
          <w:sz w:val="24"/>
          <w:szCs w:val="24"/>
        </w:rPr>
      </w:pPr>
      <w:r w:rsidRPr="00F12FD6">
        <w:rPr>
          <w:sz w:val="24"/>
          <w:szCs w:val="24"/>
        </w:rPr>
        <w:t xml:space="preserve">Patienten skal monitoreres tæt og behandles symptomatisk og understøttende. Der foreslås primær </w:t>
      </w:r>
      <w:proofErr w:type="spellStart"/>
      <w:r w:rsidRPr="00F12FD6">
        <w:rPr>
          <w:sz w:val="24"/>
          <w:szCs w:val="24"/>
        </w:rPr>
        <w:t>detoksifikation</w:t>
      </w:r>
      <w:proofErr w:type="spellEnd"/>
      <w:r w:rsidRPr="00F12FD6">
        <w:rPr>
          <w:sz w:val="24"/>
          <w:szCs w:val="24"/>
        </w:rPr>
        <w:t xml:space="preserve"> (ved f.eks. maveskylning, administration af </w:t>
      </w:r>
      <w:proofErr w:type="spellStart"/>
      <w:r w:rsidRPr="00F12FD6">
        <w:rPr>
          <w:sz w:val="24"/>
          <w:szCs w:val="24"/>
        </w:rPr>
        <w:t>adsorbanter</w:t>
      </w:r>
      <w:proofErr w:type="spellEnd"/>
      <w:r w:rsidRPr="00F12FD6">
        <w:rPr>
          <w:sz w:val="24"/>
          <w:szCs w:val="24"/>
        </w:rPr>
        <w:t xml:space="preserve">) og foranstaltninger til at genskabe </w:t>
      </w:r>
      <w:proofErr w:type="spellStart"/>
      <w:r w:rsidRPr="00F12FD6">
        <w:rPr>
          <w:sz w:val="24"/>
          <w:szCs w:val="24"/>
        </w:rPr>
        <w:t>hæmodynamisk</w:t>
      </w:r>
      <w:proofErr w:type="spellEnd"/>
      <w:r w:rsidRPr="00F12FD6">
        <w:rPr>
          <w:sz w:val="24"/>
          <w:szCs w:val="24"/>
        </w:rPr>
        <w:t xml:space="preserve"> stabilitet, såsom administration af </w:t>
      </w:r>
      <w:proofErr w:type="spellStart"/>
      <w:r w:rsidRPr="00F12FD6">
        <w:rPr>
          <w:sz w:val="24"/>
          <w:szCs w:val="24"/>
        </w:rPr>
        <w:t>alpha</w:t>
      </w:r>
      <w:proofErr w:type="spellEnd"/>
      <w:r w:rsidRPr="00F12FD6">
        <w:rPr>
          <w:sz w:val="24"/>
          <w:szCs w:val="24"/>
        </w:rPr>
        <w:t xml:space="preserve"> 1 </w:t>
      </w:r>
      <w:proofErr w:type="spellStart"/>
      <w:r w:rsidRPr="00F12FD6">
        <w:rPr>
          <w:sz w:val="24"/>
          <w:szCs w:val="24"/>
        </w:rPr>
        <w:t>adrenerge</w:t>
      </w:r>
      <w:proofErr w:type="spellEnd"/>
      <w:r w:rsidRPr="00F12FD6">
        <w:rPr>
          <w:sz w:val="24"/>
          <w:szCs w:val="24"/>
        </w:rPr>
        <w:t xml:space="preserve"> agonister eller </w:t>
      </w:r>
      <w:proofErr w:type="spellStart"/>
      <w:r w:rsidRPr="00F12FD6">
        <w:rPr>
          <w:sz w:val="24"/>
          <w:szCs w:val="24"/>
        </w:rPr>
        <w:t>angiotensin</w:t>
      </w:r>
      <w:proofErr w:type="spellEnd"/>
      <w:r w:rsidRPr="00F12FD6">
        <w:rPr>
          <w:sz w:val="24"/>
          <w:szCs w:val="24"/>
        </w:rPr>
        <w:t xml:space="preserve"> II (</w:t>
      </w:r>
      <w:proofErr w:type="spellStart"/>
      <w:r w:rsidRPr="00F12FD6">
        <w:rPr>
          <w:sz w:val="24"/>
          <w:szCs w:val="24"/>
        </w:rPr>
        <w:t>angiotensinamid</w:t>
      </w:r>
      <w:proofErr w:type="spellEnd"/>
      <w:r w:rsidRPr="00F12FD6">
        <w:rPr>
          <w:sz w:val="24"/>
          <w:szCs w:val="24"/>
        </w:rPr>
        <w:t xml:space="preserve">). Den aktive metabolit af </w:t>
      </w:r>
      <w:proofErr w:type="spellStart"/>
      <w:r w:rsidRPr="00F12FD6">
        <w:rPr>
          <w:sz w:val="24"/>
          <w:szCs w:val="24"/>
        </w:rPr>
        <w:t>ramipril</w:t>
      </w:r>
      <w:proofErr w:type="spellEnd"/>
      <w:r w:rsidRPr="00F12FD6">
        <w:rPr>
          <w:sz w:val="24"/>
          <w:szCs w:val="24"/>
        </w:rPr>
        <w:t xml:space="preserve">, </w:t>
      </w:r>
      <w:proofErr w:type="spellStart"/>
      <w:r w:rsidRPr="00F12FD6">
        <w:rPr>
          <w:sz w:val="24"/>
          <w:szCs w:val="24"/>
        </w:rPr>
        <w:t>ramiprilat</w:t>
      </w:r>
      <w:proofErr w:type="spellEnd"/>
      <w:r w:rsidRPr="00F12FD6">
        <w:rPr>
          <w:sz w:val="24"/>
          <w:szCs w:val="24"/>
        </w:rPr>
        <w:t>, kan kun i ringe grad cleares fra cirkulation ved dialyse.</w:t>
      </w:r>
    </w:p>
    <w:p w14:paraId="4B187872" w14:textId="77777777" w:rsidR="009260DE" w:rsidRPr="00F12FD6" w:rsidRDefault="009260DE" w:rsidP="009260DE">
      <w:pPr>
        <w:tabs>
          <w:tab w:val="left" w:pos="851"/>
        </w:tabs>
        <w:ind w:left="851"/>
        <w:rPr>
          <w:sz w:val="24"/>
          <w:szCs w:val="24"/>
        </w:rPr>
      </w:pPr>
    </w:p>
    <w:p w14:paraId="04D19678" w14:textId="77777777" w:rsidR="009260DE" w:rsidRPr="00F12FD6" w:rsidRDefault="009260DE" w:rsidP="009260DE">
      <w:pPr>
        <w:tabs>
          <w:tab w:val="left" w:pos="851"/>
        </w:tabs>
        <w:ind w:left="851" w:hanging="851"/>
        <w:rPr>
          <w:b/>
          <w:sz w:val="24"/>
          <w:szCs w:val="24"/>
        </w:rPr>
      </w:pPr>
      <w:r w:rsidRPr="00F12FD6">
        <w:rPr>
          <w:b/>
          <w:sz w:val="24"/>
          <w:szCs w:val="24"/>
        </w:rPr>
        <w:t>4.10</w:t>
      </w:r>
      <w:r w:rsidRPr="00F12FD6">
        <w:rPr>
          <w:b/>
          <w:sz w:val="24"/>
          <w:szCs w:val="24"/>
        </w:rPr>
        <w:tab/>
        <w:t>Udlevering</w:t>
      </w:r>
    </w:p>
    <w:p w14:paraId="77862007" w14:textId="00013061" w:rsidR="009260DE" w:rsidRPr="00F12FD6" w:rsidRDefault="00DC2079" w:rsidP="009260DE">
      <w:pPr>
        <w:tabs>
          <w:tab w:val="left" w:pos="851"/>
        </w:tabs>
        <w:ind w:left="851"/>
        <w:rPr>
          <w:sz w:val="24"/>
          <w:szCs w:val="24"/>
        </w:rPr>
      </w:pPr>
      <w:r>
        <w:rPr>
          <w:sz w:val="24"/>
          <w:szCs w:val="24"/>
        </w:rPr>
        <w:t>B</w:t>
      </w:r>
    </w:p>
    <w:p w14:paraId="6F87B3B6" w14:textId="77777777" w:rsidR="009260DE" w:rsidRPr="00F12FD6" w:rsidRDefault="009260DE" w:rsidP="009260DE">
      <w:pPr>
        <w:tabs>
          <w:tab w:val="left" w:pos="851"/>
        </w:tabs>
        <w:ind w:left="851"/>
        <w:rPr>
          <w:sz w:val="24"/>
          <w:szCs w:val="24"/>
        </w:rPr>
      </w:pPr>
    </w:p>
    <w:p w14:paraId="44064108" w14:textId="77777777" w:rsidR="009260DE" w:rsidRPr="00F12FD6" w:rsidRDefault="009260DE" w:rsidP="009260DE">
      <w:pPr>
        <w:tabs>
          <w:tab w:val="left" w:pos="851"/>
        </w:tabs>
        <w:ind w:left="851"/>
        <w:rPr>
          <w:sz w:val="24"/>
          <w:szCs w:val="24"/>
        </w:rPr>
      </w:pPr>
    </w:p>
    <w:p w14:paraId="3EF9A9BF" w14:textId="77777777" w:rsidR="009260DE" w:rsidRPr="00F12FD6" w:rsidRDefault="009260DE" w:rsidP="009260DE">
      <w:pPr>
        <w:tabs>
          <w:tab w:val="left" w:pos="851"/>
        </w:tabs>
        <w:ind w:left="851" w:hanging="851"/>
        <w:rPr>
          <w:b/>
          <w:sz w:val="24"/>
          <w:szCs w:val="24"/>
        </w:rPr>
      </w:pPr>
      <w:r w:rsidRPr="00F12FD6">
        <w:rPr>
          <w:b/>
          <w:sz w:val="24"/>
          <w:szCs w:val="24"/>
        </w:rPr>
        <w:t>5.</w:t>
      </w:r>
      <w:r w:rsidRPr="00F12FD6">
        <w:rPr>
          <w:b/>
          <w:sz w:val="24"/>
          <w:szCs w:val="24"/>
        </w:rPr>
        <w:tab/>
        <w:t>FARMAKOLOGISKE EGENSKABER</w:t>
      </w:r>
    </w:p>
    <w:p w14:paraId="0AF1D610" w14:textId="77777777" w:rsidR="009260DE" w:rsidRPr="00F12FD6" w:rsidRDefault="009260DE" w:rsidP="009260DE">
      <w:pPr>
        <w:tabs>
          <w:tab w:val="left" w:pos="851"/>
        </w:tabs>
        <w:ind w:left="851"/>
        <w:rPr>
          <w:sz w:val="24"/>
          <w:szCs w:val="24"/>
        </w:rPr>
      </w:pPr>
    </w:p>
    <w:p w14:paraId="7AADD6D6" w14:textId="77777777" w:rsidR="009260DE" w:rsidRPr="00F12FD6" w:rsidRDefault="009260DE" w:rsidP="009260DE">
      <w:pPr>
        <w:tabs>
          <w:tab w:val="num" w:pos="851"/>
        </w:tabs>
        <w:ind w:left="851" w:hanging="851"/>
        <w:rPr>
          <w:b/>
          <w:sz w:val="24"/>
          <w:szCs w:val="24"/>
        </w:rPr>
      </w:pPr>
      <w:r w:rsidRPr="00F12FD6">
        <w:rPr>
          <w:b/>
          <w:sz w:val="24"/>
          <w:szCs w:val="24"/>
        </w:rPr>
        <w:t>5.1</w:t>
      </w:r>
      <w:r w:rsidRPr="00F12FD6">
        <w:rPr>
          <w:b/>
          <w:sz w:val="24"/>
          <w:szCs w:val="24"/>
        </w:rPr>
        <w:tab/>
      </w:r>
      <w:proofErr w:type="spellStart"/>
      <w:r w:rsidRPr="00F12FD6">
        <w:rPr>
          <w:b/>
          <w:sz w:val="24"/>
          <w:szCs w:val="24"/>
        </w:rPr>
        <w:t>Farmakodynamiske</w:t>
      </w:r>
      <w:proofErr w:type="spellEnd"/>
      <w:r w:rsidRPr="00F12FD6">
        <w:rPr>
          <w:b/>
          <w:sz w:val="24"/>
          <w:szCs w:val="24"/>
        </w:rPr>
        <w:t xml:space="preserve"> egenskaber</w:t>
      </w:r>
    </w:p>
    <w:p w14:paraId="720B97C0" w14:textId="212EC847" w:rsidR="00D2303A" w:rsidRPr="00DC2079" w:rsidRDefault="00D2303A" w:rsidP="00DC2079">
      <w:pPr>
        <w:ind w:left="851"/>
        <w:rPr>
          <w:sz w:val="24"/>
          <w:szCs w:val="24"/>
        </w:rPr>
      </w:pPr>
      <w:proofErr w:type="spellStart"/>
      <w:r w:rsidRPr="00DC2079">
        <w:rPr>
          <w:sz w:val="24"/>
          <w:szCs w:val="24"/>
        </w:rPr>
        <w:t>Farmakoterapeutisk</w:t>
      </w:r>
      <w:proofErr w:type="spellEnd"/>
      <w:r w:rsidRPr="00DC2079">
        <w:rPr>
          <w:sz w:val="24"/>
          <w:szCs w:val="24"/>
        </w:rPr>
        <w:t xml:space="preserve"> klassifikation: ACE-</w:t>
      </w:r>
      <w:proofErr w:type="spellStart"/>
      <w:r w:rsidRPr="00DC2079">
        <w:rPr>
          <w:sz w:val="24"/>
          <w:szCs w:val="24"/>
        </w:rPr>
        <w:t>hæmmere</w:t>
      </w:r>
      <w:proofErr w:type="spellEnd"/>
      <w:r w:rsidRPr="00DC2079">
        <w:rPr>
          <w:sz w:val="24"/>
          <w:szCs w:val="24"/>
        </w:rPr>
        <w:t>, usammensatte</w:t>
      </w:r>
      <w:r w:rsidR="00DC2079">
        <w:rPr>
          <w:sz w:val="24"/>
          <w:szCs w:val="24"/>
        </w:rPr>
        <w:t>,</w:t>
      </w:r>
      <w:r w:rsidRPr="00DC2079">
        <w:rPr>
          <w:sz w:val="24"/>
          <w:szCs w:val="24"/>
        </w:rPr>
        <w:t xml:space="preserve"> ATC-kode: C09AA05</w:t>
      </w:r>
    </w:p>
    <w:p w14:paraId="41C99903" w14:textId="77777777" w:rsidR="00D2303A" w:rsidRPr="00F12FD6" w:rsidRDefault="00D2303A" w:rsidP="008D7C83">
      <w:pPr>
        <w:ind w:left="851"/>
        <w:rPr>
          <w:i/>
          <w:sz w:val="24"/>
          <w:szCs w:val="24"/>
        </w:rPr>
      </w:pPr>
    </w:p>
    <w:p w14:paraId="6DFFD018" w14:textId="77777777" w:rsidR="00D2303A" w:rsidRPr="00F12FD6" w:rsidRDefault="00D2303A" w:rsidP="008D7C83">
      <w:pPr>
        <w:ind w:left="851"/>
        <w:rPr>
          <w:sz w:val="24"/>
          <w:szCs w:val="24"/>
          <w:u w:val="single"/>
        </w:rPr>
      </w:pPr>
      <w:r w:rsidRPr="00F12FD6">
        <w:rPr>
          <w:sz w:val="24"/>
          <w:szCs w:val="24"/>
          <w:u w:val="single"/>
        </w:rPr>
        <w:t>Virkningsmekanisme</w:t>
      </w:r>
    </w:p>
    <w:p w14:paraId="09DF17EA" w14:textId="77777777" w:rsidR="00D2303A" w:rsidRPr="00F12FD6" w:rsidRDefault="00D2303A" w:rsidP="008D7C83">
      <w:pPr>
        <w:ind w:left="851"/>
        <w:rPr>
          <w:sz w:val="24"/>
          <w:szCs w:val="24"/>
        </w:rPr>
      </w:pPr>
      <w:proofErr w:type="spellStart"/>
      <w:r w:rsidRPr="00F12FD6">
        <w:rPr>
          <w:sz w:val="24"/>
          <w:szCs w:val="24"/>
        </w:rPr>
        <w:t>Ramiprilat</w:t>
      </w:r>
      <w:proofErr w:type="spellEnd"/>
      <w:r w:rsidRPr="00F12FD6">
        <w:rPr>
          <w:sz w:val="24"/>
          <w:szCs w:val="24"/>
        </w:rPr>
        <w:t xml:space="preserve">, der er den aktive metabolit af </w:t>
      </w:r>
      <w:proofErr w:type="spellStart"/>
      <w:r w:rsidRPr="00F12FD6">
        <w:rPr>
          <w:sz w:val="24"/>
          <w:szCs w:val="24"/>
        </w:rPr>
        <w:t>prodrug'en</w:t>
      </w:r>
      <w:proofErr w:type="spellEnd"/>
      <w:r w:rsidRPr="00F12FD6">
        <w:rPr>
          <w:sz w:val="24"/>
          <w:szCs w:val="24"/>
        </w:rPr>
        <w:t xml:space="preserve"> </w:t>
      </w:r>
      <w:proofErr w:type="spellStart"/>
      <w:r w:rsidRPr="00F12FD6">
        <w:rPr>
          <w:sz w:val="24"/>
          <w:szCs w:val="24"/>
        </w:rPr>
        <w:t>ramipril</w:t>
      </w:r>
      <w:proofErr w:type="spellEnd"/>
      <w:r w:rsidRPr="00F12FD6">
        <w:rPr>
          <w:sz w:val="24"/>
          <w:szCs w:val="24"/>
        </w:rPr>
        <w:t xml:space="preserve">, hæmmer enzymet </w:t>
      </w:r>
      <w:proofErr w:type="spellStart"/>
      <w:r w:rsidRPr="00F12FD6">
        <w:rPr>
          <w:sz w:val="24"/>
          <w:szCs w:val="24"/>
        </w:rPr>
        <w:t>dipeptidylcarboxypeptidase</w:t>
      </w:r>
      <w:proofErr w:type="spellEnd"/>
      <w:r w:rsidRPr="00F12FD6">
        <w:rPr>
          <w:sz w:val="24"/>
          <w:szCs w:val="24"/>
        </w:rPr>
        <w:t xml:space="preserve"> I (synonymer: </w:t>
      </w:r>
      <w:proofErr w:type="spellStart"/>
      <w:r w:rsidRPr="00F12FD6">
        <w:rPr>
          <w:sz w:val="24"/>
          <w:szCs w:val="24"/>
        </w:rPr>
        <w:t>angiotensinkonverterende</w:t>
      </w:r>
      <w:proofErr w:type="spellEnd"/>
      <w:r w:rsidRPr="00F12FD6">
        <w:rPr>
          <w:sz w:val="24"/>
          <w:szCs w:val="24"/>
        </w:rPr>
        <w:t xml:space="preserve"> enzym, kininase II). </w:t>
      </w:r>
    </w:p>
    <w:p w14:paraId="4EA534C3" w14:textId="77777777" w:rsidR="00D2303A" w:rsidRPr="00F12FD6" w:rsidRDefault="00D2303A" w:rsidP="008D7C83">
      <w:pPr>
        <w:ind w:left="851"/>
        <w:rPr>
          <w:sz w:val="24"/>
          <w:szCs w:val="24"/>
        </w:rPr>
      </w:pPr>
      <w:r w:rsidRPr="00F12FD6">
        <w:rPr>
          <w:sz w:val="24"/>
          <w:szCs w:val="24"/>
        </w:rPr>
        <w:t xml:space="preserve">I plasma og væv katalyserer dette enzym ændringen af </w:t>
      </w:r>
      <w:proofErr w:type="spellStart"/>
      <w:r w:rsidRPr="00F12FD6">
        <w:rPr>
          <w:sz w:val="24"/>
          <w:szCs w:val="24"/>
        </w:rPr>
        <w:t>angiotensin</w:t>
      </w:r>
      <w:proofErr w:type="spellEnd"/>
      <w:r w:rsidRPr="00F12FD6">
        <w:rPr>
          <w:sz w:val="24"/>
          <w:szCs w:val="24"/>
        </w:rPr>
        <w:t xml:space="preserve"> I til det aktive </w:t>
      </w:r>
      <w:proofErr w:type="spellStart"/>
      <w:r w:rsidRPr="00F12FD6">
        <w:rPr>
          <w:sz w:val="24"/>
          <w:szCs w:val="24"/>
        </w:rPr>
        <w:t>vasokonstriktorstof</w:t>
      </w:r>
      <w:proofErr w:type="spellEnd"/>
      <w:r w:rsidRPr="00F12FD6">
        <w:rPr>
          <w:sz w:val="24"/>
          <w:szCs w:val="24"/>
        </w:rPr>
        <w:t xml:space="preserve"> </w:t>
      </w:r>
      <w:proofErr w:type="spellStart"/>
      <w:r w:rsidRPr="00F12FD6">
        <w:rPr>
          <w:sz w:val="24"/>
          <w:szCs w:val="24"/>
        </w:rPr>
        <w:t>angiotensin</w:t>
      </w:r>
      <w:proofErr w:type="spellEnd"/>
      <w:r w:rsidRPr="00F12FD6">
        <w:rPr>
          <w:sz w:val="24"/>
          <w:szCs w:val="24"/>
        </w:rPr>
        <w:t xml:space="preserve"> II og også nedbrydningen af den aktive </w:t>
      </w:r>
      <w:proofErr w:type="spellStart"/>
      <w:r w:rsidRPr="00F12FD6">
        <w:rPr>
          <w:sz w:val="24"/>
          <w:szCs w:val="24"/>
        </w:rPr>
        <w:t>vasodilatator</w:t>
      </w:r>
      <w:proofErr w:type="spellEnd"/>
      <w:r w:rsidRPr="00F12FD6">
        <w:rPr>
          <w:sz w:val="24"/>
          <w:szCs w:val="24"/>
        </w:rPr>
        <w:t xml:space="preserve"> bradykinin. Nedsat </w:t>
      </w:r>
      <w:proofErr w:type="spellStart"/>
      <w:r w:rsidRPr="00F12FD6">
        <w:rPr>
          <w:sz w:val="24"/>
          <w:szCs w:val="24"/>
        </w:rPr>
        <w:t>angiotensin</w:t>
      </w:r>
      <w:proofErr w:type="spellEnd"/>
      <w:r w:rsidRPr="00F12FD6">
        <w:rPr>
          <w:sz w:val="24"/>
          <w:szCs w:val="24"/>
        </w:rPr>
        <w:t xml:space="preserve"> II-dannelse og hæmning af bradykinins nedbrydning fører til vasodilatation.</w:t>
      </w:r>
    </w:p>
    <w:p w14:paraId="32E604FE" w14:textId="77777777" w:rsidR="00D2303A" w:rsidRPr="00F12FD6" w:rsidRDefault="00D2303A" w:rsidP="008D7C83">
      <w:pPr>
        <w:ind w:left="851"/>
        <w:rPr>
          <w:sz w:val="24"/>
          <w:szCs w:val="24"/>
        </w:rPr>
      </w:pPr>
    </w:p>
    <w:p w14:paraId="3D5A4A2F" w14:textId="77777777" w:rsidR="00D2303A" w:rsidRPr="00F12FD6" w:rsidRDefault="00D2303A" w:rsidP="008D7C83">
      <w:pPr>
        <w:ind w:left="851"/>
        <w:rPr>
          <w:sz w:val="24"/>
          <w:szCs w:val="24"/>
        </w:rPr>
      </w:pPr>
      <w:r w:rsidRPr="00F12FD6">
        <w:rPr>
          <w:sz w:val="24"/>
          <w:szCs w:val="24"/>
        </w:rPr>
        <w:t xml:space="preserve">Da </w:t>
      </w:r>
      <w:proofErr w:type="spellStart"/>
      <w:r w:rsidRPr="00F12FD6">
        <w:rPr>
          <w:sz w:val="24"/>
          <w:szCs w:val="24"/>
        </w:rPr>
        <w:t>angiotensin</w:t>
      </w:r>
      <w:proofErr w:type="spellEnd"/>
      <w:r w:rsidRPr="00F12FD6">
        <w:rPr>
          <w:sz w:val="24"/>
          <w:szCs w:val="24"/>
        </w:rPr>
        <w:t xml:space="preserve"> II også stimulerer frigivelsen af </w:t>
      </w:r>
      <w:proofErr w:type="spellStart"/>
      <w:r w:rsidRPr="00F12FD6">
        <w:rPr>
          <w:sz w:val="24"/>
          <w:szCs w:val="24"/>
        </w:rPr>
        <w:t>aldosteron</w:t>
      </w:r>
      <w:proofErr w:type="spellEnd"/>
      <w:r w:rsidRPr="00F12FD6">
        <w:rPr>
          <w:sz w:val="24"/>
          <w:szCs w:val="24"/>
        </w:rPr>
        <w:t xml:space="preserve">, forårsager </w:t>
      </w:r>
      <w:proofErr w:type="spellStart"/>
      <w:r w:rsidRPr="00F12FD6">
        <w:rPr>
          <w:sz w:val="24"/>
          <w:szCs w:val="24"/>
        </w:rPr>
        <w:t>ramiprilat</w:t>
      </w:r>
      <w:proofErr w:type="spellEnd"/>
      <w:r w:rsidRPr="00F12FD6">
        <w:rPr>
          <w:sz w:val="24"/>
          <w:szCs w:val="24"/>
        </w:rPr>
        <w:t xml:space="preserve"> en reduktion i </w:t>
      </w:r>
      <w:proofErr w:type="spellStart"/>
      <w:r w:rsidRPr="00F12FD6">
        <w:rPr>
          <w:sz w:val="24"/>
          <w:szCs w:val="24"/>
        </w:rPr>
        <w:t>aldosteronfrigivelsen</w:t>
      </w:r>
      <w:proofErr w:type="spellEnd"/>
      <w:r w:rsidRPr="00F12FD6">
        <w:rPr>
          <w:sz w:val="24"/>
          <w:szCs w:val="24"/>
        </w:rPr>
        <w:t>. Det gennemsnitlige respons på monoterapi med ACE-</w:t>
      </w:r>
      <w:proofErr w:type="spellStart"/>
      <w:r w:rsidRPr="00F12FD6">
        <w:rPr>
          <w:sz w:val="24"/>
          <w:szCs w:val="24"/>
        </w:rPr>
        <w:t>hæmmere</w:t>
      </w:r>
      <w:proofErr w:type="spellEnd"/>
      <w:r w:rsidRPr="00F12FD6">
        <w:rPr>
          <w:sz w:val="24"/>
          <w:szCs w:val="24"/>
        </w:rPr>
        <w:t xml:space="preserve"> var lavere hos sorte (afro-caribiske) </w:t>
      </w:r>
      <w:proofErr w:type="spellStart"/>
      <w:r w:rsidRPr="00F12FD6">
        <w:rPr>
          <w:sz w:val="24"/>
          <w:szCs w:val="24"/>
        </w:rPr>
        <w:t>hypertensive</w:t>
      </w:r>
      <w:proofErr w:type="spellEnd"/>
      <w:r w:rsidRPr="00F12FD6">
        <w:rPr>
          <w:sz w:val="24"/>
          <w:szCs w:val="24"/>
        </w:rPr>
        <w:t xml:space="preserve"> patienter (sædvanligvis en lav-</w:t>
      </w:r>
      <w:proofErr w:type="spellStart"/>
      <w:r w:rsidRPr="00F12FD6">
        <w:rPr>
          <w:sz w:val="24"/>
          <w:szCs w:val="24"/>
        </w:rPr>
        <w:t>renin</w:t>
      </w:r>
      <w:proofErr w:type="spellEnd"/>
      <w:r w:rsidRPr="00F12FD6">
        <w:rPr>
          <w:sz w:val="24"/>
          <w:szCs w:val="24"/>
        </w:rPr>
        <w:t xml:space="preserve"> </w:t>
      </w:r>
      <w:proofErr w:type="spellStart"/>
      <w:r w:rsidRPr="00F12FD6">
        <w:rPr>
          <w:sz w:val="24"/>
          <w:szCs w:val="24"/>
        </w:rPr>
        <w:t>hypertensiv</w:t>
      </w:r>
      <w:proofErr w:type="spellEnd"/>
      <w:r w:rsidRPr="00F12FD6">
        <w:rPr>
          <w:sz w:val="24"/>
          <w:szCs w:val="24"/>
        </w:rPr>
        <w:t xml:space="preserve"> population) end hos ikke- sorte patienter.</w:t>
      </w:r>
    </w:p>
    <w:p w14:paraId="4BDCB29B" w14:textId="77777777" w:rsidR="00D2303A" w:rsidRPr="00F12FD6" w:rsidRDefault="00D2303A" w:rsidP="008D7C83">
      <w:pPr>
        <w:ind w:left="851"/>
        <w:rPr>
          <w:sz w:val="24"/>
          <w:szCs w:val="24"/>
        </w:rPr>
      </w:pPr>
    </w:p>
    <w:p w14:paraId="6CBCD3B9" w14:textId="77777777" w:rsidR="00D2303A" w:rsidRPr="00F12FD6" w:rsidRDefault="00D2303A" w:rsidP="008D7C83">
      <w:pPr>
        <w:ind w:left="851"/>
        <w:rPr>
          <w:iCs/>
          <w:sz w:val="24"/>
          <w:szCs w:val="24"/>
          <w:u w:val="single"/>
        </w:rPr>
      </w:pPr>
      <w:proofErr w:type="spellStart"/>
      <w:r w:rsidRPr="00F12FD6">
        <w:rPr>
          <w:iCs/>
          <w:sz w:val="24"/>
          <w:szCs w:val="24"/>
          <w:u w:val="single"/>
        </w:rPr>
        <w:t>Farmakodynamisk</w:t>
      </w:r>
      <w:proofErr w:type="spellEnd"/>
      <w:r w:rsidRPr="00F12FD6">
        <w:rPr>
          <w:iCs/>
          <w:sz w:val="24"/>
          <w:szCs w:val="24"/>
          <w:u w:val="single"/>
        </w:rPr>
        <w:t xml:space="preserve"> virkning</w:t>
      </w:r>
    </w:p>
    <w:p w14:paraId="2313643C" w14:textId="77777777" w:rsidR="00D2303A" w:rsidRPr="00F12FD6" w:rsidRDefault="00D2303A" w:rsidP="008D7C83">
      <w:pPr>
        <w:ind w:left="851"/>
        <w:rPr>
          <w:i/>
          <w:sz w:val="24"/>
          <w:szCs w:val="24"/>
        </w:rPr>
      </w:pPr>
    </w:p>
    <w:p w14:paraId="39F9075F" w14:textId="77777777" w:rsidR="00D2303A" w:rsidRPr="00F12FD6" w:rsidRDefault="00D2303A" w:rsidP="008D7C83">
      <w:pPr>
        <w:ind w:left="851"/>
        <w:rPr>
          <w:i/>
          <w:sz w:val="24"/>
          <w:szCs w:val="24"/>
        </w:rPr>
      </w:pPr>
      <w:proofErr w:type="spellStart"/>
      <w:r w:rsidRPr="00F12FD6">
        <w:rPr>
          <w:i/>
          <w:sz w:val="24"/>
          <w:szCs w:val="24"/>
        </w:rPr>
        <w:t>Antihypertensive</w:t>
      </w:r>
      <w:proofErr w:type="spellEnd"/>
      <w:r w:rsidRPr="00F12FD6">
        <w:rPr>
          <w:i/>
          <w:sz w:val="24"/>
          <w:szCs w:val="24"/>
        </w:rPr>
        <w:t xml:space="preserve"> egenskaber:</w:t>
      </w:r>
    </w:p>
    <w:p w14:paraId="219C9C7C" w14:textId="1AC6129A" w:rsidR="00D2303A" w:rsidRPr="00F12FD6" w:rsidRDefault="00D2303A" w:rsidP="008D7C83">
      <w:pPr>
        <w:ind w:left="851"/>
        <w:rPr>
          <w:sz w:val="24"/>
          <w:szCs w:val="24"/>
        </w:rPr>
      </w:pPr>
      <w:r w:rsidRPr="00F12FD6">
        <w:rPr>
          <w:sz w:val="24"/>
          <w:szCs w:val="24"/>
        </w:rPr>
        <w:t xml:space="preserve">Administration af </w:t>
      </w:r>
      <w:proofErr w:type="spellStart"/>
      <w:r w:rsidRPr="00F12FD6">
        <w:rPr>
          <w:sz w:val="24"/>
          <w:szCs w:val="24"/>
        </w:rPr>
        <w:t>ramipril</w:t>
      </w:r>
      <w:proofErr w:type="spellEnd"/>
      <w:r w:rsidRPr="00F12FD6">
        <w:rPr>
          <w:sz w:val="24"/>
          <w:szCs w:val="24"/>
        </w:rPr>
        <w:t xml:space="preserve"> forårsager en udtalt reduktion i den perifere arterielle modstand. Almindeligvis er der ingen større ændring i det </w:t>
      </w:r>
      <w:proofErr w:type="spellStart"/>
      <w:r w:rsidRPr="00F12FD6">
        <w:rPr>
          <w:sz w:val="24"/>
          <w:szCs w:val="24"/>
        </w:rPr>
        <w:t>renale</w:t>
      </w:r>
      <w:proofErr w:type="spellEnd"/>
      <w:r w:rsidRPr="00F12FD6">
        <w:rPr>
          <w:sz w:val="24"/>
          <w:szCs w:val="24"/>
        </w:rPr>
        <w:t xml:space="preserve"> plasma flow og den </w:t>
      </w:r>
      <w:proofErr w:type="spellStart"/>
      <w:r w:rsidRPr="00F12FD6">
        <w:rPr>
          <w:sz w:val="24"/>
          <w:szCs w:val="24"/>
        </w:rPr>
        <w:t>glomerulære</w:t>
      </w:r>
      <w:proofErr w:type="spellEnd"/>
      <w:r w:rsidRPr="00F12FD6">
        <w:rPr>
          <w:sz w:val="24"/>
          <w:szCs w:val="24"/>
        </w:rPr>
        <w:t xml:space="preserve"> filtrationsrate. Administration af </w:t>
      </w:r>
      <w:proofErr w:type="spellStart"/>
      <w:r w:rsidRPr="00F12FD6">
        <w:rPr>
          <w:sz w:val="24"/>
          <w:szCs w:val="24"/>
        </w:rPr>
        <w:t>ramipril</w:t>
      </w:r>
      <w:proofErr w:type="spellEnd"/>
      <w:r w:rsidRPr="00F12FD6">
        <w:rPr>
          <w:sz w:val="24"/>
          <w:szCs w:val="24"/>
        </w:rPr>
        <w:t xml:space="preserve"> hos patienter med hypertension medfører en nedsættelse i det liggende og stående blodtryk uden en kompenserende stigning i hjertefrekvens.</w:t>
      </w:r>
    </w:p>
    <w:p w14:paraId="102BF3C7" w14:textId="77777777" w:rsidR="00D2303A" w:rsidRPr="00F12FD6" w:rsidRDefault="00D2303A" w:rsidP="008D7C83">
      <w:pPr>
        <w:ind w:left="851"/>
        <w:rPr>
          <w:sz w:val="24"/>
          <w:szCs w:val="24"/>
        </w:rPr>
      </w:pPr>
    </w:p>
    <w:p w14:paraId="0133CBA6" w14:textId="77777777" w:rsidR="00D2303A" w:rsidRPr="00F12FD6" w:rsidRDefault="00D2303A" w:rsidP="008D7C83">
      <w:pPr>
        <w:ind w:left="851"/>
        <w:rPr>
          <w:sz w:val="24"/>
          <w:szCs w:val="24"/>
        </w:rPr>
      </w:pPr>
      <w:r w:rsidRPr="00F12FD6">
        <w:rPr>
          <w:sz w:val="24"/>
          <w:szCs w:val="24"/>
        </w:rPr>
        <w:t xml:space="preserve">Hos de fleste patienter ses den </w:t>
      </w:r>
      <w:proofErr w:type="spellStart"/>
      <w:r w:rsidRPr="00F12FD6">
        <w:rPr>
          <w:sz w:val="24"/>
          <w:szCs w:val="24"/>
        </w:rPr>
        <w:t>antihypertensive</w:t>
      </w:r>
      <w:proofErr w:type="spellEnd"/>
      <w:r w:rsidRPr="00F12FD6">
        <w:rPr>
          <w:sz w:val="24"/>
          <w:szCs w:val="24"/>
        </w:rPr>
        <w:t xml:space="preserve"> virkning af en enkelt dosis 1 til 2 timer efter oral administration. Maksimal virkning af en enkelt dosis nås almindeligvis fra 3 til 6 timer efter oral administration. Den </w:t>
      </w:r>
      <w:proofErr w:type="spellStart"/>
      <w:r w:rsidRPr="00F12FD6">
        <w:rPr>
          <w:sz w:val="24"/>
          <w:szCs w:val="24"/>
        </w:rPr>
        <w:t>antihypertensive</w:t>
      </w:r>
      <w:proofErr w:type="spellEnd"/>
      <w:r w:rsidRPr="00F12FD6">
        <w:rPr>
          <w:sz w:val="24"/>
          <w:szCs w:val="24"/>
        </w:rPr>
        <w:t xml:space="preserve"> virkning af en enkelt dosis varer sædvanligvis 24 timer.</w:t>
      </w:r>
    </w:p>
    <w:p w14:paraId="3B18552E" w14:textId="77777777" w:rsidR="00D2303A" w:rsidRPr="00F12FD6" w:rsidRDefault="00D2303A" w:rsidP="008D7C83">
      <w:pPr>
        <w:ind w:left="851"/>
        <w:rPr>
          <w:sz w:val="24"/>
          <w:szCs w:val="24"/>
        </w:rPr>
      </w:pPr>
    </w:p>
    <w:p w14:paraId="2F889031" w14:textId="77777777" w:rsidR="00D2303A" w:rsidRPr="00F12FD6" w:rsidRDefault="00D2303A" w:rsidP="008D7C83">
      <w:pPr>
        <w:ind w:left="851"/>
        <w:rPr>
          <w:sz w:val="24"/>
          <w:szCs w:val="24"/>
        </w:rPr>
      </w:pPr>
      <w:r w:rsidRPr="00F12FD6">
        <w:rPr>
          <w:sz w:val="24"/>
          <w:szCs w:val="24"/>
        </w:rPr>
        <w:t xml:space="preserve">Den maksimale </w:t>
      </w:r>
      <w:proofErr w:type="spellStart"/>
      <w:r w:rsidRPr="00F12FD6">
        <w:rPr>
          <w:sz w:val="24"/>
          <w:szCs w:val="24"/>
        </w:rPr>
        <w:t>antihypertensive</w:t>
      </w:r>
      <w:proofErr w:type="spellEnd"/>
      <w:r w:rsidRPr="00F12FD6">
        <w:rPr>
          <w:sz w:val="24"/>
          <w:szCs w:val="24"/>
        </w:rPr>
        <w:t xml:space="preserve"> virkning af fortsat behandling med </w:t>
      </w:r>
      <w:proofErr w:type="spellStart"/>
      <w:r w:rsidRPr="00F12FD6">
        <w:rPr>
          <w:sz w:val="24"/>
          <w:szCs w:val="24"/>
        </w:rPr>
        <w:t>ramipril</w:t>
      </w:r>
      <w:proofErr w:type="spellEnd"/>
      <w:r w:rsidRPr="00F12FD6">
        <w:rPr>
          <w:sz w:val="24"/>
          <w:szCs w:val="24"/>
        </w:rPr>
        <w:t xml:space="preserve"> ses almindeligvis efter 3 til 4 uger. Det har vist sig, at den </w:t>
      </w:r>
      <w:proofErr w:type="spellStart"/>
      <w:r w:rsidRPr="00F12FD6">
        <w:rPr>
          <w:sz w:val="24"/>
          <w:szCs w:val="24"/>
        </w:rPr>
        <w:t>antihypertensive</w:t>
      </w:r>
      <w:proofErr w:type="spellEnd"/>
      <w:r w:rsidRPr="00F12FD6">
        <w:rPr>
          <w:sz w:val="24"/>
          <w:szCs w:val="24"/>
        </w:rPr>
        <w:t xml:space="preserve"> virkning opretholdes under langtidsterapi på 2 år.</w:t>
      </w:r>
    </w:p>
    <w:p w14:paraId="25107BDF" w14:textId="77777777" w:rsidR="00D2303A" w:rsidRPr="00F12FD6" w:rsidRDefault="00D2303A" w:rsidP="008D7C83">
      <w:pPr>
        <w:ind w:left="851"/>
        <w:rPr>
          <w:sz w:val="24"/>
          <w:szCs w:val="24"/>
        </w:rPr>
      </w:pPr>
    </w:p>
    <w:p w14:paraId="046CEC36" w14:textId="77777777" w:rsidR="00D2303A" w:rsidRPr="00F12FD6" w:rsidRDefault="00D2303A" w:rsidP="008D7C83">
      <w:pPr>
        <w:ind w:left="851"/>
        <w:rPr>
          <w:sz w:val="24"/>
          <w:szCs w:val="24"/>
        </w:rPr>
      </w:pPr>
      <w:r w:rsidRPr="00F12FD6">
        <w:rPr>
          <w:sz w:val="24"/>
          <w:szCs w:val="24"/>
        </w:rPr>
        <w:t xml:space="preserve">Pludselig </w:t>
      </w:r>
      <w:proofErr w:type="spellStart"/>
      <w:r w:rsidRPr="00F12FD6">
        <w:rPr>
          <w:sz w:val="24"/>
          <w:szCs w:val="24"/>
        </w:rPr>
        <w:t>seponering</w:t>
      </w:r>
      <w:proofErr w:type="spellEnd"/>
      <w:r w:rsidRPr="00F12FD6">
        <w:rPr>
          <w:sz w:val="24"/>
          <w:szCs w:val="24"/>
        </w:rPr>
        <w:t xml:space="preserve"> af </w:t>
      </w:r>
      <w:proofErr w:type="spellStart"/>
      <w:r w:rsidRPr="00F12FD6">
        <w:rPr>
          <w:sz w:val="24"/>
          <w:szCs w:val="24"/>
        </w:rPr>
        <w:t>ramipril</w:t>
      </w:r>
      <w:proofErr w:type="spellEnd"/>
      <w:r w:rsidRPr="00F12FD6">
        <w:rPr>
          <w:sz w:val="24"/>
          <w:szCs w:val="24"/>
        </w:rPr>
        <w:t xml:space="preserve"> giver ikke en hurtig og excessivt tilbageslag med stigning i blodtryk til følge.</w:t>
      </w:r>
    </w:p>
    <w:p w14:paraId="61AE910F" w14:textId="77777777" w:rsidR="00D2303A" w:rsidRPr="00F12FD6" w:rsidRDefault="00D2303A" w:rsidP="008D7C83">
      <w:pPr>
        <w:ind w:left="851"/>
        <w:rPr>
          <w:sz w:val="24"/>
          <w:szCs w:val="24"/>
        </w:rPr>
      </w:pPr>
    </w:p>
    <w:p w14:paraId="00FFC432" w14:textId="77777777" w:rsidR="00D2303A" w:rsidRPr="00F12FD6" w:rsidRDefault="00D2303A" w:rsidP="008D7C83">
      <w:pPr>
        <w:ind w:left="851"/>
        <w:rPr>
          <w:i/>
          <w:sz w:val="24"/>
          <w:szCs w:val="24"/>
        </w:rPr>
      </w:pPr>
      <w:r w:rsidRPr="00F12FD6">
        <w:rPr>
          <w:i/>
          <w:sz w:val="24"/>
          <w:szCs w:val="24"/>
        </w:rPr>
        <w:t>Hjerteinsufficiens:</w:t>
      </w:r>
    </w:p>
    <w:p w14:paraId="6F165A2C" w14:textId="77777777" w:rsidR="00D2303A" w:rsidRPr="00F12FD6" w:rsidRDefault="00D2303A" w:rsidP="008D7C83">
      <w:pPr>
        <w:ind w:left="851"/>
        <w:rPr>
          <w:sz w:val="24"/>
          <w:szCs w:val="24"/>
        </w:rPr>
      </w:pPr>
      <w:r w:rsidRPr="00F12FD6">
        <w:rPr>
          <w:sz w:val="24"/>
          <w:szCs w:val="24"/>
        </w:rPr>
        <w:t xml:space="preserve">Ud over den konventionelle behandling med </w:t>
      </w:r>
      <w:proofErr w:type="spellStart"/>
      <w:r w:rsidRPr="00F12FD6">
        <w:rPr>
          <w:sz w:val="24"/>
          <w:szCs w:val="24"/>
        </w:rPr>
        <w:t>diuretika</w:t>
      </w:r>
      <w:proofErr w:type="spellEnd"/>
      <w:r w:rsidRPr="00F12FD6">
        <w:rPr>
          <w:sz w:val="24"/>
          <w:szCs w:val="24"/>
        </w:rPr>
        <w:t xml:space="preserve"> og hjerteglykosider er </w:t>
      </w:r>
      <w:proofErr w:type="spellStart"/>
      <w:r w:rsidRPr="00F12FD6">
        <w:rPr>
          <w:sz w:val="24"/>
          <w:szCs w:val="24"/>
        </w:rPr>
        <w:t>ramipril</w:t>
      </w:r>
      <w:proofErr w:type="spellEnd"/>
      <w:r w:rsidRPr="00F12FD6">
        <w:rPr>
          <w:sz w:val="24"/>
          <w:szCs w:val="24"/>
        </w:rPr>
        <w:t xml:space="preserve"> vist at være effektiv hos patienter i </w:t>
      </w:r>
      <w:proofErr w:type="spellStart"/>
      <w:r w:rsidRPr="00F12FD6">
        <w:rPr>
          <w:sz w:val="24"/>
          <w:szCs w:val="24"/>
        </w:rPr>
        <w:t>New-York</w:t>
      </w:r>
      <w:proofErr w:type="spellEnd"/>
      <w:r w:rsidRPr="00F12FD6">
        <w:rPr>
          <w:sz w:val="24"/>
          <w:szCs w:val="24"/>
        </w:rPr>
        <w:t xml:space="preserve"> Heart Associations funktionelle klasse II-IV.</w:t>
      </w:r>
    </w:p>
    <w:p w14:paraId="478E4A0A" w14:textId="77777777" w:rsidR="00D2303A" w:rsidRPr="00F12FD6" w:rsidRDefault="00D2303A" w:rsidP="008D7C83">
      <w:pPr>
        <w:ind w:left="851"/>
        <w:rPr>
          <w:sz w:val="24"/>
          <w:szCs w:val="24"/>
        </w:rPr>
      </w:pPr>
      <w:r w:rsidRPr="00F12FD6">
        <w:rPr>
          <w:sz w:val="24"/>
          <w:szCs w:val="24"/>
        </w:rPr>
        <w:t xml:space="preserve">Stoffet havde gunstige virkninger på </w:t>
      </w:r>
      <w:proofErr w:type="spellStart"/>
      <w:r w:rsidRPr="00F12FD6">
        <w:rPr>
          <w:sz w:val="24"/>
          <w:szCs w:val="24"/>
        </w:rPr>
        <w:t>kardiel</w:t>
      </w:r>
      <w:proofErr w:type="spellEnd"/>
      <w:r w:rsidRPr="00F12FD6">
        <w:rPr>
          <w:sz w:val="24"/>
          <w:szCs w:val="24"/>
        </w:rPr>
        <w:t xml:space="preserve"> </w:t>
      </w:r>
      <w:proofErr w:type="spellStart"/>
      <w:r w:rsidRPr="00F12FD6">
        <w:rPr>
          <w:sz w:val="24"/>
          <w:szCs w:val="24"/>
        </w:rPr>
        <w:t>hæmodynamik</w:t>
      </w:r>
      <w:proofErr w:type="spellEnd"/>
      <w:r w:rsidRPr="00F12FD6">
        <w:rPr>
          <w:sz w:val="24"/>
          <w:szCs w:val="24"/>
        </w:rPr>
        <w:t xml:space="preserve"> (nedsat fyldningstryk i venstre og højre ventrikel, reduceret total perifer </w:t>
      </w:r>
      <w:proofErr w:type="spellStart"/>
      <w:r w:rsidRPr="00F12FD6">
        <w:rPr>
          <w:sz w:val="24"/>
          <w:szCs w:val="24"/>
        </w:rPr>
        <w:t>vaskulær</w:t>
      </w:r>
      <w:proofErr w:type="spellEnd"/>
      <w:r w:rsidRPr="00F12FD6">
        <w:rPr>
          <w:sz w:val="24"/>
          <w:szCs w:val="24"/>
        </w:rPr>
        <w:t xml:space="preserve"> modstand, øget hjerteydelse og øget hjerteindeks). Det reducerede også </w:t>
      </w:r>
      <w:proofErr w:type="spellStart"/>
      <w:r w:rsidRPr="00F12FD6">
        <w:rPr>
          <w:sz w:val="24"/>
          <w:szCs w:val="24"/>
        </w:rPr>
        <w:t>neuroendokrin</w:t>
      </w:r>
      <w:proofErr w:type="spellEnd"/>
      <w:r w:rsidRPr="00F12FD6">
        <w:rPr>
          <w:sz w:val="24"/>
          <w:szCs w:val="24"/>
        </w:rPr>
        <w:t xml:space="preserve"> aktivering.</w:t>
      </w:r>
    </w:p>
    <w:p w14:paraId="38BB30FC" w14:textId="5E3FC7A8" w:rsidR="008E0B2A" w:rsidRDefault="008E0B2A">
      <w:pPr>
        <w:rPr>
          <w:sz w:val="24"/>
          <w:szCs w:val="24"/>
        </w:rPr>
      </w:pPr>
      <w:r>
        <w:rPr>
          <w:sz w:val="24"/>
          <w:szCs w:val="24"/>
        </w:rPr>
        <w:br w:type="page"/>
      </w:r>
    </w:p>
    <w:p w14:paraId="4FDB6161" w14:textId="77777777" w:rsidR="00D2303A" w:rsidRPr="00F12FD6" w:rsidRDefault="00D2303A" w:rsidP="008D7C83">
      <w:pPr>
        <w:ind w:left="851"/>
        <w:rPr>
          <w:sz w:val="24"/>
          <w:szCs w:val="24"/>
        </w:rPr>
      </w:pPr>
    </w:p>
    <w:p w14:paraId="0052F4BD" w14:textId="77777777" w:rsidR="00D2303A" w:rsidRPr="00F12FD6" w:rsidRDefault="00D2303A" w:rsidP="008D7C83">
      <w:pPr>
        <w:ind w:left="851"/>
        <w:rPr>
          <w:iCs/>
          <w:sz w:val="24"/>
          <w:szCs w:val="24"/>
          <w:u w:val="single"/>
        </w:rPr>
      </w:pPr>
      <w:r w:rsidRPr="00F12FD6">
        <w:rPr>
          <w:iCs/>
          <w:sz w:val="24"/>
          <w:szCs w:val="24"/>
          <w:u w:val="single"/>
        </w:rPr>
        <w:t>Klinisk effekt og sikkerhed</w:t>
      </w:r>
    </w:p>
    <w:p w14:paraId="0983AB30" w14:textId="77777777" w:rsidR="00D2303A" w:rsidRPr="00F12FD6" w:rsidRDefault="00D2303A" w:rsidP="008D7C83">
      <w:pPr>
        <w:ind w:left="851"/>
        <w:rPr>
          <w:sz w:val="24"/>
          <w:szCs w:val="24"/>
        </w:rPr>
      </w:pPr>
    </w:p>
    <w:p w14:paraId="1B4B1095" w14:textId="77777777" w:rsidR="00D2303A" w:rsidRPr="00F12FD6" w:rsidRDefault="00D2303A" w:rsidP="008D7C83">
      <w:pPr>
        <w:ind w:left="851"/>
        <w:rPr>
          <w:i/>
          <w:sz w:val="24"/>
          <w:szCs w:val="24"/>
        </w:rPr>
      </w:pPr>
      <w:proofErr w:type="spellStart"/>
      <w:r w:rsidRPr="00F12FD6">
        <w:rPr>
          <w:i/>
          <w:sz w:val="24"/>
          <w:szCs w:val="24"/>
        </w:rPr>
        <w:t>Kardiovaskulær</w:t>
      </w:r>
      <w:proofErr w:type="spellEnd"/>
      <w:r w:rsidRPr="00F12FD6">
        <w:rPr>
          <w:i/>
          <w:sz w:val="24"/>
          <w:szCs w:val="24"/>
        </w:rPr>
        <w:t xml:space="preserve"> forebyggelse/nyrebeskyttelse</w:t>
      </w:r>
    </w:p>
    <w:p w14:paraId="29C7D234" w14:textId="77777777" w:rsidR="00D2303A" w:rsidRPr="00F12FD6" w:rsidRDefault="00D2303A" w:rsidP="008D7C83">
      <w:pPr>
        <w:ind w:left="851"/>
        <w:rPr>
          <w:sz w:val="24"/>
          <w:szCs w:val="24"/>
        </w:rPr>
      </w:pPr>
      <w:r w:rsidRPr="00F12FD6">
        <w:rPr>
          <w:sz w:val="24"/>
          <w:szCs w:val="24"/>
        </w:rPr>
        <w:t xml:space="preserve">I et forebyggende placebokontrolleret studie (HOPE-studiet), blev </w:t>
      </w:r>
      <w:proofErr w:type="spellStart"/>
      <w:r w:rsidRPr="00F12FD6">
        <w:rPr>
          <w:sz w:val="24"/>
          <w:szCs w:val="24"/>
        </w:rPr>
        <w:t>ramipril</w:t>
      </w:r>
      <w:proofErr w:type="spellEnd"/>
      <w:r w:rsidRPr="00F12FD6">
        <w:rPr>
          <w:sz w:val="24"/>
          <w:szCs w:val="24"/>
        </w:rPr>
        <w:t xml:space="preserve"> tilføjet </w:t>
      </w:r>
      <w:proofErr w:type="spellStart"/>
      <w:r w:rsidRPr="00F12FD6">
        <w:rPr>
          <w:sz w:val="24"/>
          <w:szCs w:val="24"/>
        </w:rPr>
        <w:t>stan-dardbehandling</w:t>
      </w:r>
      <w:proofErr w:type="spellEnd"/>
      <w:r w:rsidRPr="00F12FD6">
        <w:rPr>
          <w:sz w:val="24"/>
          <w:szCs w:val="24"/>
        </w:rPr>
        <w:t xml:space="preserve"> hos mere end 9.200 patienter. Der blev inkluderet patienter i studiet med øget risiko for </w:t>
      </w:r>
      <w:proofErr w:type="spellStart"/>
      <w:r w:rsidRPr="00F12FD6">
        <w:rPr>
          <w:sz w:val="24"/>
          <w:szCs w:val="24"/>
        </w:rPr>
        <w:t>kardiovaskulær</w:t>
      </w:r>
      <w:proofErr w:type="spellEnd"/>
      <w:r w:rsidRPr="00F12FD6">
        <w:rPr>
          <w:sz w:val="24"/>
          <w:szCs w:val="24"/>
        </w:rPr>
        <w:t xml:space="preserve"> sygdom efter enten </w:t>
      </w:r>
      <w:proofErr w:type="spellStart"/>
      <w:r w:rsidRPr="00F12FD6">
        <w:rPr>
          <w:sz w:val="24"/>
          <w:szCs w:val="24"/>
        </w:rPr>
        <w:t>aterotrombotisk</w:t>
      </w:r>
      <w:proofErr w:type="spellEnd"/>
      <w:r w:rsidRPr="00F12FD6">
        <w:rPr>
          <w:sz w:val="24"/>
          <w:szCs w:val="24"/>
        </w:rPr>
        <w:t xml:space="preserve"> </w:t>
      </w:r>
      <w:proofErr w:type="spellStart"/>
      <w:r w:rsidRPr="00F12FD6">
        <w:rPr>
          <w:sz w:val="24"/>
          <w:szCs w:val="24"/>
        </w:rPr>
        <w:t>kardiovaskulær</w:t>
      </w:r>
      <w:proofErr w:type="spellEnd"/>
      <w:r w:rsidRPr="00F12FD6">
        <w:rPr>
          <w:sz w:val="24"/>
          <w:szCs w:val="24"/>
        </w:rPr>
        <w:t xml:space="preserve"> </w:t>
      </w:r>
      <w:proofErr w:type="spellStart"/>
      <w:r w:rsidRPr="00F12FD6">
        <w:rPr>
          <w:sz w:val="24"/>
          <w:szCs w:val="24"/>
        </w:rPr>
        <w:t>syg-dom</w:t>
      </w:r>
      <w:proofErr w:type="spellEnd"/>
      <w:r w:rsidRPr="00F12FD6">
        <w:rPr>
          <w:sz w:val="24"/>
          <w:szCs w:val="24"/>
        </w:rPr>
        <w:t xml:space="preserve"> (</w:t>
      </w:r>
      <w:proofErr w:type="spellStart"/>
      <w:r w:rsidRPr="00F12FD6">
        <w:rPr>
          <w:sz w:val="24"/>
          <w:szCs w:val="24"/>
        </w:rPr>
        <w:t>koronar</w:t>
      </w:r>
      <w:proofErr w:type="spellEnd"/>
      <w:r w:rsidRPr="00F12FD6">
        <w:rPr>
          <w:sz w:val="24"/>
          <w:szCs w:val="24"/>
        </w:rPr>
        <w:t xml:space="preserve"> hjertesygdom eller slagtilfælde eller perifer </w:t>
      </w:r>
      <w:proofErr w:type="spellStart"/>
      <w:r w:rsidRPr="00F12FD6">
        <w:rPr>
          <w:sz w:val="24"/>
          <w:szCs w:val="24"/>
        </w:rPr>
        <w:t>vaskulær</w:t>
      </w:r>
      <w:proofErr w:type="spellEnd"/>
      <w:r w:rsidRPr="00F12FD6">
        <w:rPr>
          <w:sz w:val="24"/>
          <w:szCs w:val="24"/>
        </w:rPr>
        <w:t xml:space="preserve"> sygdom i </w:t>
      </w:r>
      <w:proofErr w:type="spellStart"/>
      <w:r w:rsidRPr="00F12FD6">
        <w:rPr>
          <w:sz w:val="24"/>
          <w:szCs w:val="24"/>
        </w:rPr>
        <w:t>anamne-sen</w:t>
      </w:r>
      <w:proofErr w:type="spellEnd"/>
      <w:r w:rsidRPr="00F12FD6">
        <w:rPr>
          <w:sz w:val="24"/>
          <w:szCs w:val="24"/>
        </w:rPr>
        <w:t xml:space="preserve">), eller diabetes mellitus med mindst én ekstra risikofaktor (dokumenteret </w:t>
      </w:r>
      <w:proofErr w:type="spellStart"/>
      <w:r w:rsidRPr="00F12FD6">
        <w:rPr>
          <w:sz w:val="24"/>
          <w:szCs w:val="24"/>
        </w:rPr>
        <w:t>mikroal-buminuri</w:t>
      </w:r>
      <w:proofErr w:type="spellEnd"/>
      <w:r w:rsidRPr="00F12FD6">
        <w:rPr>
          <w:sz w:val="24"/>
          <w:szCs w:val="24"/>
        </w:rPr>
        <w:t>, hypertension, forhøjet totalkolesterolniveau, lavt HDL kolesterolniveau eller rygning).</w:t>
      </w:r>
    </w:p>
    <w:p w14:paraId="71D7D451" w14:textId="3BC46A5F" w:rsidR="00D2303A" w:rsidRDefault="00D2303A" w:rsidP="008D7C83">
      <w:pPr>
        <w:ind w:left="851"/>
        <w:rPr>
          <w:sz w:val="24"/>
          <w:szCs w:val="24"/>
        </w:rPr>
      </w:pPr>
      <w:r w:rsidRPr="00F12FD6">
        <w:rPr>
          <w:sz w:val="24"/>
          <w:szCs w:val="24"/>
        </w:rPr>
        <w:t xml:space="preserve">Studiet viste, at </w:t>
      </w:r>
      <w:proofErr w:type="spellStart"/>
      <w:r w:rsidRPr="00F12FD6">
        <w:rPr>
          <w:sz w:val="24"/>
          <w:szCs w:val="24"/>
        </w:rPr>
        <w:t>ramipril</w:t>
      </w:r>
      <w:proofErr w:type="spellEnd"/>
      <w:r w:rsidRPr="00F12FD6">
        <w:rPr>
          <w:sz w:val="24"/>
          <w:szCs w:val="24"/>
        </w:rPr>
        <w:t xml:space="preserve"> statistisk signifikant nedsatte forekomsten af myokardieinfarkt, død af </w:t>
      </w:r>
      <w:proofErr w:type="spellStart"/>
      <w:r w:rsidRPr="00F12FD6">
        <w:rPr>
          <w:sz w:val="24"/>
          <w:szCs w:val="24"/>
        </w:rPr>
        <w:t>kardiovaskulære</w:t>
      </w:r>
      <w:proofErr w:type="spellEnd"/>
      <w:r w:rsidRPr="00F12FD6">
        <w:rPr>
          <w:sz w:val="24"/>
          <w:szCs w:val="24"/>
        </w:rPr>
        <w:t xml:space="preserve"> årsager og slagtilfælde, isoleret eller kombineret (primære </w:t>
      </w:r>
      <w:proofErr w:type="spellStart"/>
      <w:r w:rsidRPr="00F12FD6">
        <w:rPr>
          <w:sz w:val="24"/>
          <w:szCs w:val="24"/>
        </w:rPr>
        <w:t>kom-binerede</w:t>
      </w:r>
      <w:proofErr w:type="spellEnd"/>
      <w:r w:rsidRPr="00F12FD6">
        <w:rPr>
          <w:sz w:val="24"/>
          <w:szCs w:val="24"/>
        </w:rPr>
        <w:t xml:space="preserve"> events).</w:t>
      </w:r>
    </w:p>
    <w:p w14:paraId="7931A2D6" w14:textId="77777777" w:rsidR="00DC2079" w:rsidRPr="00F12FD6" w:rsidRDefault="00DC2079" w:rsidP="008D7C83">
      <w:pPr>
        <w:ind w:left="851"/>
        <w:rPr>
          <w:sz w:val="24"/>
          <w:szCs w:val="24"/>
        </w:rPr>
      </w:pPr>
    </w:p>
    <w:p w14:paraId="7FF90B30" w14:textId="77777777" w:rsidR="00D2303A" w:rsidRPr="00F12FD6" w:rsidRDefault="00D2303A" w:rsidP="008D7C83">
      <w:pPr>
        <w:rPr>
          <w:b/>
          <w:bCs/>
          <w:sz w:val="24"/>
          <w:szCs w:val="24"/>
        </w:rPr>
      </w:pPr>
      <w:r w:rsidRPr="00F12FD6">
        <w:rPr>
          <w:b/>
          <w:bCs/>
          <w:sz w:val="24"/>
          <w:szCs w:val="24"/>
        </w:rPr>
        <w:t>HOPE-studiet: Hovedresultater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0" w:type="dxa"/>
          <w:bottom w:w="11" w:type="dxa"/>
          <w:right w:w="0" w:type="dxa"/>
        </w:tblCellMar>
        <w:tblLook w:val="04A0" w:firstRow="1" w:lastRow="0" w:firstColumn="1" w:lastColumn="0" w:noHBand="0" w:noVBand="1"/>
      </w:tblPr>
      <w:tblGrid>
        <w:gridCol w:w="3912"/>
        <w:gridCol w:w="1204"/>
        <w:gridCol w:w="1354"/>
        <w:gridCol w:w="1954"/>
        <w:gridCol w:w="1204"/>
      </w:tblGrid>
      <w:tr w:rsidR="00D2303A" w:rsidRPr="00F12FD6" w14:paraId="46B6B914" w14:textId="77777777" w:rsidTr="00DC2079">
        <w:trPr>
          <w:trHeight w:val="489"/>
        </w:trPr>
        <w:tc>
          <w:tcPr>
            <w:tcW w:w="2032" w:type="pct"/>
            <w:vMerge w:val="restart"/>
            <w:tcBorders>
              <w:top w:val="single" w:sz="4" w:space="0" w:color="auto"/>
              <w:left w:val="single" w:sz="4" w:space="0" w:color="auto"/>
              <w:bottom w:val="single" w:sz="4" w:space="0" w:color="auto"/>
              <w:right w:val="single" w:sz="4" w:space="0" w:color="auto"/>
            </w:tcBorders>
            <w:vAlign w:val="center"/>
            <w:hideMark/>
          </w:tcPr>
          <w:p w14:paraId="102F3E48" w14:textId="77777777" w:rsidR="00D2303A" w:rsidRPr="00F12FD6" w:rsidRDefault="00D2303A" w:rsidP="008D7C83">
            <w:pPr>
              <w:rPr>
                <w:sz w:val="24"/>
                <w:szCs w:val="24"/>
              </w:rPr>
            </w:pPr>
            <w:r w:rsidRPr="00F12FD6">
              <w:rPr>
                <w:b/>
                <w:bCs/>
                <w:sz w:val="24"/>
                <w:szCs w:val="24"/>
              </w:rPr>
              <w:t>Alle patienter</w:t>
            </w:r>
          </w:p>
        </w:tc>
        <w:tc>
          <w:tcPr>
            <w:tcW w:w="625" w:type="pct"/>
            <w:tcBorders>
              <w:top w:val="single" w:sz="4" w:space="0" w:color="auto"/>
              <w:left w:val="single" w:sz="4" w:space="0" w:color="auto"/>
              <w:bottom w:val="single" w:sz="4" w:space="0" w:color="auto"/>
              <w:right w:val="single" w:sz="4" w:space="0" w:color="auto"/>
            </w:tcBorders>
            <w:vAlign w:val="center"/>
            <w:hideMark/>
          </w:tcPr>
          <w:p w14:paraId="7F74FDC9" w14:textId="77777777" w:rsidR="00D2303A" w:rsidRPr="00F12FD6" w:rsidRDefault="00D2303A" w:rsidP="008D7C83">
            <w:pPr>
              <w:rPr>
                <w:b/>
                <w:sz w:val="24"/>
                <w:szCs w:val="24"/>
              </w:rPr>
            </w:pPr>
            <w:proofErr w:type="spellStart"/>
            <w:r w:rsidRPr="00F12FD6">
              <w:rPr>
                <w:b/>
                <w:sz w:val="24"/>
                <w:szCs w:val="24"/>
              </w:rPr>
              <w:t>Ramipril</w:t>
            </w:r>
            <w:proofErr w:type="spellEnd"/>
          </w:p>
          <w:p w14:paraId="4638F99C" w14:textId="77777777" w:rsidR="00D2303A" w:rsidRPr="00F12FD6" w:rsidRDefault="00D2303A" w:rsidP="008D7C83">
            <w:pPr>
              <w:rPr>
                <w:b/>
                <w:sz w:val="24"/>
                <w:szCs w:val="24"/>
              </w:rPr>
            </w:pPr>
            <w:r w:rsidRPr="00F12FD6">
              <w:rPr>
                <w:b/>
                <w:sz w:val="24"/>
                <w:szCs w:val="24"/>
              </w:rPr>
              <w:t>%</w:t>
            </w:r>
          </w:p>
        </w:tc>
        <w:tc>
          <w:tcPr>
            <w:tcW w:w="703" w:type="pct"/>
            <w:tcBorders>
              <w:top w:val="single" w:sz="4" w:space="0" w:color="auto"/>
              <w:left w:val="single" w:sz="4" w:space="0" w:color="auto"/>
              <w:bottom w:val="single" w:sz="4" w:space="0" w:color="auto"/>
              <w:right w:val="single" w:sz="4" w:space="0" w:color="auto"/>
            </w:tcBorders>
            <w:vAlign w:val="center"/>
            <w:hideMark/>
          </w:tcPr>
          <w:p w14:paraId="12CCBD9A" w14:textId="77777777" w:rsidR="00D2303A" w:rsidRPr="00F12FD6" w:rsidRDefault="00D2303A" w:rsidP="008D7C83">
            <w:pPr>
              <w:rPr>
                <w:b/>
                <w:sz w:val="24"/>
                <w:szCs w:val="24"/>
              </w:rPr>
            </w:pPr>
            <w:r w:rsidRPr="00F12FD6">
              <w:rPr>
                <w:b/>
                <w:sz w:val="24"/>
                <w:szCs w:val="24"/>
              </w:rPr>
              <w:t>Placebo</w:t>
            </w:r>
          </w:p>
          <w:p w14:paraId="53926DF3" w14:textId="77777777" w:rsidR="00D2303A" w:rsidRPr="00F12FD6" w:rsidRDefault="00D2303A" w:rsidP="008D7C83">
            <w:pPr>
              <w:rPr>
                <w:b/>
                <w:sz w:val="24"/>
                <w:szCs w:val="24"/>
              </w:rPr>
            </w:pPr>
            <w:r w:rsidRPr="00F12FD6">
              <w:rPr>
                <w:b/>
                <w:sz w:val="24"/>
                <w:szCs w:val="24"/>
              </w:rPr>
              <w:t>%</w:t>
            </w:r>
          </w:p>
        </w:tc>
        <w:tc>
          <w:tcPr>
            <w:tcW w:w="1015" w:type="pct"/>
            <w:tcBorders>
              <w:top w:val="single" w:sz="4" w:space="0" w:color="auto"/>
              <w:left w:val="single" w:sz="4" w:space="0" w:color="auto"/>
              <w:bottom w:val="single" w:sz="4" w:space="0" w:color="auto"/>
              <w:right w:val="single" w:sz="4" w:space="0" w:color="auto"/>
            </w:tcBorders>
            <w:vAlign w:val="center"/>
            <w:hideMark/>
          </w:tcPr>
          <w:p w14:paraId="3390D52D" w14:textId="77777777" w:rsidR="00D2303A" w:rsidRPr="00F12FD6" w:rsidRDefault="00D2303A" w:rsidP="008D7C83">
            <w:pPr>
              <w:rPr>
                <w:b/>
                <w:sz w:val="24"/>
                <w:szCs w:val="24"/>
              </w:rPr>
            </w:pPr>
            <w:r w:rsidRPr="00F12FD6">
              <w:rPr>
                <w:b/>
                <w:sz w:val="24"/>
                <w:szCs w:val="24"/>
              </w:rPr>
              <w:t>Relativ risiko</w:t>
            </w:r>
          </w:p>
          <w:p w14:paraId="564EE747" w14:textId="77777777" w:rsidR="00D2303A" w:rsidRPr="00F12FD6" w:rsidRDefault="00D2303A" w:rsidP="008D7C83">
            <w:pPr>
              <w:rPr>
                <w:b/>
                <w:sz w:val="24"/>
                <w:szCs w:val="24"/>
              </w:rPr>
            </w:pPr>
            <w:r w:rsidRPr="00F12FD6">
              <w:rPr>
                <w:b/>
                <w:sz w:val="24"/>
                <w:szCs w:val="24"/>
              </w:rPr>
              <w:t xml:space="preserve">(95 % </w:t>
            </w:r>
            <w:proofErr w:type="spellStart"/>
            <w:r w:rsidRPr="00F12FD6">
              <w:rPr>
                <w:b/>
                <w:sz w:val="24"/>
                <w:szCs w:val="24"/>
              </w:rPr>
              <w:t>konfidens</w:t>
            </w:r>
            <w:proofErr w:type="spellEnd"/>
            <w:r w:rsidRPr="00F12FD6">
              <w:rPr>
                <w:b/>
                <w:sz w:val="24"/>
                <w:szCs w:val="24"/>
              </w:rPr>
              <w:t>-</w:t>
            </w:r>
          </w:p>
          <w:p w14:paraId="2C0B7705" w14:textId="77777777" w:rsidR="00D2303A" w:rsidRPr="00F12FD6" w:rsidRDefault="00D2303A" w:rsidP="008D7C83">
            <w:pPr>
              <w:rPr>
                <w:b/>
                <w:sz w:val="24"/>
                <w:szCs w:val="24"/>
              </w:rPr>
            </w:pPr>
            <w:r w:rsidRPr="00F12FD6">
              <w:rPr>
                <w:b/>
                <w:sz w:val="24"/>
                <w:szCs w:val="24"/>
              </w:rPr>
              <w:t>interval)</w:t>
            </w:r>
          </w:p>
        </w:tc>
        <w:tc>
          <w:tcPr>
            <w:tcW w:w="625" w:type="pct"/>
            <w:tcBorders>
              <w:top w:val="single" w:sz="4" w:space="0" w:color="auto"/>
              <w:left w:val="single" w:sz="4" w:space="0" w:color="auto"/>
              <w:bottom w:val="single" w:sz="4" w:space="0" w:color="auto"/>
              <w:right w:val="single" w:sz="4" w:space="0" w:color="auto"/>
            </w:tcBorders>
            <w:vAlign w:val="center"/>
            <w:hideMark/>
          </w:tcPr>
          <w:p w14:paraId="4EE1C7B1" w14:textId="77777777" w:rsidR="00D2303A" w:rsidRPr="00F12FD6" w:rsidRDefault="00D2303A" w:rsidP="008D7C83">
            <w:pPr>
              <w:rPr>
                <w:b/>
                <w:sz w:val="24"/>
                <w:szCs w:val="24"/>
              </w:rPr>
            </w:pPr>
            <w:proofErr w:type="spellStart"/>
            <w:r w:rsidRPr="00F12FD6">
              <w:rPr>
                <w:b/>
                <w:sz w:val="24"/>
                <w:szCs w:val="24"/>
              </w:rPr>
              <w:t>p-værdi</w:t>
            </w:r>
            <w:proofErr w:type="spellEnd"/>
          </w:p>
        </w:tc>
      </w:tr>
      <w:tr w:rsidR="00D2303A" w:rsidRPr="00F12FD6" w14:paraId="08CAEBB3" w14:textId="77777777" w:rsidTr="00DC2079">
        <w:trPr>
          <w:trHeight w:hRule="exact" w:val="266"/>
        </w:trPr>
        <w:tc>
          <w:tcPr>
            <w:tcW w:w="2032" w:type="pct"/>
            <w:vMerge/>
            <w:tcBorders>
              <w:top w:val="single" w:sz="4" w:space="0" w:color="auto"/>
              <w:left w:val="single" w:sz="4" w:space="0" w:color="auto"/>
              <w:bottom w:val="single" w:sz="4" w:space="0" w:color="auto"/>
              <w:right w:val="single" w:sz="4" w:space="0" w:color="auto"/>
            </w:tcBorders>
            <w:vAlign w:val="center"/>
            <w:hideMark/>
          </w:tcPr>
          <w:p w14:paraId="6AE6FDB1" w14:textId="77777777" w:rsidR="00D2303A" w:rsidRPr="00F12FD6" w:rsidRDefault="00D2303A">
            <w:pPr>
              <w:rPr>
                <w:sz w:val="24"/>
                <w:szCs w:val="24"/>
                <w:lang w:eastAsia="ro-RO"/>
              </w:rPr>
            </w:pPr>
          </w:p>
        </w:tc>
        <w:tc>
          <w:tcPr>
            <w:tcW w:w="625" w:type="pct"/>
            <w:tcBorders>
              <w:top w:val="single" w:sz="4" w:space="0" w:color="auto"/>
              <w:left w:val="single" w:sz="4" w:space="0" w:color="auto"/>
              <w:bottom w:val="single" w:sz="4" w:space="0" w:color="auto"/>
              <w:right w:val="single" w:sz="4" w:space="0" w:color="auto"/>
            </w:tcBorders>
            <w:vAlign w:val="center"/>
            <w:hideMark/>
          </w:tcPr>
          <w:p w14:paraId="3A9F6FCE" w14:textId="77777777" w:rsidR="00D2303A" w:rsidRPr="00F12FD6" w:rsidRDefault="00D2303A">
            <w:pPr>
              <w:jc w:val="center"/>
              <w:rPr>
                <w:sz w:val="24"/>
                <w:szCs w:val="24"/>
              </w:rPr>
            </w:pPr>
            <w:r w:rsidRPr="00F12FD6">
              <w:rPr>
                <w:b/>
                <w:bCs/>
                <w:sz w:val="24"/>
                <w:szCs w:val="24"/>
              </w:rPr>
              <w:t>n=4.645</w:t>
            </w:r>
          </w:p>
        </w:tc>
        <w:tc>
          <w:tcPr>
            <w:tcW w:w="703" w:type="pct"/>
            <w:tcBorders>
              <w:top w:val="single" w:sz="4" w:space="0" w:color="auto"/>
              <w:left w:val="single" w:sz="4" w:space="0" w:color="auto"/>
              <w:bottom w:val="single" w:sz="4" w:space="0" w:color="auto"/>
              <w:right w:val="single" w:sz="4" w:space="0" w:color="auto"/>
            </w:tcBorders>
            <w:vAlign w:val="center"/>
            <w:hideMark/>
          </w:tcPr>
          <w:p w14:paraId="1190F919" w14:textId="77777777" w:rsidR="00D2303A" w:rsidRPr="00F12FD6" w:rsidRDefault="00D2303A">
            <w:pPr>
              <w:jc w:val="center"/>
              <w:rPr>
                <w:sz w:val="24"/>
                <w:szCs w:val="24"/>
              </w:rPr>
            </w:pPr>
            <w:r w:rsidRPr="00F12FD6">
              <w:rPr>
                <w:b/>
                <w:bCs/>
                <w:sz w:val="24"/>
                <w:szCs w:val="24"/>
              </w:rPr>
              <w:t>N=4.652</w:t>
            </w:r>
          </w:p>
        </w:tc>
        <w:tc>
          <w:tcPr>
            <w:tcW w:w="1015" w:type="pct"/>
            <w:tcBorders>
              <w:top w:val="single" w:sz="4" w:space="0" w:color="auto"/>
              <w:left w:val="single" w:sz="4" w:space="0" w:color="auto"/>
              <w:bottom w:val="single" w:sz="4" w:space="0" w:color="auto"/>
              <w:right w:val="single" w:sz="4" w:space="0" w:color="auto"/>
            </w:tcBorders>
            <w:vAlign w:val="center"/>
          </w:tcPr>
          <w:p w14:paraId="01B0DD99" w14:textId="77777777" w:rsidR="00D2303A" w:rsidRPr="00F12FD6" w:rsidRDefault="00D2303A">
            <w:pPr>
              <w:jc w:val="center"/>
              <w:rPr>
                <w:sz w:val="24"/>
                <w:szCs w:val="24"/>
                <w:lang w:val="en-US"/>
              </w:rPr>
            </w:pPr>
          </w:p>
        </w:tc>
        <w:tc>
          <w:tcPr>
            <w:tcW w:w="625" w:type="pct"/>
            <w:tcBorders>
              <w:top w:val="single" w:sz="4" w:space="0" w:color="auto"/>
              <w:left w:val="single" w:sz="4" w:space="0" w:color="auto"/>
              <w:bottom w:val="single" w:sz="4" w:space="0" w:color="auto"/>
              <w:right w:val="single" w:sz="4" w:space="0" w:color="auto"/>
            </w:tcBorders>
            <w:vAlign w:val="center"/>
          </w:tcPr>
          <w:p w14:paraId="7931DBD1" w14:textId="77777777" w:rsidR="00D2303A" w:rsidRPr="00F12FD6" w:rsidRDefault="00D2303A">
            <w:pPr>
              <w:jc w:val="center"/>
              <w:rPr>
                <w:sz w:val="24"/>
                <w:szCs w:val="24"/>
                <w:lang w:val="en-US"/>
              </w:rPr>
            </w:pPr>
          </w:p>
        </w:tc>
      </w:tr>
      <w:tr w:rsidR="00D2303A" w:rsidRPr="00F12FD6" w14:paraId="0CC1C9D7" w14:textId="77777777" w:rsidTr="00DC2079">
        <w:trPr>
          <w:trHeight w:val="282"/>
        </w:trPr>
        <w:tc>
          <w:tcPr>
            <w:tcW w:w="2032" w:type="pct"/>
            <w:tcBorders>
              <w:top w:val="single" w:sz="4" w:space="0" w:color="auto"/>
              <w:left w:val="single" w:sz="4" w:space="0" w:color="auto"/>
              <w:bottom w:val="single" w:sz="4" w:space="0" w:color="auto"/>
              <w:right w:val="single" w:sz="4" w:space="0" w:color="auto"/>
            </w:tcBorders>
            <w:hideMark/>
          </w:tcPr>
          <w:p w14:paraId="6BC0E580" w14:textId="77777777" w:rsidR="00D2303A" w:rsidRPr="00F12FD6" w:rsidRDefault="00D2303A">
            <w:pPr>
              <w:jc w:val="both"/>
              <w:rPr>
                <w:sz w:val="24"/>
                <w:szCs w:val="24"/>
              </w:rPr>
            </w:pPr>
            <w:r w:rsidRPr="00F12FD6">
              <w:rPr>
                <w:b/>
                <w:bCs/>
                <w:sz w:val="24"/>
                <w:szCs w:val="24"/>
              </w:rPr>
              <w:t>Primært kombinerede hændelser</w:t>
            </w:r>
          </w:p>
        </w:tc>
        <w:tc>
          <w:tcPr>
            <w:tcW w:w="625" w:type="pct"/>
            <w:tcBorders>
              <w:top w:val="single" w:sz="4" w:space="0" w:color="auto"/>
              <w:left w:val="single" w:sz="4" w:space="0" w:color="auto"/>
              <w:bottom w:val="single" w:sz="4" w:space="0" w:color="auto"/>
              <w:right w:val="single" w:sz="4" w:space="0" w:color="auto"/>
            </w:tcBorders>
            <w:vAlign w:val="center"/>
            <w:hideMark/>
          </w:tcPr>
          <w:p w14:paraId="62315789" w14:textId="77777777" w:rsidR="00D2303A" w:rsidRPr="00F12FD6" w:rsidRDefault="00D2303A">
            <w:pPr>
              <w:jc w:val="center"/>
              <w:rPr>
                <w:sz w:val="24"/>
                <w:szCs w:val="24"/>
              </w:rPr>
            </w:pPr>
            <w:r w:rsidRPr="00F12FD6">
              <w:rPr>
                <w:b/>
                <w:bCs/>
                <w:sz w:val="24"/>
                <w:szCs w:val="24"/>
              </w:rPr>
              <w:t>14,0</w:t>
            </w:r>
          </w:p>
        </w:tc>
        <w:tc>
          <w:tcPr>
            <w:tcW w:w="703" w:type="pct"/>
            <w:tcBorders>
              <w:top w:val="single" w:sz="4" w:space="0" w:color="auto"/>
              <w:left w:val="single" w:sz="4" w:space="0" w:color="auto"/>
              <w:bottom w:val="single" w:sz="4" w:space="0" w:color="auto"/>
              <w:right w:val="single" w:sz="4" w:space="0" w:color="auto"/>
            </w:tcBorders>
            <w:vAlign w:val="center"/>
            <w:hideMark/>
          </w:tcPr>
          <w:p w14:paraId="19F7FC50" w14:textId="77777777" w:rsidR="00D2303A" w:rsidRPr="00F12FD6" w:rsidRDefault="00D2303A">
            <w:pPr>
              <w:jc w:val="center"/>
              <w:rPr>
                <w:sz w:val="24"/>
                <w:szCs w:val="24"/>
              </w:rPr>
            </w:pPr>
            <w:r w:rsidRPr="00F12FD6">
              <w:rPr>
                <w:b/>
                <w:bCs/>
                <w:sz w:val="24"/>
                <w:szCs w:val="24"/>
              </w:rPr>
              <w:t>17,8</w:t>
            </w:r>
          </w:p>
        </w:tc>
        <w:tc>
          <w:tcPr>
            <w:tcW w:w="1015" w:type="pct"/>
            <w:tcBorders>
              <w:top w:val="single" w:sz="4" w:space="0" w:color="auto"/>
              <w:left w:val="single" w:sz="4" w:space="0" w:color="auto"/>
              <w:bottom w:val="single" w:sz="4" w:space="0" w:color="auto"/>
              <w:right w:val="single" w:sz="4" w:space="0" w:color="auto"/>
            </w:tcBorders>
            <w:vAlign w:val="center"/>
            <w:hideMark/>
          </w:tcPr>
          <w:p w14:paraId="59973EDC" w14:textId="77777777" w:rsidR="00D2303A" w:rsidRPr="00F12FD6" w:rsidRDefault="00D2303A">
            <w:pPr>
              <w:jc w:val="center"/>
              <w:rPr>
                <w:sz w:val="24"/>
                <w:szCs w:val="24"/>
              </w:rPr>
            </w:pPr>
            <w:r w:rsidRPr="00F12FD6">
              <w:rPr>
                <w:b/>
                <w:bCs/>
                <w:sz w:val="24"/>
                <w:szCs w:val="24"/>
              </w:rPr>
              <w:t>0,78 (0,70-0,86)</w:t>
            </w:r>
          </w:p>
        </w:tc>
        <w:tc>
          <w:tcPr>
            <w:tcW w:w="625" w:type="pct"/>
            <w:tcBorders>
              <w:top w:val="single" w:sz="4" w:space="0" w:color="auto"/>
              <w:left w:val="single" w:sz="4" w:space="0" w:color="auto"/>
              <w:bottom w:val="single" w:sz="4" w:space="0" w:color="auto"/>
              <w:right w:val="single" w:sz="4" w:space="0" w:color="auto"/>
            </w:tcBorders>
            <w:vAlign w:val="center"/>
            <w:hideMark/>
          </w:tcPr>
          <w:p w14:paraId="1A5367CC" w14:textId="77777777" w:rsidR="00D2303A" w:rsidRPr="00F12FD6" w:rsidRDefault="00D2303A">
            <w:pPr>
              <w:jc w:val="center"/>
              <w:rPr>
                <w:sz w:val="24"/>
                <w:szCs w:val="24"/>
              </w:rPr>
            </w:pPr>
            <w:r w:rsidRPr="00F12FD6">
              <w:rPr>
                <w:b/>
                <w:bCs/>
                <w:sz w:val="24"/>
                <w:szCs w:val="24"/>
              </w:rPr>
              <w:t>&lt;0,001</w:t>
            </w:r>
          </w:p>
        </w:tc>
      </w:tr>
      <w:tr w:rsidR="00D2303A" w:rsidRPr="00F12FD6" w14:paraId="35AD293A" w14:textId="77777777" w:rsidTr="00DC2079">
        <w:trPr>
          <w:trHeight w:val="282"/>
        </w:trPr>
        <w:tc>
          <w:tcPr>
            <w:tcW w:w="2032" w:type="pct"/>
            <w:tcBorders>
              <w:top w:val="single" w:sz="4" w:space="0" w:color="auto"/>
              <w:left w:val="single" w:sz="4" w:space="0" w:color="auto"/>
              <w:bottom w:val="single" w:sz="4" w:space="0" w:color="auto"/>
              <w:right w:val="single" w:sz="4" w:space="0" w:color="auto"/>
            </w:tcBorders>
            <w:hideMark/>
          </w:tcPr>
          <w:p w14:paraId="0168F096" w14:textId="77777777" w:rsidR="00D2303A" w:rsidRPr="00F12FD6" w:rsidRDefault="00D2303A">
            <w:pPr>
              <w:jc w:val="both"/>
              <w:rPr>
                <w:sz w:val="24"/>
                <w:szCs w:val="24"/>
              </w:rPr>
            </w:pPr>
            <w:r w:rsidRPr="00F12FD6">
              <w:rPr>
                <w:i/>
                <w:iCs/>
                <w:sz w:val="24"/>
                <w:szCs w:val="24"/>
              </w:rPr>
              <w:t>Myokardieinfarkt</w:t>
            </w:r>
          </w:p>
        </w:tc>
        <w:tc>
          <w:tcPr>
            <w:tcW w:w="625" w:type="pct"/>
            <w:tcBorders>
              <w:top w:val="single" w:sz="4" w:space="0" w:color="auto"/>
              <w:left w:val="single" w:sz="4" w:space="0" w:color="auto"/>
              <w:bottom w:val="single" w:sz="4" w:space="0" w:color="auto"/>
              <w:right w:val="single" w:sz="4" w:space="0" w:color="auto"/>
            </w:tcBorders>
            <w:vAlign w:val="center"/>
            <w:hideMark/>
          </w:tcPr>
          <w:p w14:paraId="31E255CD" w14:textId="77777777" w:rsidR="00D2303A" w:rsidRPr="00F12FD6" w:rsidRDefault="00D2303A">
            <w:pPr>
              <w:jc w:val="center"/>
              <w:rPr>
                <w:sz w:val="24"/>
                <w:szCs w:val="24"/>
              </w:rPr>
            </w:pPr>
            <w:r w:rsidRPr="00F12FD6">
              <w:rPr>
                <w:i/>
                <w:iCs/>
                <w:sz w:val="24"/>
                <w:szCs w:val="24"/>
              </w:rPr>
              <w:t>9,9</w:t>
            </w:r>
          </w:p>
        </w:tc>
        <w:tc>
          <w:tcPr>
            <w:tcW w:w="703" w:type="pct"/>
            <w:tcBorders>
              <w:top w:val="single" w:sz="4" w:space="0" w:color="auto"/>
              <w:left w:val="single" w:sz="4" w:space="0" w:color="auto"/>
              <w:bottom w:val="single" w:sz="4" w:space="0" w:color="auto"/>
              <w:right w:val="single" w:sz="4" w:space="0" w:color="auto"/>
            </w:tcBorders>
            <w:vAlign w:val="center"/>
            <w:hideMark/>
          </w:tcPr>
          <w:p w14:paraId="530272DD" w14:textId="77777777" w:rsidR="00D2303A" w:rsidRPr="00F12FD6" w:rsidRDefault="00D2303A">
            <w:pPr>
              <w:jc w:val="center"/>
              <w:rPr>
                <w:sz w:val="24"/>
                <w:szCs w:val="24"/>
              </w:rPr>
            </w:pPr>
            <w:r w:rsidRPr="00F12FD6">
              <w:rPr>
                <w:i/>
                <w:iCs/>
                <w:sz w:val="24"/>
                <w:szCs w:val="24"/>
              </w:rPr>
              <w:t>12,3</w:t>
            </w:r>
          </w:p>
        </w:tc>
        <w:tc>
          <w:tcPr>
            <w:tcW w:w="1015" w:type="pct"/>
            <w:tcBorders>
              <w:top w:val="single" w:sz="4" w:space="0" w:color="auto"/>
              <w:left w:val="single" w:sz="4" w:space="0" w:color="auto"/>
              <w:bottom w:val="single" w:sz="4" w:space="0" w:color="auto"/>
              <w:right w:val="single" w:sz="4" w:space="0" w:color="auto"/>
            </w:tcBorders>
            <w:vAlign w:val="center"/>
            <w:hideMark/>
          </w:tcPr>
          <w:p w14:paraId="1FFD6204" w14:textId="77777777" w:rsidR="00D2303A" w:rsidRPr="00F12FD6" w:rsidRDefault="00D2303A">
            <w:pPr>
              <w:jc w:val="center"/>
              <w:rPr>
                <w:sz w:val="24"/>
                <w:szCs w:val="24"/>
              </w:rPr>
            </w:pPr>
            <w:r w:rsidRPr="00F12FD6">
              <w:rPr>
                <w:i/>
                <w:iCs/>
                <w:sz w:val="24"/>
                <w:szCs w:val="24"/>
              </w:rPr>
              <w:t>0,80 (0,70-0,90)</w:t>
            </w:r>
          </w:p>
        </w:tc>
        <w:tc>
          <w:tcPr>
            <w:tcW w:w="625" w:type="pct"/>
            <w:tcBorders>
              <w:top w:val="single" w:sz="4" w:space="0" w:color="auto"/>
              <w:left w:val="single" w:sz="4" w:space="0" w:color="auto"/>
              <w:bottom w:val="single" w:sz="4" w:space="0" w:color="auto"/>
              <w:right w:val="single" w:sz="4" w:space="0" w:color="auto"/>
            </w:tcBorders>
            <w:vAlign w:val="center"/>
            <w:hideMark/>
          </w:tcPr>
          <w:p w14:paraId="56A5E774" w14:textId="77777777" w:rsidR="00D2303A" w:rsidRPr="00F12FD6" w:rsidRDefault="00D2303A">
            <w:pPr>
              <w:jc w:val="center"/>
              <w:rPr>
                <w:sz w:val="24"/>
                <w:szCs w:val="24"/>
              </w:rPr>
            </w:pPr>
            <w:r w:rsidRPr="00F12FD6">
              <w:rPr>
                <w:i/>
                <w:iCs/>
                <w:sz w:val="24"/>
                <w:szCs w:val="24"/>
              </w:rPr>
              <w:t>&lt;0,001</w:t>
            </w:r>
          </w:p>
        </w:tc>
      </w:tr>
      <w:tr w:rsidR="00D2303A" w:rsidRPr="00F12FD6" w14:paraId="4A402B43" w14:textId="77777777" w:rsidTr="00DC2079">
        <w:trPr>
          <w:trHeight w:val="282"/>
        </w:trPr>
        <w:tc>
          <w:tcPr>
            <w:tcW w:w="2032" w:type="pct"/>
            <w:tcBorders>
              <w:top w:val="single" w:sz="4" w:space="0" w:color="auto"/>
              <w:left w:val="single" w:sz="4" w:space="0" w:color="auto"/>
              <w:bottom w:val="single" w:sz="4" w:space="0" w:color="auto"/>
              <w:right w:val="single" w:sz="4" w:space="0" w:color="auto"/>
            </w:tcBorders>
            <w:hideMark/>
          </w:tcPr>
          <w:p w14:paraId="4F1378FA" w14:textId="77777777" w:rsidR="00D2303A" w:rsidRPr="00F12FD6" w:rsidRDefault="00D2303A">
            <w:pPr>
              <w:jc w:val="both"/>
              <w:rPr>
                <w:sz w:val="24"/>
                <w:szCs w:val="24"/>
              </w:rPr>
            </w:pPr>
            <w:r w:rsidRPr="00F12FD6">
              <w:rPr>
                <w:i/>
                <w:iCs/>
                <w:sz w:val="24"/>
                <w:szCs w:val="24"/>
              </w:rPr>
              <w:t xml:space="preserve">Død af </w:t>
            </w:r>
            <w:proofErr w:type="spellStart"/>
            <w:r w:rsidRPr="00F12FD6">
              <w:rPr>
                <w:i/>
                <w:iCs/>
                <w:sz w:val="24"/>
                <w:szCs w:val="24"/>
              </w:rPr>
              <w:t>kardiovaskulære</w:t>
            </w:r>
            <w:proofErr w:type="spellEnd"/>
            <w:r w:rsidRPr="00F12FD6">
              <w:rPr>
                <w:sz w:val="24"/>
                <w:szCs w:val="24"/>
              </w:rPr>
              <w:t xml:space="preserve"> </w:t>
            </w:r>
            <w:r w:rsidRPr="00F12FD6">
              <w:rPr>
                <w:i/>
                <w:iCs/>
                <w:sz w:val="24"/>
                <w:szCs w:val="24"/>
              </w:rPr>
              <w:t>årsager</w:t>
            </w:r>
          </w:p>
        </w:tc>
        <w:tc>
          <w:tcPr>
            <w:tcW w:w="625" w:type="pct"/>
            <w:tcBorders>
              <w:top w:val="single" w:sz="4" w:space="0" w:color="auto"/>
              <w:left w:val="single" w:sz="4" w:space="0" w:color="auto"/>
              <w:bottom w:val="single" w:sz="4" w:space="0" w:color="auto"/>
              <w:right w:val="single" w:sz="4" w:space="0" w:color="auto"/>
            </w:tcBorders>
            <w:vAlign w:val="center"/>
            <w:hideMark/>
          </w:tcPr>
          <w:p w14:paraId="3914DFAB" w14:textId="77777777" w:rsidR="00D2303A" w:rsidRPr="00F12FD6" w:rsidRDefault="00D2303A">
            <w:pPr>
              <w:jc w:val="center"/>
              <w:rPr>
                <w:sz w:val="24"/>
                <w:szCs w:val="24"/>
              </w:rPr>
            </w:pPr>
            <w:r w:rsidRPr="00F12FD6">
              <w:rPr>
                <w:i/>
                <w:iCs/>
                <w:sz w:val="24"/>
                <w:szCs w:val="24"/>
              </w:rPr>
              <w:t>6,1</w:t>
            </w:r>
          </w:p>
        </w:tc>
        <w:tc>
          <w:tcPr>
            <w:tcW w:w="703" w:type="pct"/>
            <w:tcBorders>
              <w:top w:val="single" w:sz="4" w:space="0" w:color="auto"/>
              <w:left w:val="single" w:sz="4" w:space="0" w:color="auto"/>
              <w:bottom w:val="single" w:sz="4" w:space="0" w:color="auto"/>
              <w:right w:val="single" w:sz="4" w:space="0" w:color="auto"/>
            </w:tcBorders>
            <w:vAlign w:val="center"/>
            <w:hideMark/>
          </w:tcPr>
          <w:p w14:paraId="70D57C95" w14:textId="77777777" w:rsidR="00D2303A" w:rsidRPr="00F12FD6" w:rsidRDefault="00D2303A">
            <w:pPr>
              <w:jc w:val="center"/>
              <w:rPr>
                <w:sz w:val="24"/>
                <w:szCs w:val="24"/>
              </w:rPr>
            </w:pPr>
            <w:r w:rsidRPr="00F12FD6">
              <w:rPr>
                <w:i/>
                <w:iCs/>
                <w:sz w:val="24"/>
                <w:szCs w:val="24"/>
              </w:rPr>
              <w:t>8,1</w:t>
            </w:r>
          </w:p>
        </w:tc>
        <w:tc>
          <w:tcPr>
            <w:tcW w:w="1015" w:type="pct"/>
            <w:tcBorders>
              <w:top w:val="single" w:sz="4" w:space="0" w:color="auto"/>
              <w:left w:val="single" w:sz="4" w:space="0" w:color="auto"/>
              <w:bottom w:val="single" w:sz="4" w:space="0" w:color="auto"/>
              <w:right w:val="single" w:sz="4" w:space="0" w:color="auto"/>
            </w:tcBorders>
            <w:vAlign w:val="center"/>
            <w:hideMark/>
          </w:tcPr>
          <w:p w14:paraId="49195BAF" w14:textId="77777777" w:rsidR="00D2303A" w:rsidRPr="00F12FD6" w:rsidRDefault="00D2303A">
            <w:pPr>
              <w:jc w:val="center"/>
              <w:rPr>
                <w:sz w:val="24"/>
                <w:szCs w:val="24"/>
              </w:rPr>
            </w:pPr>
            <w:r w:rsidRPr="00F12FD6">
              <w:rPr>
                <w:i/>
                <w:iCs/>
                <w:sz w:val="24"/>
                <w:szCs w:val="24"/>
              </w:rPr>
              <w:t>0,74 (0,64-0,87)</w:t>
            </w:r>
          </w:p>
        </w:tc>
        <w:tc>
          <w:tcPr>
            <w:tcW w:w="625" w:type="pct"/>
            <w:tcBorders>
              <w:top w:val="single" w:sz="4" w:space="0" w:color="auto"/>
              <w:left w:val="single" w:sz="4" w:space="0" w:color="auto"/>
              <w:bottom w:val="single" w:sz="4" w:space="0" w:color="auto"/>
              <w:right w:val="single" w:sz="4" w:space="0" w:color="auto"/>
            </w:tcBorders>
            <w:vAlign w:val="center"/>
            <w:hideMark/>
          </w:tcPr>
          <w:p w14:paraId="6CDF36A4" w14:textId="77777777" w:rsidR="00D2303A" w:rsidRPr="00F12FD6" w:rsidRDefault="00D2303A">
            <w:pPr>
              <w:jc w:val="center"/>
              <w:rPr>
                <w:sz w:val="24"/>
                <w:szCs w:val="24"/>
              </w:rPr>
            </w:pPr>
            <w:r w:rsidRPr="00F12FD6">
              <w:rPr>
                <w:i/>
                <w:iCs/>
                <w:sz w:val="24"/>
                <w:szCs w:val="24"/>
              </w:rPr>
              <w:t>&lt;0,001</w:t>
            </w:r>
          </w:p>
        </w:tc>
      </w:tr>
      <w:tr w:rsidR="00D2303A" w:rsidRPr="00F12FD6" w14:paraId="7D651756" w14:textId="77777777" w:rsidTr="00DC2079">
        <w:trPr>
          <w:trHeight w:val="282"/>
        </w:trPr>
        <w:tc>
          <w:tcPr>
            <w:tcW w:w="2032" w:type="pct"/>
            <w:tcBorders>
              <w:top w:val="single" w:sz="4" w:space="0" w:color="auto"/>
              <w:left w:val="single" w:sz="4" w:space="0" w:color="auto"/>
              <w:bottom w:val="single" w:sz="4" w:space="0" w:color="auto"/>
              <w:right w:val="single" w:sz="4" w:space="0" w:color="auto"/>
            </w:tcBorders>
            <w:hideMark/>
          </w:tcPr>
          <w:p w14:paraId="1AC88295" w14:textId="77777777" w:rsidR="00D2303A" w:rsidRPr="00F12FD6" w:rsidRDefault="00D2303A">
            <w:pPr>
              <w:jc w:val="both"/>
              <w:rPr>
                <w:sz w:val="24"/>
                <w:szCs w:val="24"/>
              </w:rPr>
            </w:pPr>
            <w:r w:rsidRPr="00F12FD6">
              <w:rPr>
                <w:i/>
                <w:iCs/>
                <w:sz w:val="24"/>
                <w:szCs w:val="24"/>
              </w:rPr>
              <w:t>Slagtilfælde</w:t>
            </w:r>
          </w:p>
        </w:tc>
        <w:tc>
          <w:tcPr>
            <w:tcW w:w="625" w:type="pct"/>
            <w:tcBorders>
              <w:top w:val="single" w:sz="4" w:space="0" w:color="auto"/>
              <w:left w:val="single" w:sz="4" w:space="0" w:color="auto"/>
              <w:bottom w:val="single" w:sz="4" w:space="0" w:color="auto"/>
              <w:right w:val="single" w:sz="4" w:space="0" w:color="auto"/>
            </w:tcBorders>
            <w:vAlign w:val="center"/>
            <w:hideMark/>
          </w:tcPr>
          <w:p w14:paraId="19464E6C" w14:textId="77777777" w:rsidR="00D2303A" w:rsidRPr="00F12FD6" w:rsidRDefault="00D2303A">
            <w:pPr>
              <w:jc w:val="center"/>
              <w:rPr>
                <w:sz w:val="24"/>
                <w:szCs w:val="24"/>
              </w:rPr>
            </w:pPr>
            <w:r w:rsidRPr="00F12FD6">
              <w:rPr>
                <w:i/>
                <w:iCs/>
                <w:sz w:val="24"/>
                <w:szCs w:val="24"/>
              </w:rPr>
              <w:t>3,4</w:t>
            </w:r>
          </w:p>
        </w:tc>
        <w:tc>
          <w:tcPr>
            <w:tcW w:w="703" w:type="pct"/>
            <w:tcBorders>
              <w:top w:val="single" w:sz="4" w:space="0" w:color="auto"/>
              <w:left w:val="single" w:sz="4" w:space="0" w:color="auto"/>
              <w:bottom w:val="single" w:sz="4" w:space="0" w:color="auto"/>
              <w:right w:val="single" w:sz="4" w:space="0" w:color="auto"/>
            </w:tcBorders>
            <w:vAlign w:val="center"/>
            <w:hideMark/>
          </w:tcPr>
          <w:p w14:paraId="393B32DE" w14:textId="77777777" w:rsidR="00D2303A" w:rsidRPr="00F12FD6" w:rsidRDefault="00D2303A">
            <w:pPr>
              <w:jc w:val="center"/>
              <w:rPr>
                <w:sz w:val="24"/>
                <w:szCs w:val="24"/>
              </w:rPr>
            </w:pPr>
            <w:r w:rsidRPr="00F12FD6">
              <w:rPr>
                <w:i/>
                <w:iCs/>
                <w:sz w:val="24"/>
                <w:szCs w:val="24"/>
              </w:rPr>
              <w:t>4,9</w:t>
            </w:r>
          </w:p>
        </w:tc>
        <w:tc>
          <w:tcPr>
            <w:tcW w:w="1015" w:type="pct"/>
            <w:tcBorders>
              <w:top w:val="single" w:sz="4" w:space="0" w:color="auto"/>
              <w:left w:val="single" w:sz="4" w:space="0" w:color="auto"/>
              <w:bottom w:val="single" w:sz="4" w:space="0" w:color="auto"/>
              <w:right w:val="single" w:sz="4" w:space="0" w:color="auto"/>
            </w:tcBorders>
            <w:vAlign w:val="center"/>
            <w:hideMark/>
          </w:tcPr>
          <w:p w14:paraId="2F1B39E1" w14:textId="77777777" w:rsidR="00D2303A" w:rsidRPr="00F12FD6" w:rsidRDefault="00D2303A">
            <w:pPr>
              <w:jc w:val="center"/>
              <w:rPr>
                <w:sz w:val="24"/>
                <w:szCs w:val="24"/>
              </w:rPr>
            </w:pPr>
            <w:r w:rsidRPr="00F12FD6">
              <w:rPr>
                <w:i/>
                <w:iCs/>
                <w:sz w:val="24"/>
                <w:szCs w:val="24"/>
              </w:rPr>
              <w:t>0,68 (0,56-0,84)</w:t>
            </w:r>
          </w:p>
        </w:tc>
        <w:tc>
          <w:tcPr>
            <w:tcW w:w="625" w:type="pct"/>
            <w:tcBorders>
              <w:top w:val="single" w:sz="4" w:space="0" w:color="auto"/>
              <w:left w:val="single" w:sz="4" w:space="0" w:color="auto"/>
              <w:bottom w:val="single" w:sz="4" w:space="0" w:color="auto"/>
              <w:right w:val="single" w:sz="4" w:space="0" w:color="auto"/>
            </w:tcBorders>
            <w:vAlign w:val="center"/>
            <w:hideMark/>
          </w:tcPr>
          <w:p w14:paraId="42882E4D" w14:textId="77777777" w:rsidR="00D2303A" w:rsidRPr="00F12FD6" w:rsidRDefault="00D2303A">
            <w:pPr>
              <w:jc w:val="center"/>
              <w:rPr>
                <w:sz w:val="24"/>
                <w:szCs w:val="24"/>
              </w:rPr>
            </w:pPr>
            <w:r w:rsidRPr="00F12FD6">
              <w:rPr>
                <w:i/>
                <w:iCs/>
                <w:sz w:val="24"/>
                <w:szCs w:val="24"/>
              </w:rPr>
              <w:t>&lt;0,001</w:t>
            </w:r>
          </w:p>
        </w:tc>
      </w:tr>
      <w:tr w:rsidR="00D2303A" w:rsidRPr="00F12FD6" w14:paraId="0960BADF" w14:textId="77777777" w:rsidTr="00DC2079">
        <w:trPr>
          <w:trHeight w:val="282"/>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2A3D3681" w14:textId="77777777" w:rsidR="00D2303A" w:rsidRPr="00F12FD6" w:rsidRDefault="00D2303A">
            <w:pPr>
              <w:rPr>
                <w:sz w:val="24"/>
                <w:szCs w:val="24"/>
              </w:rPr>
            </w:pPr>
            <w:r w:rsidRPr="00F12FD6">
              <w:rPr>
                <w:b/>
                <w:bCs/>
                <w:sz w:val="24"/>
                <w:szCs w:val="24"/>
              </w:rPr>
              <w:t>Sekundære endepunkter</w:t>
            </w:r>
          </w:p>
        </w:tc>
      </w:tr>
      <w:tr w:rsidR="00D2303A" w:rsidRPr="00F12FD6" w14:paraId="18D2A111" w14:textId="77777777" w:rsidTr="00DC2079">
        <w:trPr>
          <w:trHeight w:val="282"/>
        </w:trPr>
        <w:tc>
          <w:tcPr>
            <w:tcW w:w="2032" w:type="pct"/>
            <w:tcBorders>
              <w:top w:val="single" w:sz="4" w:space="0" w:color="auto"/>
              <w:left w:val="single" w:sz="4" w:space="0" w:color="auto"/>
              <w:bottom w:val="single" w:sz="4" w:space="0" w:color="auto"/>
              <w:right w:val="single" w:sz="4" w:space="0" w:color="auto"/>
            </w:tcBorders>
            <w:hideMark/>
          </w:tcPr>
          <w:p w14:paraId="5EEDC5D7" w14:textId="77777777" w:rsidR="00D2303A" w:rsidRPr="00F12FD6" w:rsidRDefault="00D2303A">
            <w:pPr>
              <w:jc w:val="both"/>
              <w:rPr>
                <w:sz w:val="24"/>
                <w:szCs w:val="24"/>
              </w:rPr>
            </w:pPr>
            <w:r w:rsidRPr="00F12FD6">
              <w:rPr>
                <w:i/>
                <w:iCs/>
                <w:sz w:val="24"/>
                <w:szCs w:val="24"/>
              </w:rPr>
              <w:t>Død af vilkårlig årsag</w:t>
            </w:r>
          </w:p>
        </w:tc>
        <w:tc>
          <w:tcPr>
            <w:tcW w:w="625" w:type="pct"/>
            <w:tcBorders>
              <w:top w:val="single" w:sz="4" w:space="0" w:color="auto"/>
              <w:left w:val="single" w:sz="4" w:space="0" w:color="auto"/>
              <w:bottom w:val="single" w:sz="4" w:space="0" w:color="auto"/>
              <w:right w:val="single" w:sz="4" w:space="0" w:color="auto"/>
            </w:tcBorders>
            <w:vAlign w:val="center"/>
            <w:hideMark/>
          </w:tcPr>
          <w:p w14:paraId="62CBB839" w14:textId="77777777" w:rsidR="00D2303A" w:rsidRPr="00F12FD6" w:rsidRDefault="00D2303A">
            <w:pPr>
              <w:jc w:val="center"/>
              <w:rPr>
                <w:sz w:val="24"/>
                <w:szCs w:val="24"/>
              </w:rPr>
            </w:pPr>
            <w:r w:rsidRPr="00F12FD6">
              <w:rPr>
                <w:i/>
                <w:iCs/>
                <w:sz w:val="24"/>
                <w:szCs w:val="24"/>
              </w:rPr>
              <w:t>10,4</w:t>
            </w:r>
          </w:p>
        </w:tc>
        <w:tc>
          <w:tcPr>
            <w:tcW w:w="703" w:type="pct"/>
            <w:tcBorders>
              <w:top w:val="single" w:sz="4" w:space="0" w:color="auto"/>
              <w:left w:val="single" w:sz="4" w:space="0" w:color="auto"/>
              <w:bottom w:val="single" w:sz="4" w:space="0" w:color="auto"/>
              <w:right w:val="single" w:sz="4" w:space="0" w:color="auto"/>
            </w:tcBorders>
            <w:vAlign w:val="center"/>
            <w:hideMark/>
          </w:tcPr>
          <w:p w14:paraId="3C674ADC" w14:textId="77777777" w:rsidR="00D2303A" w:rsidRPr="00F12FD6" w:rsidRDefault="00D2303A">
            <w:pPr>
              <w:jc w:val="center"/>
              <w:rPr>
                <w:sz w:val="24"/>
                <w:szCs w:val="24"/>
              </w:rPr>
            </w:pPr>
            <w:r w:rsidRPr="00F12FD6">
              <w:rPr>
                <w:i/>
                <w:iCs/>
                <w:sz w:val="24"/>
                <w:szCs w:val="24"/>
              </w:rPr>
              <w:t>12,2</w:t>
            </w:r>
          </w:p>
        </w:tc>
        <w:tc>
          <w:tcPr>
            <w:tcW w:w="1015" w:type="pct"/>
            <w:tcBorders>
              <w:top w:val="single" w:sz="4" w:space="0" w:color="auto"/>
              <w:left w:val="single" w:sz="4" w:space="0" w:color="auto"/>
              <w:bottom w:val="single" w:sz="4" w:space="0" w:color="auto"/>
              <w:right w:val="single" w:sz="4" w:space="0" w:color="auto"/>
            </w:tcBorders>
            <w:vAlign w:val="center"/>
            <w:hideMark/>
          </w:tcPr>
          <w:p w14:paraId="61AF9FD4" w14:textId="77777777" w:rsidR="00D2303A" w:rsidRPr="00F12FD6" w:rsidRDefault="00D2303A">
            <w:pPr>
              <w:jc w:val="center"/>
              <w:rPr>
                <w:sz w:val="24"/>
                <w:szCs w:val="24"/>
              </w:rPr>
            </w:pPr>
            <w:r w:rsidRPr="00F12FD6">
              <w:rPr>
                <w:i/>
                <w:iCs/>
                <w:sz w:val="24"/>
                <w:szCs w:val="24"/>
              </w:rPr>
              <w:t>0,84 (0,75-0,95)</w:t>
            </w:r>
          </w:p>
        </w:tc>
        <w:tc>
          <w:tcPr>
            <w:tcW w:w="625" w:type="pct"/>
            <w:tcBorders>
              <w:top w:val="single" w:sz="4" w:space="0" w:color="auto"/>
              <w:left w:val="single" w:sz="4" w:space="0" w:color="auto"/>
              <w:bottom w:val="single" w:sz="4" w:space="0" w:color="auto"/>
              <w:right w:val="single" w:sz="4" w:space="0" w:color="auto"/>
            </w:tcBorders>
            <w:vAlign w:val="center"/>
            <w:hideMark/>
          </w:tcPr>
          <w:p w14:paraId="299373EA" w14:textId="77777777" w:rsidR="00D2303A" w:rsidRPr="00F12FD6" w:rsidRDefault="00D2303A">
            <w:pPr>
              <w:jc w:val="center"/>
              <w:rPr>
                <w:sz w:val="24"/>
                <w:szCs w:val="24"/>
              </w:rPr>
            </w:pPr>
            <w:r w:rsidRPr="00F12FD6">
              <w:rPr>
                <w:i/>
                <w:iCs/>
                <w:sz w:val="24"/>
                <w:szCs w:val="24"/>
              </w:rPr>
              <w:t>0,005</w:t>
            </w:r>
          </w:p>
        </w:tc>
      </w:tr>
      <w:tr w:rsidR="00D2303A" w:rsidRPr="00F12FD6" w14:paraId="687B93D6" w14:textId="77777777" w:rsidTr="00DC2079">
        <w:trPr>
          <w:trHeight w:val="282"/>
        </w:trPr>
        <w:tc>
          <w:tcPr>
            <w:tcW w:w="2032" w:type="pct"/>
            <w:tcBorders>
              <w:top w:val="single" w:sz="4" w:space="0" w:color="auto"/>
              <w:left w:val="single" w:sz="4" w:space="0" w:color="auto"/>
              <w:bottom w:val="single" w:sz="4" w:space="0" w:color="auto"/>
              <w:right w:val="single" w:sz="4" w:space="0" w:color="auto"/>
            </w:tcBorders>
            <w:hideMark/>
          </w:tcPr>
          <w:p w14:paraId="6379C079" w14:textId="77777777" w:rsidR="00D2303A" w:rsidRPr="00F12FD6" w:rsidRDefault="00D2303A">
            <w:pPr>
              <w:jc w:val="both"/>
              <w:rPr>
                <w:sz w:val="24"/>
                <w:szCs w:val="24"/>
              </w:rPr>
            </w:pPr>
            <w:r w:rsidRPr="00F12FD6">
              <w:rPr>
                <w:i/>
                <w:iCs/>
                <w:sz w:val="24"/>
                <w:szCs w:val="24"/>
              </w:rPr>
              <w:t xml:space="preserve">Behov for </w:t>
            </w:r>
            <w:proofErr w:type="spellStart"/>
            <w:r w:rsidRPr="00F12FD6">
              <w:rPr>
                <w:i/>
                <w:iCs/>
                <w:sz w:val="24"/>
                <w:szCs w:val="24"/>
              </w:rPr>
              <w:t>revaskularisering</w:t>
            </w:r>
            <w:proofErr w:type="spellEnd"/>
          </w:p>
        </w:tc>
        <w:tc>
          <w:tcPr>
            <w:tcW w:w="625" w:type="pct"/>
            <w:tcBorders>
              <w:top w:val="single" w:sz="4" w:space="0" w:color="auto"/>
              <w:left w:val="single" w:sz="4" w:space="0" w:color="auto"/>
              <w:bottom w:val="single" w:sz="4" w:space="0" w:color="auto"/>
              <w:right w:val="single" w:sz="4" w:space="0" w:color="auto"/>
            </w:tcBorders>
            <w:vAlign w:val="center"/>
            <w:hideMark/>
          </w:tcPr>
          <w:p w14:paraId="50D9BDBE" w14:textId="77777777" w:rsidR="00D2303A" w:rsidRPr="00F12FD6" w:rsidRDefault="00D2303A">
            <w:pPr>
              <w:jc w:val="center"/>
              <w:rPr>
                <w:sz w:val="24"/>
                <w:szCs w:val="24"/>
              </w:rPr>
            </w:pPr>
            <w:r w:rsidRPr="00F12FD6">
              <w:rPr>
                <w:i/>
                <w:iCs/>
                <w:sz w:val="24"/>
                <w:szCs w:val="24"/>
              </w:rPr>
              <w:t>16,0</w:t>
            </w:r>
          </w:p>
        </w:tc>
        <w:tc>
          <w:tcPr>
            <w:tcW w:w="703" w:type="pct"/>
            <w:tcBorders>
              <w:top w:val="single" w:sz="4" w:space="0" w:color="auto"/>
              <w:left w:val="single" w:sz="4" w:space="0" w:color="auto"/>
              <w:bottom w:val="single" w:sz="4" w:space="0" w:color="auto"/>
              <w:right w:val="single" w:sz="4" w:space="0" w:color="auto"/>
            </w:tcBorders>
            <w:vAlign w:val="center"/>
            <w:hideMark/>
          </w:tcPr>
          <w:p w14:paraId="4C510F6B" w14:textId="77777777" w:rsidR="00D2303A" w:rsidRPr="00F12FD6" w:rsidRDefault="00D2303A">
            <w:pPr>
              <w:jc w:val="center"/>
              <w:rPr>
                <w:sz w:val="24"/>
                <w:szCs w:val="24"/>
              </w:rPr>
            </w:pPr>
            <w:r w:rsidRPr="00F12FD6">
              <w:rPr>
                <w:i/>
                <w:iCs/>
                <w:sz w:val="24"/>
                <w:szCs w:val="24"/>
              </w:rPr>
              <w:t>18,3</w:t>
            </w:r>
          </w:p>
        </w:tc>
        <w:tc>
          <w:tcPr>
            <w:tcW w:w="1015" w:type="pct"/>
            <w:tcBorders>
              <w:top w:val="single" w:sz="4" w:space="0" w:color="auto"/>
              <w:left w:val="single" w:sz="4" w:space="0" w:color="auto"/>
              <w:bottom w:val="single" w:sz="4" w:space="0" w:color="auto"/>
              <w:right w:val="single" w:sz="4" w:space="0" w:color="auto"/>
            </w:tcBorders>
            <w:vAlign w:val="center"/>
            <w:hideMark/>
          </w:tcPr>
          <w:p w14:paraId="5CC95D34" w14:textId="77777777" w:rsidR="00D2303A" w:rsidRPr="00F12FD6" w:rsidRDefault="00D2303A">
            <w:pPr>
              <w:jc w:val="center"/>
              <w:rPr>
                <w:sz w:val="24"/>
                <w:szCs w:val="24"/>
              </w:rPr>
            </w:pPr>
            <w:r w:rsidRPr="00F12FD6">
              <w:rPr>
                <w:i/>
                <w:iCs/>
                <w:sz w:val="24"/>
                <w:szCs w:val="24"/>
              </w:rPr>
              <w:t>0,85 (0,77-0,94)</w:t>
            </w:r>
          </w:p>
        </w:tc>
        <w:tc>
          <w:tcPr>
            <w:tcW w:w="625" w:type="pct"/>
            <w:tcBorders>
              <w:top w:val="single" w:sz="4" w:space="0" w:color="auto"/>
              <w:left w:val="single" w:sz="4" w:space="0" w:color="auto"/>
              <w:bottom w:val="single" w:sz="4" w:space="0" w:color="auto"/>
              <w:right w:val="single" w:sz="4" w:space="0" w:color="auto"/>
            </w:tcBorders>
            <w:vAlign w:val="center"/>
            <w:hideMark/>
          </w:tcPr>
          <w:p w14:paraId="34096BDC" w14:textId="77777777" w:rsidR="00D2303A" w:rsidRPr="00F12FD6" w:rsidRDefault="00D2303A">
            <w:pPr>
              <w:jc w:val="center"/>
              <w:rPr>
                <w:sz w:val="24"/>
                <w:szCs w:val="24"/>
              </w:rPr>
            </w:pPr>
            <w:r w:rsidRPr="00F12FD6">
              <w:rPr>
                <w:i/>
                <w:iCs/>
                <w:sz w:val="24"/>
                <w:szCs w:val="24"/>
              </w:rPr>
              <w:t>0,002</w:t>
            </w:r>
          </w:p>
        </w:tc>
      </w:tr>
      <w:tr w:rsidR="00D2303A" w:rsidRPr="00F12FD6" w14:paraId="038AFFAC" w14:textId="77777777" w:rsidTr="00DC2079">
        <w:trPr>
          <w:trHeight w:val="282"/>
        </w:trPr>
        <w:tc>
          <w:tcPr>
            <w:tcW w:w="2032" w:type="pct"/>
            <w:tcBorders>
              <w:top w:val="single" w:sz="4" w:space="0" w:color="auto"/>
              <w:left w:val="single" w:sz="4" w:space="0" w:color="auto"/>
              <w:bottom w:val="single" w:sz="4" w:space="0" w:color="auto"/>
              <w:right w:val="single" w:sz="4" w:space="0" w:color="auto"/>
            </w:tcBorders>
            <w:hideMark/>
          </w:tcPr>
          <w:p w14:paraId="67E36C6E" w14:textId="77777777" w:rsidR="00D2303A" w:rsidRPr="00F12FD6" w:rsidRDefault="00D2303A">
            <w:pPr>
              <w:jc w:val="both"/>
              <w:rPr>
                <w:sz w:val="24"/>
                <w:szCs w:val="24"/>
              </w:rPr>
            </w:pPr>
            <w:r w:rsidRPr="00F12FD6">
              <w:rPr>
                <w:i/>
                <w:iCs/>
                <w:sz w:val="24"/>
                <w:szCs w:val="24"/>
              </w:rPr>
              <w:t>Indlæggelse pga. ustabil</w:t>
            </w:r>
            <w:r w:rsidRPr="00F12FD6">
              <w:rPr>
                <w:sz w:val="24"/>
                <w:szCs w:val="24"/>
              </w:rPr>
              <w:t xml:space="preserve"> </w:t>
            </w:r>
            <w:r w:rsidRPr="00F12FD6">
              <w:rPr>
                <w:i/>
                <w:iCs/>
                <w:sz w:val="24"/>
                <w:szCs w:val="24"/>
              </w:rPr>
              <w:t>angina</w:t>
            </w:r>
          </w:p>
        </w:tc>
        <w:tc>
          <w:tcPr>
            <w:tcW w:w="625" w:type="pct"/>
            <w:tcBorders>
              <w:top w:val="single" w:sz="4" w:space="0" w:color="auto"/>
              <w:left w:val="single" w:sz="4" w:space="0" w:color="auto"/>
              <w:bottom w:val="single" w:sz="4" w:space="0" w:color="auto"/>
              <w:right w:val="single" w:sz="4" w:space="0" w:color="auto"/>
            </w:tcBorders>
            <w:vAlign w:val="center"/>
            <w:hideMark/>
          </w:tcPr>
          <w:p w14:paraId="1AC3A330" w14:textId="77777777" w:rsidR="00D2303A" w:rsidRPr="00F12FD6" w:rsidRDefault="00D2303A">
            <w:pPr>
              <w:jc w:val="center"/>
              <w:rPr>
                <w:sz w:val="24"/>
                <w:szCs w:val="24"/>
              </w:rPr>
            </w:pPr>
            <w:r w:rsidRPr="00F12FD6">
              <w:rPr>
                <w:i/>
                <w:iCs/>
                <w:sz w:val="24"/>
                <w:szCs w:val="24"/>
              </w:rPr>
              <w:t>12,1</w:t>
            </w:r>
          </w:p>
        </w:tc>
        <w:tc>
          <w:tcPr>
            <w:tcW w:w="703" w:type="pct"/>
            <w:tcBorders>
              <w:top w:val="single" w:sz="4" w:space="0" w:color="auto"/>
              <w:left w:val="single" w:sz="4" w:space="0" w:color="auto"/>
              <w:bottom w:val="single" w:sz="4" w:space="0" w:color="auto"/>
              <w:right w:val="single" w:sz="4" w:space="0" w:color="auto"/>
            </w:tcBorders>
            <w:vAlign w:val="center"/>
            <w:hideMark/>
          </w:tcPr>
          <w:p w14:paraId="5E581924" w14:textId="77777777" w:rsidR="00D2303A" w:rsidRPr="00F12FD6" w:rsidRDefault="00D2303A">
            <w:pPr>
              <w:jc w:val="center"/>
              <w:rPr>
                <w:sz w:val="24"/>
                <w:szCs w:val="24"/>
              </w:rPr>
            </w:pPr>
            <w:r w:rsidRPr="00F12FD6">
              <w:rPr>
                <w:i/>
                <w:iCs/>
                <w:sz w:val="24"/>
                <w:szCs w:val="24"/>
              </w:rPr>
              <w:t>12,3</w:t>
            </w:r>
          </w:p>
        </w:tc>
        <w:tc>
          <w:tcPr>
            <w:tcW w:w="1015" w:type="pct"/>
            <w:tcBorders>
              <w:top w:val="single" w:sz="4" w:space="0" w:color="auto"/>
              <w:left w:val="single" w:sz="4" w:space="0" w:color="auto"/>
              <w:bottom w:val="single" w:sz="4" w:space="0" w:color="auto"/>
              <w:right w:val="single" w:sz="4" w:space="0" w:color="auto"/>
            </w:tcBorders>
            <w:vAlign w:val="center"/>
            <w:hideMark/>
          </w:tcPr>
          <w:p w14:paraId="74C95676" w14:textId="77777777" w:rsidR="00D2303A" w:rsidRPr="00F12FD6" w:rsidRDefault="00D2303A">
            <w:pPr>
              <w:jc w:val="center"/>
              <w:rPr>
                <w:sz w:val="24"/>
                <w:szCs w:val="24"/>
              </w:rPr>
            </w:pPr>
            <w:r w:rsidRPr="00F12FD6">
              <w:rPr>
                <w:i/>
                <w:iCs/>
                <w:sz w:val="24"/>
                <w:szCs w:val="24"/>
              </w:rPr>
              <w:t>0,98 (0,87-1,10)</w:t>
            </w:r>
          </w:p>
        </w:tc>
        <w:tc>
          <w:tcPr>
            <w:tcW w:w="625" w:type="pct"/>
            <w:tcBorders>
              <w:top w:val="single" w:sz="4" w:space="0" w:color="auto"/>
              <w:left w:val="single" w:sz="4" w:space="0" w:color="auto"/>
              <w:bottom w:val="single" w:sz="4" w:space="0" w:color="auto"/>
              <w:right w:val="single" w:sz="4" w:space="0" w:color="auto"/>
            </w:tcBorders>
            <w:vAlign w:val="center"/>
            <w:hideMark/>
          </w:tcPr>
          <w:p w14:paraId="6B06EBA5" w14:textId="77777777" w:rsidR="00D2303A" w:rsidRPr="00F12FD6" w:rsidRDefault="00D2303A">
            <w:pPr>
              <w:jc w:val="center"/>
              <w:rPr>
                <w:sz w:val="24"/>
                <w:szCs w:val="24"/>
              </w:rPr>
            </w:pPr>
            <w:r w:rsidRPr="00F12FD6">
              <w:rPr>
                <w:i/>
                <w:iCs/>
                <w:sz w:val="24"/>
                <w:szCs w:val="24"/>
              </w:rPr>
              <w:t>NS</w:t>
            </w:r>
          </w:p>
        </w:tc>
      </w:tr>
      <w:tr w:rsidR="00D2303A" w:rsidRPr="00F12FD6" w14:paraId="65E69B3F" w14:textId="77777777" w:rsidTr="00DC2079">
        <w:trPr>
          <w:trHeight w:val="282"/>
        </w:trPr>
        <w:tc>
          <w:tcPr>
            <w:tcW w:w="2032" w:type="pct"/>
            <w:tcBorders>
              <w:top w:val="single" w:sz="4" w:space="0" w:color="auto"/>
              <w:left w:val="single" w:sz="4" w:space="0" w:color="auto"/>
              <w:bottom w:val="single" w:sz="4" w:space="0" w:color="auto"/>
              <w:right w:val="single" w:sz="4" w:space="0" w:color="auto"/>
            </w:tcBorders>
            <w:hideMark/>
          </w:tcPr>
          <w:p w14:paraId="067F1E2A" w14:textId="77777777" w:rsidR="00D2303A" w:rsidRPr="00F12FD6" w:rsidRDefault="00D2303A">
            <w:pPr>
              <w:jc w:val="both"/>
              <w:rPr>
                <w:sz w:val="24"/>
                <w:szCs w:val="24"/>
              </w:rPr>
            </w:pPr>
            <w:r w:rsidRPr="00F12FD6">
              <w:rPr>
                <w:i/>
                <w:iCs/>
                <w:sz w:val="24"/>
                <w:szCs w:val="24"/>
              </w:rPr>
              <w:t>Indlæggelse pga.</w:t>
            </w:r>
            <w:r w:rsidRPr="00F12FD6">
              <w:rPr>
                <w:sz w:val="24"/>
                <w:szCs w:val="24"/>
              </w:rPr>
              <w:t xml:space="preserve"> </w:t>
            </w:r>
            <w:r w:rsidRPr="00F12FD6">
              <w:rPr>
                <w:i/>
                <w:iCs/>
                <w:sz w:val="24"/>
                <w:szCs w:val="24"/>
              </w:rPr>
              <w:t>hjerteinsufficiens</w:t>
            </w:r>
          </w:p>
        </w:tc>
        <w:tc>
          <w:tcPr>
            <w:tcW w:w="625" w:type="pct"/>
            <w:tcBorders>
              <w:top w:val="single" w:sz="4" w:space="0" w:color="auto"/>
              <w:left w:val="single" w:sz="4" w:space="0" w:color="auto"/>
              <w:bottom w:val="single" w:sz="4" w:space="0" w:color="auto"/>
              <w:right w:val="single" w:sz="4" w:space="0" w:color="auto"/>
            </w:tcBorders>
            <w:vAlign w:val="center"/>
            <w:hideMark/>
          </w:tcPr>
          <w:p w14:paraId="55B4D8F8" w14:textId="77777777" w:rsidR="00D2303A" w:rsidRPr="00F12FD6" w:rsidRDefault="00D2303A">
            <w:pPr>
              <w:jc w:val="center"/>
              <w:rPr>
                <w:sz w:val="24"/>
                <w:szCs w:val="24"/>
              </w:rPr>
            </w:pPr>
            <w:r w:rsidRPr="00F12FD6">
              <w:rPr>
                <w:i/>
                <w:iCs/>
                <w:sz w:val="24"/>
                <w:szCs w:val="24"/>
              </w:rPr>
              <w:t>3,2</w:t>
            </w:r>
          </w:p>
        </w:tc>
        <w:tc>
          <w:tcPr>
            <w:tcW w:w="703" w:type="pct"/>
            <w:tcBorders>
              <w:top w:val="single" w:sz="4" w:space="0" w:color="auto"/>
              <w:left w:val="single" w:sz="4" w:space="0" w:color="auto"/>
              <w:bottom w:val="single" w:sz="4" w:space="0" w:color="auto"/>
              <w:right w:val="single" w:sz="4" w:space="0" w:color="auto"/>
            </w:tcBorders>
            <w:vAlign w:val="center"/>
            <w:hideMark/>
          </w:tcPr>
          <w:p w14:paraId="15F48647" w14:textId="77777777" w:rsidR="00D2303A" w:rsidRPr="00F12FD6" w:rsidRDefault="00D2303A">
            <w:pPr>
              <w:jc w:val="center"/>
              <w:rPr>
                <w:sz w:val="24"/>
                <w:szCs w:val="24"/>
              </w:rPr>
            </w:pPr>
            <w:r w:rsidRPr="00F12FD6">
              <w:rPr>
                <w:i/>
                <w:iCs/>
                <w:sz w:val="24"/>
                <w:szCs w:val="24"/>
              </w:rPr>
              <w:t>3,5</w:t>
            </w:r>
          </w:p>
        </w:tc>
        <w:tc>
          <w:tcPr>
            <w:tcW w:w="1015" w:type="pct"/>
            <w:tcBorders>
              <w:top w:val="single" w:sz="4" w:space="0" w:color="auto"/>
              <w:left w:val="single" w:sz="4" w:space="0" w:color="auto"/>
              <w:bottom w:val="single" w:sz="4" w:space="0" w:color="auto"/>
              <w:right w:val="single" w:sz="4" w:space="0" w:color="auto"/>
            </w:tcBorders>
            <w:vAlign w:val="center"/>
            <w:hideMark/>
          </w:tcPr>
          <w:p w14:paraId="60CFFFA6" w14:textId="77777777" w:rsidR="00D2303A" w:rsidRPr="00F12FD6" w:rsidRDefault="00D2303A">
            <w:pPr>
              <w:jc w:val="center"/>
              <w:rPr>
                <w:sz w:val="24"/>
                <w:szCs w:val="24"/>
              </w:rPr>
            </w:pPr>
            <w:r w:rsidRPr="00F12FD6">
              <w:rPr>
                <w:i/>
                <w:iCs/>
                <w:sz w:val="24"/>
                <w:szCs w:val="24"/>
              </w:rPr>
              <w:t>0,88 (0,70-1,10)</w:t>
            </w:r>
          </w:p>
        </w:tc>
        <w:tc>
          <w:tcPr>
            <w:tcW w:w="625" w:type="pct"/>
            <w:tcBorders>
              <w:top w:val="single" w:sz="4" w:space="0" w:color="auto"/>
              <w:left w:val="single" w:sz="4" w:space="0" w:color="auto"/>
              <w:bottom w:val="single" w:sz="4" w:space="0" w:color="auto"/>
              <w:right w:val="single" w:sz="4" w:space="0" w:color="auto"/>
            </w:tcBorders>
            <w:vAlign w:val="center"/>
            <w:hideMark/>
          </w:tcPr>
          <w:p w14:paraId="268F6371" w14:textId="77777777" w:rsidR="00D2303A" w:rsidRPr="00F12FD6" w:rsidRDefault="00D2303A">
            <w:pPr>
              <w:jc w:val="center"/>
              <w:rPr>
                <w:sz w:val="24"/>
                <w:szCs w:val="24"/>
              </w:rPr>
            </w:pPr>
            <w:r w:rsidRPr="00F12FD6">
              <w:rPr>
                <w:i/>
                <w:iCs/>
                <w:sz w:val="24"/>
                <w:szCs w:val="24"/>
              </w:rPr>
              <w:t>0,25</w:t>
            </w:r>
          </w:p>
        </w:tc>
      </w:tr>
      <w:tr w:rsidR="00D2303A" w:rsidRPr="00F12FD6" w14:paraId="6215F9FB" w14:textId="77777777" w:rsidTr="00DC2079">
        <w:trPr>
          <w:trHeight w:val="282"/>
        </w:trPr>
        <w:tc>
          <w:tcPr>
            <w:tcW w:w="2032" w:type="pct"/>
            <w:tcBorders>
              <w:top w:val="single" w:sz="4" w:space="0" w:color="auto"/>
              <w:left w:val="single" w:sz="4" w:space="0" w:color="auto"/>
              <w:bottom w:val="single" w:sz="4" w:space="0" w:color="auto"/>
              <w:right w:val="single" w:sz="4" w:space="0" w:color="auto"/>
            </w:tcBorders>
            <w:hideMark/>
          </w:tcPr>
          <w:p w14:paraId="5ADEBEBD" w14:textId="77777777" w:rsidR="00D2303A" w:rsidRPr="00F12FD6" w:rsidRDefault="00D2303A">
            <w:pPr>
              <w:jc w:val="both"/>
              <w:rPr>
                <w:sz w:val="24"/>
                <w:szCs w:val="24"/>
              </w:rPr>
            </w:pPr>
            <w:r w:rsidRPr="00F12FD6">
              <w:rPr>
                <w:i/>
                <w:iCs/>
                <w:sz w:val="24"/>
                <w:szCs w:val="24"/>
              </w:rPr>
              <w:t>Diabetesrelaterede</w:t>
            </w:r>
            <w:r w:rsidRPr="00F12FD6">
              <w:rPr>
                <w:sz w:val="24"/>
                <w:szCs w:val="24"/>
              </w:rPr>
              <w:t xml:space="preserve"> </w:t>
            </w:r>
            <w:r w:rsidRPr="00F12FD6">
              <w:rPr>
                <w:i/>
                <w:iCs/>
                <w:sz w:val="24"/>
                <w:szCs w:val="24"/>
              </w:rPr>
              <w:t>komplikationer</w:t>
            </w:r>
          </w:p>
        </w:tc>
        <w:tc>
          <w:tcPr>
            <w:tcW w:w="625" w:type="pct"/>
            <w:tcBorders>
              <w:top w:val="single" w:sz="4" w:space="0" w:color="auto"/>
              <w:left w:val="single" w:sz="4" w:space="0" w:color="auto"/>
              <w:bottom w:val="single" w:sz="4" w:space="0" w:color="auto"/>
              <w:right w:val="single" w:sz="4" w:space="0" w:color="auto"/>
            </w:tcBorders>
            <w:vAlign w:val="center"/>
            <w:hideMark/>
          </w:tcPr>
          <w:p w14:paraId="2E48465B" w14:textId="77777777" w:rsidR="00D2303A" w:rsidRPr="00F12FD6" w:rsidRDefault="00D2303A">
            <w:pPr>
              <w:jc w:val="center"/>
              <w:rPr>
                <w:sz w:val="24"/>
                <w:szCs w:val="24"/>
              </w:rPr>
            </w:pPr>
            <w:r w:rsidRPr="00F12FD6">
              <w:rPr>
                <w:i/>
                <w:iCs/>
                <w:sz w:val="24"/>
                <w:szCs w:val="24"/>
              </w:rPr>
              <w:t>6,4</w:t>
            </w:r>
          </w:p>
        </w:tc>
        <w:tc>
          <w:tcPr>
            <w:tcW w:w="703" w:type="pct"/>
            <w:tcBorders>
              <w:top w:val="single" w:sz="4" w:space="0" w:color="auto"/>
              <w:left w:val="single" w:sz="4" w:space="0" w:color="auto"/>
              <w:bottom w:val="single" w:sz="4" w:space="0" w:color="auto"/>
              <w:right w:val="single" w:sz="4" w:space="0" w:color="auto"/>
            </w:tcBorders>
            <w:vAlign w:val="center"/>
            <w:hideMark/>
          </w:tcPr>
          <w:p w14:paraId="25BFE7E7" w14:textId="77777777" w:rsidR="00D2303A" w:rsidRPr="00F12FD6" w:rsidRDefault="00D2303A">
            <w:pPr>
              <w:jc w:val="center"/>
              <w:rPr>
                <w:sz w:val="24"/>
                <w:szCs w:val="24"/>
              </w:rPr>
            </w:pPr>
            <w:r w:rsidRPr="00F12FD6">
              <w:rPr>
                <w:i/>
                <w:iCs/>
                <w:sz w:val="24"/>
                <w:szCs w:val="24"/>
              </w:rPr>
              <w:t>7,6</w:t>
            </w:r>
          </w:p>
        </w:tc>
        <w:tc>
          <w:tcPr>
            <w:tcW w:w="1015" w:type="pct"/>
            <w:tcBorders>
              <w:top w:val="single" w:sz="4" w:space="0" w:color="auto"/>
              <w:left w:val="single" w:sz="4" w:space="0" w:color="auto"/>
              <w:bottom w:val="single" w:sz="4" w:space="0" w:color="auto"/>
              <w:right w:val="single" w:sz="4" w:space="0" w:color="auto"/>
            </w:tcBorders>
            <w:vAlign w:val="center"/>
            <w:hideMark/>
          </w:tcPr>
          <w:p w14:paraId="4E305066" w14:textId="77777777" w:rsidR="00D2303A" w:rsidRPr="00F12FD6" w:rsidRDefault="00D2303A">
            <w:pPr>
              <w:jc w:val="center"/>
              <w:rPr>
                <w:sz w:val="24"/>
                <w:szCs w:val="24"/>
              </w:rPr>
            </w:pPr>
            <w:r w:rsidRPr="00F12FD6">
              <w:rPr>
                <w:i/>
                <w:iCs/>
                <w:sz w:val="24"/>
                <w:szCs w:val="24"/>
              </w:rPr>
              <w:t>0,84 (0,72-0,98)</w:t>
            </w:r>
          </w:p>
        </w:tc>
        <w:tc>
          <w:tcPr>
            <w:tcW w:w="625" w:type="pct"/>
            <w:tcBorders>
              <w:top w:val="single" w:sz="4" w:space="0" w:color="auto"/>
              <w:left w:val="single" w:sz="4" w:space="0" w:color="auto"/>
              <w:bottom w:val="single" w:sz="4" w:space="0" w:color="auto"/>
              <w:right w:val="single" w:sz="4" w:space="0" w:color="auto"/>
            </w:tcBorders>
            <w:vAlign w:val="center"/>
            <w:hideMark/>
          </w:tcPr>
          <w:p w14:paraId="2E893DD6" w14:textId="77777777" w:rsidR="00D2303A" w:rsidRPr="00F12FD6" w:rsidRDefault="00D2303A">
            <w:pPr>
              <w:jc w:val="center"/>
              <w:rPr>
                <w:sz w:val="24"/>
                <w:szCs w:val="24"/>
              </w:rPr>
            </w:pPr>
            <w:r w:rsidRPr="00F12FD6">
              <w:rPr>
                <w:i/>
                <w:iCs/>
                <w:sz w:val="24"/>
                <w:szCs w:val="24"/>
              </w:rPr>
              <w:t>0,03</w:t>
            </w:r>
          </w:p>
        </w:tc>
      </w:tr>
    </w:tbl>
    <w:p w14:paraId="0023F7B7" w14:textId="77777777" w:rsidR="00D2303A" w:rsidRPr="00F12FD6" w:rsidRDefault="00D2303A" w:rsidP="00D2303A">
      <w:pPr>
        <w:jc w:val="both"/>
        <w:rPr>
          <w:sz w:val="24"/>
          <w:szCs w:val="24"/>
          <w:lang w:val="en-US" w:eastAsia="ro-RO"/>
        </w:rPr>
      </w:pPr>
    </w:p>
    <w:p w14:paraId="7EE2DFAC" w14:textId="77777777" w:rsidR="00D2303A" w:rsidRPr="00F12FD6" w:rsidRDefault="00D2303A" w:rsidP="008D7C83">
      <w:pPr>
        <w:ind w:left="851"/>
        <w:rPr>
          <w:sz w:val="24"/>
          <w:szCs w:val="24"/>
        </w:rPr>
      </w:pPr>
      <w:r w:rsidRPr="00F12FD6">
        <w:rPr>
          <w:sz w:val="24"/>
          <w:szCs w:val="24"/>
        </w:rPr>
        <w:t xml:space="preserve">Et prædefineret understudie af HOPE, MICRO-HOPE-studiet, undersøgte effekten af tilføjelse af 10 mg </w:t>
      </w:r>
      <w:proofErr w:type="spellStart"/>
      <w:r w:rsidRPr="00F12FD6">
        <w:rPr>
          <w:sz w:val="24"/>
          <w:szCs w:val="24"/>
        </w:rPr>
        <w:t>ramipril</w:t>
      </w:r>
      <w:proofErr w:type="spellEnd"/>
      <w:r w:rsidRPr="00F12FD6">
        <w:rPr>
          <w:sz w:val="24"/>
          <w:szCs w:val="24"/>
        </w:rPr>
        <w:t xml:space="preserve"> til det eksisterende medicinske regime over for placebo hos 3.577 patienter, der var mindst 55 år gamle (ingen øvre aldersgrænse), med overvægt af type 2-diabetes (og mindst én yderligere </w:t>
      </w:r>
      <w:proofErr w:type="gramStart"/>
      <w:r w:rsidRPr="00F12FD6">
        <w:rPr>
          <w:sz w:val="24"/>
          <w:szCs w:val="24"/>
        </w:rPr>
        <w:t>CV risikofaktor</w:t>
      </w:r>
      <w:proofErr w:type="gramEnd"/>
      <w:r w:rsidRPr="00F12FD6">
        <w:rPr>
          <w:sz w:val="24"/>
          <w:szCs w:val="24"/>
        </w:rPr>
        <w:t xml:space="preserve">), </w:t>
      </w:r>
      <w:proofErr w:type="spellStart"/>
      <w:r w:rsidRPr="00F12FD6">
        <w:rPr>
          <w:sz w:val="24"/>
          <w:szCs w:val="24"/>
        </w:rPr>
        <w:t>normotensiv</w:t>
      </w:r>
      <w:proofErr w:type="spellEnd"/>
      <w:r w:rsidRPr="00F12FD6">
        <w:rPr>
          <w:sz w:val="24"/>
          <w:szCs w:val="24"/>
        </w:rPr>
        <w:t xml:space="preserve"> eller </w:t>
      </w:r>
      <w:proofErr w:type="spellStart"/>
      <w:r w:rsidRPr="00F12FD6">
        <w:rPr>
          <w:sz w:val="24"/>
          <w:szCs w:val="24"/>
        </w:rPr>
        <w:t>hypertensiv</w:t>
      </w:r>
      <w:proofErr w:type="spellEnd"/>
      <w:r w:rsidRPr="00F12FD6">
        <w:rPr>
          <w:sz w:val="24"/>
          <w:szCs w:val="24"/>
        </w:rPr>
        <w:t>.</w:t>
      </w:r>
    </w:p>
    <w:p w14:paraId="60ABD287" w14:textId="77777777" w:rsidR="00D2303A" w:rsidRPr="00F12FD6" w:rsidRDefault="00D2303A" w:rsidP="008D7C83">
      <w:pPr>
        <w:ind w:left="851"/>
        <w:rPr>
          <w:sz w:val="24"/>
          <w:szCs w:val="24"/>
        </w:rPr>
      </w:pPr>
    </w:p>
    <w:p w14:paraId="3AB875D0" w14:textId="77777777" w:rsidR="00D2303A" w:rsidRPr="00F12FD6" w:rsidRDefault="00D2303A" w:rsidP="008D7C83">
      <w:pPr>
        <w:ind w:left="851"/>
        <w:rPr>
          <w:sz w:val="24"/>
          <w:szCs w:val="24"/>
        </w:rPr>
      </w:pPr>
      <w:r w:rsidRPr="00F12FD6">
        <w:rPr>
          <w:sz w:val="24"/>
          <w:szCs w:val="24"/>
        </w:rPr>
        <w:t xml:space="preserve">Den primære analyse viste, at 117 (6,5 %) af deltagerne på </w:t>
      </w:r>
      <w:proofErr w:type="spellStart"/>
      <w:r w:rsidRPr="00F12FD6">
        <w:rPr>
          <w:sz w:val="24"/>
          <w:szCs w:val="24"/>
        </w:rPr>
        <w:t>ramipril</w:t>
      </w:r>
      <w:proofErr w:type="spellEnd"/>
      <w:r w:rsidRPr="00F12FD6">
        <w:rPr>
          <w:sz w:val="24"/>
          <w:szCs w:val="24"/>
        </w:rPr>
        <w:t xml:space="preserve"> og 149 (8,4 %) på placebo udviklede klinisk </w:t>
      </w:r>
      <w:proofErr w:type="spellStart"/>
      <w:r w:rsidRPr="00F12FD6">
        <w:rPr>
          <w:sz w:val="24"/>
          <w:szCs w:val="24"/>
        </w:rPr>
        <w:t>nefropati</w:t>
      </w:r>
      <w:proofErr w:type="spellEnd"/>
      <w:r w:rsidRPr="00F12FD6">
        <w:rPr>
          <w:sz w:val="24"/>
          <w:szCs w:val="24"/>
        </w:rPr>
        <w:t>, hvilket stemmer overens med RRR 24 %; 95 % KI [3-40], p=0,027.</w:t>
      </w:r>
    </w:p>
    <w:p w14:paraId="518C6E33" w14:textId="77777777" w:rsidR="00D2303A" w:rsidRPr="00F12FD6" w:rsidRDefault="00D2303A" w:rsidP="008D7C83">
      <w:pPr>
        <w:ind w:left="851"/>
        <w:rPr>
          <w:sz w:val="24"/>
          <w:szCs w:val="24"/>
        </w:rPr>
      </w:pPr>
    </w:p>
    <w:p w14:paraId="136C78DD" w14:textId="2E33AEEA" w:rsidR="00D2303A" w:rsidRPr="00F12FD6" w:rsidRDefault="00D2303A" w:rsidP="008D7C83">
      <w:pPr>
        <w:ind w:left="851"/>
        <w:rPr>
          <w:sz w:val="24"/>
          <w:szCs w:val="24"/>
        </w:rPr>
      </w:pPr>
      <w:r w:rsidRPr="00F12FD6">
        <w:rPr>
          <w:sz w:val="24"/>
          <w:szCs w:val="24"/>
        </w:rPr>
        <w:t xml:space="preserve">Et randomiseret, dobbeltblindet parallelgruppe-, placebokontrolleret multicenterstudie, REIN-studiet, havde som mål at vurdere effekten af behandling med </w:t>
      </w:r>
      <w:proofErr w:type="spellStart"/>
      <w:r w:rsidRPr="00F12FD6">
        <w:rPr>
          <w:sz w:val="24"/>
          <w:szCs w:val="24"/>
        </w:rPr>
        <w:t>ramipril</w:t>
      </w:r>
      <w:proofErr w:type="spellEnd"/>
      <w:r w:rsidRPr="00F12FD6">
        <w:rPr>
          <w:sz w:val="24"/>
          <w:szCs w:val="24"/>
        </w:rPr>
        <w:t xml:space="preserve"> på graden af forværring i den </w:t>
      </w:r>
      <w:proofErr w:type="spellStart"/>
      <w:r w:rsidRPr="00F12FD6">
        <w:rPr>
          <w:sz w:val="24"/>
          <w:szCs w:val="24"/>
        </w:rPr>
        <w:t>glomerulære</w:t>
      </w:r>
      <w:proofErr w:type="spellEnd"/>
      <w:r w:rsidRPr="00F12FD6">
        <w:rPr>
          <w:sz w:val="24"/>
          <w:szCs w:val="24"/>
        </w:rPr>
        <w:t xml:space="preserve"> filtrationshastighed (GFR) hos 352 </w:t>
      </w:r>
      <w:proofErr w:type="spellStart"/>
      <w:r w:rsidRPr="00F12FD6">
        <w:rPr>
          <w:sz w:val="24"/>
          <w:szCs w:val="24"/>
        </w:rPr>
        <w:t>normotensive</w:t>
      </w:r>
      <w:proofErr w:type="spellEnd"/>
      <w:r w:rsidRPr="00F12FD6">
        <w:rPr>
          <w:sz w:val="24"/>
          <w:szCs w:val="24"/>
        </w:rPr>
        <w:t xml:space="preserve"> eller </w:t>
      </w:r>
      <w:proofErr w:type="spellStart"/>
      <w:r w:rsidRPr="00F12FD6">
        <w:rPr>
          <w:sz w:val="24"/>
          <w:szCs w:val="24"/>
        </w:rPr>
        <w:t>hypertensive</w:t>
      </w:r>
      <w:proofErr w:type="spellEnd"/>
      <w:r w:rsidRPr="00F12FD6">
        <w:rPr>
          <w:sz w:val="24"/>
          <w:szCs w:val="24"/>
        </w:rPr>
        <w:t xml:space="preserve"> patienter (18-70 år), der havde mild (dvs. gennemsnitlig proteinudskillelse i urin &gt;1 og &lt;3 g/24 timer) eller svær </w:t>
      </w:r>
      <w:proofErr w:type="spellStart"/>
      <w:r w:rsidRPr="00F12FD6">
        <w:rPr>
          <w:sz w:val="24"/>
          <w:szCs w:val="24"/>
        </w:rPr>
        <w:t>proteinuri</w:t>
      </w:r>
      <w:proofErr w:type="spellEnd"/>
      <w:r w:rsidRPr="00F12FD6">
        <w:rPr>
          <w:sz w:val="24"/>
          <w:szCs w:val="24"/>
        </w:rPr>
        <w:t xml:space="preserve"> (≥3 g/24 timer) grundet kronisk, non-diabetisk </w:t>
      </w:r>
      <w:proofErr w:type="spellStart"/>
      <w:r w:rsidRPr="00F12FD6">
        <w:rPr>
          <w:sz w:val="24"/>
          <w:szCs w:val="24"/>
        </w:rPr>
        <w:t>nefropati</w:t>
      </w:r>
      <w:proofErr w:type="spellEnd"/>
      <w:r w:rsidRPr="00F12FD6">
        <w:rPr>
          <w:sz w:val="24"/>
          <w:szCs w:val="24"/>
        </w:rPr>
        <w:t xml:space="preserve">. Begge subpopulationer blev </w:t>
      </w:r>
      <w:proofErr w:type="spellStart"/>
      <w:r w:rsidRPr="00F12FD6">
        <w:rPr>
          <w:sz w:val="24"/>
          <w:szCs w:val="24"/>
        </w:rPr>
        <w:t>prospektivt</w:t>
      </w:r>
      <w:proofErr w:type="spellEnd"/>
      <w:r w:rsidRPr="00F12FD6">
        <w:rPr>
          <w:sz w:val="24"/>
          <w:szCs w:val="24"/>
        </w:rPr>
        <w:t xml:space="preserve"> stratificeret.</w:t>
      </w:r>
    </w:p>
    <w:p w14:paraId="43658410" w14:textId="77777777" w:rsidR="00D2303A" w:rsidRPr="00F12FD6" w:rsidRDefault="00D2303A" w:rsidP="008D7C83">
      <w:pPr>
        <w:ind w:left="851"/>
        <w:rPr>
          <w:sz w:val="24"/>
          <w:szCs w:val="24"/>
        </w:rPr>
      </w:pPr>
    </w:p>
    <w:p w14:paraId="2888221F" w14:textId="77777777" w:rsidR="00D2303A" w:rsidRPr="00F12FD6" w:rsidRDefault="00D2303A" w:rsidP="008D7C83">
      <w:pPr>
        <w:ind w:left="851"/>
        <w:rPr>
          <w:sz w:val="24"/>
          <w:szCs w:val="24"/>
        </w:rPr>
      </w:pPr>
      <w:r w:rsidRPr="00F12FD6">
        <w:rPr>
          <w:sz w:val="24"/>
          <w:szCs w:val="24"/>
        </w:rPr>
        <w:t xml:space="preserve">Den væsentligste analyse af patienter med den mest alvorlige </w:t>
      </w:r>
      <w:proofErr w:type="spellStart"/>
      <w:r w:rsidRPr="00F12FD6">
        <w:rPr>
          <w:sz w:val="24"/>
          <w:szCs w:val="24"/>
        </w:rPr>
        <w:t>proteinuri</w:t>
      </w:r>
      <w:proofErr w:type="spellEnd"/>
      <w:r w:rsidRPr="00F12FD6">
        <w:rPr>
          <w:sz w:val="24"/>
          <w:szCs w:val="24"/>
        </w:rPr>
        <w:t xml:space="preserve"> (dette stratum blev afbrudt før tid grundet gavnlig effekt i </w:t>
      </w:r>
      <w:proofErr w:type="spellStart"/>
      <w:r w:rsidRPr="00F12FD6">
        <w:rPr>
          <w:sz w:val="24"/>
          <w:szCs w:val="24"/>
        </w:rPr>
        <w:t>ramiprilgruppen</w:t>
      </w:r>
      <w:proofErr w:type="spellEnd"/>
      <w:r w:rsidRPr="00F12FD6">
        <w:rPr>
          <w:sz w:val="24"/>
          <w:szCs w:val="24"/>
        </w:rPr>
        <w:t xml:space="preserve">) viste, at gennemsnitsraten, hvormed GFR faldt, var lavere i </w:t>
      </w:r>
      <w:proofErr w:type="spellStart"/>
      <w:r w:rsidRPr="00F12FD6">
        <w:rPr>
          <w:sz w:val="24"/>
          <w:szCs w:val="24"/>
        </w:rPr>
        <w:t>ramiprilgruppen</w:t>
      </w:r>
      <w:proofErr w:type="spellEnd"/>
      <w:r w:rsidRPr="00F12FD6">
        <w:rPr>
          <w:sz w:val="24"/>
          <w:szCs w:val="24"/>
        </w:rPr>
        <w:t xml:space="preserve">, end i placebogruppen: -0,54 (0,66) vs. -0,88 (1,03) ml/min/måned, p=0,038. Forskellen mellem grupperne var derved 0,34 [0,03-0,65] </w:t>
      </w:r>
      <w:r w:rsidRPr="00F12FD6">
        <w:rPr>
          <w:sz w:val="24"/>
          <w:szCs w:val="24"/>
        </w:rPr>
        <w:lastRenderedPageBreak/>
        <w:t xml:space="preserve">pr. måned, og omkring 4 ml/min/år. 23,1 % af patienterne i </w:t>
      </w:r>
      <w:proofErr w:type="spellStart"/>
      <w:r w:rsidRPr="00F12FD6">
        <w:rPr>
          <w:sz w:val="24"/>
          <w:szCs w:val="24"/>
        </w:rPr>
        <w:t>ramiprilgruppen</w:t>
      </w:r>
      <w:proofErr w:type="spellEnd"/>
      <w:r w:rsidRPr="00F12FD6">
        <w:rPr>
          <w:sz w:val="24"/>
          <w:szCs w:val="24"/>
        </w:rPr>
        <w:t xml:space="preserve"> opnåede det kombinerede sekundære endepunkt, fordobling af baseline </w:t>
      </w:r>
      <w:proofErr w:type="spellStart"/>
      <w:r w:rsidRPr="00F12FD6">
        <w:rPr>
          <w:sz w:val="24"/>
          <w:szCs w:val="24"/>
        </w:rPr>
        <w:t>serumkreatininkoncentration</w:t>
      </w:r>
      <w:proofErr w:type="spellEnd"/>
      <w:r w:rsidRPr="00F12FD6">
        <w:rPr>
          <w:sz w:val="24"/>
          <w:szCs w:val="24"/>
        </w:rPr>
        <w:t xml:space="preserve"> og/eller nyresygdom i slutstadiet (ESRD) (behov for dialyse eller nyretransplantation) vs. 45,5 % i placebogruppen (p=0,02).</w:t>
      </w:r>
    </w:p>
    <w:p w14:paraId="0991BD9B" w14:textId="77777777" w:rsidR="00D2303A" w:rsidRPr="00F12FD6" w:rsidRDefault="00D2303A" w:rsidP="008D7C83">
      <w:pPr>
        <w:ind w:left="851"/>
        <w:rPr>
          <w:sz w:val="24"/>
          <w:szCs w:val="24"/>
        </w:rPr>
      </w:pPr>
    </w:p>
    <w:p w14:paraId="37239B95" w14:textId="77777777" w:rsidR="00D2303A" w:rsidRPr="00F12FD6" w:rsidRDefault="00D2303A" w:rsidP="008D7C83">
      <w:pPr>
        <w:ind w:left="851"/>
        <w:rPr>
          <w:sz w:val="24"/>
          <w:szCs w:val="24"/>
        </w:rPr>
      </w:pPr>
      <w:r w:rsidRPr="00F12FD6">
        <w:rPr>
          <w:i/>
          <w:iCs/>
          <w:sz w:val="24"/>
          <w:szCs w:val="24"/>
        </w:rPr>
        <w:t xml:space="preserve">Dobbelthæmning af </w:t>
      </w:r>
      <w:proofErr w:type="spellStart"/>
      <w:r w:rsidRPr="00F12FD6">
        <w:rPr>
          <w:i/>
          <w:iCs/>
          <w:sz w:val="24"/>
          <w:szCs w:val="24"/>
        </w:rPr>
        <w:t>renin</w:t>
      </w:r>
      <w:proofErr w:type="spellEnd"/>
      <w:r w:rsidRPr="00F12FD6">
        <w:rPr>
          <w:i/>
          <w:iCs/>
          <w:sz w:val="24"/>
          <w:szCs w:val="24"/>
        </w:rPr>
        <w:t>-</w:t>
      </w:r>
      <w:proofErr w:type="spellStart"/>
      <w:r w:rsidRPr="00F12FD6">
        <w:rPr>
          <w:i/>
          <w:iCs/>
          <w:sz w:val="24"/>
          <w:szCs w:val="24"/>
        </w:rPr>
        <w:t>angiotensin</w:t>
      </w:r>
      <w:proofErr w:type="spellEnd"/>
      <w:r w:rsidRPr="00F12FD6">
        <w:rPr>
          <w:i/>
          <w:iCs/>
          <w:sz w:val="24"/>
          <w:szCs w:val="24"/>
        </w:rPr>
        <w:t>-</w:t>
      </w:r>
      <w:proofErr w:type="spellStart"/>
      <w:r w:rsidRPr="00F12FD6">
        <w:rPr>
          <w:i/>
          <w:iCs/>
          <w:sz w:val="24"/>
          <w:szCs w:val="24"/>
        </w:rPr>
        <w:t>aldosteron</w:t>
      </w:r>
      <w:proofErr w:type="spellEnd"/>
      <w:r w:rsidRPr="00F12FD6">
        <w:rPr>
          <w:i/>
          <w:iCs/>
          <w:sz w:val="24"/>
          <w:szCs w:val="24"/>
        </w:rPr>
        <w:t>-systemet (RAAS):</w:t>
      </w:r>
    </w:p>
    <w:p w14:paraId="6C14666A" w14:textId="77777777" w:rsidR="00D2303A" w:rsidRPr="00F12FD6" w:rsidRDefault="00D2303A" w:rsidP="008D7C83">
      <w:pPr>
        <w:ind w:left="851"/>
        <w:rPr>
          <w:sz w:val="24"/>
          <w:szCs w:val="24"/>
        </w:rPr>
      </w:pPr>
      <w:r w:rsidRPr="00F12FD6">
        <w:rPr>
          <w:sz w:val="24"/>
          <w:szCs w:val="24"/>
        </w:rPr>
        <w:t xml:space="preserve">Kombinationen af en ACE-hæmmer og en </w:t>
      </w:r>
      <w:proofErr w:type="spellStart"/>
      <w:r w:rsidRPr="00F12FD6">
        <w:rPr>
          <w:sz w:val="24"/>
          <w:szCs w:val="24"/>
        </w:rPr>
        <w:t>angiotensin</w:t>
      </w:r>
      <w:proofErr w:type="spellEnd"/>
      <w:r w:rsidRPr="00F12FD6">
        <w:rPr>
          <w:sz w:val="24"/>
          <w:szCs w:val="24"/>
        </w:rPr>
        <w:t xml:space="preserve"> II-receptorantagonist er undersøgt i to store randomiserede, kontrollerede studier (ONTARGET (</w:t>
      </w:r>
      <w:proofErr w:type="spellStart"/>
      <w:r w:rsidRPr="00F12FD6">
        <w:rPr>
          <w:sz w:val="24"/>
          <w:szCs w:val="24"/>
        </w:rPr>
        <w:t>ONgoing</w:t>
      </w:r>
      <w:proofErr w:type="spellEnd"/>
      <w:r w:rsidRPr="00F12FD6">
        <w:rPr>
          <w:sz w:val="24"/>
          <w:szCs w:val="24"/>
        </w:rPr>
        <w:t xml:space="preserve"> </w:t>
      </w:r>
      <w:proofErr w:type="spellStart"/>
      <w:r w:rsidRPr="00F12FD6">
        <w:rPr>
          <w:sz w:val="24"/>
          <w:szCs w:val="24"/>
        </w:rPr>
        <w:t>Telmisartan</w:t>
      </w:r>
      <w:proofErr w:type="spellEnd"/>
      <w:r w:rsidRPr="00F12FD6">
        <w:rPr>
          <w:sz w:val="24"/>
          <w:szCs w:val="24"/>
        </w:rPr>
        <w:t xml:space="preserve"> </w:t>
      </w:r>
      <w:proofErr w:type="spellStart"/>
      <w:r w:rsidRPr="00F12FD6">
        <w:rPr>
          <w:sz w:val="24"/>
          <w:szCs w:val="24"/>
        </w:rPr>
        <w:t>Alone</w:t>
      </w:r>
      <w:proofErr w:type="spellEnd"/>
      <w:r w:rsidRPr="00F12FD6">
        <w:rPr>
          <w:sz w:val="24"/>
          <w:szCs w:val="24"/>
        </w:rPr>
        <w:t xml:space="preserve"> and in </w:t>
      </w:r>
      <w:proofErr w:type="spellStart"/>
      <w:r w:rsidRPr="00F12FD6">
        <w:rPr>
          <w:sz w:val="24"/>
          <w:szCs w:val="24"/>
        </w:rPr>
        <w:t>combination</w:t>
      </w:r>
      <w:proofErr w:type="spellEnd"/>
      <w:r w:rsidRPr="00F12FD6">
        <w:rPr>
          <w:sz w:val="24"/>
          <w:szCs w:val="24"/>
        </w:rPr>
        <w:t xml:space="preserve"> with </w:t>
      </w:r>
      <w:proofErr w:type="spellStart"/>
      <w:r w:rsidRPr="00F12FD6">
        <w:rPr>
          <w:sz w:val="24"/>
          <w:szCs w:val="24"/>
        </w:rPr>
        <w:t>Ramipril</w:t>
      </w:r>
      <w:proofErr w:type="spellEnd"/>
      <w:r w:rsidRPr="00F12FD6">
        <w:rPr>
          <w:sz w:val="24"/>
          <w:szCs w:val="24"/>
        </w:rPr>
        <w:t xml:space="preserve"> Global </w:t>
      </w:r>
      <w:proofErr w:type="spellStart"/>
      <w:r w:rsidRPr="00F12FD6">
        <w:rPr>
          <w:sz w:val="24"/>
          <w:szCs w:val="24"/>
        </w:rPr>
        <w:t>Endpoint</w:t>
      </w:r>
      <w:proofErr w:type="spellEnd"/>
      <w:r w:rsidRPr="00F12FD6">
        <w:rPr>
          <w:sz w:val="24"/>
          <w:szCs w:val="24"/>
        </w:rPr>
        <w:t xml:space="preserve"> Trial) og VA NEPHRON-D (The Veterans Affairs </w:t>
      </w:r>
      <w:proofErr w:type="spellStart"/>
      <w:r w:rsidRPr="00F12FD6">
        <w:rPr>
          <w:sz w:val="24"/>
          <w:szCs w:val="24"/>
        </w:rPr>
        <w:t>Nephropathy</w:t>
      </w:r>
      <w:proofErr w:type="spellEnd"/>
      <w:r w:rsidRPr="00F12FD6">
        <w:rPr>
          <w:sz w:val="24"/>
          <w:szCs w:val="24"/>
        </w:rPr>
        <w:t xml:space="preserve"> in Diabetes)). </w:t>
      </w:r>
    </w:p>
    <w:p w14:paraId="65A9CEB1" w14:textId="77777777" w:rsidR="00D2303A" w:rsidRPr="00F12FD6" w:rsidRDefault="00D2303A" w:rsidP="008D7C83">
      <w:pPr>
        <w:ind w:left="851"/>
        <w:rPr>
          <w:sz w:val="24"/>
          <w:szCs w:val="24"/>
        </w:rPr>
      </w:pPr>
    </w:p>
    <w:p w14:paraId="3E6B4294" w14:textId="77777777" w:rsidR="00D2303A" w:rsidRPr="00F12FD6" w:rsidRDefault="00D2303A" w:rsidP="008D7C83">
      <w:pPr>
        <w:ind w:left="851"/>
        <w:rPr>
          <w:sz w:val="24"/>
          <w:szCs w:val="24"/>
        </w:rPr>
      </w:pPr>
      <w:r w:rsidRPr="00F12FD6">
        <w:rPr>
          <w:sz w:val="24"/>
          <w:szCs w:val="24"/>
        </w:rPr>
        <w:t xml:space="preserve">ONTARGET var et studie med patienter, der havde en anamnese med </w:t>
      </w:r>
      <w:proofErr w:type="spellStart"/>
      <w:r w:rsidRPr="00F12FD6">
        <w:rPr>
          <w:sz w:val="24"/>
          <w:szCs w:val="24"/>
        </w:rPr>
        <w:t>kardiovaskulær</w:t>
      </w:r>
      <w:proofErr w:type="spellEnd"/>
      <w:r w:rsidRPr="00F12FD6">
        <w:rPr>
          <w:sz w:val="24"/>
          <w:szCs w:val="24"/>
        </w:rPr>
        <w:t xml:space="preserve"> eller </w:t>
      </w:r>
      <w:proofErr w:type="spellStart"/>
      <w:r w:rsidRPr="00F12FD6">
        <w:rPr>
          <w:sz w:val="24"/>
          <w:szCs w:val="24"/>
        </w:rPr>
        <w:t>cerebrovaskulær</w:t>
      </w:r>
      <w:proofErr w:type="spellEnd"/>
      <w:r w:rsidRPr="00F12FD6">
        <w:rPr>
          <w:sz w:val="24"/>
          <w:szCs w:val="24"/>
        </w:rPr>
        <w:t xml:space="preserve"> sygdom, eller som havde type 2-diabetes mellitus med tegn på organpåvirkning. VA NEPHRON-D var et studie med patienter med type 2-diabetes mellitus og diabetisk </w:t>
      </w:r>
      <w:proofErr w:type="spellStart"/>
      <w:r w:rsidRPr="00F12FD6">
        <w:rPr>
          <w:sz w:val="24"/>
          <w:szCs w:val="24"/>
        </w:rPr>
        <w:t>nefropati</w:t>
      </w:r>
      <w:proofErr w:type="spellEnd"/>
      <w:r w:rsidRPr="00F12FD6">
        <w:rPr>
          <w:sz w:val="24"/>
          <w:szCs w:val="24"/>
        </w:rPr>
        <w:t xml:space="preserve">. </w:t>
      </w:r>
    </w:p>
    <w:p w14:paraId="33E5FF48" w14:textId="77777777" w:rsidR="00D2303A" w:rsidRPr="00F12FD6" w:rsidRDefault="00D2303A" w:rsidP="008D7C83">
      <w:pPr>
        <w:ind w:left="851"/>
        <w:rPr>
          <w:sz w:val="24"/>
          <w:szCs w:val="24"/>
        </w:rPr>
      </w:pPr>
      <w:r w:rsidRPr="00F12FD6">
        <w:rPr>
          <w:sz w:val="24"/>
          <w:szCs w:val="24"/>
        </w:rPr>
        <w:t xml:space="preserve">Disse studier viste ikke signifikant bedre effekt på </w:t>
      </w:r>
      <w:proofErr w:type="spellStart"/>
      <w:r w:rsidRPr="00F12FD6">
        <w:rPr>
          <w:sz w:val="24"/>
          <w:szCs w:val="24"/>
        </w:rPr>
        <w:t>renale</w:t>
      </w:r>
      <w:proofErr w:type="spellEnd"/>
      <w:r w:rsidRPr="00F12FD6">
        <w:rPr>
          <w:sz w:val="24"/>
          <w:szCs w:val="24"/>
        </w:rPr>
        <w:t xml:space="preserve"> og/eller </w:t>
      </w:r>
      <w:proofErr w:type="spellStart"/>
      <w:r w:rsidRPr="00F12FD6">
        <w:rPr>
          <w:sz w:val="24"/>
          <w:szCs w:val="24"/>
        </w:rPr>
        <w:t>kardiovaskulære</w:t>
      </w:r>
      <w:proofErr w:type="spellEnd"/>
      <w:r w:rsidRPr="00F12FD6">
        <w:rPr>
          <w:sz w:val="24"/>
          <w:szCs w:val="24"/>
        </w:rPr>
        <w:t xml:space="preserve"> mål og mortalitet sammenlignet med monoterapi, mens der sås en øget risiko for </w:t>
      </w:r>
      <w:proofErr w:type="spellStart"/>
      <w:r w:rsidRPr="00F12FD6">
        <w:rPr>
          <w:sz w:val="24"/>
          <w:szCs w:val="24"/>
        </w:rPr>
        <w:t>hyperkaliæmi</w:t>
      </w:r>
      <w:proofErr w:type="spellEnd"/>
      <w:r w:rsidRPr="00F12FD6">
        <w:rPr>
          <w:sz w:val="24"/>
          <w:szCs w:val="24"/>
        </w:rPr>
        <w:t xml:space="preserve">, akut nyrepåvirkning og/eller hypotension. På baggrund af de sammenlignelige </w:t>
      </w:r>
      <w:proofErr w:type="spellStart"/>
      <w:r w:rsidRPr="00F12FD6">
        <w:rPr>
          <w:sz w:val="24"/>
          <w:szCs w:val="24"/>
        </w:rPr>
        <w:t>farmakodynamiske</w:t>
      </w:r>
      <w:proofErr w:type="spellEnd"/>
      <w:r w:rsidRPr="00F12FD6">
        <w:rPr>
          <w:sz w:val="24"/>
          <w:szCs w:val="24"/>
        </w:rPr>
        <w:t xml:space="preserve"> egenskaber er disse resultater også relevante for andre ACE-</w:t>
      </w:r>
      <w:proofErr w:type="spellStart"/>
      <w:r w:rsidRPr="00F12FD6">
        <w:rPr>
          <w:sz w:val="24"/>
          <w:szCs w:val="24"/>
        </w:rPr>
        <w:t>hæmmere</w:t>
      </w:r>
      <w:proofErr w:type="spellEnd"/>
      <w:r w:rsidRPr="00F12FD6">
        <w:rPr>
          <w:sz w:val="24"/>
          <w:szCs w:val="24"/>
        </w:rPr>
        <w:t xml:space="preserve"> og </w:t>
      </w:r>
      <w:proofErr w:type="spellStart"/>
      <w:r w:rsidRPr="00F12FD6">
        <w:rPr>
          <w:sz w:val="24"/>
          <w:szCs w:val="24"/>
        </w:rPr>
        <w:t>angiotensin</w:t>
      </w:r>
      <w:proofErr w:type="spellEnd"/>
      <w:r w:rsidRPr="00F12FD6">
        <w:rPr>
          <w:sz w:val="24"/>
          <w:szCs w:val="24"/>
        </w:rPr>
        <w:t xml:space="preserve"> II-receptorantagonister. </w:t>
      </w:r>
    </w:p>
    <w:p w14:paraId="197F4CFE" w14:textId="77777777" w:rsidR="00D2303A" w:rsidRPr="00F12FD6" w:rsidRDefault="00D2303A" w:rsidP="008D7C83">
      <w:pPr>
        <w:ind w:left="851"/>
        <w:rPr>
          <w:sz w:val="24"/>
          <w:szCs w:val="24"/>
        </w:rPr>
      </w:pPr>
      <w:r w:rsidRPr="00F12FD6">
        <w:rPr>
          <w:sz w:val="24"/>
          <w:szCs w:val="24"/>
        </w:rPr>
        <w:t>ACE-</w:t>
      </w:r>
      <w:proofErr w:type="spellStart"/>
      <w:r w:rsidRPr="00F12FD6">
        <w:rPr>
          <w:sz w:val="24"/>
          <w:szCs w:val="24"/>
        </w:rPr>
        <w:t>hæmmere</w:t>
      </w:r>
      <w:proofErr w:type="spellEnd"/>
      <w:r w:rsidRPr="00F12FD6">
        <w:rPr>
          <w:sz w:val="24"/>
          <w:szCs w:val="24"/>
        </w:rPr>
        <w:t xml:space="preserve"> og </w:t>
      </w:r>
      <w:proofErr w:type="spellStart"/>
      <w:r w:rsidRPr="00F12FD6">
        <w:rPr>
          <w:sz w:val="24"/>
          <w:szCs w:val="24"/>
        </w:rPr>
        <w:t>angiotensin</w:t>
      </w:r>
      <w:proofErr w:type="spellEnd"/>
      <w:r w:rsidRPr="00F12FD6">
        <w:rPr>
          <w:sz w:val="24"/>
          <w:szCs w:val="24"/>
        </w:rPr>
        <w:t xml:space="preserve"> II-receptorantagonister bør derfor ikke anvendes samtidigt hos patienter med diabetisk </w:t>
      </w:r>
      <w:proofErr w:type="spellStart"/>
      <w:r w:rsidRPr="00F12FD6">
        <w:rPr>
          <w:sz w:val="24"/>
          <w:szCs w:val="24"/>
        </w:rPr>
        <w:t>nefropati</w:t>
      </w:r>
      <w:proofErr w:type="spellEnd"/>
      <w:r w:rsidRPr="00F12FD6">
        <w:rPr>
          <w:sz w:val="24"/>
          <w:szCs w:val="24"/>
        </w:rPr>
        <w:t xml:space="preserve">. </w:t>
      </w:r>
    </w:p>
    <w:p w14:paraId="43B96BF6" w14:textId="77777777" w:rsidR="00D2303A" w:rsidRPr="00F12FD6" w:rsidRDefault="00D2303A" w:rsidP="008D7C83">
      <w:pPr>
        <w:ind w:left="851"/>
        <w:rPr>
          <w:sz w:val="24"/>
          <w:szCs w:val="24"/>
        </w:rPr>
      </w:pPr>
    </w:p>
    <w:p w14:paraId="3B6FA558" w14:textId="77777777" w:rsidR="00D2303A" w:rsidRPr="00F12FD6" w:rsidRDefault="00D2303A" w:rsidP="008D7C83">
      <w:pPr>
        <w:ind w:left="851"/>
        <w:rPr>
          <w:sz w:val="24"/>
          <w:szCs w:val="24"/>
        </w:rPr>
      </w:pPr>
      <w:r w:rsidRPr="00F12FD6">
        <w:rPr>
          <w:sz w:val="24"/>
          <w:szCs w:val="24"/>
        </w:rPr>
        <w:t>ALTITUDE (</w:t>
      </w:r>
      <w:proofErr w:type="spellStart"/>
      <w:r w:rsidRPr="00F12FD6">
        <w:rPr>
          <w:sz w:val="24"/>
          <w:szCs w:val="24"/>
        </w:rPr>
        <w:t>Aliskiren</w:t>
      </w:r>
      <w:proofErr w:type="spellEnd"/>
      <w:r w:rsidRPr="00F12FD6">
        <w:rPr>
          <w:sz w:val="24"/>
          <w:szCs w:val="24"/>
        </w:rPr>
        <w:t xml:space="preserve"> Trial in Type 2 Diabetes Using </w:t>
      </w:r>
      <w:proofErr w:type="spellStart"/>
      <w:r w:rsidRPr="00F12FD6">
        <w:rPr>
          <w:sz w:val="24"/>
          <w:szCs w:val="24"/>
        </w:rPr>
        <w:t>Cardiovascular</w:t>
      </w:r>
      <w:proofErr w:type="spellEnd"/>
      <w:r w:rsidRPr="00F12FD6">
        <w:rPr>
          <w:sz w:val="24"/>
          <w:szCs w:val="24"/>
        </w:rPr>
        <w:t xml:space="preserve"> and </w:t>
      </w:r>
      <w:proofErr w:type="spellStart"/>
      <w:r w:rsidRPr="00F12FD6">
        <w:rPr>
          <w:sz w:val="24"/>
          <w:szCs w:val="24"/>
        </w:rPr>
        <w:t>Renal</w:t>
      </w:r>
      <w:proofErr w:type="spellEnd"/>
      <w:r w:rsidRPr="00F12FD6">
        <w:rPr>
          <w:sz w:val="24"/>
          <w:szCs w:val="24"/>
        </w:rPr>
        <w:t xml:space="preserve"> </w:t>
      </w:r>
      <w:proofErr w:type="spellStart"/>
      <w:r w:rsidRPr="00F12FD6">
        <w:rPr>
          <w:sz w:val="24"/>
          <w:szCs w:val="24"/>
        </w:rPr>
        <w:t>Disease</w:t>
      </w:r>
      <w:proofErr w:type="spellEnd"/>
      <w:r w:rsidRPr="00F12FD6">
        <w:rPr>
          <w:sz w:val="24"/>
          <w:szCs w:val="24"/>
        </w:rPr>
        <w:t xml:space="preserve"> </w:t>
      </w:r>
      <w:proofErr w:type="spellStart"/>
      <w:r w:rsidRPr="00F12FD6">
        <w:rPr>
          <w:sz w:val="24"/>
          <w:szCs w:val="24"/>
        </w:rPr>
        <w:t>Endpoints</w:t>
      </w:r>
      <w:proofErr w:type="spellEnd"/>
      <w:r w:rsidRPr="00F12FD6">
        <w:rPr>
          <w:sz w:val="24"/>
          <w:szCs w:val="24"/>
        </w:rPr>
        <w:t xml:space="preserve">) var et studie, der skulle undersøge fordelen ved at tilføje </w:t>
      </w:r>
      <w:proofErr w:type="spellStart"/>
      <w:r w:rsidRPr="00F12FD6">
        <w:rPr>
          <w:sz w:val="24"/>
          <w:szCs w:val="24"/>
        </w:rPr>
        <w:t>aliskiren</w:t>
      </w:r>
      <w:proofErr w:type="spellEnd"/>
      <w:r w:rsidRPr="00F12FD6">
        <w:rPr>
          <w:sz w:val="24"/>
          <w:szCs w:val="24"/>
        </w:rPr>
        <w:t xml:space="preserve"> til standardbehandling med en ACE-hæmmer eller en </w:t>
      </w:r>
      <w:proofErr w:type="spellStart"/>
      <w:r w:rsidRPr="00F12FD6">
        <w:rPr>
          <w:sz w:val="24"/>
          <w:szCs w:val="24"/>
        </w:rPr>
        <w:t>angiotensin</w:t>
      </w:r>
      <w:proofErr w:type="spellEnd"/>
      <w:r w:rsidRPr="00F12FD6">
        <w:rPr>
          <w:sz w:val="24"/>
          <w:szCs w:val="24"/>
        </w:rPr>
        <w:t xml:space="preserve"> II-receptorantagonist hos patienter med type 2-diabetes mellitus og kronisk nyresygdom, </w:t>
      </w:r>
      <w:proofErr w:type="spellStart"/>
      <w:r w:rsidRPr="00F12FD6">
        <w:rPr>
          <w:sz w:val="24"/>
          <w:szCs w:val="24"/>
        </w:rPr>
        <w:t>kardiovaskulær</w:t>
      </w:r>
      <w:proofErr w:type="spellEnd"/>
      <w:r w:rsidRPr="00F12FD6">
        <w:rPr>
          <w:sz w:val="24"/>
          <w:szCs w:val="24"/>
        </w:rPr>
        <w:t xml:space="preserve"> sygdom eller begge. Dette studie blev afsluttet tidligt pga. en øget risiko for bivirkninger. Både </w:t>
      </w:r>
      <w:proofErr w:type="spellStart"/>
      <w:r w:rsidRPr="00F12FD6">
        <w:rPr>
          <w:sz w:val="24"/>
          <w:szCs w:val="24"/>
        </w:rPr>
        <w:t>kardiovaskulære</w:t>
      </w:r>
      <w:proofErr w:type="spellEnd"/>
      <w:r w:rsidRPr="00F12FD6">
        <w:rPr>
          <w:sz w:val="24"/>
          <w:szCs w:val="24"/>
        </w:rPr>
        <w:t xml:space="preserve"> dødsfald og stroke var numerisk hyppigere forekommende i </w:t>
      </w:r>
      <w:proofErr w:type="spellStart"/>
      <w:r w:rsidRPr="00F12FD6">
        <w:rPr>
          <w:sz w:val="24"/>
          <w:szCs w:val="24"/>
        </w:rPr>
        <w:t>aliskiren</w:t>
      </w:r>
      <w:proofErr w:type="spellEnd"/>
      <w:r w:rsidRPr="00F12FD6">
        <w:rPr>
          <w:sz w:val="24"/>
          <w:szCs w:val="24"/>
        </w:rPr>
        <w:t>-gruppen end i placebogruppen, og bivirkninger og relevante alvorlige bivirkninger (</w:t>
      </w:r>
      <w:proofErr w:type="spellStart"/>
      <w:r w:rsidRPr="00F12FD6">
        <w:rPr>
          <w:sz w:val="24"/>
          <w:szCs w:val="24"/>
        </w:rPr>
        <w:t>hyperkaliæmi</w:t>
      </w:r>
      <w:proofErr w:type="spellEnd"/>
      <w:r w:rsidRPr="00F12FD6">
        <w:rPr>
          <w:sz w:val="24"/>
          <w:szCs w:val="24"/>
        </w:rPr>
        <w:t xml:space="preserve">, hypotension og nedsat nyrefunktion) blev rapporteret hyppigere i </w:t>
      </w:r>
      <w:proofErr w:type="spellStart"/>
      <w:r w:rsidRPr="00F12FD6">
        <w:rPr>
          <w:sz w:val="24"/>
          <w:szCs w:val="24"/>
        </w:rPr>
        <w:t>aliskiren</w:t>
      </w:r>
      <w:proofErr w:type="spellEnd"/>
      <w:r w:rsidRPr="00F12FD6">
        <w:rPr>
          <w:sz w:val="24"/>
          <w:szCs w:val="24"/>
        </w:rPr>
        <w:t>-gruppen end i placebogruppen.</w:t>
      </w:r>
    </w:p>
    <w:p w14:paraId="4526E6CD" w14:textId="77777777" w:rsidR="00D2303A" w:rsidRPr="00F12FD6" w:rsidRDefault="00D2303A" w:rsidP="008D7C83">
      <w:pPr>
        <w:ind w:left="851"/>
        <w:rPr>
          <w:i/>
          <w:sz w:val="24"/>
          <w:szCs w:val="24"/>
        </w:rPr>
      </w:pPr>
    </w:p>
    <w:p w14:paraId="00712B68" w14:textId="77777777" w:rsidR="00D2303A" w:rsidRPr="00F12FD6" w:rsidRDefault="00D2303A" w:rsidP="008D7C83">
      <w:pPr>
        <w:ind w:left="851"/>
        <w:rPr>
          <w:i/>
          <w:sz w:val="24"/>
          <w:szCs w:val="24"/>
        </w:rPr>
      </w:pPr>
      <w:r w:rsidRPr="00F12FD6">
        <w:rPr>
          <w:i/>
          <w:sz w:val="24"/>
          <w:szCs w:val="24"/>
        </w:rPr>
        <w:t>Sekundær profylakse efter akut myokardieinfarkt</w:t>
      </w:r>
    </w:p>
    <w:p w14:paraId="109ADB99" w14:textId="77777777" w:rsidR="00D2303A" w:rsidRPr="00F12FD6" w:rsidRDefault="00D2303A" w:rsidP="008D7C83">
      <w:pPr>
        <w:ind w:left="851"/>
        <w:rPr>
          <w:sz w:val="24"/>
          <w:szCs w:val="24"/>
        </w:rPr>
      </w:pPr>
      <w:r w:rsidRPr="00F12FD6">
        <w:rPr>
          <w:sz w:val="24"/>
          <w:szCs w:val="24"/>
        </w:rPr>
        <w:t xml:space="preserve">AIRE-studiet undersøgte mere end 2.000 patienter med forbigående/vedvarende kliniske tegn på hjerteinsufficiens efter dokumenteret myokardieinfarkt. </w:t>
      </w:r>
      <w:proofErr w:type="spellStart"/>
      <w:r w:rsidRPr="00F12FD6">
        <w:rPr>
          <w:sz w:val="24"/>
          <w:szCs w:val="24"/>
        </w:rPr>
        <w:t>Ramiprilbehandlingen</w:t>
      </w:r>
      <w:proofErr w:type="spellEnd"/>
      <w:r w:rsidRPr="00F12FD6">
        <w:rPr>
          <w:sz w:val="24"/>
          <w:szCs w:val="24"/>
        </w:rPr>
        <w:t xml:space="preserve"> blev påbegyndt 3-10 dage efter akut myokardieinfarkt. Studiet viste, at dødeligheden hos </w:t>
      </w:r>
      <w:proofErr w:type="spellStart"/>
      <w:r w:rsidRPr="00F12FD6">
        <w:rPr>
          <w:sz w:val="24"/>
          <w:szCs w:val="24"/>
        </w:rPr>
        <w:t>ramiprilbehandlede</w:t>
      </w:r>
      <w:proofErr w:type="spellEnd"/>
      <w:r w:rsidRPr="00F12FD6">
        <w:rPr>
          <w:sz w:val="24"/>
          <w:szCs w:val="24"/>
        </w:rPr>
        <w:t xml:space="preserve"> patienter efter en gennemsnitlig opfølgningstid på 15 måneder var 16,9 % og hos placebobehandlede patienter 22,6 %. Det betyder en absolut reduktion i mortalitet på 5,7 % og en relativ risikoreduktion på 27 % (95 % KI [11-40 %].</w:t>
      </w:r>
    </w:p>
    <w:p w14:paraId="1FE73382" w14:textId="77777777" w:rsidR="00D2303A" w:rsidRPr="00F12FD6" w:rsidRDefault="00D2303A" w:rsidP="008D7C83">
      <w:pPr>
        <w:ind w:left="851"/>
        <w:rPr>
          <w:sz w:val="24"/>
          <w:szCs w:val="24"/>
        </w:rPr>
      </w:pPr>
    </w:p>
    <w:p w14:paraId="03AFC6AD" w14:textId="77777777" w:rsidR="00D2303A" w:rsidRPr="00F12FD6" w:rsidRDefault="00D2303A" w:rsidP="008D7C83">
      <w:pPr>
        <w:ind w:left="851"/>
        <w:rPr>
          <w:i/>
          <w:sz w:val="24"/>
          <w:szCs w:val="24"/>
        </w:rPr>
      </w:pPr>
      <w:r w:rsidRPr="00F12FD6">
        <w:rPr>
          <w:i/>
          <w:sz w:val="24"/>
          <w:szCs w:val="24"/>
        </w:rPr>
        <w:t>Pædiatrisk population</w:t>
      </w:r>
    </w:p>
    <w:p w14:paraId="09659EC6" w14:textId="56E78661" w:rsidR="00D2303A" w:rsidRPr="00F12FD6" w:rsidRDefault="00D2303A" w:rsidP="008D7C83">
      <w:pPr>
        <w:ind w:left="851"/>
        <w:rPr>
          <w:sz w:val="24"/>
          <w:szCs w:val="24"/>
        </w:rPr>
      </w:pPr>
      <w:r w:rsidRPr="00F12FD6">
        <w:rPr>
          <w:sz w:val="24"/>
          <w:szCs w:val="24"/>
        </w:rPr>
        <w:t xml:space="preserve">I et randomiseret, dobbeltblindet, placebo-kontrolleret klinisk studium med 244 </w:t>
      </w:r>
      <w:proofErr w:type="spellStart"/>
      <w:r w:rsidRPr="00F12FD6">
        <w:rPr>
          <w:sz w:val="24"/>
          <w:szCs w:val="24"/>
        </w:rPr>
        <w:t>pædiatri-ske</w:t>
      </w:r>
      <w:proofErr w:type="spellEnd"/>
      <w:r w:rsidRPr="00F12FD6">
        <w:rPr>
          <w:sz w:val="24"/>
          <w:szCs w:val="24"/>
        </w:rPr>
        <w:t xml:space="preserve"> patienter med hypertension (73% primær hypertension) i alderen 6-16 år, fik </w:t>
      </w:r>
      <w:proofErr w:type="spellStart"/>
      <w:r w:rsidRPr="00F12FD6">
        <w:rPr>
          <w:sz w:val="24"/>
          <w:szCs w:val="24"/>
        </w:rPr>
        <w:t>patien-terne</w:t>
      </w:r>
      <w:proofErr w:type="spellEnd"/>
      <w:r w:rsidRPr="00F12FD6">
        <w:rPr>
          <w:sz w:val="24"/>
          <w:szCs w:val="24"/>
        </w:rPr>
        <w:t xml:space="preserve"> enten lav dosis, medium dosis eller høj dosis af </w:t>
      </w:r>
      <w:proofErr w:type="spellStart"/>
      <w:r w:rsidRPr="00F12FD6">
        <w:rPr>
          <w:sz w:val="24"/>
          <w:szCs w:val="24"/>
        </w:rPr>
        <w:t>ramipril</w:t>
      </w:r>
      <w:proofErr w:type="spellEnd"/>
      <w:r w:rsidRPr="00F12FD6">
        <w:rPr>
          <w:sz w:val="24"/>
          <w:szCs w:val="24"/>
        </w:rPr>
        <w:t xml:space="preserve"> for at opnå </w:t>
      </w:r>
      <w:proofErr w:type="spellStart"/>
      <w:r w:rsidRPr="00F12FD6">
        <w:rPr>
          <w:sz w:val="24"/>
          <w:szCs w:val="24"/>
        </w:rPr>
        <w:t>plasmakoncen-trationer</w:t>
      </w:r>
      <w:proofErr w:type="spellEnd"/>
      <w:r w:rsidRPr="00F12FD6">
        <w:rPr>
          <w:sz w:val="24"/>
          <w:szCs w:val="24"/>
        </w:rPr>
        <w:t xml:space="preserve"> for </w:t>
      </w:r>
      <w:proofErr w:type="spellStart"/>
      <w:r w:rsidRPr="00F12FD6">
        <w:rPr>
          <w:sz w:val="24"/>
          <w:szCs w:val="24"/>
        </w:rPr>
        <w:t>ramiprilat</w:t>
      </w:r>
      <w:proofErr w:type="spellEnd"/>
      <w:r w:rsidRPr="00F12FD6">
        <w:rPr>
          <w:sz w:val="24"/>
          <w:szCs w:val="24"/>
        </w:rPr>
        <w:t xml:space="preserve"> svarende til det voksne dosisområde 1,25 mg, 5 mg og 20 mg på basis af legemsvægt. Henimod slutningen af 4 uger var </w:t>
      </w:r>
      <w:proofErr w:type="spellStart"/>
      <w:r w:rsidRPr="00F12FD6">
        <w:rPr>
          <w:sz w:val="24"/>
          <w:szCs w:val="24"/>
        </w:rPr>
        <w:t>ramipril</w:t>
      </w:r>
      <w:proofErr w:type="spellEnd"/>
      <w:r w:rsidRPr="00F12FD6">
        <w:rPr>
          <w:sz w:val="24"/>
          <w:szCs w:val="24"/>
        </w:rPr>
        <w:t xml:space="preserve"> ineffektivt til at sænke det systoliske blodtryk men sænkede det diastoliske blodtryk ved højeste dosis. Både medium og høje doser af </w:t>
      </w:r>
      <w:proofErr w:type="spellStart"/>
      <w:r w:rsidRPr="00F12FD6">
        <w:rPr>
          <w:sz w:val="24"/>
          <w:szCs w:val="24"/>
        </w:rPr>
        <w:t>ramipril</w:t>
      </w:r>
      <w:proofErr w:type="spellEnd"/>
      <w:r w:rsidRPr="00F12FD6">
        <w:rPr>
          <w:sz w:val="24"/>
          <w:szCs w:val="24"/>
        </w:rPr>
        <w:t xml:space="preserve"> viste signifikant reduktion af både det systoliske og diastoliske blodtryk hos børn med påvist hypertension.</w:t>
      </w:r>
    </w:p>
    <w:p w14:paraId="1A88CB71" w14:textId="77777777" w:rsidR="00D2303A" w:rsidRPr="00F12FD6" w:rsidRDefault="00D2303A" w:rsidP="008D7C83">
      <w:pPr>
        <w:ind w:left="851"/>
        <w:rPr>
          <w:sz w:val="24"/>
          <w:szCs w:val="24"/>
        </w:rPr>
      </w:pPr>
      <w:r w:rsidRPr="00F12FD6">
        <w:rPr>
          <w:sz w:val="24"/>
          <w:szCs w:val="24"/>
        </w:rPr>
        <w:lastRenderedPageBreak/>
        <w:t xml:space="preserve">Denne virkning blev ikke set i et 4 ugers dosisoptrapnings, randomiseret, dobbeltblindet udtrædelsesstudie med 218 pædiatriske patienter i alderen 6-16 år (75 % med primær hypertension), hvor både diastolisk og systolisk blodtryk viste en moderat </w:t>
      </w:r>
      <w:proofErr w:type="spellStart"/>
      <w:r w:rsidRPr="00F12FD6">
        <w:rPr>
          <w:sz w:val="24"/>
          <w:szCs w:val="24"/>
        </w:rPr>
        <w:t>rebound</w:t>
      </w:r>
      <w:proofErr w:type="spellEnd"/>
      <w:r w:rsidRPr="00F12FD6">
        <w:rPr>
          <w:sz w:val="24"/>
          <w:szCs w:val="24"/>
        </w:rPr>
        <w:t xml:space="preserve">, men ikke en statistisk signifikant returnering til baseline ved alle 3 testede dosisniveauer [lavdosis (0,625 mg – 2,5 mg), medium dosis (2,5 mg – 10 mg) eller højdosis (5 mg – 20 mg)] </w:t>
      </w:r>
      <w:proofErr w:type="spellStart"/>
      <w:r w:rsidRPr="00F12FD6">
        <w:rPr>
          <w:sz w:val="24"/>
          <w:szCs w:val="24"/>
        </w:rPr>
        <w:t>ramipril</w:t>
      </w:r>
      <w:proofErr w:type="spellEnd"/>
      <w:r w:rsidRPr="00F12FD6">
        <w:rPr>
          <w:sz w:val="24"/>
          <w:szCs w:val="24"/>
        </w:rPr>
        <w:t xml:space="preserve"> baseret på legemsvægt. </w:t>
      </w:r>
      <w:proofErr w:type="spellStart"/>
      <w:r w:rsidRPr="00F12FD6">
        <w:rPr>
          <w:sz w:val="24"/>
          <w:szCs w:val="24"/>
        </w:rPr>
        <w:t>Ramipril</w:t>
      </w:r>
      <w:proofErr w:type="spellEnd"/>
      <w:r w:rsidRPr="00F12FD6">
        <w:rPr>
          <w:sz w:val="24"/>
          <w:szCs w:val="24"/>
        </w:rPr>
        <w:t xml:space="preserve"> havde ikke lineær dosisrespons i den undersøgte pædiatriske population.</w:t>
      </w:r>
    </w:p>
    <w:p w14:paraId="7CD3BCA1" w14:textId="77777777" w:rsidR="009260DE" w:rsidRPr="00F12FD6" w:rsidRDefault="009260DE" w:rsidP="009260DE">
      <w:pPr>
        <w:tabs>
          <w:tab w:val="left" w:pos="851"/>
        </w:tabs>
        <w:ind w:left="851"/>
        <w:rPr>
          <w:sz w:val="24"/>
          <w:szCs w:val="24"/>
        </w:rPr>
      </w:pPr>
    </w:p>
    <w:p w14:paraId="61F85EE7" w14:textId="77777777" w:rsidR="009260DE" w:rsidRPr="00F12FD6" w:rsidRDefault="009260DE" w:rsidP="009260DE">
      <w:pPr>
        <w:tabs>
          <w:tab w:val="left" w:pos="851"/>
        </w:tabs>
        <w:ind w:left="851" w:hanging="851"/>
        <w:rPr>
          <w:b/>
          <w:sz w:val="24"/>
          <w:szCs w:val="24"/>
        </w:rPr>
      </w:pPr>
      <w:r w:rsidRPr="00F12FD6">
        <w:rPr>
          <w:b/>
          <w:sz w:val="24"/>
          <w:szCs w:val="24"/>
        </w:rPr>
        <w:t>5.2</w:t>
      </w:r>
      <w:r w:rsidRPr="00F12FD6">
        <w:rPr>
          <w:b/>
          <w:sz w:val="24"/>
          <w:szCs w:val="24"/>
        </w:rPr>
        <w:tab/>
      </w:r>
      <w:proofErr w:type="spellStart"/>
      <w:r w:rsidRPr="00F12FD6">
        <w:rPr>
          <w:b/>
          <w:sz w:val="24"/>
          <w:szCs w:val="24"/>
        </w:rPr>
        <w:t>Farmakokinetiske</w:t>
      </w:r>
      <w:proofErr w:type="spellEnd"/>
      <w:r w:rsidRPr="00F12FD6">
        <w:rPr>
          <w:b/>
          <w:sz w:val="24"/>
          <w:szCs w:val="24"/>
        </w:rPr>
        <w:t xml:space="preserve"> egenskaber</w:t>
      </w:r>
    </w:p>
    <w:p w14:paraId="1C633BAB" w14:textId="77777777" w:rsidR="00D2303A" w:rsidRPr="00F12FD6" w:rsidRDefault="00D2303A" w:rsidP="00D2303A">
      <w:pPr>
        <w:jc w:val="both"/>
        <w:rPr>
          <w:sz w:val="24"/>
          <w:szCs w:val="24"/>
          <w:lang w:eastAsia="ro-RO"/>
        </w:rPr>
      </w:pPr>
    </w:p>
    <w:p w14:paraId="25F4D81A" w14:textId="77777777" w:rsidR="00D2303A" w:rsidRPr="00DC2079" w:rsidRDefault="00D2303A" w:rsidP="008D7C83">
      <w:pPr>
        <w:ind w:left="851"/>
        <w:rPr>
          <w:sz w:val="24"/>
          <w:szCs w:val="24"/>
          <w:u w:val="single"/>
        </w:rPr>
      </w:pPr>
      <w:r w:rsidRPr="00DC2079">
        <w:rPr>
          <w:sz w:val="24"/>
          <w:szCs w:val="24"/>
          <w:u w:val="single"/>
        </w:rPr>
        <w:t>Absorption</w:t>
      </w:r>
    </w:p>
    <w:p w14:paraId="3D133423" w14:textId="77777777" w:rsidR="00D2303A" w:rsidRPr="00F12FD6" w:rsidRDefault="00D2303A" w:rsidP="008D7C83">
      <w:pPr>
        <w:ind w:left="851"/>
        <w:rPr>
          <w:sz w:val="24"/>
          <w:szCs w:val="24"/>
        </w:rPr>
      </w:pPr>
      <w:proofErr w:type="spellStart"/>
      <w:r w:rsidRPr="00F12FD6">
        <w:rPr>
          <w:sz w:val="24"/>
          <w:szCs w:val="24"/>
        </w:rPr>
        <w:t>Ramipril</w:t>
      </w:r>
      <w:proofErr w:type="spellEnd"/>
      <w:r w:rsidRPr="00F12FD6">
        <w:rPr>
          <w:sz w:val="24"/>
          <w:szCs w:val="24"/>
        </w:rPr>
        <w:t xml:space="preserve"> absorberes hurtigt efter oral administration gennem mave-tarm-kanalen: Maksimal plasmakoncentration for </w:t>
      </w:r>
      <w:proofErr w:type="spellStart"/>
      <w:r w:rsidRPr="00F12FD6">
        <w:rPr>
          <w:sz w:val="24"/>
          <w:szCs w:val="24"/>
        </w:rPr>
        <w:t>ramipril</w:t>
      </w:r>
      <w:proofErr w:type="spellEnd"/>
      <w:r w:rsidRPr="00F12FD6">
        <w:rPr>
          <w:sz w:val="24"/>
          <w:szCs w:val="24"/>
        </w:rPr>
        <w:t xml:space="preserve"> opnås inden for én time. Absorptionen er på baggrund af urinopsamling mindst 56 % og er ikke signifikant påvirket af tilstedeværelsen af mad i mave-tarm-kanalen. Biotilgængeligheden af den aktive metabolit </w:t>
      </w:r>
      <w:proofErr w:type="spellStart"/>
      <w:r w:rsidRPr="00F12FD6">
        <w:rPr>
          <w:sz w:val="24"/>
          <w:szCs w:val="24"/>
        </w:rPr>
        <w:t>ramiprilat</w:t>
      </w:r>
      <w:proofErr w:type="spellEnd"/>
      <w:r w:rsidRPr="00F12FD6">
        <w:rPr>
          <w:sz w:val="24"/>
          <w:szCs w:val="24"/>
        </w:rPr>
        <w:t xml:space="preserve"> efter oral administration af 2,5 mg og 5 mg </w:t>
      </w:r>
      <w:proofErr w:type="spellStart"/>
      <w:r w:rsidRPr="00F12FD6">
        <w:rPr>
          <w:sz w:val="24"/>
          <w:szCs w:val="24"/>
        </w:rPr>
        <w:t>ramipril</w:t>
      </w:r>
      <w:proofErr w:type="spellEnd"/>
      <w:r w:rsidRPr="00F12FD6">
        <w:rPr>
          <w:sz w:val="24"/>
          <w:szCs w:val="24"/>
        </w:rPr>
        <w:t xml:space="preserve"> er 45 %.</w:t>
      </w:r>
    </w:p>
    <w:p w14:paraId="24C402A0" w14:textId="77777777" w:rsidR="00D2303A" w:rsidRPr="00F12FD6" w:rsidRDefault="00D2303A" w:rsidP="008D7C83">
      <w:pPr>
        <w:ind w:left="851"/>
        <w:rPr>
          <w:sz w:val="24"/>
          <w:szCs w:val="24"/>
        </w:rPr>
      </w:pPr>
      <w:r w:rsidRPr="00F12FD6">
        <w:rPr>
          <w:sz w:val="24"/>
          <w:szCs w:val="24"/>
        </w:rPr>
        <w:t xml:space="preserve">Maksimal plasmakoncentration af </w:t>
      </w:r>
      <w:proofErr w:type="spellStart"/>
      <w:r w:rsidRPr="00F12FD6">
        <w:rPr>
          <w:sz w:val="24"/>
          <w:szCs w:val="24"/>
        </w:rPr>
        <w:t>ramiprilat</w:t>
      </w:r>
      <w:proofErr w:type="spellEnd"/>
      <w:r w:rsidRPr="00F12FD6">
        <w:rPr>
          <w:sz w:val="24"/>
          <w:szCs w:val="24"/>
        </w:rPr>
        <w:t xml:space="preserve">, den eneste aktive metabolit af </w:t>
      </w:r>
      <w:proofErr w:type="spellStart"/>
      <w:r w:rsidRPr="00F12FD6">
        <w:rPr>
          <w:sz w:val="24"/>
          <w:szCs w:val="24"/>
        </w:rPr>
        <w:t>ramipril</w:t>
      </w:r>
      <w:proofErr w:type="spellEnd"/>
      <w:r w:rsidRPr="00F12FD6">
        <w:rPr>
          <w:sz w:val="24"/>
          <w:szCs w:val="24"/>
        </w:rPr>
        <w:t xml:space="preserve">, opnås 2-4 timer efter indtagelse af </w:t>
      </w:r>
      <w:proofErr w:type="spellStart"/>
      <w:r w:rsidRPr="00F12FD6">
        <w:rPr>
          <w:sz w:val="24"/>
          <w:szCs w:val="24"/>
        </w:rPr>
        <w:t>ramipril</w:t>
      </w:r>
      <w:proofErr w:type="spellEnd"/>
      <w:r w:rsidRPr="00F12FD6">
        <w:rPr>
          <w:sz w:val="24"/>
          <w:szCs w:val="24"/>
        </w:rPr>
        <w:t xml:space="preserve">. </w:t>
      </w:r>
      <w:proofErr w:type="spellStart"/>
      <w:r w:rsidRPr="00F12FD6">
        <w:rPr>
          <w:sz w:val="24"/>
          <w:szCs w:val="24"/>
        </w:rPr>
        <w:t>Steady-state</w:t>
      </w:r>
      <w:proofErr w:type="spellEnd"/>
      <w:r w:rsidRPr="00F12FD6">
        <w:rPr>
          <w:sz w:val="24"/>
          <w:szCs w:val="24"/>
        </w:rPr>
        <w:t xml:space="preserve"> plasmakoncentration af </w:t>
      </w:r>
      <w:proofErr w:type="spellStart"/>
      <w:r w:rsidRPr="00F12FD6">
        <w:rPr>
          <w:sz w:val="24"/>
          <w:szCs w:val="24"/>
        </w:rPr>
        <w:t>ramiprilat</w:t>
      </w:r>
      <w:proofErr w:type="spellEnd"/>
      <w:r w:rsidRPr="00F12FD6">
        <w:rPr>
          <w:sz w:val="24"/>
          <w:szCs w:val="24"/>
        </w:rPr>
        <w:t xml:space="preserve"> efter én daglig dosering med sædvanlig dosis </w:t>
      </w:r>
      <w:proofErr w:type="spellStart"/>
      <w:r w:rsidRPr="00F12FD6">
        <w:rPr>
          <w:sz w:val="24"/>
          <w:szCs w:val="24"/>
        </w:rPr>
        <w:t>ramipril</w:t>
      </w:r>
      <w:proofErr w:type="spellEnd"/>
      <w:r w:rsidRPr="00F12FD6">
        <w:rPr>
          <w:sz w:val="24"/>
          <w:szCs w:val="24"/>
        </w:rPr>
        <w:t xml:space="preserve"> opnås omtrent på behandlingens fjerdedag.</w:t>
      </w:r>
    </w:p>
    <w:p w14:paraId="0EA57AC9" w14:textId="77777777" w:rsidR="00D2303A" w:rsidRPr="00F12FD6" w:rsidRDefault="00D2303A" w:rsidP="008D7C83">
      <w:pPr>
        <w:ind w:left="851"/>
        <w:rPr>
          <w:sz w:val="24"/>
          <w:szCs w:val="24"/>
        </w:rPr>
      </w:pPr>
    </w:p>
    <w:p w14:paraId="7D642F82" w14:textId="77777777" w:rsidR="00D2303A" w:rsidRPr="00DC2079" w:rsidRDefault="00D2303A" w:rsidP="008D7C83">
      <w:pPr>
        <w:ind w:left="851"/>
        <w:rPr>
          <w:sz w:val="24"/>
          <w:szCs w:val="24"/>
          <w:u w:val="single"/>
        </w:rPr>
      </w:pPr>
      <w:r w:rsidRPr="00DC2079">
        <w:rPr>
          <w:sz w:val="24"/>
          <w:szCs w:val="24"/>
          <w:u w:val="single"/>
        </w:rPr>
        <w:t>Fordeling</w:t>
      </w:r>
    </w:p>
    <w:p w14:paraId="077F7ACD" w14:textId="77777777" w:rsidR="00D2303A" w:rsidRPr="00F12FD6" w:rsidRDefault="00D2303A" w:rsidP="008D7C83">
      <w:pPr>
        <w:ind w:left="851"/>
        <w:rPr>
          <w:sz w:val="24"/>
          <w:szCs w:val="24"/>
        </w:rPr>
      </w:pPr>
      <w:proofErr w:type="spellStart"/>
      <w:r w:rsidRPr="00F12FD6">
        <w:rPr>
          <w:sz w:val="24"/>
          <w:szCs w:val="24"/>
        </w:rPr>
        <w:t>Ramiprils</w:t>
      </w:r>
      <w:proofErr w:type="spellEnd"/>
      <w:r w:rsidRPr="00F12FD6">
        <w:rPr>
          <w:sz w:val="24"/>
          <w:szCs w:val="24"/>
        </w:rPr>
        <w:t xml:space="preserve"> serum-proteinbinding er omtrent 73 % og omtrent 56 % for </w:t>
      </w:r>
      <w:proofErr w:type="spellStart"/>
      <w:r w:rsidRPr="00F12FD6">
        <w:rPr>
          <w:sz w:val="24"/>
          <w:szCs w:val="24"/>
        </w:rPr>
        <w:t>ramiprilat</w:t>
      </w:r>
      <w:proofErr w:type="spellEnd"/>
      <w:r w:rsidRPr="00F12FD6">
        <w:rPr>
          <w:sz w:val="24"/>
          <w:szCs w:val="24"/>
        </w:rPr>
        <w:t>.</w:t>
      </w:r>
    </w:p>
    <w:p w14:paraId="4096C597" w14:textId="77777777" w:rsidR="00D2303A" w:rsidRPr="00F12FD6" w:rsidRDefault="00D2303A" w:rsidP="008D7C83">
      <w:pPr>
        <w:ind w:left="851"/>
        <w:rPr>
          <w:sz w:val="24"/>
          <w:szCs w:val="24"/>
        </w:rPr>
      </w:pPr>
    </w:p>
    <w:p w14:paraId="732717C1" w14:textId="77777777" w:rsidR="00D2303A" w:rsidRPr="00DC2079" w:rsidRDefault="00D2303A" w:rsidP="008D7C83">
      <w:pPr>
        <w:ind w:left="851"/>
        <w:rPr>
          <w:sz w:val="24"/>
          <w:szCs w:val="24"/>
          <w:u w:val="single"/>
        </w:rPr>
      </w:pPr>
      <w:r w:rsidRPr="00DC2079">
        <w:rPr>
          <w:sz w:val="24"/>
          <w:szCs w:val="24"/>
          <w:u w:val="single"/>
        </w:rPr>
        <w:t>Metabolisme</w:t>
      </w:r>
    </w:p>
    <w:p w14:paraId="3DC74884" w14:textId="77777777" w:rsidR="00D2303A" w:rsidRPr="00F12FD6" w:rsidRDefault="00D2303A" w:rsidP="008D7C83">
      <w:pPr>
        <w:ind w:left="851"/>
        <w:rPr>
          <w:sz w:val="24"/>
          <w:szCs w:val="24"/>
        </w:rPr>
      </w:pPr>
      <w:proofErr w:type="spellStart"/>
      <w:r w:rsidRPr="00F12FD6">
        <w:rPr>
          <w:sz w:val="24"/>
          <w:szCs w:val="24"/>
        </w:rPr>
        <w:t>Ramipril</w:t>
      </w:r>
      <w:proofErr w:type="spellEnd"/>
      <w:r w:rsidRPr="00F12FD6">
        <w:rPr>
          <w:sz w:val="24"/>
          <w:szCs w:val="24"/>
        </w:rPr>
        <w:t xml:space="preserve"> </w:t>
      </w:r>
      <w:proofErr w:type="spellStart"/>
      <w:r w:rsidRPr="00F12FD6">
        <w:rPr>
          <w:sz w:val="24"/>
          <w:szCs w:val="24"/>
        </w:rPr>
        <w:t>metaboliseres</w:t>
      </w:r>
      <w:proofErr w:type="spellEnd"/>
      <w:r w:rsidRPr="00F12FD6">
        <w:rPr>
          <w:sz w:val="24"/>
          <w:szCs w:val="24"/>
        </w:rPr>
        <w:t xml:space="preserve"> næsten fuldstændigt til </w:t>
      </w:r>
      <w:proofErr w:type="spellStart"/>
      <w:r w:rsidRPr="00F12FD6">
        <w:rPr>
          <w:sz w:val="24"/>
          <w:szCs w:val="24"/>
        </w:rPr>
        <w:t>ramiprilat</w:t>
      </w:r>
      <w:proofErr w:type="spellEnd"/>
      <w:r w:rsidRPr="00F12FD6">
        <w:rPr>
          <w:sz w:val="24"/>
          <w:szCs w:val="24"/>
        </w:rPr>
        <w:t xml:space="preserve"> og til </w:t>
      </w:r>
      <w:proofErr w:type="spellStart"/>
      <w:r w:rsidRPr="00F12FD6">
        <w:rPr>
          <w:sz w:val="24"/>
          <w:szCs w:val="24"/>
        </w:rPr>
        <w:t>diketopiperazinestrene</w:t>
      </w:r>
      <w:proofErr w:type="spellEnd"/>
      <w:r w:rsidRPr="00F12FD6">
        <w:rPr>
          <w:sz w:val="24"/>
          <w:szCs w:val="24"/>
        </w:rPr>
        <w:t xml:space="preserve">, </w:t>
      </w:r>
      <w:proofErr w:type="spellStart"/>
      <w:r w:rsidRPr="00F12FD6">
        <w:rPr>
          <w:sz w:val="24"/>
          <w:szCs w:val="24"/>
        </w:rPr>
        <w:t>diketopiperazinsyrerne</w:t>
      </w:r>
      <w:proofErr w:type="spellEnd"/>
      <w:r w:rsidRPr="00F12FD6">
        <w:rPr>
          <w:sz w:val="24"/>
          <w:szCs w:val="24"/>
        </w:rPr>
        <w:t xml:space="preserve"> og </w:t>
      </w:r>
      <w:proofErr w:type="spellStart"/>
      <w:r w:rsidRPr="00F12FD6">
        <w:rPr>
          <w:sz w:val="24"/>
          <w:szCs w:val="24"/>
        </w:rPr>
        <w:t>gluconoriderne</w:t>
      </w:r>
      <w:proofErr w:type="spellEnd"/>
      <w:r w:rsidRPr="00F12FD6">
        <w:rPr>
          <w:sz w:val="24"/>
          <w:szCs w:val="24"/>
        </w:rPr>
        <w:t xml:space="preserve"> af </w:t>
      </w:r>
      <w:proofErr w:type="spellStart"/>
      <w:r w:rsidRPr="00F12FD6">
        <w:rPr>
          <w:sz w:val="24"/>
          <w:szCs w:val="24"/>
        </w:rPr>
        <w:t>ramipril</w:t>
      </w:r>
      <w:proofErr w:type="spellEnd"/>
      <w:r w:rsidRPr="00F12FD6">
        <w:rPr>
          <w:sz w:val="24"/>
          <w:szCs w:val="24"/>
        </w:rPr>
        <w:t xml:space="preserve"> og </w:t>
      </w:r>
      <w:proofErr w:type="spellStart"/>
      <w:r w:rsidRPr="00F12FD6">
        <w:rPr>
          <w:sz w:val="24"/>
          <w:szCs w:val="24"/>
        </w:rPr>
        <w:t>ramiprilat</w:t>
      </w:r>
      <w:proofErr w:type="spellEnd"/>
      <w:r w:rsidRPr="00F12FD6">
        <w:rPr>
          <w:sz w:val="24"/>
          <w:szCs w:val="24"/>
        </w:rPr>
        <w:t>.</w:t>
      </w:r>
    </w:p>
    <w:p w14:paraId="2135BE1B" w14:textId="77777777" w:rsidR="00D2303A" w:rsidRPr="00F12FD6" w:rsidRDefault="00D2303A" w:rsidP="008D7C83">
      <w:pPr>
        <w:ind w:left="851"/>
        <w:rPr>
          <w:sz w:val="24"/>
          <w:szCs w:val="24"/>
        </w:rPr>
      </w:pPr>
    </w:p>
    <w:p w14:paraId="25CAD698" w14:textId="77777777" w:rsidR="00D2303A" w:rsidRPr="00DC2079" w:rsidRDefault="00D2303A" w:rsidP="008D7C83">
      <w:pPr>
        <w:ind w:left="851"/>
        <w:rPr>
          <w:sz w:val="24"/>
          <w:szCs w:val="24"/>
          <w:u w:val="single"/>
        </w:rPr>
      </w:pPr>
      <w:r w:rsidRPr="00DC2079">
        <w:rPr>
          <w:sz w:val="24"/>
          <w:szCs w:val="24"/>
          <w:u w:val="single"/>
        </w:rPr>
        <w:t>Elimination</w:t>
      </w:r>
    </w:p>
    <w:p w14:paraId="71975550" w14:textId="77777777" w:rsidR="00D2303A" w:rsidRPr="00F12FD6" w:rsidRDefault="00D2303A" w:rsidP="008D7C83">
      <w:pPr>
        <w:ind w:left="851"/>
        <w:rPr>
          <w:sz w:val="24"/>
          <w:szCs w:val="24"/>
        </w:rPr>
      </w:pPr>
      <w:r w:rsidRPr="00F12FD6">
        <w:rPr>
          <w:sz w:val="24"/>
          <w:szCs w:val="24"/>
        </w:rPr>
        <w:t xml:space="preserve">Udskillelse af metabolitterne foregår primært </w:t>
      </w:r>
      <w:proofErr w:type="spellStart"/>
      <w:r w:rsidRPr="00F12FD6">
        <w:rPr>
          <w:sz w:val="24"/>
          <w:szCs w:val="24"/>
        </w:rPr>
        <w:t>renalt</w:t>
      </w:r>
      <w:proofErr w:type="spellEnd"/>
      <w:r w:rsidRPr="00F12FD6">
        <w:rPr>
          <w:sz w:val="24"/>
          <w:szCs w:val="24"/>
        </w:rPr>
        <w:t>.</w:t>
      </w:r>
    </w:p>
    <w:p w14:paraId="55B0E4EF" w14:textId="77777777" w:rsidR="00D2303A" w:rsidRPr="00F12FD6" w:rsidRDefault="00D2303A" w:rsidP="008D7C83">
      <w:pPr>
        <w:ind w:left="851"/>
        <w:rPr>
          <w:sz w:val="24"/>
          <w:szCs w:val="24"/>
        </w:rPr>
      </w:pPr>
      <w:proofErr w:type="spellStart"/>
      <w:r w:rsidRPr="00F12FD6">
        <w:rPr>
          <w:sz w:val="24"/>
          <w:szCs w:val="24"/>
        </w:rPr>
        <w:t>Ramiprilats</w:t>
      </w:r>
      <w:proofErr w:type="spellEnd"/>
      <w:r w:rsidRPr="00F12FD6">
        <w:rPr>
          <w:sz w:val="24"/>
          <w:szCs w:val="24"/>
        </w:rPr>
        <w:t xml:space="preserve"> plasmakoncentrationer falder </w:t>
      </w:r>
      <w:proofErr w:type="spellStart"/>
      <w:r w:rsidRPr="00F12FD6">
        <w:rPr>
          <w:sz w:val="24"/>
          <w:szCs w:val="24"/>
        </w:rPr>
        <w:t>polyfasisk</w:t>
      </w:r>
      <w:proofErr w:type="spellEnd"/>
      <w:r w:rsidRPr="00F12FD6">
        <w:rPr>
          <w:sz w:val="24"/>
          <w:szCs w:val="24"/>
        </w:rPr>
        <w:t xml:space="preserve">. Grundet </w:t>
      </w:r>
      <w:proofErr w:type="spellStart"/>
      <w:r w:rsidRPr="00F12FD6">
        <w:rPr>
          <w:sz w:val="24"/>
          <w:szCs w:val="24"/>
        </w:rPr>
        <w:t>ramiprilats</w:t>
      </w:r>
      <w:proofErr w:type="spellEnd"/>
      <w:r w:rsidRPr="00F12FD6">
        <w:rPr>
          <w:sz w:val="24"/>
          <w:szCs w:val="24"/>
        </w:rPr>
        <w:t xml:space="preserve"> potente </w:t>
      </w:r>
      <w:proofErr w:type="spellStart"/>
      <w:r w:rsidRPr="00F12FD6">
        <w:rPr>
          <w:sz w:val="24"/>
          <w:szCs w:val="24"/>
        </w:rPr>
        <w:t>saturable</w:t>
      </w:r>
      <w:proofErr w:type="spellEnd"/>
      <w:r w:rsidRPr="00F12FD6">
        <w:rPr>
          <w:sz w:val="24"/>
          <w:szCs w:val="24"/>
        </w:rPr>
        <w:t xml:space="preserve"> binding til ACE og langsomme adskillelse fra enzymet viser det en forlænget terminal eliminationsfase ved meget lave plasmakoncentrationer.</w:t>
      </w:r>
    </w:p>
    <w:p w14:paraId="7E4B7CDD" w14:textId="77777777" w:rsidR="00D2303A" w:rsidRPr="00F12FD6" w:rsidRDefault="00D2303A" w:rsidP="008D7C83">
      <w:pPr>
        <w:ind w:left="851"/>
        <w:rPr>
          <w:sz w:val="24"/>
          <w:szCs w:val="24"/>
        </w:rPr>
      </w:pPr>
      <w:r w:rsidRPr="00F12FD6">
        <w:rPr>
          <w:sz w:val="24"/>
          <w:szCs w:val="24"/>
        </w:rPr>
        <w:t xml:space="preserve">Efter flere doser </w:t>
      </w:r>
      <w:proofErr w:type="spellStart"/>
      <w:r w:rsidRPr="00F12FD6">
        <w:rPr>
          <w:sz w:val="24"/>
          <w:szCs w:val="24"/>
        </w:rPr>
        <w:t>ramipril</w:t>
      </w:r>
      <w:proofErr w:type="spellEnd"/>
      <w:r w:rsidRPr="00F12FD6">
        <w:rPr>
          <w:sz w:val="24"/>
          <w:szCs w:val="24"/>
        </w:rPr>
        <w:t xml:space="preserve"> én gang dagligt er den effektive halveringstid af </w:t>
      </w:r>
      <w:proofErr w:type="spellStart"/>
      <w:r w:rsidRPr="00F12FD6">
        <w:rPr>
          <w:sz w:val="24"/>
          <w:szCs w:val="24"/>
        </w:rPr>
        <w:t>ramiprilat</w:t>
      </w:r>
      <w:proofErr w:type="spellEnd"/>
      <w:r w:rsidRPr="00F12FD6">
        <w:rPr>
          <w:sz w:val="24"/>
          <w:szCs w:val="24"/>
        </w:rPr>
        <w:t xml:space="preserve">-koncentrationerne 13-17 timer for 5-10 mg doser og længere for de lavere doser på 1,25-2,5 mg. Denne forskel er forbundet med enzymets </w:t>
      </w:r>
      <w:proofErr w:type="spellStart"/>
      <w:r w:rsidRPr="00F12FD6">
        <w:rPr>
          <w:sz w:val="24"/>
          <w:szCs w:val="24"/>
        </w:rPr>
        <w:t>saturable</w:t>
      </w:r>
      <w:proofErr w:type="spellEnd"/>
      <w:r w:rsidRPr="00F12FD6">
        <w:rPr>
          <w:sz w:val="24"/>
          <w:szCs w:val="24"/>
        </w:rPr>
        <w:t xml:space="preserve"> kapacitet til binding af </w:t>
      </w:r>
      <w:proofErr w:type="spellStart"/>
      <w:r w:rsidRPr="00F12FD6">
        <w:rPr>
          <w:sz w:val="24"/>
          <w:szCs w:val="24"/>
        </w:rPr>
        <w:t>ramiprilat</w:t>
      </w:r>
      <w:proofErr w:type="spellEnd"/>
      <w:r w:rsidRPr="00F12FD6">
        <w:rPr>
          <w:sz w:val="24"/>
          <w:szCs w:val="24"/>
        </w:rPr>
        <w:t>.</w:t>
      </w:r>
    </w:p>
    <w:p w14:paraId="31021489" w14:textId="77777777" w:rsidR="00D2303A" w:rsidRPr="00F12FD6" w:rsidRDefault="00D2303A" w:rsidP="008D7C83">
      <w:pPr>
        <w:ind w:left="851"/>
        <w:rPr>
          <w:i/>
          <w:sz w:val="24"/>
          <w:szCs w:val="24"/>
        </w:rPr>
      </w:pPr>
    </w:p>
    <w:p w14:paraId="37DA9520" w14:textId="77777777" w:rsidR="00D2303A" w:rsidRPr="00F12FD6" w:rsidRDefault="00D2303A" w:rsidP="008D7C83">
      <w:pPr>
        <w:ind w:left="851"/>
        <w:rPr>
          <w:sz w:val="24"/>
          <w:szCs w:val="24"/>
        </w:rPr>
      </w:pPr>
      <w:r w:rsidRPr="00F12FD6">
        <w:rPr>
          <w:i/>
          <w:sz w:val="24"/>
          <w:szCs w:val="24"/>
        </w:rPr>
        <w:t xml:space="preserve">Patienter med nedsat nyrefunktion </w:t>
      </w:r>
      <w:r w:rsidRPr="00F12FD6">
        <w:rPr>
          <w:sz w:val="24"/>
          <w:szCs w:val="24"/>
        </w:rPr>
        <w:t>(se pkt. 4.2)</w:t>
      </w:r>
    </w:p>
    <w:p w14:paraId="5797BFCB" w14:textId="77777777" w:rsidR="00D2303A" w:rsidRPr="00F12FD6" w:rsidRDefault="00D2303A" w:rsidP="008D7C83">
      <w:pPr>
        <w:ind w:left="851"/>
        <w:rPr>
          <w:sz w:val="24"/>
          <w:szCs w:val="24"/>
        </w:rPr>
      </w:pPr>
      <w:r w:rsidRPr="00F12FD6">
        <w:rPr>
          <w:sz w:val="24"/>
          <w:szCs w:val="24"/>
        </w:rPr>
        <w:t xml:space="preserve">Hos patienter med nedsat nyrefunktion reduceres den </w:t>
      </w:r>
      <w:proofErr w:type="spellStart"/>
      <w:r w:rsidRPr="00F12FD6">
        <w:rPr>
          <w:sz w:val="24"/>
          <w:szCs w:val="24"/>
        </w:rPr>
        <w:t>renale</w:t>
      </w:r>
      <w:proofErr w:type="spellEnd"/>
      <w:r w:rsidRPr="00F12FD6">
        <w:rPr>
          <w:sz w:val="24"/>
          <w:szCs w:val="24"/>
        </w:rPr>
        <w:t xml:space="preserve"> udskillelse af </w:t>
      </w:r>
      <w:proofErr w:type="spellStart"/>
      <w:r w:rsidRPr="00F12FD6">
        <w:rPr>
          <w:sz w:val="24"/>
          <w:szCs w:val="24"/>
        </w:rPr>
        <w:t>ramiprilat</w:t>
      </w:r>
      <w:proofErr w:type="spellEnd"/>
      <w:r w:rsidRPr="00F12FD6">
        <w:rPr>
          <w:sz w:val="24"/>
          <w:szCs w:val="24"/>
        </w:rPr>
        <w:t xml:space="preserve">, og den </w:t>
      </w:r>
      <w:proofErr w:type="spellStart"/>
      <w:r w:rsidRPr="00F12FD6">
        <w:rPr>
          <w:sz w:val="24"/>
          <w:szCs w:val="24"/>
        </w:rPr>
        <w:t>renale</w:t>
      </w:r>
      <w:proofErr w:type="spellEnd"/>
      <w:r w:rsidRPr="00F12FD6">
        <w:rPr>
          <w:sz w:val="24"/>
          <w:szCs w:val="24"/>
        </w:rPr>
        <w:t xml:space="preserve"> </w:t>
      </w:r>
      <w:proofErr w:type="spellStart"/>
      <w:r w:rsidRPr="00F12FD6">
        <w:rPr>
          <w:sz w:val="24"/>
          <w:szCs w:val="24"/>
        </w:rPr>
        <w:t>ramiprilatclearance</w:t>
      </w:r>
      <w:proofErr w:type="spellEnd"/>
      <w:r w:rsidRPr="00F12FD6">
        <w:rPr>
          <w:sz w:val="24"/>
          <w:szCs w:val="24"/>
        </w:rPr>
        <w:t xml:space="preserve"> er proportionalt forbundet med </w:t>
      </w:r>
      <w:proofErr w:type="spellStart"/>
      <w:r w:rsidRPr="00F12FD6">
        <w:rPr>
          <w:sz w:val="24"/>
          <w:szCs w:val="24"/>
        </w:rPr>
        <w:t>kreatininclearance</w:t>
      </w:r>
      <w:proofErr w:type="spellEnd"/>
      <w:r w:rsidRPr="00F12FD6">
        <w:rPr>
          <w:sz w:val="24"/>
          <w:szCs w:val="24"/>
        </w:rPr>
        <w:t xml:space="preserve">. Det bevirker forhøjede plasmakoncentrationer af </w:t>
      </w:r>
      <w:proofErr w:type="spellStart"/>
      <w:r w:rsidRPr="00F12FD6">
        <w:rPr>
          <w:sz w:val="24"/>
          <w:szCs w:val="24"/>
        </w:rPr>
        <w:t>ramiprilat</w:t>
      </w:r>
      <w:proofErr w:type="spellEnd"/>
      <w:r w:rsidRPr="00F12FD6">
        <w:rPr>
          <w:sz w:val="24"/>
          <w:szCs w:val="24"/>
        </w:rPr>
        <w:t>, der falder langsommere end hos patienter med normal nyrefunktion.</w:t>
      </w:r>
    </w:p>
    <w:p w14:paraId="73A5C069" w14:textId="77777777" w:rsidR="00D2303A" w:rsidRPr="00F12FD6" w:rsidRDefault="00D2303A" w:rsidP="008D7C83">
      <w:pPr>
        <w:ind w:left="851"/>
        <w:rPr>
          <w:sz w:val="24"/>
          <w:szCs w:val="24"/>
        </w:rPr>
      </w:pPr>
    </w:p>
    <w:p w14:paraId="38D36B0A" w14:textId="77777777" w:rsidR="00D2303A" w:rsidRPr="00F12FD6" w:rsidRDefault="00D2303A" w:rsidP="008D7C83">
      <w:pPr>
        <w:ind w:left="851"/>
        <w:rPr>
          <w:sz w:val="24"/>
          <w:szCs w:val="24"/>
        </w:rPr>
      </w:pPr>
      <w:r w:rsidRPr="00F12FD6">
        <w:rPr>
          <w:i/>
          <w:sz w:val="24"/>
          <w:szCs w:val="24"/>
        </w:rPr>
        <w:t xml:space="preserve">Patienter med nedsat leverfunktion </w:t>
      </w:r>
      <w:r w:rsidRPr="00F12FD6">
        <w:rPr>
          <w:sz w:val="24"/>
          <w:szCs w:val="24"/>
        </w:rPr>
        <w:t>(se pkt. 4.2)</w:t>
      </w:r>
    </w:p>
    <w:p w14:paraId="21BE31E1" w14:textId="77777777" w:rsidR="00D2303A" w:rsidRPr="00F12FD6" w:rsidRDefault="00D2303A" w:rsidP="008D7C83">
      <w:pPr>
        <w:ind w:left="851"/>
        <w:rPr>
          <w:sz w:val="24"/>
          <w:szCs w:val="24"/>
        </w:rPr>
      </w:pPr>
      <w:proofErr w:type="spellStart"/>
      <w:r w:rsidRPr="00F12FD6">
        <w:rPr>
          <w:sz w:val="24"/>
          <w:szCs w:val="24"/>
        </w:rPr>
        <w:t>Ramiprils</w:t>
      </w:r>
      <w:proofErr w:type="spellEnd"/>
      <w:r w:rsidRPr="00F12FD6">
        <w:rPr>
          <w:sz w:val="24"/>
          <w:szCs w:val="24"/>
        </w:rPr>
        <w:t xml:space="preserve"> metabolisme til </w:t>
      </w:r>
      <w:proofErr w:type="spellStart"/>
      <w:r w:rsidRPr="00F12FD6">
        <w:rPr>
          <w:sz w:val="24"/>
          <w:szCs w:val="24"/>
        </w:rPr>
        <w:t>ramiprilat</w:t>
      </w:r>
      <w:proofErr w:type="spellEnd"/>
      <w:r w:rsidRPr="00F12FD6">
        <w:rPr>
          <w:sz w:val="24"/>
          <w:szCs w:val="24"/>
        </w:rPr>
        <w:t xml:space="preserve"> var forsinket hos patienter med nedsat leverfunktion grundet nedsat aktivitet af </w:t>
      </w:r>
      <w:proofErr w:type="spellStart"/>
      <w:r w:rsidRPr="00F12FD6">
        <w:rPr>
          <w:sz w:val="24"/>
          <w:szCs w:val="24"/>
        </w:rPr>
        <w:t>leveresteraser</w:t>
      </w:r>
      <w:proofErr w:type="spellEnd"/>
      <w:r w:rsidRPr="00F12FD6">
        <w:rPr>
          <w:sz w:val="24"/>
          <w:szCs w:val="24"/>
        </w:rPr>
        <w:t xml:space="preserve">, og således var plasmakoncentrationen af </w:t>
      </w:r>
      <w:proofErr w:type="spellStart"/>
      <w:r w:rsidRPr="00F12FD6">
        <w:rPr>
          <w:sz w:val="24"/>
          <w:szCs w:val="24"/>
        </w:rPr>
        <w:t>ramipril</w:t>
      </w:r>
      <w:proofErr w:type="spellEnd"/>
      <w:r w:rsidRPr="00F12FD6">
        <w:rPr>
          <w:sz w:val="24"/>
          <w:szCs w:val="24"/>
        </w:rPr>
        <w:t xml:space="preserve"> hos disse patienter forøget. De maksimale koncentrationer af </w:t>
      </w:r>
      <w:proofErr w:type="spellStart"/>
      <w:r w:rsidRPr="00F12FD6">
        <w:rPr>
          <w:sz w:val="24"/>
          <w:szCs w:val="24"/>
        </w:rPr>
        <w:t>ramiprilat</w:t>
      </w:r>
      <w:proofErr w:type="spellEnd"/>
      <w:r w:rsidRPr="00F12FD6">
        <w:rPr>
          <w:sz w:val="24"/>
          <w:szCs w:val="24"/>
        </w:rPr>
        <w:t xml:space="preserve"> hos disse patienter er dog ikke forskellige fra dem, der ses hos patienter med normal leverfunktion.</w:t>
      </w:r>
    </w:p>
    <w:p w14:paraId="188C5703" w14:textId="0FCA1756" w:rsidR="008E0B2A" w:rsidRDefault="008E0B2A">
      <w:pPr>
        <w:rPr>
          <w:sz w:val="24"/>
          <w:szCs w:val="24"/>
        </w:rPr>
      </w:pPr>
      <w:r>
        <w:rPr>
          <w:sz w:val="24"/>
          <w:szCs w:val="24"/>
        </w:rPr>
        <w:br w:type="page"/>
      </w:r>
    </w:p>
    <w:p w14:paraId="56EDE6ED" w14:textId="77777777" w:rsidR="00D2303A" w:rsidRPr="00F12FD6" w:rsidRDefault="00D2303A" w:rsidP="008D7C83">
      <w:pPr>
        <w:ind w:left="851"/>
        <w:rPr>
          <w:sz w:val="24"/>
          <w:szCs w:val="24"/>
        </w:rPr>
      </w:pPr>
    </w:p>
    <w:p w14:paraId="5AF2D280" w14:textId="77777777" w:rsidR="00D2303A" w:rsidRPr="00F12FD6" w:rsidRDefault="00D2303A" w:rsidP="008D7C83">
      <w:pPr>
        <w:ind w:left="851"/>
        <w:rPr>
          <w:i/>
          <w:sz w:val="24"/>
          <w:szCs w:val="24"/>
        </w:rPr>
      </w:pPr>
      <w:r w:rsidRPr="00F12FD6">
        <w:rPr>
          <w:i/>
          <w:sz w:val="24"/>
          <w:szCs w:val="24"/>
        </w:rPr>
        <w:t>Amning</w:t>
      </w:r>
    </w:p>
    <w:p w14:paraId="30824C1F" w14:textId="77777777" w:rsidR="00D2303A" w:rsidRPr="00F12FD6" w:rsidRDefault="00D2303A" w:rsidP="008D7C83">
      <w:pPr>
        <w:ind w:left="851"/>
        <w:rPr>
          <w:sz w:val="24"/>
          <w:szCs w:val="24"/>
        </w:rPr>
      </w:pPr>
      <w:r w:rsidRPr="00F12FD6">
        <w:rPr>
          <w:sz w:val="24"/>
          <w:szCs w:val="24"/>
        </w:rPr>
        <w:t xml:space="preserve">En enkelt oral dosis </w:t>
      </w:r>
      <w:proofErr w:type="spellStart"/>
      <w:r w:rsidRPr="00F12FD6">
        <w:rPr>
          <w:sz w:val="24"/>
          <w:szCs w:val="24"/>
        </w:rPr>
        <w:t>ramipril</w:t>
      </w:r>
      <w:proofErr w:type="spellEnd"/>
      <w:r w:rsidRPr="00F12FD6">
        <w:rPr>
          <w:sz w:val="24"/>
          <w:szCs w:val="24"/>
        </w:rPr>
        <w:t xml:space="preserve"> gav et ikke-</w:t>
      </w:r>
      <w:proofErr w:type="spellStart"/>
      <w:r w:rsidRPr="00F12FD6">
        <w:rPr>
          <w:sz w:val="24"/>
          <w:szCs w:val="24"/>
        </w:rPr>
        <w:t>detekterbart</w:t>
      </w:r>
      <w:proofErr w:type="spellEnd"/>
      <w:r w:rsidRPr="00F12FD6">
        <w:rPr>
          <w:sz w:val="24"/>
          <w:szCs w:val="24"/>
        </w:rPr>
        <w:t xml:space="preserve"> niveau af </w:t>
      </w:r>
      <w:proofErr w:type="spellStart"/>
      <w:r w:rsidRPr="00F12FD6">
        <w:rPr>
          <w:sz w:val="24"/>
          <w:szCs w:val="24"/>
        </w:rPr>
        <w:t>ramipril</w:t>
      </w:r>
      <w:proofErr w:type="spellEnd"/>
      <w:r w:rsidRPr="00F12FD6">
        <w:rPr>
          <w:sz w:val="24"/>
          <w:szCs w:val="24"/>
        </w:rPr>
        <w:t xml:space="preserve"> og dets metabolit i modermælk. Effekten af flere doser kendes imidlertid ikke. </w:t>
      </w:r>
    </w:p>
    <w:p w14:paraId="11AF1004" w14:textId="77777777" w:rsidR="00D2303A" w:rsidRPr="00F12FD6" w:rsidRDefault="00D2303A" w:rsidP="008D7C83">
      <w:pPr>
        <w:ind w:left="851"/>
        <w:rPr>
          <w:sz w:val="24"/>
          <w:szCs w:val="24"/>
        </w:rPr>
      </w:pPr>
    </w:p>
    <w:p w14:paraId="04061943" w14:textId="77777777" w:rsidR="00D2303A" w:rsidRPr="00F12FD6" w:rsidRDefault="00D2303A" w:rsidP="008D7C83">
      <w:pPr>
        <w:ind w:left="851"/>
        <w:rPr>
          <w:i/>
          <w:sz w:val="24"/>
          <w:szCs w:val="24"/>
        </w:rPr>
      </w:pPr>
      <w:r w:rsidRPr="00F12FD6">
        <w:rPr>
          <w:i/>
          <w:sz w:val="24"/>
          <w:szCs w:val="24"/>
        </w:rPr>
        <w:t>Pædiatrisk population</w:t>
      </w:r>
    </w:p>
    <w:p w14:paraId="7903CE77" w14:textId="77777777" w:rsidR="00D2303A" w:rsidRPr="00F12FD6" w:rsidRDefault="00D2303A" w:rsidP="008D7C83">
      <w:pPr>
        <w:ind w:left="851"/>
        <w:rPr>
          <w:sz w:val="24"/>
          <w:szCs w:val="24"/>
        </w:rPr>
      </w:pPr>
      <w:r w:rsidRPr="00F12FD6">
        <w:rPr>
          <w:sz w:val="24"/>
          <w:szCs w:val="24"/>
        </w:rPr>
        <w:t xml:space="preserve">Den </w:t>
      </w:r>
      <w:proofErr w:type="spellStart"/>
      <w:r w:rsidRPr="00F12FD6">
        <w:rPr>
          <w:sz w:val="24"/>
          <w:szCs w:val="24"/>
        </w:rPr>
        <w:t>farmakokinetiske</w:t>
      </w:r>
      <w:proofErr w:type="spellEnd"/>
      <w:r w:rsidRPr="00F12FD6">
        <w:rPr>
          <w:sz w:val="24"/>
          <w:szCs w:val="24"/>
        </w:rPr>
        <w:t xml:space="preserve"> profil af </w:t>
      </w:r>
      <w:proofErr w:type="spellStart"/>
      <w:r w:rsidRPr="00F12FD6">
        <w:rPr>
          <w:sz w:val="24"/>
          <w:szCs w:val="24"/>
        </w:rPr>
        <w:t>ramipril</w:t>
      </w:r>
      <w:proofErr w:type="spellEnd"/>
      <w:r w:rsidRPr="00F12FD6">
        <w:rPr>
          <w:sz w:val="24"/>
          <w:szCs w:val="24"/>
        </w:rPr>
        <w:t xml:space="preserve"> blev undersøgt hos 30 pædiatriske </w:t>
      </w:r>
      <w:proofErr w:type="spellStart"/>
      <w:r w:rsidRPr="00F12FD6">
        <w:rPr>
          <w:sz w:val="24"/>
          <w:szCs w:val="24"/>
        </w:rPr>
        <w:t>hypertensive</w:t>
      </w:r>
      <w:proofErr w:type="spellEnd"/>
      <w:r w:rsidRPr="00F12FD6">
        <w:rPr>
          <w:sz w:val="24"/>
          <w:szCs w:val="24"/>
        </w:rPr>
        <w:t xml:space="preserve"> patienter i alderen 2-16 år med en vægt på &gt;10 kg. Efter doser på 0,05 til 0,2 mg/kg blev </w:t>
      </w:r>
      <w:proofErr w:type="spellStart"/>
      <w:r w:rsidRPr="00F12FD6">
        <w:rPr>
          <w:sz w:val="24"/>
          <w:szCs w:val="24"/>
        </w:rPr>
        <w:t>ramipril</w:t>
      </w:r>
      <w:proofErr w:type="spellEnd"/>
      <w:r w:rsidRPr="00F12FD6">
        <w:rPr>
          <w:sz w:val="24"/>
          <w:szCs w:val="24"/>
        </w:rPr>
        <w:t xml:space="preserve"> hurtigt og i udtalt grad </w:t>
      </w:r>
      <w:proofErr w:type="spellStart"/>
      <w:r w:rsidRPr="00F12FD6">
        <w:rPr>
          <w:sz w:val="24"/>
          <w:szCs w:val="24"/>
        </w:rPr>
        <w:t>metaboliseret</w:t>
      </w:r>
      <w:proofErr w:type="spellEnd"/>
      <w:r w:rsidRPr="00F12FD6">
        <w:rPr>
          <w:sz w:val="24"/>
          <w:szCs w:val="24"/>
        </w:rPr>
        <w:t xml:space="preserve"> til </w:t>
      </w:r>
      <w:proofErr w:type="spellStart"/>
      <w:r w:rsidRPr="00F12FD6">
        <w:rPr>
          <w:sz w:val="24"/>
          <w:szCs w:val="24"/>
        </w:rPr>
        <w:t>ramiprilat</w:t>
      </w:r>
      <w:proofErr w:type="spellEnd"/>
      <w:r w:rsidRPr="00F12FD6">
        <w:rPr>
          <w:sz w:val="24"/>
          <w:szCs w:val="24"/>
        </w:rPr>
        <w:t xml:space="preserve">. </w:t>
      </w:r>
    </w:p>
    <w:p w14:paraId="2214B51A" w14:textId="77777777" w:rsidR="00D2303A" w:rsidRPr="00F12FD6" w:rsidRDefault="00D2303A" w:rsidP="008D7C83">
      <w:pPr>
        <w:ind w:left="851"/>
        <w:rPr>
          <w:sz w:val="24"/>
          <w:szCs w:val="24"/>
        </w:rPr>
      </w:pPr>
      <w:r w:rsidRPr="00F12FD6">
        <w:rPr>
          <w:sz w:val="24"/>
          <w:szCs w:val="24"/>
        </w:rPr>
        <w:t xml:space="preserve">Maksimale plasmakoncentrationer af </w:t>
      </w:r>
      <w:proofErr w:type="spellStart"/>
      <w:r w:rsidRPr="00F12FD6">
        <w:rPr>
          <w:sz w:val="24"/>
          <w:szCs w:val="24"/>
        </w:rPr>
        <w:t>ramiprilat</w:t>
      </w:r>
      <w:proofErr w:type="spellEnd"/>
      <w:r w:rsidRPr="00F12FD6">
        <w:rPr>
          <w:sz w:val="24"/>
          <w:szCs w:val="24"/>
        </w:rPr>
        <w:t xml:space="preserve"> blev nået i løbet af 2-3 timer. </w:t>
      </w:r>
      <w:proofErr w:type="spellStart"/>
      <w:r w:rsidRPr="00F12FD6">
        <w:rPr>
          <w:sz w:val="24"/>
          <w:szCs w:val="24"/>
        </w:rPr>
        <w:t>Ramiprilats</w:t>
      </w:r>
      <w:proofErr w:type="spellEnd"/>
      <w:r w:rsidRPr="00F12FD6">
        <w:rPr>
          <w:sz w:val="24"/>
          <w:szCs w:val="24"/>
        </w:rPr>
        <w:t xml:space="preserve"> </w:t>
      </w:r>
      <w:proofErr w:type="spellStart"/>
      <w:r w:rsidRPr="00F12FD6">
        <w:rPr>
          <w:sz w:val="24"/>
          <w:szCs w:val="24"/>
        </w:rPr>
        <w:t>clearance</w:t>
      </w:r>
      <w:proofErr w:type="spellEnd"/>
      <w:r w:rsidRPr="00F12FD6">
        <w:rPr>
          <w:sz w:val="24"/>
          <w:szCs w:val="24"/>
        </w:rPr>
        <w:t xml:space="preserve"> korrelerede udtalt med såvel resultatet af legemsvægt (p&lt;0,01) som med dosis (p&lt;0,001). </w:t>
      </w:r>
    </w:p>
    <w:p w14:paraId="0F746251" w14:textId="77777777" w:rsidR="00D2303A" w:rsidRPr="00F12FD6" w:rsidRDefault="00D2303A" w:rsidP="008D7C83">
      <w:pPr>
        <w:ind w:left="851"/>
        <w:rPr>
          <w:sz w:val="24"/>
          <w:szCs w:val="24"/>
        </w:rPr>
      </w:pPr>
      <w:proofErr w:type="spellStart"/>
      <w:r w:rsidRPr="00F12FD6">
        <w:rPr>
          <w:sz w:val="24"/>
          <w:szCs w:val="24"/>
        </w:rPr>
        <w:t>Clearance</w:t>
      </w:r>
      <w:proofErr w:type="spellEnd"/>
      <w:r w:rsidRPr="00F12FD6">
        <w:rPr>
          <w:sz w:val="24"/>
          <w:szCs w:val="24"/>
        </w:rPr>
        <w:t xml:space="preserve"> og fordelingsvolumen steg med stigende alder for hver doseringsgruppe.</w:t>
      </w:r>
    </w:p>
    <w:p w14:paraId="7EEC75EB" w14:textId="77777777" w:rsidR="00D2303A" w:rsidRPr="00F12FD6" w:rsidRDefault="00D2303A" w:rsidP="008D7C83">
      <w:pPr>
        <w:ind w:left="851"/>
        <w:rPr>
          <w:sz w:val="24"/>
          <w:szCs w:val="24"/>
        </w:rPr>
      </w:pPr>
      <w:r w:rsidRPr="00F12FD6">
        <w:rPr>
          <w:sz w:val="24"/>
          <w:szCs w:val="24"/>
        </w:rPr>
        <w:t xml:space="preserve">Med en dosis på 0,05 mg/kg til børn blev der opnået eksponeringsniveauer, der var sammenlignelige med dem hos voksne, som blev behandlet med 5 mg </w:t>
      </w:r>
      <w:proofErr w:type="spellStart"/>
      <w:r w:rsidRPr="00F12FD6">
        <w:rPr>
          <w:sz w:val="24"/>
          <w:szCs w:val="24"/>
        </w:rPr>
        <w:t>ramipril</w:t>
      </w:r>
      <w:proofErr w:type="spellEnd"/>
      <w:r w:rsidRPr="00F12FD6">
        <w:rPr>
          <w:sz w:val="24"/>
          <w:szCs w:val="24"/>
        </w:rPr>
        <w:t xml:space="preserve">. </w:t>
      </w:r>
    </w:p>
    <w:p w14:paraId="5074B6ED" w14:textId="77777777" w:rsidR="00D2303A" w:rsidRPr="00F12FD6" w:rsidRDefault="00D2303A" w:rsidP="008D7C83">
      <w:pPr>
        <w:ind w:left="851"/>
        <w:rPr>
          <w:sz w:val="24"/>
          <w:szCs w:val="24"/>
        </w:rPr>
      </w:pPr>
      <w:r w:rsidRPr="00F12FD6">
        <w:rPr>
          <w:sz w:val="24"/>
          <w:szCs w:val="24"/>
        </w:rPr>
        <w:t>Dosis på 0,2 mg/kg til børn resulterede i eksponeringsniveauer, der var højere end den maksimalt anbefalede dosis på 10 mg dagligt til voksne.</w:t>
      </w:r>
    </w:p>
    <w:p w14:paraId="749654D5" w14:textId="77777777" w:rsidR="009260DE" w:rsidRPr="00F12FD6" w:rsidRDefault="009260DE" w:rsidP="009260DE">
      <w:pPr>
        <w:tabs>
          <w:tab w:val="left" w:pos="851"/>
        </w:tabs>
        <w:ind w:left="851"/>
        <w:rPr>
          <w:sz w:val="24"/>
          <w:szCs w:val="24"/>
        </w:rPr>
      </w:pPr>
    </w:p>
    <w:p w14:paraId="464167A4" w14:textId="77777777" w:rsidR="009260DE" w:rsidRPr="00F12FD6" w:rsidRDefault="009260DE" w:rsidP="009260DE">
      <w:pPr>
        <w:tabs>
          <w:tab w:val="left" w:pos="851"/>
        </w:tabs>
        <w:ind w:left="851" w:hanging="851"/>
        <w:rPr>
          <w:b/>
          <w:sz w:val="24"/>
          <w:szCs w:val="24"/>
        </w:rPr>
      </w:pPr>
      <w:r w:rsidRPr="00F12FD6">
        <w:rPr>
          <w:b/>
          <w:sz w:val="24"/>
          <w:szCs w:val="24"/>
        </w:rPr>
        <w:t>5.3</w:t>
      </w:r>
      <w:r w:rsidRPr="00F12FD6">
        <w:rPr>
          <w:b/>
          <w:sz w:val="24"/>
          <w:szCs w:val="24"/>
        </w:rPr>
        <w:tab/>
      </w:r>
      <w:r w:rsidR="00BD7931" w:rsidRPr="00F12FD6">
        <w:rPr>
          <w:b/>
          <w:sz w:val="24"/>
          <w:szCs w:val="24"/>
        </w:rPr>
        <w:t>Non-</w:t>
      </w:r>
      <w:r w:rsidRPr="00F12FD6">
        <w:rPr>
          <w:b/>
          <w:sz w:val="24"/>
          <w:szCs w:val="24"/>
        </w:rPr>
        <w:t>kliniske sikkerhedsdata</w:t>
      </w:r>
    </w:p>
    <w:p w14:paraId="2E8DC859" w14:textId="77777777" w:rsidR="00D2303A" w:rsidRPr="00F12FD6" w:rsidRDefault="00D2303A" w:rsidP="008D7C83">
      <w:pPr>
        <w:ind w:left="851"/>
        <w:rPr>
          <w:rFonts w:eastAsia="MS Mincho"/>
          <w:spacing w:val="-4"/>
          <w:sz w:val="24"/>
          <w:szCs w:val="24"/>
        </w:rPr>
      </w:pPr>
      <w:r w:rsidRPr="00F12FD6">
        <w:rPr>
          <w:sz w:val="24"/>
          <w:szCs w:val="24"/>
        </w:rPr>
        <w:t xml:space="preserve">Oral administration af </w:t>
      </w:r>
      <w:proofErr w:type="spellStart"/>
      <w:r w:rsidRPr="00F12FD6">
        <w:rPr>
          <w:sz w:val="24"/>
          <w:szCs w:val="24"/>
        </w:rPr>
        <w:t>ramipril</w:t>
      </w:r>
      <w:proofErr w:type="spellEnd"/>
      <w:r w:rsidRPr="00F12FD6">
        <w:rPr>
          <w:sz w:val="24"/>
          <w:szCs w:val="24"/>
        </w:rPr>
        <w:t xml:space="preserve"> har ikke vist akut toksicitet hos gnavere og hunde.</w:t>
      </w:r>
    </w:p>
    <w:p w14:paraId="104BB781" w14:textId="77777777" w:rsidR="00D2303A" w:rsidRPr="00F12FD6" w:rsidRDefault="00D2303A" w:rsidP="008D7C83">
      <w:pPr>
        <w:ind w:left="851"/>
        <w:rPr>
          <w:rFonts w:eastAsia="MS Mincho"/>
          <w:sz w:val="24"/>
          <w:szCs w:val="24"/>
        </w:rPr>
      </w:pPr>
      <w:r w:rsidRPr="00F12FD6">
        <w:rPr>
          <w:sz w:val="24"/>
          <w:szCs w:val="24"/>
        </w:rPr>
        <w:t xml:space="preserve">Der er foretaget studier med kronisk oral administration hos rotter, hunde og aber. Der er fundet tegn på plasmaelektrolytskift og ændringer i blodbilledet i disse 3 arter. Som udtryk for </w:t>
      </w:r>
      <w:proofErr w:type="spellStart"/>
      <w:r w:rsidRPr="00F12FD6">
        <w:rPr>
          <w:sz w:val="24"/>
          <w:szCs w:val="24"/>
        </w:rPr>
        <w:t>ramiprils</w:t>
      </w:r>
      <w:proofErr w:type="spellEnd"/>
      <w:r w:rsidRPr="00F12FD6">
        <w:rPr>
          <w:sz w:val="24"/>
          <w:szCs w:val="24"/>
        </w:rPr>
        <w:t xml:space="preserve"> </w:t>
      </w:r>
      <w:proofErr w:type="spellStart"/>
      <w:r w:rsidRPr="00F12FD6">
        <w:rPr>
          <w:sz w:val="24"/>
          <w:szCs w:val="24"/>
        </w:rPr>
        <w:t>farmakodynamiske</w:t>
      </w:r>
      <w:proofErr w:type="spellEnd"/>
      <w:r w:rsidRPr="00F12FD6">
        <w:rPr>
          <w:sz w:val="24"/>
          <w:szCs w:val="24"/>
        </w:rPr>
        <w:t xml:space="preserve"> aktivitet er der noteret udtalt forstørrelse af det </w:t>
      </w:r>
      <w:proofErr w:type="spellStart"/>
      <w:r w:rsidRPr="00F12FD6">
        <w:rPr>
          <w:sz w:val="24"/>
          <w:szCs w:val="24"/>
        </w:rPr>
        <w:t>nærglomerulære</w:t>
      </w:r>
      <w:proofErr w:type="spellEnd"/>
      <w:r w:rsidRPr="00F12FD6">
        <w:rPr>
          <w:sz w:val="24"/>
          <w:szCs w:val="24"/>
        </w:rPr>
        <w:t xml:space="preserve"> apparat hos hunde og aber ved daglige doser på 250 mg/kg/dag. Rotter, hunde og aber tolererede daglige doser på hhv. 2, 2,5 og 8 mg/kg/dag uden skadelige virkninger.</w:t>
      </w:r>
    </w:p>
    <w:p w14:paraId="43CB9A0B" w14:textId="77777777" w:rsidR="00D2303A" w:rsidRPr="00F12FD6" w:rsidRDefault="00D2303A" w:rsidP="008D7C83">
      <w:pPr>
        <w:ind w:left="851"/>
        <w:rPr>
          <w:rFonts w:eastAsia="MS Mincho"/>
          <w:sz w:val="24"/>
          <w:szCs w:val="24"/>
        </w:rPr>
      </w:pPr>
      <w:r w:rsidRPr="00F12FD6">
        <w:rPr>
          <w:sz w:val="24"/>
          <w:szCs w:val="24"/>
        </w:rPr>
        <w:t xml:space="preserve">Reproduktionsstudier hos rotter, kaniner og aber afslørede ingen </w:t>
      </w:r>
      <w:proofErr w:type="spellStart"/>
      <w:r w:rsidRPr="00F12FD6">
        <w:rPr>
          <w:sz w:val="24"/>
          <w:szCs w:val="24"/>
        </w:rPr>
        <w:t>teratogene</w:t>
      </w:r>
      <w:proofErr w:type="spellEnd"/>
      <w:r w:rsidRPr="00F12FD6">
        <w:rPr>
          <w:sz w:val="24"/>
          <w:szCs w:val="24"/>
        </w:rPr>
        <w:t xml:space="preserve"> egenskaber.</w:t>
      </w:r>
    </w:p>
    <w:p w14:paraId="74E16B17" w14:textId="77777777" w:rsidR="00D2303A" w:rsidRPr="00F12FD6" w:rsidRDefault="00D2303A" w:rsidP="008D7C83">
      <w:pPr>
        <w:ind w:left="851"/>
        <w:rPr>
          <w:rFonts w:eastAsia="MS Mincho"/>
          <w:sz w:val="24"/>
          <w:szCs w:val="24"/>
        </w:rPr>
      </w:pPr>
      <w:r w:rsidRPr="00F12FD6">
        <w:rPr>
          <w:sz w:val="24"/>
          <w:szCs w:val="24"/>
        </w:rPr>
        <w:t>Fertiliteten blev ikke hæmmet hos hverken han- eller hunrotter.</w:t>
      </w:r>
    </w:p>
    <w:p w14:paraId="06D63C0F" w14:textId="77777777" w:rsidR="00D2303A" w:rsidRPr="00F12FD6" w:rsidRDefault="00D2303A" w:rsidP="008D7C83">
      <w:pPr>
        <w:ind w:left="851"/>
        <w:rPr>
          <w:rFonts w:eastAsia="MS Mincho"/>
          <w:sz w:val="24"/>
          <w:szCs w:val="24"/>
        </w:rPr>
      </w:pPr>
      <w:r w:rsidRPr="00F12FD6">
        <w:rPr>
          <w:sz w:val="24"/>
          <w:szCs w:val="24"/>
        </w:rPr>
        <w:t xml:space="preserve">Administration af </w:t>
      </w:r>
      <w:proofErr w:type="spellStart"/>
      <w:r w:rsidRPr="00F12FD6">
        <w:rPr>
          <w:sz w:val="24"/>
          <w:szCs w:val="24"/>
        </w:rPr>
        <w:t>ramipril</w:t>
      </w:r>
      <w:proofErr w:type="spellEnd"/>
      <w:r w:rsidRPr="00F12FD6">
        <w:rPr>
          <w:sz w:val="24"/>
          <w:szCs w:val="24"/>
        </w:rPr>
        <w:t xml:space="preserve"> til hunrotter under </w:t>
      </w:r>
      <w:proofErr w:type="spellStart"/>
      <w:r w:rsidRPr="00F12FD6">
        <w:rPr>
          <w:sz w:val="24"/>
          <w:szCs w:val="24"/>
        </w:rPr>
        <w:t>føtalperioden</w:t>
      </w:r>
      <w:proofErr w:type="spellEnd"/>
      <w:r w:rsidRPr="00F12FD6">
        <w:rPr>
          <w:sz w:val="24"/>
          <w:szCs w:val="24"/>
        </w:rPr>
        <w:t xml:space="preserve"> og amning gav irreversible nyreskader (udvidelse af </w:t>
      </w:r>
      <w:proofErr w:type="spellStart"/>
      <w:r w:rsidRPr="00F12FD6">
        <w:rPr>
          <w:sz w:val="24"/>
          <w:szCs w:val="24"/>
        </w:rPr>
        <w:t>renal</w:t>
      </w:r>
      <w:proofErr w:type="spellEnd"/>
      <w:r w:rsidRPr="00F12FD6">
        <w:rPr>
          <w:sz w:val="24"/>
          <w:szCs w:val="24"/>
        </w:rPr>
        <w:t xml:space="preserve"> </w:t>
      </w:r>
      <w:proofErr w:type="spellStart"/>
      <w:r w:rsidRPr="00F12FD6">
        <w:rPr>
          <w:sz w:val="24"/>
          <w:szCs w:val="24"/>
        </w:rPr>
        <w:t>pelvis</w:t>
      </w:r>
      <w:proofErr w:type="spellEnd"/>
      <w:r w:rsidRPr="00F12FD6">
        <w:rPr>
          <w:sz w:val="24"/>
          <w:szCs w:val="24"/>
        </w:rPr>
        <w:t>) hos afkommet ved daglige doser på 50 mg/kg eller højere.</w:t>
      </w:r>
    </w:p>
    <w:p w14:paraId="63CAB1BC" w14:textId="77777777" w:rsidR="00D2303A" w:rsidRPr="00F12FD6" w:rsidRDefault="00D2303A" w:rsidP="008D7C83">
      <w:pPr>
        <w:ind w:left="851"/>
        <w:rPr>
          <w:rFonts w:eastAsia="MS Mincho"/>
          <w:sz w:val="24"/>
          <w:szCs w:val="24"/>
        </w:rPr>
      </w:pPr>
      <w:r w:rsidRPr="00F12FD6">
        <w:rPr>
          <w:sz w:val="24"/>
          <w:szCs w:val="24"/>
        </w:rPr>
        <w:t xml:space="preserve">Udtalt </w:t>
      </w:r>
      <w:proofErr w:type="spellStart"/>
      <w:r w:rsidRPr="00F12FD6">
        <w:rPr>
          <w:sz w:val="24"/>
          <w:szCs w:val="24"/>
        </w:rPr>
        <w:t>mutagenicitetstestning</w:t>
      </w:r>
      <w:proofErr w:type="spellEnd"/>
      <w:r w:rsidRPr="00F12FD6">
        <w:rPr>
          <w:sz w:val="24"/>
          <w:szCs w:val="24"/>
        </w:rPr>
        <w:t xml:space="preserve"> med flere testsystemer har ikke givet nogen indikation på, at </w:t>
      </w:r>
      <w:proofErr w:type="spellStart"/>
      <w:r w:rsidRPr="00F12FD6">
        <w:rPr>
          <w:sz w:val="24"/>
          <w:szCs w:val="24"/>
        </w:rPr>
        <w:t>ramipril</w:t>
      </w:r>
      <w:proofErr w:type="spellEnd"/>
      <w:r w:rsidRPr="00F12FD6">
        <w:rPr>
          <w:sz w:val="24"/>
          <w:szCs w:val="24"/>
        </w:rPr>
        <w:t xml:space="preserve"> har mutagene eller genotoksiske egenskaber.</w:t>
      </w:r>
    </w:p>
    <w:p w14:paraId="591D05E8" w14:textId="0B1B217E" w:rsidR="009260DE" w:rsidRDefault="009260DE" w:rsidP="009260DE">
      <w:pPr>
        <w:tabs>
          <w:tab w:val="left" w:pos="851"/>
        </w:tabs>
        <w:ind w:left="851"/>
        <w:rPr>
          <w:sz w:val="24"/>
          <w:szCs w:val="24"/>
        </w:rPr>
      </w:pPr>
    </w:p>
    <w:p w14:paraId="2AE09001" w14:textId="77777777" w:rsidR="00DC2079" w:rsidRPr="00F12FD6" w:rsidRDefault="00DC2079" w:rsidP="009260DE">
      <w:pPr>
        <w:tabs>
          <w:tab w:val="left" w:pos="851"/>
        </w:tabs>
        <w:ind w:left="851"/>
        <w:rPr>
          <w:sz w:val="24"/>
          <w:szCs w:val="24"/>
        </w:rPr>
      </w:pPr>
    </w:p>
    <w:p w14:paraId="49787D6E" w14:textId="77777777" w:rsidR="009260DE" w:rsidRPr="00F12FD6" w:rsidRDefault="009260DE" w:rsidP="009260DE">
      <w:pPr>
        <w:tabs>
          <w:tab w:val="left" w:pos="851"/>
        </w:tabs>
        <w:ind w:left="851" w:hanging="851"/>
        <w:rPr>
          <w:b/>
          <w:sz w:val="24"/>
          <w:szCs w:val="24"/>
        </w:rPr>
      </w:pPr>
      <w:r w:rsidRPr="00F12FD6">
        <w:rPr>
          <w:b/>
          <w:sz w:val="24"/>
          <w:szCs w:val="24"/>
        </w:rPr>
        <w:t>6.</w:t>
      </w:r>
      <w:r w:rsidRPr="00F12FD6">
        <w:rPr>
          <w:b/>
          <w:sz w:val="24"/>
          <w:szCs w:val="24"/>
        </w:rPr>
        <w:tab/>
        <w:t>FARMACEUTISKE OPLYSNINGER</w:t>
      </w:r>
    </w:p>
    <w:p w14:paraId="2E70D13C" w14:textId="77777777" w:rsidR="009260DE" w:rsidRPr="00F12FD6" w:rsidRDefault="009260DE" w:rsidP="009260DE">
      <w:pPr>
        <w:tabs>
          <w:tab w:val="left" w:pos="851"/>
        </w:tabs>
        <w:ind w:left="851"/>
        <w:rPr>
          <w:sz w:val="24"/>
          <w:szCs w:val="24"/>
        </w:rPr>
      </w:pPr>
    </w:p>
    <w:p w14:paraId="3917B055" w14:textId="77777777" w:rsidR="009260DE" w:rsidRPr="00F12FD6" w:rsidRDefault="009260DE" w:rsidP="009260DE">
      <w:pPr>
        <w:tabs>
          <w:tab w:val="left" w:pos="851"/>
        </w:tabs>
        <w:ind w:left="851" w:hanging="851"/>
        <w:rPr>
          <w:b/>
          <w:sz w:val="24"/>
          <w:szCs w:val="24"/>
        </w:rPr>
      </w:pPr>
      <w:r w:rsidRPr="00F12FD6">
        <w:rPr>
          <w:b/>
          <w:sz w:val="24"/>
          <w:szCs w:val="24"/>
        </w:rPr>
        <w:t>6.1</w:t>
      </w:r>
      <w:r w:rsidRPr="00F12FD6">
        <w:rPr>
          <w:b/>
          <w:sz w:val="24"/>
          <w:szCs w:val="24"/>
        </w:rPr>
        <w:tab/>
        <w:t>Hjælpestoffer</w:t>
      </w:r>
    </w:p>
    <w:p w14:paraId="3DA03868" w14:textId="77777777" w:rsidR="00DC2079" w:rsidRDefault="00DC2079" w:rsidP="00F12FD6">
      <w:pPr>
        <w:ind w:left="851"/>
        <w:rPr>
          <w:sz w:val="24"/>
          <w:szCs w:val="24"/>
        </w:rPr>
      </w:pPr>
    </w:p>
    <w:p w14:paraId="07437150" w14:textId="040136CE" w:rsidR="00D2303A" w:rsidRPr="00DC2079" w:rsidRDefault="00D2303A" w:rsidP="00F12FD6">
      <w:pPr>
        <w:ind w:left="851"/>
        <w:rPr>
          <w:sz w:val="24"/>
          <w:szCs w:val="24"/>
          <w:u w:val="single"/>
          <w:lang w:eastAsia="ro-RO"/>
        </w:rPr>
      </w:pPr>
      <w:r w:rsidRPr="00DC2079">
        <w:rPr>
          <w:sz w:val="24"/>
          <w:szCs w:val="24"/>
          <w:u w:val="single"/>
        </w:rPr>
        <w:t>Ramiliv, 2,5 mg</w:t>
      </w:r>
    </w:p>
    <w:p w14:paraId="415EC5EE" w14:textId="77777777" w:rsidR="00D2303A" w:rsidRPr="00F12FD6" w:rsidRDefault="00D2303A" w:rsidP="00F12FD6">
      <w:pPr>
        <w:ind w:left="851"/>
        <w:rPr>
          <w:rFonts w:eastAsia="Calibri"/>
          <w:sz w:val="24"/>
          <w:szCs w:val="24"/>
        </w:rPr>
      </w:pPr>
      <w:proofErr w:type="spellStart"/>
      <w:r w:rsidRPr="00F12FD6">
        <w:rPr>
          <w:sz w:val="24"/>
          <w:szCs w:val="24"/>
        </w:rPr>
        <w:t>Hydroxypropylcellulose</w:t>
      </w:r>
      <w:proofErr w:type="spellEnd"/>
    </w:p>
    <w:p w14:paraId="6BDC1A51" w14:textId="77777777" w:rsidR="00D2303A" w:rsidRPr="00F12FD6" w:rsidRDefault="00D2303A" w:rsidP="00F12FD6">
      <w:pPr>
        <w:ind w:left="851"/>
        <w:rPr>
          <w:rFonts w:eastAsia="Calibri"/>
          <w:bCs/>
          <w:sz w:val="24"/>
          <w:szCs w:val="24"/>
        </w:rPr>
      </w:pPr>
      <w:r w:rsidRPr="00F12FD6">
        <w:rPr>
          <w:sz w:val="24"/>
          <w:szCs w:val="24"/>
        </w:rPr>
        <w:t xml:space="preserve">Mikrokrystallinsk cellulose </w:t>
      </w:r>
    </w:p>
    <w:p w14:paraId="75EA93FA" w14:textId="77777777" w:rsidR="00D2303A" w:rsidRPr="00F12FD6" w:rsidRDefault="00D2303A" w:rsidP="00F12FD6">
      <w:pPr>
        <w:ind w:left="851"/>
        <w:rPr>
          <w:rFonts w:eastAsia="Calibri"/>
          <w:sz w:val="24"/>
          <w:szCs w:val="24"/>
        </w:rPr>
      </w:pPr>
      <w:r w:rsidRPr="00F12FD6">
        <w:rPr>
          <w:sz w:val="24"/>
          <w:szCs w:val="24"/>
        </w:rPr>
        <w:t>Majsstivelse</w:t>
      </w:r>
    </w:p>
    <w:p w14:paraId="433BD615" w14:textId="77777777" w:rsidR="00D2303A" w:rsidRPr="00F12FD6" w:rsidRDefault="00D2303A" w:rsidP="00F12FD6">
      <w:pPr>
        <w:ind w:left="851"/>
        <w:rPr>
          <w:sz w:val="24"/>
          <w:szCs w:val="24"/>
        </w:rPr>
      </w:pPr>
      <w:proofErr w:type="spellStart"/>
      <w:r w:rsidRPr="00F12FD6">
        <w:rPr>
          <w:sz w:val="24"/>
          <w:szCs w:val="24"/>
        </w:rPr>
        <w:t>Mannitol</w:t>
      </w:r>
      <w:proofErr w:type="spellEnd"/>
      <w:r w:rsidRPr="00F12FD6">
        <w:rPr>
          <w:sz w:val="24"/>
          <w:szCs w:val="24"/>
        </w:rPr>
        <w:t xml:space="preserve"> (E421)</w:t>
      </w:r>
    </w:p>
    <w:p w14:paraId="6990ABA2" w14:textId="77777777" w:rsidR="00D2303A" w:rsidRPr="00F12FD6" w:rsidRDefault="00D2303A" w:rsidP="00F12FD6">
      <w:pPr>
        <w:ind w:left="851"/>
        <w:rPr>
          <w:rFonts w:eastAsia="Calibri"/>
          <w:sz w:val="24"/>
          <w:szCs w:val="24"/>
        </w:rPr>
      </w:pPr>
      <w:proofErr w:type="spellStart"/>
      <w:r w:rsidRPr="00F12FD6">
        <w:rPr>
          <w:sz w:val="24"/>
          <w:szCs w:val="24"/>
        </w:rPr>
        <w:t>Pregelatiniseret</w:t>
      </w:r>
      <w:proofErr w:type="spellEnd"/>
      <w:r w:rsidRPr="00F12FD6">
        <w:rPr>
          <w:sz w:val="24"/>
          <w:szCs w:val="24"/>
        </w:rPr>
        <w:t xml:space="preserve"> stivelse</w:t>
      </w:r>
    </w:p>
    <w:p w14:paraId="6E15550B" w14:textId="77777777" w:rsidR="00D2303A" w:rsidRPr="00F12FD6" w:rsidRDefault="00D2303A" w:rsidP="00F12FD6">
      <w:pPr>
        <w:ind w:left="851"/>
        <w:rPr>
          <w:rFonts w:eastAsia="Calibri"/>
          <w:sz w:val="24"/>
          <w:szCs w:val="24"/>
        </w:rPr>
      </w:pPr>
      <w:r w:rsidRPr="00F12FD6">
        <w:rPr>
          <w:sz w:val="24"/>
          <w:szCs w:val="24"/>
        </w:rPr>
        <w:t>Gul jernoxid (E172)</w:t>
      </w:r>
    </w:p>
    <w:p w14:paraId="436C761D" w14:textId="77777777" w:rsidR="00D2303A" w:rsidRPr="00F12FD6" w:rsidRDefault="00D2303A" w:rsidP="00F12FD6">
      <w:pPr>
        <w:ind w:left="851"/>
        <w:rPr>
          <w:sz w:val="24"/>
          <w:szCs w:val="24"/>
        </w:rPr>
      </w:pPr>
      <w:proofErr w:type="spellStart"/>
      <w:r w:rsidRPr="00F12FD6">
        <w:rPr>
          <w:sz w:val="24"/>
          <w:szCs w:val="24"/>
        </w:rPr>
        <w:t>Natriumstearylfumarat</w:t>
      </w:r>
      <w:proofErr w:type="spellEnd"/>
    </w:p>
    <w:p w14:paraId="32FC1EC3" w14:textId="77777777" w:rsidR="00D2303A" w:rsidRPr="00F12FD6" w:rsidRDefault="00D2303A" w:rsidP="00F12FD6">
      <w:pPr>
        <w:ind w:left="851"/>
        <w:rPr>
          <w:sz w:val="24"/>
          <w:szCs w:val="24"/>
        </w:rPr>
      </w:pPr>
    </w:p>
    <w:p w14:paraId="0D34EBB8" w14:textId="77777777" w:rsidR="00D2303A" w:rsidRPr="00DC2079" w:rsidRDefault="00D2303A" w:rsidP="00F12FD6">
      <w:pPr>
        <w:ind w:left="851"/>
        <w:rPr>
          <w:sz w:val="24"/>
          <w:szCs w:val="24"/>
          <w:u w:val="single"/>
        </w:rPr>
      </w:pPr>
      <w:r w:rsidRPr="00DC2079">
        <w:rPr>
          <w:sz w:val="24"/>
          <w:szCs w:val="24"/>
          <w:u w:val="single"/>
        </w:rPr>
        <w:t>Ramiliv, 5 mg</w:t>
      </w:r>
    </w:p>
    <w:p w14:paraId="4243B342" w14:textId="77777777" w:rsidR="00D2303A" w:rsidRPr="00F12FD6" w:rsidRDefault="00D2303A" w:rsidP="00F12FD6">
      <w:pPr>
        <w:ind w:left="851"/>
        <w:rPr>
          <w:rFonts w:eastAsia="Calibri"/>
          <w:sz w:val="24"/>
          <w:szCs w:val="24"/>
        </w:rPr>
      </w:pPr>
      <w:proofErr w:type="spellStart"/>
      <w:r w:rsidRPr="00F12FD6">
        <w:rPr>
          <w:sz w:val="24"/>
          <w:szCs w:val="24"/>
        </w:rPr>
        <w:t>Hydroxypropylcellulose</w:t>
      </w:r>
      <w:proofErr w:type="spellEnd"/>
    </w:p>
    <w:p w14:paraId="3A40B468" w14:textId="77777777" w:rsidR="00D2303A" w:rsidRPr="00F12FD6" w:rsidRDefault="00D2303A" w:rsidP="00F12FD6">
      <w:pPr>
        <w:ind w:left="851"/>
        <w:rPr>
          <w:rFonts w:eastAsia="Calibri"/>
          <w:bCs/>
          <w:sz w:val="24"/>
          <w:szCs w:val="24"/>
        </w:rPr>
      </w:pPr>
      <w:r w:rsidRPr="00F12FD6">
        <w:rPr>
          <w:sz w:val="24"/>
          <w:szCs w:val="24"/>
        </w:rPr>
        <w:t xml:space="preserve">Mikrokrystallinsk cellulose </w:t>
      </w:r>
    </w:p>
    <w:p w14:paraId="5F55D3EB" w14:textId="77777777" w:rsidR="00D2303A" w:rsidRPr="00F12FD6" w:rsidRDefault="00D2303A" w:rsidP="00F12FD6">
      <w:pPr>
        <w:ind w:left="851"/>
        <w:rPr>
          <w:rFonts w:eastAsia="Calibri"/>
          <w:sz w:val="24"/>
          <w:szCs w:val="24"/>
        </w:rPr>
      </w:pPr>
      <w:r w:rsidRPr="00F12FD6">
        <w:rPr>
          <w:sz w:val="24"/>
          <w:szCs w:val="24"/>
        </w:rPr>
        <w:t>Majsstivelse</w:t>
      </w:r>
    </w:p>
    <w:p w14:paraId="7AAFCBEA" w14:textId="77777777" w:rsidR="00D2303A" w:rsidRPr="00F12FD6" w:rsidRDefault="00D2303A" w:rsidP="00F12FD6">
      <w:pPr>
        <w:ind w:left="851"/>
        <w:rPr>
          <w:rFonts w:eastAsia="Calibri"/>
          <w:sz w:val="24"/>
          <w:szCs w:val="24"/>
        </w:rPr>
      </w:pPr>
      <w:proofErr w:type="spellStart"/>
      <w:r w:rsidRPr="00F12FD6">
        <w:rPr>
          <w:sz w:val="24"/>
          <w:szCs w:val="24"/>
        </w:rPr>
        <w:lastRenderedPageBreak/>
        <w:t>Mannitol</w:t>
      </w:r>
      <w:proofErr w:type="spellEnd"/>
      <w:r w:rsidRPr="00F12FD6">
        <w:rPr>
          <w:sz w:val="24"/>
          <w:szCs w:val="24"/>
        </w:rPr>
        <w:t xml:space="preserve"> (E421)</w:t>
      </w:r>
    </w:p>
    <w:p w14:paraId="452EBF47" w14:textId="77777777" w:rsidR="00D2303A" w:rsidRPr="00F12FD6" w:rsidRDefault="00D2303A" w:rsidP="00F12FD6">
      <w:pPr>
        <w:ind w:left="851"/>
        <w:rPr>
          <w:rFonts w:eastAsia="Calibri"/>
          <w:sz w:val="24"/>
          <w:szCs w:val="24"/>
        </w:rPr>
      </w:pPr>
      <w:proofErr w:type="spellStart"/>
      <w:r w:rsidRPr="00F12FD6">
        <w:rPr>
          <w:sz w:val="24"/>
          <w:szCs w:val="24"/>
        </w:rPr>
        <w:t>Pregelatiniseret</w:t>
      </w:r>
      <w:proofErr w:type="spellEnd"/>
      <w:r w:rsidRPr="00F12FD6">
        <w:rPr>
          <w:sz w:val="24"/>
          <w:szCs w:val="24"/>
        </w:rPr>
        <w:t xml:space="preserve"> stivelse</w:t>
      </w:r>
    </w:p>
    <w:p w14:paraId="2D6CD698" w14:textId="77777777" w:rsidR="00D2303A" w:rsidRPr="00F12FD6" w:rsidRDefault="00D2303A" w:rsidP="00F12FD6">
      <w:pPr>
        <w:ind w:left="851"/>
        <w:rPr>
          <w:rFonts w:eastAsia="Calibri"/>
          <w:sz w:val="24"/>
          <w:szCs w:val="24"/>
        </w:rPr>
      </w:pPr>
      <w:r w:rsidRPr="00F12FD6">
        <w:rPr>
          <w:sz w:val="24"/>
          <w:szCs w:val="24"/>
        </w:rPr>
        <w:t>Rød jernoxid (E172)</w:t>
      </w:r>
    </w:p>
    <w:p w14:paraId="437149DA" w14:textId="77777777" w:rsidR="00D2303A" w:rsidRPr="00F12FD6" w:rsidRDefault="00D2303A" w:rsidP="00F12FD6">
      <w:pPr>
        <w:ind w:left="851"/>
        <w:rPr>
          <w:rFonts w:eastAsia="Calibri"/>
          <w:sz w:val="24"/>
          <w:szCs w:val="24"/>
        </w:rPr>
      </w:pPr>
      <w:proofErr w:type="spellStart"/>
      <w:r w:rsidRPr="00F12FD6">
        <w:rPr>
          <w:sz w:val="24"/>
          <w:szCs w:val="24"/>
        </w:rPr>
        <w:t>Natriumstearylfumarat</w:t>
      </w:r>
      <w:proofErr w:type="spellEnd"/>
    </w:p>
    <w:p w14:paraId="6C2B18B8" w14:textId="77777777" w:rsidR="00D2303A" w:rsidRPr="00DC2079" w:rsidRDefault="00D2303A" w:rsidP="00F12FD6">
      <w:pPr>
        <w:ind w:left="851"/>
        <w:rPr>
          <w:rFonts w:eastAsia="Calibri"/>
          <w:sz w:val="24"/>
          <w:szCs w:val="24"/>
        </w:rPr>
      </w:pPr>
    </w:p>
    <w:p w14:paraId="4C603398" w14:textId="77777777" w:rsidR="00D2303A" w:rsidRPr="00DC2079" w:rsidRDefault="00D2303A" w:rsidP="00F12FD6">
      <w:pPr>
        <w:ind w:left="851"/>
        <w:rPr>
          <w:sz w:val="24"/>
          <w:szCs w:val="24"/>
          <w:u w:val="single"/>
        </w:rPr>
      </w:pPr>
      <w:r w:rsidRPr="00DC2079">
        <w:rPr>
          <w:sz w:val="24"/>
          <w:szCs w:val="24"/>
          <w:u w:val="single"/>
        </w:rPr>
        <w:t>Ramiliv, 10 mg</w:t>
      </w:r>
    </w:p>
    <w:p w14:paraId="21A825AA" w14:textId="77777777" w:rsidR="00D2303A" w:rsidRPr="00F12FD6" w:rsidRDefault="00D2303A" w:rsidP="00F12FD6">
      <w:pPr>
        <w:ind w:left="851"/>
        <w:rPr>
          <w:rFonts w:eastAsia="Calibri"/>
          <w:sz w:val="24"/>
          <w:szCs w:val="24"/>
        </w:rPr>
      </w:pPr>
      <w:proofErr w:type="spellStart"/>
      <w:r w:rsidRPr="00F12FD6">
        <w:rPr>
          <w:sz w:val="24"/>
          <w:szCs w:val="24"/>
        </w:rPr>
        <w:t>Hydroxypropylcellulose</w:t>
      </w:r>
      <w:proofErr w:type="spellEnd"/>
    </w:p>
    <w:p w14:paraId="4AB99D42" w14:textId="77777777" w:rsidR="00D2303A" w:rsidRPr="00F12FD6" w:rsidRDefault="00D2303A" w:rsidP="00F12FD6">
      <w:pPr>
        <w:ind w:left="851"/>
        <w:rPr>
          <w:rFonts w:eastAsia="Calibri"/>
          <w:bCs/>
          <w:sz w:val="24"/>
          <w:szCs w:val="24"/>
        </w:rPr>
      </w:pPr>
      <w:r w:rsidRPr="00F12FD6">
        <w:rPr>
          <w:sz w:val="24"/>
          <w:szCs w:val="24"/>
        </w:rPr>
        <w:t xml:space="preserve">Mikrokrystallinsk cellulose </w:t>
      </w:r>
    </w:p>
    <w:p w14:paraId="4DD2D726" w14:textId="77777777" w:rsidR="00D2303A" w:rsidRPr="00F12FD6" w:rsidRDefault="00D2303A" w:rsidP="00F12FD6">
      <w:pPr>
        <w:ind w:left="851"/>
        <w:rPr>
          <w:rFonts w:eastAsia="Calibri"/>
          <w:sz w:val="24"/>
          <w:szCs w:val="24"/>
        </w:rPr>
      </w:pPr>
      <w:r w:rsidRPr="00F12FD6">
        <w:rPr>
          <w:sz w:val="24"/>
          <w:szCs w:val="24"/>
        </w:rPr>
        <w:t>Majsstivelse</w:t>
      </w:r>
    </w:p>
    <w:p w14:paraId="2C94B568" w14:textId="77777777" w:rsidR="00D2303A" w:rsidRPr="00F12FD6" w:rsidRDefault="00D2303A" w:rsidP="00F12FD6">
      <w:pPr>
        <w:ind w:left="851"/>
        <w:rPr>
          <w:rFonts w:eastAsia="Calibri"/>
          <w:sz w:val="24"/>
          <w:szCs w:val="24"/>
        </w:rPr>
      </w:pPr>
      <w:proofErr w:type="spellStart"/>
      <w:r w:rsidRPr="00F12FD6">
        <w:rPr>
          <w:sz w:val="24"/>
          <w:szCs w:val="24"/>
        </w:rPr>
        <w:t>Mannitol</w:t>
      </w:r>
      <w:proofErr w:type="spellEnd"/>
      <w:r w:rsidRPr="00F12FD6">
        <w:rPr>
          <w:sz w:val="24"/>
          <w:szCs w:val="24"/>
        </w:rPr>
        <w:t xml:space="preserve"> (E421)</w:t>
      </w:r>
    </w:p>
    <w:p w14:paraId="60002022" w14:textId="77777777" w:rsidR="00D2303A" w:rsidRPr="00F12FD6" w:rsidRDefault="00D2303A" w:rsidP="00F12FD6">
      <w:pPr>
        <w:ind w:left="851"/>
        <w:rPr>
          <w:rFonts w:eastAsia="Calibri"/>
          <w:sz w:val="24"/>
          <w:szCs w:val="24"/>
        </w:rPr>
      </w:pPr>
      <w:proofErr w:type="spellStart"/>
      <w:r w:rsidRPr="00F12FD6">
        <w:rPr>
          <w:sz w:val="24"/>
          <w:szCs w:val="24"/>
        </w:rPr>
        <w:t>Pregelatiniseret</w:t>
      </w:r>
      <w:proofErr w:type="spellEnd"/>
      <w:r w:rsidRPr="00F12FD6">
        <w:rPr>
          <w:sz w:val="24"/>
          <w:szCs w:val="24"/>
        </w:rPr>
        <w:t xml:space="preserve"> stivelse</w:t>
      </w:r>
    </w:p>
    <w:p w14:paraId="7FDDB1E2" w14:textId="77777777" w:rsidR="00D2303A" w:rsidRPr="00F12FD6" w:rsidRDefault="00D2303A" w:rsidP="00F12FD6">
      <w:pPr>
        <w:ind w:left="851"/>
        <w:rPr>
          <w:rFonts w:eastAsia="Calibri"/>
          <w:sz w:val="24"/>
          <w:szCs w:val="24"/>
        </w:rPr>
      </w:pPr>
      <w:proofErr w:type="spellStart"/>
      <w:r w:rsidRPr="00F12FD6">
        <w:rPr>
          <w:sz w:val="24"/>
          <w:szCs w:val="24"/>
        </w:rPr>
        <w:t>Natriumstearylfumarat</w:t>
      </w:r>
      <w:proofErr w:type="spellEnd"/>
    </w:p>
    <w:p w14:paraId="5DBD2F7C" w14:textId="77777777" w:rsidR="009260DE" w:rsidRPr="00F12FD6" w:rsidRDefault="009260DE" w:rsidP="009260DE">
      <w:pPr>
        <w:tabs>
          <w:tab w:val="left" w:pos="851"/>
        </w:tabs>
        <w:ind w:left="851"/>
        <w:rPr>
          <w:sz w:val="24"/>
          <w:szCs w:val="24"/>
        </w:rPr>
      </w:pPr>
    </w:p>
    <w:p w14:paraId="3DD383D6" w14:textId="77777777" w:rsidR="009260DE" w:rsidRPr="00F12FD6" w:rsidRDefault="009260DE" w:rsidP="009260DE">
      <w:pPr>
        <w:tabs>
          <w:tab w:val="left" w:pos="851"/>
        </w:tabs>
        <w:ind w:left="851" w:hanging="851"/>
        <w:rPr>
          <w:b/>
          <w:sz w:val="24"/>
          <w:szCs w:val="24"/>
        </w:rPr>
      </w:pPr>
      <w:r w:rsidRPr="00F12FD6">
        <w:rPr>
          <w:b/>
          <w:sz w:val="24"/>
          <w:szCs w:val="24"/>
        </w:rPr>
        <w:t>6.2</w:t>
      </w:r>
      <w:r w:rsidRPr="00F12FD6">
        <w:rPr>
          <w:b/>
          <w:sz w:val="24"/>
          <w:szCs w:val="24"/>
        </w:rPr>
        <w:tab/>
        <w:t>Uforligeligheder</w:t>
      </w:r>
    </w:p>
    <w:p w14:paraId="7EA8362C" w14:textId="77777777" w:rsidR="00D2303A" w:rsidRPr="00F12FD6" w:rsidRDefault="00D2303A" w:rsidP="00F12FD6">
      <w:pPr>
        <w:ind w:left="851"/>
        <w:rPr>
          <w:sz w:val="24"/>
          <w:szCs w:val="24"/>
        </w:rPr>
      </w:pPr>
      <w:r w:rsidRPr="00F12FD6">
        <w:rPr>
          <w:sz w:val="24"/>
          <w:szCs w:val="24"/>
        </w:rPr>
        <w:t>Ikke relevant.</w:t>
      </w:r>
    </w:p>
    <w:p w14:paraId="124DE044" w14:textId="77777777" w:rsidR="009260DE" w:rsidRPr="00F12FD6" w:rsidRDefault="009260DE" w:rsidP="009260DE">
      <w:pPr>
        <w:tabs>
          <w:tab w:val="left" w:pos="851"/>
        </w:tabs>
        <w:ind w:left="851"/>
        <w:rPr>
          <w:sz w:val="24"/>
          <w:szCs w:val="24"/>
        </w:rPr>
      </w:pPr>
    </w:p>
    <w:p w14:paraId="7999C7A9" w14:textId="77777777" w:rsidR="00DC2079" w:rsidRDefault="00DC2079" w:rsidP="00DC2079">
      <w:pPr>
        <w:tabs>
          <w:tab w:val="left" w:pos="851"/>
        </w:tabs>
        <w:ind w:left="851" w:hanging="851"/>
        <w:rPr>
          <w:b/>
          <w:sz w:val="24"/>
          <w:szCs w:val="24"/>
        </w:rPr>
      </w:pPr>
      <w:r>
        <w:rPr>
          <w:b/>
          <w:sz w:val="24"/>
          <w:szCs w:val="24"/>
        </w:rPr>
        <w:t>6.3</w:t>
      </w:r>
      <w:r>
        <w:rPr>
          <w:b/>
          <w:sz w:val="24"/>
          <w:szCs w:val="24"/>
        </w:rPr>
        <w:tab/>
        <w:t>Opbevaringstid</w:t>
      </w:r>
    </w:p>
    <w:p w14:paraId="222FAF29" w14:textId="77777777" w:rsidR="00DC2079" w:rsidRDefault="00DC2079" w:rsidP="00F12FD6">
      <w:pPr>
        <w:ind w:left="851"/>
        <w:rPr>
          <w:sz w:val="24"/>
          <w:szCs w:val="24"/>
          <w:u w:val="single"/>
        </w:rPr>
      </w:pPr>
    </w:p>
    <w:p w14:paraId="4AE3DD90" w14:textId="1B8D98E8" w:rsidR="00D2303A" w:rsidRPr="00F12FD6" w:rsidRDefault="00D2303A" w:rsidP="00F12FD6">
      <w:pPr>
        <w:ind w:left="851"/>
        <w:rPr>
          <w:sz w:val="24"/>
          <w:szCs w:val="24"/>
          <w:u w:val="single"/>
          <w:lang w:eastAsia="ro-RO"/>
        </w:rPr>
      </w:pPr>
      <w:r w:rsidRPr="00F12FD6">
        <w:rPr>
          <w:sz w:val="24"/>
          <w:szCs w:val="24"/>
          <w:u w:val="single"/>
        </w:rPr>
        <w:t>Ramiliv, 2.5 mg, Ramiliv 5 mg</w:t>
      </w:r>
    </w:p>
    <w:p w14:paraId="22B7CA7C" w14:textId="77777777" w:rsidR="00D2303A" w:rsidRPr="00F12FD6" w:rsidRDefault="00D2303A" w:rsidP="00F12FD6">
      <w:pPr>
        <w:ind w:left="851"/>
        <w:rPr>
          <w:sz w:val="24"/>
          <w:szCs w:val="24"/>
        </w:rPr>
      </w:pPr>
      <w:r w:rsidRPr="00F12FD6">
        <w:rPr>
          <w:sz w:val="24"/>
          <w:szCs w:val="24"/>
        </w:rPr>
        <w:t>2 år</w:t>
      </w:r>
    </w:p>
    <w:p w14:paraId="7FDFC378" w14:textId="77777777" w:rsidR="00D2303A" w:rsidRPr="00F12FD6" w:rsidRDefault="00D2303A" w:rsidP="00F12FD6">
      <w:pPr>
        <w:ind w:left="851"/>
        <w:rPr>
          <w:sz w:val="24"/>
          <w:szCs w:val="24"/>
        </w:rPr>
      </w:pPr>
    </w:p>
    <w:p w14:paraId="465ADD49" w14:textId="77777777" w:rsidR="00D2303A" w:rsidRPr="00F12FD6" w:rsidRDefault="00D2303A" w:rsidP="00F12FD6">
      <w:pPr>
        <w:ind w:left="851"/>
        <w:rPr>
          <w:sz w:val="24"/>
          <w:szCs w:val="24"/>
          <w:u w:val="single"/>
        </w:rPr>
      </w:pPr>
      <w:r w:rsidRPr="00F12FD6">
        <w:rPr>
          <w:sz w:val="24"/>
          <w:szCs w:val="24"/>
          <w:u w:val="single"/>
        </w:rPr>
        <w:t>Ramiliv, 10 mg</w:t>
      </w:r>
    </w:p>
    <w:p w14:paraId="26E81BC1" w14:textId="77777777" w:rsidR="00D2303A" w:rsidRPr="00F12FD6" w:rsidRDefault="00D2303A" w:rsidP="00F12FD6">
      <w:pPr>
        <w:ind w:left="851"/>
        <w:rPr>
          <w:sz w:val="24"/>
          <w:szCs w:val="24"/>
        </w:rPr>
      </w:pPr>
      <w:r w:rsidRPr="00F12FD6">
        <w:rPr>
          <w:sz w:val="24"/>
          <w:szCs w:val="24"/>
        </w:rPr>
        <w:t>3 år</w:t>
      </w:r>
    </w:p>
    <w:p w14:paraId="21811D9E" w14:textId="77777777" w:rsidR="009260DE" w:rsidRPr="00F12FD6" w:rsidRDefault="009260DE" w:rsidP="009260DE">
      <w:pPr>
        <w:tabs>
          <w:tab w:val="left" w:pos="851"/>
        </w:tabs>
        <w:ind w:left="851"/>
        <w:rPr>
          <w:sz w:val="24"/>
          <w:szCs w:val="24"/>
        </w:rPr>
      </w:pPr>
    </w:p>
    <w:p w14:paraId="7159FBA1" w14:textId="77777777" w:rsidR="009260DE" w:rsidRPr="00F12FD6" w:rsidRDefault="009260DE" w:rsidP="009260DE">
      <w:pPr>
        <w:tabs>
          <w:tab w:val="left" w:pos="851"/>
        </w:tabs>
        <w:ind w:left="851" w:hanging="851"/>
        <w:rPr>
          <w:b/>
          <w:sz w:val="24"/>
          <w:szCs w:val="24"/>
        </w:rPr>
      </w:pPr>
      <w:r w:rsidRPr="00F12FD6">
        <w:rPr>
          <w:b/>
          <w:sz w:val="24"/>
          <w:szCs w:val="24"/>
        </w:rPr>
        <w:t>6.4</w:t>
      </w:r>
      <w:r w:rsidRPr="00F12FD6">
        <w:rPr>
          <w:b/>
          <w:sz w:val="24"/>
          <w:szCs w:val="24"/>
        </w:rPr>
        <w:tab/>
        <w:t>Særlige opbevaringsforhold</w:t>
      </w:r>
    </w:p>
    <w:p w14:paraId="5B927711" w14:textId="77777777" w:rsidR="00DC2079" w:rsidRDefault="00DC2079" w:rsidP="00F12FD6">
      <w:pPr>
        <w:ind w:left="851"/>
        <w:rPr>
          <w:sz w:val="24"/>
          <w:szCs w:val="24"/>
        </w:rPr>
      </w:pPr>
    </w:p>
    <w:p w14:paraId="0AAB7570" w14:textId="1A5F7830" w:rsidR="00D2303A" w:rsidRPr="00DC2079" w:rsidRDefault="00D2303A" w:rsidP="00F12FD6">
      <w:pPr>
        <w:ind w:left="851"/>
        <w:rPr>
          <w:sz w:val="24"/>
          <w:szCs w:val="24"/>
          <w:u w:val="single"/>
          <w:lang w:eastAsia="ro-RO"/>
        </w:rPr>
      </w:pPr>
      <w:r w:rsidRPr="00DC2079">
        <w:rPr>
          <w:sz w:val="24"/>
          <w:szCs w:val="24"/>
          <w:u w:val="single"/>
        </w:rPr>
        <w:t>Ramiliv, 10 mg</w:t>
      </w:r>
    </w:p>
    <w:p w14:paraId="2AC89E17" w14:textId="77777777" w:rsidR="008E0B2A" w:rsidRDefault="00D2303A" w:rsidP="00F12FD6">
      <w:pPr>
        <w:ind w:left="851"/>
        <w:rPr>
          <w:sz w:val="24"/>
          <w:szCs w:val="24"/>
        </w:rPr>
      </w:pPr>
      <w:r w:rsidRPr="00F12FD6">
        <w:rPr>
          <w:sz w:val="24"/>
          <w:szCs w:val="24"/>
        </w:rPr>
        <w:t xml:space="preserve">Dette lægemiddel kræver ingen særlige forholdsregler vedrørende opbevaringen. </w:t>
      </w:r>
    </w:p>
    <w:p w14:paraId="6EC4F9B7" w14:textId="7FC10423" w:rsidR="00D2303A" w:rsidRPr="00F12FD6" w:rsidRDefault="00D2303A" w:rsidP="00F12FD6">
      <w:pPr>
        <w:ind w:left="851"/>
        <w:rPr>
          <w:sz w:val="24"/>
          <w:szCs w:val="24"/>
        </w:rPr>
      </w:pPr>
      <w:r w:rsidRPr="00F12FD6">
        <w:rPr>
          <w:sz w:val="24"/>
          <w:szCs w:val="24"/>
        </w:rPr>
        <w:t>Opbevares i den originale pakning for at beskytte mod lys.</w:t>
      </w:r>
    </w:p>
    <w:p w14:paraId="15ACCBE2" w14:textId="77777777" w:rsidR="00D2303A" w:rsidRPr="00F12FD6" w:rsidRDefault="00D2303A" w:rsidP="00F12FD6">
      <w:pPr>
        <w:ind w:left="851"/>
        <w:rPr>
          <w:sz w:val="24"/>
          <w:szCs w:val="24"/>
        </w:rPr>
      </w:pPr>
    </w:p>
    <w:p w14:paraId="21164DE2" w14:textId="77777777" w:rsidR="00D2303A" w:rsidRPr="00DC2079" w:rsidRDefault="00D2303A" w:rsidP="00F12FD6">
      <w:pPr>
        <w:ind w:left="851"/>
        <w:rPr>
          <w:sz w:val="24"/>
          <w:szCs w:val="24"/>
          <w:u w:val="single"/>
        </w:rPr>
      </w:pPr>
      <w:r w:rsidRPr="00DC2079">
        <w:rPr>
          <w:sz w:val="24"/>
          <w:szCs w:val="24"/>
          <w:u w:val="single"/>
        </w:rPr>
        <w:t>Ramiliv, 2,5 mg, Ramiliv 5 mg</w:t>
      </w:r>
    </w:p>
    <w:p w14:paraId="6D6168A6" w14:textId="77777777" w:rsidR="008E0B2A" w:rsidRDefault="00D2303A" w:rsidP="00F12FD6">
      <w:pPr>
        <w:ind w:left="851"/>
        <w:rPr>
          <w:sz w:val="24"/>
          <w:szCs w:val="24"/>
        </w:rPr>
      </w:pPr>
      <w:r w:rsidRPr="00F12FD6">
        <w:rPr>
          <w:sz w:val="24"/>
          <w:szCs w:val="24"/>
        </w:rPr>
        <w:t xml:space="preserve">Opbevares ved temperaturer under 30 °C. </w:t>
      </w:r>
    </w:p>
    <w:p w14:paraId="6FB69417" w14:textId="6D659711" w:rsidR="00D2303A" w:rsidRPr="00F12FD6" w:rsidRDefault="00D2303A" w:rsidP="00F12FD6">
      <w:pPr>
        <w:ind w:left="851"/>
        <w:rPr>
          <w:sz w:val="24"/>
          <w:szCs w:val="24"/>
        </w:rPr>
      </w:pPr>
      <w:r w:rsidRPr="00F12FD6">
        <w:rPr>
          <w:sz w:val="24"/>
          <w:szCs w:val="24"/>
        </w:rPr>
        <w:t>Opbevares i den originale pakning for at beskytte mod lys.</w:t>
      </w:r>
    </w:p>
    <w:p w14:paraId="2C6795EA" w14:textId="77777777" w:rsidR="009260DE" w:rsidRPr="00F12FD6" w:rsidRDefault="009260DE" w:rsidP="009260DE">
      <w:pPr>
        <w:tabs>
          <w:tab w:val="left" w:pos="851"/>
        </w:tabs>
        <w:ind w:left="851"/>
        <w:rPr>
          <w:sz w:val="24"/>
          <w:szCs w:val="24"/>
        </w:rPr>
      </w:pPr>
    </w:p>
    <w:p w14:paraId="1CEEECE7" w14:textId="77777777" w:rsidR="009260DE" w:rsidRPr="00F12FD6" w:rsidRDefault="009260DE" w:rsidP="009260DE">
      <w:pPr>
        <w:tabs>
          <w:tab w:val="left" w:pos="851"/>
        </w:tabs>
        <w:ind w:left="851" w:hanging="851"/>
        <w:rPr>
          <w:b/>
          <w:sz w:val="24"/>
          <w:szCs w:val="24"/>
        </w:rPr>
      </w:pPr>
      <w:r w:rsidRPr="00F12FD6">
        <w:rPr>
          <w:b/>
          <w:sz w:val="24"/>
          <w:szCs w:val="24"/>
        </w:rPr>
        <w:t>6.5</w:t>
      </w:r>
      <w:r w:rsidRPr="00F12FD6">
        <w:rPr>
          <w:b/>
          <w:sz w:val="24"/>
          <w:szCs w:val="24"/>
        </w:rPr>
        <w:tab/>
        <w:t>Emballagetype og pakningsstørrelser</w:t>
      </w:r>
    </w:p>
    <w:p w14:paraId="522C27A0" w14:textId="0ADF3BD1" w:rsidR="00D2303A" w:rsidRPr="00F12FD6" w:rsidRDefault="00D2303A" w:rsidP="00F12FD6">
      <w:pPr>
        <w:ind w:left="851"/>
        <w:rPr>
          <w:sz w:val="24"/>
          <w:szCs w:val="24"/>
          <w:lang w:eastAsia="ro-RO"/>
        </w:rPr>
      </w:pPr>
      <w:r w:rsidRPr="00F12FD6">
        <w:rPr>
          <w:sz w:val="24"/>
          <w:szCs w:val="24"/>
        </w:rPr>
        <w:t>Karton med OPA-Al-PVC/blisterpakninger af aluminium med 10 tabletter</w:t>
      </w:r>
      <w:r w:rsidR="008E0B2A">
        <w:rPr>
          <w:sz w:val="24"/>
          <w:szCs w:val="24"/>
        </w:rPr>
        <w:t>.</w:t>
      </w:r>
    </w:p>
    <w:p w14:paraId="79AD5D3F" w14:textId="77777777" w:rsidR="008E0B2A" w:rsidRDefault="008E0B2A" w:rsidP="00F12FD6">
      <w:pPr>
        <w:ind w:left="851"/>
        <w:rPr>
          <w:sz w:val="24"/>
          <w:szCs w:val="24"/>
        </w:rPr>
      </w:pPr>
    </w:p>
    <w:p w14:paraId="02F8F9F3" w14:textId="4CF8A3B6" w:rsidR="00D2303A" w:rsidRPr="008E0B2A" w:rsidRDefault="00D2303A" w:rsidP="00F12FD6">
      <w:pPr>
        <w:ind w:left="851"/>
        <w:rPr>
          <w:sz w:val="24"/>
          <w:szCs w:val="24"/>
          <w:u w:val="single"/>
        </w:rPr>
      </w:pPr>
      <w:r w:rsidRPr="008E0B2A">
        <w:rPr>
          <w:sz w:val="24"/>
          <w:szCs w:val="24"/>
          <w:u w:val="single"/>
        </w:rPr>
        <w:t>Pakningsstørrelser:</w:t>
      </w:r>
      <w:bookmarkStart w:id="0" w:name="_Hlk103234065"/>
    </w:p>
    <w:p w14:paraId="24998412" w14:textId="77777777" w:rsidR="00D2303A" w:rsidRPr="00F12FD6" w:rsidRDefault="00D2303A" w:rsidP="00F12FD6">
      <w:pPr>
        <w:ind w:left="851"/>
        <w:rPr>
          <w:sz w:val="24"/>
          <w:szCs w:val="24"/>
        </w:rPr>
      </w:pPr>
      <w:r w:rsidRPr="00F12FD6">
        <w:rPr>
          <w:sz w:val="24"/>
          <w:szCs w:val="24"/>
        </w:rPr>
        <w:t>30, 100, 250 og 500 tabletter</w:t>
      </w:r>
      <w:bookmarkEnd w:id="0"/>
    </w:p>
    <w:p w14:paraId="306C6123" w14:textId="77777777" w:rsidR="00D2303A" w:rsidRPr="00F12FD6" w:rsidRDefault="00D2303A" w:rsidP="00F12FD6">
      <w:pPr>
        <w:ind w:left="851"/>
        <w:rPr>
          <w:sz w:val="24"/>
          <w:szCs w:val="24"/>
        </w:rPr>
      </w:pPr>
    </w:p>
    <w:p w14:paraId="48D747D7" w14:textId="77777777" w:rsidR="00D2303A" w:rsidRPr="00F12FD6" w:rsidRDefault="00D2303A" w:rsidP="00F12FD6">
      <w:pPr>
        <w:ind w:left="851"/>
        <w:rPr>
          <w:sz w:val="24"/>
          <w:szCs w:val="24"/>
        </w:rPr>
      </w:pPr>
      <w:r w:rsidRPr="00F12FD6">
        <w:rPr>
          <w:sz w:val="24"/>
          <w:szCs w:val="24"/>
        </w:rPr>
        <w:t>Ikke alle pakningsstørrelser er nødvendigvis markedsført.</w:t>
      </w:r>
    </w:p>
    <w:p w14:paraId="35923A69" w14:textId="77777777" w:rsidR="009260DE" w:rsidRPr="00F12FD6" w:rsidRDefault="009260DE" w:rsidP="009260DE">
      <w:pPr>
        <w:tabs>
          <w:tab w:val="left" w:pos="851"/>
        </w:tabs>
        <w:ind w:left="851"/>
        <w:rPr>
          <w:sz w:val="24"/>
          <w:szCs w:val="24"/>
        </w:rPr>
      </w:pPr>
    </w:p>
    <w:p w14:paraId="45D79B19" w14:textId="77777777" w:rsidR="009260DE" w:rsidRPr="00F12FD6" w:rsidRDefault="009260DE" w:rsidP="009260DE">
      <w:pPr>
        <w:tabs>
          <w:tab w:val="left" w:pos="851"/>
        </w:tabs>
        <w:ind w:left="851" w:hanging="851"/>
        <w:rPr>
          <w:b/>
          <w:sz w:val="24"/>
          <w:szCs w:val="24"/>
        </w:rPr>
      </w:pPr>
      <w:r w:rsidRPr="00F12FD6">
        <w:rPr>
          <w:b/>
          <w:sz w:val="24"/>
          <w:szCs w:val="24"/>
        </w:rPr>
        <w:t>6.6</w:t>
      </w:r>
      <w:r w:rsidRPr="00F12FD6">
        <w:rPr>
          <w:b/>
          <w:sz w:val="24"/>
          <w:szCs w:val="24"/>
        </w:rPr>
        <w:tab/>
        <w:t xml:space="preserve">Regler for </w:t>
      </w:r>
      <w:r w:rsidR="00BD7931" w:rsidRPr="00F12FD6">
        <w:rPr>
          <w:b/>
          <w:sz w:val="24"/>
          <w:szCs w:val="24"/>
        </w:rPr>
        <w:t>bortskaffelse</w:t>
      </w:r>
      <w:r w:rsidRPr="00F12FD6">
        <w:rPr>
          <w:b/>
          <w:sz w:val="24"/>
          <w:szCs w:val="24"/>
        </w:rPr>
        <w:t xml:space="preserve"> og anden håndtering</w:t>
      </w:r>
    </w:p>
    <w:p w14:paraId="7B65D676" w14:textId="739D1DB9" w:rsidR="009260DE" w:rsidRPr="00F12FD6" w:rsidRDefault="00D2303A" w:rsidP="00F12FD6">
      <w:pPr>
        <w:ind w:left="851"/>
        <w:rPr>
          <w:sz w:val="24"/>
          <w:szCs w:val="24"/>
        </w:rPr>
      </w:pPr>
      <w:r w:rsidRPr="00F12FD6">
        <w:rPr>
          <w:sz w:val="24"/>
          <w:szCs w:val="24"/>
        </w:rPr>
        <w:t xml:space="preserve">Ikke anvendte lægemidler samt affald heraf bør destrueres i henhold til lokale retningslinjer.  </w:t>
      </w:r>
    </w:p>
    <w:p w14:paraId="0CE1588B" w14:textId="77777777" w:rsidR="009260DE" w:rsidRPr="00F12FD6" w:rsidRDefault="009260DE" w:rsidP="000730CA">
      <w:pPr>
        <w:tabs>
          <w:tab w:val="left" w:pos="851"/>
        </w:tabs>
        <w:ind w:left="851"/>
        <w:rPr>
          <w:sz w:val="24"/>
          <w:szCs w:val="24"/>
        </w:rPr>
      </w:pPr>
    </w:p>
    <w:p w14:paraId="3C0E80B9" w14:textId="77777777" w:rsidR="009260DE" w:rsidRPr="00F12FD6" w:rsidRDefault="009260DE" w:rsidP="009260DE">
      <w:pPr>
        <w:tabs>
          <w:tab w:val="left" w:pos="851"/>
        </w:tabs>
        <w:ind w:left="851" w:hanging="851"/>
        <w:rPr>
          <w:b/>
          <w:sz w:val="24"/>
          <w:szCs w:val="24"/>
        </w:rPr>
      </w:pPr>
      <w:r w:rsidRPr="00F12FD6">
        <w:rPr>
          <w:b/>
          <w:sz w:val="24"/>
          <w:szCs w:val="24"/>
        </w:rPr>
        <w:t>7.</w:t>
      </w:r>
      <w:r w:rsidRPr="00F12FD6">
        <w:rPr>
          <w:b/>
          <w:sz w:val="24"/>
          <w:szCs w:val="24"/>
        </w:rPr>
        <w:tab/>
        <w:t>INDEHAVER AF MARKEDSFØRINGSTILLADELSEN</w:t>
      </w:r>
    </w:p>
    <w:p w14:paraId="2F59DDC2" w14:textId="77777777" w:rsidR="00D2303A" w:rsidRPr="00F12FD6" w:rsidRDefault="00D2303A" w:rsidP="00F12FD6">
      <w:pPr>
        <w:ind w:left="851"/>
        <w:rPr>
          <w:sz w:val="24"/>
          <w:szCs w:val="24"/>
          <w:lang w:eastAsia="ro-RO"/>
        </w:rPr>
      </w:pPr>
      <w:r w:rsidRPr="00F12FD6">
        <w:rPr>
          <w:sz w:val="24"/>
          <w:szCs w:val="24"/>
        </w:rPr>
        <w:t>ANTIBIOTICE SA</w:t>
      </w:r>
    </w:p>
    <w:p w14:paraId="50013E50" w14:textId="222746DE" w:rsidR="008D7C83" w:rsidRPr="00F12FD6" w:rsidRDefault="00D2303A" w:rsidP="00F12FD6">
      <w:pPr>
        <w:ind w:left="851"/>
        <w:rPr>
          <w:sz w:val="24"/>
          <w:szCs w:val="24"/>
        </w:rPr>
      </w:pPr>
      <w:r w:rsidRPr="00F12FD6">
        <w:rPr>
          <w:sz w:val="24"/>
          <w:szCs w:val="24"/>
        </w:rPr>
        <w:t xml:space="preserve">1 </w:t>
      </w:r>
      <w:proofErr w:type="spellStart"/>
      <w:r w:rsidRPr="00F12FD6">
        <w:rPr>
          <w:sz w:val="24"/>
          <w:szCs w:val="24"/>
        </w:rPr>
        <w:t>Valea</w:t>
      </w:r>
      <w:proofErr w:type="spellEnd"/>
      <w:r w:rsidRPr="00F12FD6">
        <w:rPr>
          <w:sz w:val="24"/>
          <w:szCs w:val="24"/>
        </w:rPr>
        <w:t xml:space="preserve"> </w:t>
      </w:r>
      <w:proofErr w:type="spellStart"/>
      <w:r w:rsidRPr="00F12FD6">
        <w:rPr>
          <w:sz w:val="24"/>
          <w:szCs w:val="24"/>
        </w:rPr>
        <w:t>Lupului</w:t>
      </w:r>
      <w:proofErr w:type="spellEnd"/>
      <w:r w:rsidRPr="00F12FD6">
        <w:rPr>
          <w:sz w:val="24"/>
          <w:szCs w:val="24"/>
        </w:rPr>
        <w:t xml:space="preserve"> Street</w:t>
      </w:r>
    </w:p>
    <w:p w14:paraId="259D31A5" w14:textId="0078F7EE" w:rsidR="00D2303A" w:rsidRPr="00F12FD6" w:rsidRDefault="008D7C83" w:rsidP="00F12FD6">
      <w:pPr>
        <w:ind w:left="851"/>
        <w:rPr>
          <w:sz w:val="24"/>
          <w:szCs w:val="24"/>
        </w:rPr>
      </w:pPr>
      <w:r w:rsidRPr="00F12FD6">
        <w:rPr>
          <w:sz w:val="24"/>
          <w:szCs w:val="24"/>
        </w:rPr>
        <w:t xml:space="preserve">707410 </w:t>
      </w:r>
      <w:proofErr w:type="spellStart"/>
      <w:r w:rsidR="00D2303A" w:rsidRPr="00F12FD6">
        <w:rPr>
          <w:sz w:val="24"/>
          <w:szCs w:val="24"/>
        </w:rPr>
        <w:t>Iasi</w:t>
      </w:r>
      <w:proofErr w:type="spellEnd"/>
      <w:r w:rsidR="00D2303A" w:rsidRPr="00F12FD6">
        <w:rPr>
          <w:sz w:val="24"/>
          <w:szCs w:val="24"/>
        </w:rPr>
        <w:t xml:space="preserve"> </w:t>
      </w:r>
    </w:p>
    <w:p w14:paraId="1A865C70" w14:textId="77777777" w:rsidR="00D2303A" w:rsidRPr="00F12FD6" w:rsidRDefault="00D2303A" w:rsidP="00F12FD6">
      <w:pPr>
        <w:ind w:left="851"/>
        <w:rPr>
          <w:sz w:val="24"/>
          <w:szCs w:val="24"/>
        </w:rPr>
      </w:pPr>
      <w:r w:rsidRPr="00F12FD6">
        <w:rPr>
          <w:sz w:val="24"/>
          <w:szCs w:val="24"/>
        </w:rPr>
        <w:t>Rumænien</w:t>
      </w:r>
    </w:p>
    <w:p w14:paraId="24FFE797" w14:textId="77777777" w:rsidR="00641C65" w:rsidRPr="00F12FD6" w:rsidRDefault="00641C65" w:rsidP="009260DE">
      <w:pPr>
        <w:tabs>
          <w:tab w:val="left" w:pos="851"/>
        </w:tabs>
        <w:ind w:left="851"/>
        <w:rPr>
          <w:sz w:val="24"/>
          <w:szCs w:val="24"/>
        </w:rPr>
      </w:pPr>
    </w:p>
    <w:p w14:paraId="0864591C" w14:textId="77777777" w:rsidR="009260DE" w:rsidRPr="00F12FD6" w:rsidRDefault="009260DE" w:rsidP="009260DE">
      <w:pPr>
        <w:tabs>
          <w:tab w:val="left" w:pos="851"/>
        </w:tabs>
        <w:ind w:left="851" w:hanging="851"/>
        <w:rPr>
          <w:b/>
          <w:sz w:val="24"/>
          <w:szCs w:val="24"/>
        </w:rPr>
      </w:pPr>
      <w:r w:rsidRPr="00F12FD6">
        <w:rPr>
          <w:b/>
          <w:sz w:val="24"/>
          <w:szCs w:val="24"/>
        </w:rPr>
        <w:t>8.</w:t>
      </w:r>
      <w:r w:rsidRPr="00F12FD6">
        <w:rPr>
          <w:b/>
          <w:sz w:val="24"/>
          <w:szCs w:val="24"/>
        </w:rPr>
        <w:tab/>
        <w:t>MARKEDSFØRINGSTILLADELSESNUMMER (</w:t>
      </w:r>
      <w:r w:rsidR="00BF6243" w:rsidRPr="00F12FD6">
        <w:rPr>
          <w:b/>
          <w:sz w:val="24"/>
          <w:szCs w:val="24"/>
        </w:rPr>
        <w:t>-</w:t>
      </w:r>
      <w:r w:rsidRPr="00F12FD6">
        <w:rPr>
          <w:b/>
          <w:sz w:val="24"/>
          <w:szCs w:val="24"/>
        </w:rPr>
        <w:t>NUMRE)</w:t>
      </w:r>
    </w:p>
    <w:p w14:paraId="0CBB4511" w14:textId="1CEEB8C5" w:rsidR="009260DE" w:rsidRPr="00F12FD6" w:rsidRDefault="00F61588" w:rsidP="00DC2079">
      <w:pPr>
        <w:tabs>
          <w:tab w:val="left" w:pos="851"/>
          <w:tab w:val="left" w:pos="1843"/>
        </w:tabs>
        <w:ind w:left="851"/>
        <w:rPr>
          <w:sz w:val="24"/>
          <w:szCs w:val="24"/>
        </w:rPr>
      </w:pPr>
      <w:r w:rsidRPr="00F12FD6">
        <w:rPr>
          <w:sz w:val="24"/>
          <w:szCs w:val="24"/>
        </w:rPr>
        <w:t>2,5 mg:</w:t>
      </w:r>
      <w:r w:rsidR="00FA2AAD" w:rsidRPr="00F12FD6">
        <w:rPr>
          <w:sz w:val="24"/>
          <w:szCs w:val="24"/>
        </w:rPr>
        <w:t xml:space="preserve"> </w:t>
      </w:r>
      <w:r w:rsidR="00DC2079">
        <w:rPr>
          <w:sz w:val="24"/>
          <w:szCs w:val="24"/>
        </w:rPr>
        <w:tab/>
      </w:r>
      <w:r w:rsidR="00FA2AAD" w:rsidRPr="00F12FD6">
        <w:rPr>
          <w:sz w:val="24"/>
          <w:szCs w:val="24"/>
        </w:rPr>
        <w:t>67337</w:t>
      </w:r>
    </w:p>
    <w:p w14:paraId="7555292A" w14:textId="0D331F22" w:rsidR="00F61588" w:rsidRPr="00F12FD6" w:rsidRDefault="00F61588" w:rsidP="00DC2079">
      <w:pPr>
        <w:tabs>
          <w:tab w:val="left" w:pos="851"/>
          <w:tab w:val="left" w:pos="1843"/>
        </w:tabs>
        <w:ind w:left="851"/>
        <w:rPr>
          <w:sz w:val="24"/>
          <w:szCs w:val="24"/>
        </w:rPr>
      </w:pPr>
      <w:r w:rsidRPr="00F12FD6">
        <w:rPr>
          <w:sz w:val="24"/>
          <w:szCs w:val="24"/>
        </w:rPr>
        <w:t xml:space="preserve">5 mg: </w:t>
      </w:r>
      <w:r w:rsidR="00DC2079">
        <w:rPr>
          <w:sz w:val="24"/>
          <w:szCs w:val="24"/>
        </w:rPr>
        <w:tab/>
      </w:r>
      <w:r w:rsidR="00FA2AAD" w:rsidRPr="00F12FD6">
        <w:rPr>
          <w:sz w:val="24"/>
          <w:szCs w:val="24"/>
        </w:rPr>
        <w:t>67338</w:t>
      </w:r>
    </w:p>
    <w:p w14:paraId="657B2AA3" w14:textId="7D3E0C5A" w:rsidR="00F61588" w:rsidRPr="00F12FD6" w:rsidRDefault="00F61588" w:rsidP="00DC2079">
      <w:pPr>
        <w:tabs>
          <w:tab w:val="left" w:pos="851"/>
          <w:tab w:val="left" w:pos="1843"/>
        </w:tabs>
        <w:ind w:left="851"/>
        <w:rPr>
          <w:sz w:val="24"/>
          <w:szCs w:val="24"/>
        </w:rPr>
      </w:pPr>
      <w:r w:rsidRPr="00F12FD6">
        <w:rPr>
          <w:sz w:val="24"/>
          <w:szCs w:val="24"/>
        </w:rPr>
        <w:t>10 mg:</w:t>
      </w:r>
      <w:r w:rsidR="00FA2AAD" w:rsidRPr="00F12FD6">
        <w:rPr>
          <w:sz w:val="24"/>
          <w:szCs w:val="24"/>
        </w:rPr>
        <w:t xml:space="preserve"> </w:t>
      </w:r>
      <w:r w:rsidR="00DC2079">
        <w:rPr>
          <w:sz w:val="24"/>
          <w:szCs w:val="24"/>
        </w:rPr>
        <w:tab/>
      </w:r>
      <w:r w:rsidR="00FA2AAD" w:rsidRPr="00F12FD6">
        <w:rPr>
          <w:sz w:val="24"/>
          <w:szCs w:val="24"/>
        </w:rPr>
        <w:t>67339</w:t>
      </w:r>
    </w:p>
    <w:p w14:paraId="07555201" w14:textId="77777777" w:rsidR="009260DE" w:rsidRPr="00F12FD6" w:rsidRDefault="009260DE" w:rsidP="009260DE">
      <w:pPr>
        <w:tabs>
          <w:tab w:val="left" w:pos="851"/>
        </w:tabs>
        <w:ind w:left="851"/>
        <w:jc w:val="both"/>
        <w:rPr>
          <w:sz w:val="24"/>
          <w:szCs w:val="24"/>
        </w:rPr>
      </w:pPr>
    </w:p>
    <w:p w14:paraId="6F37A602" w14:textId="77777777" w:rsidR="009260DE" w:rsidRPr="00F12FD6" w:rsidRDefault="009260DE" w:rsidP="009260DE">
      <w:pPr>
        <w:tabs>
          <w:tab w:val="left" w:pos="851"/>
        </w:tabs>
        <w:ind w:left="851" w:hanging="851"/>
        <w:rPr>
          <w:b/>
          <w:sz w:val="24"/>
          <w:szCs w:val="24"/>
        </w:rPr>
      </w:pPr>
      <w:r w:rsidRPr="00F12FD6">
        <w:rPr>
          <w:b/>
          <w:sz w:val="24"/>
          <w:szCs w:val="24"/>
        </w:rPr>
        <w:t>9.</w:t>
      </w:r>
      <w:r w:rsidRPr="00F12FD6">
        <w:rPr>
          <w:b/>
          <w:sz w:val="24"/>
          <w:szCs w:val="24"/>
        </w:rPr>
        <w:tab/>
        <w:t>DATO FOR FØRSTE MARKEDSFØRINGSTILLADELSE</w:t>
      </w:r>
    </w:p>
    <w:p w14:paraId="44E89D07" w14:textId="724F6B69" w:rsidR="009260DE" w:rsidRPr="00F12FD6" w:rsidRDefault="00D56D6F" w:rsidP="009260DE">
      <w:pPr>
        <w:tabs>
          <w:tab w:val="left" w:pos="851"/>
        </w:tabs>
        <w:ind w:left="851"/>
        <w:rPr>
          <w:sz w:val="24"/>
          <w:szCs w:val="24"/>
        </w:rPr>
      </w:pPr>
      <w:r>
        <w:rPr>
          <w:sz w:val="24"/>
          <w:szCs w:val="24"/>
        </w:rPr>
        <w:t>6. september 2024</w:t>
      </w:r>
      <w:bookmarkStart w:id="1" w:name="_GoBack"/>
      <w:bookmarkEnd w:id="1"/>
    </w:p>
    <w:p w14:paraId="2ADCEA97" w14:textId="77777777" w:rsidR="009260DE" w:rsidRPr="00F12FD6" w:rsidRDefault="009260DE" w:rsidP="009260DE">
      <w:pPr>
        <w:tabs>
          <w:tab w:val="left" w:pos="851"/>
        </w:tabs>
        <w:ind w:left="851"/>
        <w:rPr>
          <w:sz w:val="24"/>
          <w:szCs w:val="24"/>
        </w:rPr>
      </w:pPr>
    </w:p>
    <w:p w14:paraId="78205C8C" w14:textId="77777777" w:rsidR="009260DE" w:rsidRPr="00F12FD6" w:rsidRDefault="009260DE" w:rsidP="009260DE">
      <w:pPr>
        <w:tabs>
          <w:tab w:val="left" w:pos="851"/>
        </w:tabs>
        <w:ind w:left="851" w:hanging="851"/>
        <w:rPr>
          <w:b/>
          <w:sz w:val="24"/>
          <w:szCs w:val="24"/>
        </w:rPr>
      </w:pPr>
      <w:r w:rsidRPr="00F12FD6">
        <w:rPr>
          <w:b/>
          <w:sz w:val="24"/>
          <w:szCs w:val="24"/>
        </w:rPr>
        <w:t>10.</w:t>
      </w:r>
      <w:r w:rsidRPr="00F12FD6">
        <w:rPr>
          <w:b/>
          <w:sz w:val="24"/>
          <w:szCs w:val="24"/>
        </w:rPr>
        <w:tab/>
        <w:t>DATO FOR ÆNDRING AF TEKSTEN</w:t>
      </w:r>
    </w:p>
    <w:p w14:paraId="0C8B61D2" w14:textId="1F0471EC" w:rsidR="009260DE" w:rsidRPr="00F12FD6" w:rsidRDefault="00F61588" w:rsidP="009260DE">
      <w:pPr>
        <w:tabs>
          <w:tab w:val="left" w:pos="851"/>
        </w:tabs>
        <w:ind w:left="851"/>
        <w:rPr>
          <w:sz w:val="24"/>
          <w:szCs w:val="24"/>
        </w:rPr>
      </w:pPr>
      <w:r w:rsidRPr="00F12FD6">
        <w:rPr>
          <w:sz w:val="24"/>
          <w:szCs w:val="24"/>
        </w:rPr>
        <w:t>-</w:t>
      </w:r>
    </w:p>
    <w:sectPr w:rsidR="009260DE" w:rsidRPr="00F12FD6"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8B699" w14:textId="77777777" w:rsidR="008D7C83" w:rsidRDefault="008D7C83">
      <w:r>
        <w:separator/>
      </w:r>
    </w:p>
  </w:endnote>
  <w:endnote w:type="continuationSeparator" w:id="0">
    <w:p w14:paraId="6A73A1C2" w14:textId="77777777" w:rsidR="008D7C83" w:rsidRDefault="008D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DA3FC" w14:textId="77777777" w:rsidR="008D7C83" w:rsidRDefault="008D7C83">
    <w:pPr>
      <w:pStyle w:val="Sidefod"/>
      <w:pBdr>
        <w:bottom w:val="single" w:sz="6" w:space="1" w:color="auto"/>
      </w:pBdr>
    </w:pPr>
  </w:p>
  <w:p w14:paraId="48B8C5D9" w14:textId="77777777" w:rsidR="008D7C83" w:rsidRDefault="008D7C83" w:rsidP="00C42586">
    <w:pPr>
      <w:pStyle w:val="Sidefod"/>
      <w:tabs>
        <w:tab w:val="clear" w:pos="4819"/>
        <w:tab w:val="left" w:pos="8505"/>
      </w:tabs>
      <w:rPr>
        <w:i/>
        <w:sz w:val="18"/>
        <w:szCs w:val="18"/>
      </w:rPr>
    </w:pPr>
  </w:p>
  <w:p w14:paraId="738B04B9" w14:textId="411D4581" w:rsidR="008D7C83" w:rsidRPr="00B373D7" w:rsidRDefault="008D7C8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D56D6F">
      <w:rPr>
        <w:i/>
        <w:noProof/>
        <w:sz w:val="18"/>
        <w:szCs w:val="18"/>
      </w:rPr>
      <w:t>Ramiliv, tabletter 2,5 mg, 5 mg og 10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BF62F" w14:textId="77777777" w:rsidR="008D7C83" w:rsidRDefault="008D7C83">
      <w:r>
        <w:separator/>
      </w:r>
    </w:p>
  </w:footnote>
  <w:footnote w:type="continuationSeparator" w:id="0">
    <w:p w14:paraId="660C7623" w14:textId="77777777" w:rsidR="008D7C83" w:rsidRDefault="008D7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0" w:hanging="125"/>
      </w:pPr>
      <w:rPr>
        <w:rFonts w:ascii="Times New Roman" w:hAnsi="Times New Roman" w:cs="Times New Roman"/>
        <w:b w:val="0"/>
        <w:bCs w:val="0"/>
        <w:sz w:val="22"/>
        <w:szCs w:val="22"/>
      </w:rPr>
    </w:lvl>
    <w:lvl w:ilvl="1">
      <w:numFmt w:val="bullet"/>
      <w:lvlText w:val="o"/>
      <w:lvlJc w:val="left"/>
      <w:pPr>
        <w:ind w:left="0" w:hanging="360"/>
      </w:pPr>
      <w:rPr>
        <w:rFonts w:ascii="Courier New" w:hAnsi="Courier New" w:cs="Courier New"/>
        <w:b w:val="0"/>
        <w:bCs w:val="0"/>
        <w:sz w:val="22"/>
        <w:szCs w:val="22"/>
      </w:r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 w15:restartNumberingAfterBreak="0">
    <w:nsid w:val="03AB6556"/>
    <w:multiLevelType w:val="hybridMultilevel"/>
    <w:tmpl w:val="C832E2D2"/>
    <w:lvl w:ilvl="0" w:tplc="2396B38E">
      <w:start w:val="1"/>
      <w:numFmt w:val="bullet"/>
      <w:lvlText w:val="-"/>
      <w:lvlJc w:val="left"/>
      <w:pPr>
        <w:ind w:left="720" w:hanging="360"/>
      </w:pPr>
      <w:rPr>
        <w:rFonts w:ascii="Courier New" w:hAnsi="Courier New" w:cs="Times New Roman" w:hint="default"/>
      </w:rPr>
    </w:lvl>
    <w:lvl w:ilvl="1" w:tplc="C2F01936">
      <w:start w:val="1"/>
      <w:numFmt w:val="bullet"/>
      <w:lvlText w:val="o"/>
      <w:lvlJc w:val="left"/>
      <w:pPr>
        <w:ind w:left="1440" w:hanging="360"/>
      </w:pPr>
      <w:rPr>
        <w:rFonts w:ascii="Courier New" w:hAnsi="Courier New" w:cs="Courier New" w:hint="default"/>
      </w:rPr>
    </w:lvl>
    <w:lvl w:ilvl="2" w:tplc="8E66650E">
      <w:start w:val="1"/>
      <w:numFmt w:val="bullet"/>
      <w:lvlText w:val=""/>
      <w:lvlJc w:val="left"/>
      <w:pPr>
        <w:ind w:left="2160" w:hanging="360"/>
      </w:pPr>
      <w:rPr>
        <w:rFonts w:ascii="Wingdings" w:hAnsi="Wingdings" w:hint="default"/>
      </w:rPr>
    </w:lvl>
    <w:lvl w:ilvl="3" w:tplc="3BB05CE4">
      <w:start w:val="1"/>
      <w:numFmt w:val="bullet"/>
      <w:lvlText w:val=""/>
      <w:lvlJc w:val="left"/>
      <w:pPr>
        <w:ind w:left="2880" w:hanging="360"/>
      </w:pPr>
      <w:rPr>
        <w:rFonts w:ascii="Symbol" w:hAnsi="Symbol" w:hint="default"/>
      </w:rPr>
    </w:lvl>
    <w:lvl w:ilvl="4" w:tplc="29761D82">
      <w:start w:val="1"/>
      <w:numFmt w:val="bullet"/>
      <w:lvlText w:val="o"/>
      <w:lvlJc w:val="left"/>
      <w:pPr>
        <w:ind w:left="3600" w:hanging="360"/>
      </w:pPr>
      <w:rPr>
        <w:rFonts w:ascii="Courier New" w:hAnsi="Courier New" w:cs="Courier New" w:hint="default"/>
      </w:rPr>
    </w:lvl>
    <w:lvl w:ilvl="5" w:tplc="64242720">
      <w:start w:val="1"/>
      <w:numFmt w:val="bullet"/>
      <w:lvlText w:val=""/>
      <w:lvlJc w:val="left"/>
      <w:pPr>
        <w:ind w:left="4320" w:hanging="360"/>
      </w:pPr>
      <w:rPr>
        <w:rFonts w:ascii="Wingdings" w:hAnsi="Wingdings" w:hint="default"/>
      </w:rPr>
    </w:lvl>
    <w:lvl w:ilvl="6" w:tplc="7F60F784">
      <w:start w:val="1"/>
      <w:numFmt w:val="bullet"/>
      <w:lvlText w:val=""/>
      <w:lvlJc w:val="left"/>
      <w:pPr>
        <w:ind w:left="5040" w:hanging="360"/>
      </w:pPr>
      <w:rPr>
        <w:rFonts w:ascii="Symbol" w:hAnsi="Symbol" w:hint="default"/>
      </w:rPr>
    </w:lvl>
    <w:lvl w:ilvl="7" w:tplc="0364835E">
      <w:start w:val="1"/>
      <w:numFmt w:val="bullet"/>
      <w:lvlText w:val="o"/>
      <w:lvlJc w:val="left"/>
      <w:pPr>
        <w:ind w:left="5760" w:hanging="360"/>
      </w:pPr>
      <w:rPr>
        <w:rFonts w:ascii="Courier New" w:hAnsi="Courier New" w:cs="Courier New" w:hint="default"/>
      </w:rPr>
    </w:lvl>
    <w:lvl w:ilvl="8" w:tplc="4068482E">
      <w:start w:val="1"/>
      <w:numFmt w:val="bullet"/>
      <w:lvlText w:val=""/>
      <w:lvlJc w:val="left"/>
      <w:pPr>
        <w:ind w:left="6480" w:hanging="360"/>
      </w:pPr>
      <w:rPr>
        <w:rFonts w:ascii="Wingdings" w:hAnsi="Wingdings" w:hint="default"/>
      </w:rPr>
    </w:lvl>
  </w:abstractNum>
  <w:abstractNum w:abstractNumId="2" w15:restartNumberingAfterBreak="0">
    <w:nsid w:val="0944374A"/>
    <w:multiLevelType w:val="hybridMultilevel"/>
    <w:tmpl w:val="BE9ACED8"/>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72C2095"/>
    <w:multiLevelType w:val="hybridMultilevel"/>
    <w:tmpl w:val="40103844"/>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190D40A2"/>
    <w:multiLevelType w:val="hybridMultilevel"/>
    <w:tmpl w:val="7FCC11F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378C2D0E"/>
    <w:multiLevelType w:val="multilevel"/>
    <w:tmpl w:val="42563CCC"/>
    <w:lvl w:ilvl="0">
      <w:numFmt w:val="bullet"/>
      <w:lvlText w:val="-"/>
      <w:lvlJc w:val="left"/>
      <w:pPr>
        <w:ind w:left="0" w:hanging="125"/>
      </w:pPr>
      <w:rPr>
        <w:rFonts w:ascii="Times New Roman" w:hAnsi="Times New Roman" w:cs="Times New Roman"/>
        <w:b w:val="0"/>
        <w:bCs w:val="0"/>
        <w:sz w:val="22"/>
        <w:szCs w:val="22"/>
      </w:rPr>
    </w:lvl>
    <w:lvl w:ilvl="1">
      <w:numFmt w:val="bullet"/>
      <w:lvlText w:val="o"/>
      <w:lvlJc w:val="left"/>
      <w:pPr>
        <w:ind w:left="0" w:hanging="360"/>
      </w:pPr>
      <w:rPr>
        <w:rFonts w:ascii="Courier New" w:hAnsi="Courier New" w:cs="Courier New"/>
        <w:b w:val="0"/>
        <w:bCs w:val="0"/>
        <w:sz w:val="22"/>
        <w:szCs w:val="22"/>
      </w:rPr>
    </w:lvl>
    <w:lvl w:ilvl="2">
      <w:start w:val="1"/>
      <w:numFmt w:val="bullet"/>
      <w:lvlText w:val=""/>
      <w:lvlJc w:val="left"/>
      <w:pPr>
        <w:ind w:left="0" w:firstLine="0"/>
      </w:pPr>
      <w:rPr>
        <w:rFonts w:ascii="Symbol" w:hAnsi="Symbol" w:hint="default"/>
      </w:r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438F0601"/>
    <w:multiLevelType w:val="hybridMultilevel"/>
    <w:tmpl w:val="1570C076"/>
    <w:lvl w:ilvl="0" w:tplc="5CF45A30">
      <w:start w:val="1"/>
      <w:numFmt w:val="bullet"/>
      <w:lvlText w:val="·"/>
      <w:lvlJc w:val="left"/>
      <w:pPr>
        <w:ind w:left="360" w:hanging="360"/>
      </w:pPr>
      <w:rPr>
        <w:rFonts w:ascii="Courier New" w:hAnsi="Courier New" w:cs="Times New Roman" w:hint="default"/>
      </w:rPr>
    </w:lvl>
    <w:lvl w:ilvl="1" w:tplc="6652F450">
      <w:start w:val="1"/>
      <w:numFmt w:val="bullet"/>
      <w:lvlText w:val="o"/>
      <w:lvlJc w:val="left"/>
      <w:pPr>
        <w:ind w:left="1440" w:hanging="360"/>
      </w:pPr>
      <w:rPr>
        <w:rFonts w:ascii="Courier New" w:hAnsi="Courier New" w:cs="Courier New" w:hint="default"/>
      </w:rPr>
    </w:lvl>
    <w:lvl w:ilvl="2" w:tplc="6538B470">
      <w:start w:val="1"/>
      <w:numFmt w:val="bullet"/>
      <w:lvlText w:val=""/>
      <w:lvlJc w:val="left"/>
      <w:pPr>
        <w:ind w:left="2160" w:hanging="360"/>
      </w:pPr>
      <w:rPr>
        <w:rFonts w:ascii="Wingdings" w:hAnsi="Wingdings" w:hint="default"/>
      </w:rPr>
    </w:lvl>
    <w:lvl w:ilvl="3" w:tplc="A43C13D0">
      <w:start w:val="1"/>
      <w:numFmt w:val="bullet"/>
      <w:lvlText w:val=""/>
      <w:lvlJc w:val="left"/>
      <w:pPr>
        <w:ind w:left="2880" w:hanging="360"/>
      </w:pPr>
      <w:rPr>
        <w:rFonts w:ascii="Symbol" w:hAnsi="Symbol" w:hint="default"/>
      </w:rPr>
    </w:lvl>
    <w:lvl w:ilvl="4" w:tplc="64D820C2">
      <w:start w:val="1"/>
      <w:numFmt w:val="bullet"/>
      <w:lvlText w:val="o"/>
      <w:lvlJc w:val="left"/>
      <w:pPr>
        <w:ind w:left="3600" w:hanging="360"/>
      </w:pPr>
      <w:rPr>
        <w:rFonts w:ascii="Courier New" w:hAnsi="Courier New" w:cs="Courier New" w:hint="default"/>
      </w:rPr>
    </w:lvl>
    <w:lvl w:ilvl="5" w:tplc="137248C6">
      <w:start w:val="1"/>
      <w:numFmt w:val="bullet"/>
      <w:lvlText w:val=""/>
      <w:lvlJc w:val="left"/>
      <w:pPr>
        <w:ind w:left="4320" w:hanging="360"/>
      </w:pPr>
      <w:rPr>
        <w:rFonts w:ascii="Wingdings" w:hAnsi="Wingdings" w:hint="default"/>
      </w:rPr>
    </w:lvl>
    <w:lvl w:ilvl="6" w:tplc="66263D3E">
      <w:start w:val="1"/>
      <w:numFmt w:val="bullet"/>
      <w:lvlText w:val=""/>
      <w:lvlJc w:val="left"/>
      <w:pPr>
        <w:ind w:left="5040" w:hanging="360"/>
      </w:pPr>
      <w:rPr>
        <w:rFonts w:ascii="Symbol" w:hAnsi="Symbol" w:hint="default"/>
      </w:rPr>
    </w:lvl>
    <w:lvl w:ilvl="7" w:tplc="0390E370">
      <w:start w:val="1"/>
      <w:numFmt w:val="bullet"/>
      <w:lvlText w:val="o"/>
      <w:lvlJc w:val="left"/>
      <w:pPr>
        <w:ind w:left="5760" w:hanging="360"/>
      </w:pPr>
      <w:rPr>
        <w:rFonts w:ascii="Courier New" w:hAnsi="Courier New" w:cs="Courier New" w:hint="default"/>
      </w:rPr>
    </w:lvl>
    <w:lvl w:ilvl="8" w:tplc="C520E2EA">
      <w:start w:val="1"/>
      <w:numFmt w:val="bullet"/>
      <w:lvlText w:val=""/>
      <w:lvlJc w:val="left"/>
      <w:pPr>
        <w:ind w:left="6480" w:hanging="360"/>
      </w:pPr>
      <w:rPr>
        <w:rFonts w:ascii="Wingdings" w:hAnsi="Wingdings" w:hint="default"/>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64B66CB6"/>
    <w:multiLevelType w:val="hybridMultilevel"/>
    <w:tmpl w:val="A7AE359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6C007B75"/>
    <w:multiLevelType w:val="hybridMultilevel"/>
    <w:tmpl w:val="37E4A1B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6D6A592E"/>
    <w:multiLevelType w:val="hybridMultilevel"/>
    <w:tmpl w:val="FA8EB48E"/>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5" w15:restartNumberingAfterBreak="0">
    <w:nsid w:val="7A724C0F"/>
    <w:multiLevelType w:val="hybridMultilevel"/>
    <w:tmpl w:val="1C568272"/>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6" w15:restartNumberingAfterBreak="0">
    <w:nsid w:val="7DAB5389"/>
    <w:multiLevelType w:val="hybridMultilevel"/>
    <w:tmpl w:val="DD6AAF1C"/>
    <w:lvl w:ilvl="0" w:tplc="7B40BDE0">
      <w:start w:val="1"/>
      <w:numFmt w:val="bullet"/>
      <w:lvlText w:val="-"/>
      <w:lvlJc w:val="left"/>
      <w:pPr>
        <w:ind w:left="360" w:hanging="360"/>
      </w:pPr>
      <w:rPr>
        <w:rFonts w:ascii="Courier New" w:hAnsi="Courier New" w:cs="Times New Roman" w:hint="default"/>
      </w:rPr>
    </w:lvl>
    <w:lvl w:ilvl="1" w:tplc="D30027CE">
      <w:start w:val="1"/>
      <w:numFmt w:val="bullet"/>
      <w:lvlText w:val="o"/>
      <w:lvlJc w:val="left"/>
      <w:pPr>
        <w:ind w:left="1080" w:hanging="360"/>
      </w:pPr>
      <w:rPr>
        <w:rFonts w:ascii="Courier New" w:hAnsi="Courier New" w:cs="Courier New" w:hint="default"/>
      </w:rPr>
    </w:lvl>
    <w:lvl w:ilvl="2" w:tplc="68A0436E">
      <w:start w:val="1"/>
      <w:numFmt w:val="bullet"/>
      <w:lvlText w:val=""/>
      <w:lvlJc w:val="left"/>
      <w:pPr>
        <w:ind w:left="1800" w:hanging="360"/>
      </w:pPr>
      <w:rPr>
        <w:rFonts w:ascii="Wingdings" w:hAnsi="Wingdings" w:hint="default"/>
      </w:rPr>
    </w:lvl>
    <w:lvl w:ilvl="3" w:tplc="47643940">
      <w:start w:val="1"/>
      <w:numFmt w:val="bullet"/>
      <w:lvlText w:val=""/>
      <w:lvlJc w:val="left"/>
      <w:pPr>
        <w:ind w:left="2520" w:hanging="360"/>
      </w:pPr>
      <w:rPr>
        <w:rFonts w:ascii="Symbol" w:hAnsi="Symbol" w:hint="default"/>
      </w:rPr>
    </w:lvl>
    <w:lvl w:ilvl="4" w:tplc="C7823E60">
      <w:start w:val="1"/>
      <w:numFmt w:val="bullet"/>
      <w:lvlText w:val="o"/>
      <w:lvlJc w:val="left"/>
      <w:pPr>
        <w:ind w:left="3240" w:hanging="360"/>
      </w:pPr>
      <w:rPr>
        <w:rFonts w:ascii="Courier New" w:hAnsi="Courier New" w:cs="Courier New" w:hint="default"/>
      </w:rPr>
    </w:lvl>
    <w:lvl w:ilvl="5" w:tplc="6B0AD4F8">
      <w:start w:val="1"/>
      <w:numFmt w:val="bullet"/>
      <w:lvlText w:val=""/>
      <w:lvlJc w:val="left"/>
      <w:pPr>
        <w:ind w:left="3960" w:hanging="360"/>
      </w:pPr>
      <w:rPr>
        <w:rFonts w:ascii="Wingdings" w:hAnsi="Wingdings" w:hint="default"/>
      </w:rPr>
    </w:lvl>
    <w:lvl w:ilvl="6" w:tplc="B118687E">
      <w:start w:val="1"/>
      <w:numFmt w:val="bullet"/>
      <w:lvlText w:val=""/>
      <w:lvlJc w:val="left"/>
      <w:pPr>
        <w:ind w:left="4680" w:hanging="360"/>
      </w:pPr>
      <w:rPr>
        <w:rFonts w:ascii="Symbol" w:hAnsi="Symbol" w:hint="default"/>
      </w:rPr>
    </w:lvl>
    <w:lvl w:ilvl="7" w:tplc="1C925C6A">
      <w:start w:val="1"/>
      <w:numFmt w:val="bullet"/>
      <w:lvlText w:val="o"/>
      <w:lvlJc w:val="left"/>
      <w:pPr>
        <w:ind w:left="5400" w:hanging="360"/>
      </w:pPr>
      <w:rPr>
        <w:rFonts w:ascii="Courier New" w:hAnsi="Courier New" w:cs="Courier New" w:hint="default"/>
      </w:rPr>
    </w:lvl>
    <w:lvl w:ilvl="8" w:tplc="A4304CAC">
      <w:start w:val="1"/>
      <w:numFmt w:val="bullet"/>
      <w:lvlText w:val=""/>
      <w:lvlJc w:val="left"/>
      <w:pPr>
        <w:ind w:left="612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1"/>
  </w:num>
  <w:num w:numId="9">
    <w:abstractNumId w:val="16"/>
  </w:num>
  <w:num w:numId="10">
    <w:abstractNumId w:val="10"/>
  </w:num>
  <w:num w:numId="11">
    <w:abstractNumId w:val="2"/>
  </w:num>
  <w:num w:numId="12">
    <w:abstractNumId w:val="14"/>
  </w:num>
  <w:num w:numId="13">
    <w:abstractNumId w:val="5"/>
  </w:num>
  <w:num w:numId="14">
    <w:abstractNumId w:val="13"/>
  </w:num>
  <w:num w:numId="15">
    <w:abstractNumId w:val="15"/>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B7"/>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8665D"/>
    <w:rsid w:val="0049104B"/>
    <w:rsid w:val="004E3B12"/>
    <w:rsid w:val="00532310"/>
    <w:rsid w:val="00565F0F"/>
    <w:rsid w:val="00594A86"/>
    <w:rsid w:val="00596D86"/>
    <w:rsid w:val="005A7D31"/>
    <w:rsid w:val="005D5B8E"/>
    <w:rsid w:val="00637F5A"/>
    <w:rsid w:val="00641C65"/>
    <w:rsid w:val="006560B1"/>
    <w:rsid w:val="006756DD"/>
    <w:rsid w:val="0071241E"/>
    <w:rsid w:val="00737275"/>
    <w:rsid w:val="00740EEC"/>
    <w:rsid w:val="0078011A"/>
    <w:rsid w:val="00782AF4"/>
    <w:rsid w:val="00790EE7"/>
    <w:rsid w:val="007B6649"/>
    <w:rsid w:val="0082576E"/>
    <w:rsid w:val="0089346F"/>
    <w:rsid w:val="008D7C83"/>
    <w:rsid w:val="008E0B2A"/>
    <w:rsid w:val="00907F75"/>
    <w:rsid w:val="009260DE"/>
    <w:rsid w:val="0093258A"/>
    <w:rsid w:val="009C7BA3"/>
    <w:rsid w:val="009D1F5A"/>
    <w:rsid w:val="00A10294"/>
    <w:rsid w:val="00A92BD2"/>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03A"/>
    <w:rsid w:val="00D237F6"/>
    <w:rsid w:val="00D34D98"/>
    <w:rsid w:val="00D366CF"/>
    <w:rsid w:val="00D56D6F"/>
    <w:rsid w:val="00D93992"/>
    <w:rsid w:val="00DC2079"/>
    <w:rsid w:val="00E01000"/>
    <w:rsid w:val="00E108AA"/>
    <w:rsid w:val="00E3749A"/>
    <w:rsid w:val="00E63280"/>
    <w:rsid w:val="00E7437F"/>
    <w:rsid w:val="00E865B8"/>
    <w:rsid w:val="00EC0B9B"/>
    <w:rsid w:val="00ED5E9F"/>
    <w:rsid w:val="00F12FD6"/>
    <w:rsid w:val="00F61588"/>
    <w:rsid w:val="00F66D4F"/>
    <w:rsid w:val="00F95AB7"/>
    <w:rsid w:val="00FA2AAD"/>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2FEB2"/>
  <w15:chartTrackingRefBased/>
  <w15:docId w15:val="{F4C3469B-AF57-45A2-A4D2-0365AF73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D2303A"/>
    <w:pPr>
      <w:jc w:val="both"/>
    </w:pPr>
    <w:rPr>
      <w:rFonts w:ascii="Arial" w:hAnsi="Arial"/>
      <w:sz w:val="24"/>
    </w:rPr>
  </w:style>
  <w:style w:type="character" w:customStyle="1" w:styleId="BrdtekstTegn">
    <w:name w:val="Brødtekst Tegn"/>
    <w:basedOn w:val="Standardskrifttypeiafsnit"/>
    <w:link w:val="Brdtekst"/>
    <w:uiPriority w:val="1"/>
    <w:semiHidden/>
    <w:rsid w:val="00D2303A"/>
    <w:rPr>
      <w:rFonts w:ascii="Arial" w:hAnsi="Arial"/>
      <w:sz w:val="24"/>
      <w:lang w:eastAsia="en-US"/>
    </w:rPr>
  </w:style>
  <w:style w:type="paragraph" w:customStyle="1" w:styleId="Default">
    <w:name w:val="Default"/>
    <w:rsid w:val="00D2303A"/>
    <w:pPr>
      <w:autoSpaceDE w:val="0"/>
      <w:autoSpaceDN w:val="0"/>
      <w:adjustRightInd w:val="0"/>
    </w:pPr>
    <w:rPr>
      <w:rFonts w:eastAsia="SimSun"/>
      <w:color w:val="000000"/>
      <w:sz w:val="24"/>
      <w:szCs w:val="24"/>
      <w:lang w:eastAsia="zh-CN"/>
    </w:rPr>
  </w:style>
  <w:style w:type="paragraph" w:styleId="Listeafsnit">
    <w:name w:val="List Paragraph"/>
    <w:basedOn w:val="Normal"/>
    <w:uiPriority w:val="34"/>
    <w:qFormat/>
    <w:rsid w:val="00F12F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3540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04893638">
      <w:bodyDiv w:val="1"/>
      <w:marLeft w:val="0"/>
      <w:marRight w:val="0"/>
      <w:marTop w:val="0"/>
      <w:marBottom w:val="0"/>
      <w:divBdr>
        <w:top w:val="none" w:sz="0" w:space="0" w:color="auto"/>
        <w:left w:val="none" w:sz="0" w:space="0" w:color="auto"/>
        <w:bottom w:val="none" w:sz="0" w:space="0" w:color="auto"/>
        <w:right w:val="none" w:sz="0" w:space="0" w:color="auto"/>
      </w:divBdr>
    </w:div>
    <w:div w:id="504128372">
      <w:bodyDiv w:val="1"/>
      <w:marLeft w:val="0"/>
      <w:marRight w:val="0"/>
      <w:marTop w:val="0"/>
      <w:marBottom w:val="0"/>
      <w:divBdr>
        <w:top w:val="none" w:sz="0" w:space="0" w:color="auto"/>
        <w:left w:val="none" w:sz="0" w:space="0" w:color="auto"/>
        <w:bottom w:val="none" w:sz="0" w:space="0" w:color="auto"/>
        <w:right w:val="none" w:sz="0" w:space="0" w:color="auto"/>
      </w:divBdr>
    </w:div>
    <w:div w:id="728916235">
      <w:bodyDiv w:val="1"/>
      <w:marLeft w:val="0"/>
      <w:marRight w:val="0"/>
      <w:marTop w:val="0"/>
      <w:marBottom w:val="0"/>
      <w:divBdr>
        <w:top w:val="none" w:sz="0" w:space="0" w:color="auto"/>
        <w:left w:val="none" w:sz="0" w:space="0" w:color="auto"/>
        <w:bottom w:val="none" w:sz="0" w:space="0" w:color="auto"/>
        <w:right w:val="none" w:sz="0" w:space="0" w:color="auto"/>
      </w:divBdr>
    </w:div>
    <w:div w:id="758448824">
      <w:bodyDiv w:val="1"/>
      <w:marLeft w:val="0"/>
      <w:marRight w:val="0"/>
      <w:marTop w:val="0"/>
      <w:marBottom w:val="0"/>
      <w:divBdr>
        <w:top w:val="none" w:sz="0" w:space="0" w:color="auto"/>
        <w:left w:val="none" w:sz="0" w:space="0" w:color="auto"/>
        <w:bottom w:val="none" w:sz="0" w:space="0" w:color="auto"/>
        <w:right w:val="none" w:sz="0" w:space="0" w:color="auto"/>
      </w:divBdr>
    </w:div>
    <w:div w:id="847716289">
      <w:bodyDiv w:val="1"/>
      <w:marLeft w:val="0"/>
      <w:marRight w:val="0"/>
      <w:marTop w:val="0"/>
      <w:marBottom w:val="0"/>
      <w:divBdr>
        <w:top w:val="none" w:sz="0" w:space="0" w:color="auto"/>
        <w:left w:val="none" w:sz="0" w:space="0" w:color="auto"/>
        <w:bottom w:val="none" w:sz="0" w:space="0" w:color="auto"/>
        <w:right w:val="none" w:sz="0" w:space="0" w:color="auto"/>
      </w:divBdr>
    </w:div>
    <w:div w:id="989211405">
      <w:bodyDiv w:val="1"/>
      <w:marLeft w:val="0"/>
      <w:marRight w:val="0"/>
      <w:marTop w:val="0"/>
      <w:marBottom w:val="0"/>
      <w:divBdr>
        <w:top w:val="none" w:sz="0" w:space="0" w:color="auto"/>
        <w:left w:val="none" w:sz="0" w:space="0" w:color="auto"/>
        <w:bottom w:val="none" w:sz="0" w:space="0" w:color="auto"/>
        <w:right w:val="none" w:sz="0" w:space="0" w:color="auto"/>
      </w:divBdr>
    </w:div>
    <w:div w:id="1082991539">
      <w:bodyDiv w:val="1"/>
      <w:marLeft w:val="0"/>
      <w:marRight w:val="0"/>
      <w:marTop w:val="0"/>
      <w:marBottom w:val="0"/>
      <w:divBdr>
        <w:top w:val="none" w:sz="0" w:space="0" w:color="auto"/>
        <w:left w:val="none" w:sz="0" w:space="0" w:color="auto"/>
        <w:bottom w:val="none" w:sz="0" w:space="0" w:color="auto"/>
        <w:right w:val="none" w:sz="0" w:space="0" w:color="auto"/>
      </w:divBdr>
    </w:div>
    <w:div w:id="1132944188">
      <w:bodyDiv w:val="1"/>
      <w:marLeft w:val="0"/>
      <w:marRight w:val="0"/>
      <w:marTop w:val="0"/>
      <w:marBottom w:val="0"/>
      <w:divBdr>
        <w:top w:val="none" w:sz="0" w:space="0" w:color="auto"/>
        <w:left w:val="none" w:sz="0" w:space="0" w:color="auto"/>
        <w:bottom w:val="none" w:sz="0" w:space="0" w:color="auto"/>
        <w:right w:val="none" w:sz="0" w:space="0" w:color="auto"/>
      </w:divBdr>
    </w:div>
    <w:div w:id="1381857232">
      <w:bodyDiv w:val="1"/>
      <w:marLeft w:val="0"/>
      <w:marRight w:val="0"/>
      <w:marTop w:val="0"/>
      <w:marBottom w:val="0"/>
      <w:divBdr>
        <w:top w:val="none" w:sz="0" w:space="0" w:color="auto"/>
        <w:left w:val="none" w:sz="0" w:space="0" w:color="auto"/>
        <w:bottom w:val="none" w:sz="0" w:space="0" w:color="auto"/>
        <w:right w:val="none" w:sz="0" w:space="0" w:color="auto"/>
      </w:divBdr>
    </w:div>
    <w:div w:id="1408989877">
      <w:bodyDiv w:val="1"/>
      <w:marLeft w:val="0"/>
      <w:marRight w:val="0"/>
      <w:marTop w:val="0"/>
      <w:marBottom w:val="0"/>
      <w:divBdr>
        <w:top w:val="none" w:sz="0" w:space="0" w:color="auto"/>
        <w:left w:val="none" w:sz="0" w:space="0" w:color="auto"/>
        <w:bottom w:val="none" w:sz="0" w:space="0" w:color="auto"/>
        <w:right w:val="none" w:sz="0" w:space="0" w:color="auto"/>
      </w:divBdr>
    </w:div>
    <w:div w:id="1554539374">
      <w:bodyDiv w:val="1"/>
      <w:marLeft w:val="0"/>
      <w:marRight w:val="0"/>
      <w:marTop w:val="0"/>
      <w:marBottom w:val="0"/>
      <w:divBdr>
        <w:top w:val="none" w:sz="0" w:space="0" w:color="auto"/>
        <w:left w:val="none" w:sz="0" w:space="0" w:color="auto"/>
        <w:bottom w:val="none" w:sz="0" w:space="0" w:color="auto"/>
        <w:right w:val="none" w:sz="0" w:space="0" w:color="auto"/>
      </w:divBdr>
    </w:div>
    <w:div w:id="1634090920">
      <w:bodyDiv w:val="1"/>
      <w:marLeft w:val="0"/>
      <w:marRight w:val="0"/>
      <w:marTop w:val="0"/>
      <w:marBottom w:val="0"/>
      <w:divBdr>
        <w:top w:val="none" w:sz="0" w:space="0" w:color="auto"/>
        <w:left w:val="none" w:sz="0" w:space="0" w:color="auto"/>
        <w:bottom w:val="none" w:sz="0" w:space="0" w:color="auto"/>
        <w:right w:val="none" w:sz="0" w:space="0" w:color="auto"/>
      </w:divBdr>
    </w:div>
    <w:div w:id="1642805826">
      <w:bodyDiv w:val="1"/>
      <w:marLeft w:val="0"/>
      <w:marRight w:val="0"/>
      <w:marTop w:val="0"/>
      <w:marBottom w:val="0"/>
      <w:divBdr>
        <w:top w:val="none" w:sz="0" w:space="0" w:color="auto"/>
        <w:left w:val="none" w:sz="0" w:space="0" w:color="auto"/>
        <w:bottom w:val="none" w:sz="0" w:space="0" w:color="auto"/>
        <w:right w:val="none" w:sz="0" w:space="0" w:color="auto"/>
      </w:divBdr>
    </w:div>
    <w:div w:id="1663772987">
      <w:bodyDiv w:val="1"/>
      <w:marLeft w:val="0"/>
      <w:marRight w:val="0"/>
      <w:marTop w:val="0"/>
      <w:marBottom w:val="0"/>
      <w:divBdr>
        <w:top w:val="none" w:sz="0" w:space="0" w:color="auto"/>
        <w:left w:val="none" w:sz="0" w:space="0" w:color="auto"/>
        <w:bottom w:val="none" w:sz="0" w:space="0" w:color="auto"/>
        <w:right w:val="none" w:sz="0" w:space="0" w:color="auto"/>
      </w:divBdr>
    </w:div>
    <w:div w:id="1796172581">
      <w:bodyDiv w:val="1"/>
      <w:marLeft w:val="0"/>
      <w:marRight w:val="0"/>
      <w:marTop w:val="0"/>
      <w:marBottom w:val="0"/>
      <w:divBdr>
        <w:top w:val="none" w:sz="0" w:space="0" w:color="auto"/>
        <w:left w:val="none" w:sz="0" w:space="0" w:color="auto"/>
        <w:bottom w:val="none" w:sz="0" w:space="0" w:color="auto"/>
        <w:right w:val="none" w:sz="0" w:space="0" w:color="auto"/>
      </w:divBdr>
    </w:div>
    <w:div w:id="1809545902">
      <w:bodyDiv w:val="1"/>
      <w:marLeft w:val="0"/>
      <w:marRight w:val="0"/>
      <w:marTop w:val="0"/>
      <w:marBottom w:val="0"/>
      <w:divBdr>
        <w:top w:val="none" w:sz="0" w:space="0" w:color="auto"/>
        <w:left w:val="none" w:sz="0" w:space="0" w:color="auto"/>
        <w:bottom w:val="none" w:sz="0" w:space="0" w:color="auto"/>
        <w:right w:val="none" w:sz="0" w:space="0" w:color="auto"/>
      </w:divBdr>
    </w:div>
    <w:div w:id="1926987132">
      <w:bodyDiv w:val="1"/>
      <w:marLeft w:val="0"/>
      <w:marRight w:val="0"/>
      <w:marTop w:val="0"/>
      <w:marBottom w:val="0"/>
      <w:divBdr>
        <w:top w:val="none" w:sz="0" w:space="0" w:color="auto"/>
        <w:left w:val="none" w:sz="0" w:space="0" w:color="auto"/>
        <w:bottom w:val="none" w:sz="0" w:space="0" w:color="auto"/>
        <w:right w:val="none" w:sz="0" w:space="0" w:color="auto"/>
      </w:divBdr>
    </w:div>
    <w:div w:id="1939870257">
      <w:bodyDiv w:val="1"/>
      <w:marLeft w:val="0"/>
      <w:marRight w:val="0"/>
      <w:marTop w:val="0"/>
      <w:marBottom w:val="0"/>
      <w:divBdr>
        <w:top w:val="none" w:sz="0" w:space="0" w:color="auto"/>
        <w:left w:val="none" w:sz="0" w:space="0" w:color="auto"/>
        <w:bottom w:val="none" w:sz="0" w:space="0" w:color="auto"/>
        <w:right w:val="none" w:sz="0" w:space="0" w:color="auto"/>
      </w:divBdr>
    </w:div>
    <w:div w:id="2107995774">
      <w:bodyDiv w:val="1"/>
      <w:marLeft w:val="0"/>
      <w:marRight w:val="0"/>
      <w:marTop w:val="0"/>
      <w:marBottom w:val="0"/>
      <w:divBdr>
        <w:top w:val="none" w:sz="0" w:space="0" w:color="auto"/>
        <w:left w:val="none" w:sz="0" w:space="0" w:color="auto"/>
        <w:bottom w:val="none" w:sz="0" w:space="0" w:color="auto"/>
        <w:right w:val="none" w:sz="0" w:space="0" w:color="auto"/>
      </w:divBdr>
    </w:div>
    <w:div w:id="211269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56</TotalTime>
  <Pages>19</Pages>
  <Words>5575</Words>
  <Characters>37343</Characters>
  <Application>Microsoft Office Word</Application>
  <DocSecurity>0</DocSecurity>
  <Lines>311</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2022020174, MT</dc:description>
  <cp:lastModifiedBy>Gitte Jørgensen</cp:lastModifiedBy>
  <cp:revision>14</cp:revision>
  <cp:lastPrinted>2012-08-22T08:53:00Z</cp:lastPrinted>
  <dcterms:created xsi:type="dcterms:W3CDTF">2024-09-05T12:58:00Z</dcterms:created>
  <dcterms:modified xsi:type="dcterms:W3CDTF">2024-09-06T07:52:00Z</dcterms:modified>
</cp:coreProperties>
</file>