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85419">
        <w:rPr>
          <w:szCs w:val="24"/>
        </w:rPr>
        <w:t>21</w:t>
      </w:r>
      <w:r w:rsidR="0033394B">
        <w:rPr>
          <w:szCs w:val="24"/>
        </w:rPr>
        <w:t xml:space="preserve">. </w:t>
      </w:r>
      <w:r w:rsidR="00485419">
        <w:rPr>
          <w:szCs w:val="24"/>
        </w:rPr>
        <w:t>december</w:t>
      </w:r>
      <w:r w:rsidR="0033394B">
        <w:rPr>
          <w:szCs w:val="24"/>
        </w:rPr>
        <w:t xml:space="preserve"> 2023</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591116" w:rsidP="00591116">
      <w:pPr>
        <w:tabs>
          <w:tab w:val="left" w:pos="300"/>
        </w:tabs>
        <w:rPr>
          <w:b/>
          <w:sz w:val="24"/>
          <w:szCs w:val="24"/>
        </w:rPr>
      </w:pPr>
      <w:r>
        <w:rPr>
          <w:b/>
          <w:sz w:val="24"/>
          <w:szCs w:val="24"/>
        </w:rPr>
        <w:tab/>
      </w:r>
    </w:p>
    <w:p w:rsidR="009260DE" w:rsidRPr="00C84483" w:rsidRDefault="00BC17E1" w:rsidP="009260DE">
      <w:pPr>
        <w:jc w:val="center"/>
        <w:rPr>
          <w:b/>
          <w:sz w:val="24"/>
          <w:szCs w:val="24"/>
        </w:rPr>
      </w:pPr>
      <w:proofErr w:type="spellStart"/>
      <w:r>
        <w:rPr>
          <w:b/>
          <w:sz w:val="24"/>
          <w:szCs w:val="24"/>
        </w:rPr>
        <w:t>Rayaldee</w:t>
      </w:r>
      <w:proofErr w:type="spellEnd"/>
      <w:r>
        <w:rPr>
          <w:b/>
          <w:sz w:val="24"/>
          <w:szCs w:val="24"/>
        </w:rPr>
        <w:t>, bløde depotkapsler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2072D5" w:rsidP="009260DE">
      <w:pPr>
        <w:tabs>
          <w:tab w:val="left" w:pos="851"/>
        </w:tabs>
        <w:ind w:left="851"/>
        <w:rPr>
          <w:sz w:val="24"/>
          <w:szCs w:val="24"/>
        </w:rPr>
      </w:pPr>
      <w:r>
        <w:rPr>
          <w:sz w:val="24"/>
          <w:szCs w:val="24"/>
        </w:rPr>
        <w:t>31598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2072D5" w:rsidP="009260DE">
      <w:pPr>
        <w:tabs>
          <w:tab w:val="left" w:pos="851"/>
        </w:tabs>
        <w:ind w:left="851"/>
        <w:rPr>
          <w:sz w:val="24"/>
          <w:szCs w:val="24"/>
        </w:rPr>
      </w:pPr>
      <w:proofErr w:type="spellStart"/>
      <w:r>
        <w:rPr>
          <w:sz w:val="24"/>
          <w:szCs w:val="24"/>
        </w:rPr>
        <w:t>Rayaldee</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40BDA" w:rsidRPr="00C40BDA" w:rsidRDefault="00C40BDA" w:rsidP="00C40BDA">
      <w:pPr>
        <w:tabs>
          <w:tab w:val="left" w:pos="851"/>
        </w:tabs>
        <w:ind w:left="851"/>
        <w:rPr>
          <w:sz w:val="24"/>
          <w:szCs w:val="24"/>
          <w:lang w:bidi="da-DK"/>
        </w:rPr>
      </w:pPr>
      <w:r w:rsidRPr="00C40BDA">
        <w:rPr>
          <w:sz w:val="24"/>
          <w:szCs w:val="24"/>
          <w:lang w:bidi="da-DK"/>
        </w:rPr>
        <w:t xml:space="preserve">Hver kapsel indeholder 30 mikrogram </w:t>
      </w:r>
      <w:proofErr w:type="spellStart"/>
      <w:r w:rsidRPr="00C40BDA">
        <w:rPr>
          <w:sz w:val="24"/>
          <w:szCs w:val="24"/>
          <w:lang w:bidi="da-DK"/>
        </w:rPr>
        <w:t>calcifediol</w:t>
      </w:r>
      <w:proofErr w:type="spellEnd"/>
      <w:r w:rsidRPr="00C40BDA">
        <w:rPr>
          <w:sz w:val="24"/>
          <w:szCs w:val="24"/>
          <w:lang w:bidi="da-DK"/>
        </w:rPr>
        <w:t xml:space="preserve"> som </w:t>
      </w:r>
      <w:proofErr w:type="spellStart"/>
      <w:r w:rsidRPr="00C40BDA">
        <w:rPr>
          <w:sz w:val="24"/>
          <w:szCs w:val="24"/>
          <w:lang w:bidi="da-DK"/>
        </w:rPr>
        <w:t>calcifediolmonohydrat</w:t>
      </w:r>
      <w:proofErr w:type="spellEnd"/>
      <w:r w:rsidRPr="00C40BDA">
        <w:rPr>
          <w:sz w:val="24"/>
          <w:szCs w:val="24"/>
          <w:lang w:bidi="da-DK"/>
        </w:rPr>
        <w:t>.</w:t>
      </w:r>
    </w:p>
    <w:p w:rsidR="00C40BDA" w:rsidRPr="00C40BDA" w:rsidRDefault="00C40BDA" w:rsidP="00C40BDA">
      <w:pPr>
        <w:tabs>
          <w:tab w:val="left" w:pos="851"/>
        </w:tabs>
        <w:ind w:left="851"/>
        <w:rPr>
          <w:sz w:val="24"/>
          <w:szCs w:val="24"/>
          <w:lang w:bidi="da-DK"/>
        </w:rPr>
      </w:pPr>
    </w:p>
    <w:p w:rsidR="00C40BDA" w:rsidRPr="00C40BDA" w:rsidRDefault="00C40BDA" w:rsidP="00C40BDA">
      <w:pPr>
        <w:tabs>
          <w:tab w:val="left" w:pos="851"/>
        </w:tabs>
        <w:ind w:left="851"/>
        <w:rPr>
          <w:sz w:val="24"/>
          <w:szCs w:val="24"/>
          <w:u w:val="single"/>
          <w:lang w:bidi="da-DK"/>
        </w:rPr>
      </w:pPr>
      <w:r w:rsidRPr="00C40BDA">
        <w:rPr>
          <w:sz w:val="24"/>
          <w:szCs w:val="24"/>
          <w:u w:val="single"/>
          <w:lang w:bidi="da-DK"/>
        </w:rPr>
        <w:t>Hjælpestoffer, som behandleren skal være opmærksom på</w:t>
      </w:r>
    </w:p>
    <w:p w:rsidR="00C40BDA" w:rsidRDefault="00C40BDA" w:rsidP="00C40BDA">
      <w:pPr>
        <w:tabs>
          <w:tab w:val="left" w:pos="851"/>
        </w:tabs>
        <w:ind w:left="851"/>
        <w:rPr>
          <w:sz w:val="24"/>
          <w:szCs w:val="24"/>
          <w:lang w:bidi="da-DK"/>
        </w:rPr>
      </w:pPr>
      <w:r w:rsidRPr="00C40BDA">
        <w:rPr>
          <w:sz w:val="24"/>
          <w:szCs w:val="24"/>
          <w:lang w:bidi="da-DK"/>
        </w:rPr>
        <w:t xml:space="preserve">Hver kapsel indeholder 18 mg sorbitol (E420) og 3,944 mg </w:t>
      </w:r>
      <w:proofErr w:type="spellStart"/>
      <w:r w:rsidRPr="00C40BDA">
        <w:rPr>
          <w:sz w:val="24"/>
          <w:szCs w:val="24"/>
          <w:lang w:bidi="da-DK"/>
        </w:rPr>
        <w:t>ethanol</w:t>
      </w:r>
      <w:proofErr w:type="spellEnd"/>
      <w:r w:rsidRPr="00C40BDA">
        <w:rPr>
          <w:sz w:val="24"/>
          <w:szCs w:val="24"/>
          <w:lang w:bidi="da-DK"/>
        </w:rPr>
        <w:t>.</w:t>
      </w:r>
    </w:p>
    <w:p w:rsidR="002B0046" w:rsidRPr="00C40BDA" w:rsidRDefault="002B0046" w:rsidP="00C40BDA">
      <w:pPr>
        <w:tabs>
          <w:tab w:val="left" w:pos="851"/>
        </w:tabs>
        <w:ind w:left="851"/>
        <w:rPr>
          <w:sz w:val="24"/>
          <w:szCs w:val="24"/>
          <w:lang w:bidi="da-DK"/>
        </w:rPr>
      </w:pPr>
    </w:p>
    <w:p w:rsidR="00C40BDA" w:rsidRPr="00C40BDA" w:rsidRDefault="00C40BDA" w:rsidP="00C40BDA">
      <w:pPr>
        <w:tabs>
          <w:tab w:val="left" w:pos="851"/>
        </w:tabs>
        <w:ind w:left="851"/>
        <w:rPr>
          <w:sz w:val="24"/>
          <w:szCs w:val="24"/>
          <w:lang w:bidi="da-DK"/>
        </w:rPr>
      </w:pPr>
      <w:r w:rsidRPr="00C40BDA">
        <w:rPr>
          <w:sz w:val="24"/>
          <w:szCs w:val="24"/>
          <w:lang w:bidi="da-DK"/>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2B0046" w:rsidRDefault="002B0046" w:rsidP="002B0046">
      <w:pPr>
        <w:tabs>
          <w:tab w:val="left" w:pos="851"/>
        </w:tabs>
        <w:ind w:left="851"/>
        <w:rPr>
          <w:sz w:val="24"/>
          <w:szCs w:val="24"/>
          <w:lang w:bidi="da-DK"/>
        </w:rPr>
      </w:pPr>
      <w:r>
        <w:rPr>
          <w:sz w:val="24"/>
          <w:szCs w:val="24"/>
          <w:lang w:bidi="da-DK"/>
        </w:rPr>
        <w:t>Bløde d</w:t>
      </w:r>
      <w:r w:rsidRPr="002B0046">
        <w:rPr>
          <w:sz w:val="24"/>
          <w:szCs w:val="24"/>
          <w:lang w:bidi="da-DK"/>
        </w:rPr>
        <w:t>epotkaps</w:t>
      </w:r>
      <w:r>
        <w:rPr>
          <w:sz w:val="24"/>
          <w:szCs w:val="24"/>
          <w:lang w:bidi="da-DK"/>
        </w:rPr>
        <w:t>ler</w:t>
      </w:r>
    </w:p>
    <w:p w:rsidR="002B0046" w:rsidRPr="002B0046" w:rsidRDefault="002B0046" w:rsidP="002B0046">
      <w:pPr>
        <w:tabs>
          <w:tab w:val="left" w:pos="851"/>
        </w:tabs>
        <w:ind w:left="851"/>
        <w:rPr>
          <w:sz w:val="24"/>
          <w:szCs w:val="24"/>
          <w:lang w:bidi="da-DK"/>
        </w:rPr>
      </w:pPr>
    </w:p>
    <w:p w:rsidR="002B0046" w:rsidRPr="002B0046" w:rsidRDefault="002B0046" w:rsidP="002B0046">
      <w:pPr>
        <w:tabs>
          <w:tab w:val="left" w:pos="851"/>
        </w:tabs>
        <w:ind w:left="851"/>
        <w:rPr>
          <w:sz w:val="24"/>
          <w:szCs w:val="24"/>
          <w:lang w:bidi="da-DK"/>
        </w:rPr>
      </w:pPr>
      <w:r w:rsidRPr="002B0046">
        <w:rPr>
          <w:sz w:val="24"/>
          <w:szCs w:val="24"/>
          <w:lang w:bidi="da-DK"/>
        </w:rPr>
        <w:t>Blå, ovale, bløde kapsler, 11,7 mm</w:t>
      </w:r>
      <w:r>
        <w:rPr>
          <w:sz w:val="24"/>
          <w:szCs w:val="24"/>
          <w:lang w:bidi="da-DK"/>
        </w:rPr>
        <w:t>×</w:t>
      </w:r>
      <w:r w:rsidRPr="002B0046">
        <w:rPr>
          <w:sz w:val="24"/>
          <w:szCs w:val="24"/>
          <w:lang w:bidi="da-DK"/>
        </w:rPr>
        <w:t>6,4 m</w:t>
      </w:r>
      <w:r w:rsidR="003F1DBD">
        <w:rPr>
          <w:sz w:val="24"/>
          <w:szCs w:val="24"/>
          <w:lang w:bidi="da-DK"/>
        </w:rPr>
        <w:t>m</w:t>
      </w:r>
      <w:r w:rsidRPr="002B0046">
        <w:rPr>
          <w:sz w:val="24"/>
          <w:szCs w:val="24"/>
          <w:lang w:bidi="da-DK"/>
        </w:rPr>
        <w:t>.</w:t>
      </w:r>
    </w:p>
    <w:p w:rsidR="002B0046" w:rsidRPr="002B0046" w:rsidRDefault="002B0046" w:rsidP="002B0046">
      <w:pPr>
        <w:tabs>
          <w:tab w:val="left" w:pos="851"/>
        </w:tabs>
        <w:ind w:left="851"/>
        <w:rPr>
          <w:sz w:val="24"/>
          <w:szCs w:val="24"/>
          <w:lang w:bidi="da-DK"/>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B5248" w:rsidRPr="004B5248" w:rsidRDefault="004B5248" w:rsidP="004B5248">
      <w:pPr>
        <w:tabs>
          <w:tab w:val="left" w:pos="851"/>
        </w:tabs>
        <w:ind w:left="851"/>
        <w:rPr>
          <w:sz w:val="24"/>
          <w:szCs w:val="24"/>
          <w:lang w:bidi="da-DK"/>
        </w:rPr>
      </w:pPr>
      <w:proofErr w:type="spellStart"/>
      <w:r w:rsidRPr="004B5248">
        <w:rPr>
          <w:sz w:val="24"/>
          <w:szCs w:val="24"/>
          <w:lang w:bidi="da-DK"/>
        </w:rPr>
        <w:t>R</w:t>
      </w:r>
      <w:r>
        <w:rPr>
          <w:sz w:val="24"/>
          <w:szCs w:val="24"/>
          <w:lang w:bidi="da-DK"/>
        </w:rPr>
        <w:t>ayaldee</w:t>
      </w:r>
      <w:proofErr w:type="spellEnd"/>
      <w:r w:rsidRPr="004B5248">
        <w:rPr>
          <w:sz w:val="24"/>
          <w:szCs w:val="24"/>
          <w:lang w:bidi="da-DK"/>
        </w:rPr>
        <w:t xml:space="preserve"> er indiceret til behandling af sekundær </w:t>
      </w:r>
      <w:proofErr w:type="spellStart"/>
      <w:r w:rsidRPr="004B5248">
        <w:rPr>
          <w:sz w:val="24"/>
          <w:szCs w:val="24"/>
          <w:lang w:bidi="da-DK"/>
        </w:rPr>
        <w:t>hyperparathyreoidisme</w:t>
      </w:r>
      <w:proofErr w:type="spellEnd"/>
      <w:r w:rsidRPr="004B5248">
        <w:rPr>
          <w:sz w:val="24"/>
          <w:szCs w:val="24"/>
          <w:lang w:bidi="da-DK"/>
        </w:rPr>
        <w:t xml:space="preserve"> (SHPT) hos voksne med kronisk nyresygdom (CKD) i stadie 3 eller 4 samt vitamin D-insufficiens eller vitamin D-mangel.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1" w:name="_Hlk121742956"/>
      <w:r w:rsidR="0033394B" w:rsidRPr="00BA4587">
        <w:rPr>
          <w:b/>
          <w:sz w:val="24"/>
          <w:szCs w:val="24"/>
        </w:rPr>
        <w:t>Dosering og administration</w:t>
      </w:r>
      <w:bookmarkEnd w:id="1"/>
    </w:p>
    <w:p w:rsidR="004B5248" w:rsidRPr="004B5248" w:rsidRDefault="004B5248" w:rsidP="004B5248">
      <w:pPr>
        <w:tabs>
          <w:tab w:val="left" w:pos="851"/>
        </w:tabs>
        <w:ind w:left="851"/>
        <w:rPr>
          <w:sz w:val="24"/>
          <w:szCs w:val="24"/>
          <w:lang w:bidi="da-DK"/>
        </w:rPr>
      </w:pPr>
    </w:p>
    <w:p w:rsidR="004B5248" w:rsidRPr="004B5248" w:rsidRDefault="004B5248" w:rsidP="004B5248">
      <w:pPr>
        <w:tabs>
          <w:tab w:val="left" w:pos="851"/>
        </w:tabs>
        <w:ind w:left="851"/>
        <w:rPr>
          <w:sz w:val="24"/>
          <w:szCs w:val="24"/>
          <w:u w:val="single"/>
          <w:lang w:bidi="da-DK"/>
        </w:rPr>
      </w:pPr>
      <w:r w:rsidRPr="004B5248">
        <w:rPr>
          <w:sz w:val="24"/>
          <w:szCs w:val="24"/>
          <w:u w:val="single"/>
          <w:lang w:bidi="da-DK"/>
        </w:rPr>
        <w:t>Dosering</w:t>
      </w:r>
    </w:p>
    <w:p w:rsidR="004B5248" w:rsidRPr="004B5248" w:rsidRDefault="004B5248" w:rsidP="004B5248">
      <w:pPr>
        <w:tabs>
          <w:tab w:val="left" w:pos="851"/>
        </w:tabs>
        <w:ind w:left="851"/>
        <w:rPr>
          <w:sz w:val="24"/>
          <w:szCs w:val="24"/>
          <w:lang w:bidi="da-DK"/>
        </w:rPr>
      </w:pPr>
      <w:r w:rsidRPr="004B5248">
        <w:rPr>
          <w:sz w:val="24"/>
          <w:szCs w:val="24"/>
          <w:lang w:bidi="da-DK"/>
        </w:rPr>
        <w:t xml:space="preserve">Den indledende dosis af </w:t>
      </w:r>
      <w:proofErr w:type="spellStart"/>
      <w:r w:rsidRPr="004B5248">
        <w:rPr>
          <w:sz w:val="24"/>
          <w:szCs w:val="24"/>
          <w:lang w:bidi="da-DK"/>
        </w:rPr>
        <w:t>Rayaldee</w:t>
      </w:r>
      <w:proofErr w:type="spellEnd"/>
      <w:r w:rsidRPr="004B5248">
        <w:rPr>
          <w:sz w:val="24"/>
          <w:szCs w:val="24"/>
          <w:lang w:bidi="da-DK"/>
        </w:rPr>
        <w:t xml:space="preserve"> er 30 mikrogram, indgivet oralt én gang dagligt ved sengetid med mindst 2 timers afstand til eventuelle måltider.</w:t>
      </w:r>
    </w:p>
    <w:p w:rsidR="004B5248" w:rsidRPr="004B5248" w:rsidRDefault="004B5248" w:rsidP="004B5248">
      <w:pPr>
        <w:tabs>
          <w:tab w:val="left" w:pos="851"/>
        </w:tabs>
        <w:ind w:left="851"/>
        <w:rPr>
          <w:sz w:val="24"/>
          <w:szCs w:val="24"/>
          <w:lang w:bidi="da-DK"/>
        </w:rPr>
      </w:pPr>
    </w:p>
    <w:p w:rsidR="004B5248" w:rsidRPr="004B5248" w:rsidRDefault="004B5248" w:rsidP="004B5248">
      <w:pPr>
        <w:tabs>
          <w:tab w:val="left" w:pos="851"/>
        </w:tabs>
        <w:ind w:left="851"/>
        <w:rPr>
          <w:sz w:val="24"/>
          <w:szCs w:val="24"/>
          <w:lang w:bidi="da-DK"/>
        </w:rPr>
      </w:pPr>
      <w:r w:rsidRPr="004B5248">
        <w:rPr>
          <w:sz w:val="24"/>
          <w:szCs w:val="24"/>
          <w:lang w:bidi="da-DK"/>
        </w:rPr>
        <w:t>Før behandlingen påbegyndes, bør serumcalcium være under 2,45 mmol/l, serumfosfor bør være under 1,78 mmol/l (se pkt. 4.4).</w:t>
      </w:r>
    </w:p>
    <w:p w:rsidR="004B5248" w:rsidRPr="004B5248" w:rsidRDefault="004B5248" w:rsidP="004B5248">
      <w:pPr>
        <w:tabs>
          <w:tab w:val="left" w:pos="851"/>
        </w:tabs>
        <w:ind w:left="851"/>
        <w:rPr>
          <w:sz w:val="24"/>
          <w:szCs w:val="24"/>
          <w:lang w:bidi="da-DK"/>
        </w:rPr>
      </w:pPr>
    </w:p>
    <w:p w:rsidR="004B5248" w:rsidRPr="004B5248" w:rsidRDefault="004B5248" w:rsidP="004B5248">
      <w:pPr>
        <w:tabs>
          <w:tab w:val="left" w:pos="851"/>
        </w:tabs>
        <w:ind w:left="851"/>
        <w:rPr>
          <w:sz w:val="24"/>
          <w:szCs w:val="24"/>
          <w:lang w:bidi="da-DK"/>
        </w:rPr>
      </w:pPr>
      <w:r w:rsidRPr="004B5248">
        <w:rPr>
          <w:sz w:val="24"/>
          <w:szCs w:val="24"/>
          <w:lang w:bidi="da-DK"/>
        </w:rPr>
        <w:t>Dosis bør øges til 60 mikrogram indgivet oralt ved sengetid mindst 2 timer efter et måltid, efter ca. 3 måneder, hvis intakt PTH forbliver over det ønskede patientindividuelle terapeutiske område. Før titrering til den højere dosis bør serumcalcium være under 2,45 mmol/l, serumfosfor bør være under 1,78 mmol/l, og serum</w:t>
      </w:r>
      <w:r w:rsidRPr="004B5248">
        <w:rPr>
          <w:sz w:val="24"/>
          <w:szCs w:val="24"/>
          <w:lang w:bidi="da-DK"/>
        </w:rPr>
        <w:noBreakHyphen/>
        <w:t>25</w:t>
      </w:r>
      <w:r w:rsidRPr="004B5248">
        <w:rPr>
          <w:sz w:val="24"/>
          <w:szCs w:val="24"/>
          <w:lang w:bidi="da-DK"/>
        </w:rPr>
        <w:noBreakHyphen/>
        <w:t>hydroxyvitamin D bør være under 162 nmol/l.</w:t>
      </w:r>
    </w:p>
    <w:p w:rsidR="004B5248" w:rsidRPr="004B5248" w:rsidRDefault="004B5248" w:rsidP="004B5248">
      <w:pPr>
        <w:tabs>
          <w:tab w:val="left" w:pos="851"/>
        </w:tabs>
        <w:ind w:left="851"/>
        <w:rPr>
          <w:sz w:val="24"/>
          <w:szCs w:val="24"/>
          <w:lang w:bidi="da-DK"/>
        </w:rPr>
      </w:pPr>
    </w:p>
    <w:p w:rsidR="004B5248" w:rsidRPr="004B5248" w:rsidRDefault="004B5248" w:rsidP="004B5248">
      <w:pPr>
        <w:tabs>
          <w:tab w:val="left" w:pos="851"/>
        </w:tabs>
        <w:ind w:left="851"/>
        <w:rPr>
          <w:sz w:val="24"/>
          <w:szCs w:val="24"/>
          <w:lang w:bidi="da-DK"/>
        </w:rPr>
      </w:pPr>
      <w:r w:rsidRPr="004B5248">
        <w:rPr>
          <w:sz w:val="24"/>
          <w:szCs w:val="24"/>
          <w:lang w:bidi="da-DK"/>
        </w:rPr>
        <w:t xml:space="preserve">Vedligeholdelsesdosis af </w:t>
      </w:r>
      <w:proofErr w:type="spellStart"/>
      <w:r w:rsidRPr="004B5248">
        <w:rPr>
          <w:sz w:val="24"/>
          <w:szCs w:val="24"/>
          <w:lang w:bidi="da-DK"/>
        </w:rPr>
        <w:t>Rayaldee</w:t>
      </w:r>
      <w:proofErr w:type="spellEnd"/>
      <w:r w:rsidRPr="004B5248">
        <w:rPr>
          <w:sz w:val="24"/>
          <w:szCs w:val="24"/>
          <w:lang w:bidi="da-DK"/>
        </w:rPr>
        <w:t xml:space="preserve"> bør sigte mod serum-25</w:t>
      </w:r>
      <w:r w:rsidRPr="004B5248">
        <w:rPr>
          <w:sz w:val="24"/>
          <w:szCs w:val="24"/>
          <w:lang w:bidi="da-DK"/>
        </w:rPr>
        <w:noBreakHyphen/>
        <w:t xml:space="preserve">hydroxyvitamin D-niveauer på mellem 75 og 250 nmol/l, niveauer af intakt </w:t>
      </w:r>
      <w:proofErr w:type="spellStart"/>
      <w:r w:rsidRPr="004B5248">
        <w:rPr>
          <w:sz w:val="24"/>
          <w:szCs w:val="24"/>
          <w:lang w:bidi="da-DK"/>
        </w:rPr>
        <w:t>parathyreoideahormon</w:t>
      </w:r>
      <w:proofErr w:type="spellEnd"/>
      <w:r w:rsidRPr="004B5248">
        <w:rPr>
          <w:sz w:val="24"/>
          <w:szCs w:val="24"/>
          <w:lang w:bidi="da-DK"/>
        </w:rPr>
        <w:t xml:space="preserve"> (PTH) inden for det ønskede terapeutiske interval, </w:t>
      </w:r>
      <w:r w:rsidRPr="004B5248">
        <w:rPr>
          <w:sz w:val="24"/>
          <w:szCs w:val="24"/>
          <w:u w:val="single"/>
          <w:lang w:bidi="da-DK"/>
        </w:rPr>
        <w:t>serumcalcium inden for det normale interval og serumfosfor under 1,78 mmol/l</w:t>
      </w:r>
      <w:r w:rsidRPr="004B5248">
        <w:rPr>
          <w:sz w:val="24"/>
          <w:szCs w:val="24"/>
          <w:lang w:bidi="da-DK"/>
        </w:rPr>
        <w:t>.</w:t>
      </w:r>
    </w:p>
    <w:p w:rsidR="004B5248" w:rsidRPr="004B5248" w:rsidRDefault="004B5248" w:rsidP="004B5248">
      <w:pPr>
        <w:tabs>
          <w:tab w:val="left" w:pos="851"/>
        </w:tabs>
        <w:ind w:left="851"/>
        <w:rPr>
          <w:sz w:val="24"/>
          <w:szCs w:val="24"/>
          <w:lang w:bidi="da-DK"/>
        </w:rPr>
      </w:pPr>
      <w:r w:rsidRPr="004B5248">
        <w:rPr>
          <w:sz w:val="24"/>
          <w:szCs w:val="24"/>
          <w:lang w:bidi="da-DK"/>
        </w:rPr>
        <w:t>Serumcalcium, serumfosfor, serum-25</w:t>
      </w:r>
      <w:r w:rsidRPr="004B5248">
        <w:rPr>
          <w:sz w:val="24"/>
          <w:szCs w:val="24"/>
          <w:lang w:bidi="da-DK"/>
        </w:rPr>
        <w:noBreakHyphen/>
        <w:t>hydroxyvitamin D og intakte PTH-niveauer bør som minimum kontrolleres 3 måneder efter påbegyndelse af behandling eller dosisjustering og derefter mindst hver 6. til 12. måned.</w:t>
      </w:r>
    </w:p>
    <w:p w:rsidR="004B5248" w:rsidRPr="004B5248" w:rsidRDefault="004B5248" w:rsidP="004B5248">
      <w:pPr>
        <w:tabs>
          <w:tab w:val="left" w:pos="851"/>
        </w:tabs>
        <w:ind w:left="851"/>
        <w:rPr>
          <w:sz w:val="24"/>
          <w:szCs w:val="24"/>
          <w:lang w:bidi="da-DK"/>
        </w:rPr>
      </w:pPr>
    </w:p>
    <w:p w:rsidR="004B5248" w:rsidRPr="004B5248" w:rsidRDefault="004B5248" w:rsidP="004B5248">
      <w:pPr>
        <w:tabs>
          <w:tab w:val="left" w:pos="851"/>
        </w:tabs>
        <w:ind w:left="851"/>
        <w:rPr>
          <w:sz w:val="24"/>
          <w:szCs w:val="24"/>
          <w:lang w:bidi="da-DK"/>
        </w:rPr>
      </w:pPr>
      <w:r w:rsidRPr="004B5248">
        <w:rPr>
          <w:sz w:val="24"/>
          <w:szCs w:val="24"/>
          <w:lang w:bidi="da-DK"/>
        </w:rPr>
        <w:t xml:space="preserve">Dosering bør suspenderes, hvis intakt PTH vedvarende er unormalt lavt for at reducere risikoen for </w:t>
      </w:r>
      <w:proofErr w:type="spellStart"/>
      <w:r w:rsidRPr="004B5248">
        <w:rPr>
          <w:sz w:val="24"/>
          <w:szCs w:val="24"/>
          <w:lang w:bidi="da-DK"/>
        </w:rPr>
        <w:t>adynamisk</w:t>
      </w:r>
      <w:proofErr w:type="spellEnd"/>
      <w:r w:rsidRPr="004B5248">
        <w:rPr>
          <w:sz w:val="24"/>
          <w:szCs w:val="24"/>
          <w:lang w:bidi="da-DK"/>
        </w:rPr>
        <w:t xml:space="preserve"> knoglesygdom (se pkt. 4.4), hvis serumcalcium konstant er over det normale interval for at reducere risikoen forbundet med </w:t>
      </w:r>
      <w:proofErr w:type="spellStart"/>
      <w:r w:rsidRPr="004B5248">
        <w:rPr>
          <w:sz w:val="24"/>
          <w:szCs w:val="24"/>
          <w:lang w:bidi="da-DK"/>
        </w:rPr>
        <w:t>hyperkalcæmi</w:t>
      </w:r>
      <w:proofErr w:type="spellEnd"/>
      <w:r w:rsidRPr="004B5248">
        <w:rPr>
          <w:sz w:val="24"/>
          <w:szCs w:val="24"/>
          <w:lang w:bidi="da-DK"/>
        </w:rPr>
        <w:t xml:space="preserve"> (se pkt. 4.4), eller hvis serum-25</w:t>
      </w:r>
      <w:r w:rsidRPr="004B5248">
        <w:rPr>
          <w:sz w:val="24"/>
          <w:szCs w:val="24"/>
          <w:lang w:bidi="da-DK"/>
        </w:rPr>
        <w:noBreakHyphen/>
        <w:t>hydroxyvitamin D konsekvent er over 250 nmol/l. Behandlingen bør genstartes med en reduceret dosis, når disse laboratorieværdier er normaliseret.</w:t>
      </w:r>
    </w:p>
    <w:p w:rsidR="004B5248" w:rsidRPr="004B5248" w:rsidRDefault="004B5248" w:rsidP="004B5248">
      <w:pPr>
        <w:tabs>
          <w:tab w:val="left" w:pos="851"/>
        </w:tabs>
        <w:ind w:left="851"/>
        <w:rPr>
          <w:sz w:val="24"/>
          <w:szCs w:val="24"/>
          <w:lang w:bidi="da-DK"/>
        </w:rPr>
      </w:pPr>
    </w:p>
    <w:p w:rsidR="004B5248" w:rsidRPr="004B5248" w:rsidRDefault="004B5248" w:rsidP="004B5248">
      <w:pPr>
        <w:tabs>
          <w:tab w:val="left" w:pos="851"/>
        </w:tabs>
        <w:ind w:left="851"/>
        <w:rPr>
          <w:i/>
          <w:iCs/>
          <w:sz w:val="24"/>
          <w:szCs w:val="24"/>
          <w:lang w:bidi="da-DK"/>
        </w:rPr>
      </w:pPr>
      <w:r w:rsidRPr="004B5248">
        <w:rPr>
          <w:i/>
          <w:iCs/>
          <w:sz w:val="24"/>
          <w:szCs w:val="24"/>
          <w:lang w:bidi="da-DK"/>
        </w:rPr>
        <w:t>Pædiatrisk population</w:t>
      </w:r>
    </w:p>
    <w:p w:rsidR="004B5248" w:rsidRPr="004B5248" w:rsidRDefault="004B5248" w:rsidP="004B5248">
      <w:pPr>
        <w:tabs>
          <w:tab w:val="left" w:pos="851"/>
        </w:tabs>
        <w:ind w:left="851"/>
        <w:rPr>
          <w:sz w:val="24"/>
          <w:szCs w:val="24"/>
          <w:lang w:bidi="da-DK"/>
        </w:rPr>
      </w:pPr>
      <w:proofErr w:type="spellStart"/>
      <w:r w:rsidRPr="004B5248">
        <w:rPr>
          <w:sz w:val="24"/>
          <w:szCs w:val="24"/>
          <w:lang w:bidi="da-DK"/>
        </w:rPr>
        <w:t>Rayaldees</w:t>
      </w:r>
      <w:proofErr w:type="spellEnd"/>
      <w:r w:rsidRPr="004B5248">
        <w:rPr>
          <w:sz w:val="24"/>
          <w:szCs w:val="24"/>
          <w:lang w:bidi="da-DK"/>
        </w:rPr>
        <w:t xml:space="preserve"> sikkerhed og virkning hos børn og unge under 18 år er ikke klarlagt.</w:t>
      </w:r>
    </w:p>
    <w:p w:rsidR="004B5248" w:rsidRPr="004B5248" w:rsidRDefault="004B5248" w:rsidP="004B5248">
      <w:pPr>
        <w:tabs>
          <w:tab w:val="left" w:pos="851"/>
        </w:tabs>
        <w:ind w:left="851"/>
        <w:rPr>
          <w:sz w:val="24"/>
          <w:szCs w:val="24"/>
          <w:lang w:bidi="da-DK"/>
        </w:rPr>
      </w:pPr>
      <w:r w:rsidRPr="004B5248">
        <w:rPr>
          <w:sz w:val="24"/>
          <w:szCs w:val="24"/>
          <w:lang w:bidi="da-DK"/>
        </w:rPr>
        <w:t>Der foreligger ingen data.</w:t>
      </w:r>
    </w:p>
    <w:p w:rsidR="004B5248" w:rsidRPr="004B5248" w:rsidRDefault="004B5248" w:rsidP="004B5248">
      <w:pPr>
        <w:tabs>
          <w:tab w:val="left" w:pos="851"/>
        </w:tabs>
        <w:ind w:left="851"/>
        <w:rPr>
          <w:sz w:val="24"/>
          <w:szCs w:val="24"/>
          <w:lang w:bidi="da-DK"/>
        </w:rPr>
      </w:pPr>
    </w:p>
    <w:p w:rsidR="004B5248" w:rsidRPr="004B5248" w:rsidRDefault="004B5248" w:rsidP="004B5248">
      <w:pPr>
        <w:tabs>
          <w:tab w:val="left" w:pos="851"/>
        </w:tabs>
        <w:ind w:left="851"/>
        <w:rPr>
          <w:i/>
          <w:iCs/>
          <w:sz w:val="24"/>
          <w:szCs w:val="24"/>
          <w:lang w:bidi="da-DK"/>
        </w:rPr>
      </w:pPr>
      <w:r w:rsidRPr="004B5248">
        <w:rPr>
          <w:i/>
          <w:iCs/>
          <w:sz w:val="24"/>
          <w:szCs w:val="24"/>
          <w:lang w:bidi="da-DK"/>
        </w:rPr>
        <w:t>Ældre</w:t>
      </w:r>
    </w:p>
    <w:p w:rsidR="004B5248" w:rsidRPr="004B5248" w:rsidRDefault="004B5248" w:rsidP="004B5248">
      <w:pPr>
        <w:tabs>
          <w:tab w:val="left" w:pos="851"/>
        </w:tabs>
        <w:ind w:left="851"/>
        <w:rPr>
          <w:sz w:val="24"/>
          <w:szCs w:val="24"/>
          <w:lang w:bidi="da-DK"/>
        </w:rPr>
      </w:pPr>
      <w:r w:rsidRPr="004B5248">
        <w:rPr>
          <w:sz w:val="24"/>
          <w:szCs w:val="24"/>
          <w:lang w:bidi="da-DK"/>
        </w:rPr>
        <w:t xml:space="preserve">Ingen dosisjustering er påkrævet hos ældre patienter. Af det samlede antal forsøgspersoner i placebokontrollerede kliniske fase 3-studier af </w:t>
      </w:r>
      <w:proofErr w:type="spellStart"/>
      <w:r w:rsidRPr="004B5248">
        <w:rPr>
          <w:sz w:val="24"/>
          <w:szCs w:val="24"/>
          <w:lang w:bidi="da-DK"/>
        </w:rPr>
        <w:t>Rayaldee</w:t>
      </w:r>
      <w:proofErr w:type="spellEnd"/>
      <w:r w:rsidRPr="004B5248">
        <w:rPr>
          <w:sz w:val="24"/>
          <w:szCs w:val="24"/>
          <w:lang w:bidi="da-DK"/>
        </w:rPr>
        <w:t xml:space="preserve"> var 63 % ≥ 65 år, og 22 % var ≥ 75 år. Der blev ikke observeret nogen generelle forskelle i sikkerheden eller virkningen af </w:t>
      </w:r>
      <w:proofErr w:type="spellStart"/>
      <w:r w:rsidRPr="004B5248">
        <w:rPr>
          <w:sz w:val="24"/>
          <w:szCs w:val="24"/>
          <w:lang w:bidi="da-DK"/>
        </w:rPr>
        <w:t>Rayaldee</w:t>
      </w:r>
      <w:proofErr w:type="spellEnd"/>
      <w:r w:rsidRPr="004B5248">
        <w:rPr>
          <w:sz w:val="24"/>
          <w:szCs w:val="24"/>
          <w:lang w:bidi="da-DK"/>
        </w:rPr>
        <w:t xml:space="preserve"> mellem forsøgspersoner over 65 år og yngre forsøgspersoner.</w:t>
      </w:r>
    </w:p>
    <w:p w:rsidR="004B5248" w:rsidRPr="004B5248" w:rsidRDefault="004B5248" w:rsidP="004B5248">
      <w:pPr>
        <w:tabs>
          <w:tab w:val="left" w:pos="851"/>
        </w:tabs>
        <w:ind w:left="851"/>
        <w:rPr>
          <w:sz w:val="24"/>
          <w:szCs w:val="24"/>
          <w:lang w:bidi="da-DK"/>
        </w:rPr>
      </w:pPr>
    </w:p>
    <w:p w:rsidR="004B5248" w:rsidRPr="004B5248" w:rsidRDefault="004B5248" w:rsidP="004B5248">
      <w:pPr>
        <w:tabs>
          <w:tab w:val="left" w:pos="851"/>
        </w:tabs>
        <w:ind w:left="851"/>
        <w:rPr>
          <w:i/>
          <w:iCs/>
          <w:sz w:val="24"/>
          <w:szCs w:val="24"/>
          <w:lang w:bidi="da-DK"/>
        </w:rPr>
      </w:pPr>
      <w:r w:rsidRPr="004B5248">
        <w:rPr>
          <w:i/>
          <w:iCs/>
          <w:sz w:val="24"/>
          <w:szCs w:val="24"/>
          <w:lang w:bidi="da-DK"/>
        </w:rPr>
        <w:t>Nyreinsufficiens</w:t>
      </w:r>
    </w:p>
    <w:p w:rsidR="004B5248" w:rsidRPr="004B5248" w:rsidRDefault="004B5248" w:rsidP="004B5248">
      <w:pPr>
        <w:tabs>
          <w:tab w:val="left" w:pos="851"/>
        </w:tabs>
        <w:ind w:left="851"/>
        <w:rPr>
          <w:sz w:val="24"/>
          <w:szCs w:val="24"/>
          <w:lang w:bidi="da-DK"/>
        </w:rPr>
      </w:pPr>
      <w:proofErr w:type="spellStart"/>
      <w:r w:rsidRPr="004B5248">
        <w:rPr>
          <w:sz w:val="24"/>
          <w:szCs w:val="24"/>
          <w:lang w:bidi="da-DK"/>
        </w:rPr>
        <w:t>Rayaldees</w:t>
      </w:r>
      <w:proofErr w:type="spellEnd"/>
      <w:r w:rsidRPr="004B5248">
        <w:rPr>
          <w:sz w:val="24"/>
          <w:szCs w:val="24"/>
          <w:lang w:bidi="da-DK"/>
        </w:rPr>
        <w:t xml:space="preserve"> sikkerhed og virkning i behandlingen af sekundær </w:t>
      </w:r>
      <w:proofErr w:type="spellStart"/>
      <w:r w:rsidRPr="004B5248">
        <w:rPr>
          <w:sz w:val="24"/>
          <w:szCs w:val="24"/>
          <w:lang w:bidi="da-DK"/>
        </w:rPr>
        <w:t>hyperparathyreoidisme</w:t>
      </w:r>
      <w:proofErr w:type="spellEnd"/>
      <w:r w:rsidRPr="004B5248">
        <w:rPr>
          <w:sz w:val="24"/>
          <w:szCs w:val="24"/>
          <w:lang w:bidi="da-DK"/>
        </w:rPr>
        <w:t xml:space="preserve"> hos patienter med nyresygdom i slutstadiet, som er i dialyse, er ikke fastlagt (se pkt. 4.4).</w:t>
      </w:r>
    </w:p>
    <w:p w:rsidR="004B5248" w:rsidRPr="004B5248" w:rsidRDefault="004B5248" w:rsidP="004B5248">
      <w:pPr>
        <w:tabs>
          <w:tab w:val="left" w:pos="851"/>
        </w:tabs>
        <w:ind w:left="851"/>
        <w:rPr>
          <w:sz w:val="24"/>
          <w:szCs w:val="24"/>
          <w:lang w:bidi="da-DK"/>
        </w:rPr>
      </w:pPr>
    </w:p>
    <w:p w:rsidR="004B5248" w:rsidRPr="004B5248" w:rsidRDefault="004B5248" w:rsidP="004B5248">
      <w:pPr>
        <w:tabs>
          <w:tab w:val="left" w:pos="851"/>
        </w:tabs>
        <w:ind w:left="851"/>
        <w:rPr>
          <w:i/>
          <w:iCs/>
          <w:sz w:val="24"/>
          <w:szCs w:val="24"/>
          <w:lang w:bidi="da-DK"/>
        </w:rPr>
      </w:pPr>
      <w:r w:rsidRPr="004B5248">
        <w:rPr>
          <w:i/>
          <w:iCs/>
          <w:sz w:val="24"/>
          <w:szCs w:val="24"/>
          <w:lang w:bidi="da-DK"/>
        </w:rPr>
        <w:t>Leverinsufficiens</w:t>
      </w:r>
    </w:p>
    <w:p w:rsidR="004B5248" w:rsidRPr="004B5248" w:rsidRDefault="004B5248" w:rsidP="004B5248">
      <w:pPr>
        <w:tabs>
          <w:tab w:val="left" w:pos="851"/>
        </w:tabs>
        <w:ind w:left="851"/>
        <w:rPr>
          <w:sz w:val="24"/>
          <w:szCs w:val="24"/>
          <w:lang w:bidi="da-DK"/>
        </w:rPr>
      </w:pPr>
      <w:r w:rsidRPr="004B5248">
        <w:rPr>
          <w:sz w:val="24"/>
          <w:szCs w:val="24"/>
          <w:lang w:bidi="da-DK"/>
        </w:rPr>
        <w:t>Der foreligger ingen data.</w:t>
      </w:r>
    </w:p>
    <w:p w:rsidR="004B5248" w:rsidRPr="004B5248" w:rsidRDefault="004B5248" w:rsidP="004B5248">
      <w:pPr>
        <w:tabs>
          <w:tab w:val="left" w:pos="851"/>
        </w:tabs>
        <w:ind w:left="851"/>
        <w:rPr>
          <w:sz w:val="24"/>
          <w:szCs w:val="24"/>
          <w:lang w:bidi="da-DK"/>
        </w:rPr>
      </w:pPr>
    </w:p>
    <w:p w:rsidR="004B5248" w:rsidRPr="004B5248" w:rsidRDefault="004B5248" w:rsidP="004B5248">
      <w:pPr>
        <w:tabs>
          <w:tab w:val="left" w:pos="851"/>
        </w:tabs>
        <w:ind w:left="851"/>
        <w:rPr>
          <w:sz w:val="24"/>
          <w:szCs w:val="24"/>
          <w:u w:val="single"/>
          <w:lang w:bidi="da-DK"/>
        </w:rPr>
      </w:pPr>
      <w:r w:rsidRPr="004B5248">
        <w:rPr>
          <w:sz w:val="24"/>
          <w:szCs w:val="24"/>
          <w:u w:val="single"/>
          <w:lang w:bidi="da-DK"/>
        </w:rPr>
        <w:t>Administration</w:t>
      </w:r>
    </w:p>
    <w:p w:rsidR="004B5248" w:rsidRPr="004B5248" w:rsidRDefault="004B5248" w:rsidP="004B5248">
      <w:pPr>
        <w:tabs>
          <w:tab w:val="left" w:pos="851"/>
        </w:tabs>
        <w:ind w:left="851"/>
        <w:rPr>
          <w:sz w:val="24"/>
          <w:szCs w:val="24"/>
          <w:lang w:bidi="da-DK"/>
        </w:rPr>
      </w:pPr>
      <w:proofErr w:type="spellStart"/>
      <w:r w:rsidRPr="004B5248">
        <w:rPr>
          <w:sz w:val="24"/>
          <w:szCs w:val="24"/>
          <w:lang w:bidi="da-DK"/>
        </w:rPr>
        <w:t>Rayaldee</w:t>
      </w:r>
      <w:proofErr w:type="spellEnd"/>
      <w:r w:rsidRPr="004B5248">
        <w:rPr>
          <w:sz w:val="24"/>
          <w:szCs w:val="24"/>
          <w:lang w:bidi="da-DK"/>
        </w:rPr>
        <w:t xml:space="preserve"> er til oral anvendelse.</w:t>
      </w:r>
    </w:p>
    <w:p w:rsidR="004B5248" w:rsidRPr="004B5248" w:rsidRDefault="004B5248" w:rsidP="004B5248">
      <w:pPr>
        <w:tabs>
          <w:tab w:val="left" w:pos="851"/>
        </w:tabs>
        <w:ind w:left="851"/>
        <w:rPr>
          <w:sz w:val="24"/>
          <w:szCs w:val="24"/>
          <w:lang w:bidi="da-DK"/>
        </w:rPr>
      </w:pPr>
      <w:r w:rsidRPr="004B5248">
        <w:rPr>
          <w:sz w:val="24"/>
          <w:szCs w:val="24"/>
          <w:lang w:bidi="da-DK"/>
        </w:rPr>
        <w:t>Kapslerne bør synkes hele.</w:t>
      </w:r>
    </w:p>
    <w:p w:rsidR="004B5248" w:rsidRPr="004B5248" w:rsidRDefault="004B5248" w:rsidP="004B5248">
      <w:pPr>
        <w:tabs>
          <w:tab w:val="left" w:pos="851"/>
        </w:tabs>
        <w:ind w:left="851"/>
        <w:rPr>
          <w:sz w:val="24"/>
          <w:szCs w:val="24"/>
          <w:lang w:bidi="da-DK"/>
        </w:rPr>
      </w:pPr>
      <w:r w:rsidRPr="004B5248">
        <w:rPr>
          <w:sz w:val="24"/>
          <w:szCs w:val="24"/>
          <w:lang w:bidi="da-DK"/>
        </w:rPr>
        <w:t>Depotkapslen bør tages én gang om dagen ved sengetid, mindst 2 timer efter et måltid.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8E4C7F" w:rsidRPr="008E4C7F" w:rsidRDefault="008E4C7F" w:rsidP="008E4C7F">
      <w:pPr>
        <w:tabs>
          <w:tab w:val="left" w:pos="851"/>
        </w:tabs>
        <w:ind w:left="851"/>
        <w:rPr>
          <w:sz w:val="24"/>
          <w:szCs w:val="24"/>
          <w:lang w:bidi="da-DK"/>
        </w:rPr>
      </w:pPr>
      <w:r w:rsidRPr="008E4C7F">
        <w:rPr>
          <w:sz w:val="24"/>
          <w:szCs w:val="24"/>
          <w:lang w:bidi="da-DK"/>
        </w:rPr>
        <w:t>Overfølsomhed over for det aktive stof eller over for et eller flere af hjælpestofferne anført i pkt. 6.1.</w:t>
      </w:r>
    </w:p>
    <w:p w:rsidR="008E4C7F" w:rsidRDefault="008E4C7F">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E4C7F" w:rsidRPr="008E4C7F" w:rsidRDefault="008E4C7F" w:rsidP="008E4C7F">
      <w:pPr>
        <w:tabs>
          <w:tab w:val="left" w:pos="851"/>
        </w:tabs>
        <w:ind w:left="851"/>
        <w:rPr>
          <w:sz w:val="24"/>
          <w:szCs w:val="24"/>
          <w:lang w:bidi="da-DK"/>
        </w:rPr>
      </w:pPr>
    </w:p>
    <w:p w:rsidR="008E4C7F" w:rsidRPr="008E4C7F" w:rsidRDefault="008E4C7F" w:rsidP="008E4C7F">
      <w:pPr>
        <w:tabs>
          <w:tab w:val="left" w:pos="851"/>
        </w:tabs>
        <w:ind w:left="851"/>
        <w:rPr>
          <w:sz w:val="24"/>
          <w:szCs w:val="24"/>
          <w:u w:val="single"/>
          <w:lang w:bidi="da-DK"/>
        </w:rPr>
      </w:pPr>
      <w:proofErr w:type="spellStart"/>
      <w:r w:rsidRPr="008E4C7F">
        <w:rPr>
          <w:sz w:val="24"/>
          <w:szCs w:val="24"/>
          <w:u w:val="single"/>
          <w:lang w:bidi="da-DK"/>
        </w:rPr>
        <w:t>Hyperkalcæmi</w:t>
      </w:r>
      <w:proofErr w:type="spellEnd"/>
      <w:r w:rsidRPr="008E4C7F">
        <w:rPr>
          <w:sz w:val="24"/>
          <w:szCs w:val="24"/>
          <w:u w:val="single"/>
          <w:lang w:bidi="da-DK"/>
        </w:rPr>
        <w:t xml:space="preserve"> og </w:t>
      </w:r>
      <w:proofErr w:type="spellStart"/>
      <w:r w:rsidRPr="008E4C7F">
        <w:rPr>
          <w:sz w:val="24"/>
          <w:szCs w:val="24"/>
          <w:u w:val="single"/>
          <w:lang w:bidi="da-DK"/>
        </w:rPr>
        <w:t>hyperfosfatæmi</w:t>
      </w:r>
      <w:proofErr w:type="spellEnd"/>
    </w:p>
    <w:p w:rsidR="008E4C7F" w:rsidRPr="008E4C7F" w:rsidRDefault="008E4C7F" w:rsidP="008E4C7F">
      <w:pPr>
        <w:tabs>
          <w:tab w:val="left" w:pos="851"/>
        </w:tabs>
        <w:ind w:left="851"/>
        <w:rPr>
          <w:sz w:val="24"/>
          <w:szCs w:val="24"/>
          <w:lang w:bidi="da-DK"/>
        </w:rPr>
      </w:pPr>
      <w:proofErr w:type="spellStart"/>
      <w:r w:rsidRPr="008E4C7F">
        <w:rPr>
          <w:sz w:val="24"/>
          <w:szCs w:val="24"/>
          <w:lang w:bidi="da-DK"/>
        </w:rPr>
        <w:t>Hyperkalcæmi</w:t>
      </w:r>
      <w:proofErr w:type="spellEnd"/>
      <w:r w:rsidRPr="008E4C7F">
        <w:rPr>
          <w:sz w:val="24"/>
          <w:szCs w:val="24"/>
          <w:lang w:bidi="da-DK"/>
        </w:rPr>
        <w:t xml:space="preserve"> kan forekomme under </w:t>
      </w:r>
      <w:proofErr w:type="spellStart"/>
      <w:r w:rsidRPr="008E4C7F">
        <w:rPr>
          <w:sz w:val="24"/>
          <w:szCs w:val="24"/>
          <w:lang w:bidi="da-DK"/>
        </w:rPr>
        <w:t>Rayaldee</w:t>
      </w:r>
      <w:proofErr w:type="spellEnd"/>
      <w:r w:rsidRPr="008E4C7F">
        <w:rPr>
          <w:sz w:val="24"/>
          <w:szCs w:val="24"/>
          <w:lang w:bidi="da-DK"/>
        </w:rPr>
        <w:t xml:space="preserve">-behandling (se pkt. 4.2). Akut </w:t>
      </w:r>
      <w:proofErr w:type="spellStart"/>
      <w:r w:rsidRPr="008E4C7F">
        <w:rPr>
          <w:sz w:val="24"/>
          <w:szCs w:val="24"/>
          <w:lang w:bidi="da-DK"/>
        </w:rPr>
        <w:t>hyperkalcæmi</w:t>
      </w:r>
      <w:proofErr w:type="spellEnd"/>
      <w:r w:rsidRPr="008E4C7F">
        <w:rPr>
          <w:sz w:val="24"/>
          <w:szCs w:val="24"/>
          <w:lang w:bidi="da-DK"/>
        </w:rPr>
        <w:t xml:space="preserve"> kan øge risikoen for </w:t>
      </w:r>
      <w:proofErr w:type="spellStart"/>
      <w:r w:rsidRPr="008E4C7F">
        <w:rPr>
          <w:sz w:val="24"/>
          <w:szCs w:val="24"/>
          <w:lang w:bidi="da-DK"/>
        </w:rPr>
        <w:t>hjertearytmier</w:t>
      </w:r>
      <w:proofErr w:type="spellEnd"/>
      <w:r w:rsidRPr="008E4C7F">
        <w:rPr>
          <w:sz w:val="24"/>
          <w:szCs w:val="24"/>
          <w:lang w:bidi="da-DK"/>
        </w:rPr>
        <w:t xml:space="preserve"> og krampeanfald. Kronisk </w:t>
      </w:r>
      <w:proofErr w:type="spellStart"/>
      <w:r w:rsidRPr="008E4C7F">
        <w:rPr>
          <w:sz w:val="24"/>
          <w:szCs w:val="24"/>
          <w:lang w:bidi="da-DK"/>
        </w:rPr>
        <w:t>hyperkalcæmi</w:t>
      </w:r>
      <w:proofErr w:type="spellEnd"/>
      <w:r w:rsidRPr="008E4C7F">
        <w:rPr>
          <w:sz w:val="24"/>
          <w:szCs w:val="24"/>
          <w:lang w:bidi="da-DK"/>
        </w:rPr>
        <w:t xml:space="preserve"> kan føre til </w:t>
      </w:r>
      <w:proofErr w:type="spellStart"/>
      <w:r w:rsidRPr="008E4C7F">
        <w:rPr>
          <w:sz w:val="24"/>
          <w:szCs w:val="24"/>
          <w:lang w:bidi="da-DK"/>
        </w:rPr>
        <w:t>vaskulær</w:t>
      </w:r>
      <w:proofErr w:type="spellEnd"/>
      <w:r w:rsidRPr="008E4C7F">
        <w:rPr>
          <w:sz w:val="24"/>
          <w:szCs w:val="24"/>
          <w:lang w:bidi="da-DK"/>
        </w:rPr>
        <w:t xml:space="preserve"> forkalkning og forkalkning af andet blødt væv. Svær </w:t>
      </w:r>
      <w:proofErr w:type="spellStart"/>
      <w:r w:rsidRPr="008E4C7F">
        <w:rPr>
          <w:sz w:val="24"/>
          <w:szCs w:val="24"/>
          <w:lang w:bidi="da-DK"/>
        </w:rPr>
        <w:t>hyperkalcæmi</w:t>
      </w:r>
      <w:proofErr w:type="spellEnd"/>
      <w:r w:rsidRPr="008E4C7F">
        <w:rPr>
          <w:sz w:val="24"/>
          <w:szCs w:val="24"/>
          <w:lang w:bidi="da-DK"/>
        </w:rPr>
        <w:t xml:space="preserve"> kan kræve akut behandling.</w:t>
      </w:r>
    </w:p>
    <w:p w:rsidR="008E4C7F" w:rsidRPr="008E4C7F" w:rsidRDefault="008E4C7F" w:rsidP="008E4C7F">
      <w:pPr>
        <w:tabs>
          <w:tab w:val="left" w:pos="851"/>
        </w:tabs>
        <w:ind w:left="851"/>
        <w:rPr>
          <w:sz w:val="24"/>
          <w:szCs w:val="24"/>
          <w:lang w:bidi="da-DK"/>
        </w:rPr>
      </w:pPr>
      <w:proofErr w:type="spellStart"/>
      <w:r w:rsidRPr="008E4C7F">
        <w:rPr>
          <w:sz w:val="24"/>
          <w:szCs w:val="24"/>
          <w:lang w:bidi="da-DK"/>
        </w:rPr>
        <w:t>Hyperkalcæmi</w:t>
      </w:r>
      <w:proofErr w:type="spellEnd"/>
      <w:r w:rsidRPr="008E4C7F">
        <w:rPr>
          <w:sz w:val="24"/>
          <w:szCs w:val="24"/>
          <w:lang w:bidi="da-DK"/>
        </w:rPr>
        <w:t xml:space="preserve"> kan forværres ved samtidig administration af høje doser af calciumholdige præparater, </w:t>
      </w:r>
      <w:proofErr w:type="spellStart"/>
      <w:r w:rsidRPr="008E4C7F">
        <w:rPr>
          <w:sz w:val="24"/>
          <w:szCs w:val="24"/>
          <w:lang w:bidi="da-DK"/>
        </w:rPr>
        <w:t>thiaziddiuretika</w:t>
      </w:r>
      <w:proofErr w:type="spellEnd"/>
      <w:r w:rsidRPr="008E4C7F">
        <w:rPr>
          <w:sz w:val="24"/>
          <w:szCs w:val="24"/>
          <w:lang w:bidi="da-DK"/>
        </w:rPr>
        <w:t xml:space="preserve"> eller andre </w:t>
      </w:r>
      <w:proofErr w:type="gramStart"/>
      <w:r w:rsidRPr="008E4C7F">
        <w:rPr>
          <w:sz w:val="24"/>
          <w:szCs w:val="24"/>
          <w:lang w:bidi="da-DK"/>
        </w:rPr>
        <w:t>vitamin D-forbindelser</w:t>
      </w:r>
      <w:proofErr w:type="gramEnd"/>
      <w:r w:rsidRPr="008E4C7F">
        <w:rPr>
          <w:sz w:val="24"/>
          <w:szCs w:val="24"/>
          <w:lang w:bidi="da-DK"/>
        </w:rPr>
        <w:t xml:space="preserve">. I disse kliniske situationer kan hyppigere serumcalciumovervågning og </w:t>
      </w:r>
      <w:proofErr w:type="spellStart"/>
      <w:r w:rsidRPr="008E4C7F">
        <w:rPr>
          <w:sz w:val="24"/>
          <w:szCs w:val="24"/>
          <w:lang w:bidi="da-DK"/>
        </w:rPr>
        <w:t>Rayaldee</w:t>
      </w:r>
      <w:proofErr w:type="spellEnd"/>
      <w:r w:rsidRPr="008E4C7F">
        <w:rPr>
          <w:sz w:val="24"/>
          <w:szCs w:val="24"/>
          <w:lang w:bidi="da-DK"/>
        </w:rPr>
        <w:t xml:space="preserve">-dosisjustering være nødvendig. Patienter med </w:t>
      </w:r>
      <w:proofErr w:type="spellStart"/>
      <w:r w:rsidRPr="008E4C7F">
        <w:rPr>
          <w:sz w:val="24"/>
          <w:szCs w:val="24"/>
          <w:lang w:bidi="da-DK"/>
        </w:rPr>
        <w:t>hyperkalcæmi</w:t>
      </w:r>
      <w:proofErr w:type="spellEnd"/>
      <w:r w:rsidRPr="008E4C7F">
        <w:rPr>
          <w:sz w:val="24"/>
          <w:szCs w:val="24"/>
          <w:lang w:bidi="da-DK"/>
        </w:rPr>
        <w:t xml:space="preserve"> i anamnesen inden behandling med </w:t>
      </w:r>
      <w:proofErr w:type="spellStart"/>
      <w:r w:rsidRPr="008E4C7F">
        <w:rPr>
          <w:sz w:val="24"/>
          <w:szCs w:val="24"/>
          <w:lang w:bidi="da-DK"/>
        </w:rPr>
        <w:t>Rayaldee</w:t>
      </w:r>
      <w:proofErr w:type="spellEnd"/>
      <w:r w:rsidRPr="008E4C7F">
        <w:rPr>
          <w:sz w:val="24"/>
          <w:szCs w:val="24"/>
          <w:lang w:bidi="da-DK"/>
        </w:rPr>
        <w:t xml:space="preserve"> bør overvåges oftere for mulig </w:t>
      </w:r>
      <w:proofErr w:type="spellStart"/>
      <w:r w:rsidRPr="008E4C7F">
        <w:rPr>
          <w:sz w:val="24"/>
          <w:szCs w:val="24"/>
          <w:lang w:bidi="da-DK"/>
        </w:rPr>
        <w:t>hyperkalcæmi</w:t>
      </w:r>
      <w:proofErr w:type="spellEnd"/>
      <w:r w:rsidRPr="008E4C7F">
        <w:rPr>
          <w:sz w:val="24"/>
          <w:szCs w:val="24"/>
          <w:lang w:bidi="da-DK"/>
        </w:rPr>
        <w:t xml:space="preserve"> under behandlingen. Ved CKD kan højt indtag af calcium samtidigt med vitamin D-forbindelser føre til </w:t>
      </w:r>
      <w:proofErr w:type="spellStart"/>
      <w:r w:rsidRPr="008E4C7F">
        <w:rPr>
          <w:sz w:val="24"/>
          <w:szCs w:val="24"/>
          <w:lang w:bidi="da-DK"/>
        </w:rPr>
        <w:t>hyperkalciuri</w:t>
      </w:r>
      <w:proofErr w:type="spellEnd"/>
      <w:r w:rsidRPr="008E4C7F">
        <w:rPr>
          <w:sz w:val="24"/>
          <w:szCs w:val="24"/>
          <w:lang w:bidi="da-DK"/>
        </w:rPr>
        <w:t>.</w:t>
      </w:r>
    </w:p>
    <w:p w:rsidR="008E4C7F" w:rsidRPr="008E4C7F" w:rsidRDefault="008E4C7F" w:rsidP="008E4C7F">
      <w:pPr>
        <w:tabs>
          <w:tab w:val="left" w:pos="851"/>
        </w:tabs>
        <w:ind w:left="851"/>
        <w:rPr>
          <w:sz w:val="24"/>
          <w:szCs w:val="24"/>
          <w:lang w:bidi="da-DK"/>
        </w:rPr>
      </w:pPr>
      <w:r w:rsidRPr="008E4C7F">
        <w:rPr>
          <w:sz w:val="24"/>
          <w:szCs w:val="24"/>
          <w:lang w:bidi="da-DK"/>
        </w:rPr>
        <w:t xml:space="preserve">Patienter bør informeres om symptomerne på forhøjet serumcalcium. Øget fosfatindtag samtidigt med vitamin D-forbindelser kan føre til </w:t>
      </w:r>
      <w:proofErr w:type="spellStart"/>
      <w:r w:rsidRPr="008E4C7F">
        <w:rPr>
          <w:sz w:val="24"/>
          <w:szCs w:val="24"/>
          <w:lang w:bidi="da-DK"/>
        </w:rPr>
        <w:t>hyperfosfatæmi</w:t>
      </w:r>
      <w:proofErr w:type="spellEnd"/>
      <w:r w:rsidRPr="008E4C7F">
        <w:rPr>
          <w:sz w:val="24"/>
          <w:szCs w:val="24"/>
          <w:lang w:bidi="da-DK"/>
        </w:rPr>
        <w:t>.</w:t>
      </w:r>
    </w:p>
    <w:p w:rsidR="008E4C7F" w:rsidRPr="008E4C7F" w:rsidRDefault="008E4C7F" w:rsidP="008E4C7F">
      <w:pPr>
        <w:tabs>
          <w:tab w:val="left" w:pos="851"/>
        </w:tabs>
        <w:ind w:left="851"/>
        <w:rPr>
          <w:sz w:val="24"/>
          <w:szCs w:val="24"/>
          <w:lang w:bidi="da-DK"/>
        </w:rPr>
      </w:pPr>
      <w:r w:rsidRPr="008E4C7F">
        <w:rPr>
          <w:sz w:val="24"/>
          <w:szCs w:val="24"/>
          <w:lang w:bidi="da-DK"/>
        </w:rPr>
        <w:t xml:space="preserve">Patienter med </w:t>
      </w:r>
      <w:proofErr w:type="spellStart"/>
      <w:r w:rsidRPr="008E4C7F">
        <w:rPr>
          <w:sz w:val="24"/>
          <w:szCs w:val="24"/>
          <w:lang w:bidi="da-DK"/>
        </w:rPr>
        <w:t>hyperfosfatæmi</w:t>
      </w:r>
      <w:proofErr w:type="spellEnd"/>
      <w:r w:rsidRPr="008E4C7F">
        <w:rPr>
          <w:sz w:val="24"/>
          <w:szCs w:val="24"/>
          <w:lang w:bidi="da-DK"/>
        </w:rPr>
        <w:t xml:space="preserve"> i anamnesen inden behandling med </w:t>
      </w:r>
      <w:proofErr w:type="spellStart"/>
      <w:r w:rsidRPr="008E4C7F">
        <w:rPr>
          <w:sz w:val="24"/>
          <w:szCs w:val="24"/>
          <w:lang w:bidi="da-DK"/>
        </w:rPr>
        <w:t>Rayaldee</w:t>
      </w:r>
      <w:proofErr w:type="spellEnd"/>
      <w:r w:rsidRPr="008E4C7F">
        <w:rPr>
          <w:sz w:val="24"/>
          <w:szCs w:val="24"/>
          <w:lang w:bidi="da-DK"/>
        </w:rPr>
        <w:t xml:space="preserve"> bør overvåges oftere for mulig </w:t>
      </w:r>
      <w:proofErr w:type="spellStart"/>
      <w:r w:rsidRPr="008E4C7F">
        <w:rPr>
          <w:sz w:val="24"/>
          <w:szCs w:val="24"/>
          <w:lang w:bidi="da-DK"/>
        </w:rPr>
        <w:t>hyperfosfatæmi</w:t>
      </w:r>
      <w:proofErr w:type="spellEnd"/>
      <w:r w:rsidRPr="008E4C7F">
        <w:rPr>
          <w:sz w:val="24"/>
          <w:szCs w:val="24"/>
          <w:lang w:bidi="da-DK"/>
        </w:rPr>
        <w:t xml:space="preserve"> under behandlingen.</w:t>
      </w:r>
    </w:p>
    <w:p w:rsidR="008E4C7F" w:rsidRPr="008E4C7F" w:rsidRDefault="008E4C7F" w:rsidP="008E4C7F">
      <w:pPr>
        <w:tabs>
          <w:tab w:val="left" w:pos="851"/>
        </w:tabs>
        <w:ind w:left="851"/>
        <w:rPr>
          <w:sz w:val="24"/>
          <w:szCs w:val="24"/>
          <w:lang w:bidi="da-DK"/>
        </w:rPr>
      </w:pPr>
    </w:p>
    <w:p w:rsidR="008E4C7F" w:rsidRPr="008E4C7F" w:rsidRDefault="008E4C7F" w:rsidP="008E4C7F">
      <w:pPr>
        <w:tabs>
          <w:tab w:val="left" w:pos="851"/>
        </w:tabs>
        <w:ind w:left="851"/>
        <w:rPr>
          <w:sz w:val="24"/>
          <w:szCs w:val="24"/>
          <w:u w:val="single"/>
          <w:lang w:bidi="da-DK"/>
        </w:rPr>
      </w:pPr>
      <w:r w:rsidRPr="008E4C7F">
        <w:rPr>
          <w:sz w:val="24"/>
          <w:szCs w:val="24"/>
          <w:u w:val="single"/>
          <w:lang w:bidi="da-DK"/>
        </w:rPr>
        <w:t>Digitalistoksicitet</w:t>
      </w:r>
    </w:p>
    <w:p w:rsidR="008E4C7F" w:rsidRPr="008E4C7F" w:rsidRDefault="008E4C7F" w:rsidP="008E4C7F">
      <w:pPr>
        <w:tabs>
          <w:tab w:val="left" w:pos="851"/>
        </w:tabs>
        <w:ind w:left="851"/>
        <w:rPr>
          <w:sz w:val="24"/>
          <w:szCs w:val="24"/>
          <w:lang w:bidi="da-DK"/>
        </w:rPr>
      </w:pPr>
      <w:proofErr w:type="spellStart"/>
      <w:r w:rsidRPr="008E4C7F">
        <w:rPr>
          <w:sz w:val="24"/>
          <w:szCs w:val="24"/>
          <w:lang w:bidi="da-DK"/>
        </w:rPr>
        <w:t>Hyperkalcæmi</w:t>
      </w:r>
      <w:proofErr w:type="spellEnd"/>
      <w:r w:rsidRPr="008E4C7F">
        <w:rPr>
          <w:sz w:val="24"/>
          <w:szCs w:val="24"/>
          <w:lang w:bidi="da-DK"/>
        </w:rPr>
        <w:t xml:space="preserve"> uanset årsag, inklusive </w:t>
      </w:r>
      <w:proofErr w:type="spellStart"/>
      <w:r w:rsidRPr="008E4C7F">
        <w:rPr>
          <w:sz w:val="24"/>
          <w:szCs w:val="24"/>
          <w:lang w:bidi="da-DK"/>
        </w:rPr>
        <w:t>hyperkalcæmi</w:t>
      </w:r>
      <w:proofErr w:type="spellEnd"/>
      <w:r w:rsidRPr="008E4C7F">
        <w:rPr>
          <w:sz w:val="24"/>
          <w:szCs w:val="24"/>
          <w:lang w:bidi="da-DK"/>
        </w:rPr>
        <w:t xml:space="preserve"> forbundet med </w:t>
      </w:r>
      <w:proofErr w:type="spellStart"/>
      <w:r w:rsidRPr="008E4C7F">
        <w:rPr>
          <w:sz w:val="24"/>
          <w:szCs w:val="24"/>
          <w:lang w:bidi="da-DK"/>
        </w:rPr>
        <w:t>Rayaldee</w:t>
      </w:r>
      <w:proofErr w:type="spellEnd"/>
      <w:r w:rsidRPr="008E4C7F">
        <w:rPr>
          <w:sz w:val="24"/>
          <w:szCs w:val="24"/>
          <w:lang w:bidi="da-DK"/>
        </w:rPr>
        <w:t xml:space="preserve">-brug, øger risikoen for digitalistoksicitet (se pkt. 4.5). Patienter, der bruger </w:t>
      </w:r>
      <w:proofErr w:type="spellStart"/>
      <w:r w:rsidRPr="008E4C7F">
        <w:rPr>
          <w:sz w:val="24"/>
          <w:szCs w:val="24"/>
          <w:lang w:bidi="da-DK"/>
        </w:rPr>
        <w:t>Rayaldee</w:t>
      </w:r>
      <w:proofErr w:type="spellEnd"/>
      <w:r w:rsidRPr="008E4C7F">
        <w:rPr>
          <w:sz w:val="24"/>
          <w:szCs w:val="24"/>
          <w:lang w:bidi="da-DK"/>
        </w:rPr>
        <w:t xml:space="preserve"> samtidigt med digitalisforbindelser, bør overvåges for stigninger i serumcalcium og for tegn og symptomer på digitalistoksicitet. Overvågningsfrekvensen bør øges ved opstart af </w:t>
      </w:r>
      <w:proofErr w:type="spellStart"/>
      <w:r w:rsidRPr="008E4C7F">
        <w:rPr>
          <w:sz w:val="24"/>
          <w:szCs w:val="24"/>
          <w:lang w:bidi="da-DK"/>
        </w:rPr>
        <w:t>Rayaldee</w:t>
      </w:r>
      <w:proofErr w:type="spellEnd"/>
      <w:r w:rsidRPr="008E4C7F">
        <w:rPr>
          <w:sz w:val="24"/>
          <w:szCs w:val="24"/>
          <w:lang w:bidi="da-DK"/>
        </w:rPr>
        <w:t xml:space="preserve"> og ved dosisjustering (se pkt. 4.5).</w:t>
      </w:r>
    </w:p>
    <w:p w:rsidR="008E4C7F" w:rsidRPr="008E4C7F" w:rsidRDefault="008E4C7F" w:rsidP="008E4C7F">
      <w:pPr>
        <w:tabs>
          <w:tab w:val="left" w:pos="851"/>
        </w:tabs>
        <w:ind w:left="851"/>
        <w:rPr>
          <w:sz w:val="24"/>
          <w:szCs w:val="24"/>
          <w:lang w:bidi="da-DK"/>
        </w:rPr>
      </w:pPr>
    </w:p>
    <w:p w:rsidR="008E4C7F" w:rsidRPr="008E4C7F" w:rsidRDefault="008E4C7F" w:rsidP="008E4C7F">
      <w:pPr>
        <w:tabs>
          <w:tab w:val="left" w:pos="851"/>
        </w:tabs>
        <w:ind w:left="851"/>
        <w:rPr>
          <w:sz w:val="24"/>
          <w:szCs w:val="24"/>
          <w:u w:val="single"/>
          <w:lang w:bidi="da-DK"/>
        </w:rPr>
      </w:pPr>
      <w:proofErr w:type="spellStart"/>
      <w:r w:rsidRPr="008E4C7F">
        <w:rPr>
          <w:sz w:val="24"/>
          <w:szCs w:val="24"/>
          <w:u w:val="single"/>
          <w:lang w:bidi="da-DK"/>
        </w:rPr>
        <w:t>Adynamisk</w:t>
      </w:r>
      <w:proofErr w:type="spellEnd"/>
      <w:r w:rsidRPr="008E4C7F">
        <w:rPr>
          <w:sz w:val="24"/>
          <w:szCs w:val="24"/>
          <w:u w:val="single"/>
          <w:lang w:bidi="da-DK"/>
        </w:rPr>
        <w:t xml:space="preserve"> knoglesygdom</w:t>
      </w:r>
    </w:p>
    <w:p w:rsidR="008E4C7F" w:rsidRPr="008E4C7F" w:rsidRDefault="008E4C7F" w:rsidP="008E4C7F">
      <w:pPr>
        <w:tabs>
          <w:tab w:val="left" w:pos="851"/>
        </w:tabs>
        <w:ind w:left="851"/>
        <w:rPr>
          <w:sz w:val="24"/>
          <w:szCs w:val="24"/>
          <w:lang w:bidi="da-DK"/>
        </w:rPr>
      </w:pPr>
      <w:proofErr w:type="spellStart"/>
      <w:r w:rsidRPr="008E4C7F">
        <w:rPr>
          <w:sz w:val="24"/>
          <w:szCs w:val="24"/>
          <w:lang w:bidi="da-DK"/>
        </w:rPr>
        <w:t>Adynamisk</w:t>
      </w:r>
      <w:proofErr w:type="spellEnd"/>
      <w:r w:rsidRPr="008E4C7F">
        <w:rPr>
          <w:sz w:val="24"/>
          <w:szCs w:val="24"/>
          <w:lang w:bidi="da-DK"/>
        </w:rPr>
        <w:t xml:space="preserve"> knoglesygdom med efterfølgende øget risiko for brud kan udvikle sig, hvis intakte PTH-niveauer over-undertrykkes i længere perioder. Niveauerne af intakt PTH bør overvåges, og </w:t>
      </w:r>
      <w:proofErr w:type="spellStart"/>
      <w:r w:rsidRPr="008E4C7F">
        <w:rPr>
          <w:sz w:val="24"/>
          <w:szCs w:val="24"/>
          <w:lang w:bidi="da-DK"/>
        </w:rPr>
        <w:t>Rayaldee</w:t>
      </w:r>
      <w:proofErr w:type="spellEnd"/>
      <w:r w:rsidRPr="008E4C7F">
        <w:rPr>
          <w:sz w:val="24"/>
          <w:szCs w:val="24"/>
          <w:lang w:bidi="da-DK"/>
        </w:rPr>
        <w:t>-dosis bør om nødvendigt justeres (se pkt. 4.2).</w:t>
      </w:r>
    </w:p>
    <w:p w:rsidR="008E4C7F" w:rsidRPr="008E4C7F" w:rsidRDefault="008E4C7F" w:rsidP="008E4C7F">
      <w:pPr>
        <w:tabs>
          <w:tab w:val="left" w:pos="851"/>
        </w:tabs>
        <w:ind w:left="851"/>
        <w:rPr>
          <w:sz w:val="24"/>
          <w:szCs w:val="24"/>
          <w:lang w:bidi="da-DK"/>
        </w:rPr>
      </w:pPr>
    </w:p>
    <w:p w:rsidR="008E4C7F" w:rsidRPr="008E4C7F" w:rsidRDefault="008E4C7F" w:rsidP="008E4C7F">
      <w:pPr>
        <w:tabs>
          <w:tab w:val="left" w:pos="851"/>
        </w:tabs>
        <w:ind w:left="851"/>
        <w:rPr>
          <w:sz w:val="24"/>
          <w:szCs w:val="24"/>
          <w:u w:val="single"/>
          <w:lang w:bidi="da-DK"/>
        </w:rPr>
      </w:pPr>
      <w:r w:rsidRPr="008E4C7F">
        <w:rPr>
          <w:sz w:val="24"/>
          <w:szCs w:val="24"/>
          <w:u w:val="single"/>
          <w:lang w:bidi="da-DK"/>
        </w:rPr>
        <w:t>Nyreinsufficiens</w:t>
      </w:r>
    </w:p>
    <w:p w:rsidR="008E4C7F" w:rsidRPr="008E4C7F" w:rsidRDefault="008E4C7F" w:rsidP="008E4C7F">
      <w:pPr>
        <w:tabs>
          <w:tab w:val="left" w:pos="851"/>
        </w:tabs>
        <w:ind w:left="851"/>
        <w:rPr>
          <w:sz w:val="24"/>
          <w:szCs w:val="24"/>
          <w:lang w:bidi="da-DK"/>
        </w:rPr>
      </w:pPr>
      <w:r w:rsidRPr="008E4C7F">
        <w:rPr>
          <w:sz w:val="24"/>
          <w:szCs w:val="24"/>
          <w:lang w:bidi="da-DK"/>
        </w:rPr>
        <w:t xml:space="preserve">Doseringsanbefalingerne gælder voksne patienter med kronisk nyresygdom, der ikke er i dialyse. Der blev ikke observeret nogen forskel i virkningen mellem patienter med kronisk nyresygdom i stadie 3 og patienter med sygdom i stadie 4 i undergruppeanalysen. Sikkerhedsresultaterne var ens i disse undergrupper. </w:t>
      </w:r>
      <w:proofErr w:type="spellStart"/>
      <w:r w:rsidRPr="008E4C7F">
        <w:rPr>
          <w:sz w:val="24"/>
          <w:szCs w:val="24"/>
          <w:lang w:bidi="da-DK"/>
        </w:rPr>
        <w:t>Rayaldees</w:t>
      </w:r>
      <w:proofErr w:type="spellEnd"/>
      <w:r w:rsidRPr="008E4C7F">
        <w:rPr>
          <w:sz w:val="24"/>
          <w:szCs w:val="24"/>
          <w:lang w:bidi="da-DK"/>
        </w:rPr>
        <w:t xml:space="preserve"> sikkerhed og virkning i behandlingen af sekundær </w:t>
      </w:r>
      <w:proofErr w:type="spellStart"/>
      <w:r w:rsidRPr="008E4C7F">
        <w:rPr>
          <w:sz w:val="24"/>
          <w:szCs w:val="24"/>
          <w:lang w:bidi="da-DK"/>
        </w:rPr>
        <w:t>hyperparathyreoidisme</w:t>
      </w:r>
      <w:proofErr w:type="spellEnd"/>
      <w:r w:rsidRPr="008E4C7F">
        <w:rPr>
          <w:sz w:val="24"/>
          <w:szCs w:val="24"/>
          <w:lang w:bidi="da-DK"/>
        </w:rPr>
        <w:t xml:space="preserve"> hos patienter med nyresygdom i slutstadiet, som er i dialyse, er ikke fastlagt.</w:t>
      </w:r>
    </w:p>
    <w:p w:rsidR="008E4C7F" w:rsidRPr="008E4C7F" w:rsidRDefault="008E4C7F" w:rsidP="008E4C7F">
      <w:pPr>
        <w:tabs>
          <w:tab w:val="left" w:pos="851"/>
        </w:tabs>
        <w:ind w:left="851"/>
        <w:rPr>
          <w:sz w:val="24"/>
          <w:szCs w:val="24"/>
          <w:lang w:bidi="da-DK"/>
        </w:rPr>
      </w:pPr>
    </w:p>
    <w:p w:rsidR="008E4C7F" w:rsidRPr="008E4C7F" w:rsidRDefault="008E4C7F" w:rsidP="008E4C7F">
      <w:pPr>
        <w:tabs>
          <w:tab w:val="left" w:pos="851"/>
        </w:tabs>
        <w:ind w:left="851"/>
        <w:rPr>
          <w:sz w:val="24"/>
          <w:szCs w:val="24"/>
          <w:u w:val="single"/>
          <w:lang w:bidi="da-DK"/>
        </w:rPr>
      </w:pPr>
      <w:r w:rsidRPr="008E4C7F">
        <w:rPr>
          <w:sz w:val="24"/>
          <w:szCs w:val="24"/>
          <w:u w:val="single"/>
          <w:lang w:bidi="da-DK"/>
        </w:rPr>
        <w:t>Pædiatrisk population</w:t>
      </w:r>
    </w:p>
    <w:p w:rsidR="008E4C7F" w:rsidRPr="008E4C7F" w:rsidRDefault="008E4C7F" w:rsidP="008E4C7F">
      <w:pPr>
        <w:tabs>
          <w:tab w:val="left" w:pos="851"/>
        </w:tabs>
        <w:ind w:left="851"/>
        <w:rPr>
          <w:sz w:val="24"/>
          <w:szCs w:val="24"/>
          <w:lang w:bidi="da-DK"/>
        </w:rPr>
      </w:pPr>
      <w:r w:rsidRPr="008E4C7F">
        <w:rPr>
          <w:sz w:val="24"/>
          <w:szCs w:val="24"/>
          <w:lang w:bidi="da-DK"/>
        </w:rPr>
        <w:t>Der foreligger ingen data.</w:t>
      </w:r>
    </w:p>
    <w:p w:rsidR="008E4C7F" w:rsidRPr="008E4C7F" w:rsidRDefault="008E4C7F" w:rsidP="008E4C7F">
      <w:pPr>
        <w:tabs>
          <w:tab w:val="left" w:pos="851"/>
        </w:tabs>
        <w:ind w:left="851"/>
        <w:rPr>
          <w:sz w:val="24"/>
          <w:szCs w:val="24"/>
          <w:lang w:bidi="da-DK"/>
        </w:rPr>
      </w:pPr>
    </w:p>
    <w:p w:rsidR="008E4C7F" w:rsidRPr="008E4C7F" w:rsidRDefault="008E4C7F" w:rsidP="008E4C7F">
      <w:pPr>
        <w:tabs>
          <w:tab w:val="left" w:pos="851"/>
        </w:tabs>
        <w:ind w:left="851"/>
        <w:rPr>
          <w:sz w:val="24"/>
          <w:szCs w:val="24"/>
          <w:u w:val="single"/>
          <w:lang w:bidi="da-DK"/>
        </w:rPr>
      </w:pPr>
      <w:r w:rsidRPr="008E4C7F">
        <w:rPr>
          <w:sz w:val="24"/>
          <w:szCs w:val="24"/>
          <w:u w:val="single"/>
          <w:lang w:bidi="da-DK"/>
        </w:rPr>
        <w:t>Geriatrisk brug</w:t>
      </w:r>
    </w:p>
    <w:p w:rsidR="008E4C7F" w:rsidRPr="008E4C7F" w:rsidRDefault="008E4C7F" w:rsidP="008E4C7F">
      <w:pPr>
        <w:tabs>
          <w:tab w:val="left" w:pos="851"/>
        </w:tabs>
        <w:ind w:left="851"/>
        <w:rPr>
          <w:sz w:val="24"/>
          <w:szCs w:val="24"/>
          <w:lang w:bidi="da-DK"/>
        </w:rPr>
      </w:pPr>
      <w:r w:rsidRPr="008E4C7F">
        <w:rPr>
          <w:sz w:val="24"/>
          <w:szCs w:val="24"/>
          <w:lang w:bidi="da-DK"/>
        </w:rPr>
        <w:t xml:space="preserve">Ingen dosisjustering er påkrævet hos ældre patienter. Af det samlede antal forsøgspersoner i placebokontrollerede kliniske fase 3-studier af </w:t>
      </w:r>
      <w:proofErr w:type="spellStart"/>
      <w:r w:rsidRPr="008E4C7F">
        <w:rPr>
          <w:sz w:val="24"/>
          <w:szCs w:val="24"/>
          <w:lang w:bidi="da-DK"/>
        </w:rPr>
        <w:t>Rayaldee</w:t>
      </w:r>
      <w:proofErr w:type="spellEnd"/>
      <w:r w:rsidRPr="008E4C7F">
        <w:rPr>
          <w:sz w:val="24"/>
          <w:szCs w:val="24"/>
          <w:lang w:bidi="da-DK"/>
        </w:rPr>
        <w:t xml:space="preserve"> var 63 % ≥ 65 år, og 22 % var≥ 75 år. Der blev ikke observeret nogen generelle forskelle i sikkerheden eller virkningen af </w:t>
      </w:r>
      <w:proofErr w:type="spellStart"/>
      <w:r w:rsidRPr="008E4C7F">
        <w:rPr>
          <w:sz w:val="24"/>
          <w:szCs w:val="24"/>
          <w:lang w:bidi="da-DK"/>
        </w:rPr>
        <w:t>Rayaldee</w:t>
      </w:r>
      <w:proofErr w:type="spellEnd"/>
      <w:r w:rsidRPr="008E4C7F">
        <w:rPr>
          <w:sz w:val="24"/>
          <w:szCs w:val="24"/>
          <w:lang w:bidi="da-DK"/>
        </w:rPr>
        <w:t xml:space="preserve"> mellem forsøgspersoner over 65 år og yngre forsøgspersoner.</w:t>
      </w:r>
    </w:p>
    <w:p w:rsidR="008E4C7F" w:rsidRPr="008E4C7F" w:rsidRDefault="008E4C7F" w:rsidP="008E4C7F">
      <w:pPr>
        <w:tabs>
          <w:tab w:val="left" w:pos="851"/>
        </w:tabs>
        <w:ind w:left="851"/>
        <w:rPr>
          <w:sz w:val="24"/>
          <w:szCs w:val="24"/>
          <w:lang w:bidi="da-DK"/>
        </w:rPr>
      </w:pPr>
    </w:p>
    <w:p w:rsidR="008E4C7F" w:rsidRPr="008E4C7F" w:rsidRDefault="008E4C7F" w:rsidP="008E4C7F">
      <w:pPr>
        <w:tabs>
          <w:tab w:val="left" w:pos="851"/>
        </w:tabs>
        <w:ind w:left="851"/>
        <w:rPr>
          <w:sz w:val="24"/>
          <w:szCs w:val="24"/>
          <w:u w:val="single"/>
          <w:lang w:bidi="da-DK"/>
        </w:rPr>
      </w:pPr>
      <w:r w:rsidRPr="008E4C7F">
        <w:rPr>
          <w:sz w:val="24"/>
          <w:szCs w:val="24"/>
          <w:u w:val="single"/>
          <w:lang w:bidi="da-DK"/>
        </w:rPr>
        <w:t>Leverinsufficiens</w:t>
      </w:r>
    </w:p>
    <w:p w:rsidR="008E4C7F" w:rsidRPr="008E4C7F" w:rsidRDefault="008E4C7F" w:rsidP="008E4C7F">
      <w:pPr>
        <w:tabs>
          <w:tab w:val="left" w:pos="851"/>
        </w:tabs>
        <w:ind w:left="851"/>
        <w:rPr>
          <w:sz w:val="24"/>
          <w:szCs w:val="24"/>
          <w:lang w:bidi="da-DK"/>
        </w:rPr>
      </w:pPr>
      <w:r w:rsidRPr="008E4C7F">
        <w:rPr>
          <w:sz w:val="24"/>
          <w:szCs w:val="24"/>
          <w:lang w:bidi="da-DK"/>
        </w:rPr>
        <w:t>Der foreligger ingen data.</w:t>
      </w:r>
    </w:p>
    <w:p w:rsidR="008E4C7F" w:rsidRPr="008E4C7F" w:rsidRDefault="008E4C7F" w:rsidP="008E4C7F">
      <w:pPr>
        <w:tabs>
          <w:tab w:val="left" w:pos="851"/>
        </w:tabs>
        <w:ind w:left="851"/>
        <w:rPr>
          <w:sz w:val="24"/>
          <w:szCs w:val="24"/>
          <w:lang w:bidi="da-DK"/>
        </w:rPr>
      </w:pPr>
    </w:p>
    <w:p w:rsidR="008E4C7F" w:rsidRPr="008E4C7F" w:rsidRDefault="008E4C7F" w:rsidP="008E4C7F">
      <w:pPr>
        <w:tabs>
          <w:tab w:val="left" w:pos="851"/>
        </w:tabs>
        <w:ind w:left="851"/>
        <w:rPr>
          <w:sz w:val="24"/>
          <w:szCs w:val="24"/>
          <w:u w:val="single"/>
          <w:lang w:bidi="da-DK"/>
        </w:rPr>
      </w:pPr>
      <w:r w:rsidRPr="008E4C7F">
        <w:rPr>
          <w:sz w:val="24"/>
          <w:szCs w:val="24"/>
          <w:u w:val="single"/>
          <w:lang w:bidi="da-DK"/>
        </w:rPr>
        <w:lastRenderedPageBreak/>
        <w:t>Stofmisbrug og afhængighed</w:t>
      </w:r>
    </w:p>
    <w:p w:rsidR="008E4C7F" w:rsidRPr="008E4C7F" w:rsidRDefault="008E4C7F" w:rsidP="008E4C7F">
      <w:pPr>
        <w:tabs>
          <w:tab w:val="left" w:pos="851"/>
        </w:tabs>
        <w:ind w:left="851"/>
        <w:rPr>
          <w:sz w:val="24"/>
          <w:szCs w:val="24"/>
          <w:lang w:bidi="da-DK"/>
        </w:rPr>
      </w:pPr>
      <w:r w:rsidRPr="008E4C7F">
        <w:rPr>
          <w:sz w:val="24"/>
          <w:szCs w:val="24"/>
          <w:lang w:bidi="da-DK"/>
        </w:rPr>
        <w:t>Ikke relevant.</w:t>
      </w:r>
    </w:p>
    <w:p w:rsidR="008E4C7F" w:rsidRPr="008E4C7F" w:rsidRDefault="008E4C7F" w:rsidP="008E4C7F">
      <w:pPr>
        <w:tabs>
          <w:tab w:val="left" w:pos="851"/>
        </w:tabs>
        <w:ind w:left="851"/>
        <w:rPr>
          <w:sz w:val="24"/>
          <w:szCs w:val="24"/>
          <w:lang w:bidi="da-DK"/>
        </w:rPr>
      </w:pPr>
    </w:p>
    <w:p w:rsidR="008E4C7F" w:rsidRPr="008E4C7F" w:rsidRDefault="008E4C7F" w:rsidP="008E4C7F">
      <w:pPr>
        <w:tabs>
          <w:tab w:val="left" w:pos="851"/>
        </w:tabs>
        <w:ind w:left="851"/>
        <w:rPr>
          <w:sz w:val="24"/>
          <w:szCs w:val="24"/>
          <w:u w:val="single"/>
          <w:lang w:bidi="da-DK"/>
        </w:rPr>
      </w:pPr>
      <w:r w:rsidRPr="008E4C7F">
        <w:rPr>
          <w:sz w:val="24"/>
          <w:szCs w:val="24"/>
          <w:u w:val="single"/>
          <w:lang w:bidi="da-DK"/>
        </w:rPr>
        <w:t>Laboratorietest</w:t>
      </w:r>
    </w:p>
    <w:p w:rsidR="008E4C7F" w:rsidRPr="008E4C7F" w:rsidRDefault="008E4C7F" w:rsidP="008E4C7F">
      <w:pPr>
        <w:tabs>
          <w:tab w:val="left" w:pos="851"/>
        </w:tabs>
        <w:ind w:left="851"/>
        <w:rPr>
          <w:sz w:val="24"/>
          <w:szCs w:val="24"/>
          <w:lang w:bidi="da-DK"/>
        </w:rPr>
      </w:pPr>
      <w:r w:rsidRPr="008E4C7F">
        <w:rPr>
          <w:sz w:val="24"/>
          <w:szCs w:val="24"/>
          <w:lang w:bidi="da-DK"/>
        </w:rPr>
        <w:t>Der foreligger ingen data.</w:t>
      </w:r>
    </w:p>
    <w:p w:rsidR="008E4C7F" w:rsidRPr="008E4C7F" w:rsidRDefault="008E4C7F" w:rsidP="008E4C7F">
      <w:pPr>
        <w:tabs>
          <w:tab w:val="left" w:pos="851"/>
        </w:tabs>
        <w:ind w:left="851"/>
        <w:rPr>
          <w:sz w:val="24"/>
          <w:szCs w:val="24"/>
          <w:lang w:bidi="da-DK"/>
        </w:rPr>
      </w:pPr>
    </w:p>
    <w:p w:rsidR="008E4C7F" w:rsidRPr="008E4C7F" w:rsidRDefault="008E4C7F" w:rsidP="008E4C7F">
      <w:pPr>
        <w:tabs>
          <w:tab w:val="left" w:pos="851"/>
        </w:tabs>
        <w:ind w:left="851"/>
        <w:rPr>
          <w:sz w:val="24"/>
          <w:szCs w:val="24"/>
          <w:u w:val="single"/>
          <w:lang w:bidi="da-DK"/>
        </w:rPr>
      </w:pPr>
      <w:proofErr w:type="spellStart"/>
      <w:r w:rsidRPr="008E4C7F">
        <w:rPr>
          <w:sz w:val="24"/>
          <w:szCs w:val="24"/>
          <w:u w:val="single"/>
          <w:lang w:bidi="da-DK"/>
        </w:rPr>
        <w:t>Laboratorieabnormaliteter</w:t>
      </w:r>
      <w:proofErr w:type="spellEnd"/>
    </w:p>
    <w:p w:rsidR="008E4C7F" w:rsidRPr="008E4C7F" w:rsidRDefault="008E4C7F" w:rsidP="008E4C7F">
      <w:pPr>
        <w:tabs>
          <w:tab w:val="left" w:pos="851"/>
        </w:tabs>
        <w:ind w:left="851"/>
        <w:rPr>
          <w:sz w:val="24"/>
          <w:szCs w:val="24"/>
          <w:lang w:bidi="da-DK"/>
        </w:rPr>
      </w:pPr>
      <w:r w:rsidRPr="008E4C7F">
        <w:rPr>
          <w:sz w:val="24"/>
          <w:szCs w:val="24"/>
          <w:lang w:bidi="da-DK"/>
        </w:rPr>
        <w:t>Der foreligger ingen data.</w:t>
      </w:r>
    </w:p>
    <w:p w:rsidR="008E4C7F" w:rsidRPr="008E4C7F" w:rsidRDefault="008E4C7F" w:rsidP="008E4C7F">
      <w:pPr>
        <w:tabs>
          <w:tab w:val="left" w:pos="851"/>
        </w:tabs>
        <w:ind w:left="851"/>
        <w:rPr>
          <w:sz w:val="24"/>
          <w:szCs w:val="24"/>
          <w:lang w:bidi="da-DK"/>
        </w:rPr>
      </w:pPr>
    </w:p>
    <w:p w:rsidR="008E4C7F" w:rsidRPr="008F6FBF" w:rsidRDefault="008E4C7F" w:rsidP="008E4C7F">
      <w:pPr>
        <w:tabs>
          <w:tab w:val="left" w:pos="851"/>
        </w:tabs>
        <w:ind w:left="851"/>
        <w:rPr>
          <w:i/>
          <w:sz w:val="24"/>
          <w:szCs w:val="24"/>
          <w:lang w:bidi="da-DK"/>
        </w:rPr>
      </w:pPr>
      <w:r w:rsidRPr="008F6FBF">
        <w:rPr>
          <w:i/>
          <w:sz w:val="24"/>
          <w:szCs w:val="24"/>
          <w:lang w:bidi="da-DK"/>
        </w:rPr>
        <w:t>Advarsel om hjælpestoffer</w:t>
      </w:r>
    </w:p>
    <w:p w:rsidR="00485419" w:rsidRPr="008E4C7F" w:rsidRDefault="00485419" w:rsidP="00485419">
      <w:pPr>
        <w:ind w:firstLine="851"/>
        <w:rPr>
          <w:sz w:val="24"/>
          <w:szCs w:val="24"/>
        </w:rPr>
      </w:pPr>
      <w:r w:rsidRPr="008E4C7F">
        <w:rPr>
          <w:sz w:val="24"/>
          <w:szCs w:val="24"/>
        </w:rPr>
        <w:t>Dette lægemiddel indeholder 18 mg sorbitol (E420) pr. kapsel, svarende til 0,</w:t>
      </w:r>
      <w:r>
        <w:rPr>
          <w:sz w:val="24"/>
          <w:szCs w:val="24"/>
        </w:rPr>
        <w:t>064</w:t>
      </w:r>
      <w:r w:rsidRPr="008E4C7F">
        <w:rPr>
          <w:sz w:val="24"/>
          <w:szCs w:val="24"/>
        </w:rPr>
        <w:t> mg/mg.</w:t>
      </w:r>
    </w:p>
    <w:p w:rsidR="00485419" w:rsidRPr="008E4C7F" w:rsidRDefault="00485419" w:rsidP="00485419">
      <w:pPr>
        <w:ind w:left="851"/>
        <w:rPr>
          <w:sz w:val="24"/>
          <w:szCs w:val="24"/>
        </w:rPr>
      </w:pPr>
      <w:r w:rsidRPr="008E4C7F">
        <w:rPr>
          <w:sz w:val="24"/>
          <w:szCs w:val="24"/>
        </w:rPr>
        <w:t xml:space="preserve">Dette lægemiddel indeholder 3,9 mg </w:t>
      </w:r>
      <w:proofErr w:type="spellStart"/>
      <w:r w:rsidRPr="008E4C7F">
        <w:rPr>
          <w:sz w:val="24"/>
          <w:szCs w:val="24"/>
        </w:rPr>
        <w:t>ethanol</w:t>
      </w:r>
      <w:proofErr w:type="spellEnd"/>
      <w:r w:rsidRPr="008E4C7F">
        <w:rPr>
          <w:sz w:val="24"/>
          <w:szCs w:val="24"/>
        </w:rPr>
        <w:t xml:space="preserve"> (alkohol), svarende til mindre end 100 mg pr. dosis.</w:t>
      </w:r>
    </w:p>
    <w:p w:rsidR="008E4C7F" w:rsidRPr="008E4C7F" w:rsidRDefault="008E4C7F" w:rsidP="008E4C7F">
      <w:pPr>
        <w:tabs>
          <w:tab w:val="left" w:pos="851"/>
        </w:tabs>
        <w:ind w:left="851"/>
        <w:rPr>
          <w:sz w:val="24"/>
          <w:szCs w:val="24"/>
          <w:lang w:bidi="da-DK"/>
        </w:rPr>
      </w:pPr>
      <w:r w:rsidRPr="008E4C7F">
        <w:rPr>
          <w:sz w:val="24"/>
          <w:szCs w:val="24"/>
          <w:lang w:bidi="da-DK"/>
        </w:rPr>
        <w:t>Dette lægemiddel indeholder mindre end 1 mmol (23 mg) natrium pr. kapsel,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F6FBF" w:rsidRPr="008F6FBF" w:rsidRDefault="008F6FBF" w:rsidP="008F6FBF">
      <w:pPr>
        <w:tabs>
          <w:tab w:val="left" w:pos="851"/>
        </w:tabs>
        <w:ind w:left="851"/>
        <w:rPr>
          <w:sz w:val="24"/>
          <w:szCs w:val="24"/>
          <w:lang w:bidi="da-DK"/>
        </w:rPr>
      </w:pPr>
      <w:r w:rsidRPr="008F6FBF">
        <w:rPr>
          <w:sz w:val="24"/>
          <w:szCs w:val="24"/>
          <w:lang w:bidi="da-DK"/>
        </w:rPr>
        <w:t>Der er ikke udført interaktionsstudier.</w:t>
      </w:r>
    </w:p>
    <w:p w:rsidR="008F6FBF" w:rsidRPr="008F6FBF" w:rsidRDefault="008F6FBF" w:rsidP="008F6FBF">
      <w:pPr>
        <w:tabs>
          <w:tab w:val="left" w:pos="851"/>
        </w:tabs>
        <w:ind w:left="851"/>
        <w:rPr>
          <w:sz w:val="24"/>
          <w:szCs w:val="24"/>
          <w:lang w:bidi="da-DK"/>
        </w:rPr>
      </w:pPr>
    </w:p>
    <w:p w:rsidR="00485419" w:rsidRDefault="00485419" w:rsidP="00485419">
      <w:pPr>
        <w:ind w:firstLine="851"/>
        <w:rPr>
          <w:sz w:val="24"/>
          <w:szCs w:val="24"/>
          <w:u w:val="single"/>
        </w:rPr>
      </w:pPr>
      <w:r w:rsidRPr="008F6FBF">
        <w:rPr>
          <w:sz w:val="24"/>
          <w:szCs w:val="24"/>
          <w:u w:val="single"/>
        </w:rPr>
        <w:t>CYP3A-hæmmere</w:t>
      </w:r>
    </w:p>
    <w:p w:rsidR="008F6FBF" w:rsidRPr="008F6FBF" w:rsidRDefault="008F6FBF" w:rsidP="008F6FBF">
      <w:pPr>
        <w:tabs>
          <w:tab w:val="left" w:pos="851"/>
        </w:tabs>
        <w:ind w:left="851"/>
        <w:rPr>
          <w:sz w:val="24"/>
          <w:szCs w:val="24"/>
          <w:lang w:bidi="da-DK"/>
        </w:rPr>
      </w:pPr>
      <w:proofErr w:type="spellStart"/>
      <w:r w:rsidRPr="008F6FBF">
        <w:rPr>
          <w:sz w:val="24"/>
          <w:szCs w:val="24"/>
          <w:lang w:bidi="da-DK"/>
        </w:rPr>
        <w:t>Cytochrom</w:t>
      </w:r>
      <w:proofErr w:type="spellEnd"/>
      <w:r w:rsidRPr="008F6FBF">
        <w:rPr>
          <w:sz w:val="24"/>
          <w:szCs w:val="24"/>
          <w:lang w:bidi="da-DK"/>
        </w:rPr>
        <w:t xml:space="preserve"> P450-hæmmere, såsom </w:t>
      </w:r>
      <w:proofErr w:type="spellStart"/>
      <w:r w:rsidRPr="008F6FBF">
        <w:rPr>
          <w:sz w:val="24"/>
          <w:szCs w:val="24"/>
          <w:lang w:bidi="da-DK"/>
        </w:rPr>
        <w:t>ketoconazol</w:t>
      </w:r>
      <w:proofErr w:type="spellEnd"/>
      <w:r w:rsidRPr="008F6FBF">
        <w:rPr>
          <w:sz w:val="24"/>
          <w:szCs w:val="24"/>
          <w:lang w:bidi="da-DK"/>
        </w:rPr>
        <w:t xml:space="preserve">, </w:t>
      </w:r>
      <w:proofErr w:type="spellStart"/>
      <w:r w:rsidRPr="008F6FBF">
        <w:rPr>
          <w:sz w:val="24"/>
          <w:szCs w:val="24"/>
          <w:lang w:bidi="da-DK"/>
        </w:rPr>
        <w:t>atazanavir</w:t>
      </w:r>
      <w:proofErr w:type="spellEnd"/>
      <w:r w:rsidRPr="008F6FBF">
        <w:rPr>
          <w:sz w:val="24"/>
          <w:szCs w:val="24"/>
          <w:lang w:bidi="da-DK"/>
        </w:rPr>
        <w:t xml:space="preserve">, </w:t>
      </w:r>
      <w:proofErr w:type="spellStart"/>
      <w:r w:rsidRPr="008F6FBF">
        <w:rPr>
          <w:sz w:val="24"/>
          <w:szCs w:val="24"/>
          <w:lang w:bidi="da-DK"/>
        </w:rPr>
        <w:t>clarithromycin</w:t>
      </w:r>
      <w:proofErr w:type="spellEnd"/>
      <w:r w:rsidRPr="008F6FBF">
        <w:rPr>
          <w:sz w:val="24"/>
          <w:szCs w:val="24"/>
          <w:lang w:bidi="da-DK"/>
        </w:rPr>
        <w:t xml:space="preserve">, </w:t>
      </w:r>
      <w:proofErr w:type="spellStart"/>
      <w:r w:rsidRPr="008F6FBF">
        <w:rPr>
          <w:sz w:val="24"/>
          <w:szCs w:val="24"/>
          <w:lang w:bidi="da-DK"/>
        </w:rPr>
        <w:t>indinavir</w:t>
      </w:r>
      <w:proofErr w:type="spellEnd"/>
      <w:r w:rsidRPr="008F6FBF">
        <w:rPr>
          <w:sz w:val="24"/>
          <w:szCs w:val="24"/>
          <w:lang w:bidi="da-DK"/>
        </w:rPr>
        <w:t xml:space="preserve">, </w:t>
      </w:r>
      <w:proofErr w:type="spellStart"/>
      <w:r w:rsidRPr="008F6FBF">
        <w:rPr>
          <w:sz w:val="24"/>
          <w:szCs w:val="24"/>
          <w:lang w:bidi="da-DK"/>
        </w:rPr>
        <w:t>itraconazol</w:t>
      </w:r>
      <w:proofErr w:type="spellEnd"/>
      <w:r w:rsidRPr="008F6FBF">
        <w:rPr>
          <w:sz w:val="24"/>
          <w:szCs w:val="24"/>
          <w:lang w:bidi="da-DK"/>
        </w:rPr>
        <w:t xml:space="preserve">, </w:t>
      </w:r>
      <w:proofErr w:type="spellStart"/>
      <w:r w:rsidRPr="008F6FBF">
        <w:rPr>
          <w:sz w:val="24"/>
          <w:szCs w:val="24"/>
          <w:lang w:bidi="da-DK"/>
        </w:rPr>
        <w:t>nefazodon</w:t>
      </w:r>
      <w:proofErr w:type="spellEnd"/>
      <w:r w:rsidRPr="008F6FBF">
        <w:rPr>
          <w:sz w:val="24"/>
          <w:szCs w:val="24"/>
          <w:lang w:bidi="da-DK"/>
        </w:rPr>
        <w:t xml:space="preserve">, </w:t>
      </w:r>
      <w:proofErr w:type="spellStart"/>
      <w:r w:rsidRPr="008F6FBF">
        <w:rPr>
          <w:sz w:val="24"/>
          <w:szCs w:val="24"/>
          <w:lang w:bidi="da-DK"/>
        </w:rPr>
        <w:t>nelfinavir</w:t>
      </w:r>
      <w:proofErr w:type="spellEnd"/>
      <w:r w:rsidRPr="008F6FBF">
        <w:rPr>
          <w:sz w:val="24"/>
          <w:szCs w:val="24"/>
          <w:lang w:bidi="da-DK"/>
        </w:rPr>
        <w:t xml:space="preserve">, </w:t>
      </w:r>
      <w:proofErr w:type="spellStart"/>
      <w:r w:rsidRPr="008F6FBF">
        <w:rPr>
          <w:sz w:val="24"/>
          <w:szCs w:val="24"/>
          <w:lang w:bidi="da-DK"/>
        </w:rPr>
        <w:t>ritonavir</w:t>
      </w:r>
      <w:proofErr w:type="spellEnd"/>
      <w:r w:rsidRPr="008F6FBF">
        <w:rPr>
          <w:sz w:val="24"/>
          <w:szCs w:val="24"/>
          <w:lang w:bidi="da-DK"/>
        </w:rPr>
        <w:t xml:space="preserve">, </w:t>
      </w:r>
      <w:proofErr w:type="spellStart"/>
      <w:r w:rsidRPr="008F6FBF">
        <w:rPr>
          <w:sz w:val="24"/>
          <w:szCs w:val="24"/>
          <w:lang w:bidi="da-DK"/>
        </w:rPr>
        <w:t>saquinavir</w:t>
      </w:r>
      <w:proofErr w:type="spellEnd"/>
      <w:r w:rsidRPr="008F6FBF">
        <w:rPr>
          <w:sz w:val="24"/>
          <w:szCs w:val="24"/>
          <w:lang w:bidi="da-DK"/>
        </w:rPr>
        <w:t xml:space="preserve">, </w:t>
      </w:r>
      <w:proofErr w:type="spellStart"/>
      <w:r w:rsidRPr="008F6FBF">
        <w:rPr>
          <w:sz w:val="24"/>
          <w:szCs w:val="24"/>
          <w:lang w:bidi="da-DK"/>
        </w:rPr>
        <w:t>telithromycin</w:t>
      </w:r>
      <w:proofErr w:type="spellEnd"/>
      <w:r w:rsidRPr="008F6FBF">
        <w:rPr>
          <w:sz w:val="24"/>
          <w:szCs w:val="24"/>
          <w:lang w:bidi="da-DK"/>
        </w:rPr>
        <w:t xml:space="preserve"> eller </w:t>
      </w:r>
      <w:proofErr w:type="spellStart"/>
      <w:r w:rsidRPr="008F6FBF">
        <w:rPr>
          <w:sz w:val="24"/>
          <w:szCs w:val="24"/>
          <w:lang w:bidi="da-DK"/>
        </w:rPr>
        <w:t>voriconazol</w:t>
      </w:r>
      <w:proofErr w:type="spellEnd"/>
      <w:r w:rsidRPr="008F6FBF">
        <w:rPr>
          <w:sz w:val="24"/>
          <w:szCs w:val="24"/>
          <w:lang w:bidi="da-DK"/>
        </w:rPr>
        <w:t xml:space="preserve">, kan hæmme enzymer, der er involveret i vitamin D-metabolismen (CYP24A1 og CYP27B1), og kan ændre serumniveauet af </w:t>
      </w:r>
      <w:proofErr w:type="spellStart"/>
      <w:r w:rsidRPr="008F6FBF">
        <w:rPr>
          <w:sz w:val="24"/>
          <w:szCs w:val="24"/>
          <w:lang w:bidi="da-DK"/>
        </w:rPr>
        <w:t>calcifediol</w:t>
      </w:r>
      <w:proofErr w:type="spellEnd"/>
      <w:r w:rsidRPr="008F6FBF">
        <w:rPr>
          <w:sz w:val="24"/>
          <w:szCs w:val="24"/>
          <w:lang w:bidi="da-DK"/>
        </w:rPr>
        <w:t xml:space="preserve">. Dosisjustering af </w:t>
      </w:r>
      <w:proofErr w:type="spellStart"/>
      <w:r w:rsidRPr="008F6FBF">
        <w:rPr>
          <w:sz w:val="24"/>
          <w:szCs w:val="24"/>
          <w:lang w:bidi="da-DK"/>
        </w:rPr>
        <w:t>Rayaldee</w:t>
      </w:r>
      <w:proofErr w:type="spellEnd"/>
      <w:r w:rsidRPr="008F6FBF">
        <w:rPr>
          <w:sz w:val="24"/>
          <w:szCs w:val="24"/>
          <w:lang w:bidi="da-DK"/>
        </w:rPr>
        <w:t xml:space="preserve"> kan være påkrævet, og koncentrationen af serum-25</w:t>
      </w:r>
      <w:r w:rsidRPr="008F6FBF">
        <w:rPr>
          <w:sz w:val="24"/>
          <w:szCs w:val="24"/>
          <w:lang w:bidi="da-DK"/>
        </w:rPr>
        <w:noBreakHyphen/>
        <w:t>hydroxyvitamin D, intakt PTH og serumcalcium bør overvåges nøje, hvis en patient starter eller afbryder behandling med en stærk CYP3A4-hæmmer.</w:t>
      </w:r>
    </w:p>
    <w:p w:rsidR="008F6FBF" w:rsidRPr="008F6FBF" w:rsidRDefault="008F6FBF" w:rsidP="008F6FBF">
      <w:pPr>
        <w:tabs>
          <w:tab w:val="left" w:pos="851"/>
        </w:tabs>
        <w:ind w:left="851"/>
        <w:rPr>
          <w:sz w:val="24"/>
          <w:szCs w:val="24"/>
          <w:lang w:bidi="da-DK"/>
        </w:rPr>
      </w:pPr>
    </w:p>
    <w:p w:rsidR="008F6FBF" w:rsidRDefault="008F6FBF" w:rsidP="008F6FBF">
      <w:pPr>
        <w:tabs>
          <w:tab w:val="left" w:pos="851"/>
        </w:tabs>
        <w:ind w:left="851"/>
        <w:rPr>
          <w:sz w:val="24"/>
          <w:szCs w:val="24"/>
          <w:u w:val="single"/>
          <w:lang w:bidi="da-DK"/>
        </w:rPr>
      </w:pPr>
      <w:proofErr w:type="spellStart"/>
      <w:r w:rsidRPr="008F6FBF">
        <w:rPr>
          <w:sz w:val="24"/>
          <w:szCs w:val="24"/>
          <w:u w:val="single"/>
          <w:lang w:bidi="da-DK"/>
        </w:rPr>
        <w:t>Thiazider</w:t>
      </w:r>
      <w:proofErr w:type="spellEnd"/>
    </w:p>
    <w:p w:rsidR="008F6FBF" w:rsidRPr="008F6FBF" w:rsidRDefault="008F6FBF" w:rsidP="008F6FBF">
      <w:pPr>
        <w:tabs>
          <w:tab w:val="left" w:pos="851"/>
        </w:tabs>
        <w:ind w:left="851"/>
        <w:rPr>
          <w:sz w:val="24"/>
          <w:szCs w:val="24"/>
          <w:lang w:bidi="da-DK"/>
        </w:rPr>
      </w:pPr>
      <w:proofErr w:type="spellStart"/>
      <w:r w:rsidRPr="008F6FBF">
        <w:rPr>
          <w:sz w:val="24"/>
          <w:szCs w:val="24"/>
          <w:lang w:bidi="da-DK"/>
        </w:rPr>
        <w:t>Thiazider</w:t>
      </w:r>
      <w:proofErr w:type="spellEnd"/>
      <w:r w:rsidRPr="008F6FBF">
        <w:rPr>
          <w:sz w:val="24"/>
          <w:szCs w:val="24"/>
          <w:lang w:bidi="da-DK"/>
        </w:rPr>
        <w:t xml:space="preserve"> reducerer calciumudskillelsen i urin og kan øge risikoen for </w:t>
      </w:r>
      <w:proofErr w:type="spellStart"/>
      <w:r w:rsidRPr="008F6FBF">
        <w:rPr>
          <w:sz w:val="24"/>
          <w:szCs w:val="24"/>
          <w:lang w:bidi="da-DK"/>
        </w:rPr>
        <w:t>hyperkalcæmi</w:t>
      </w:r>
      <w:proofErr w:type="spellEnd"/>
      <w:r w:rsidRPr="008F6FBF">
        <w:rPr>
          <w:sz w:val="24"/>
          <w:szCs w:val="24"/>
          <w:lang w:bidi="da-DK"/>
        </w:rPr>
        <w:t xml:space="preserve">. Samtidig administration af </w:t>
      </w:r>
      <w:proofErr w:type="spellStart"/>
      <w:r w:rsidRPr="008F6FBF">
        <w:rPr>
          <w:sz w:val="24"/>
          <w:szCs w:val="24"/>
          <w:lang w:bidi="da-DK"/>
        </w:rPr>
        <w:t>thiazider</w:t>
      </w:r>
      <w:proofErr w:type="spellEnd"/>
      <w:r w:rsidRPr="008F6FBF">
        <w:rPr>
          <w:sz w:val="24"/>
          <w:szCs w:val="24"/>
          <w:lang w:bidi="da-DK"/>
        </w:rPr>
        <w:t xml:space="preserve"> og </w:t>
      </w:r>
      <w:proofErr w:type="spellStart"/>
      <w:r w:rsidRPr="008F6FBF">
        <w:rPr>
          <w:sz w:val="24"/>
          <w:szCs w:val="24"/>
          <w:lang w:bidi="da-DK"/>
        </w:rPr>
        <w:t>Rayaldee</w:t>
      </w:r>
      <w:proofErr w:type="spellEnd"/>
      <w:r w:rsidRPr="008F6FBF">
        <w:rPr>
          <w:sz w:val="24"/>
          <w:szCs w:val="24"/>
          <w:lang w:bidi="da-DK"/>
        </w:rPr>
        <w:t xml:space="preserve"> kan forårsage </w:t>
      </w:r>
      <w:proofErr w:type="spellStart"/>
      <w:r w:rsidRPr="008F6FBF">
        <w:rPr>
          <w:sz w:val="24"/>
          <w:szCs w:val="24"/>
          <w:lang w:bidi="da-DK"/>
        </w:rPr>
        <w:t>hyperkalcæmi</w:t>
      </w:r>
      <w:proofErr w:type="spellEnd"/>
      <w:r w:rsidRPr="008F6FBF">
        <w:rPr>
          <w:sz w:val="24"/>
          <w:szCs w:val="24"/>
          <w:lang w:bidi="da-DK"/>
        </w:rPr>
        <w:t>. Hyppigere serumcalciumovervågning kan være nødvendig hos patienter i samtidig behandling (se pkt. 4.4).</w:t>
      </w:r>
    </w:p>
    <w:p w:rsidR="008F6FBF" w:rsidRPr="008F6FBF" w:rsidRDefault="008F6FBF" w:rsidP="008F6FBF">
      <w:pPr>
        <w:tabs>
          <w:tab w:val="left" w:pos="851"/>
        </w:tabs>
        <w:ind w:left="851"/>
        <w:rPr>
          <w:sz w:val="24"/>
          <w:szCs w:val="24"/>
          <w:lang w:bidi="da-DK"/>
        </w:rPr>
      </w:pPr>
    </w:p>
    <w:p w:rsidR="008F6FBF" w:rsidRDefault="008F6FBF" w:rsidP="008F6FBF">
      <w:pPr>
        <w:tabs>
          <w:tab w:val="left" w:pos="851"/>
        </w:tabs>
        <w:ind w:left="851"/>
        <w:rPr>
          <w:sz w:val="24"/>
          <w:szCs w:val="24"/>
          <w:u w:val="single"/>
          <w:lang w:bidi="da-DK"/>
        </w:rPr>
      </w:pPr>
      <w:r w:rsidRPr="008F6FBF">
        <w:rPr>
          <w:sz w:val="24"/>
          <w:szCs w:val="24"/>
          <w:u w:val="single"/>
          <w:lang w:bidi="da-DK"/>
        </w:rPr>
        <w:t>Digitalis</w:t>
      </w:r>
    </w:p>
    <w:p w:rsidR="008F6FBF" w:rsidRPr="008F6FBF" w:rsidRDefault="008F6FBF" w:rsidP="008F6FBF">
      <w:pPr>
        <w:tabs>
          <w:tab w:val="left" w:pos="851"/>
        </w:tabs>
        <w:ind w:left="851"/>
        <w:rPr>
          <w:sz w:val="24"/>
          <w:szCs w:val="24"/>
          <w:lang w:bidi="da-DK"/>
        </w:rPr>
      </w:pPr>
      <w:proofErr w:type="spellStart"/>
      <w:r w:rsidRPr="008F6FBF">
        <w:rPr>
          <w:sz w:val="24"/>
          <w:szCs w:val="24"/>
          <w:lang w:bidi="da-DK"/>
        </w:rPr>
        <w:t>Hyperkalcæmi</w:t>
      </w:r>
      <w:proofErr w:type="spellEnd"/>
      <w:r w:rsidRPr="008F6FBF">
        <w:rPr>
          <w:sz w:val="24"/>
          <w:szCs w:val="24"/>
          <w:lang w:bidi="da-DK"/>
        </w:rPr>
        <w:t xml:space="preserve"> kan forekomme under </w:t>
      </w:r>
      <w:proofErr w:type="spellStart"/>
      <w:r w:rsidRPr="008F6FBF">
        <w:rPr>
          <w:sz w:val="24"/>
          <w:szCs w:val="24"/>
          <w:lang w:bidi="da-DK"/>
        </w:rPr>
        <w:t>Rayaldee</w:t>
      </w:r>
      <w:proofErr w:type="spellEnd"/>
      <w:r w:rsidRPr="008F6FBF">
        <w:rPr>
          <w:sz w:val="24"/>
          <w:szCs w:val="24"/>
          <w:lang w:bidi="da-DK"/>
        </w:rPr>
        <w:t xml:space="preserve">-behandling, hvilket øger risikoen for digitalistoksicitet (risiko for </w:t>
      </w:r>
      <w:proofErr w:type="spellStart"/>
      <w:r w:rsidRPr="008F6FBF">
        <w:rPr>
          <w:sz w:val="24"/>
          <w:szCs w:val="24"/>
          <w:lang w:bidi="da-DK"/>
        </w:rPr>
        <w:t>arytmier</w:t>
      </w:r>
      <w:proofErr w:type="spellEnd"/>
      <w:r w:rsidRPr="008F6FBF">
        <w:rPr>
          <w:sz w:val="24"/>
          <w:szCs w:val="24"/>
          <w:lang w:bidi="da-DK"/>
        </w:rPr>
        <w:t xml:space="preserve">). Patienter, der får </w:t>
      </w:r>
      <w:proofErr w:type="spellStart"/>
      <w:r w:rsidRPr="008F6FBF">
        <w:rPr>
          <w:sz w:val="24"/>
          <w:szCs w:val="24"/>
          <w:lang w:bidi="da-DK"/>
        </w:rPr>
        <w:t>hjerteglycosider</w:t>
      </w:r>
      <w:proofErr w:type="spellEnd"/>
      <w:r w:rsidRPr="008F6FBF">
        <w:rPr>
          <w:sz w:val="24"/>
          <w:szCs w:val="24"/>
          <w:lang w:bidi="da-DK"/>
        </w:rPr>
        <w:t>, skal overvåges (EKG, serumcalciumniveauer, se pkt. 4.4).</w:t>
      </w:r>
    </w:p>
    <w:p w:rsidR="008F6FBF" w:rsidRPr="008F6FBF" w:rsidRDefault="008F6FBF" w:rsidP="008F6FBF">
      <w:pPr>
        <w:tabs>
          <w:tab w:val="left" w:pos="851"/>
        </w:tabs>
        <w:ind w:left="851"/>
        <w:rPr>
          <w:sz w:val="24"/>
          <w:szCs w:val="24"/>
          <w:lang w:bidi="da-DK"/>
        </w:rPr>
      </w:pPr>
    </w:p>
    <w:p w:rsidR="008F6FBF" w:rsidRDefault="008F6FBF" w:rsidP="008F6FBF">
      <w:pPr>
        <w:tabs>
          <w:tab w:val="left" w:pos="851"/>
        </w:tabs>
        <w:ind w:left="851"/>
        <w:rPr>
          <w:sz w:val="24"/>
          <w:szCs w:val="24"/>
          <w:u w:val="single"/>
          <w:lang w:bidi="da-DK"/>
        </w:rPr>
      </w:pPr>
      <w:proofErr w:type="spellStart"/>
      <w:r w:rsidRPr="008F6FBF">
        <w:rPr>
          <w:sz w:val="24"/>
          <w:szCs w:val="24"/>
          <w:u w:val="single"/>
          <w:lang w:bidi="da-DK"/>
        </w:rPr>
        <w:t>Cholestyramin</w:t>
      </w:r>
      <w:proofErr w:type="spellEnd"/>
    </w:p>
    <w:p w:rsidR="008F6FBF" w:rsidRPr="008F6FBF" w:rsidRDefault="008F6FBF" w:rsidP="008F6FBF">
      <w:pPr>
        <w:tabs>
          <w:tab w:val="left" w:pos="851"/>
        </w:tabs>
        <w:ind w:left="851"/>
        <w:rPr>
          <w:sz w:val="24"/>
          <w:szCs w:val="24"/>
          <w:lang w:bidi="da-DK"/>
        </w:rPr>
      </w:pPr>
      <w:r w:rsidRPr="008F6FBF">
        <w:rPr>
          <w:sz w:val="24"/>
          <w:szCs w:val="24"/>
          <w:lang w:bidi="da-DK"/>
        </w:rPr>
        <w:t xml:space="preserve">Det er rapporteret, at </w:t>
      </w:r>
      <w:proofErr w:type="spellStart"/>
      <w:r w:rsidRPr="008F6FBF">
        <w:rPr>
          <w:sz w:val="24"/>
          <w:szCs w:val="24"/>
          <w:lang w:bidi="da-DK"/>
        </w:rPr>
        <w:t>cholestyramin</w:t>
      </w:r>
      <w:proofErr w:type="spellEnd"/>
      <w:r w:rsidRPr="008F6FBF">
        <w:rPr>
          <w:sz w:val="24"/>
          <w:szCs w:val="24"/>
          <w:lang w:bidi="da-DK"/>
        </w:rPr>
        <w:t xml:space="preserve"> reducerer den </w:t>
      </w:r>
      <w:proofErr w:type="spellStart"/>
      <w:r w:rsidRPr="008F6FBF">
        <w:rPr>
          <w:sz w:val="24"/>
          <w:szCs w:val="24"/>
          <w:lang w:bidi="da-DK"/>
        </w:rPr>
        <w:t>intestinale</w:t>
      </w:r>
      <w:proofErr w:type="spellEnd"/>
      <w:r w:rsidRPr="008F6FBF">
        <w:rPr>
          <w:sz w:val="24"/>
          <w:szCs w:val="24"/>
          <w:lang w:bidi="da-DK"/>
        </w:rPr>
        <w:t xml:space="preserve"> absorption af fedtopløselige vitaminer og kan forringe absorptionen af </w:t>
      </w:r>
      <w:proofErr w:type="spellStart"/>
      <w:r w:rsidRPr="008F6FBF">
        <w:rPr>
          <w:sz w:val="24"/>
          <w:szCs w:val="24"/>
          <w:lang w:bidi="da-DK"/>
        </w:rPr>
        <w:t>calcifediol</w:t>
      </w:r>
      <w:proofErr w:type="spellEnd"/>
      <w:r w:rsidRPr="008F6FBF">
        <w:rPr>
          <w:sz w:val="24"/>
          <w:szCs w:val="24"/>
          <w:lang w:bidi="da-DK"/>
        </w:rPr>
        <w:t xml:space="preserve">, det aktive stof i </w:t>
      </w:r>
      <w:proofErr w:type="spellStart"/>
      <w:r w:rsidRPr="008F6FBF">
        <w:rPr>
          <w:sz w:val="24"/>
          <w:szCs w:val="24"/>
          <w:lang w:bidi="da-DK"/>
        </w:rPr>
        <w:t>Rayaldee</w:t>
      </w:r>
      <w:proofErr w:type="spellEnd"/>
      <w:r w:rsidRPr="008F6FBF">
        <w:rPr>
          <w:sz w:val="24"/>
          <w:szCs w:val="24"/>
          <w:lang w:bidi="da-DK"/>
        </w:rPr>
        <w:t xml:space="preserve">. Dosisjustering af </w:t>
      </w:r>
      <w:proofErr w:type="spellStart"/>
      <w:r w:rsidRPr="008F6FBF">
        <w:rPr>
          <w:sz w:val="24"/>
          <w:szCs w:val="24"/>
          <w:lang w:bidi="da-DK"/>
        </w:rPr>
        <w:t>Rayaldee</w:t>
      </w:r>
      <w:proofErr w:type="spellEnd"/>
      <w:r w:rsidRPr="008F6FBF">
        <w:rPr>
          <w:sz w:val="24"/>
          <w:szCs w:val="24"/>
          <w:lang w:bidi="da-DK"/>
        </w:rPr>
        <w:t xml:space="preserve"> kan være påkrævet, og serumkoncentrationen af 25</w:t>
      </w:r>
      <w:r w:rsidRPr="008F6FBF">
        <w:rPr>
          <w:sz w:val="24"/>
          <w:szCs w:val="24"/>
          <w:lang w:bidi="da-DK"/>
        </w:rPr>
        <w:noBreakHyphen/>
        <w:t xml:space="preserve">hydroxyvitamin D, intakt PTH og calcium bør overvåges nøje, hvis en patient starter eller afbryder behandling med </w:t>
      </w:r>
      <w:proofErr w:type="spellStart"/>
      <w:r w:rsidRPr="008F6FBF">
        <w:rPr>
          <w:sz w:val="24"/>
          <w:szCs w:val="24"/>
          <w:lang w:bidi="da-DK"/>
        </w:rPr>
        <w:t>cholestyramin</w:t>
      </w:r>
      <w:proofErr w:type="spellEnd"/>
      <w:r w:rsidRPr="008F6FBF">
        <w:rPr>
          <w:sz w:val="24"/>
          <w:szCs w:val="24"/>
          <w:lang w:bidi="da-DK"/>
        </w:rPr>
        <w:t>.</w:t>
      </w:r>
    </w:p>
    <w:p w:rsidR="008F6FBF" w:rsidRPr="008F6FBF" w:rsidRDefault="008F6FBF" w:rsidP="008F6FBF">
      <w:pPr>
        <w:tabs>
          <w:tab w:val="left" w:pos="851"/>
        </w:tabs>
        <w:ind w:left="851"/>
        <w:rPr>
          <w:sz w:val="24"/>
          <w:szCs w:val="24"/>
          <w:lang w:bidi="da-DK"/>
        </w:rPr>
      </w:pPr>
    </w:p>
    <w:p w:rsidR="008F6FBF" w:rsidRDefault="008F6FBF" w:rsidP="008F6FBF">
      <w:pPr>
        <w:tabs>
          <w:tab w:val="left" w:pos="851"/>
        </w:tabs>
        <w:ind w:left="851"/>
        <w:rPr>
          <w:sz w:val="24"/>
          <w:szCs w:val="24"/>
          <w:u w:val="single"/>
          <w:lang w:bidi="da-DK"/>
        </w:rPr>
      </w:pPr>
      <w:r w:rsidRPr="008F6FBF">
        <w:rPr>
          <w:sz w:val="24"/>
          <w:szCs w:val="24"/>
          <w:u w:val="single"/>
          <w:lang w:bidi="da-DK"/>
        </w:rPr>
        <w:t>Andre stoffer</w:t>
      </w:r>
    </w:p>
    <w:p w:rsidR="008F6FBF" w:rsidRPr="008F6FBF" w:rsidRDefault="008F6FBF" w:rsidP="008F6FBF">
      <w:pPr>
        <w:tabs>
          <w:tab w:val="left" w:pos="851"/>
        </w:tabs>
        <w:ind w:left="851"/>
        <w:rPr>
          <w:sz w:val="24"/>
          <w:szCs w:val="24"/>
          <w:lang w:bidi="da-DK"/>
        </w:rPr>
      </w:pPr>
      <w:proofErr w:type="spellStart"/>
      <w:r w:rsidRPr="008F6FBF">
        <w:rPr>
          <w:sz w:val="24"/>
          <w:szCs w:val="24"/>
          <w:lang w:bidi="da-DK"/>
        </w:rPr>
        <w:t>Phenobarbital</w:t>
      </w:r>
      <w:proofErr w:type="spellEnd"/>
      <w:r w:rsidRPr="008F6FBF">
        <w:rPr>
          <w:sz w:val="24"/>
          <w:szCs w:val="24"/>
          <w:lang w:bidi="da-DK"/>
        </w:rPr>
        <w:t xml:space="preserve"> eller andre </w:t>
      </w:r>
      <w:proofErr w:type="spellStart"/>
      <w:r w:rsidRPr="008F6FBF">
        <w:rPr>
          <w:sz w:val="24"/>
          <w:szCs w:val="24"/>
          <w:lang w:bidi="da-DK"/>
        </w:rPr>
        <w:t>antikonvulsive</w:t>
      </w:r>
      <w:proofErr w:type="spellEnd"/>
      <w:r w:rsidRPr="008F6FBF">
        <w:rPr>
          <w:sz w:val="24"/>
          <w:szCs w:val="24"/>
          <w:lang w:bidi="da-DK"/>
        </w:rPr>
        <w:t xml:space="preserve"> midler eller andre stoffer, der stimulerer </w:t>
      </w:r>
      <w:proofErr w:type="spellStart"/>
      <w:r w:rsidRPr="008F6FBF">
        <w:rPr>
          <w:sz w:val="24"/>
          <w:szCs w:val="24"/>
          <w:lang w:bidi="da-DK"/>
        </w:rPr>
        <w:t>mikrosomal</w:t>
      </w:r>
      <w:proofErr w:type="spellEnd"/>
      <w:r w:rsidRPr="008F6FBF">
        <w:rPr>
          <w:sz w:val="24"/>
          <w:szCs w:val="24"/>
          <w:lang w:bidi="da-DK"/>
        </w:rPr>
        <w:t xml:space="preserve"> </w:t>
      </w:r>
      <w:proofErr w:type="spellStart"/>
      <w:r w:rsidRPr="008F6FBF">
        <w:rPr>
          <w:sz w:val="24"/>
          <w:szCs w:val="24"/>
          <w:lang w:bidi="da-DK"/>
        </w:rPr>
        <w:t>hydroxylering</w:t>
      </w:r>
      <w:proofErr w:type="spellEnd"/>
      <w:r w:rsidRPr="008F6FBF">
        <w:rPr>
          <w:sz w:val="24"/>
          <w:szCs w:val="24"/>
          <w:lang w:bidi="da-DK"/>
        </w:rPr>
        <w:t xml:space="preserve">, reducerer halveringstiden for </w:t>
      </w:r>
      <w:proofErr w:type="spellStart"/>
      <w:r w:rsidRPr="008F6FBF">
        <w:rPr>
          <w:sz w:val="24"/>
          <w:szCs w:val="24"/>
          <w:lang w:bidi="da-DK"/>
        </w:rPr>
        <w:t>calcifediol</w:t>
      </w:r>
      <w:proofErr w:type="spellEnd"/>
      <w:r w:rsidRPr="008F6FBF">
        <w:rPr>
          <w:sz w:val="24"/>
          <w:szCs w:val="24"/>
          <w:lang w:bidi="da-DK"/>
        </w:rPr>
        <w:t xml:space="preserve">, det aktive stof i </w:t>
      </w:r>
      <w:proofErr w:type="spellStart"/>
      <w:r w:rsidRPr="008F6FBF">
        <w:rPr>
          <w:sz w:val="24"/>
          <w:szCs w:val="24"/>
          <w:lang w:bidi="da-DK"/>
        </w:rPr>
        <w:t>Rayaldee</w:t>
      </w:r>
      <w:proofErr w:type="spellEnd"/>
      <w:r w:rsidRPr="008F6FBF">
        <w:rPr>
          <w:sz w:val="24"/>
          <w:szCs w:val="24"/>
          <w:lang w:bidi="da-DK"/>
        </w:rPr>
        <w:t xml:space="preserve">. Dosisjustering af </w:t>
      </w:r>
      <w:proofErr w:type="spellStart"/>
      <w:r w:rsidRPr="008F6FBF">
        <w:rPr>
          <w:sz w:val="24"/>
          <w:szCs w:val="24"/>
          <w:lang w:bidi="da-DK"/>
        </w:rPr>
        <w:t>Rayaldee</w:t>
      </w:r>
      <w:proofErr w:type="spellEnd"/>
      <w:r w:rsidRPr="008F6FBF">
        <w:rPr>
          <w:sz w:val="24"/>
          <w:szCs w:val="24"/>
          <w:lang w:bidi="da-DK"/>
        </w:rPr>
        <w:t xml:space="preserve"> kan være påkrævet, og serumkoncentrationen af </w:t>
      </w:r>
      <w:r w:rsidRPr="008F6FBF">
        <w:rPr>
          <w:sz w:val="24"/>
          <w:szCs w:val="24"/>
          <w:lang w:bidi="da-DK"/>
        </w:rPr>
        <w:lastRenderedPageBreak/>
        <w:t>25</w:t>
      </w:r>
      <w:r w:rsidRPr="008F6FBF">
        <w:rPr>
          <w:sz w:val="24"/>
          <w:szCs w:val="24"/>
          <w:lang w:bidi="da-DK"/>
        </w:rPr>
        <w:noBreakHyphen/>
        <w:t xml:space="preserve">hydroxyvitamin D, intakt PTH og calcium bør overvåges nøje, hvis en patient starter eller afbryder behandling med </w:t>
      </w:r>
      <w:proofErr w:type="spellStart"/>
      <w:r w:rsidRPr="008F6FBF">
        <w:rPr>
          <w:sz w:val="24"/>
          <w:szCs w:val="24"/>
          <w:lang w:bidi="da-DK"/>
        </w:rPr>
        <w:t>phenobarbital</w:t>
      </w:r>
      <w:proofErr w:type="spellEnd"/>
      <w:r w:rsidRPr="008F6FBF">
        <w:rPr>
          <w:sz w:val="24"/>
          <w:szCs w:val="24"/>
          <w:lang w:bidi="da-DK"/>
        </w:rPr>
        <w:t xml:space="preserve"> eller andre </w:t>
      </w:r>
      <w:proofErr w:type="spellStart"/>
      <w:r w:rsidRPr="008F6FBF">
        <w:rPr>
          <w:sz w:val="24"/>
          <w:szCs w:val="24"/>
          <w:lang w:bidi="da-DK"/>
        </w:rPr>
        <w:t>antikonvulsive</w:t>
      </w:r>
      <w:proofErr w:type="spellEnd"/>
      <w:r w:rsidRPr="008F6FBF">
        <w:rPr>
          <w:sz w:val="24"/>
          <w:szCs w:val="24"/>
          <w:lang w:bidi="da-DK"/>
        </w:rPr>
        <w:t xml:space="preserve"> 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2" w:name="_Hlk121742971"/>
      <w:r w:rsidR="0033394B">
        <w:rPr>
          <w:b/>
          <w:noProof/>
          <w:sz w:val="24"/>
          <w:szCs w:val="24"/>
        </w:rPr>
        <w:t>Fertilitet, g</w:t>
      </w:r>
      <w:r w:rsidR="0033394B">
        <w:rPr>
          <w:b/>
          <w:sz w:val="24"/>
          <w:szCs w:val="24"/>
        </w:rPr>
        <w:t>raviditet og amning</w:t>
      </w:r>
      <w:bookmarkEnd w:id="2"/>
    </w:p>
    <w:p w:rsidR="008F6FBF" w:rsidRPr="008F6FBF" w:rsidRDefault="008F6FBF" w:rsidP="008F6FBF">
      <w:pPr>
        <w:tabs>
          <w:tab w:val="left" w:pos="851"/>
        </w:tabs>
        <w:ind w:left="851"/>
        <w:rPr>
          <w:sz w:val="24"/>
          <w:szCs w:val="24"/>
          <w:lang w:bidi="da-DK"/>
        </w:rPr>
      </w:pPr>
    </w:p>
    <w:p w:rsidR="008F6FBF" w:rsidRPr="008F6FBF" w:rsidRDefault="008F6FBF" w:rsidP="008F6FBF">
      <w:pPr>
        <w:tabs>
          <w:tab w:val="left" w:pos="851"/>
        </w:tabs>
        <w:ind w:left="851"/>
        <w:rPr>
          <w:sz w:val="24"/>
          <w:szCs w:val="24"/>
          <w:u w:val="single"/>
          <w:lang w:bidi="da-DK"/>
        </w:rPr>
      </w:pPr>
      <w:r w:rsidRPr="008F6FBF">
        <w:rPr>
          <w:sz w:val="24"/>
          <w:szCs w:val="24"/>
          <w:u w:val="single"/>
          <w:lang w:bidi="da-DK"/>
        </w:rPr>
        <w:t>Graviditet</w:t>
      </w:r>
    </w:p>
    <w:p w:rsidR="008F6FBF" w:rsidRPr="008F6FBF" w:rsidRDefault="008F6FBF" w:rsidP="008F6FBF">
      <w:pPr>
        <w:tabs>
          <w:tab w:val="left" w:pos="851"/>
        </w:tabs>
        <w:ind w:left="851"/>
        <w:rPr>
          <w:sz w:val="24"/>
          <w:szCs w:val="24"/>
          <w:lang w:bidi="da-DK"/>
        </w:rPr>
      </w:pPr>
      <w:r w:rsidRPr="008F6FBF">
        <w:rPr>
          <w:sz w:val="24"/>
          <w:szCs w:val="24"/>
          <w:lang w:bidi="da-DK"/>
        </w:rPr>
        <w:t xml:space="preserve">Der er ingen eller utilstrækkelige data fra anvendelse af </w:t>
      </w:r>
      <w:proofErr w:type="spellStart"/>
      <w:r w:rsidRPr="008F6FBF">
        <w:rPr>
          <w:sz w:val="24"/>
          <w:szCs w:val="24"/>
          <w:lang w:bidi="da-DK"/>
        </w:rPr>
        <w:t>calcifediol</w:t>
      </w:r>
      <w:proofErr w:type="spellEnd"/>
      <w:r w:rsidRPr="008F6FBF">
        <w:rPr>
          <w:sz w:val="24"/>
          <w:szCs w:val="24"/>
          <w:lang w:bidi="da-DK"/>
        </w:rPr>
        <w:t xml:space="preserve"> til gravide kvinder. </w:t>
      </w:r>
      <w:proofErr w:type="spellStart"/>
      <w:r w:rsidRPr="008F6FBF">
        <w:rPr>
          <w:sz w:val="24"/>
          <w:szCs w:val="24"/>
          <w:lang w:bidi="da-DK"/>
        </w:rPr>
        <w:t>Rayaldee</w:t>
      </w:r>
      <w:proofErr w:type="spellEnd"/>
      <w:r w:rsidRPr="008F6FBF">
        <w:rPr>
          <w:sz w:val="24"/>
          <w:szCs w:val="24"/>
          <w:lang w:bidi="da-DK"/>
        </w:rPr>
        <w:t xml:space="preserve"> bør ikke anvendes under graviditeten, medmindre kvindens kliniske tilstand kræver behandling med </w:t>
      </w:r>
      <w:proofErr w:type="spellStart"/>
      <w:r w:rsidRPr="008F6FBF">
        <w:rPr>
          <w:sz w:val="24"/>
          <w:szCs w:val="24"/>
          <w:lang w:bidi="da-DK"/>
        </w:rPr>
        <w:t>calcifediol</w:t>
      </w:r>
      <w:proofErr w:type="spellEnd"/>
      <w:r w:rsidRPr="008F6FBF">
        <w:rPr>
          <w:sz w:val="24"/>
          <w:szCs w:val="24"/>
          <w:lang w:bidi="da-DK"/>
        </w:rPr>
        <w:t xml:space="preserve">, og de potentielle fordele for moderen opvejer de potentielle risici for fosteret. Dyreforsøg har påvist reproduktionstoksicitet (se pkt. 5.3). Der er ingen indikation af, at vitamin D er </w:t>
      </w:r>
      <w:proofErr w:type="spellStart"/>
      <w:r w:rsidRPr="008F6FBF">
        <w:rPr>
          <w:sz w:val="24"/>
          <w:szCs w:val="24"/>
          <w:lang w:bidi="da-DK"/>
        </w:rPr>
        <w:t>teratogent</w:t>
      </w:r>
      <w:proofErr w:type="spellEnd"/>
      <w:r w:rsidRPr="008F6FBF">
        <w:rPr>
          <w:sz w:val="24"/>
          <w:szCs w:val="24"/>
          <w:lang w:bidi="da-DK"/>
        </w:rPr>
        <w:t xml:space="preserve"> hos mennesker ved terapeutiske doser. Det anbefalede daglige indtagelsesniveau for vitamin D under graviditet og amning følger de nationale retningslinjer og er omkring 600 IE (svarende til 15 mikrogram </w:t>
      </w:r>
      <w:proofErr w:type="spellStart"/>
      <w:r w:rsidRPr="008F6FBF">
        <w:rPr>
          <w:sz w:val="24"/>
          <w:szCs w:val="24"/>
          <w:lang w:bidi="da-DK"/>
        </w:rPr>
        <w:t>cholecalciferol</w:t>
      </w:r>
      <w:proofErr w:type="spellEnd"/>
      <w:r w:rsidRPr="008F6FBF">
        <w:rPr>
          <w:sz w:val="24"/>
          <w:szCs w:val="24"/>
          <w:lang w:bidi="da-DK"/>
        </w:rPr>
        <w:t xml:space="preserve">) og bør ikke overstige 4000 IE (100 mikrogram </w:t>
      </w:r>
      <w:proofErr w:type="spellStart"/>
      <w:r w:rsidRPr="008F6FBF">
        <w:rPr>
          <w:sz w:val="24"/>
          <w:szCs w:val="24"/>
          <w:lang w:bidi="da-DK"/>
        </w:rPr>
        <w:t>cholecalciferol</w:t>
      </w:r>
      <w:proofErr w:type="spellEnd"/>
      <w:r w:rsidRPr="008F6FBF">
        <w:rPr>
          <w:sz w:val="24"/>
          <w:szCs w:val="24"/>
          <w:lang w:bidi="da-DK"/>
        </w:rPr>
        <w:t>).</w:t>
      </w:r>
    </w:p>
    <w:p w:rsidR="008F6FBF" w:rsidRPr="008F6FBF" w:rsidRDefault="008F6FBF" w:rsidP="008F6FBF">
      <w:pPr>
        <w:tabs>
          <w:tab w:val="left" w:pos="851"/>
        </w:tabs>
        <w:ind w:left="851"/>
        <w:rPr>
          <w:sz w:val="24"/>
          <w:szCs w:val="24"/>
          <w:lang w:bidi="da-DK"/>
        </w:rPr>
      </w:pPr>
      <w:r w:rsidRPr="008F6FBF">
        <w:rPr>
          <w:sz w:val="24"/>
          <w:szCs w:val="24"/>
          <w:lang w:bidi="da-DK"/>
        </w:rPr>
        <w:t xml:space="preserve">Da overdosering af vitamin D skal undgås under graviditet, eftersom forlænget </w:t>
      </w:r>
      <w:proofErr w:type="spellStart"/>
      <w:r w:rsidRPr="008F6FBF">
        <w:rPr>
          <w:sz w:val="24"/>
          <w:szCs w:val="24"/>
          <w:lang w:bidi="da-DK"/>
        </w:rPr>
        <w:t>hyperkalcæmi</w:t>
      </w:r>
      <w:proofErr w:type="spellEnd"/>
      <w:r w:rsidRPr="008F6FBF">
        <w:rPr>
          <w:sz w:val="24"/>
          <w:szCs w:val="24"/>
          <w:lang w:bidi="da-DK"/>
        </w:rPr>
        <w:t xml:space="preserve"> kan føre til fysisk og mental retardering, </w:t>
      </w:r>
      <w:proofErr w:type="spellStart"/>
      <w:r w:rsidRPr="008F6FBF">
        <w:rPr>
          <w:sz w:val="24"/>
          <w:szCs w:val="24"/>
          <w:lang w:bidi="da-DK"/>
        </w:rPr>
        <w:t>supravalvulær</w:t>
      </w:r>
      <w:proofErr w:type="spellEnd"/>
      <w:r w:rsidRPr="008F6FBF">
        <w:rPr>
          <w:sz w:val="24"/>
          <w:szCs w:val="24"/>
          <w:lang w:bidi="da-DK"/>
        </w:rPr>
        <w:t xml:space="preserve"> aortastenose og </w:t>
      </w:r>
      <w:proofErr w:type="spellStart"/>
      <w:r w:rsidRPr="008F6FBF">
        <w:rPr>
          <w:sz w:val="24"/>
          <w:szCs w:val="24"/>
          <w:lang w:bidi="da-DK"/>
        </w:rPr>
        <w:t>retinopati</w:t>
      </w:r>
      <w:proofErr w:type="spellEnd"/>
      <w:r w:rsidRPr="008F6FBF">
        <w:rPr>
          <w:sz w:val="24"/>
          <w:szCs w:val="24"/>
          <w:lang w:bidi="da-DK"/>
        </w:rPr>
        <w:t xml:space="preserve"> hos barnet.</w:t>
      </w:r>
    </w:p>
    <w:p w:rsidR="008F6FBF" w:rsidRPr="008F6FBF" w:rsidRDefault="008F6FBF" w:rsidP="008F6FBF">
      <w:pPr>
        <w:tabs>
          <w:tab w:val="left" w:pos="851"/>
        </w:tabs>
        <w:ind w:left="851"/>
        <w:rPr>
          <w:sz w:val="24"/>
          <w:szCs w:val="24"/>
          <w:lang w:bidi="da-DK"/>
        </w:rPr>
      </w:pPr>
    </w:p>
    <w:p w:rsidR="008F6FBF" w:rsidRPr="008F6FBF" w:rsidRDefault="008F6FBF" w:rsidP="008F6FBF">
      <w:pPr>
        <w:tabs>
          <w:tab w:val="left" w:pos="851"/>
        </w:tabs>
        <w:ind w:left="851"/>
        <w:rPr>
          <w:sz w:val="24"/>
          <w:szCs w:val="24"/>
          <w:u w:val="single"/>
          <w:lang w:bidi="da-DK"/>
        </w:rPr>
      </w:pPr>
      <w:r w:rsidRPr="008F6FBF">
        <w:rPr>
          <w:sz w:val="24"/>
          <w:szCs w:val="24"/>
          <w:u w:val="single"/>
          <w:lang w:bidi="da-DK"/>
        </w:rPr>
        <w:t>Amning</w:t>
      </w:r>
    </w:p>
    <w:p w:rsidR="008F6FBF" w:rsidRPr="008F6FBF" w:rsidRDefault="008F6FBF" w:rsidP="008F6FBF">
      <w:pPr>
        <w:tabs>
          <w:tab w:val="left" w:pos="851"/>
        </w:tabs>
        <w:ind w:left="851"/>
        <w:rPr>
          <w:sz w:val="24"/>
          <w:szCs w:val="24"/>
          <w:lang w:bidi="da-DK"/>
        </w:rPr>
      </w:pPr>
      <w:r w:rsidRPr="008F6FBF">
        <w:rPr>
          <w:sz w:val="24"/>
          <w:szCs w:val="24"/>
          <w:lang w:bidi="da-DK"/>
        </w:rPr>
        <w:t xml:space="preserve">Data for udskillelse af </w:t>
      </w:r>
      <w:proofErr w:type="spellStart"/>
      <w:r w:rsidRPr="008F6FBF">
        <w:rPr>
          <w:sz w:val="24"/>
          <w:szCs w:val="24"/>
          <w:lang w:bidi="da-DK"/>
        </w:rPr>
        <w:t>calcifediol</w:t>
      </w:r>
      <w:proofErr w:type="spellEnd"/>
      <w:r w:rsidRPr="008F6FBF">
        <w:rPr>
          <w:sz w:val="24"/>
          <w:szCs w:val="24"/>
          <w:lang w:bidi="da-DK"/>
        </w:rPr>
        <w:t>/metabolitter i human mælk er utilstrækkelige. Dette skal overvejes, når man giver det ammede barn ekstra vitamin D.</w:t>
      </w:r>
    </w:p>
    <w:p w:rsidR="008F6FBF" w:rsidRPr="008F6FBF" w:rsidRDefault="008F6FBF" w:rsidP="008F6FBF">
      <w:pPr>
        <w:tabs>
          <w:tab w:val="left" w:pos="851"/>
        </w:tabs>
        <w:ind w:left="851"/>
        <w:rPr>
          <w:sz w:val="24"/>
          <w:szCs w:val="24"/>
          <w:lang w:bidi="da-DK"/>
        </w:rPr>
      </w:pPr>
    </w:p>
    <w:p w:rsidR="008F6FBF" w:rsidRPr="008F6FBF" w:rsidRDefault="008F6FBF" w:rsidP="008F6FBF">
      <w:pPr>
        <w:tabs>
          <w:tab w:val="left" w:pos="851"/>
        </w:tabs>
        <w:ind w:left="851"/>
        <w:rPr>
          <w:sz w:val="24"/>
          <w:szCs w:val="24"/>
          <w:lang w:bidi="da-DK"/>
        </w:rPr>
      </w:pPr>
      <w:r w:rsidRPr="008F6FBF">
        <w:rPr>
          <w:sz w:val="24"/>
          <w:szCs w:val="24"/>
          <w:lang w:bidi="da-DK"/>
        </w:rPr>
        <w:t xml:space="preserve">Det skal besluttes, om amning skal ophøre eller behandling med </w:t>
      </w:r>
      <w:proofErr w:type="spellStart"/>
      <w:r w:rsidRPr="008F6FBF">
        <w:rPr>
          <w:sz w:val="24"/>
          <w:szCs w:val="24"/>
          <w:lang w:bidi="da-DK"/>
        </w:rPr>
        <w:t>Rayaldee</w:t>
      </w:r>
      <w:proofErr w:type="spellEnd"/>
      <w:r w:rsidRPr="008F6FBF">
        <w:rPr>
          <w:sz w:val="24"/>
          <w:szCs w:val="24"/>
          <w:lang w:bidi="da-DK"/>
        </w:rPr>
        <w:t xml:space="preserve"> seponeres, idet der tages højde for fordelene ved amning for barnet i forhold til de terapeutiske fordele for moderen.</w:t>
      </w:r>
    </w:p>
    <w:p w:rsidR="008F6FBF" w:rsidRPr="008F6FBF" w:rsidRDefault="008F6FBF" w:rsidP="008F6FBF">
      <w:pPr>
        <w:tabs>
          <w:tab w:val="left" w:pos="851"/>
        </w:tabs>
        <w:ind w:left="851"/>
        <w:rPr>
          <w:sz w:val="24"/>
          <w:szCs w:val="24"/>
          <w:lang w:bidi="da-DK"/>
        </w:rPr>
      </w:pPr>
    </w:p>
    <w:p w:rsidR="008F6FBF" w:rsidRPr="008F6FBF" w:rsidRDefault="008F6FBF" w:rsidP="008F6FBF">
      <w:pPr>
        <w:tabs>
          <w:tab w:val="left" w:pos="851"/>
        </w:tabs>
        <w:ind w:left="851"/>
        <w:rPr>
          <w:sz w:val="24"/>
          <w:szCs w:val="24"/>
          <w:u w:val="single"/>
          <w:lang w:bidi="da-DK"/>
        </w:rPr>
      </w:pPr>
      <w:r w:rsidRPr="008F6FBF">
        <w:rPr>
          <w:sz w:val="24"/>
          <w:szCs w:val="24"/>
          <w:u w:val="single"/>
          <w:lang w:bidi="da-DK"/>
        </w:rPr>
        <w:t>Fertilitet</w:t>
      </w:r>
    </w:p>
    <w:p w:rsidR="008F6FBF" w:rsidRPr="008F6FBF" w:rsidRDefault="008F6FBF" w:rsidP="008F6FBF">
      <w:pPr>
        <w:tabs>
          <w:tab w:val="left" w:pos="851"/>
        </w:tabs>
        <w:ind w:left="851"/>
        <w:rPr>
          <w:sz w:val="24"/>
          <w:szCs w:val="24"/>
          <w:lang w:bidi="da-DK"/>
        </w:rPr>
      </w:pPr>
      <w:r w:rsidRPr="008F6FBF">
        <w:rPr>
          <w:sz w:val="24"/>
          <w:szCs w:val="24"/>
          <w:lang w:bidi="da-DK"/>
        </w:rPr>
        <w:t xml:space="preserve">Det er ukendt, om </w:t>
      </w:r>
      <w:proofErr w:type="spellStart"/>
      <w:r w:rsidRPr="008F6FBF">
        <w:rPr>
          <w:sz w:val="24"/>
          <w:szCs w:val="24"/>
          <w:lang w:bidi="da-DK"/>
        </w:rPr>
        <w:t>calcifediol</w:t>
      </w:r>
      <w:proofErr w:type="spellEnd"/>
      <w:r w:rsidRPr="008F6FBF">
        <w:rPr>
          <w:sz w:val="24"/>
          <w:szCs w:val="24"/>
          <w:lang w:bidi="da-DK"/>
        </w:rPr>
        <w:t xml:space="preserve"> har en effekt på menneskelig fertilitet.</w:t>
      </w:r>
    </w:p>
    <w:p w:rsidR="009260DE" w:rsidRPr="00C84483" w:rsidRDefault="009260DE" w:rsidP="009260DE">
      <w:pPr>
        <w:tabs>
          <w:tab w:val="left" w:pos="851"/>
        </w:tabs>
        <w:ind w:left="851"/>
        <w:rPr>
          <w:sz w:val="24"/>
          <w:szCs w:val="24"/>
        </w:rPr>
      </w:pPr>
    </w:p>
    <w:p w:rsidR="008F6FBF" w:rsidRDefault="009260DE" w:rsidP="0033394B">
      <w:pPr>
        <w:tabs>
          <w:tab w:val="left" w:pos="851"/>
        </w:tabs>
        <w:ind w:left="851" w:hanging="851"/>
        <w:rPr>
          <w:sz w:val="24"/>
          <w:szCs w:val="24"/>
          <w:lang w:bidi="da-DK"/>
        </w:rPr>
      </w:pPr>
      <w:r w:rsidRPr="00C84483">
        <w:rPr>
          <w:b/>
          <w:sz w:val="24"/>
          <w:szCs w:val="24"/>
        </w:rPr>
        <w:t>4.7</w:t>
      </w:r>
      <w:r w:rsidRPr="00C84483">
        <w:rPr>
          <w:b/>
          <w:sz w:val="24"/>
          <w:szCs w:val="24"/>
        </w:rPr>
        <w:tab/>
      </w:r>
      <w:bookmarkStart w:id="3" w:name="_Hlk121750171"/>
      <w:r w:rsidR="0033394B" w:rsidRPr="00BA4587">
        <w:rPr>
          <w:b/>
          <w:sz w:val="24"/>
          <w:szCs w:val="24"/>
        </w:rPr>
        <w:t xml:space="preserve">Virkning på evnen til at føre motorkøretøj </w:t>
      </w:r>
      <w:r w:rsidR="0033394B" w:rsidRPr="00BA4587">
        <w:rPr>
          <w:b/>
          <w:noProof/>
          <w:sz w:val="24"/>
          <w:szCs w:val="24"/>
        </w:rPr>
        <w:t>og</w:t>
      </w:r>
      <w:r w:rsidR="0033394B" w:rsidRPr="00BA4587">
        <w:rPr>
          <w:b/>
          <w:sz w:val="24"/>
          <w:szCs w:val="24"/>
        </w:rPr>
        <w:t xml:space="preserve"> betjene maskiner</w:t>
      </w:r>
      <w:bookmarkEnd w:id="3"/>
      <w:r w:rsidR="0033394B">
        <w:rPr>
          <w:sz w:val="24"/>
          <w:szCs w:val="24"/>
          <w:lang w:bidi="da-DK"/>
        </w:rPr>
        <w:t xml:space="preserve"> </w:t>
      </w:r>
      <w:r w:rsidR="0033394B">
        <w:rPr>
          <w:sz w:val="24"/>
          <w:szCs w:val="24"/>
          <w:lang w:bidi="da-DK"/>
        </w:rPr>
        <w:br/>
      </w:r>
      <w:r w:rsidR="008F6FBF">
        <w:rPr>
          <w:sz w:val="24"/>
          <w:szCs w:val="24"/>
          <w:lang w:bidi="da-DK"/>
        </w:rPr>
        <w:t>Ikke mærkning.</w:t>
      </w:r>
    </w:p>
    <w:p w:rsidR="008F6FBF" w:rsidRPr="008F6FBF" w:rsidRDefault="008F6FBF" w:rsidP="008F6FBF">
      <w:pPr>
        <w:tabs>
          <w:tab w:val="left" w:pos="851"/>
        </w:tabs>
        <w:ind w:left="851"/>
        <w:rPr>
          <w:sz w:val="24"/>
          <w:szCs w:val="24"/>
          <w:lang w:bidi="da-DK"/>
        </w:rPr>
      </w:pPr>
      <w:proofErr w:type="spellStart"/>
      <w:r w:rsidRPr="008F6FBF">
        <w:rPr>
          <w:sz w:val="24"/>
          <w:szCs w:val="24"/>
          <w:lang w:bidi="da-DK"/>
        </w:rPr>
        <w:t>Rayaldee</w:t>
      </w:r>
      <w:proofErr w:type="spellEnd"/>
      <w:r w:rsidRPr="008F6FBF">
        <w:rPr>
          <w:sz w:val="24"/>
          <w:szCs w:val="24"/>
          <w:lang w:bidi="da-DK"/>
        </w:rPr>
        <w:t xml:space="preserve"> påvirker ikke eller kun i ubetydelig grad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8F6FBF" w:rsidRPr="008F6FBF" w:rsidRDefault="008F6FBF" w:rsidP="008F6FBF">
      <w:pPr>
        <w:pStyle w:val="Sidehoved"/>
        <w:tabs>
          <w:tab w:val="left" w:pos="851"/>
        </w:tabs>
        <w:ind w:left="851"/>
        <w:rPr>
          <w:szCs w:val="24"/>
          <w:lang w:bidi="da-DK"/>
        </w:rPr>
      </w:pPr>
    </w:p>
    <w:p w:rsidR="008F6FBF" w:rsidRPr="008F6FBF" w:rsidRDefault="008F6FBF" w:rsidP="008F6FBF">
      <w:pPr>
        <w:pStyle w:val="Sidehoved"/>
        <w:tabs>
          <w:tab w:val="left" w:pos="851"/>
        </w:tabs>
        <w:ind w:left="851"/>
        <w:rPr>
          <w:szCs w:val="24"/>
          <w:u w:val="single"/>
          <w:lang w:bidi="da-DK"/>
        </w:rPr>
      </w:pPr>
      <w:r w:rsidRPr="008F6FBF">
        <w:rPr>
          <w:szCs w:val="24"/>
          <w:u w:val="single"/>
          <w:lang w:bidi="da-DK"/>
        </w:rPr>
        <w:t>Oversigt over sikkerhedsprofil</w:t>
      </w:r>
      <w:r>
        <w:rPr>
          <w:szCs w:val="24"/>
          <w:u w:val="single"/>
          <w:lang w:bidi="da-DK"/>
        </w:rPr>
        <w:t>en</w:t>
      </w:r>
    </w:p>
    <w:p w:rsidR="008F6FBF" w:rsidRPr="008F6FBF" w:rsidRDefault="008F6FBF" w:rsidP="008F6FBF">
      <w:pPr>
        <w:pStyle w:val="Sidehoved"/>
        <w:tabs>
          <w:tab w:val="left" w:pos="851"/>
        </w:tabs>
        <w:ind w:left="851"/>
        <w:rPr>
          <w:szCs w:val="24"/>
          <w:lang w:bidi="da-DK"/>
        </w:rPr>
      </w:pPr>
      <w:r w:rsidRPr="008F6FBF">
        <w:rPr>
          <w:szCs w:val="24"/>
          <w:lang w:bidi="da-DK"/>
        </w:rPr>
        <w:t xml:space="preserve">Den aktuelle sikkerhedsprofil for </w:t>
      </w:r>
      <w:proofErr w:type="spellStart"/>
      <w:r w:rsidRPr="008F6FBF">
        <w:rPr>
          <w:szCs w:val="24"/>
          <w:lang w:bidi="da-DK"/>
        </w:rPr>
        <w:t>Rayaldee</w:t>
      </w:r>
      <w:proofErr w:type="spellEnd"/>
      <w:r w:rsidRPr="008F6FBF">
        <w:rPr>
          <w:szCs w:val="24"/>
          <w:lang w:bidi="da-DK"/>
        </w:rPr>
        <w:t xml:space="preserve"> er baseret på i alt 435 patienter med kronisk nyresygdom (CKD), som ikke var i dialyse, og som havde SHPT og fik </w:t>
      </w:r>
      <w:proofErr w:type="spellStart"/>
      <w:r w:rsidRPr="008F6FBF">
        <w:rPr>
          <w:szCs w:val="24"/>
          <w:lang w:bidi="da-DK"/>
        </w:rPr>
        <w:t>Rayaldee</w:t>
      </w:r>
      <w:proofErr w:type="spellEnd"/>
      <w:r w:rsidRPr="008F6FBF">
        <w:rPr>
          <w:szCs w:val="24"/>
          <w:lang w:bidi="da-DK"/>
        </w:rPr>
        <w:t xml:space="preserve"> i op til 52 uger.</w:t>
      </w:r>
    </w:p>
    <w:p w:rsidR="008F6FBF" w:rsidRPr="008F6FBF" w:rsidRDefault="008F6FBF" w:rsidP="008F6FBF">
      <w:pPr>
        <w:pStyle w:val="Sidehoved"/>
        <w:tabs>
          <w:tab w:val="left" w:pos="851"/>
        </w:tabs>
        <w:ind w:left="851"/>
        <w:rPr>
          <w:szCs w:val="24"/>
          <w:lang w:bidi="da-DK"/>
        </w:rPr>
      </w:pPr>
      <w:r w:rsidRPr="008F6FBF">
        <w:rPr>
          <w:szCs w:val="24"/>
          <w:lang w:bidi="da-DK"/>
        </w:rPr>
        <w:t xml:space="preserve">Størstedelen af bivirkningerne, der blev rapporteret fra forsøg, var øget blodfosfor, </w:t>
      </w:r>
      <w:proofErr w:type="spellStart"/>
      <w:r w:rsidRPr="008F6FBF">
        <w:rPr>
          <w:szCs w:val="24"/>
          <w:lang w:bidi="da-DK"/>
        </w:rPr>
        <w:t>hyperkalcæmi</w:t>
      </w:r>
      <w:proofErr w:type="spellEnd"/>
      <w:r w:rsidRPr="008F6FBF">
        <w:rPr>
          <w:szCs w:val="24"/>
          <w:lang w:bidi="da-DK"/>
        </w:rPr>
        <w:t xml:space="preserve"> og </w:t>
      </w:r>
      <w:proofErr w:type="spellStart"/>
      <w:r w:rsidRPr="008F6FBF">
        <w:rPr>
          <w:szCs w:val="24"/>
          <w:lang w:bidi="da-DK"/>
        </w:rPr>
        <w:t>gastrointestinale</w:t>
      </w:r>
      <w:proofErr w:type="spellEnd"/>
      <w:r w:rsidRPr="008F6FBF">
        <w:rPr>
          <w:szCs w:val="24"/>
          <w:lang w:bidi="da-DK"/>
        </w:rPr>
        <w:t xml:space="preserve"> lidelser.</w:t>
      </w:r>
    </w:p>
    <w:p w:rsidR="008F6FBF" w:rsidRPr="008F6FBF" w:rsidRDefault="008F6FBF" w:rsidP="008F6FBF">
      <w:pPr>
        <w:pStyle w:val="Sidehoved"/>
        <w:tabs>
          <w:tab w:val="left" w:pos="851"/>
        </w:tabs>
        <w:ind w:left="851"/>
        <w:rPr>
          <w:szCs w:val="24"/>
          <w:lang w:bidi="da-DK"/>
        </w:rPr>
      </w:pPr>
    </w:p>
    <w:p w:rsidR="008F6FBF" w:rsidRPr="008F6FBF" w:rsidRDefault="008F6FBF" w:rsidP="008F6FBF">
      <w:pPr>
        <w:pStyle w:val="Sidehoved"/>
        <w:tabs>
          <w:tab w:val="left" w:pos="851"/>
        </w:tabs>
        <w:ind w:left="851"/>
        <w:rPr>
          <w:szCs w:val="24"/>
          <w:u w:val="single"/>
          <w:lang w:bidi="da-DK"/>
        </w:rPr>
      </w:pPr>
      <w:r w:rsidRPr="008F6FBF">
        <w:rPr>
          <w:szCs w:val="24"/>
          <w:u w:val="single"/>
          <w:lang w:bidi="da-DK"/>
        </w:rPr>
        <w:t>Liste over bivirkninger i tabelform</w:t>
      </w:r>
    </w:p>
    <w:p w:rsidR="008F6FBF" w:rsidRPr="008F6FBF" w:rsidRDefault="008F6FBF" w:rsidP="008F6FBF">
      <w:pPr>
        <w:pStyle w:val="Sidehoved"/>
        <w:tabs>
          <w:tab w:val="left" w:pos="851"/>
        </w:tabs>
        <w:ind w:left="851"/>
        <w:rPr>
          <w:szCs w:val="24"/>
          <w:lang w:bidi="da-DK"/>
        </w:rPr>
      </w:pPr>
    </w:p>
    <w:tbl>
      <w:tblPr>
        <w:tblW w:w="0" w:type="auto"/>
        <w:tblBorders>
          <w:top w:val="single" w:sz="8" w:space="0" w:color="auto"/>
          <w:bottom w:val="single" w:sz="8" w:space="0" w:color="auto"/>
        </w:tblBorders>
        <w:tblCellMar>
          <w:top w:w="72" w:type="dxa"/>
          <w:left w:w="72" w:type="dxa"/>
          <w:bottom w:w="72" w:type="dxa"/>
          <w:right w:w="72" w:type="dxa"/>
        </w:tblCellMar>
        <w:tblLook w:val="04A0" w:firstRow="1" w:lastRow="0" w:firstColumn="1" w:lastColumn="0" w:noHBand="0" w:noVBand="1"/>
      </w:tblPr>
      <w:tblGrid>
        <w:gridCol w:w="3025"/>
        <w:gridCol w:w="3026"/>
        <w:gridCol w:w="3026"/>
      </w:tblGrid>
      <w:tr w:rsidR="008F6FBF" w:rsidRPr="008F6FBF" w:rsidTr="008F6FBF">
        <w:trPr>
          <w:cantSplit/>
          <w:trHeight w:val="18"/>
        </w:trPr>
        <w:tc>
          <w:tcPr>
            <w:tcW w:w="3025" w:type="dxa"/>
            <w:tcBorders>
              <w:top w:val="single" w:sz="8" w:space="0" w:color="auto"/>
              <w:left w:val="nil"/>
              <w:bottom w:val="nil"/>
              <w:right w:val="nil"/>
            </w:tcBorders>
            <w:hideMark/>
          </w:tcPr>
          <w:p w:rsidR="008F6FBF" w:rsidRPr="008F6FBF" w:rsidRDefault="008F6FBF" w:rsidP="0057147B">
            <w:pPr>
              <w:pStyle w:val="Sidehoved"/>
              <w:ind w:left="72"/>
              <w:rPr>
                <w:b/>
                <w:bCs/>
                <w:szCs w:val="24"/>
                <w:lang w:bidi="da-DK"/>
              </w:rPr>
            </w:pPr>
            <w:r w:rsidRPr="008F6FBF">
              <w:rPr>
                <w:b/>
                <w:bCs/>
                <w:szCs w:val="24"/>
                <w:lang w:bidi="da-DK"/>
              </w:rPr>
              <w:t>Systemorganklasse</w:t>
            </w:r>
          </w:p>
        </w:tc>
        <w:tc>
          <w:tcPr>
            <w:tcW w:w="3026" w:type="dxa"/>
            <w:tcBorders>
              <w:top w:val="single" w:sz="8" w:space="0" w:color="auto"/>
              <w:left w:val="nil"/>
              <w:bottom w:val="nil"/>
              <w:right w:val="nil"/>
            </w:tcBorders>
            <w:hideMark/>
          </w:tcPr>
          <w:p w:rsidR="008F6FBF" w:rsidRPr="008F6FBF" w:rsidRDefault="008F6FBF" w:rsidP="0057147B">
            <w:pPr>
              <w:pStyle w:val="Sidehoved"/>
              <w:ind w:left="19"/>
              <w:rPr>
                <w:b/>
                <w:bCs/>
                <w:szCs w:val="24"/>
                <w:lang w:bidi="da-DK"/>
              </w:rPr>
            </w:pPr>
            <w:r w:rsidRPr="008F6FBF">
              <w:rPr>
                <w:b/>
                <w:bCs/>
                <w:szCs w:val="24"/>
                <w:lang w:bidi="da-DK"/>
              </w:rPr>
              <w:t>Almindelig</w:t>
            </w:r>
          </w:p>
          <w:p w:rsidR="008F6FBF" w:rsidRPr="008F6FBF" w:rsidRDefault="008F6FBF" w:rsidP="0057147B">
            <w:pPr>
              <w:pStyle w:val="Sidehoved"/>
              <w:ind w:left="19"/>
              <w:rPr>
                <w:b/>
                <w:bCs/>
                <w:szCs w:val="24"/>
                <w:lang w:bidi="da-DK"/>
              </w:rPr>
            </w:pPr>
            <w:r w:rsidRPr="008F6FBF">
              <w:rPr>
                <w:b/>
                <w:bCs/>
                <w:szCs w:val="24"/>
                <w:lang w:bidi="da-DK"/>
              </w:rPr>
              <w:t>(≥ 1/100 til &lt; 1/10)</w:t>
            </w:r>
          </w:p>
        </w:tc>
        <w:tc>
          <w:tcPr>
            <w:tcW w:w="3026" w:type="dxa"/>
            <w:tcBorders>
              <w:top w:val="single" w:sz="8" w:space="0" w:color="auto"/>
              <w:left w:val="nil"/>
              <w:bottom w:val="nil"/>
              <w:right w:val="nil"/>
            </w:tcBorders>
            <w:hideMark/>
          </w:tcPr>
          <w:p w:rsidR="008F6FBF" w:rsidRPr="008F6FBF" w:rsidRDefault="008F6FBF" w:rsidP="0057147B">
            <w:pPr>
              <w:pStyle w:val="Sidehoved"/>
              <w:ind w:left="117"/>
              <w:rPr>
                <w:b/>
                <w:bCs/>
                <w:szCs w:val="24"/>
                <w:lang w:bidi="da-DK"/>
              </w:rPr>
            </w:pPr>
            <w:r w:rsidRPr="008F6FBF">
              <w:rPr>
                <w:b/>
                <w:bCs/>
                <w:szCs w:val="24"/>
                <w:lang w:bidi="da-DK"/>
              </w:rPr>
              <w:t>Ikke almindelig</w:t>
            </w:r>
          </w:p>
          <w:p w:rsidR="008F6FBF" w:rsidRPr="008F6FBF" w:rsidRDefault="008F6FBF" w:rsidP="0057147B">
            <w:pPr>
              <w:pStyle w:val="Sidehoved"/>
              <w:ind w:left="117"/>
              <w:rPr>
                <w:b/>
                <w:bCs/>
                <w:szCs w:val="24"/>
                <w:lang w:bidi="da-DK"/>
              </w:rPr>
            </w:pPr>
            <w:r w:rsidRPr="008F6FBF">
              <w:rPr>
                <w:b/>
                <w:bCs/>
                <w:szCs w:val="24"/>
                <w:lang w:bidi="da-DK"/>
              </w:rPr>
              <w:t>(≥ 1/1.000 til &lt; 1/100)</w:t>
            </w:r>
          </w:p>
        </w:tc>
      </w:tr>
      <w:tr w:rsidR="008F6FBF" w:rsidRPr="008F6FBF" w:rsidTr="008F6FBF">
        <w:trPr>
          <w:cantSplit/>
        </w:trPr>
        <w:tc>
          <w:tcPr>
            <w:tcW w:w="3025" w:type="dxa"/>
            <w:tcBorders>
              <w:top w:val="single" w:sz="8" w:space="0" w:color="auto"/>
              <w:left w:val="nil"/>
              <w:bottom w:val="nil"/>
              <w:right w:val="nil"/>
            </w:tcBorders>
            <w:hideMark/>
          </w:tcPr>
          <w:p w:rsidR="008F6FBF" w:rsidRPr="008F6FBF" w:rsidRDefault="008F6FBF" w:rsidP="0057147B">
            <w:pPr>
              <w:pStyle w:val="Sidehoved"/>
              <w:ind w:left="72"/>
              <w:rPr>
                <w:szCs w:val="24"/>
                <w:lang w:bidi="da-DK"/>
              </w:rPr>
            </w:pPr>
            <w:r w:rsidRPr="008F6FBF">
              <w:rPr>
                <w:szCs w:val="24"/>
                <w:lang w:bidi="da-DK"/>
              </w:rPr>
              <w:t>Metabolisme og ernæring</w:t>
            </w:r>
          </w:p>
        </w:tc>
        <w:tc>
          <w:tcPr>
            <w:tcW w:w="3026" w:type="dxa"/>
            <w:tcBorders>
              <w:top w:val="single" w:sz="8" w:space="0" w:color="auto"/>
              <w:left w:val="nil"/>
              <w:bottom w:val="nil"/>
              <w:right w:val="nil"/>
            </w:tcBorders>
            <w:hideMark/>
          </w:tcPr>
          <w:p w:rsidR="008F6FBF" w:rsidRPr="008F6FBF" w:rsidRDefault="008F6FBF" w:rsidP="0057147B">
            <w:pPr>
              <w:pStyle w:val="Sidehoved"/>
              <w:ind w:left="19"/>
              <w:rPr>
                <w:szCs w:val="24"/>
                <w:lang w:bidi="da-DK"/>
              </w:rPr>
            </w:pPr>
            <w:r w:rsidRPr="008F6FBF">
              <w:rPr>
                <w:szCs w:val="24"/>
                <w:lang w:bidi="da-DK"/>
              </w:rPr>
              <w:t>Øget blodfosfor</w:t>
            </w:r>
          </w:p>
          <w:p w:rsidR="008F6FBF" w:rsidRPr="008F6FBF" w:rsidRDefault="008F6FBF" w:rsidP="0057147B">
            <w:pPr>
              <w:pStyle w:val="Sidehoved"/>
              <w:ind w:left="19"/>
              <w:rPr>
                <w:szCs w:val="24"/>
                <w:lang w:bidi="da-DK"/>
              </w:rPr>
            </w:pPr>
            <w:proofErr w:type="spellStart"/>
            <w:r w:rsidRPr="008F6FBF">
              <w:rPr>
                <w:szCs w:val="24"/>
                <w:lang w:bidi="da-DK"/>
              </w:rPr>
              <w:t>Hyperkalcæmi</w:t>
            </w:r>
            <w:proofErr w:type="spellEnd"/>
          </w:p>
        </w:tc>
        <w:tc>
          <w:tcPr>
            <w:tcW w:w="3026" w:type="dxa"/>
            <w:tcBorders>
              <w:top w:val="single" w:sz="8" w:space="0" w:color="auto"/>
              <w:left w:val="nil"/>
              <w:bottom w:val="nil"/>
              <w:right w:val="nil"/>
            </w:tcBorders>
            <w:hideMark/>
          </w:tcPr>
          <w:p w:rsidR="008F6FBF" w:rsidRPr="008F6FBF" w:rsidRDefault="008F6FBF" w:rsidP="0057147B">
            <w:pPr>
              <w:pStyle w:val="Sidehoved"/>
              <w:ind w:left="117"/>
              <w:rPr>
                <w:szCs w:val="24"/>
                <w:lang w:bidi="da-DK"/>
              </w:rPr>
            </w:pPr>
            <w:r w:rsidRPr="008F6FBF">
              <w:rPr>
                <w:szCs w:val="24"/>
                <w:lang w:bidi="da-DK"/>
              </w:rPr>
              <w:t>Nedsat appetit</w:t>
            </w:r>
          </w:p>
        </w:tc>
      </w:tr>
      <w:tr w:rsidR="008F6FBF" w:rsidRPr="008F6FBF" w:rsidTr="008F6FBF">
        <w:trPr>
          <w:cantSplit/>
        </w:trPr>
        <w:tc>
          <w:tcPr>
            <w:tcW w:w="3025" w:type="dxa"/>
            <w:tcBorders>
              <w:top w:val="nil"/>
              <w:left w:val="nil"/>
              <w:bottom w:val="nil"/>
              <w:right w:val="nil"/>
            </w:tcBorders>
            <w:hideMark/>
          </w:tcPr>
          <w:p w:rsidR="008F6FBF" w:rsidRPr="008F6FBF" w:rsidRDefault="008F6FBF" w:rsidP="0057147B">
            <w:pPr>
              <w:pStyle w:val="Sidehoved"/>
              <w:ind w:left="72"/>
              <w:rPr>
                <w:szCs w:val="24"/>
                <w:lang w:bidi="da-DK"/>
              </w:rPr>
            </w:pPr>
            <w:r w:rsidRPr="008F6FBF">
              <w:rPr>
                <w:szCs w:val="24"/>
                <w:lang w:bidi="da-DK"/>
              </w:rPr>
              <w:lastRenderedPageBreak/>
              <w:t>Mave-tarm-kanalen</w:t>
            </w:r>
          </w:p>
        </w:tc>
        <w:tc>
          <w:tcPr>
            <w:tcW w:w="3026" w:type="dxa"/>
            <w:tcBorders>
              <w:top w:val="nil"/>
              <w:left w:val="nil"/>
              <w:bottom w:val="nil"/>
              <w:right w:val="nil"/>
            </w:tcBorders>
            <w:hideMark/>
          </w:tcPr>
          <w:p w:rsidR="008F6FBF" w:rsidRPr="008F6FBF" w:rsidRDefault="008F6FBF" w:rsidP="0057147B">
            <w:pPr>
              <w:pStyle w:val="Sidehoved"/>
              <w:ind w:left="19"/>
              <w:rPr>
                <w:szCs w:val="24"/>
                <w:lang w:bidi="da-DK"/>
              </w:rPr>
            </w:pPr>
            <w:r w:rsidRPr="008F6FBF">
              <w:rPr>
                <w:szCs w:val="24"/>
                <w:lang w:bidi="da-DK"/>
              </w:rPr>
              <w:t>Forstoppelse</w:t>
            </w:r>
          </w:p>
          <w:p w:rsidR="008F6FBF" w:rsidRPr="008F6FBF" w:rsidRDefault="008F6FBF" w:rsidP="0057147B">
            <w:pPr>
              <w:pStyle w:val="Sidehoved"/>
              <w:ind w:left="19"/>
              <w:rPr>
                <w:szCs w:val="24"/>
                <w:lang w:bidi="da-DK"/>
              </w:rPr>
            </w:pPr>
            <w:r w:rsidRPr="008F6FBF">
              <w:rPr>
                <w:szCs w:val="24"/>
                <w:lang w:bidi="da-DK"/>
              </w:rPr>
              <w:t>Kvalme</w:t>
            </w:r>
          </w:p>
          <w:p w:rsidR="008F6FBF" w:rsidRPr="008F6FBF" w:rsidRDefault="008F6FBF" w:rsidP="0057147B">
            <w:pPr>
              <w:pStyle w:val="Sidehoved"/>
              <w:ind w:left="19"/>
              <w:rPr>
                <w:szCs w:val="24"/>
                <w:lang w:bidi="da-DK"/>
              </w:rPr>
            </w:pPr>
            <w:r w:rsidRPr="008F6FBF">
              <w:rPr>
                <w:szCs w:val="24"/>
                <w:lang w:bidi="da-DK"/>
              </w:rPr>
              <w:t>Diarré</w:t>
            </w:r>
          </w:p>
        </w:tc>
        <w:tc>
          <w:tcPr>
            <w:tcW w:w="3026" w:type="dxa"/>
            <w:tcBorders>
              <w:top w:val="nil"/>
              <w:left w:val="nil"/>
              <w:bottom w:val="nil"/>
              <w:right w:val="nil"/>
            </w:tcBorders>
            <w:hideMark/>
          </w:tcPr>
          <w:p w:rsidR="008F6FBF" w:rsidRPr="008F6FBF" w:rsidRDefault="008F6FBF" w:rsidP="0057147B">
            <w:pPr>
              <w:pStyle w:val="Sidehoved"/>
              <w:ind w:left="117"/>
              <w:rPr>
                <w:szCs w:val="24"/>
                <w:lang w:bidi="da-DK"/>
              </w:rPr>
            </w:pPr>
            <w:proofErr w:type="spellStart"/>
            <w:r w:rsidRPr="008F6FBF">
              <w:rPr>
                <w:szCs w:val="24"/>
                <w:lang w:bidi="da-DK"/>
              </w:rPr>
              <w:t>Abdominalt</w:t>
            </w:r>
            <w:proofErr w:type="spellEnd"/>
            <w:r w:rsidRPr="008F6FBF">
              <w:rPr>
                <w:szCs w:val="24"/>
                <w:lang w:bidi="da-DK"/>
              </w:rPr>
              <w:t xml:space="preserve"> ubehag</w:t>
            </w:r>
          </w:p>
          <w:p w:rsidR="008F6FBF" w:rsidRPr="008F6FBF" w:rsidRDefault="008F6FBF" w:rsidP="0057147B">
            <w:pPr>
              <w:pStyle w:val="Sidehoved"/>
              <w:ind w:left="117"/>
              <w:rPr>
                <w:szCs w:val="24"/>
                <w:lang w:bidi="da-DK"/>
              </w:rPr>
            </w:pPr>
            <w:r w:rsidRPr="008F6FBF">
              <w:rPr>
                <w:szCs w:val="24"/>
                <w:lang w:bidi="da-DK"/>
              </w:rPr>
              <w:t>Tør mund</w:t>
            </w:r>
          </w:p>
          <w:p w:rsidR="008F6FBF" w:rsidRPr="008F6FBF" w:rsidRDefault="008F6FBF" w:rsidP="0057147B">
            <w:pPr>
              <w:pStyle w:val="Sidehoved"/>
              <w:ind w:left="117"/>
              <w:rPr>
                <w:szCs w:val="24"/>
                <w:lang w:bidi="da-DK"/>
              </w:rPr>
            </w:pPr>
            <w:r w:rsidRPr="008F6FBF">
              <w:rPr>
                <w:szCs w:val="24"/>
                <w:lang w:bidi="da-DK"/>
              </w:rPr>
              <w:t>Opkastning</w:t>
            </w:r>
          </w:p>
        </w:tc>
      </w:tr>
      <w:tr w:rsidR="008F6FBF" w:rsidRPr="008F6FBF" w:rsidTr="008F6FBF">
        <w:trPr>
          <w:cantSplit/>
        </w:trPr>
        <w:tc>
          <w:tcPr>
            <w:tcW w:w="3025" w:type="dxa"/>
            <w:tcBorders>
              <w:top w:val="nil"/>
              <w:left w:val="nil"/>
              <w:bottom w:val="nil"/>
              <w:right w:val="nil"/>
            </w:tcBorders>
            <w:hideMark/>
          </w:tcPr>
          <w:p w:rsidR="008F6FBF" w:rsidRPr="008F6FBF" w:rsidRDefault="008F6FBF" w:rsidP="0057147B">
            <w:pPr>
              <w:pStyle w:val="Sidehoved"/>
              <w:ind w:left="72"/>
              <w:rPr>
                <w:szCs w:val="24"/>
                <w:lang w:bidi="da-DK"/>
              </w:rPr>
            </w:pPr>
            <w:r w:rsidRPr="008F6FBF">
              <w:rPr>
                <w:szCs w:val="24"/>
                <w:lang w:bidi="da-DK"/>
              </w:rPr>
              <w:t>Almene symptomer og reaktioner på administrationsstedet</w:t>
            </w:r>
          </w:p>
        </w:tc>
        <w:tc>
          <w:tcPr>
            <w:tcW w:w="3026" w:type="dxa"/>
            <w:tcBorders>
              <w:top w:val="nil"/>
              <w:left w:val="nil"/>
              <w:bottom w:val="nil"/>
              <w:right w:val="nil"/>
            </w:tcBorders>
          </w:tcPr>
          <w:p w:rsidR="008F6FBF" w:rsidRPr="008F6FBF" w:rsidRDefault="008F6FBF" w:rsidP="0057147B">
            <w:pPr>
              <w:pStyle w:val="Sidehoved"/>
              <w:ind w:left="19"/>
              <w:rPr>
                <w:szCs w:val="24"/>
                <w:lang w:bidi="da-DK"/>
              </w:rPr>
            </w:pPr>
          </w:p>
        </w:tc>
        <w:tc>
          <w:tcPr>
            <w:tcW w:w="3026" w:type="dxa"/>
            <w:tcBorders>
              <w:top w:val="nil"/>
              <w:left w:val="nil"/>
              <w:bottom w:val="nil"/>
              <w:right w:val="nil"/>
            </w:tcBorders>
            <w:hideMark/>
          </w:tcPr>
          <w:p w:rsidR="008F6FBF" w:rsidRPr="008F6FBF" w:rsidRDefault="008F6FBF" w:rsidP="0057147B">
            <w:pPr>
              <w:pStyle w:val="Sidehoved"/>
              <w:ind w:left="117"/>
              <w:rPr>
                <w:szCs w:val="24"/>
                <w:lang w:bidi="da-DK"/>
              </w:rPr>
            </w:pPr>
            <w:r w:rsidRPr="008F6FBF">
              <w:rPr>
                <w:szCs w:val="24"/>
                <w:lang w:bidi="da-DK"/>
              </w:rPr>
              <w:t>Asteni</w:t>
            </w:r>
          </w:p>
        </w:tc>
      </w:tr>
      <w:tr w:rsidR="008F6FBF" w:rsidRPr="008F6FBF" w:rsidTr="008F6FBF">
        <w:trPr>
          <w:cantSplit/>
        </w:trPr>
        <w:tc>
          <w:tcPr>
            <w:tcW w:w="3025" w:type="dxa"/>
            <w:tcBorders>
              <w:top w:val="nil"/>
              <w:left w:val="nil"/>
              <w:bottom w:val="single" w:sz="8" w:space="0" w:color="auto"/>
              <w:right w:val="nil"/>
            </w:tcBorders>
            <w:hideMark/>
          </w:tcPr>
          <w:p w:rsidR="008F6FBF" w:rsidRPr="008F6FBF" w:rsidRDefault="008F6FBF" w:rsidP="0057147B">
            <w:pPr>
              <w:pStyle w:val="Sidehoved"/>
              <w:ind w:left="72"/>
              <w:rPr>
                <w:szCs w:val="24"/>
                <w:lang w:bidi="da-DK"/>
              </w:rPr>
            </w:pPr>
            <w:r w:rsidRPr="008F6FBF">
              <w:rPr>
                <w:szCs w:val="24"/>
                <w:lang w:bidi="da-DK"/>
              </w:rPr>
              <w:t>Nervesystemet</w:t>
            </w:r>
          </w:p>
        </w:tc>
        <w:tc>
          <w:tcPr>
            <w:tcW w:w="3026" w:type="dxa"/>
            <w:tcBorders>
              <w:top w:val="nil"/>
              <w:left w:val="nil"/>
              <w:bottom w:val="single" w:sz="8" w:space="0" w:color="auto"/>
              <w:right w:val="nil"/>
            </w:tcBorders>
          </w:tcPr>
          <w:p w:rsidR="008F6FBF" w:rsidRPr="008F6FBF" w:rsidRDefault="008F6FBF" w:rsidP="0057147B">
            <w:pPr>
              <w:pStyle w:val="Sidehoved"/>
              <w:ind w:left="19"/>
              <w:rPr>
                <w:szCs w:val="24"/>
                <w:lang w:bidi="da-DK"/>
              </w:rPr>
            </w:pPr>
          </w:p>
        </w:tc>
        <w:tc>
          <w:tcPr>
            <w:tcW w:w="3026" w:type="dxa"/>
            <w:tcBorders>
              <w:top w:val="nil"/>
              <w:left w:val="nil"/>
              <w:bottom w:val="single" w:sz="8" w:space="0" w:color="auto"/>
              <w:right w:val="nil"/>
            </w:tcBorders>
            <w:hideMark/>
          </w:tcPr>
          <w:p w:rsidR="008F6FBF" w:rsidRPr="008F6FBF" w:rsidRDefault="008F6FBF" w:rsidP="0057147B">
            <w:pPr>
              <w:pStyle w:val="Sidehoved"/>
              <w:ind w:left="117"/>
              <w:rPr>
                <w:szCs w:val="24"/>
                <w:lang w:bidi="da-DK"/>
              </w:rPr>
            </w:pPr>
            <w:r w:rsidRPr="008F6FBF">
              <w:rPr>
                <w:szCs w:val="24"/>
                <w:lang w:bidi="da-DK"/>
              </w:rPr>
              <w:t>Svimmelhed</w:t>
            </w:r>
          </w:p>
          <w:p w:rsidR="008F6FBF" w:rsidRPr="008F6FBF" w:rsidRDefault="008F6FBF" w:rsidP="0057147B">
            <w:pPr>
              <w:pStyle w:val="Sidehoved"/>
              <w:ind w:left="117"/>
              <w:rPr>
                <w:szCs w:val="24"/>
                <w:lang w:bidi="da-DK"/>
              </w:rPr>
            </w:pPr>
            <w:r w:rsidRPr="008F6FBF">
              <w:rPr>
                <w:szCs w:val="24"/>
                <w:lang w:bidi="da-DK"/>
              </w:rPr>
              <w:t>Hovedpine</w:t>
            </w:r>
          </w:p>
        </w:tc>
      </w:tr>
    </w:tbl>
    <w:p w:rsidR="008F6FBF" w:rsidRPr="008F6FBF" w:rsidRDefault="008F6FBF" w:rsidP="008F6FBF">
      <w:pPr>
        <w:pStyle w:val="Sidehoved"/>
        <w:tabs>
          <w:tab w:val="left" w:pos="851"/>
        </w:tabs>
        <w:ind w:left="851"/>
        <w:rPr>
          <w:szCs w:val="24"/>
          <w:lang w:bidi="da-DK"/>
        </w:rPr>
      </w:pPr>
    </w:p>
    <w:p w:rsidR="008F6FBF" w:rsidRPr="008F6FBF" w:rsidRDefault="008F6FBF" w:rsidP="008F6FBF">
      <w:pPr>
        <w:pStyle w:val="Sidehoved"/>
        <w:tabs>
          <w:tab w:val="left" w:pos="851"/>
        </w:tabs>
        <w:ind w:left="851"/>
        <w:rPr>
          <w:szCs w:val="24"/>
          <w:u w:val="single"/>
          <w:lang w:bidi="da-DK"/>
        </w:rPr>
      </w:pPr>
      <w:r w:rsidRPr="008F6FBF">
        <w:rPr>
          <w:szCs w:val="24"/>
          <w:u w:val="single"/>
          <w:lang w:bidi="da-DK"/>
        </w:rPr>
        <w:t>Beskrivelse af udvalgte bivirkninger</w:t>
      </w:r>
    </w:p>
    <w:p w:rsidR="008F6FBF" w:rsidRPr="008F6FBF" w:rsidRDefault="008F6FBF" w:rsidP="008F6FBF">
      <w:pPr>
        <w:pStyle w:val="Sidehoved"/>
        <w:tabs>
          <w:tab w:val="left" w:pos="851"/>
        </w:tabs>
        <w:ind w:left="851"/>
        <w:rPr>
          <w:szCs w:val="24"/>
          <w:lang w:bidi="da-DK"/>
        </w:rPr>
      </w:pPr>
      <w:r w:rsidRPr="008F6FBF">
        <w:rPr>
          <w:szCs w:val="24"/>
          <w:lang w:bidi="da-DK"/>
        </w:rPr>
        <w:t>Ikke relevant.</w:t>
      </w:r>
    </w:p>
    <w:p w:rsidR="008F6FBF" w:rsidRPr="008F6FBF" w:rsidRDefault="008F6FBF" w:rsidP="008F6FBF">
      <w:pPr>
        <w:pStyle w:val="Sidehoved"/>
        <w:tabs>
          <w:tab w:val="left" w:pos="851"/>
        </w:tabs>
        <w:ind w:left="851"/>
        <w:rPr>
          <w:szCs w:val="24"/>
          <w:lang w:bidi="da-DK"/>
        </w:rPr>
      </w:pPr>
    </w:p>
    <w:p w:rsidR="008F6FBF" w:rsidRPr="008F6FBF" w:rsidRDefault="008F6FBF" w:rsidP="008F6FBF">
      <w:pPr>
        <w:pStyle w:val="Sidehoved"/>
        <w:tabs>
          <w:tab w:val="left" w:pos="851"/>
        </w:tabs>
        <w:ind w:left="851"/>
        <w:rPr>
          <w:szCs w:val="24"/>
          <w:u w:val="single"/>
          <w:lang w:bidi="da-DK"/>
        </w:rPr>
      </w:pPr>
      <w:r w:rsidRPr="008F6FBF">
        <w:rPr>
          <w:szCs w:val="24"/>
          <w:u w:val="single"/>
          <w:lang w:bidi="da-DK"/>
        </w:rPr>
        <w:t>Indberetning af formodede bivirkninger</w:t>
      </w:r>
    </w:p>
    <w:p w:rsidR="008F6FBF" w:rsidRPr="008F6FBF" w:rsidRDefault="008F6FBF" w:rsidP="008F6FBF">
      <w:pPr>
        <w:pStyle w:val="Sidehoved"/>
        <w:tabs>
          <w:tab w:val="left" w:pos="851"/>
        </w:tabs>
        <w:ind w:left="851"/>
        <w:rPr>
          <w:szCs w:val="24"/>
          <w:lang w:bidi="da-DK"/>
        </w:rPr>
      </w:pPr>
      <w:r w:rsidRPr="008F6FBF">
        <w:rPr>
          <w:szCs w:val="24"/>
          <w:lang w:bidi="da-DK"/>
        </w:rPr>
        <w:t>Når lægemidlet er godkendt, er indberetning af formodede bivirkninger vigtig. Det muliggør løbende overvågning af benefit/</w:t>
      </w:r>
      <w:proofErr w:type="spellStart"/>
      <w:r w:rsidRPr="008F6FBF">
        <w:rPr>
          <w:szCs w:val="24"/>
          <w:lang w:bidi="da-DK"/>
        </w:rPr>
        <w:t>risk</w:t>
      </w:r>
      <w:proofErr w:type="spellEnd"/>
      <w:r w:rsidRPr="008F6FBF">
        <w:rPr>
          <w:szCs w:val="24"/>
          <w:lang w:bidi="da-DK"/>
        </w:rPr>
        <w:t xml:space="preserve">-forholdet for lægemidlet. </w:t>
      </w:r>
      <w:r w:rsidR="0057147B">
        <w:rPr>
          <w:szCs w:val="24"/>
          <w:lang w:bidi="da-DK"/>
        </w:rPr>
        <w:t>Sundhedspersoner</w:t>
      </w:r>
      <w:r w:rsidRPr="008F6FBF">
        <w:rPr>
          <w:szCs w:val="24"/>
          <w:lang w:bidi="da-DK"/>
        </w:rPr>
        <w:t xml:space="preserve"> anmodes om at indberette alle formodede bivirkninger via:</w:t>
      </w:r>
    </w:p>
    <w:p w:rsidR="008F6FBF" w:rsidRPr="008F6FBF" w:rsidRDefault="008F6FBF" w:rsidP="008F6FBF">
      <w:pPr>
        <w:pStyle w:val="Sidehoved"/>
        <w:tabs>
          <w:tab w:val="left" w:pos="851"/>
        </w:tabs>
        <w:ind w:left="851"/>
        <w:rPr>
          <w:szCs w:val="24"/>
          <w:lang w:bidi="da-DK"/>
        </w:rPr>
      </w:pPr>
    </w:p>
    <w:p w:rsidR="008F6FBF" w:rsidRPr="008F6FBF" w:rsidRDefault="008F6FBF" w:rsidP="008F6FBF">
      <w:pPr>
        <w:pStyle w:val="Sidehoved"/>
        <w:tabs>
          <w:tab w:val="left" w:pos="851"/>
        </w:tabs>
        <w:ind w:left="851"/>
        <w:rPr>
          <w:szCs w:val="24"/>
          <w:lang w:bidi="da-DK"/>
        </w:rPr>
      </w:pPr>
      <w:r w:rsidRPr="008F6FBF">
        <w:rPr>
          <w:szCs w:val="24"/>
          <w:lang w:bidi="da-DK"/>
        </w:rPr>
        <w:t>Lægemiddelstyrelsen</w:t>
      </w:r>
    </w:p>
    <w:p w:rsidR="008F6FBF" w:rsidRPr="008F6FBF" w:rsidRDefault="008F6FBF" w:rsidP="008F6FBF">
      <w:pPr>
        <w:pStyle w:val="Sidehoved"/>
        <w:tabs>
          <w:tab w:val="left" w:pos="851"/>
        </w:tabs>
        <w:ind w:left="851"/>
        <w:rPr>
          <w:szCs w:val="24"/>
          <w:lang w:bidi="da-DK"/>
        </w:rPr>
      </w:pPr>
      <w:r w:rsidRPr="008F6FBF">
        <w:rPr>
          <w:szCs w:val="24"/>
          <w:lang w:bidi="da-DK"/>
        </w:rPr>
        <w:t>Axel Heides Gade 1</w:t>
      </w:r>
    </w:p>
    <w:p w:rsidR="008F6FBF" w:rsidRPr="008F6FBF" w:rsidRDefault="008F6FBF" w:rsidP="008F6FBF">
      <w:pPr>
        <w:pStyle w:val="Sidehoved"/>
        <w:tabs>
          <w:tab w:val="left" w:pos="851"/>
        </w:tabs>
        <w:ind w:left="851"/>
        <w:rPr>
          <w:szCs w:val="24"/>
          <w:lang w:bidi="da-DK"/>
        </w:rPr>
      </w:pPr>
      <w:r w:rsidRPr="008F6FBF">
        <w:rPr>
          <w:szCs w:val="24"/>
          <w:lang w:bidi="da-DK"/>
        </w:rPr>
        <w:t>DK-2300 København S</w:t>
      </w:r>
    </w:p>
    <w:p w:rsidR="008F6FBF" w:rsidRPr="00CF4FA0" w:rsidRDefault="008F6FBF" w:rsidP="008F6FBF">
      <w:pPr>
        <w:pStyle w:val="Sidehoved"/>
        <w:tabs>
          <w:tab w:val="left" w:pos="851"/>
        </w:tabs>
        <w:ind w:left="851"/>
        <w:rPr>
          <w:szCs w:val="24"/>
          <w:lang w:bidi="da-DK"/>
        </w:rPr>
      </w:pPr>
      <w:r w:rsidRPr="00CF4FA0">
        <w:rPr>
          <w:szCs w:val="24"/>
          <w:lang w:bidi="da-DK"/>
        </w:rPr>
        <w:t>Websted: www.meldenbivirkning.dk</w:t>
      </w:r>
    </w:p>
    <w:p w:rsidR="009260DE" w:rsidRPr="00CF4FA0" w:rsidRDefault="009260DE" w:rsidP="009260DE">
      <w:pPr>
        <w:pStyle w:val="Sidehoved"/>
        <w:tabs>
          <w:tab w:val="left" w:pos="851"/>
        </w:tabs>
        <w:ind w:left="851"/>
        <w:rPr>
          <w:szCs w:val="24"/>
        </w:rPr>
      </w:pPr>
    </w:p>
    <w:p w:rsidR="009260DE" w:rsidRPr="00C30D9B" w:rsidRDefault="009260DE" w:rsidP="009260DE">
      <w:pPr>
        <w:tabs>
          <w:tab w:val="left" w:pos="851"/>
        </w:tabs>
        <w:ind w:left="851" w:hanging="851"/>
        <w:rPr>
          <w:b/>
          <w:sz w:val="24"/>
          <w:szCs w:val="24"/>
        </w:rPr>
      </w:pPr>
      <w:r w:rsidRPr="00C30D9B">
        <w:rPr>
          <w:b/>
          <w:sz w:val="24"/>
          <w:szCs w:val="24"/>
        </w:rPr>
        <w:t>4.9</w:t>
      </w:r>
      <w:r w:rsidRPr="00C30D9B">
        <w:rPr>
          <w:b/>
          <w:sz w:val="24"/>
          <w:szCs w:val="24"/>
        </w:rPr>
        <w:tab/>
        <w:t>Overdosering</w:t>
      </w:r>
    </w:p>
    <w:p w:rsidR="008B7F23" w:rsidRPr="008B7F23" w:rsidRDefault="008B7F23" w:rsidP="008B7F23">
      <w:pPr>
        <w:tabs>
          <w:tab w:val="left" w:pos="851"/>
        </w:tabs>
        <w:ind w:left="851"/>
        <w:rPr>
          <w:sz w:val="24"/>
          <w:szCs w:val="24"/>
          <w:lang w:bidi="da-DK"/>
        </w:rPr>
      </w:pPr>
      <w:r w:rsidRPr="008B7F23">
        <w:rPr>
          <w:sz w:val="24"/>
          <w:szCs w:val="24"/>
          <w:lang w:bidi="da-DK"/>
        </w:rPr>
        <w:t>Der er ikke indberettet tilfælde af overdosering.</w:t>
      </w:r>
    </w:p>
    <w:p w:rsidR="008B7F23" w:rsidRPr="008B7F23" w:rsidRDefault="008B7F23" w:rsidP="008B7F23">
      <w:pPr>
        <w:tabs>
          <w:tab w:val="left" w:pos="851"/>
        </w:tabs>
        <w:ind w:left="851"/>
        <w:rPr>
          <w:sz w:val="24"/>
          <w:szCs w:val="24"/>
          <w:lang w:bidi="da-DK"/>
        </w:rPr>
      </w:pPr>
    </w:p>
    <w:p w:rsidR="008B7F23" w:rsidRPr="008B7F23" w:rsidRDefault="008B7F23" w:rsidP="008B7F23">
      <w:pPr>
        <w:tabs>
          <w:tab w:val="left" w:pos="851"/>
        </w:tabs>
        <w:ind w:left="851"/>
        <w:rPr>
          <w:sz w:val="24"/>
          <w:szCs w:val="24"/>
          <w:lang w:bidi="da-DK"/>
        </w:rPr>
      </w:pPr>
      <w:r w:rsidRPr="008B7F23">
        <w:rPr>
          <w:sz w:val="24"/>
          <w:szCs w:val="24"/>
          <w:lang w:bidi="da-DK"/>
        </w:rPr>
        <w:t xml:space="preserve">Imidlertid kan overdosering af </w:t>
      </w:r>
      <w:proofErr w:type="spellStart"/>
      <w:r w:rsidRPr="008B7F23">
        <w:rPr>
          <w:sz w:val="24"/>
          <w:szCs w:val="24"/>
          <w:lang w:bidi="da-DK"/>
        </w:rPr>
        <w:t>calcifediol</w:t>
      </w:r>
      <w:proofErr w:type="spellEnd"/>
      <w:r w:rsidRPr="008B7F23">
        <w:rPr>
          <w:sz w:val="24"/>
          <w:szCs w:val="24"/>
          <w:lang w:bidi="da-DK"/>
        </w:rPr>
        <w:t xml:space="preserve"> føre til </w:t>
      </w:r>
      <w:proofErr w:type="spellStart"/>
      <w:r w:rsidRPr="008B7F23">
        <w:rPr>
          <w:sz w:val="24"/>
          <w:szCs w:val="24"/>
          <w:lang w:bidi="da-DK"/>
        </w:rPr>
        <w:t>hyperkalcæmi</w:t>
      </w:r>
      <w:proofErr w:type="spellEnd"/>
      <w:r w:rsidRPr="008B7F23">
        <w:rPr>
          <w:sz w:val="24"/>
          <w:szCs w:val="24"/>
          <w:lang w:bidi="da-DK"/>
        </w:rPr>
        <w:t xml:space="preserve">, </w:t>
      </w:r>
      <w:proofErr w:type="spellStart"/>
      <w:r w:rsidRPr="008B7F23">
        <w:rPr>
          <w:sz w:val="24"/>
          <w:szCs w:val="24"/>
          <w:lang w:bidi="da-DK"/>
        </w:rPr>
        <w:t>hyperkalciuri</w:t>
      </w:r>
      <w:proofErr w:type="spellEnd"/>
      <w:r w:rsidRPr="008B7F23">
        <w:rPr>
          <w:sz w:val="24"/>
          <w:szCs w:val="24"/>
          <w:lang w:bidi="da-DK"/>
        </w:rPr>
        <w:t xml:space="preserve">, </w:t>
      </w:r>
      <w:proofErr w:type="spellStart"/>
      <w:r w:rsidRPr="008B7F23">
        <w:rPr>
          <w:sz w:val="24"/>
          <w:szCs w:val="24"/>
          <w:lang w:bidi="da-DK"/>
        </w:rPr>
        <w:t>hyperfosfatæmi</w:t>
      </w:r>
      <w:proofErr w:type="spellEnd"/>
      <w:r w:rsidRPr="008B7F23">
        <w:rPr>
          <w:sz w:val="24"/>
          <w:szCs w:val="24"/>
          <w:lang w:bidi="da-DK"/>
        </w:rPr>
        <w:t xml:space="preserve"> og over-undertrykkelse af PTH (se pkt. 4.4).</w:t>
      </w:r>
    </w:p>
    <w:p w:rsidR="008B7F23" w:rsidRPr="008B7F23" w:rsidRDefault="008B7F23" w:rsidP="008B7F23">
      <w:pPr>
        <w:tabs>
          <w:tab w:val="left" w:pos="851"/>
        </w:tabs>
        <w:ind w:left="851"/>
        <w:rPr>
          <w:sz w:val="24"/>
          <w:szCs w:val="24"/>
          <w:lang w:bidi="da-DK"/>
        </w:rPr>
      </w:pPr>
    </w:p>
    <w:p w:rsidR="008B7F23" w:rsidRPr="008B7F23" w:rsidRDefault="008B7F23" w:rsidP="008B7F23">
      <w:pPr>
        <w:tabs>
          <w:tab w:val="left" w:pos="851"/>
        </w:tabs>
        <w:ind w:left="851"/>
        <w:rPr>
          <w:sz w:val="24"/>
          <w:szCs w:val="24"/>
          <w:lang w:bidi="da-DK"/>
        </w:rPr>
      </w:pPr>
      <w:r w:rsidRPr="008B7F23">
        <w:rPr>
          <w:sz w:val="24"/>
          <w:szCs w:val="24"/>
          <w:lang w:bidi="da-DK"/>
        </w:rPr>
        <w:t xml:space="preserve">I tilfælde af overdosering bør tegn og symptomer på </w:t>
      </w:r>
      <w:proofErr w:type="spellStart"/>
      <w:r w:rsidRPr="008B7F23">
        <w:rPr>
          <w:sz w:val="24"/>
          <w:szCs w:val="24"/>
          <w:lang w:bidi="da-DK"/>
        </w:rPr>
        <w:t>hyperkalcæmi</w:t>
      </w:r>
      <w:proofErr w:type="spellEnd"/>
      <w:r w:rsidRPr="008B7F23">
        <w:rPr>
          <w:sz w:val="24"/>
          <w:szCs w:val="24"/>
          <w:lang w:bidi="da-DK"/>
        </w:rPr>
        <w:t xml:space="preserve"> (serumcalciumniveauer) overvåges og rapporteres til en læge. Behandling bør indledes efter behov.</w:t>
      </w:r>
    </w:p>
    <w:p w:rsidR="008B7F23" w:rsidRPr="008B7F23" w:rsidRDefault="008B7F23" w:rsidP="008B7F23">
      <w:pPr>
        <w:tabs>
          <w:tab w:val="left" w:pos="851"/>
        </w:tabs>
        <w:ind w:left="851"/>
        <w:rPr>
          <w:sz w:val="24"/>
          <w:szCs w:val="24"/>
          <w:lang w:bidi="da-DK"/>
        </w:rPr>
      </w:pPr>
    </w:p>
    <w:p w:rsidR="008B7F23" w:rsidRPr="008B7F23" w:rsidRDefault="008B7F23" w:rsidP="008B7F23">
      <w:pPr>
        <w:tabs>
          <w:tab w:val="left" w:pos="851"/>
        </w:tabs>
        <w:ind w:left="851"/>
        <w:rPr>
          <w:sz w:val="24"/>
          <w:szCs w:val="24"/>
          <w:lang w:bidi="da-DK"/>
        </w:rPr>
      </w:pPr>
      <w:r w:rsidRPr="008B7F23">
        <w:rPr>
          <w:sz w:val="24"/>
          <w:szCs w:val="24"/>
          <w:lang w:bidi="da-DK"/>
        </w:rPr>
        <w:t>Almindelige symptomer på overdosering af vitamin D kan omfatte forstoppelse, nedsat appetit, dehydrering, træthed, irritabilitet, muskelsvaghed eller opkastning.</w:t>
      </w:r>
    </w:p>
    <w:p w:rsidR="008B7F23" w:rsidRPr="008B7F23" w:rsidRDefault="008B7F23" w:rsidP="008B7F23">
      <w:pPr>
        <w:tabs>
          <w:tab w:val="left" w:pos="851"/>
        </w:tabs>
        <w:ind w:left="851"/>
        <w:rPr>
          <w:sz w:val="24"/>
          <w:szCs w:val="24"/>
          <w:lang w:bidi="da-DK"/>
        </w:rPr>
      </w:pPr>
    </w:p>
    <w:p w:rsidR="008B7F23" w:rsidRPr="008B7F23" w:rsidRDefault="008B7F23" w:rsidP="008B7F23">
      <w:pPr>
        <w:tabs>
          <w:tab w:val="left" w:pos="851"/>
        </w:tabs>
        <w:ind w:left="851"/>
        <w:rPr>
          <w:sz w:val="24"/>
          <w:szCs w:val="24"/>
          <w:lang w:bidi="da-DK"/>
        </w:rPr>
      </w:pPr>
      <w:r w:rsidRPr="008B7F23">
        <w:rPr>
          <w:sz w:val="24"/>
          <w:szCs w:val="24"/>
          <w:lang w:bidi="da-DK"/>
        </w:rPr>
        <w:t xml:space="preserve">Behandling af akut, utilsigtet overdosering af </w:t>
      </w:r>
      <w:proofErr w:type="spellStart"/>
      <w:r w:rsidRPr="008B7F23">
        <w:rPr>
          <w:sz w:val="24"/>
          <w:szCs w:val="24"/>
          <w:lang w:bidi="da-DK"/>
        </w:rPr>
        <w:t>Rayaldee</w:t>
      </w:r>
      <w:proofErr w:type="spellEnd"/>
      <w:r w:rsidRPr="008B7F23">
        <w:rPr>
          <w:sz w:val="24"/>
          <w:szCs w:val="24"/>
          <w:lang w:bidi="da-DK"/>
        </w:rPr>
        <w:t xml:space="preserve"> bør bestå af generelle understøttende foranstaltninger. Hvis overdoseringen opdages inden for kort tid, bør der fremkaldes opkastning eller udføres en gastrisk skylning for at forhindre yderligere absorption. Målinger af serumcalcium bør indhentes, og eventuelle elektrokardiografiske </w:t>
      </w:r>
      <w:proofErr w:type="spellStart"/>
      <w:r w:rsidRPr="008B7F23">
        <w:rPr>
          <w:sz w:val="24"/>
          <w:szCs w:val="24"/>
          <w:lang w:bidi="da-DK"/>
        </w:rPr>
        <w:t>abnormaliteter</w:t>
      </w:r>
      <w:proofErr w:type="spellEnd"/>
      <w:r w:rsidRPr="008B7F23">
        <w:rPr>
          <w:sz w:val="24"/>
          <w:szCs w:val="24"/>
          <w:lang w:bidi="da-DK"/>
        </w:rPr>
        <w:t xml:space="preserve"> på grund af </w:t>
      </w:r>
      <w:proofErr w:type="spellStart"/>
      <w:r w:rsidRPr="008B7F23">
        <w:rPr>
          <w:sz w:val="24"/>
          <w:szCs w:val="24"/>
          <w:lang w:bidi="da-DK"/>
        </w:rPr>
        <w:t>hyperkalcæmi</w:t>
      </w:r>
      <w:proofErr w:type="spellEnd"/>
      <w:r w:rsidRPr="008B7F23">
        <w:rPr>
          <w:sz w:val="24"/>
          <w:szCs w:val="24"/>
          <w:lang w:bidi="da-DK"/>
        </w:rPr>
        <w:t xml:space="preserve"> bør vurderes. Supplerende calcium bør afbrydes. Medicinsk standardbehandling tilrådes, hvis der forekommer vedvarende og markant forhøjede serumcalciumniveauer.</w:t>
      </w:r>
    </w:p>
    <w:p w:rsidR="008B7F23" w:rsidRPr="008B7F23" w:rsidRDefault="008B7F23" w:rsidP="008B7F23">
      <w:pPr>
        <w:tabs>
          <w:tab w:val="left" w:pos="851"/>
        </w:tabs>
        <w:ind w:left="851"/>
        <w:rPr>
          <w:sz w:val="24"/>
          <w:szCs w:val="24"/>
          <w:lang w:bidi="da-DK"/>
        </w:rPr>
      </w:pPr>
    </w:p>
    <w:p w:rsidR="008B7F23" w:rsidRPr="008B7F23" w:rsidRDefault="008B7F23" w:rsidP="008B7F23">
      <w:pPr>
        <w:tabs>
          <w:tab w:val="left" w:pos="851"/>
        </w:tabs>
        <w:ind w:left="851"/>
        <w:rPr>
          <w:sz w:val="24"/>
          <w:szCs w:val="24"/>
          <w:lang w:bidi="da-DK"/>
        </w:rPr>
      </w:pPr>
      <w:proofErr w:type="spellStart"/>
      <w:r w:rsidRPr="008B7F23">
        <w:rPr>
          <w:sz w:val="24"/>
          <w:szCs w:val="24"/>
          <w:lang w:bidi="da-DK"/>
        </w:rPr>
        <w:t>Calcifediol</w:t>
      </w:r>
      <w:proofErr w:type="spellEnd"/>
      <w:r w:rsidRPr="008B7F23">
        <w:rPr>
          <w:sz w:val="24"/>
          <w:szCs w:val="24"/>
          <w:lang w:bidi="da-DK"/>
        </w:rPr>
        <w:t xml:space="preserve"> fjernes ikke signifikant ved dialyse.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EA37FE"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C442C3" w:rsidRDefault="00C442C3">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33394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485419" w:rsidRDefault="009260DE" w:rsidP="0033394B">
      <w:pPr>
        <w:ind w:left="851"/>
        <w:rPr>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r w:rsidR="0033394B">
        <w:rPr>
          <w:b/>
          <w:sz w:val="24"/>
          <w:szCs w:val="24"/>
        </w:rPr>
        <w:br/>
      </w:r>
      <w:bookmarkStart w:id="4" w:name="_Hlk121753973"/>
      <w:bookmarkStart w:id="5" w:name="_Hlk121742993"/>
      <w:proofErr w:type="spellStart"/>
      <w:r w:rsidR="0033394B" w:rsidRPr="00C922B2">
        <w:rPr>
          <w:sz w:val="24"/>
          <w:szCs w:val="24"/>
        </w:rPr>
        <w:t>Farmakoterapeutisk</w:t>
      </w:r>
      <w:proofErr w:type="spellEnd"/>
      <w:r w:rsidR="0033394B" w:rsidRPr="00C922B2">
        <w:rPr>
          <w:sz w:val="24"/>
          <w:szCs w:val="24"/>
        </w:rPr>
        <w:t xml:space="preserve"> klassifikation:</w:t>
      </w:r>
      <w:bookmarkEnd w:id="4"/>
      <w:bookmarkEnd w:id="5"/>
      <w:r w:rsidR="0033394B">
        <w:rPr>
          <w:sz w:val="24"/>
          <w:szCs w:val="24"/>
        </w:rPr>
        <w:t xml:space="preserve"> Andre </w:t>
      </w:r>
      <w:proofErr w:type="spellStart"/>
      <w:r w:rsidR="0033394B">
        <w:rPr>
          <w:sz w:val="24"/>
          <w:szCs w:val="24"/>
        </w:rPr>
        <w:t>anti-parathyroide</w:t>
      </w:r>
      <w:proofErr w:type="spellEnd"/>
      <w:r w:rsidR="0033394B">
        <w:rPr>
          <w:sz w:val="24"/>
          <w:szCs w:val="24"/>
        </w:rPr>
        <w:t xml:space="preserve"> midler. </w:t>
      </w:r>
    </w:p>
    <w:p w:rsidR="0033394B" w:rsidRPr="0033394B" w:rsidRDefault="0033394B" w:rsidP="0033394B">
      <w:pPr>
        <w:ind w:left="851"/>
        <w:rPr>
          <w:sz w:val="24"/>
          <w:szCs w:val="24"/>
        </w:rPr>
      </w:pPr>
      <w:r>
        <w:rPr>
          <w:sz w:val="24"/>
          <w:szCs w:val="24"/>
        </w:rPr>
        <w:t xml:space="preserve">ATC-kode: H 05 BX 05. </w:t>
      </w:r>
    </w:p>
    <w:p w:rsidR="00485419" w:rsidRDefault="00485419" w:rsidP="00C442C3">
      <w:pPr>
        <w:ind w:left="851"/>
        <w:rPr>
          <w:sz w:val="24"/>
          <w:szCs w:val="24"/>
        </w:rPr>
      </w:pPr>
    </w:p>
    <w:p w:rsidR="00C442C3" w:rsidRPr="00C442C3" w:rsidRDefault="00C442C3" w:rsidP="00C442C3">
      <w:pPr>
        <w:ind w:left="851"/>
        <w:rPr>
          <w:sz w:val="24"/>
          <w:szCs w:val="24"/>
          <w:lang w:eastAsia="da-DK"/>
        </w:rPr>
      </w:pPr>
      <w:proofErr w:type="spellStart"/>
      <w:r w:rsidRPr="00C442C3">
        <w:rPr>
          <w:sz w:val="24"/>
          <w:szCs w:val="24"/>
        </w:rPr>
        <w:t>Calcifediol</w:t>
      </w:r>
      <w:proofErr w:type="spellEnd"/>
      <w:r w:rsidRPr="00C442C3">
        <w:rPr>
          <w:sz w:val="24"/>
          <w:szCs w:val="24"/>
        </w:rPr>
        <w:t xml:space="preserve"> (25</w:t>
      </w:r>
      <w:r w:rsidRPr="00C442C3">
        <w:rPr>
          <w:sz w:val="24"/>
          <w:szCs w:val="24"/>
        </w:rPr>
        <w:noBreakHyphen/>
        <w:t>hydroxyvitamin D</w:t>
      </w:r>
      <w:r w:rsidRPr="00C442C3">
        <w:rPr>
          <w:rStyle w:val="Subscript"/>
          <w:sz w:val="24"/>
          <w:szCs w:val="24"/>
        </w:rPr>
        <w:t>3</w:t>
      </w:r>
      <w:r w:rsidRPr="00C442C3">
        <w:rPr>
          <w:sz w:val="24"/>
          <w:szCs w:val="24"/>
        </w:rPr>
        <w:t>) er et prohormon af den aktive form af vitamin D</w:t>
      </w:r>
      <w:r w:rsidRPr="00C442C3">
        <w:rPr>
          <w:rStyle w:val="Subscript"/>
          <w:sz w:val="24"/>
          <w:szCs w:val="24"/>
        </w:rPr>
        <w:t>3</w:t>
      </w:r>
      <w:r w:rsidRPr="00C442C3">
        <w:rPr>
          <w:sz w:val="24"/>
          <w:szCs w:val="24"/>
        </w:rPr>
        <w:t xml:space="preserve">, </w:t>
      </w:r>
      <w:proofErr w:type="spellStart"/>
      <w:r w:rsidRPr="00C442C3">
        <w:rPr>
          <w:sz w:val="24"/>
          <w:szCs w:val="24"/>
        </w:rPr>
        <w:t>calcitriol</w:t>
      </w:r>
      <w:proofErr w:type="spellEnd"/>
      <w:r w:rsidRPr="00C442C3">
        <w:rPr>
          <w:sz w:val="24"/>
          <w:szCs w:val="24"/>
        </w:rPr>
        <w:t xml:space="preserve"> (1,25</w:t>
      </w:r>
      <w:r w:rsidRPr="00C442C3">
        <w:rPr>
          <w:sz w:val="24"/>
          <w:szCs w:val="24"/>
        </w:rPr>
        <w:noBreakHyphen/>
        <w:t>dihydroxyvitamin D</w:t>
      </w:r>
      <w:r w:rsidRPr="00C442C3">
        <w:rPr>
          <w:rStyle w:val="Subscript"/>
          <w:sz w:val="24"/>
          <w:szCs w:val="24"/>
        </w:rPr>
        <w:t>3</w:t>
      </w:r>
      <w:r w:rsidRPr="00C442C3">
        <w:rPr>
          <w:sz w:val="24"/>
          <w:szCs w:val="24"/>
        </w:rPr>
        <w:t xml:space="preserve">). </w:t>
      </w:r>
      <w:proofErr w:type="spellStart"/>
      <w:r w:rsidRPr="00C442C3">
        <w:rPr>
          <w:sz w:val="24"/>
          <w:szCs w:val="24"/>
        </w:rPr>
        <w:t>Rayaldee</w:t>
      </w:r>
      <w:proofErr w:type="spellEnd"/>
      <w:r w:rsidRPr="00C442C3">
        <w:rPr>
          <w:sz w:val="24"/>
          <w:szCs w:val="24"/>
        </w:rPr>
        <w:t xml:space="preserve"> er en oral depotformulering af </w:t>
      </w:r>
      <w:proofErr w:type="spellStart"/>
      <w:r w:rsidRPr="00C442C3">
        <w:rPr>
          <w:sz w:val="24"/>
          <w:szCs w:val="24"/>
        </w:rPr>
        <w:t>calcifediol</w:t>
      </w:r>
      <w:proofErr w:type="spellEnd"/>
      <w:r w:rsidRPr="00C442C3">
        <w:rPr>
          <w:sz w:val="24"/>
          <w:szCs w:val="24"/>
        </w:rPr>
        <w:t>, som gradvist øger serum-25</w:t>
      </w:r>
      <w:r w:rsidRPr="00C442C3">
        <w:rPr>
          <w:sz w:val="24"/>
          <w:szCs w:val="24"/>
        </w:rPr>
        <w:noBreakHyphen/>
        <w:t>hydroxyvitamin D. Denne stigning resulterer i stigninger i progressive serum-1,25</w:t>
      </w:r>
      <w:r w:rsidRPr="00C442C3">
        <w:rPr>
          <w:sz w:val="24"/>
          <w:szCs w:val="24"/>
        </w:rPr>
        <w:noBreakHyphen/>
        <w:t xml:space="preserve">dihydroxyvitamin D-niveauer, der muliggør effektiv og vedvarende reduktion af forhøjede PTH-niveauer i blodet. I modsætning til </w:t>
      </w:r>
      <w:proofErr w:type="spellStart"/>
      <w:r w:rsidRPr="00C442C3">
        <w:rPr>
          <w:sz w:val="24"/>
          <w:szCs w:val="24"/>
        </w:rPr>
        <w:t>alimentært</w:t>
      </w:r>
      <w:proofErr w:type="spellEnd"/>
      <w:r w:rsidRPr="00C442C3">
        <w:rPr>
          <w:sz w:val="24"/>
          <w:szCs w:val="24"/>
        </w:rPr>
        <w:t xml:space="preserve"> vitamin D kræver </w:t>
      </w:r>
      <w:proofErr w:type="spellStart"/>
      <w:r w:rsidRPr="00C442C3">
        <w:rPr>
          <w:sz w:val="24"/>
          <w:szCs w:val="24"/>
        </w:rPr>
        <w:t>calcifediol</w:t>
      </w:r>
      <w:proofErr w:type="spellEnd"/>
      <w:r w:rsidRPr="00C442C3">
        <w:rPr>
          <w:sz w:val="24"/>
          <w:szCs w:val="24"/>
        </w:rPr>
        <w:t xml:space="preserve"> ikke yderligere metabolisme i leveren. Cirkulerende </w:t>
      </w:r>
      <w:proofErr w:type="spellStart"/>
      <w:r w:rsidRPr="00C442C3">
        <w:rPr>
          <w:sz w:val="24"/>
          <w:szCs w:val="24"/>
        </w:rPr>
        <w:t>calcitriol</w:t>
      </w:r>
      <w:proofErr w:type="spellEnd"/>
      <w:r w:rsidRPr="00C442C3">
        <w:rPr>
          <w:sz w:val="24"/>
          <w:szCs w:val="24"/>
        </w:rPr>
        <w:t xml:space="preserve"> er afledt af </w:t>
      </w:r>
      <w:proofErr w:type="spellStart"/>
      <w:r w:rsidRPr="00C442C3">
        <w:rPr>
          <w:sz w:val="24"/>
          <w:szCs w:val="24"/>
        </w:rPr>
        <w:t>calcifediol</w:t>
      </w:r>
      <w:proofErr w:type="spellEnd"/>
      <w:r w:rsidRPr="00C442C3">
        <w:rPr>
          <w:sz w:val="24"/>
          <w:szCs w:val="24"/>
        </w:rPr>
        <w:t xml:space="preserve"> efter omdannelse via </w:t>
      </w:r>
      <w:proofErr w:type="spellStart"/>
      <w:r w:rsidRPr="00C442C3">
        <w:rPr>
          <w:sz w:val="24"/>
          <w:szCs w:val="24"/>
        </w:rPr>
        <w:t>cytochrom</w:t>
      </w:r>
      <w:proofErr w:type="spellEnd"/>
      <w:r w:rsidRPr="00C442C3">
        <w:rPr>
          <w:sz w:val="24"/>
          <w:szCs w:val="24"/>
        </w:rPr>
        <w:t xml:space="preserve"> P450 27B1 (CYP27B1), inklusive i nyrerne. Cirkulerende </w:t>
      </w:r>
      <w:proofErr w:type="spellStart"/>
      <w:r w:rsidRPr="00C442C3">
        <w:rPr>
          <w:sz w:val="24"/>
          <w:szCs w:val="24"/>
        </w:rPr>
        <w:t>calcitriol</w:t>
      </w:r>
      <w:proofErr w:type="spellEnd"/>
      <w:r w:rsidRPr="00C442C3">
        <w:rPr>
          <w:sz w:val="24"/>
          <w:szCs w:val="24"/>
        </w:rPr>
        <w:t xml:space="preserve"> binder sig til vitamin D-receptoren i </w:t>
      </w:r>
      <w:proofErr w:type="spellStart"/>
      <w:r w:rsidRPr="00C442C3">
        <w:rPr>
          <w:sz w:val="24"/>
          <w:szCs w:val="24"/>
        </w:rPr>
        <w:t>målvæv</w:t>
      </w:r>
      <w:proofErr w:type="spellEnd"/>
      <w:r w:rsidRPr="00C442C3">
        <w:rPr>
          <w:sz w:val="24"/>
          <w:szCs w:val="24"/>
        </w:rPr>
        <w:t xml:space="preserve"> og aktiverer vitamin D-</w:t>
      </w:r>
      <w:proofErr w:type="spellStart"/>
      <w:r w:rsidRPr="00C442C3">
        <w:rPr>
          <w:sz w:val="24"/>
          <w:szCs w:val="24"/>
        </w:rPr>
        <w:t>responsive</w:t>
      </w:r>
      <w:proofErr w:type="spellEnd"/>
      <w:r w:rsidRPr="00C442C3">
        <w:rPr>
          <w:sz w:val="24"/>
          <w:szCs w:val="24"/>
        </w:rPr>
        <w:t xml:space="preserve"> veje, hvilket fører til reduceret </w:t>
      </w:r>
      <w:proofErr w:type="spellStart"/>
      <w:r w:rsidRPr="00C442C3">
        <w:rPr>
          <w:sz w:val="24"/>
          <w:szCs w:val="24"/>
        </w:rPr>
        <w:t>parathyreoideahormonsyntese</w:t>
      </w:r>
      <w:proofErr w:type="spellEnd"/>
      <w:r w:rsidRPr="00C442C3">
        <w:rPr>
          <w:sz w:val="24"/>
          <w:szCs w:val="24"/>
        </w:rPr>
        <w:t xml:space="preserve"> i </w:t>
      </w:r>
      <w:proofErr w:type="spellStart"/>
      <w:r w:rsidRPr="00C442C3">
        <w:rPr>
          <w:sz w:val="24"/>
          <w:szCs w:val="24"/>
        </w:rPr>
        <w:t>parathyreoideakirtlerne</w:t>
      </w:r>
      <w:proofErr w:type="spellEnd"/>
      <w:r w:rsidRPr="00C442C3">
        <w:rPr>
          <w:sz w:val="24"/>
          <w:szCs w:val="24"/>
        </w:rPr>
        <w:t xml:space="preserve"> og øger tarmkanalens absorption af calcium og fosfor. Inden i nyren reguleres omdannelsen af </w:t>
      </w:r>
      <w:proofErr w:type="spellStart"/>
      <w:r w:rsidRPr="00C442C3">
        <w:rPr>
          <w:sz w:val="24"/>
          <w:szCs w:val="24"/>
        </w:rPr>
        <w:t>calcifediol</w:t>
      </w:r>
      <w:proofErr w:type="spellEnd"/>
      <w:r w:rsidRPr="00C442C3">
        <w:rPr>
          <w:sz w:val="24"/>
          <w:szCs w:val="24"/>
        </w:rPr>
        <w:t xml:space="preserve"> til </w:t>
      </w:r>
      <w:proofErr w:type="spellStart"/>
      <w:r w:rsidRPr="00C442C3">
        <w:rPr>
          <w:sz w:val="24"/>
          <w:szCs w:val="24"/>
        </w:rPr>
        <w:t>calcitriol</w:t>
      </w:r>
      <w:proofErr w:type="spellEnd"/>
      <w:r w:rsidRPr="00C442C3">
        <w:rPr>
          <w:sz w:val="24"/>
          <w:szCs w:val="24"/>
        </w:rPr>
        <w:t xml:space="preserve"> nøje af elementer i knoglemineralaksen, herunder serumniveauet af PTH, FGF-23 (</w:t>
      </w:r>
      <w:proofErr w:type="spellStart"/>
      <w:r w:rsidRPr="00C442C3">
        <w:rPr>
          <w:sz w:val="24"/>
          <w:szCs w:val="24"/>
        </w:rPr>
        <w:t>fibroblast</w:t>
      </w:r>
      <w:proofErr w:type="spellEnd"/>
      <w:r w:rsidRPr="00C442C3">
        <w:rPr>
          <w:sz w:val="24"/>
          <w:szCs w:val="24"/>
        </w:rPr>
        <w:t xml:space="preserve"> vækstfaktor), calcium og fosfat.</w:t>
      </w:r>
    </w:p>
    <w:p w:rsidR="00C442C3" w:rsidRPr="00C442C3" w:rsidRDefault="00C442C3" w:rsidP="00C442C3">
      <w:pPr>
        <w:ind w:left="851"/>
        <w:rPr>
          <w:sz w:val="24"/>
          <w:szCs w:val="24"/>
        </w:rPr>
      </w:pPr>
    </w:p>
    <w:p w:rsidR="00C442C3" w:rsidRPr="00C442C3" w:rsidRDefault="00C442C3" w:rsidP="00C442C3">
      <w:pPr>
        <w:ind w:left="851"/>
        <w:rPr>
          <w:sz w:val="24"/>
          <w:szCs w:val="24"/>
        </w:rPr>
      </w:pPr>
      <w:r w:rsidRPr="00C442C3">
        <w:rPr>
          <w:sz w:val="24"/>
          <w:szCs w:val="24"/>
        </w:rPr>
        <w:t xml:space="preserve">Data fra studier med gentagne doser </w:t>
      </w:r>
      <w:proofErr w:type="spellStart"/>
      <w:r w:rsidRPr="00C442C3">
        <w:rPr>
          <w:sz w:val="24"/>
          <w:szCs w:val="24"/>
        </w:rPr>
        <w:t>Rayaldee</w:t>
      </w:r>
      <w:proofErr w:type="spellEnd"/>
      <w:r w:rsidRPr="00C442C3">
        <w:rPr>
          <w:sz w:val="24"/>
          <w:szCs w:val="24"/>
        </w:rPr>
        <w:t xml:space="preserve"> viser, at gradvis forøgelse af serum-25</w:t>
      </w:r>
      <w:r w:rsidRPr="00C442C3">
        <w:rPr>
          <w:sz w:val="24"/>
          <w:szCs w:val="24"/>
        </w:rPr>
        <w:noBreakHyphen/>
        <w:t xml:space="preserve">hydroxyvitamin D reducerer cirkulerende </w:t>
      </w:r>
      <w:proofErr w:type="spellStart"/>
      <w:r w:rsidRPr="00C442C3">
        <w:rPr>
          <w:sz w:val="24"/>
          <w:szCs w:val="24"/>
        </w:rPr>
        <w:t>iPTH</w:t>
      </w:r>
      <w:proofErr w:type="spellEnd"/>
      <w:r w:rsidRPr="00C442C3">
        <w:rPr>
          <w:sz w:val="24"/>
          <w:szCs w:val="24"/>
        </w:rPr>
        <w:t xml:space="preserve"> ved at undertrykke </w:t>
      </w:r>
      <w:proofErr w:type="spellStart"/>
      <w:r w:rsidRPr="00C442C3">
        <w:rPr>
          <w:sz w:val="24"/>
          <w:szCs w:val="24"/>
        </w:rPr>
        <w:t>iPTH</w:t>
      </w:r>
      <w:proofErr w:type="spellEnd"/>
      <w:r w:rsidRPr="00C442C3">
        <w:rPr>
          <w:sz w:val="24"/>
          <w:szCs w:val="24"/>
        </w:rPr>
        <w:t xml:space="preserve">-produktionen i </w:t>
      </w:r>
      <w:proofErr w:type="spellStart"/>
      <w:r w:rsidRPr="00C442C3">
        <w:rPr>
          <w:sz w:val="24"/>
          <w:szCs w:val="24"/>
        </w:rPr>
        <w:t>parathyreoideakirtlen</w:t>
      </w:r>
      <w:proofErr w:type="spellEnd"/>
      <w:r w:rsidRPr="00C442C3">
        <w:rPr>
          <w:sz w:val="24"/>
          <w:szCs w:val="24"/>
        </w:rPr>
        <w:t>. De øgede serum-</w:t>
      </w:r>
      <w:proofErr w:type="spellStart"/>
      <w:r w:rsidRPr="00C442C3">
        <w:rPr>
          <w:sz w:val="24"/>
          <w:szCs w:val="24"/>
        </w:rPr>
        <w:t>calcifediolkoncentrationer</w:t>
      </w:r>
      <w:proofErr w:type="spellEnd"/>
      <w:r w:rsidRPr="00C442C3">
        <w:rPr>
          <w:sz w:val="24"/>
          <w:szCs w:val="24"/>
        </w:rPr>
        <w:t xml:space="preserve"> øger også gradvist serummets totale </w:t>
      </w:r>
      <w:proofErr w:type="spellStart"/>
      <w:r w:rsidRPr="00C442C3">
        <w:rPr>
          <w:sz w:val="24"/>
          <w:szCs w:val="24"/>
        </w:rPr>
        <w:t>calcitriol</w:t>
      </w:r>
      <w:proofErr w:type="spellEnd"/>
      <w:r w:rsidRPr="00C442C3">
        <w:rPr>
          <w:sz w:val="24"/>
          <w:szCs w:val="24"/>
        </w:rPr>
        <w:t xml:space="preserve"> (den mest aktive form for vitamin D).</w:t>
      </w:r>
    </w:p>
    <w:p w:rsidR="00C442C3" w:rsidRPr="00C442C3" w:rsidRDefault="00C442C3" w:rsidP="00C442C3">
      <w:pPr>
        <w:ind w:left="851"/>
        <w:rPr>
          <w:sz w:val="24"/>
          <w:szCs w:val="24"/>
        </w:rPr>
      </w:pPr>
    </w:p>
    <w:p w:rsidR="00C442C3" w:rsidRPr="00C442C3" w:rsidRDefault="00C442C3" w:rsidP="00C442C3">
      <w:pPr>
        <w:pStyle w:val="HeadingUnderlined"/>
        <w:ind w:left="851"/>
        <w:rPr>
          <w:sz w:val="24"/>
          <w:szCs w:val="24"/>
        </w:rPr>
      </w:pPr>
      <w:r w:rsidRPr="00C442C3">
        <w:rPr>
          <w:sz w:val="24"/>
          <w:szCs w:val="24"/>
        </w:rPr>
        <w:t>Klinisk virkning og sikkerhed</w:t>
      </w:r>
    </w:p>
    <w:p w:rsidR="00C442C3" w:rsidRPr="00C442C3" w:rsidRDefault="00C442C3" w:rsidP="00C442C3">
      <w:pPr>
        <w:ind w:left="851"/>
        <w:rPr>
          <w:sz w:val="24"/>
          <w:szCs w:val="24"/>
        </w:rPr>
      </w:pPr>
      <w:r w:rsidRPr="00C442C3">
        <w:rPr>
          <w:sz w:val="24"/>
          <w:szCs w:val="24"/>
        </w:rPr>
        <w:t xml:space="preserve">Virkningen og sikkerheden af </w:t>
      </w:r>
      <w:proofErr w:type="spellStart"/>
      <w:r w:rsidRPr="00C442C3">
        <w:rPr>
          <w:sz w:val="24"/>
          <w:szCs w:val="24"/>
        </w:rPr>
        <w:t>Rayaldee</w:t>
      </w:r>
      <w:proofErr w:type="spellEnd"/>
      <w:r w:rsidRPr="00C442C3">
        <w:rPr>
          <w:sz w:val="24"/>
          <w:szCs w:val="24"/>
        </w:rPr>
        <w:t xml:space="preserve"> blev vurderet i to identiske randomiserede, placebokontrollerede, dobbeltblinde multicenterforsøg hos patienter med sekundær </w:t>
      </w:r>
      <w:proofErr w:type="spellStart"/>
      <w:r w:rsidRPr="00C442C3">
        <w:rPr>
          <w:sz w:val="24"/>
          <w:szCs w:val="24"/>
        </w:rPr>
        <w:t>hyperparathyroidisme</w:t>
      </w:r>
      <w:proofErr w:type="spellEnd"/>
      <w:r w:rsidRPr="00C442C3">
        <w:rPr>
          <w:sz w:val="24"/>
          <w:szCs w:val="24"/>
        </w:rPr>
        <w:t>, kronisk nyresygdom i stadie 3 eller 4 og serum-25</w:t>
      </w:r>
      <w:r w:rsidRPr="00C442C3">
        <w:rPr>
          <w:sz w:val="24"/>
          <w:szCs w:val="24"/>
        </w:rPr>
        <w:noBreakHyphen/>
        <w:t xml:space="preserve">hydroxyvitamin D-niveauer på mellem 25 og 75 nmol/l. Patienterne blev stratificeret efter stadiet af kronisk nyresygdom og randomiseret i et forhold på 2:1 for at modtage </w:t>
      </w:r>
      <w:proofErr w:type="spellStart"/>
      <w:r w:rsidRPr="00C442C3">
        <w:rPr>
          <w:sz w:val="24"/>
          <w:szCs w:val="24"/>
        </w:rPr>
        <w:t>Rayaldee</w:t>
      </w:r>
      <w:proofErr w:type="spellEnd"/>
      <w:r w:rsidRPr="00C442C3">
        <w:rPr>
          <w:sz w:val="24"/>
          <w:szCs w:val="24"/>
        </w:rPr>
        <w:t xml:space="preserve"> eller et matchende placebo ved sengetid over 26 uger. Dosen af </w:t>
      </w:r>
      <w:proofErr w:type="spellStart"/>
      <w:r w:rsidRPr="00C442C3">
        <w:rPr>
          <w:sz w:val="24"/>
          <w:szCs w:val="24"/>
        </w:rPr>
        <w:t>Rayaldee</w:t>
      </w:r>
      <w:proofErr w:type="spellEnd"/>
      <w:r w:rsidRPr="00C442C3">
        <w:rPr>
          <w:sz w:val="24"/>
          <w:szCs w:val="24"/>
        </w:rPr>
        <w:t xml:space="preserve"> var 30 mikrogram én gang dagligt i de første 12 uger og enten 30 eller 60 mikrogram én gang dagligt i de sidste 14 uger. Dosis blev øget til 60 mikrogram i starten af uge 13, hvis plasmaniveauet af intakt PTH var større end 7,4 pmol/l, serum-25</w:t>
      </w:r>
      <w:r w:rsidRPr="00C442C3">
        <w:rPr>
          <w:sz w:val="24"/>
          <w:szCs w:val="24"/>
        </w:rPr>
        <w:noBreakHyphen/>
        <w:t>hydroxyvitamin D-niveauet var mindre end 162 nmol/l, og serumcalciumniveauet var mindre end 2,4 mmol/l.</w:t>
      </w:r>
    </w:p>
    <w:p w:rsidR="00C442C3" w:rsidRPr="00C442C3" w:rsidRDefault="00C442C3" w:rsidP="00C442C3">
      <w:pPr>
        <w:ind w:left="851"/>
        <w:rPr>
          <w:sz w:val="24"/>
          <w:szCs w:val="24"/>
        </w:rPr>
      </w:pPr>
    </w:p>
    <w:p w:rsidR="00C442C3" w:rsidRPr="00C442C3" w:rsidRDefault="00C442C3" w:rsidP="00C442C3">
      <w:pPr>
        <w:ind w:left="851"/>
        <w:rPr>
          <w:sz w:val="24"/>
          <w:szCs w:val="24"/>
        </w:rPr>
      </w:pPr>
      <w:r w:rsidRPr="00C442C3">
        <w:rPr>
          <w:sz w:val="24"/>
          <w:szCs w:val="24"/>
        </w:rPr>
        <w:t xml:space="preserve">I alt 213 patienter blev randomiseret i det ene forsøg (72 modtog placebo og 141 modtog </w:t>
      </w:r>
      <w:proofErr w:type="spellStart"/>
      <w:r w:rsidRPr="00C442C3">
        <w:rPr>
          <w:sz w:val="24"/>
          <w:szCs w:val="24"/>
        </w:rPr>
        <w:t>Rayaldee</w:t>
      </w:r>
      <w:proofErr w:type="spellEnd"/>
      <w:r w:rsidRPr="00C442C3">
        <w:rPr>
          <w:sz w:val="24"/>
          <w:szCs w:val="24"/>
        </w:rPr>
        <w:t xml:space="preserve">), og 216 patienter blev randomiseret i det andet forsøg (72 modtog placebo og 144 modtog </w:t>
      </w:r>
      <w:proofErr w:type="spellStart"/>
      <w:r w:rsidRPr="00C442C3">
        <w:rPr>
          <w:sz w:val="24"/>
          <w:szCs w:val="24"/>
        </w:rPr>
        <w:t>Rayaldee</w:t>
      </w:r>
      <w:proofErr w:type="spellEnd"/>
      <w:r w:rsidRPr="00C442C3">
        <w:rPr>
          <w:sz w:val="24"/>
          <w:szCs w:val="24"/>
        </w:rPr>
        <w:t xml:space="preserve">). Forsøgspersonernes gennemsnitsalder var 66 år (i området 25–85), 50 % var mænd, 65 % hvide, 32 % afroamerikanske eller sorte og 3 % andre. Ved forsøgets start havde patienterne sekundær </w:t>
      </w:r>
      <w:proofErr w:type="spellStart"/>
      <w:r w:rsidRPr="00C442C3">
        <w:rPr>
          <w:sz w:val="24"/>
          <w:szCs w:val="24"/>
        </w:rPr>
        <w:t>hyperparathyreoidisme</w:t>
      </w:r>
      <w:proofErr w:type="spellEnd"/>
      <w:r w:rsidRPr="00C442C3">
        <w:rPr>
          <w:sz w:val="24"/>
          <w:szCs w:val="24"/>
        </w:rPr>
        <w:t xml:space="preserve"> og kronisk nyresygdom i stadie 3 (52 %) eller stadie 4 (48 %) uden </w:t>
      </w:r>
      <w:proofErr w:type="spellStart"/>
      <w:r w:rsidRPr="00C442C3">
        <w:rPr>
          <w:sz w:val="24"/>
          <w:szCs w:val="24"/>
        </w:rPr>
        <w:t>makroalbuminuri</w:t>
      </w:r>
      <w:proofErr w:type="spellEnd"/>
      <w:r w:rsidRPr="00C442C3">
        <w:rPr>
          <w:sz w:val="24"/>
          <w:szCs w:val="24"/>
        </w:rPr>
        <w:t xml:space="preserve">. De mest almindelige årsager til kronisk nyresygdom var diabetes og hypertension, og den gennemsnitlige estimerede </w:t>
      </w:r>
      <w:proofErr w:type="spellStart"/>
      <w:r w:rsidRPr="00C442C3">
        <w:rPr>
          <w:sz w:val="24"/>
          <w:szCs w:val="24"/>
        </w:rPr>
        <w:t>glomerulære</w:t>
      </w:r>
      <w:proofErr w:type="spellEnd"/>
      <w:r w:rsidRPr="00C442C3">
        <w:rPr>
          <w:sz w:val="24"/>
          <w:szCs w:val="24"/>
        </w:rPr>
        <w:t xml:space="preserve"> filtrationshastighed (GFR) var 31 ml/min/1,73 m². Det gennemsnitlige niveau af intakt PTH ved forsøgets start var 13,7 pmol/l for patienter med stadie 3-sygdom (n = 222) og 17,6 pmol/l for patienter med stadie 4-sygdom (n = 207). Gennemsnitligt serumcalcium var 2,3 mmol/l, gennemsnitligt serumfosfor var 1,2 mmol/l, og gennemsnitligt serum</w:t>
      </w:r>
      <w:r w:rsidRPr="00C442C3">
        <w:rPr>
          <w:sz w:val="24"/>
          <w:szCs w:val="24"/>
        </w:rPr>
        <w:noBreakHyphen/>
        <w:t>25</w:t>
      </w:r>
      <w:r w:rsidRPr="00C442C3">
        <w:rPr>
          <w:sz w:val="24"/>
          <w:szCs w:val="24"/>
        </w:rPr>
        <w:noBreakHyphen/>
        <w:t>hydroxyvitamin D var 50 nmol/l. Af de 429 randomiserede patienter gennemførte i alt 354 forsøgspersoner (83 %) disse 26</w:t>
      </w:r>
      <w:r w:rsidRPr="00C442C3">
        <w:rPr>
          <w:sz w:val="24"/>
          <w:szCs w:val="24"/>
        </w:rPr>
        <w:noBreakHyphen/>
        <w:t xml:space="preserve">uges forsøg, bestående af </w:t>
      </w:r>
      <w:r w:rsidRPr="00C442C3">
        <w:rPr>
          <w:sz w:val="24"/>
          <w:szCs w:val="24"/>
        </w:rPr>
        <w:lastRenderedPageBreak/>
        <w:t>182 forsøgspersoner (82 %) med CKD i stadie 3 og 172 forsøgspersoner (83 %) med CKD i stadie 4, og 298 (69 %) blev indskrevet i det efterfølgende forlængelsesstudie.</w:t>
      </w:r>
    </w:p>
    <w:p w:rsidR="00C442C3" w:rsidRPr="00C442C3" w:rsidRDefault="00C442C3" w:rsidP="00C442C3">
      <w:pPr>
        <w:ind w:left="851"/>
        <w:rPr>
          <w:sz w:val="24"/>
          <w:szCs w:val="24"/>
        </w:rPr>
      </w:pPr>
      <w:r w:rsidRPr="00C442C3">
        <w:rPr>
          <w:sz w:val="24"/>
          <w:szCs w:val="24"/>
        </w:rPr>
        <w:t xml:space="preserve">Den primære analyse sammenlignede andelen af forsøgspersoner, der oplevede mindst en 30 % reduktion i intakt PTH i plasma fra forsøgets start til slutning af forsøget (gennemsnit af uge 20, 22, 24 og 26). En større andel af de patienter, der blev randomiseret til </w:t>
      </w:r>
      <w:proofErr w:type="spellStart"/>
      <w:r w:rsidRPr="00C442C3">
        <w:rPr>
          <w:sz w:val="24"/>
          <w:szCs w:val="24"/>
        </w:rPr>
        <w:t>Rayaldee</w:t>
      </w:r>
      <w:proofErr w:type="spellEnd"/>
      <w:r w:rsidRPr="00C442C3">
        <w:rPr>
          <w:sz w:val="24"/>
          <w:szCs w:val="24"/>
        </w:rPr>
        <w:t>, oplevede mindst en 30 % reduktion i intakt PTH i plasma fra forsøgets start sammenlignet med placebo i begge forsøg [33 % mod 8 % i det første forsøg (P &lt; 0,001) og 34 % mod 7 % i andet forsøg (P &lt; 0,001)].</w:t>
      </w:r>
    </w:p>
    <w:p w:rsidR="00C442C3" w:rsidRPr="00C442C3" w:rsidRDefault="00C442C3" w:rsidP="00C442C3">
      <w:pPr>
        <w:ind w:left="851"/>
        <w:rPr>
          <w:sz w:val="24"/>
          <w:szCs w:val="24"/>
        </w:rPr>
      </w:pPr>
    </w:p>
    <w:p w:rsidR="00C442C3" w:rsidRPr="00C442C3" w:rsidRDefault="00C442C3" w:rsidP="00C442C3">
      <w:pPr>
        <w:ind w:left="851"/>
        <w:rPr>
          <w:sz w:val="24"/>
          <w:szCs w:val="24"/>
        </w:rPr>
      </w:pPr>
      <w:r w:rsidRPr="00C442C3">
        <w:rPr>
          <w:sz w:val="24"/>
          <w:szCs w:val="24"/>
        </w:rPr>
        <w:t xml:space="preserve">En beskrivelse af gennemsnitlig (SE) procentvis ændring i intakt PTH i plasma fra studiets start på tværs af studiebesøg i de to forsøg kombineret er vist i </w:t>
      </w:r>
      <w:r w:rsidRPr="00C442C3">
        <w:rPr>
          <w:rStyle w:val="Strk"/>
          <w:b w:val="0"/>
          <w:bCs w:val="0"/>
          <w:sz w:val="24"/>
          <w:szCs w:val="24"/>
        </w:rPr>
        <w:t>figur 1.</w:t>
      </w:r>
      <w:r w:rsidRPr="00C442C3">
        <w:rPr>
          <w:sz w:val="24"/>
          <w:szCs w:val="24"/>
        </w:rPr>
        <w:t xml:space="preserve"> Serum-25</w:t>
      </w:r>
      <w:r w:rsidRPr="00C442C3">
        <w:rPr>
          <w:sz w:val="24"/>
          <w:szCs w:val="24"/>
        </w:rPr>
        <w:noBreakHyphen/>
        <w:t xml:space="preserve">hydroxyvitamin D-niveauet steg til mindst 75 nmol/l hos henholdsvis 80 % og 83 % af patienterne behandlet med </w:t>
      </w:r>
      <w:proofErr w:type="spellStart"/>
      <w:r w:rsidRPr="00C442C3">
        <w:rPr>
          <w:sz w:val="24"/>
          <w:szCs w:val="24"/>
        </w:rPr>
        <w:t>Rayaldee</w:t>
      </w:r>
      <w:proofErr w:type="spellEnd"/>
      <w:r w:rsidRPr="00C442C3">
        <w:rPr>
          <w:sz w:val="24"/>
          <w:szCs w:val="24"/>
        </w:rPr>
        <w:t xml:space="preserve"> mod 3 % og 7 % af patienterne behandlet med placebo (P &lt; 0,001) i de to forsøg. Gennemsnitlige 25</w:t>
      </w:r>
      <w:r w:rsidRPr="00C442C3">
        <w:rPr>
          <w:sz w:val="24"/>
          <w:szCs w:val="24"/>
        </w:rPr>
        <w:noBreakHyphen/>
        <w:t xml:space="preserve">hydroxyvitamin D-niveauer ved </w:t>
      </w:r>
      <w:proofErr w:type="spellStart"/>
      <w:r w:rsidRPr="00C442C3">
        <w:rPr>
          <w:sz w:val="24"/>
          <w:szCs w:val="24"/>
        </w:rPr>
        <w:t>steady</w:t>
      </w:r>
      <w:proofErr w:type="spellEnd"/>
      <w:r w:rsidRPr="00C442C3">
        <w:rPr>
          <w:sz w:val="24"/>
          <w:szCs w:val="24"/>
        </w:rPr>
        <w:t xml:space="preserve"> </w:t>
      </w:r>
      <w:proofErr w:type="spellStart"/>
      <w:r w:rsidRPr="00C442C3">
        <w:rPr>
          <w:sz w:val="24"/>
          <w:szCs w:val="24"/>
        </w:rPr>
        <w:t>state</w:t>
      </w:r>
      <w:proofErr w:type="spellEnd"/>
      <w:r w:rsidRPr="00C442C3">
        <w:rPr>
          <w:sz w:val="24"/>
          <w:szCs w:val="24"/>
        </w:rPr>
        <w:t xml:space="preserve"> var 125 og 140 nmol/l for forsøgspersoner, der modtog 30 mikrogram dagligt, og 167 og 172 nmol/l for forsøgspersoner, der modtog 60 mikrogram dagligt, i henholdsvis første og andet forsøg.</w:t>
      </w:r>
    </w:p>
    <w:p w:rsidR="00C442C3" w:rsidRDefault="00C442C3" w:rsidP="00C442C3"/>
    <w:p w:rsidR="00C442C3" w:rsidRDefault="00C442C3" w:rsidP="00C442C3">
      <w:pPr>
        <w:pStyle w:val="TableTitle"/>
      </w:pPr>
      <w:r>
        <w:t>Figur 1.</w:t>
      </w:r>
      <w:r>
        <w:tab/>
        <w:t>Gennemsnitlig (±SE) procentvis ændring fra forsøgets start i intakt PTH i plasma i pr. protokol-populationen (samlede data fra to fase 3-forsøg)</w:t>
      </w:r>
    </w:p>
    <w:p w:rsidR="00C442C3" w:rsidRDefault="00C442C3" w:rsidP="00C442C3">
      <w:pPr>
        <w:pStyle w:val="NormalKeep"/>
      </w:pPr>
    </w:p>
    <w:tbl>
      <w:tblPr>
        <w:tblW w:w="0" w:type="auto"/>
        <w:tblLayout w:type="fixed"/>
        <w:tblCellMar>
          <w:left w:w="0" w:type="dxa"/>
          <w:right w:w="0" w:type="dxa"/>
        </w:tblCellMar>
        <w:tblLook w:val="04A0" w:firstRow="1" w:lastRow="0" w:firstColumn="1" w:lastColumn="0" w:noHBand="0" w:noVBand="1"/>
      </w:tblPr>
      <w:tblGrid>
        <w:gridCol w:w="221"/>
        <w:gridCol w:w="4549"/>
      </w:tblGrid>
      <w:tr w:rsidR="00C442C3" w:rsidTr="00C442C3">
        <w:trPr>
          <w:cantSplit/>
          <w:trHeight w:val="1134"/>
        </w:trPr>
        <w:tc>
          <w:tcPr>
            <w:tcW w:w="221" w:type="dxa"/>
            <w:textDirection w:val="btLr"/>
            <w:vAlign w:val="center"/>
            <w:hideMark/>
          </w:tcPr>
          <w:p w:rsidR="00C442C3" w:rsidRDefault="00C442C3">
            <w:pPr>
              <w:pStyle w:val="Call-Out"/>
              <w:rPr>
                <w:rFonts w:ascii="Times New Roman" w:hAnsi="Times New Roman" w:cs="Times New Roman"/>
              </w:rPr>
            </w:pPr>
            <w:r>
              <w:rPr>
                <w:rFonts w:ascii="Times New Roman" w:hAnsi="Times New Roman" w:cs="Times New Roman"/>
              </w:rPr>
              <w:t>Procentvis ændring fra forsøgets start</w:t>
            </w:r>
          </w:p>
        </w:tc>
        <w:tc>
          <w:tcPr>
            <w:tcW w:w="4549" w:type="dxa"/>
            <w:vAlign w:val="center"/>
            <w:hideMark/>
          </w:tcPr>
          <w:p w:rsidR="00C442C3" w:rsidRDefault="00C442C3">
            <w:pPr>
              <w:pStyle w:val="Call-Out"/>
              <w:rPr>
                <w:rFonts w:ascii="Times New Roman" w:hAnsi="Times New Roman" w:cs="Times New Roman"/>
              </w:rPr>
            </w:pPr>
            <w:r>
              <w:rPr>
                <w:noProof/>
              </w:rPr>
              <mc:AlternateContent>
                <mc:Choice Requires="wpc">
                  <w:drawing>
                    <wp:inline distT="0" distB="0" distL="0" distR="0">
                      <wp:extent cx="2769870" cy="2733675"/>
                      <wp:effectExtent l="0" t="0" r="1905" b="0"/>
                      <wp:docPr id="13" name="Lærred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pic:pic xmlns:pic="http://schemas.openxmlformats.org/drawingml/2006/picture">
                              <pic:nvPicPr>
                                <pic:cNvPr id="1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269" cy="2733675"/>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5"/>
                              <wps:cNvSpPr txBox="1">
                                <a:spLocks noChangeArrowheads="1"/>
                              </wps:cNvSpPr>
                              <wps:spPr bwMode="auto">
                                <a:xfrm>
                                  <a:off x="1423036" y="43101"/>
                                  <a:ext cx="47688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2C3" w:rsidRDefault="00C442C3" w:rsidP="00C442C3">
                                    <w:pPr>
                                      <w:pStyle w:val="Call-OutLeft"/>
                                    </w:pPr>
                                    <w:r>
                                      <w:t>Placebo</w:t>
                                    </w:r>
                                  </w:p>
                                </w:txbxContent>
                              </wps:txbx>
                              <wps:bodyPr rot="0" vert="horz" wrap="square" lIns="0" tIns="0" rIns="0" bIns="0" anchor="t" anchorCtr="0" upright="1">
                                <a:spAutoFit/>
                              </wps:bodyPr>
                            </wps:wsp>
                            <wps:wsp>
                              <wps:cNvPr id="12" name="Text Box 5"/>
                              <wps:cNvSpPr txBox="1">
                                <a:spLocks noChangeArrowheads="1"/>
                              </wps:cNvSpPr>
                              <wps:spPr bwMode="auto">
                                <a:xfrm>
                                  <a:off x="2233956" y="43101"/>
                                  <a:ext cx="53467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42C3" w:rsidRDefault="00C442C3" w:rsidP="00C442C3">
                                    <w:pPr>
                                      <w:pStyle w:val="Call-OutLeft"/>
                                    </w:pPr>
                                    <w:r>
                                      <w:t>Rayaldee</w:t>
                                    </w:r>
                                  </w:p>
                                </w:txbxContent>
                              </wps:txbx>
                              <wps:bodyPr rot="0" vert="horz" wrap="square" lIns="0" tIns="0" rIns="0" bIns="0" anchor="t" anchorCtr="0" upright="1">
                                <a:spAutoFit/>
                              </wps:bodyPr>
                            </wps:wsp>
                          </wpc:wpc>
                        </a:graphicData>
                      </a:graphic>
                    </wp:inline>
                  </w:drawing>
                </mc:Choice>
                <mc:Fallback>
                  <w:pict>
                    <v:group id="Lærred 13" o:spid="_x0000_s1026" editas="canvas" style="width:218.1pt;height:215.25pt;mso-position-horizontal-relative:char;mso-position-vertical-relative:line" coordsize="27698,27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698;height:27336;visibility:visible;mso-wrap-style:square">
                        <v:fill o:detectmouseclick="t"/>
                        <v:path o:connecttype="none"/>
                      </v:shape>
                      <v:shape id="Picture 4" o:spid="_x0000_s1028" type="#_x0000_t75" style="position:absolute;width:27342;height:27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5" o:spid="_x0000_s1029" type="#_x0000_t202" style="position:absolute;left:14230;top:431;width:4769;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" filled="f" stroked="f">
                        <v:textbox style="mso-fit-shape-to-text:t" inset="0,0,0,0">
                          <w:txbxContent>
                            <w:p w:rsidR="00C442C3" w:rsidRDefault="00C442C3" w:rsidP="00C442C3">
                              <w:pPr>
                                <w:pStyle w:val="Call-OutLeft"/>
                              </w:pPr>
                              <w:r>
                                <w:t>Placebo</w:t>
                              </w:r>
                            </w:p>
                          </w:txbxContent>
                        </v:textbox>
                      </v:shape>
                      <v:shape id="Text Box 5" o:spid="_x0000_s1030" type="#_x0000_t202" style="position:absolute;left:22339;top:431;width:5347;height:1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" filled="f" stroked="f">
                        <v:textbox style="mso-fit-shape-to-text:t" inset="0,0,0,0">
                          <w:txbxContent>
                            <w:p w:rsidR="00C442C3" w:rsidRDefault="00C442C3" w:rsidP="00C442C3">
                              <w:pPr>
                                <w:pStyle w:val="Call-OutLeft"/>
                              </w:pPr>
                              <w:r>
                                <w:t>Rayaldee</w:t>
                              </w:r>
                            </w:p>
                          </w:txbxContent>
                        </v:textbox>
                      </v:shape>
                      <w10:anchorlock/>
                    </v:group>
                  </w:pict>
                </mc:Fallback>
              </mc:AlternateContent>
            </w:r>
          </w:p>
        </w:tc>
      </w:tr>
      <w:tr w:rsidR="00C442C3" w:rsidTr="00C442C3">
        <w:trPr>
          <w:cantSplit/>
        </w:trPr>
        <w:tc>
          <w:tcPr>
            <w:tcW w:w="221" w:type="dxa"/>
            <w:vAlign w:val="center"/>
          </w:tcPr>
          <w:p w:rsidR="00C442C3" w:rsidRDefault="00C442C3">
            <w:pPr>
              <w:pStyle w:val="Call-Out"/>
              <w:rPr>
                <w:rFonts w:ascii="Times New Roman" w:hAnsi="Times New Roman" w:cs="Times New Roman"/>
              </w:rPr>
            </w:pPr>
          </w:p>
        </w:tc>
        <w:tc>
          <w:tcPr>
            <w:tcW w:w="4549" w:type="dxa"/>
            <w:vAlign w:val="center"/>
            <w:hideMark/>
          </w:tcPr>
          <w:p w:rsidR="00C442C3" w:rsidRDefault="00C442C3">
            <w:pPr>
              <w:pStyle w:val="Call-Out"/>
              <w:rPr>
                <w:rFonts w:ascii="Times New Roman" w:hAnsi="Times New Roman" w:cs="Times New Roman"/>
              </w:rPr>
            </w:pPr>
            <w:r>
              <w:rPr>
                <w:rFonts w:ascii="Times New Roman" w:hAnsi="Times New Roman" w:cs="Times New Roman"/>
              </w:rPr>
              <w:t>Ugers behandling</w:t>
            </w:r>
          </w:p>
        </w:tc>
      </w:tr>
    </w:tbl>
    <w:p w:rsidR="00C442C3" w:rsidRDefault="00C442C3" w:rsidP="00C442C3">
      <w:pPr>
        <w:rPr>
          <w:sz w:val="22"/>
          <w:szCs w:val="22"/>
          <w:lang w:bidi="da-DK"/>
        </w:rPr>
      </w:pPr>
    </w:p>
    <w:p w:rsidR="00C442C3" w:rsidRPr="00C442C3" w:rsidRDefault="00C442C3" w:rsidP="00C442C3">
      <w:pPr>
        <w:ind w:left="851"/>
        <w:rPr>
          <w:sz w:val="24"/>
          <w:szCs w:val="24"/>
        </w:rPr>
      </w:pPr>
      <w:r w:rsidRPr="00C442C3">
        <w:rPr>
          <w:sz w:val="24"/>
          <w:szCs w:val="24"/>
        </w:rPr>
        <w:t xml:space="preserve">Pr. protokol (PP)-populationen bestod af alle patienter med mindst 2 intakte </w:t>
      </w:r>
      <w:proofErr w:type="spellStart"/>
      <w:r w:rsidRPr="00C442C3">
        <w:rPr>
          <w:sz w:val="24"/>
          <w:szCs w:val="24"/>
        </w:rPr>
        <w:t>PTH-værdier</w:t>
      </w:r>
      <w:proofErr w:type="spellEnd"/>
      <w:r w:rsidRPr="00C442C3">
        <w:rPr>
          <w:sz w:val="24"/>
          <w:szCs w:val="24"/>
        </w:rPr>
        <w:t xml:space="preserve"> i de beregnede baseline- og EAP (effektvurderingsperiode)-værdier, som ikke havde en større protokolafvigelse i studiets behandlingsperiode. PP-populationen omfattede 83 % af de randomiserede forsøgspersoner.</w:t>
      </w:r>
    </w:p>
    <w:p w:rsidR="00C442C3" w:rsidRPr="00C442C3" w:rsidRDefault="00C442C3" w:rsidP="00C442C3">
      <w:pPr>
        <w:tabs>
          <w:tab w:val="left" w:pos="3585"/>
        </w:tabs>
        <w:ind w:left="851"/>
        <w:rPr>
          <w:sz w:val="24"/>
          <w:szCs w:val="24"/>
        </w:rPr>
      </w:pPr>
    </w:p>
    <w:p w:rsidR="00C442C3" w:rsidRPr="00C442C3" w:rsidRDefault="00C442C3" w:rsidP="00C442C3">
      <w:pPr>
        <w:pStyle w:val="HeadingUnderlined"/>
        <w:ind w:left="851"/>
        <w:rPr>
          <w:sz w:val="24"/>
          <w:szCs w:val="24"/>
        </w:rPr>
      </w:pPr>
      <w:r w:rsidRPr="00C442C3">
        <w:rPr>
          <w:sz w:val="24"/>
          <w:szCs w:val="24"/>
        </w:rPr>
        <w:t>Forøgelse af serumcalcium</w:t>
      </w:r>
    </w:p>
    <w:p w:rsidR="00C442C3" w:rsidRPr="00C442C3" w:rsidRDefault="00C442C3" w:rsidP="00C442C3">
      <w:pPr>
        <w:ind w:left="851"/>
        <w:rPr>
          <w:sz w:val="24"/>
          <w:szCs w:val="24"/>
        </w:rPr>
      </w:pPr>
      <w:r w:rsidRPr="00C442C3">
        <w:rPr>
          <w:sz w:val="24"/>
          <w:szCs w:val="24"/>
        </w:rPr>
        <w:t xml:space="preserve">Patienter randomiseret til </w:t>
      </w:r>
      <w:proofErr w:type="spellStart"/>
      <w:r w:rsidRPr="00C442C3">
        <w:rPr>
          <w:sz w:val="24"/>
          <w:szCs w:val="24"/>
        </w:rPr>
        <w:t>Rayaldee</w:t>
      </w:r>
      <w:proofErr w:type="spellEnd"/>
      <w:r w:rsidRPr="00C442C3">
        <w:rPr>
          <w:sz w:val="24"/>
          <w:szCs w:val="24"/>
        </w:rPr>
        <w:t xml:space="preserve"> oplevede en større gennemsnitlig (SE) forøgelse af serumcalcium (P &lt; 0,001) end patienter, der blev randomiseret til placebo [dvs. 0,05 (0,05) mmol/l med </w:t>
      </w:r>
      <w:proofErr w:type="spellStart"/>
      <w:r w:rsidRPr="00C442C3">
        <w:rPr>
          <w:sz w:val="24"/>
          <w:szCs w:val="24"/>
        </w:rPr>
        <w:t>Rayaldee</w:t>
      </w:r>
      <w:proofErr w:type="spellEnd"/>
      <w:r w:rsidRPr="00C442C3">
        <w:rPr>
          <w:sz w:val="24"/>
          <w:szCs w:val="24"/>
        </w:rPr>
        <w:t xml:space="preserve"> mod 0,025 (0,0075) mmol/l med placebo fra forsøgets start til dets slutning]. Seks forsøgspersoner (2 %) i </w:t>
      </w:r>
      <w:proofErr w:type="spellStart"/>
      <w:r w:rsidRPr="00C442C3">
        <w:rPr>
          <w:sz w:val="24"/>
          <w:szCs w:val="24"/>
        </w:rPr>
        <w:t>Rayaldee</w:t>
      </w:r>
      <w:proofErr w:type="spellEnd"/>
      <w:r w:rsidRPr="00C442C3">
        <w:rPr>
          <w:sz w:val="24"/>
          <w:szCs w:val="24"/>
        </w:rPr>
        <w:t xml:space="preserve">-behandlingsgruppen og ingen forsøgspersoner (0 %) i placebogruppen have brug for dosisreduktion for protokoldefineret </w:t>
      </w:r>
      <w:proofErr w:type="spellStart"/>
      <w:r w:rsidRPr="00C442C3">
        <w:rPr>
          <w:sz w:val="24"/>
          <w:szCs w:val="24"/>
        </w:rPr>
        <w:t>hyperkalcæmi</w:t>
      </w:r>
      <w:proofErr w:type="spellEnd"/>
      <w:r w:rsidRPr="00C442C3">
        <w:rPr>
          <w:sz w:val="24"/>
          <w:szCs w:val="24"/>
        </w:rPr>
        <w:t xml:space="preserve"> (to på hinanden følgende serumcalciumværdier på over 2,57 mmol/l). I alt 4,2 % af de </w:t>
      </w:r>
      <w:proofErr w:type="spellStart"/>
      <w:r w:rsidRPr="00C442C3">
        <w:rPr>
          <w:sz w:val="24"/>
          <w:szCs w:val="24"/>
        </w:rPr>
        <w:t>Rayaldee</w:t>
      </w:r>
      <w:proofErr w:type="spellEnd"/>
      <w:r w:rsidRPr="00C442C3">
        <w:rPr>
          <w:sz w:val="24"/>
          <w:szCs w:val="24"/>
        </w:rPr>
        <w:t xml:space="preserve">-behandlede forsøgspersoner og 2,1 % af de placebo-behandlede </w:t>
      </w:r>
      <w:r w:rsidRPr="00C442C3">
        <w:rPr>
          <w:sz w:val="24"/>
          <w:szCs w:val="24"/>
        </w:rPr>
        <w:lastRenderedPageBreak/>
        <w:t>forsøgspersoner oplevede mindst én stigning i serumcalcium over den øvre normalgrænse (2,62 mmol/l).</w:t>
      </w:r>
    </w:p>
    <w:p w:rsidR="00C442C3" w:rsidRPr="00C442C3" w:rsidRDefault="00C442C3" w:rsidP="00C442C3">
      <w:pPr>
        <w:ind w:left="851"/>
        <w:rPr>
          <w:sz w:val="24"/>
          <w:szCs w:val="24"/>
        </w:rPr>
      </w:pPr>
    </w:p>
    <w:p w:rsidR="00C442C3" w:rsidRPr="00C442C3" w:rsidRDefault="00C442C3" w:rsidP="00C442C3">
      <w:pPr>
        <w:pStyle w:val="HeadingUnderlined"/>
        <w:ind w:left="851"/>
        <w:rPr>
          <w:sz w:val="24"/>
          <w:szCs w:val="24"/>
        </w:rPr>
      </w:pPr>
      <w:r w:rsidRPr="00C442C3">
        <w:rPr>
          <w:sz w:val="24"/>
          <w:szCs w:val="24"/>
        </w:rPr>
        <w:t>Forøgelse af serumfosfor</w:t>
      </w:r>
    </w:p>
    <w:p w:rsidR="00C442C3" w:rsidRPr="00C442C3" w:rsidRDefault="00C442C3" w:rsidP="00C442C3">
      <w:pPr>
        <w:ind w:left="851"/>
        <w:rPr>
          <w:sz w:val="24"/>
          <w:szCs w:val="24"/>
        </w:rPr>
      </w:pPr>
      <w:r w:rsidRPr="00C442C3">
        <w:rPr>
          <w:sz w:val="24"/>
          <w:szCs w:val="24"/>
        </w:rPr>
        <w:t xml:space="preserve">Patienter randomiseret til </w:t>
      </w:r>
      <w:proofErr w:type="spellStart"/>
      <w:r w:rsidRPr="00C442C3">
        <w:rPr>
          <w:sz w:val="24"/>
          <w:szCs w:val="24"/>
        </w:rPr>
        <w:t>Rayaldee</w:t>
      </w:r>
      <w:proofErr w:type="spellEnd"/>
      <w:r w:rsidRPr="00C442C3">
        <w:rPr>
          <w:sz w:val="24"/>
          <w:szCs w:val="24"/>
        </w:rPr>
        <w:t xml:space="preserve"> oplevede en større gennemsnitlig (SE) forøgelse af serumfosfor end patienter, der blev randomiseret til placebo [dvs. 0,065 (0,001) mmol/l med </w:t>
      </w:r>
      <w:proofErr w:type="spellStart"/>
      <w:r w:rsidRPr="00C442C3">
        <w:rPr>
          <w:sz w:val="24"/>
          <w:szCs w:val="24"/>
        </w:rPr>
        <w:t>Rayaldee</w:t>
      </w:r>
      <w:proofErr w:type="spellEnd"/>
      <w:r w:rsidRPr="00C442C3">
        <w:rPr>
          <w:sz w:val="24"/>
          <w:szCs w:val="24"/>
        </w:rPr>
        <w:t xml:space="preserve"> mod 0,032 (0,013) mmol/l med placebo fra forsøgets start til dets slutning]. Én forsøgsperson (0,4 %) i </w:t>
      </w:r>
      <w:proofErr w:type="spellStart"/>
      <w:r w:rsidRPr="00C442C3">
        <w:rPr>
          <w:sz w:val="24"/>
          <w:szCs w:val="24"/>
        </w:rPr>
        <w:t>Rayaldee</w:t>
      </w:r>
      <w:proofErr w:type="spellEnd"/>
      <w:r w:rsidRPr="00C442C3">
        <w:rPr>
          <w:sz w:val="24"/>
          <w:szCs w:val="24"/>
        </w:rPr>
        <w:t xml:space="preserve">-behandlingsgruppen oplevede protokoldefineret </w:t>
      </w:r>
      <w:proofErr w:type="spellStart"/>
      <w:r w:rsidRPr="00C442C3">
        <w:rPr>
          <w:sz w:val="24"/>
          <w:szCs w:val="24"/>
        </w:rPr>
        <w:t>hyperfosfatæmi</w:t>
      </w:r>
      <w:proofErr w:type="spellEnd"/>
      <w:r w:rsidRPr="00C442C3">
        <w:rPr>
          <w:sz w:val="24"/>
          <w:szCs w:val="24"/>
        </w:rPr>
        <w:t xml:space="preserve"> (to på hinanden følgende serumfosforværdier &gt; 1,78 mmol/l anset for at være relateret til forsøgsmedicinen) sammenlignet med ingen forsøgspersoner i placebogruppen. I alt 45 % af de </w:t>
      </w:r>
      <w:proofErr w:type="spellStart"/>
      <w:r w:rsidRPr="00C442C3">
        <w:rPr>
          <w:sz w:val="24"/>
          <w:szCs w:val="24"/>
        </w:rPr>
        <w:t>Rayaldee</w:t>
      </w:r>
      <w:proofErr w:type="spellEnd"/>
      <w:r w:rsidRPr="00C442C3">
        <w:rPr>
          <w:sz w:val="24"/>
          <w:szCs w:val="24"/>
        </w:rPr>
        <w:t>-behandlede forsøgspersoner og 44 % af de placebo-behandlede forsøgspersoner oplevede mindst én stigning i serumfosfor over den øvre normalgrænse (1,45 mmol/l).</w:t>
      </w:r>
    </w:p>
    <w:p w:rsidR="00C442C3" w:rsidRPr="00C442C3" w:rsidRDefault="00C442C3" w:rsidP="00C442C3">
      <w:pPr>
        <w:ind w:left="851"/>
        <w:rPr>
          <w:sz w:val="24"/>
          <w:szCs w:val="24"/>
        </w:rPr>
      </w:pPr>
    </w:p>
    <w:p w:rsidR="00C442C3" w:rsidRPr="00C442C3" w:rsidRDefault="00C442C3" w:rsidP="00C442C3">
      <w:pPr>
        <w:pStyle w:val="HeadingUnderlined"/>
        <w:ind w:left="851"/>
        <w:rPr>
          <w:sz w:val="24"/>
          <w:szCs w:val="24"/>
        </w:rPr>
      </w:pPr>
      <w:r w:rsidRPr="00C442C3">
        <w:rPr>
          <w:sz w:val="24"/>
          <w:szCs w:val="24"/>
        </w:rPr>
        <w:t>Pædiatrisk population</w:t>
      </w:r>
    </w:p>
    <w:p w:rsidR="00C442C3" w:rsidRPr="00C442C3" w:rsidRDefault="00C442C3" w:rsidP="00C442C3">
      <w:pPr>
        <w:ind w:left="851"/>
        <w:rPr>
          <w:sz w:val="24"/>
          <w:szCs w:val="24"/>
        </w:rPr>
      </w:pPr>
      <w:r w:rsidRPr="00C442C3">
        <w:rPr>
          <w:sz w:val="24"/>
          <w:szCs w:val="24"/>
        </w:rPr>
        <w:t>Der foreligger ingen data.</w:t>
      </w:r>
    </w:p>
    <w:p w:rsidR="009260DE" w:rsidRPr="00C442C3" w:rsidRDefault="009260DE" w:rsidP="00C442C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CC39BD" w:rsidRPr="00CC39BD" w:rsidRDefault="00CC39BD" w:rsidP="00CC39BD">
      <w:pPr>
        <w:tabs>
          <w:tab w:val="left" w:pos="851"/>
        </w:tabs>
        <w:ind w:left="851"/>
        <w:rPr>
          <w:sz w:val="24"/>
          <w:szCs w:val="24"/>
          <w:lang w:bidi="da-DK"/>
        </w:rPr>
      </w:pPr>
    </w:p>
    <w:p w:rsidR="00CC39BD" w:rsidRPr="00CC39BD" w:rsidRDefault="00CC39BD" w:rsidP="00CC39BD">
      <w:pPr>
        <w:tabs>
          <w:tab w:val="left" w:pos="851"/>
        </w:tabs>
        <w:ind w:left="851"/>
        <w:rPr>
          <w:sz w:val="24"/>
          <w:szCs w:val="24"/>
          <w:u w:val="single"/>
          <w:lang w:bidi="da-DK"/>
        </w:rPr>
      </w:pPr>
      <w:r w:rsidRPr="00CC39BD">
        <w:rPr>
          <w:sz w:val="24"/>
          <w:szCs w:val="24"/>
          <w:u w:val="single"/>
          <w:lang w:bidi="da-DK"/>
        </w:rPr>
        <w:t>Absorption</w:t>
      </w:r>
    </w:p>
    <w:p w:rsidR="00CC39BD" w:rsidRPr="00CC39BD" w:rsidRDefault="00CC39BD" w:rsidP="00CC39BD">
      <w:pPr>
        <w:tabs>
          <w:tab w:val="left" w:pos="851"/>
        </w:tabs>
        <w:ind w:left="851"/>
        <w:rPr>
          <w:sz w:val="24"/>
          <w:szCs w:val="24"/>
          <w:lang w:bidi="da-DK"/>
        </w:rPr>
      </w:pPr>
      <w:proofErr w:type="spellStart"/>
      <w:r w:rsidRPr="00CC39BD">
        <w:rPr>
          <w:sz w:val="24"/>
          <w:szCs w:val="24"/>
          <w:lang w:bidi="da-DK"/>
        </w:rPr>
        <w:t>Calcifediol</w:t>
      </w:r>
      <w:proofErr w:type="spellEnd"/>
      <w:r w:rsidRPr="00CC39BD">
        <w:rPr>
          <w:sz w:val="24"/>
          <w:szCs w:val="24"/>
          <w:lang w:bidi="da-DK"/>
        </w:rPr>
        <w:t xml:space="preserve"> absorberes let i tarmen. Dets biotilgængelighed fra </w:t>
      </w:r>
      <w:proofErr w:type="spellStart"/>
      <w:r w:rsidRPr="00CC39BD">
        <w:rPr>
          <w:sz w:val="24"/>
          <w:szCs w:val="24"/>
          <w:lang w:bidi="da-DK"/>
        </w:rPr>
        <w:t>Rayaldee</w:t>
      </w:r>
      <w:proofErr w:type="spellEnd"/>
      <w:r w:rsidRPr="00CC39BD">
        <w:rPr>
          <w:sz w:val="24"/>
          <w:szCs w:val="24"/>
          <w:lang w:bidi="da-DK"/>
        </w:rPr>
        <w:t>-formuleringen er ca. 25 %, og de maksimale plasmakoncentrationer nås efter ca. 11 til 32 timer afhængigt af, om administration sker med et måltid med højt fedtindhold og højt kalorieindhold eller i fastende tilstand.</w:t>
      </w:r>
    </w:p>
    <w:p w:rsidR="00CC39BD" w:rsidRPr="00CC39BD" w:rsidRDefault="00CC39BD" w:rsidP="00CC39BD">
      <w:pPr>
        <w:tabs>
          <w:tab w:val="left" w:pos="851"/>
        </w:tabs>
        <w:ind w:left="851"/>
        <w:rPr>
          <w:sz w:val="24"/>
          <w:szCs w:val="24"/>
          <w:lang w:bidi="da-DK"/>
        </w:rPr>
      </w:pPr>
    </w:p>
    <w:p w:rsidR="00CC39BD" w:rsidRPr="00CC39BD" w:rsidRDefault="00CC39BD" w:rsidP="00CC39BD">
      <w:pPr>
        <w:tabs>
          <w:tab w:val="left" w:pos="851"/>
        </w:tabs>
        <w:ind w:left="851"/>
        <w:rPr>
          <w:sz w:val="24"/>
          <w:szCs w:val="24"/>
          <w:lang w:bidi="da-DK"/>
        </w:rPr>
      </w:pPr>
      <w:r w:rsidRPr="00CC39BD">
        <w:rPr>
          <w:sz w:val="24"/>
          <w:szCs w:val="24"/>
          <w:lang w:bidi="da-DK"/>
        </w:rPr>
        <w:t xml:space="preserve">Der er ikke udført noget studie af fødevarers virkning med </w:t>
      </w:r>
      <w:proofErr w:type="spellStart"/>
      <w:r w:rsidRPr="00CC39BD">
        <w:rPr>
          <w:sz w:val="24"/>
          <w:szCs w:val="24"/>
          <w:lang w:bidi="da-DK"/>
        </w:rPr>
        <w:t>Rayaldee</w:t>
      </w:r>
      <w:proofErr w:type="spellEnd"/>
      <w:r w:rsidRPr="00CC39BD">
        <w:rPr>
          <w:sz w:val="24"/>
          <w:szCs w:val="24"/>
          <w:lang w:bidi="da-DK"/>
        </w:rPr>
        <w:t>-doser på 30 mikrogram og 60 mikrogram. Et studie af fødevarers virkning med en supraterapeutisk dosis på 450 mikrogram hos raske forsøgspersoner viste imidlertid en ca. 5</w:t>
      </w:r>
      <w:r w:rsidRPr="00CC39BD">
        <w:rPr>
          <w:sz w:val="24"/>
          <w:szCs w:val="24"/>
          <w:lang w:bidi="da-DK"/>
        </w:rPr>
        <w:noBreakHyphen/>
        <w:t>foldig stigning i maksimal serum-</w:t>
      </w:r>
      <w:proofErr w:type="spellStart"/>
      <w:r w:rsidRPr="00CC39BD">
        <w:rPr>
          <w:sz w:val="24"/>
          <w:szCs w:val="24"/>
          <w:lang w:bidi="da-DK"/>
        </w:rPr>
        <w:t>calcifediolkoncentration</w:t>
      </w:r>
      <w:proofErr w:type="spellEnd"/>
      <w:r w:rsidRPr="00CC39BD">
        <w:rPr>
          <w:sz w:val="24"/>
          <w:szCs w:val="24"/>
          <w:lang w:bidi="da-DK"/>
        </w:rPr>
        <w:t xml:space="preserve"> (</w:t>
      </w:r>
      <w:proofErr w:type="spellStart"/>
      <w:r w:rsidRPr="00CC39BD">
        <w:rPr>
          <w:sz w:val="24"/>
          <w:szCs w:val="24"/>
          <w:lang w:bidi="da-DK"/>
        </w:rPr>
        <w:t>C</w:t>
      </w:r>
      <w:r w:rsidRPr="00CC39BD">
        <w:rPr>
          <w:sz w:val="24"/>
          <w:szCs w:val="24"/>
          <w:vertAlign w:val="subscript"/>
          <w:lang w:bidi="da-DK"/>
        </w:rPr>
        <w:t>max</w:t>
      </w:r>
      <w:proofErr w:type="spellEnd"/>
      <w:r w:rsidRPr="00CC39BD">
        <w:rPr>
          <w:sz w:val="24"/>
          <w:szCs w:val="24"/>
          <w:lang w:bidi="da-DK"/>
        </w:rPr>
        <w:t>) og en 3,5</w:t>
      </w:r>
      <w:r w:rsidRPr="00CC39BD">
        <w:rPr>
          <w:sz w:val="24"/>
          <w:szCs w:val="24"/>
          <w:lang w:bidi="da-DK"/>
        </w:rPr>
        <w:noBreakHyphen/>
        <w:t>foldig stigning i AUC</w:t>
      </w:r>
      <w:r w:rsidRPr="00CC39BD">
        <w:rPr>
          <w:sz w:val="24"/>
          <w:szCs w:val="24"/>
          <w:vertAlign w:val="subscript"/>
          <w:lang w:bidi="da-DK"/>
        </w:rPr>
        <w:t>0-t</w:t>
      </w:r>
      <w:r w:rsidRPr="00CC39BD">
        <w:rPr>
          <w:sz w:val="24"/>
          <w:szCs w:val="24"/>
          <w:lang w:bidi="da-DK"/>
        </w:rPr>
        <w:t xml:space="preserve">, når </w:t>
      </w:r>
      <w:proofErr w:type="spellStart"/>
      <w:r w:rsidRPr="00CC39BD">
        <w:rPr>
          <w:sz w:val="24"/>
          <w:szCs w:val="24"/>
          <w:lang w:bidi="da-DK"/>
        </w:rPr>
        <w:t>Rayaldee</w:t>
      </w:r>
      <w:proofErr w:type="spellEnd"/>
      <w:r w:rsidRPr="00CC39BD">
        <w:rPr>
          <w:sz w:val="24"/>
          <w:szCs w:val="24"/>
          <w:lang w:bidi="da-DK"/>
        </w:rPr>
        <w:t xml:space="preserve"> blev administreret med et måltid med højt fedtindhold og højt kalorieindhold sammenlignet med faste.</w:t>
      </w:r>
    </w:p>
    <w:p w:rsidR="00CC39BD" w:rsidRPr="00CC39BD" w:rsidRDefault="00CC39BD" w:rsidP="00CC39BD">
      <w:pPr>
        <w:tabs>
          <w:tab w:val="left" w:pos="851"/>
        </w:tabs>
        <w:ind w:left="851"/>
        <w:rPr>
          <w:sz w:val="24"/>
          <w:szCs w:val="24"/>
          <w:lang w:bidi="da-DK"/>
        </w:rPr>
      </w:pPr>
    </w:p>
    <w:p w:rsidR="00CC39BD" w:rsidRPr="00CC39BD" w:rsidRDefault="00CC39BD" w:rsidP="00CC39BD">
      <w:pPr>
        <w:tabs>
          <w:tab w:val="left" w:pos="851"/>
        </w:tabs>
        <w:ind w:left="851"/>
        <w:rPr>
          <w:sz w:val="24"/>
          <w:szCs w:val="24"/>
          <w:lang w:bidi="da-DK"/>
        </w:rPr>
      </w:pPr>
      <w:proofErr w:type="spellStart"/>
      <w:r w:rsidRPr="00CC39BD">
        <w:rPr>
          <w:sz w:val="24"/>
          <w:szCs w:val="24"/>
          <w:lang w:bidi="da-DK"/>
        </w:rPr>
        <w:t>Steady</w:t>
      </w:r>
      <w:proofErr w:type="spellEnd"/>
      <w:r w:rsidRPr="00CC39BD">
        <w:rPr>
          <w:sz w:val="24"/>
          <w:szCs w:val="24"/>
          <w:lang w:bidi="da-DK"/>
        </w:rPr>
        <w:t xml:space="preserve"> state-niveauer af serum-25</w:t>
      </w:r>
      <w:r w:rsidRPr="00CC39BD">
        <w:rPr>
          <w:sz w:val="24"/>
          <w:szCs w:val="24"/>
          <w:lang w:bidi="da-DK"/>
        </w:rPr>
        <w:noBreakHyphen/>
        <w:t>hydroxyvitamin D nås efter ca. 3 måneder (se pkt. 5.1).</w:t>
      </w:r>
    </w:p>
    <w:p w:rsidR="00CC39BD" w:rsidRPr="00CC39BD" w:rsidRDefault="00CC39BD" w:rsidP="00CC39BD">
      <w:pPr>
        <w:tabs>
          <w:tab w:val="left" w:pos="851"/>
        </w:tabs>
        <w:ind w:left="851"/>
        <w:rPr>
          <w:sz w:val="24"/>
          <w:szCs w:val="24"/>
          <w:lang w:bidi="da-DK"/>
        </w:rPr>
      </w:pPr>
    </w:p>
    <w:p w:rsidR="00CC39BD" w:rsidRPr="00CC39BD" w:rsidRDefault="00CC39BD" w:rsidP="00CC39BD">
      <w:pPr>
        <w:tabs>
          <w:tab w:val="left" w:pos="851"/>
        </w:tabs>
        <w:ind w:left="851"/>
        <w:rPr>
          <w:sz w:val="24"/>
          <w:szCs w:val="24"/>
          <w:u w:val="single"/>
          <w:lang w:bidi="da-DK"/>
        </w:rPr>
      </w:pPr>
      <w:r w:rsidRPr="00CC39BD">
        <w:rPr>
          <w:sz w:val="24"/>
          <w:szCs w:val="24"/>
          <w:u w:val="single"/>
          <w:lang w:bidi="da-DK"/>
        </w:rPr>
        <w:t>Fordeling</w:t>
      </w:r>
    </w:p>
    <w:p w:rsidR="00CC39BD" w:rsidRPr="00CC39BD" w:rsidRDefault="00CC39BD" w:rsidP="00CC39BD">
      <w:pPr>
        <w:tabs>
          <w:tab w:val="left" w:pos="851"/>
        </w:tabs>
        <w:ind w:left="851"/>
        <w:rPr>
          <w:sz w:val="24"/>
          <w:szCs w:val="24"/>
          <w:lang w:bidi="da-DK"/>
        </w:rPr>
      </w:pPr>
      <w:proofErr w:type="spellStart"/>
      <w:r w:rsidRPr="00CC39BD">
        <w:rPr>
          <w:sz w:val="24"/>
          <w:szCs w:val="24"/>
          <w:lang w:bidi="da-DK"/>
        </w:rPr>
        <w:t>Calcifediol</w:t>
      </w:r>
      <w:proofErr w:type="spellEnd"/>
      <w:r w:rsidRPr="00CC39BD">
        <w:rPr>
          <w:sz w:val="24"/>
          <w:szCs w:val="24"/>
          <w:lang w:bidi="da-DK"/>
        </w:rPr>
        <w:t xml:space="preserve"> er i vid udstrækning bundet til plasmaproteiner (&gt; 98 %). Det gennemsnitlige tilsyneladende distributionsvolumen er 8,8 l hos raske forsøgspersoner efter en enkelt oral dosis af </w:t>
      </w:r>
      <w:proofErr w:type="spellStart"/>
      <w:r w:rsidRPr="00CC39BD">
        <w:rPr>
          <w:sz w:val="24"/>
          <w:szCs w:val="24"/>
          <w:lang w:bidi="da-DK"/>
        </w:rPr>
        <w:t>Rayaldee</w:t>
      </w:r>
      <w:proofErr w:type="spellEnd"/>
      <w:r w:rsidRPr="00CC39BD">
        <w:rPr>
          <w:sz w:val="24"/>
          <w:szCs w:val="24"/>
          <w:lang w:bidi="da-DK"/>
        </w:rPr>
        <w:t xml:space="preserve"> og 30,1 l hos patienter med kronisk nyresygdom i stadie 3 eller 4 efter gentagen dosering.</w:t>
      </w:r>
    </w:p>
    <w:p w:rsidR="00CC39BD" w:rsidRPr="00CC39BD" w:rsidRDefault="00CC39BD" w:rsidP="00CC39BD">
      <w:pPr>
        <w:tabs>
          <w:tab w:val="left" w:pos="851"/>
        </w:tabs>
        <w:ind w:left="851"/>
        <w:rPr>
          <w:sz w:val="24"/>
          <w:szCs w:val="24"/>
          <w:lang w:bidi="da-DK"/>
        </w:rPr>
      </w:pPr>
    </w:p>
    <w:p w:rsidR="00CC39BD" w:rsidRPr="00CC39BD" w:rsidRDefault="00CC39BD" w:rsidP="00CC39BD">
      <w:pPr>
        <w:tabs>
          <w:tab w:val="left" w:pos="851"/>
        </w:tabs>
        <w:ind w:left="851"/>
        <w:rPr>
          <w:sz w:val="24"/>
          <w:szCs w:val="24"/>
          <w:u w:val="single"/>
          <w:lang w:bidi="da-DK"/>
        </w:rPr>
      </w:pPr>
      <w:r w:rsidRPr="00CC39BD">
        <w:rPr>
          <w:sz w:val="24"/>
          <w:szCs w:val="24"/>
          <w:u w:val="single"/>
          <w:lang w:bidi="da-DK"/>
        </w:rPr>
        <w:t>Biotransformation</w:t>
      </w:r>
    </w:p>
    <w:p w:rsidR="00CC39BD" w:rsidRPr="00CC39BD" w:rsidRDefault="00CC39BD" w:rsidP="00CC39BD">
      <w:pPr>
        <w:tabs>
          <w:tab w:val="left" w:pos="851"/>
        </w:tabs>
        <w:ind w:left="851"/>
        <w:rPr>
          <w:sz w:val="24"/>
          <w:szCs w:val="24"/>
          <w:lang w:bidi="da-DK"/>
        </w:rPr>
      </w:pPr>
      <w:r w:rsidRPr="00CC39BD">
        <w:rPr>
          <w:sz w:val="24"/>
          <w:szCs w:val="24"/>
          <w:lang w:bidi="da-DK"/>
        </w:rPr>
        <w:t xml:space="preserve">Produktionen af </w:t>
      </w:r>
      <w:proofErr w:type="spellStart"/>
      <w:r w:rsidRPr="00CC39BD">
        <w:rPr>
          <w:sz w:val="24"/>
          <w:szCs w:val="24"/>
          <w:lang w:bidi="da-DK"/>
        </w:rPr>
        <w:t>calcitriol</w:t>
      </w:r>
      <w:proofErr w:type="spellEnd"/>
      <w:r w:rsidRPr="00CC39BD">
        <w:rPr>
          <w:sz w:val="24"/>
          <w:szCs w:val="24"/>
          <w:lang w:bidi="da-DK"/>
        </w:rPr>
        <w:t xml:space="preserve"> fra </w:t>
      </w:r>
      <w:proofErr w:type="spellStart"/>
      <w:r w:rsidRPr="00CC39BD">
        <w:rPr>
          <w:sz w:val="24"/>
          <w:szCs w:val="24"/>
          <w:lang w:bidi="da-DK"/>
        </w:rPr>
        <w:t>calcifediol</w:t>
      </w:r>
      <w:proofErr w:type="spellEnd"/>
      <w:r w:rsidRPr="00CC39BD">
        <w:rPr>
          <w:sz w:val="24"/>
          <w:szCs w:val="24"/>
          <w:lang w:bidi="da-DK"/>
        </w:rPr>
        <w:t xml:space="preserve"> katalyseres af 1</w:t>
      </w:r>
      <w:r w:rsidRPr="00CC39BD">
        <w:rPr>
          <w:sz w:val="24"/>
          <w:szCs w:val="24"/>
          <w:lang w:bidi="da-DK"/>
        </w:rPr>
        <w:noBreakHyphen/>
        <w:t>alpha-hydroxylase-enzymet, CYP27B1, der findes i nyrerne og alt vitamin D-</w:t>
      </w:r>
      <w:proofErr w:type="spellStart"/>
      <w:r w:rsidRPr="00CC39BD">
        <w:rPr>
          <w:sz w:val="24"/>
          <w:szCs w:val="24"/>
          <w:lang w:bidi="da-DK"/>
        </w:rPr>
        <w:t>responsivt</w:t>
      </w:r>
      <w:proofErr w:type="spellEnd"/>
      <w:r w:rsidRPr="00CC39BD">
        <w:rPr>
          <w:sz w:val="24"/>
          <w:szCs w:val="24"/>
          <w:lang w:bidi="da-DK"/>
        </w:rPr>
        <w:t xml:space="preserve"> væv. CYP24A1, der er til stede i disse væv, </w:t>
      </w:r>
      <w:proofErr w:type="spellStart"/>
      <w:r w:rsidRPr="00CC39BD">
        <w:rPr>
          <w:sz w:val="24"/>
          <w:szCs w:val="24"/>
          <w:lang w:bidi="da-DK"/>
        </w:rPr>
        <w:t>kataboliserer</w:t>
      </w:r>
      <w:proofErr w:type="spellEnd"/>
      <w:r w:rsidRPr="00CC39BD">
        <w:rPr>
          <w:sz w:val="24"/>
          <w:szCs w:val="24"/>
          <w:lang w:bidi="da-DK"/>
        </w:rPr>
        <w:t xml:space="preserve"> både </w:t>
      </w:r>
      <w:proofErr w:type="spellStart"/>
      <w:r w:rsidRPr="00CC39BD">
        <w:rPr>
          <w:sz w:val="24"/>
          <w:szCs w:val="24"/>
          <w:lang w:bidi="da-DK"/>
        </w:rPr>
        <w:t>calcifediol</w:t>
      </w:r>
      <w:proofErr w:type="spellEnd"/>
      <w:r w:rsidRPr="00CC39BD">
        <w:rPr>
          <w:sz w:val="24"/>
          <w:szCs w:val="24"/>
          <w:lang w:bidi="da-DK"/>
        </w:rPr>
        <w:t xml:space="preserve"> og </w:t>
      </w:r>
      <w:proofErr w:type="spellStart"/>
      <w:r w:rsidRPr="00CC39BD">
        <w:rPr>
          <w:sz w:val="24"/>
          <w:szCs w:val="24"/>
          <w:lang w:bidi="da-DK"/>
        </w:rPr>
        <w:t>calcitriol</w:t>
      </w:r>
      <w:proofErr w:type="spellEnd"/>
      <w:r w:rsidRPr="00CC39BD">
        <w:rPr>
          <w:sz w:val="24"/>
          <w:szCs w:val="24"/>
          <w:lang w:bidi="da-DK"/>
        </w:rPr>
        <w:t xml:space="preserve"> til inaktive metabolitter.</w:t>
      </w:r>
    </w:p>
    <w:p w:rsidR="00CC39BD" w:rsidRPr="00CC39BD" w:rsidRDefault="00CC39BD" w:rsidP="00CC39BD">
      <w:pPr>
        <w:tabs>
          <w:tab w:val="left" w:pos="851"/>
        </w:tabs>
        <w:ind w:left="851"/>
        <w:rPr>
          <w:sz w:val="24"/>
          <w:szCs w:val="24"/>
          <w:lang w:bidi="da-DK"/>
        </w:rPr>
      </w:pPr>
    </w:p>
    <w:p w:rsidR="00CC39BD" w:rsidRPr="00CC39BD" w:rsidRDefault="00CC39BD" w:rsidP="00CC39BD">
      <w:pPr>
        <w:tabs>
          <w:tab w:val="left" w:pos="851"/>
        </w:tabs>
        <w:ind w:left="851"/>
        <w:rPr>
          <w:sz w:val="24"/>
          <w:szCs w:val="24"/>
          <w:u w:val="single"/>
          <w:lang w:bidi="da-DK"/>
        </w:rPr>
      </w:pPr>
      <w:r w:rsidRPr="00CC39BD">
        <w:rPr>
          <w:sz w:val="24"/>
          <w:szCs w:val="24"/>
          <w:u w:val="single"/>
          <w:lang w:bidi="da-DK"/>
        </w:rPr>
        <w:t>Elimination</w:t>
      </w:r>
    </w:p>
    <w:p w:rsidR="00CC39BD" w:rsidRPr="00CC39BD" w:rsidRDefault="00CC39BD" w:rsidP="00CC39BD">
      <w:pPr>
        <w:tabs>
          <w:tab w:val="left" w:pos="851"/>
        </w:tabs>
        <w:ind w:left="851"/>
        <w:rPr>
          <w:sz w:val="24"/>
          <w:szCs w:val="24"/>
          <w:lang w:bidi="da-DK"/>
        </w:rPr>
      </w:pPr>
      <w:r w:rsidRPr="00CC39BD">
        <w:rPr>
          <w:sz w:val="24"/>
          <w:szCs w:val="24"/>
          <w:lang w:bidi="da-DK"/>
        </w:rPr>
        <w:t xml:space="preserve">Den gennemsnitlige eliminationshalveringstid for </w:t>
      </w:r>
      <w:proofErr w:type="spellStart"/>
      <w:r w:rsidRPr="00CC39BD">
        <w:rPr>
          <w:sz w:val="24"/>
          <w:szCs w:val="24"/>
          <w:lang w:bidi="da-DK"/>
        </w:rPr>
        <w:t>calcifediol</w:t>
      </w:r>
      <w:proofErr w:type="spellEnd"/>
      <w:r w:rsidRPr="00CC39BD">
        <w:rPr>
          <w:sz w:val="24"/>
          <w:szCs w:val="24"/>
          <w:lang w:bidi="da-DK"/>
        </w:rPr>
        <w:t xml:space="preserve"> er cirka 11 dage hos raske forsøgspersoner efter en enkelt dosis af </w:t>
      </w:r>
      <w:proofErr w:type="spellStart"/>
      <w:r w:rsidRPr="00CC39BD">
        <w:rPr>
          <w:sz w:val="24"/>
          <w:szCs w:val="24"/>
          <w:lang w:bidi="da-DK"/>
        </w:rPr>
        <w:t>Rayaldee</w:t>
      </w:r>
      <w:proofErr w:type="spellEnd"/>
      <w:r w:rsidRPr="00CC39BD">
        <w:rPr>
          <w:sz w:val="24"/>
          <w:szCs w:val="24"/>
          <w:lang w:bidi="da-DK"/>
        </w:rPr>
        <w:t xml:space="preserve"> og cirka 25 dage hos patienter med kronisk nyresygdom i stadie 3 eller 4 efter dosering én gang dagligt. Udskillelse af </w:t>
      </w:r>
      <w:proofErr w:type="spellStart"/>
      <w:r w:rsidRPr="00CC39BD">
        <w:rPr>
          <w:sz w:val="24"/>
          <w:szCs w:val="24"/>
          <w:lang w:bidi="da-DK"/>
        </w:rPr>
        <w:t>calcifediol</w:t>
      </w:r>
      <w:proofErr w:type="spellEnd"/>
      <w:r w:rsidRPr="00CC39BD">
        <w:rPr>
          <w:sz w:val="24"/>
          <w:szCs w:val="24"/>
          <w:lang w:bidi="da-DK"/>
        </w:rPr>
        <w:t xml:space="preserve"> sker primært via galde og fæces.</w:t>
      </w:r>
    </w:p>
    <w:p w:rsidR="00CC39BD" w:rsidRPr="00CC39BD" w:rsidRDefault="00CC39BD" w:rsidP="00CC39BD">
      <w:pPr>
        <w:tabs>
          <w:tab w:val="left" w:pos="851"/>
        </w:tabs>
        <w:ind w:left="851"/>
        <w:rPr>
          <w:sz w:val="24"/>
          <w:szCs w:val="24"/>
          <w:lang w:bidi="da-DK"/>
        </w:rPr>
      </w:pPr>
    </w:p>
    <w:p w:rsidR="00CC39BD" w:rsidRPr="00CC39BD" w:rsidRDefault="00CC39BD" w:rsidP="00CC39BD">
      <w:pPr>
        <w:tabs>
          <w:tab w:val="left" w:pos="851"/>
        </w:tabs>
        <w:ind w:left="851"/>
        <w:rPr>
          <w:sz w:val="24"/>
          <w:szCs w:val="24"/>
          <w:u w:val="single"/>
          <w:lang w:bidi="da-DK"/>
        </w:rPr>
      </w:pPr>
      <w:r w:rsidRPr="00CC39BD">
        <w:rPr>
          <w:sz w:val="24"/>
          <w:szCs w:val="24"/>
          <w:u w:val="single"/>
          <w:lang w:bidi="da-DK"/>
        </w:rPr>
        <w:lastRenderedPageBreak/>
        <w:t>Linearitet/non-linearitet</w:t>
      </w:r>
    </w:p>
    <w:p w:rsidR="00CC39BD" w:rsidRPr="00CC39BD" w:rsidRDefault="00CC39BD" w:rsidP="00CC39BD">
      <w:pPr>
        <w:tabs>
          <w:tab w:val="left" w:pos="851"/>
        </w:tabs>
        <w:ind w:left="851"/>
        <w:rPr>
          <w:sz w:val="24"/>
          <w:szCs w:val="24"/>
          <w:lang w:bidi="da-DK"/>
        </w:rPr>
      </w:pPr>
      <w:r w:rsidRPr="00CC39BD">
        <w:rPr>
          <w:sz w:val="24"/>
          <w:szCs w:val="24"/>
          <w:lang w:bidi="da-DK"/>
        </w:rPr>
        <w:t xml:space="preserve">Eksponering for </w:t>
      </w:r>
      <w:proofErr w:type="spellStart"/>
      <w:r w:rsidRPr="00CC39BD">
        <w:rPr>
          <w:sz w:val="24"/>
          <w:szCs w:val="24"/>
          <w:lang w:bidi="da-DK"/>
        </w:rPr>
        <w:t>calcifediol</w:t>
      </w:r>
      <w:proofErr w:type="spellEnd"/>
      <w:r w:rsidRPr="00CC39BD">
        <w:rPr>
          <w:sz w:val="24"/>
          <w:szCs w:val="24"/>
          <w:lang w:bidi="da-DK"/>
        </w:rPr>
        <w:t xml:space="preserve"> øges proportionalt over dosisområdet fra 30 til 90 mikrogram efter gentagen daglig administration af </w:t>
      </w:r>
      <w:proofErr w:type="spellStart"/>
      <w:r w:rsidRPr="00CC39BD">
        <w:rPr>
          <w:sz w:val="24"/>
          <w:szCs w:val="24"/>
          <w:lang w:bidi="da-DK"/>
        </w:rPr>
        <w:t>Rayaldee</w:t>
      </w:r>
      <w:proofErr w:type="spellEnd"/>
      <w:r w:rsidRPr="00CC39BD">
        <w:rPr>
          <w:sz w:val="24"/>
          <w:szCs w:val="24"/>
          <w:lang w:bidi="da-DK"/>
        </w:rPr>
        <w:t xml:space="preserve"> ved sengetid til personer med sekundær </w:t>
      </w:r>
      <w:proofErr w:type="spellStart"/>
      <w:r w:rsidRPr="00CC39BD">
        <w:rPr>
          <w:sz w:val="24"/>
          <w:szCs w:val="24"/>
          <w:lang w:bidi="da-DK"/>
        </w:rPr>
        <w:t>hyperparathyreoidisme</w:t>
      </w:r>
      <w:proofErr w:type="spellEnd"/>
      <w:r w:rsidRPr="00CC39BD">
        <w:rPr>
          <w:sz w:val="24"/>
          <w:szCs w:val="24"/>
          <w:lang w:bidi="da-DK"/>
        </w:rPr>
        <w:t>, kronisk nyresygdom og vitamin D-insufficiens.</w:t>
      </w:r>
    </w:p>
    <w:p w:rsidR="00CC39BD" w:rsidRPr="00CC39BD" w:rsidRDefault="00CC39BD" w:rsidP="00CC39BD">
      <w:pPr>
        <w:tabs>
          <w:tab w:val="left" w:pos="851"/>
        </w:tabs>
        <w:ind w:left="851"/>
        <w:rPr>
          <w:sz w:val="24"/>
          <w:szCs w:val="24"/>
          <w:lang w:bidi="da-DK"/>
        </w:rPr>
      </w:pPr>
    </w:p>
    <w:p w:rsidR="00CC39BD" w:rsidRPr="00CC39BD" w:rsidRDefault="00CC39BD" w:rsidP="00CC39BD">
      <w:pPr>
        <w:tabs>
          <w:tab w:val="left" w:pos="851"/>
        </w:tabs>
        <w:ind w:left="851"/>
        <w:rPr>
          <w:sz w:val="24"/>
          <w:szCs w:val="24"/>
          <w:u w:val="single"/>
          <w:lang w:bidi="da-DK"/>
        </w:rPr>
      </w:pPr>
      <w:proofErr w:type="spellStart"/>
      <w:r w:rsidRPr="00CC39BD">
        <w:rPr>
          <w:sz w:val="24"/>
          <w:szCs w:val="24"/>
          <w:u w:val="single"/>
          <w:lang w:bidi="da-DK"/>
        </w:rPr>
        <w:t>Farmakokinetiske</w:t>
      </w:r>
      <w:proofErr w:type="spellEnd"/>
      <w:r w:rsidRPr="00CC39BD">
        <w:rPr>
          <w:sz w:val="24"/>
          <w:szCs w:val="24"/>
          <w:u w:val="single"/>
          <w:lang w:bidi="da-DK"/>
        </w:rPr>
        <w:t>/</w:t>
      </w:r>
      <w:proofErr w:type="spellStart"/>
      <w:r w:rsidRPr="00CC39BD">
        <w:rPr>
          <w:sz w:val="24"/>
          <w:szCs w:val="24"/>
          <w:u w:val="single"/>
          <w:lang w:bidi="da-DK"/>
        </w:rPr>
        <w:t>farmakodynamiske</w:t>
      </w:r>
      <w:proofErr w:type="spellEnd"/>
      <w:r w:rsidRPr="00CC39BD">
        <w:rPr>
          <w:sz w:val="24"/>
          <w:szCs w:val="24"/>
          <w:u w:val="single"/>
          <w:lang w:bidi="da-DK"/>
        </w:rPr>
        <w:t xml:space="preserve"> forhold</w:t>
      </w:r>
    </w:p>
    <w:p w:rsidR="00CC39BD" w:rsidRPr="00CC39BD" w:rsidRDefault="00CC39BD" w:rsidP="00CC39BD">
      <w:pPr>
        <w:tabs>
          <w:tab w:val="left" w:pos="851"/>
        </w:tabs>
        <w:ind w:left="851"/>
        <w:rPr>
          <w:sz w:val="24"/>
          <w:szCs w:val="24"/>
          <w:lang w:bidi="da-DK"/>
        </w:rPr>
      </w:pPr>
      <w:r w:rsidRPr="00CC39BD">
        <w:rPr>
          <w:sz w:val="24"/>
          <w:szCs w:val="24"/>
          <w:lang w:bidi="da-DK"/>
        </w:rPr>
        <w:t xml:space="preserve">Effektiviteten af </w:t>
      </w:r>
      <w:proofErr w:type="spellStart"/>
      <w:r w:rsidRPr="00CC39BD">
        <w:rPr>
          <w:sz w:val="24"/>
          <w:szCs w:val="24"/>
          <w:lang w:bidi="da-DK"/>
        </w:rPr>
        <w:t>Rayaldee</w:t>
      </w:r>
      <w:proofErr w:type="spellEnd"/>
      <w:r w:rsidRPr="00CC39BD">
        <w:rPr>
          <w:sz w:val="24"/>
          <w:szCs w:val="24"/>
          <w:lang w:bidi="da-DK"/>
        </w:rPr>
        <w:t xml:space="preserve"> til </w:t>
      </w:r>
      <w:proofErr w:type="spellStart"/>
      <w:r w:rsidRPr="00CC39BD">
        <w:rPr>
          <w:sz w:val="24"/>
          <w:szCs w:val="24"/>
          <w:lang w:bidi="da-DK"/>
        </w:rPr>
        <w:t>kontrollering</w:t>
      </w:r>
      <w:proofErr w:type="spellEnd"/>
      <w:r w:rsidRPr="00CC39BD">
        <w:rPr>
          <w:sz w:val="24"/>
          <w:szCs w:val="24"/>
          <w:lang w:bidi="da-DK"/>
        </w:rPr>
        <w:t xml:space="preserve"> af forhøjet </w:t>
      </w:r>
      <w:proofErr w:type="spellStart"/>
      <w:r w:rsidRPr="00CC39BD">
        <w:rPr>
          <w:sz w:val="24"/>
          <w:szCs w:val="24"/>
          <w:lang w:bidi="da-DK"/>
        </w:rPr>
        <w:t>iPTH</w:t>
      </w:r>
      <w:proofErr w:type="spellEnd"/>
      <w:r w:rsidRPr="00CC39BD">
        <w:rPr>
          <w:sz w:val="24"/>
          <w:szCs w:val="24"/>
          <w:lang w:bidi="da-DK"/>
        </w:rPr>
        <w:t xml:space="preserve"> er baseret på depotformuleringen, som resulterer i en vedvarende frigivelse af </w:t>
      </w:r>
      <w:proofErr w:type="spellStart"/>
      <w:r w:rsidRPr="00CC39BD">
        <w:rPr>
          <w:sz w:val="24"/>
          <w:szCs w:val="24"/>
          <w:lang w:bidi="da-DK"/>
        </w:rPr>
        <w:t>calcifediol</w:t>
      </w:r>
      <w:proofErr w:type="spellEnd"/>
      <w:r w:rsidRPr="00CC39BD">
        <w:rPr>
          <w:sz w:val="24"/>
          <w:szCs w:val="24"/>
          <w:lang w:bidi="da-DK"/>
        </w:rPr>
        <w:t>, der har vist sig at minimere opregulering af CYP24A1.</w:t>
      </w:r>
    </w:p>
    <w:p w:rsidR="00CC39BD" w:rsidRPr="00CC39BD" w:rsidRDefault="00CC39BD" w:rsidP="00CC39BD">
      <w:pPr>
        <w:tabs>
          <w:tab w:val="left" w:pos="851"/>
        </w:tabs>
        <w:ind w:left="851"/>
        <w:rPr>
          <w:sz w:val="24"/>
          <w:szCs w:val="24"/>
          <w:lang w:bidi="da-DK"/>
        </w:rPr>
      </w:pPr>
    </w:p>
    <w:p w:rsidR="00CC39BD" w:rsidRPr="00CC39BD" w:rsidRDefault="00CC39BD" w:rsidP="00CC39BD">
      <w:pPr>
        <w:tabs>
          <w:tab w:val="left" w:pos="851"/>
        </w:tabs>
        <w:ind w:left="851"/>
        <w:rPr>
          <w:sz w:val="24"/>
          <w:szCs w:val="24"/>
          <w:lang w:bidi="da-DK"/>
        </w:rPr>
      </w:pPr>
      <w:r w:rsidRPr="00CC39BD">
        <w:rPr>
          <w:sz w:val="24"/>
          <w:szCs w:val="24"/>
          <w:lang w:bidi="da-DK"/>
        </w:rPr>
        <w:t xml:space="preserve">En farmakologisk undersøgelse med en enkelt dosis evaluerede virkningen af hastigheden af indgivelsen af </w:t>
      </w:r>
      <w:proofErr w:type="spellStart"/>
      <w:r w:rsidRPr="00CC39BD">
        <w:rPr>
          <w:sz w:val="24"/>
          <w:szCs w:val="24"/>
          <w:lang w:bidi="da-DK"/>
        </w:rPr>
        <w:t>calcifediol</w:t>
      </w:r>
      <w:proofErr w:type="spellEnd"/>
      <w:r w:rsidRPr="00CC39BD">
        <w:rPr>
          <w:sz w:val="24"/>
          <w:szCs w:val="24"/>
          <w:lang w:bidi="da-DK"/>
        </w:rPr>
        <w:t xml:space="preserve"> på sænkningen af </w:t>
      </w:r>
      <w:proofErr w:type="spellStart"/>
      <w:r w:rsidRPr="00CC39BD">
        <w:rPr>
          <w:sz w:val="24"/>
          <w:szCs w:val="24"/>
          <w:lang w:bidi="da-DK"/>
        </w:rPr>
        <w:t>iPTH</w:t>
      </w:r>
      <w:proofErr w:type="spellEnd"/>
      <w:r w:rsidRPr="00CC39BD">
        <w:rPr>
          <w:sz w:val="24"/>
          <w:szCs w:val="24"/>
          <w:lang w:bidi="da-DK"/>
        </w:rPr>
        <w:t xml:space="preserve">. I denne undersøgelse blev </w:t>
      </w:r>
      <w:proofErr w:type="spellStart"/>
      <w:r w:rsidRPr="00CC39BD">
        <w:rPr>
          <w:sz w:val="24"/>
          <w:szCs w:val="24"/>
          <w:lang w:bidi="da-DK"/>
        </w:rPr>
        <w:t>calcifediol</w:t>
      </w:r>
      <w:proofErr w:type="spellEnd"/>
      <w:r w:rsidRPr="00CC39BD">
        <w:rPr>
          <w:sz w:val="24"/>
          <w:szCs w:val="24"/>
          <w:lang w:bidi="da-DK"/>
        </w:rPr>
        <w:t xml:space="preserve"> enten frigivet hurtigt, via en </w:t>
      </w:r>
      <w:proofErr w:type="spellStart"/>
      <w:r w:rsidRPr="00CC39BD">
        <w:rPr>
          <w:sz w:val="24"/>
          <w:szCs w:val="24"/>
          <w:lang w:bidi="da-DK"/>
        </w:rPr>
        <w:t>i.v</w:t>
      </w:r>
      <w:proofErr w:type="spellEnd"/>
      <w:r w:rsidRPr="00CC39BD">
        <w:rPr>
          <w:sz w:val="24"/>
          <w:szCs w:val="24"/>
          <w:lang w:bidi="da-DK"/>
        </w:rPr>
        <w:t xml:space="preserve">. </w:t>
      </w:r>
      <w:proofErr w:type="spellStart"/>
      <w:r w:rsidRPr="00CC39BD">
        <w:rPr>
          <w:sz w:val="24"/>
          <w:szCs w:val="24"/>
          <w:lang w:bidi="da-DK"/>
        </w:rPr>
        <w:t>bolus</w:t>
      </w:r>
      <w:proofErr w:type="spellEnd"/>
      <w:r w:rsidRPr="00CC39BD">
        <w:rPr>
          <w:sz w:val="24"/>
          <w:szCs w:val="24"/>
          <w:lang w:bidi="da-DK"/>
        </w:rPr>
        <w:t xml:space="preserve">, eller gradvist, via depotformuleringen, til forsøgspersoner med sekundær </w:t>
      </w:r>
      <w:proofErr w:type="spellStart"/>
      <w:r w:rsidRPr="00CC39BD">
        <w:rPr>
          <w:sz w:val="24"/>
          <w:szCs w:val="24"/>
          <w:lang w:bidi="da-DK"/>
        </w:rPr>
        <w:t>hyperparathyreoidisme</w:t>
      </w:r>
      <w:proofErr w:type="spellEnd"/>
      <w:r w:rsidRPr="00CC39BD">
        <w:rPr>
          <w:sz w:val="24"/>
          <w:szCs w:val="24"/>
          <w:lang w:bidi="da-DK"/>
        </w:rPr>
        <w:t xml:space="preserve">, kronisk nyresygdom i stadie 3 eller 4 og D-vitamin-mangel. Resultaterne viste, at frigivelseshastigheden er en vigtig faktor for produktionen af </w:t>
      </w:r>
      <w:proofErr w:type="spellStart"/>
      <w:r w:rsidRPr="00CC39BD">
        <w:rPr>
          <w:sz w:val="24"/>
          <w:szCs w:val="24"/>
          <w:lang w:bidi="da-DK"/>
        </w:rPr>
        <w:t>calcitriol</w:t>
      </w:r>
      <w:proofErr w:type="spellEnd"/>
      <w:r w:rsidRPr="00CC39BD">
        <w:rPr>
          <w:sz w:val="24"/>
          <w:szCs w:val="24"/>
          <w:lang w:bidi="da-DK"/>
        </w:rPr>
        <w:t xml:space="preserve">, og at den gradvise frigivelse muliggør en mere effektiv behandling af både sekundær </w:t>
      </w:r>
      <w:proofErr w:type="spellStart"/>
      <w:r w:rsidRPr="00CC39BD">
        <w:rPr>
          <w:sz w:val="24"/>
          <w:szCs w:val="24"/>
          <w:lang w:bidi="da-DK"/>
        </w:rPr>
        <w:t>hyperparathyreoidisme</w:t>
      </w:r>
      <w:proofErr w:type="spellEnd"/>
      <w:r w:rsidRPr="00CC39BD">
        <w:rPr>
          <w:sz w:val="24"/>
          <w:szCs w:val="24"/>
          <w:lang w:bidi="da-DK"/>
        </w:rPr>
        <w:t xml:space="preserve"> og den underliggende D-vitamin-mangel.</w:t>
      </w:r>
    </w:p>
    <w:p w:rsidR="00CC39BD" w:rsidRPr="00CC39BD" w:rsidRDefault="00CC39BD" w:rsidP="00CC39BD">
      <w:pPr>
        <w:tabs>
          <w:tab w:val="left" w:pos="851"/>
        </w:tabs>
        <w:ind w:left="851"/>
        <w:rPr>
          <w:sz w:val="24"/>
          <w:szCs w:val="24"/>
          <w:lang w:bidi="da-DK"/>
        </w:rPr>
      </w:pPr>
    </w:p>
    <w:p w:rsidR="00CC39BD" w:rsidRPr="00CC39BD" w:rsidRDefault="00CC39BD" w:rsidP="00CC39BD">
      <w:pPr>
        <w:tabs>
          <w:tab w:val="left" w:pos="851"/>
        </w:tabs>
        <w:ind w:left="851"/>
        <w:rPr>
          <w:sz w:val="24"/>
          <w:szCs w:val="24"/>
          <w:lang w:bidi="da-DK"/>
        </w:rPr>
      </w:pPr>
      <w:r w:rsidRPr="00CC39BD">
        <w:rPr>
          <w:sz w:val="24"/>
          <w:szCs w:val="24"/>
          <w:lang w:bidi="da-DK"/>
        </w:rPr>
        <w:t>Desuden blev en enkelt dosis på 900 mikrogram depot-</w:t>
      </w:r>
      <w:proofErr w:type="spellStart"/>
      <w:r w:rsidRPr="00CC39BD">
        <w:rPr>
          <w:sz w:val="24"/>
          <w:szCs w:val="24"/>
          <w:lang w:bidi="da-DK"/>
        </w:rPr>
        <w:t>calcifediol</w:t>
      </w:r>
      <w:proofErr w:type="spellEnd"/>
      <w:r w:rsidRPr="00CC39BD">
        <w:rPr>
          <w:sz w:val="24"/>
          <w:szCs w:val="24"/>
          <w:lang w:bidi="da-DK"/>
        </w:rPr>
        <w:t xml:space="preserve"> sammenlignet med en enkelt oral høj dosis </w:t>
      </w:r>
      <w:proofErr w:type="spellStart"/>
      <w:r w:rsidRPr="00CC39BD">
        <w:rPr>
          <w:sz w:val="24"/>
          <w:szCs w:val="24"/>
          <w:lang w:bidi="da-DK"/>
        </w:rPr>
        <w:t>calcifediol</w:t>
      </w:r>
      <w:proofErr w:type="spellEnd"/>
      <w:r w:rsidRPr="00CC39BD">
        <w:rPr>
          <w:sz w:val="24"/>
          <w:szCs w:val="24"/>
          <w:lang w:bidi="da-DK"/>
        </w:rPr>
        <w:t xml:space="preserve"> med øjeblikkelig frigivelse på 798 mikrogram hos sunde voksne. Depotformuleringen gav en gradvis stigning i </w:t>
      </w:r>
      <w:proofErr w:type="spellStart"/>
      <w:r w:rsidRPr="00CC39BD">
        <w:rPr>
          <w:sz w:val="24"/>
          <w:szCs w:val="24"/>
          <w:lang w:bidi="da-DK"/>
        </w:rPr>
        <w:t>calcifediol</w:t>
      </w:r>
      <w:proofErr w:type="spellEnd"/>
      <w:r w:rsidRPr="00CC39BD">
        <w:rPr>
          <w:sz w:val="24"/>
          <w:szCs w:val="24"/>
          <w:lang w:bidi="da-DK"/>
        </w:rPr>
        <w:t>-koncentrationerne med efterfølgende stigninger i 1,25</w:t>
      </w:r>
      <w:r w:rsidRPr="00CC39BD">
        <w:rPr>
          <w:sz w:val="24"/>
          <w:szCs w:val="24"/>
          <w:lang w:bidi="da-DK"/>
        </w:rPr>
        <w:noBreakHyphen/>
        <w:t>dihydroxyvitamin D og kun beskedne stigninger i det inaktive metaboliske 24,25</w:t>
      </w:r>
      <w:r w:rsidRPr="00CC39BD">
        <w:rPr>
          <w:sz w:val="24"/>
          <w:szCs w:val="24"/>
          <w:lang w:bidi="da-DK"/>
        </w:rPr>
        <w:noBreakHyphen/>
        <w:t xml:space="preserve">dihydroxyvitamin D. Den oralt indgivne formulering med øjeblikkelig frigivelse gav en hurtig stigning i </w:t>
      </w:r>
      <w:proofErr w:type="spellStart"/>
      <w:r w:rsidRPr="00CC39BD">
        <w:rPr>
          <w:sz w:val="24"/>
          <w:szCs w:val="24"/>
          <w:lang w:bidi="da-DK"/>
        </w:rPr>
        <w:t>calcifediol</w:t>
      </w:r>
      <w:proofErr w:type="spellEnd"/>
      <w:r w:rsidRPr="00CC39BD">
        <w:rPr>
          <w:sz w:val="24"/>
          <w:szCs w:val="24"/>
          <w:lang w:bidi="da-DK"/>
        </w:rPr>
        <w:t xml:space="preserve">-koncentrationerne med et 3 gange større </w:t>
      </w:r>
      <w:proofErr w:type="spellStart"/>
      <w:r w:rsidRPr="00CC39BD">
        <w:rPr>
          <w:sz w:val="24"/>
          <w:szCs w:val="24"/>
          <w:lang w:bidi="da-DK"/>
        </w:rPr>
        <w:t>T</w:t>
      </w:r>
      <w:r w:rsidRPr="00CC39BD">
        <w:rPr>
          <w:sz w:val="24"/>
          <w:szCs w:val="24"/>
          <w:vertAlign w:val="subscript"/>
          <w:lang w:bidi="da-DK"/>
        </w:rPr>
        <w:t>max</w:t>
      </w:r>
      <w:proofErr w:type="spellEnd"/>
      <w:r w:rsidRPr="00CC39BD">
        <w:rPr>
          <w:sz w:val="24"/>
          <w:szCs w:val="24"/>
          <w:lang w:bidi="da-DK"/>
        </w:rPr>
        <w:t xml:space="preserve"> og kortere tid til </w:t>
      </w:r>
      <w:proofErr w:type="spellStart"/>
      <w:r w:rsidRPr="00CC39BD">
        <w:rPr>
          <w:sz w:val="24"/>
          <w:szCs w:val="24"/>
          <w:lang w:bidi="da-DK"/>
        </w:rPr>
        <w:t>T</w:t>
      </w:r>
      <w:r w:rsidRPr="00CC39BD">
        <w:rPr>
          <w:sz w:val="24"/>
          <w:szCs w:val="24"/>
          <w:vertAlign w:val="subscript"/>
          <w:lang w:bidi="da-DK"/>
        </w:rPr>
        <w:t>max</w:t>
      </w:r>
      <w:proofErr w:type="spellEnd"/>
      <w:r w:rsidRPr="00CC39BD">
        <w:rPr>
          <w:sz w:val="24"/>
          <w:szCs w:val="24"/>
          <w:lang w:bidi="da-DK"/>
        </w:rPr>
        <w:t xml:space="preserve"> end ved depotformuleringen. Formuleringen med øjeblikkelig frigivelse gav en akut stigning i 1,25</w:t>
      </w:r>
      <w:r w:rsidRPr="00CC39BD">
        <w:rPr>
          <w:sz w:val="24"/>
          <w:szCs w:val="24"/>
          <w:lang w:bidi="da-DK"/>
        </w:rPr>
        <w:noBreakHyphen/>
        <w:t>dihydroxyvitamin D-koncentrationerne med deraf følgende store stigninger i den inaktive metabolit 24,25</w:t>
      </w:r>
      <w:r w:rsidRPr="00CC39BD">
        <w:rPr>
          <w:sz w:val="24"/>
          <w:szCs w:val="24"/>
          <w:lang w:bidi="da-DK"/>
        </w:rPr>
        <w:noBreakHyphen/>
        <w:t>dihydroxyvitamin D.</w:t>
      </w:r>
    </w:p>
    <w:p w:rsidR="00CC39BD" w:rsidRPr="00CC39BD" w:rsidRDefault="00CC39BD" w:rsidP="00CC39BD">
      <w:pPr>
        <w:tabs>
          <w:tab w:val="left" w:pos="851"/>
        </w:tabs>
        <w:ind w:left="851"/>
        <w:rPr>
          <w:sz w:val="24"/>
          <w:szCs w:val="24"/>
          <w:lang w:bidi="da-DK"/>
        </w:rPr>
      </w:pPr>
    </w:p>
    <w:p w:rsidR="00CC39BD" w:rsidRPr="00CC39BD" w:rsidRDefault="00CC39BD" w:rsidP="00CC39BD">
      <w:pPr>
        <w:tabs>
          <w:tab w:val="left" w:pos="851"/>
        </w:tabs>
        <w:ind w:left="851"/>
        <w:rPr>
          <w:sz w:val="24"/>
          <w:szCs w:val="24"/>
          <w:u w:val="single"/>
          <w:lang w:bidi="da-DK"/>
        </w:rPr>
      </w:pPr>
      <w:r w:rsidRPr="00CC39BD">
        <w:rPr>
          <w:sz w:val="24"/>
          <w:szCs w:val="24"/>
          <w:u w:val="single"/>
          <w:lang w:bidi="da-DK"/>
        </w:rPr>
        <w:t>Alder, køn og race</w:t>
      </w:r>
    </w:p>
    <w:p w:rsidR="00CC39BD" w:rsidRPr="00CC39BD" w:rsidRDefault="00CC39BD" w:rsidP="00CC39BD">
      <w:pPr>
        <w:tabs>
          <w:tab w:val="left" w:pos="851"/>
        </w:tabs>
        <w:ind w:left="851"/>
        <w:rPr>
          <w:sz w:val="24"/>
          <w:szCs w:val="24"/>
          <w:lang w:bidi="da-DK"/>
        </w:rPr>
      </w:pPr>
      <w:r w:rsidRPr="00CC39BD">
        <w:rPr>
          <w:sz w:val="24"/>
          <w:szCs w:val="24"/>
          <w:lang w:bidi="da-DK"/>
        </w:rPr>
        <w:t xml:space="preserve">Baseret på en </w:t>
      </w:r>
      <w:proofErr w:type="spellStart"/>
      <w:r w:rsidRPr="00CC39BD">
        <w:rPr>
          <w:sz w:val="24"/>
          <w:szCs w:val="24"/>
          <w:lang w:bidi="da-DK"/>
        </w:rPr>
        <w:t>farmakokinetisk</w:t>
      </w:r>
      <w:proofErr w:type="spellEnd"/>
      <w:r w:rsidRPr="00CC39BD">
        <w:rPr>
          <w:sz w:val="24"/>
          <w:szCs w:val="24"/>
          <w:lang w:bidi="da-DK"/>
        </w:rPr>
        <w:t xml:space="preserve"> populationsanalyse havde alder, køn og race ingen betydningsfuld indflydelse på </w:t>
      </w:r>
      <w:proofErr w:type="spellStart"/>
      <w:r w:rsidRPr="00CC39BD">
        <w:rPr>
          <w:sz w:val="24"/>
          <w:szCs w:val="24"/>
          <w:lang w:bidi="da-DK"/>
        </w:rPr>
        <w:t>steady</w:t>
      </w:r>
      <w:proofErr w:type="spellEnd"/>
      <w:r w:rsidRPr="00CC39BD">
        <w:rPr>
          <w:sz w:val="24"/>
          <w:szCs w:val="24"/>
          <w:lang w:bidi="da-DK"/>
        </w:rPr>
        <w:t xml:space="preserve"> state-koncentrationen af </w:t>
      </w:r>
      <w:proofErr w:type="spellStart"/>
      <w:r w:rsidRPr="00CC39BD">
        <w:rPr>
          <w:sz w:val="24"/>
          <w:szCs w:val="24"/>
          <w:lang w:bidi="da-DK"/>
        </w:rPr>
        <w:t>calcifediol</w:t>
      </w:r>
      <w:proofErr w:type="spellEnd"/>
      <w:r w:rsidRPr="00CC39BD">
        <w:rPr>
          <w:sz w:val="24"/>
          <w:szCs w:val="24"/>
          <w:lang w:bidi="da-DK"/>
        </w:rPr>
        <w:t xml:space="preserve"> efter administration af </w:t>
      </w:r>
      <w:proofErr w:type="spellStart"/>
      <w:r w:rsidRPr="00CC39BD">
        <w:rPr>
          <w:sz w:val="24"/>
          <w:szCs w:val="24"/>
          <w:lang w:bidi="da-DK"/>
        </w:rPr>
        <w:t>Rayaldee</w:t>
      </w:r>
      <w:proofErr w:type="spellEnd"/>
      <w:r w:rsidRPr="00CC39BD">
        <w:rPr>
          <w:sz w:val="24"/>
          <w:szCs w:val="24"/>
          <w:lang w:bidi="da-DK"/>
        </w:rPr>
        <w:t>.</w:t>
      </w:r>
    </w:p>
    <w:p w:rsidR="00CC39BD" w:rsidRPr="00CC39BD" w:rsidRDefault="00CC39BD" w:rsidP="00CC39BD">
      <w:pPr>
        <w:tabs>
          <w:tab w:val="left" w:pos="851"/>
        </w:tabs>
        <w:ind w:left="851"/>
        <w:rPr>
          <w:sz w:val="24"/>
          <w:szCs w:val="24"/>
          <w:lang w:bidi="da-DK"/>
        </w:rPr>
      </w:pPr>
    </w:p>
    <w:p w:rsidR="00CC39BD" w:rsidRPr="00CC39BD" w:rsidRDefault="00CC39BD" w:rsidP="00CC39BD">
      <w:pPr>
        <w:tabs>
          <w:tab w:val="left" w:pos="851"/>
        </w:tabs>
        <w:ind w:left="851"/>
        <w:rPr>
          <w:sz w:val="24"/>
          <w:szCs w:val="24"/>
          <w:u w:val="single"/>
          <w:lang w:bidi="da-DK"/>
        </w:rPr>
      </w:pPr>
      <w:r w:rsidRPr="00CC39BD">
        <w:rPr>
          <w:sz w:val="24"/>
          <w:szCs w:val="24"/>
          <w:u w:val="single"/>
          <w:lang w:bidi="da-DK"/>
        </w:rPr>
        <w:t>Nyreinsufficiens</w:t>
      </w:r>
    </w:p>
    <w:p w:rsidR="00CC39BD" w:rsidRPr="00CC39BD" w:rsidRDefault="00CC39BD" w:rsidP="00CC39BD">
      <w:pPr>
        <w:tabs>
          <w:tab w:val="left" w:pos="851"/>
        </w:tabs>
        <w:ind w:left="851"/>
        <w:rPr>
          <w:sz w:val="24"/>
          <w:szCs w:val="24"/>
          <w:lang w:bidi="da-DK"/>
        </w:rPr>
      </w:pPr>
      <w:r w:rsidRPr="00CC39BD">
        <w:rPr>
          <w:sz w:val="24"/>
          <w:szCs w:val="24"/>
          <w:lang w:bidi="da-DK"/>
        </w:rPr>
        <w:t xml:space="preserve">Baseret på populationsfarmakokinetikanalysen var der ingen betydningsfuld forskel i </w:t>
      </w:r>
      <w:proofErr w:type="spellStart"/>
      <w:r w:rsidRPr="00CC39BD">
        <w:rPr>
          <w:sz w:val="24"/>
          <w:szCs w:val="24"/>
          <w:lang w:bidi="da-DK"/>
        </w:rPr>
        <w:t>steady</w:t>
      </w:r>
      <w:proofErr w:type="spellEnd"/>
      <w:r w:rsidRPr="00CC39BD">
        <w:rPr>
          <w:sz w:val="24"/>
          <w:szCs w:val="24"/>
          <w:lang w:bidi="da-DK"/>
        </w:rPr>
        <w:t xml:space="preserve"> state-koncentrationen af </w:t>
      </w:r>
      <w:proofErr w:type="spellStart"/>
      <w:r w:rsidRPr="00CC39BD">
        <w:rPr>
          <w:sz w:val="24"/>
          <w:szCs w:val="24"/>
          <w:lang w:bidi="da-DK"/>
        </w:rPr>
        <w:t>calcifediol</w:t>
      </w:r>
      <w:proofErr w:type="spellEnd"/>
      <w:r w:rsidRPr="00CC39BD">
        <w:rPr>
          <w:sz w:val="24"/>
          <w:szCs w:val="24"/>
          <w:lang w:bidi="da-DK"/>
        </w:rPr>
        <w:t xml:space="preserve"> efter gentagen </w:t>
      </w:r>
      <w:proofErr w:type="spellStart"/>
      <w:r w:rsidRPr="00CC39BD">
        <w:rPr>
          <w:sz w:val="24"/>
          <w:szCs w:val="24"/>
          <w:lang w:bidi="da-DK"/>
        </w:rPr>
        <w:t>Rayaldee</w:t>
      </w:r>
      <w:proofErr w:type="spellEnd"/>
      <w:r w:rsidRPr="00CC39BD">
        <w:rPr>
          <w:sz w:val="24"/>
          <w:szCs w:val="24"/>
          <w:lang w:bidi="da-DK"/>
        </w:rPr>
        <w:t>-indgivelse hos patienter med kronisk nyresygdom i stadie 3 eller 4.</w:t>
      </w:r>
    </w:p>
    <w:p w:rsidR="00CC39BD" w:rsidRPr="00CC39BD" w:rsidRDefault="00CC39BD" w:rsidP="00CC39BD">
      <w:pPr>
        <w:tabs>
          <w:tab w:val="left" w:pos="851"/>
        </w:tabs>
        <w:ind w:left="851"/>
        <w:rPr>
          <w:sz w:val="24"/>
          <w:szCs w:val="24"/>
          <w:lang w:bidi="da-DK"/>
        </w:rPr>
      </w:pPr>
    </w:p>
    <w:p w:rsidR="00CC39BD" w:rsidRPr="00CC39BD" w:rsidRDefault="00CC39BD" w:rsidP="00CC39BD">
      <w:pPr>
        <w:tabs>
          <w:tab w:val="left" w:pos="851"/>
        </w:tabs>
        <w:ind w:left="851"/>
        <w:rPr>
          <w:sz w:val="24"/>
          <w:szCs w:val="24"/>
          <w:u w:val="single"/>
          <w:lang w:bidi="da-DK"/>
        </w:rPr>
      </w:pPr>
      <w:r w:rsidRPr="00CC39BD">
        <w:rPr>
          <w:sz w:val="24"/>
          <w:szCs w:val="24"/>
          <w:u w:val="single"/>
          <w:lang w:bidi="da-DK"/>
        </w:rPr>
        <w:t>Leverinsufficiens</w:t>
      </w:r>
    </w:p>
    <w:p w:rsidR="00CC39BD" w:rsidRPr="00CC39BD" w:rsidRDefault="00CC39BD" w:rsidP="00CC39BD">
      <w:pPr>
        <w:tabs>
          <w:tab w:val="left" w:pos="851"/>
        </w:tabs>
        <w:ind w:left="851"/>
        <w:rPr>
          <w:sz w:val="24"/>
          <w:szCs w:val="24"/>
          <w:lang w:bidi="da-DK"/>
        </w:rPr>
      </w:pPr>
      <w:proofErr w:type="spellStart"/>
      <w:r w:rsidRPr="00CC39BD">
        <w:rPr>
          <w:sz w:val="24"/>
          <w:szCs w:val="24"/>
          <w:lang w:bidi="da-DK"/>
        </w:rPr>
        <w:t>Rayaldees</w:t>
      </w:r>
      <w:proofErr w:type="spellEnd"/>
      <w:r w:rsidRPr="00CC39BD">
        <w:rPr>
          <w:sz w:val="24"/>
          <w:szCs w:val="24"/>
          <w:lang w:bidi="da-DK"/>
        </w:rPr>
        <w:t xml:space="preserve"> farmakokinetik er ikke undersøgt hos patienter med nedsat leverfunktion.</w:t>
      </w:r>
    </w:p>
    <w:p w:rsidR="00CC39BD" w:rsidRPr="00CC39BD" w:rsidRDefault="00CC39BD" w:rsidP="00CC39BD">
      <w:pPr>
        <w:tabs>
          <w:tab w:val="left" w:pos="851"/>
        </w:tabs>
        <w:ind w:left="851"/>
        <w:rPr>
          <w:sz w:val="24"/>
          <w:szCs w:val="24"/>
          <w:lang w:bidi="da-DK"/>
        </w:rPr>
      </w:pPr>
    </w:p>
    <w:p w:rsidR="00CC39BD" w:rsidRPr="00CC39BD" w:rsidRDefault="00CC39BD" w:rsidP="00CC39BD">
      <w:pPr>
        <w:tabs>
          <w:tab w:val="left" w:pos="851"/>
        </w:tabs>
        <w:ind w:left="851"/>
        <w:rPr>
          <w:sz w:val="24"/>
          <w:szCs w:val="24"/>
          <w:u w:val="single"/>
          <w:lang w:bidi="da-DK"/>
        </w:rPr>
      </w:pPr>
      <w:r w:rsidRPr="00CC39BD">
        <w:rPr>
          <w:sz w:val="24"/>
          <w:szCs w:val="24"/>
          <w:u w:val="single"/>
          <w:lang w:bidi="da-DK"/>
        </w:rPr>
        <w:t>Ældre</w:t>
      </w:r>
    </w:p>
    <w:p w:rsidR="00CC39BD" w:rsidRPr="00CC39BD" w:rsidRDefault="00CC39BD" w:rsidP="00CC39BD">
      <w:pPr>
        <w:tabs>
          <w:tab w:val="left" w:pos="851"/>
        </w:tabs>
        <w:ind w:left="851"/>
        <w:rPr>
          <w:sz w:val="24"/>
          <w:szCs w:val="24"/>
          <w:lang w:bidi="da-DK"/>
        </w:rPr>
      </w:pPr>
      <w:r w:rsidRPr="00CC39BD">
        <w:rPr>
          <w:sz w:val="24"/>
          <w:szCs w:val="24"/>
          <w:lang w:bidi="da-DK"/>
        </w:rPr>
        <w:t>Der foreligger ingen data.</w:t>
      </w:r>
    </w:p>
    <w:p w:rsidR="00CC39BD" w:rsidRPr="00CC39BD" w:rsidRDefault="00CC39BD" w:rsidP="00CC39BD">
      <w:pPr>
        <w:tabs>
          <w:tab w:val="left" w:pos="851"/>
        </w:tabs>
        <w:ind w:left="851"/>
        <w:rPr>
          <w:sz w:val="24"/>
          <w:szCs w:val="24"/>
          <w:lang w:bidi="da-DK"/>
        </w:rPr>
      </w:pPr>
    </w:p>
    <w:p w:rsidR="00CC39BD" w:rsidRPr="00CC39BD" w:rsidRDefault="00CC39BD" w:rsidP="00CC39BD">
      <w:pPr>
        <w:tabs>
          <w:tab w:val="left" w:pos="851"/>
        </w:tabs>
        <w:ind w:left="851"/>
        <w:rPr>
          <w:sz w:val="24"/>
          <w:szCs w:val="24"/>
          <w:u w:val="single"/>
          <w:lang w:bidi="da-DK"/>
        </w:rPr>
      </w:pPr>
      <w:r w:rsidRPr="00CC39BD">
        <w:rPr>
          <w:sz w:val="24"/>
          <w:szCs w:val="24"/>
          <w:u w:val="single"/>
          <w:lang w:bidi="da-DK"/>
        </w:rPr>
        <w:t>Pædiatrisk population</w:t>
      </w:r>
    </w:p>
    <w:p w:rsidR="00CC39BD" w:rsidRPr="00CC39BD" w:rsidRDefault="00CC39BD" w:rsidP="00CC39BD">
      <w:pPr>
        <w:tabs>
          <w:tab w:val="left" w:pos="851"/>
        </w:tabs>
        <w:ind w:left="851"/>
        <w:rPr>
          <w:sz w:val="24"/>
          <w:szCs w:val="24"/>
          <w:lang w:bidi="da-DK"/>
        </w:rPr>
      </w:pPr>
      <w:r w:rsidRPr="00CC39BD">
        <w:rPr>
          <w:sz w:val="24"/>
          <w:szCs w:val="24"/>
          <w:lang w:bidi="da-DK"/>
        </w:rPr>
        <w:t>Der foreligger ingen data.</w:t>
      </w:r>
    </w:p>
    <w:p w:rsidR="00CC39BD" w:rsidRPr="00CC39BD" w:rsidRDefault="00CC39BD" w:rsidP="00CC39BD">
      <w:pPr>
        <w:tabs>
          <w:tab w:val="left" w:pos="851"/>
        </w:tabs>
        <w:ind w:left="851"/>
        <w:rPr>
          <w:sz w:val="24"/>
          <w:szCs w:val="24"/>
          <w:lang w:bidi="da-DK"/>
        </w:rPr>
      </w:pPr>
    </w:p>
    <w:p w:rsidR="00CC39BD" w:rsidRPr="00CC39BD" w:rsidRDefault="00CC39BD" w:rsidP="00CC39BD">
      <w:pPr>
        <w:tabs>
          <w:tab w:val="left" w:pos="851"/>
        </w:tabs>
        <w:ind w:left="851"/>
        <w:rPr>
          <w:sz w:val="24"/>
          <w:szCs w:val="24"/>
          <w:u w:val="single"/>
          <w:lang w:bidi="da-DK"/>
        </w:rPr>
      </w:pPr>
      <w:r w:rsidRPr="00CC39BD">
        <w:rPr>
          <w:sz w:val="24"/>
          <w:szCs w:val="24"/>
          <w:u w:val="single"/>
          <w:lang w:bidi="da-DK"/>
        </w:rPr>
        <w:t>Andre særlige populationer</w:t>
      </w:r>
    </w:p>
    <w:p w:rsidR="00CC39BD" w:rsidRPr="00CC39BD" w:rsidRDefault="00CC39BD" w:rsidP="00CC39BD">
      <w:pPr>
        <w:tabs>
          <w:tab w:val="left" w:pos="851"/>
        </w:tabs>
        <w:ind w:left="851"/>
        <w:rPr>
          <w:sz w:val="24"/>
          <w:szCs w:val="24"/>
          <w:lang w:bidi="da-DK"/>
        </w:rPr>
      </w:pPr>
      <w:r w:rsidRPr="00CC39BD">
        <w:rPr>
          <w:sz w:val="24"/>
          <w:szCs w:val="24"/>
          <w:lang w:bidi="da-DK"/>
        </w:rPr>
        <w:t>Der foreligger ingen data.</w:t>
      </w:r>
    </w:p>
    <w:p w:rsidR="00CC39BD" w:rsidRPr="00CC39BD" w:rsidRDefault="00CC39BD" w:rsidP="00CC39BD">
      <w:pPr>
        <w:tabs>
          <w:tab w:val="left" w:pos="851"/>
        </w:tabs>
        <w:ind w:left="851"/>
        <w:rPr>
          <w:sz w:val="24"/>
          <w:szCs w:val="24"/>
          <w:lang w:bidi="da-DK"/>
        </w:rPr>
      </w:pPr>
    </w:p>
    <w:p w:rsidR="009260DE" w:rsidRPr="00C84483" w:rsidRDefault="009260DE" w:rsidP="009260DE">
      <w:pPr>
        <w:tabs>
          <w:tab w:val="left" w:pos="851"/>
        </w:tabs>
        <w:ind w:left="851" w:hanging="851"/>
        <w:rPr>
          <w:b/>
          <w:sz w:val="24"/>
          <w:szCs w:val="24"/>
        </w:rPr>
      </w:pPr>
      <w:r w:rsidRPr="00C84483">
        <w:rPr>
          <w:b/>
          <w:sz w:val="24"/>
          <w:szCs w:val="24"/>
        </w:rPr>
        <w:lastRenderedPageBreak/>
        <w:t>5.3</w:t>
      </w:r>
      <w:r w:rsidRPr="00C84483">
        <w:rPr>
          <w:b/>
          <w:sz w:val="24"/>
          <w:szCs w:val="24"/>
        </w:rPr>
        <w:tab/>
      </w:r>
      <w:bookmarkStart w:id="6" w:name="_Hlk121750318"/>
      <w:r w:rsidR="0033394B" w:rsidRPr="00BA4587">
        <w:rPr>
          <w:b/>
          <w:sz w:val="24"/>
          <w:szCs w:val="24"/>
        </w:rPr>
        <w:t>Non-kliniske sikkerhedsdata</w:t>
      </w:r>
      <w:bookmarkEnd w:id="6"/>
    </w:p>
    <w:p w:rsidR="00B90057" w:rsidRPr="00B90057" w:rsidRDefault="00B90057" w:rsidP="00B90057">
      <w:pPr>
        <w:tabs>
          <w:tab w:val="left" w:pos="851"/>
        </w:tabs>
        <w:ind w:left="851"/>
        <w:rPr>
          <w:sz w:val="24"/>
          <w:szCs w:val="24"/>
          <w:lang w:bidi="da-DK"/>
        </w:rPr>
      </w:pPr>
      <w:r w:rsidRPr="00B90057">
        <w:rPr>
          <w:sz w:val="24"/>
          <w:szCs w:val="24"/>
          <w:lang w:bidi="da-DK"/>
        </w:rPr>
        <w:t xml:space="preserve">Virkninger i ikke-kliniske undersøgelser af toksicitet ved gentagen dosering blev kun observeret ved eksponeringer, der blev anset for at være tilstrækkeligt ud over den maksimale eksponering for mennesker, hvilket indikerer, at en sådan toksicitet sandsynligvis kun vil opstå ved kronisk overdosering, hvor der kan opstå </w:t>
      </w:r>
      <w:proofErr w:type="spellStart"/>
      <w:r w:rsidRPr="00B90057">
        <w:rPr>
          <w:sz w:val="24"/>
          <w:szCs w:val="24"/>
          <w:lang w:bidi="da-DK"/>
        </w:rPr>
        <w:t>hyperkalcæmi</w:t>
      </w:r>
      <w:proofErr w:type="spellEnd"/>
      <w:r w:rsidRPr="00B90057">
        <w:rPr>
          <w:sz w:val="24"/>
          <w:szCs w:val="24"/>
          <w:lang w:bidi="da-DK"/>
        </w:rPr>
        <w:t>.</w:t>
      </w:r>
    </w:p>
    <w:p w:rsidR="00B90057" w:rsidRPr="00B90057" w:rsidRDefault="00B90057" w:rsidP="00B90057">
      <w:pPr>
        <w:tabs>
          <w:tab w:val="left" w:pos="851"/>
        </w:tabs>
        <w:ind w:left="851"/>
        <w:rPr>
          <w:sz w:val="24"/>
          <w:szCs w:val="24"/>
          <w:lang w:bidi="da-DK"/>
        </w:rPr>
      </w:pPr>
    </w:p>
    <w:p w:rsidR="00B90057" w:rsidRPr="00B90057" w:rsidRDefault="00B90057" w:rsidP="00B90057">
      <w:pPr>
        <w:tabs>
          <w:tab w:val="left" w:pos="851"/>
        </w:tabs>
        <w:ind w:left="851"/>
        <w:rPr>
          <w:sz w:val="24"/>
          <w:szCs w:val="24"/>
          <w:lang w:bidi="da-DK"/>
        </w:rPr>
      </w:pPr>
      <w:r w:rsidRPr="00B90057">
        <w:rPr>
          <w:sz w:val="24"/>
          <w:szCs w:val="24"/>
          <w:lang w:bidi="da-DK"/>
        </w:rPr>
        <w:t xml:space="preserve">Ingen neoplastiske ændringer, der kunne tilskrives </w:t>
      </w:r>
      <w:proofErr w:type="spellStart"/>
      <w:r w:rsidRPr="00B90057">
        <w:rPr>
          <w:sz w:val="24"/>
          <w:szCs w:val="24"/>
          <w:lang w:bidi="da-DK"/>
        </w:rPr>
        <w:t>calcifediol</w:t>
      </w:r>
      <w:proofErr w:type="spellEnd"/>
      <w:r w:rsidRPr="00B90057">
        <w:rPr>
          <w:sz w:val="24"/>
          <w:szCs w:val="24"/>
          <w:lang w:bidi="da-DK"/>
        </w:rPr>
        <w:t>, blev observeret ved subkutane doser på 3, 10 og 33 mikrogram/kg/dag i et 26</w:t>
      </w:r>
      <w:r w:rsidRPr="00B90057">
        <w:rPr>
          <w:sz w:val="24"/>
          <w:szCs w:val="24"/>
          <w:lang w:bidi="da-DK"/>
        </w:rPr>
        <w:noBreakHyphen/>
        <w:t>ugers studie med rasH2-transgenetiske mus.</w:t>
      </w:r>
    </w:p>
    <w:p w:rsidR="00B90057" w:rsidRPr="00B90057" w:rsidRDefault="00B90057" w:rsidP="00B90057">
      <w:pPr>
        <w:tabs>
          <w:tab w:val="left" w:pos="851"/>
        </w:tabs>
        <w:ind w:left="851"/>
        <w:rPr>
          <w:sz w:val="24"/>
          <w:szCs w:val="24"/>
          <w:lang w:bidi="da-DK"/>
        </w:rPr>
      </w:pPr>
    </w:p>
    <w:p w:rsidR="00B90057" w:rsidRPr="00B90057" w:rsidRDefault="00B90057" w:rsidP="00B90057">
      <w:pPr>
        <w:tabs>
          <w:tab w:val="left" w:pos="851"/>
        </w:tabs>
        <w:ind w:left="851"/>
        <w:rPr>
          <w:sz w:val="24"/>
          <w:szCs w:val="24"/>
          <w:lang w:bidi="da-DK"/>
        </w:rPr>
      </w:pPr>
      <w:r w:rsidRPr="00B90057">
        <w:rPr>
          <w:sz w:val="24"/>
          <w:szCs w:val="24"/>
          <w:lang w:bidi="da-DK"/>
        </w:rPr>
        <w:t xml:space="preserve">Der foreligger ingen data om fertilitet for </w:t>
      </w:r>
      <w:proofErr w:type="spellStart"/>
      <w:r w:rsidRPr="00B90057">
        <w:rPr>
          <w:sz w:val="24"/>
          <w:szCs w:val="24"/>
          <w:lang w:bidi="da-DK"/>
        </w:rPr>
        <w:t>calcifediol</w:t>
      </w:r>
      <w:proofErr w:type="spellEnd"/>
      <w:r w:rsidRPr="00B90057">
        <w:rPr>
          <w:sz w:val="24"/>
          <w:szCs w:val="24"/>
          <w:lang w:bidi="da-DK"/>
        </w:rPr>
        <w:t xml:space="preserve">. Der blev ikke observeret nogen effekter i reproduktive fertilitetsstudier med </w:t>
      </w:r>
      <w:proofErr w:type="spellStart"/>
      <w:r w:rsidRPr="00B90057">
        <w:rPr>
          <w:sz w:val="24"/>
          <w:szCs w:val="24"/>
          <w:lang w:bidi="da-DK"/>
        </w:rPr>
        <w:t>cholecalciferol</w:t>
      </w:r>
      <w:proofErr w:type="spellEnd"/>
      <w:r w:rsidRPr="00B90057">
        <w:rPr>
          <w:sz w:val="24"/>
          <w:szCs w:val="24"/>
          <w:lang w:bidi="da-DK"/>
        </w:rPr>
        <w:t>. Normale endogene niveauer af vitamin D forventes ikke at have nogen skadelige virkninger på fertiliteten.</w:t>
      </w:r>
    </w:p>
    <w:p w:rsidR="00B90057" w:rsidRPr="00B90057" w:rsidRDefault="00B90057" w:rsidP="00B90057">
      <w:pPr>
        <w:tabs>
          <w:tab w:val="left" w:pos="851"/>
        </w:tabs>
        <w:ind w:left="851"/>
        <w:rPr>
          <w:sz w:val="24"/>
          <w:szCs w:val="24"/>
          <w:lang w:bidi="da-DK"/>
        </w:rPr>
      </w:pPr>
    </w:p>
    <w:p w:rsidR="00B90057" w:rsidRPr="00B90057" w:rsidRDefault="00B90057" w:rsidP="00B90057">
      <w:pPr>
        <w:tabs>
          <w:tab w:val="left" w:pos="851"/>
        </w:tabs>
        <w:ind w:left="851"/>
        <w:rPr>
          <w:sz w:val="24"/>
          <w:szCs w:val="24"/>
          <w:lang w:bidi="da-DK"/>
        </w:rPr>
      </w:pPr>
      <w:r w:rsidRPr="00B90057">
        <w:rPr>
          <w:sz w:val="24"/>
          <w:szCs w:val="24"/>
          <w:lang w:bidi="da-DK"/>
        </w:rPr>
        <w:t xml:space="preserve">Den aktive metabolit af </w:t>
      </w:r>
      <w:proofErr w:type="spellStart"/>
      <w:r w:rsidRPr="00B90057">
        <w:rPr>
          <w:sz w:val="24"/>
          <w:szCs w:val="24"/>
          <w:lang w:bidi="da-DK"/>
        </w:rPr>
        <w:t>calcifediol</w:t>
      </w:r>
      <w:proofErr w:type="spellEnd"/>
      <w:r w:rsidRPr="00B90057">
        <w:rPr>
          <w:sz w:val="24"/>
          <w:szCs w:val="24"/>
          <w:lang w:bidi="da-DK"/>
        </w:rPr>
        <w:t xml:space="preserve">, </w:t>
      </w:r>
      <w:proofErr w:type="spellStart"/>
      <w:r w:rsidRPr="00B90057">
        <w:rPr>
          <w:sz w:val="24"/>
          <w:szCs w:val="24"/>
          <w:lang w:bidi="da-DK"/>
        </w:rPr>
        <w:t>calcitriol</w:t>
      </w:r>
      <w:proofErr w:type="spellEnd"/>
      <w:r w:rsidRPr="00B90057">
        <w:rPr>
          <w:sz w:val="24"/>
          <w:szCs w:val="24"/>
          <w:lang w:bidi="da-DK"/>
        </w:rPr>
        <w:t xml:space="preserve">, viste sig at være </w:t>
      </w:r>
      <w:proofErr w:type="spellStart"/>
      <w:r w:rsidRPr="00B90057">
        <w:rPr>
          <w:sz w:val="24"/>
          <w:szCs w:val="24"/>
          <w:lang w:bidi="da-DK"/>
        </w:rPr>
        <w:t>teratogen</w:t>
      </w:r>
      <w:proofErr w:type="spellEnd"/>
      <w:r w:rsidRPr="00B90057">
        <w:rPr>
          <w:sz w:val="24"/>
          <w:szCs w:val="24"/>
          <w:lang w:bidi="da-DK"/>
        </w:rPr>
        <w:t xml:space="preserve"> hos kaniner, når den blev givet i doser, der svarer til mere end 9 gange den anbefalede dosis af </w:t>
      </w:r>
      <w:proofErr w:type="spellStart"/>
      <w:r w:rsidRPr="00B90057">
        <w:rPr>
          <w:sz w:val="24"/>
          <w:szCs w:val="24"/>
          <w:lang w:bidi="da-DK"/>
        </w:rPr>
        <w:t>calcitriol</w:t>
      </w:r>
      <w:proofErr w:type="spellEnd"/>
      <w:r w:rsidRPr="00B90057">
        <w:rPr>
          <w:sz w:val="24"/>
          <w:szCs w:val="24"/>
          <w:lang w:bidi="da-DK"/>
        </w:rPr>
        <w:t xml:space="preserve"> til mennesker. </w:t>
      </w:r>
      <w:proofErr w:type="spellStart"/>
      <w:r w:rsidRPr="00B90057">
        <w:rPr>
          <w:sz w:val="24"/>
          <w:szCs w:val="24"/>
          <w:lang w:bidi="da-DK"/>
        </w:rPr>
        <w:t>Calcitriol</w:t>
      </w:r>
      <w:proofErr w:type="spellEnd"/>
      <w:r w:rsidRPr="00B90057">
        <w:rPr>
          <w:sz w:val="24"/>
          <w:szCs w:val="24"/>
          <w:lang w:bidi="da-DK"/>
        </w:rPr>
        <w:t xml:space="preserve"> var ikke </w:t>
      </w:r>
      <w:proofErr w:type="spellStart"/>
      <w:r w:rsidRPr="00B90057">
        <w:rPr>
          <w:sz w:val="24"/>
          <w:szCs w:val="24"/>
          <w:lang w:bidi="da-DK"/>
        </w:rPr>
        <w:t>teratogent</w:t>
      </w:r>
      <w:proofErr w:type="spellEnd"/>
      <w:r w:rsidRPr="00B90057">
        <w:rPr>
          <w:sz w:val="24"/>
          <w:szCs w:val="24"/>
          <w:lang w:bidi="da-DK"/>
        </w:rPr>
        <w:t xml:space="preserve"> hos rotter.</w:t>
      </w:r>
    </w:p>
    <w:p w:rsidR="00B90057" w:rsidRPr="00B90057" w:rsidRDefault="00B90057" w:rsidP="00B90057">
      <w:pPr>
        <w:tabs>
          <w:tab w:val="left" w:pos="851"/>
        </w:tabs>
        <w:ind w:left="851"/>
        <w:rPr>
          <w:sz w:val="24"/>
          <w:szCs w:val="24"/>
          <w:lang w:bidi="da-DK"/>
        </w:rPr>
      </w:pPr>
    </w:p>
    <w:p w:rsidR="00B90057" w:rsidRPr="00B90057" w:rsidRDefault="00B90057" w:rsidP="00B90057">
      <w:pPr>
        <w:tabs>
          <w:tab w:val="left" w:pos="851"/>
        </w:tabs>
        <w:ind w:left="851"/>
        <w:rPr>
          <w:sz w:val="24"/>
          <w:szCs w:val="24"/>
          <w:lang w:bidi="da-DK"/>
        </w:rPr>
      </w:pPr>
      <w:r w:rsidRPr="00B90057">
        <w:rPr>
          <w:sz w:val="24"/>
          <w:szCs w:val="24"/>
          <w:lang w:bidi="da-DK"/>
        </w:rPr>
        <w:t xml:space="preserve">Normale endogene niveauer af </w:t>
      </w:r>
      <w:proofErr w:type="spellStart"/>
      <w:r w:rsidRPr="00B90057">
        <w:rPr>
          <w:sz w:val="24"/>
          <w:szCs w:val="24"/>
          <w:lang w:bidi="da-DK"/>
        </w:rPr>
        <w:t>cholecalciferol</w:t>
      </w:r>
      <w:proofErr w:type="spellEnd"/>
      <w:r w:rsidRPr="00B90057">
        <w:rPr>
          <w:sz w:val="24"/>
          <w:szCs w:val="24"/>
          <w:lang w:bidi="da-DK"/>
        </w:rPr>
        <w:t xml:space="preserve">, en forløber for </w:t>
      </w:r>
      <w:proofErr w:type="spellStart"/>
      <w:r w:rsidRPr="00B90057">
        <w:rPr>
          <w:sz w:val="24"/>
          <w:szCs w:val="24"/>
          <w:lang w:bidi="da-DK"/>
        </w:rPr>
        <w:t>calcifediol</w:t>
      </w:r>
      <w:proofErr w:type="spellEnd"/>
      <w:r w:rsidRPr="00B90057">
        <w:rPr>
          <w:sz w:val="24"/>
          <w:szCs w:val="24"/>
          <w:lang w:bidi="da-DK"/>
        </w:rPr>
        <w:t>, har ingen potentiel mutagen eller kræftfremkaldende aktivitet.</w:t>
      </w:r>
    </w:p>
    <w:p w:rsidR="00B90057" w:rsidRPr="00B90057" w:rsidRDefault="00B90057" w:rsidP="00B90057">
      <w:pPr>
        <w:tabs>
          <w:tab w:val="left" w:pos="851"/>
        </w:tabs>
        <w:ind w:left="851"/>
        <w:rPr>
          <w:sz w:val="24"/>
          <w:szCs w:val="24"/>
          <w:lang w:bidi="da-DK"/>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B90057" w:rsidRPr="00B90057" w:rsidRDefault="00B90057" w:rsidP="00B90057">
      <w:pPr>
        <w:tabs>
          <w:tab w:val="left" w:pos="851"/>
        </w:tabs>
        <w:ind w:left="851"/>
        <w:rPr>
          <w:sz w:val="24"/>
          <w:szCs w:val="24"/>
          <w:lang w:bidi="da-DK"/>
        </w:rPr>
      </w:pPr>
    </w:p>
    <w:p w:rsidR="00B90057" w:rsidRPr="00B90057" w:rsidRDefault="00B90057" w:rsidP="00B90057">
      <w:pPr>
        <w:tabs>
          <w:tab w:val="left" w:pos="851"/>
        </w:tabs>
        <w:ind w:left="851"/>
        <w:rPr>
          <w:sz w:val="24"/>
          <w:szCs w:val="24"/>
          <w:u w:val="single"/>
          <w:lang w:bidi="da-DK"/>
        </w:rPr>
      </w:pPr>
      <w:r w:rsidRPr="00B90057">
        <w:rPr>
          <w:sz w:val="24"/>
          <w:szCs w:val="24"/>
          <w:u w:val="single"/>
          <w:lang w:bidi="da-DK"/>
        </w:rPr>
        <w:t>Fyldstoffet i kapslen indeholder</w:t>
      </w:r>
    </w:p>
    <w:p w:rsidR="00B90057" w:rsidRPr="00B90057" w:rsidRDefault="00B90057" w:rsidP="00B90057">
      <w:pPr>
        <w:tabs>
          <w:tab w:val="left" w:pos="851"/>
        </w:tabs>
        <w:ind w:left="851"/>
        <w:rPr>
          <w:sz w:val="24"/>
          <w:szCs w:val="24"/>
          <w:lang w:bidi="da-DK"/>
        </w:rPr>
      </w:pPr>
      <w:r w:rsidRPr="00B90057">
        <w:rPr>
          <w:sz w:val="24"/>
          <w:szCs w:val="24"/>
          <w:lang w:bidi="da-DK"/>
        </w:rPr>
        <w:t>Paraffin</w:t>
      </w:r>
    </w:p>
    <w:p w:rsidR="00B90057" w:rsidRPr="00B90057" w:rsidRDefault="00B90057" w:rsidP="00B90057">
      <w:pPr>
        <w:tabs>
          <w:tab w:val="left" w:pos="851"/>
        </w:tabs>
        <w:ind w:left="851"/>
        <w:rPr>
          <w:sz w:val="24"/>
          <w:szCs w:val="24"/>
          <w:lang w:bidi="da-DK"/>
        </w:rPr>
      </w:pPr>
      <w:r w:rsidRPr="00B90057">
        <w:rPr>
          <w:sz w:val="24"/>
          <w:szCs w:val="24"/>
          <w:lang w:bidi="da-DK"/>
        </w:rPr>
        <w:t>Paraffinolie</w:t>
      </w:r>
    </w:p>
    <w:p w:rsidR="00B90057" w:rsidRPr="00B90057" w:rsidRDefault="00B90057" w:rsidP="00B90057">
      <w:pPr>
        <w:tabs>
          <w:tab w:val="left" w:pos="851"/>
        </w:tabs>
        <w:ind w:left="851"/>
        <w:rPr>
          <w:sz w:val="24"/>
          <w:szCs w:val="24"/>
          <w:lang w:bidi="da-DK"/>
        </w:rPr>
      </w:pPr>
      <w:proofErr w:type="spellStart"/>
      <w:r w:rsidRPr="00B90057">
        <w:rPr>
          <w:sz w:val="24"/>
          <w:szCs w:val="24"/>
          <w:lang w:bidi="da-DK"/>
        </w:rPr>
        <w:t>Hypromellose</w:t>
      </w:r>
      <w:proofErr w:type="spellEnd"/>
    </w:p>
    <w:p w:rsidR="00B90057" w:rsidRPr="00B90057" w:rsidRDefault="00B90057" w:rsidP="00B90057">
      <w:pPr>
        <w:tabs>
          <w:tab w:val="left" w:pos="851"/>
        </w:tabs>
        <w:ind w:left="851"/>
        <w:rPr>
          <w:sz w:val="24"/>
          <w:szCs w:val="24"/>
          <w:lang w:bidi="da-DK"/>
        </w:rPr>
      </w:pPr>
      <w:proofErr w:type="spellStart"/>
      <w:r w:rsidRPr="00B90057">
        <w:rPr>
          <w:sz w:val="24"/>
          <w:szCs w:val="24"/>
          <w:lang w:bidi="da-DK"/>
        </w:rPr>
        <w:t>Glycerolmonostearat</w:t>
      </w:r>
      <w:proofErr w:type="spellEnd"/>
    </w:p>
    <w:p w:rsidR="00485419" w:rsidRPr="00B90057" w:rsidRDefault="00485419" w:rsidP="00485419">
      <w:pPr>
        <w:ind w:firstLine="851"/>
        <w:rPr>
          <w:sz w:val="24"/>
          <w:szCs w:val="24"/>
        </w:rPr>
      </w:pPr>
      <w:proofErr w:type="spellStart"/>
      <w:r w:rsidRPr="00B90057">
        <w:rPr>
          <w:sz w:val="24"/>
          <w:szCs w:val="24"/>
        </w:rPr>
        <w:t>Laurylmacrogolglycerider</w:t>
      </w:r>
      <w:proofErr w:type="spellEnd"/>
    </w:p>
    <w:p w:rsidR="00B90057" w:rsidRPr="00B90057" w:rsidRDefault="00B90057" w:rsidP="00B90057">
      <w:pPr>
        <w:tabs>
          <w:tab w:val="left" w:pos="851"/>
        </w:tabs>
        <w:ind w:left="851"/>
        <w:rPr>
          <w:sz w:val="24"/>
          <w:szCs w:val="24"/>
          <w:lang w:bidi="da-DK"/>
        </w:rPr>
      </w:pPr>
      <w:proofErr w:type="spellStart"/>
      <w:r w:rsidRPr="00B90057">
        <w:rPr>
          <w:sz w:val="24"/>
          <w:szCs w:val="24"/>
          <w:lang w:bidi="da-DK"/>
        </w:rPr>
        <w:t>Ethanol</w:t>
      </w:r>
      <w:proofErr w:type="spellEnd"/>
      <w:r w:rsidRPr="00B90057">
        <w:rPr>
          <w:sz w:val="24"/>
          <w:szCs w:val="24"/>
          <w:lang w:bidi="da-DK"/>
        </w:rPr>
        <w:t>, vandfri</w:t>
      </w:r>
    </w:p>
    <w:p w:rsidR="00B90057" w:rsidRPr="00B90057" w:rsidRDefault="00B90057" w:rsidP="00B90057">
      <w:pPr>
        <w:tabs>
          <w:tab w:val="left" w:pos="851"/>
        </w:tabs>
        <w:ind w:left="851"/>
        <w:rPr>
          <w:sz w:val="24"/>
          <w:szCs w:val="24"/>
          <w:lang w:bidi="da-DK"/>
        </w:rPr>
      </w:pPr>
      <w:proofErr w:type="spellStart"/>
      <w:r w:rsidRPr="00B90057">
        <w:rPr>
          <w:sz w:val="24"/>
          <w:szCs w:val="24"/>
          <w:lang w:bidi="da-DK"/>
        </w:rPr>
        <w:t>Butyleret</w:t>
      </w:r>
      <w:proofErr w:type="spellEnd"/>
      <w:r w:rsidRPr="00B90057">
        <w:rPr>
          <w:sz w:val="24"/>
          <w:szCs w:val="24"/>
          <w:lang w:bidi="da-DK"/>
        </w:rPr>
        <w:t xml:space="preserve"> </w:t>
      </w:r>
      <w:proofErr w:type="spellStart"/>
      <w:r w:rsidRPr="00B90057">
        <w:rPr>
          <w:sz w:val="24"/>
          <w:szCs w:val="24"/>
          <w:lang w:bidi="da-DK"/>
        </w:rPr>
        <w:t>hydroxytoluen</w:t>
      </w:r>
      <w:proofErr w:type="spellEnd"/>
    </w:p>
    <w:p w:rsidR="00B90057" w:rsidRPr="00B90057" w:rsidRDefault="00B90057" w:rsidP="00B90057">
      <w:pPr>
        <w:tabs>
          <w:tab w:val="left" w:pos="851"/>
        </w:tabs>
        <w:ind w:left="851"/>
        <w:rPr>
          <w:sz w:val="24"/>
          <w:szCs w:val="24"/>
          <w:lang w:bidi="da-DK"/>
        </w:rPr>
      </w:pPr>
    </w:p>
    <w:p w:rsidR="00B90057" w:rsidRPr="00B90057" w:rsidRDefault="00B90057" w:rsidP="00B90057">
      <w:pPr>
        <w:tabs>
          <w:tab w:val="left" w:pos="851"/>
        </w:tabs>
        <w:ind w:left="851"/>
        <w:rPr>
          <w:sz w:val="24"/>
          <w:szCs w:val="24"/>
          <w:u w:val="single"/>
          <w:lang w:bidi="da-DK"/>
        </w:rPr>
      </w:pPr>
      <w:r w:rsidRPr="00B90057">
        <w:rPr>
          <w:sz w:val="24"/>
          <w:szCs w:val="24"/>
          <w:u w:val="single"/>
          <w:lang w:bidi="da-DK"/>
        </w:rPr>
        <w:t>Kapslens skal indeholder</w:t>
      </w:r>
    </w:p>
    <w:p w:rsidR="00B90057" w:rsidRPr="00B90057" w:rsidRDefault="00B90057" w:rsidP="00B90057">
      <w:pPr>
        <w:tabs>
          <w:tab w:val="left" w:pos="851"/>
        </w:tabs>
        <w:ind w:left="851"/>
        <w:rPr>
          <w:sz w:val="24"/>
          <w:szCs w:val="24"/>
          <w:lang w:bidi="da-DK"/>
        </w:rPr>
      </w:pPr>
      <w:r w:rsidRPr="00B90057">
        <w:rPr>
          <w:sz w:val="24"/>
          <w:szCs w:val="24"/>
          <w:lang w:bidi="da-DK"/>
        </w:rPr>
        <w:t>Modificeret stivelse (</w:t>
      </w:r>
      <w:proofErr w:type="spellStart"/>
      <w:r w:rsidRPr="00B90057">
        <w:rPr>
          <w:sz w:val="24"/>
          <w:szCs w:val="24"/>
          <w:lang w:bidi="da-DK"/>
        </w:rPr>
        <w:t>hydroxypropylstivelse</w:t>
      </w:r>
      <w:proofErr w:type="spellEnd"/>
      <w:r w:rsidRPr="00B90057">
        <w:rPr>
          <w:sz w:val="24"/>
          <w:szCs w:val="24"/>
          <w:lang w:bidi="da-DK"/>
        </w:rPr>
        <w:t>)</w:t>
      </w:r>
    </w:p>
    <w:p w:rsidR="00B90057" w:rsidRPr="00B90057" w:rsidRDefault="00B90057" w:rsidP="00B90057">
      <w:pPr>
        <w:tabs>
          <w:tab w:val="left" w:pos="851"/>
        </w:tabs>
        <w:ind w:left="851"/>
        <w:rPr>
          <w:sz w:val="24"/>
          <w:szCs w:val="24"/>
          <w:lang w:bidi="da-DK"/>
        </w:rPr>
      </w:pPr>
      <w:proofErr w:type="spellStart"/>
      <w:r w:rsidRPr="00B90057">
        <w:rPr>
          <w:sz w:val="24"/>
          <w:szCs w:val="24"/>
          <w:lang w:bidi="da-DK"/>
        </w:rPr>
        <w:t>Carrageenan</w:t>
      </w:r>
      <w:proofErr w:type="spellEnd"/>
    </w:p>
    <w:p w:rsidR="00B90057" w:rsidRPr="00B90057" w:rsidRDefault="00B90057" w:rsidP="00B90057">
      <w:pPr>
        <w:tabs>
          <w:tab w:val="left" w:pos="851"/>
        </w:tabs>
        <w:ind w:left="851"/>
        <w:rPr>
          <w:sz w:val="24"/>
          <w:szCs w:val="24"/>
          <w:lang w:bidi="da-DK"/>
        </w:rPr>
      </w:pPr>
      <w:proofErr w:type="spellStart"/>
      <w:r w:rsidRPr="00B90057">
        <w:rPr>
          <w:sz w:val="24"/>
          <w:szCs w:val="24"/>
          <w:lang w:bidi="da-DK"/>
        </w:rPr>
        <w:t>Dinatriumphosphat</w:t>
      </w:r>
      <w:proofErr w:type="spellEnd"/>
      <w:r w:rsidRPr="00B90057">
        <w:rPr>
          <w:sz w:val="24"/>
          <w:szCs w:val="24"/>
          <w:lang w:bidi="da-DK"/>
        </w:rPr>
        <w:t>, vandfri</w:t>
      </w:r>
    </w:p>
    <w:p w:rsidR="00B90057" w:rsidRPr="00B90057" w:rsidRDefault="00B90057" w:rsidP="00B90057">
      <w:pPr>
        <w:tabs>
          <w:tab w:val="left" w:pos="851"/>
        </w:tabs>
        <w:ind w:left="851"/>
        <w:rPr>
          <w:sz w:val="24"/>
          <w:szCs w:val="24"/>
          <w:lang w:bidi="da-DK"/>
        </w:rPr>
      </w:pPr>
      <w:r w:rsidRPr="00B90057">
        <w:rPr>
          <w:sz w:val="24"/>
          <w:szCs w:val="24"/>
          <w:lang w:bidi="da-DK"/>
        </w:rPr>
        <w:t>Sorbitol, flydende, delvist dehydreret (E420)</w:t>
      </w:r>
    </w:p>
    <w:p w:rsidR="00B90057" w:rsidRPr="00B90057" w:rsidRDefault="00B90057" w:rsidP="00B90057">
      <w:pPr>
        <w:tabs>
          <w:tab w:val="left" w:pos="851"/>
        </w:tabs>
        <w:ind w:left="851"/>
        <w:rPr>
          <w:sz w:val="24"/>
          <w:szCs w:val="24"/>
          <w:lang w:bidi="da-DK"/>
        </w:rPr>
      </w:pPr>
      <w:proofErr w:type="spellStart"/>
      <w:r w:rsidRPr="00B90057">
        <w:rPr>
          <w:sz w:val="24"/>
          <w:szCs w:val="24"/>
          <w:lang w:bidi="da-DK"/>
        </w:rPr>
        <w:t>Brilliant</w:t>
      </w:r>
      <w:proofErr w:type="spellEnd"/>
      <w:r w:rsidRPr="00B90057">
        <w:rPr>
          <w:sz w:val="24"/>
          <w:szCs w:val="24"/>
          <w:lang w:bidi="da-DK"/>
        </w:rPr>
        <w:t xml:space="preserve"> Blue FCF (E133)</w:t>
      </w:r>
    </w:p>
    <w:p w:rsidR="00B90057" w:rsidRPr="00B90057" w:rsidRDefault="00B90057" w:rsidP="00B90057">
      <w:pPr>
        <w:tabs>
          <w:tab w:val="left" w:pos="851"/>
        </w:tabs>
        <w:ind w:left="851"/>
        <w:rPr>
          <w:sz w:val="24"/>
          <w:szCs w:val="24"/>
          <w:lang w:bidi="da-DK"/>
        </w:rPr>
      </w:pPr>
      <w:r w:rsidRPr="00B90057">
        <w:rPr>
          <w:sz w:val="24"/>
          <w:szCs w:val="24"/>
          <w:lang w:bidi="da-DK"/>
        </w:rPr>
        <w:t>Titandioxid</w:t>
      </w:r>
    </w:p>
    <w:p w:rsidR="00B90057" w:rsidRPr="00B90057" w:rsidRDefault="00B90057" w:rsidP="00B90057">
      <w:pPr>
        <w:tabs>
          <w:tab w:val="left" w:pos="851"/>
        </w:tabs>
        <w:ind w:left="851"/>
        <w:rPr>
          <w:sz w:val="24"/>
          <w:szCs w:val="24"/>
          <w:lang w:bidi="da-DK"/>
        </w:rPr>
      </w:pPr>
      <w:r w:rsidRPr="00B90057">
        <w:rPr>
          <w:sz w:val="24"/>
          <w:szCs w:val="24"/>
          <w:lang w:bidi="da-DK"/>
        </w:rPr>
        <w:t>Renset vand</w:t>
      </w:r>
    </w:p>
    <w:p w:rsidR="00386620" w:rsidRDefault="00386620" w:rsidP="00B90057">
      <w:pPr>
        <w:tabs>
          <w:tab w:val="left" w:pos="851"/>
        </w:tabs>
        <w:ind w:left="851"/>
        <w:rPr>
          <w:sz w:val="24"/>
          <w:szCs w:val="24"/>
          <w:lang w:bidi="da-DK"/>
        </w:rPr>
      </w:pPr>
    </w:p>
    <w:p w:rsidR="00B90057" w:rsidRPr="00B90057" w:rsidRDefault="00B90057" w:rsidP="00B90057">
      <w:pPr>
        <w:tabs>
          <w:tab w:val="left" w:pos="851"/>
        </w:tabs>
        <w:ind w:left="851"/>
        <w:rPr>
          <w:sz w:val="24"/>
          <w:szCs w:val="24"/>
          <w:lang w:bidi="da-DK"/>
        </w:rPr>
      </w:pPr>
      <w:r w:rsidRPr="00B90057">
        <w:rPr>
          <w:sz w:val="24"/>
          <w:szCs w:val="24"/>
          <w:lang w:bidi="da-DK"/>
        </w:rPr>
        <w:t>Olie med triglycerider, middelkædelængde (fraktioneret kokosolie) anvendes som smøremiddel under fremstillingen, og spormængder kan være til stede i den endelige formulering.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386620"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6.3</w:t>
      </w:r>
      <w:r w:rsidRPr="00C84483">
        <w:rPr>
          <w:b/>
          <w:sz w:val="24"/>
          <w:szCs w:val="24"/>
        </w:rPr>
        <w:tab/>
        <w:t>Opbevaringstid</w:t>
      </w:r>
    </w:p>
    <w:p w:rsidR="00386620" w:rsidRDefault="00C3067A" w:rsidP="00386620">
      <w:pPr>
        <w:tabs>
          <w:tab w:val="left" w:pos="851"/>
        </w:tabs>
        <w:ind w:left="851"/>
        <w:rPr>
          <w:sz w:val="24"/>
          <w:szCs w:val="24"/>
          <w:lang w:bidi="da-DK"/>
        </w:rPr>
      </w:pPr>
      <w:r>
        <w:rPr>
          <w:sz w:val="24"/>
          <w:szCs w:val="24"/>
          <w:lang w:bidi="da-DK"/>
        </w:rPr>
        <w:t>18</w:t>
      </w:r>
      <w:r w:rsidR="00386620" w:rsidRPr="00386620">
        <w:rPr>
          <w:sz w:val="24"/>
          <w:szCs w:val="24"/>
          <w:lang w:bidi="da-DK"/>
        </w:rPr>
        <w:t> måneder</w:t>
      </w:r>
      <w:r w:rsidR="00386620">
        <w:rPr>
          <w:sz w:val="24"/>
          <w:szCs w:val="24"/>
          <w:lang w:bidi="da-DK"/>
        </w:rPr>
        <w:t>.</w:t>
      </w:r>
    </w:p>
    <w:p w:rsidR="00386620" w:rsidRPr="00386620" w:rsidRDefault="00386620" w:rsidP="00386620">
      <w:pPr>
        <w:tabs>
          <w:tab w:val="left" w:pos="851"/>
        </w:tabs>
        <w:ind w:left="851"/>
        <w:rPr>
          <w:sz w:val="24"/>
          <w:szCs w:val="24"/>
          <w:lang w:bidi="da-DK"/>
        </w:rPr>
      </w:pPr>
    </w:p>
    <w:p w:rsidR="00386620" w:rsidRPr="00386620" w:rsidRDefault="00386620" w:rsidP="00386620">
      <w:pPr>
        <w:tabs>
          <w:tab w:val="left" w:pos="851"/>
        </w:tabs>
        <w:ind w:left="851"/>
        <w:rPr>
          <w:sz w:val="24"/>
          <w:szCs w:val="24"/>
          <w:lang w:bidi="da-DK"/>
        </w:rPr>
      </w:pPr>
      <w:r w:rsidRPr="00386620">
        <w:rPr>
          <w:sz w:val="24"/>
          <w:szCs w:val="24"/>
          <w:lang w:bidi="da-DK"/>
        </w:rPr>
        <w:t>Efter åbning</w:t>
      </w:r>
      <w:r>
        <w:rPr>
          <w:sz w:val="24"/>
          <w:szCs w:val="24"/>
          <w:lang w:bidi="da-DK"/>
        </w:rPr>
        <w:t>:</w:t>
      </w:r>
      <w:r w:rsidRPr="00386620">
        <w:rPr>
          <w:sz w:val="24"/>
          <w:szCs w:val="24"/>
          <w:lang w:bidi="da-DK"/>
        </w:rPr>
        <w:t xml:space="preserve"> 60 dage.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86620" w:rsidRPr="00386620" w:rsidRDefault="00386620" w:rsidP="00386620">
      <w:pPr>
        <w:tabs>
          <w:tab w:val="left" w:pos="851"/>
        </w:tabs>
        <w:ind w:left="851"/>
        <w:rPr>
          <w:sz w:val="24"/>
          <w:szCs w:val="24"/>
          <w:lang w:bidi="da-DK"/>
        </w:rPr>
      </w:pPr>
      <w:r w:rsidRPr="00386620">
        <w:rPr>
          <w:sz w:val="24"/>
          <w:szCs w:val="24"/>
          <w:lang w:bidi="da-DK"/>
        </w:rPr>
        <w:t>Må ikke opbevares ved temperaturer over 25 °C.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7" w:name="_Hlk121743052"/>
      <w:r w:rsidR="0033394B" w:rsidRPr="00BA4587">
        <w:rPr>
          <w:b/>
          <w:sz w:val="24"/>
          <w:szCs w:val="24"/>
        </w:rPr>
        <w:t>Emballagetype og pakningsstørrelser</w:t>
      </w:r>
      <w:bookmarkEnd w:id="7"/>
    </w:p>
    <w:p w:rsidR="00386620" w:rsidRPr="00386620" w:rsidRDefault="00386620" w:rsidP="00386620">
      <w:pPr>
        <w:tabs>
          <w:tab w:val="left" w:pos="851"/>
        </w:tabs>
        <w:ind w:left="851"/>
        <w:rPr>
          <w:sz w:val="24"/>
          <w:szCs w:val="24"/>
          <w:lang w:bidi="da-DK"/>
        </w:rPr>
      </w:pPr>
      <w:r w:rsidRPr="00386620">
        <w:rPr>
          <w:sz w:val="24"/>
          <w:szCs w:val="24"/>
          <w:lang w:bidi="da-DK"/>
        </w:rPr>
        <w:t xml:space="preserve">Rund, hvid beholder af </w:t>
      </w:r>
      <w:proofErr w:type="spellStart"/>
      <w:r w:rsidRPr="00386620">
        <w:rPr>
          <w:sz w:val="24"/>
          <w:szCs w:val="24"/>
          <w:lang w:bidi="da-DK"/>
        </w:rPr>
        <w:t>højdensitetspolyethylen</w:t>
      </w:r>
      <w:proofErr w:type="spellEnd"/>
      <w:r w:rsidRPr="00386620">
        <w:rPr>
          <w:sz w:val="24"/>
          <w:szCs w:val="24"/>
          <w:lang w:bidi="da-DK"/>
        </w:rPr>
        <w:t xml:space="preserve"> (HD-PE) med tryk- og drejplastlåg og indvendig varmeforseglet foring og gevind.</w:t>
      </w:r>
    </w:p>
    <w:p w:rsidR="00386620" w:rsidRPr="00386620" w:rsidRDefault="00386620" w:rsidP="00386620">
      <w:pPr>
        <w:tabs>
          <w:tab w:val="left" w:pos="851"/>
        </w:tabs>
        <w:ind w:left="851"/>
        <w:rPr>
          <w:sz w:val="24"/>
          <w:szCs w:val="24"/>
          <w:lang w:bidi="da-DK"/>
        </w:rPr>
      </w:pPr>
    </w:p>
    <w:p w:rsidR="00386620" w:rsidRDefault="00386620" w:rsidP="00386620">
      <w:pPr>
        <w:tabs>
          <w:tab w:val="left" w:pos="851"/>
        </w:tabs>
        <w:ind w:left="851"/>
        <w:rPr>
          <w:sz w:val="24"/>
          <w:szCs w:val="24"/>
          <w:lang w:bidi="da-DK"/>
        </w:rPr>
      </w:pPr>
      <w:r w:rsidRPr="00386620">
        <w:rPr>
          <w:sz w:val="24"/>
          <w:szCs w:val="24"/>
          <w:lang w:bidi="da-DK"/>
        </w:rPr>
        <w:t>Pakningsstørrelse</w:t>
      </w:r>
      <w:r w:rsidR="00191C42">
        <w:rPr>
          <w:sz w:val="24"/>
          <w:szCs w:val="24"/>
          <w:lang w:bidi="da-DK"/>
        </w:rPr>
        <w:t xml:space="preserve">r: </w:t>
      </w:r>
      <w:r w:rsidRPr="00386620">
        <w:rPr>
          <w:sz w:val="24"/>
          <w:szCs w:val="24"/>
          <w:lang w:bidi="da-DK"/>
        </w:rPr>
        <w:t>30</w:t>
      </w:r>
      <w:r w:rsidR="00B268CC">
        <w:rPr>
          <w:sz w:val="24"/>
          <w:szCs w:val="24"/>
          <w:lang w:bidi="da-DK"/>
        </w:rPr>
        <w:t xml:space="preserve"> </w:t>
      </w:r>
      <w:r w:rsidRPr="00386620">
        <w:rPr>
          <w:sz w:val="24"/>
          <w:szCs w:val="24"/>
          <w:lang w:bidi="da-DK"/>
        </w:rPr>
        <w:t>kapsler</w:t>
      </w:r>
      <w:r w:rsidR="00B268CC">
        <w:rPr>
          <w:sz w:val="24"/>
          <w:szCs w:val="24"/>
          <w:lang w:bidi="da-DK"/>
        </w:rPr>
        <w:t xml:space="preserve"> eller multipakke med 90 kapsler (3 pakker med 30 kapsler)</w:t>
      </w:r>
      <w:r w:rsidRPr="00386620">
        <w:rPr>
          <w:sz w:val="24"/>
          <w:szCs w:val="24"/>
          <w:lang w:bidi="da-DK"/>
        </w:rPr>
        <w:t>.</w:t>
      </w:r>
    </w:p>
    <w:p w:rsidR="00191C42" w:rsidRPr="00386620" w:rsidRDefault="00191C42" w:rsidP="00386620">
      <w:pPr>
        <w:tabs>
          <w:tab w:val="left" w:pos="851"/>
        </w:tabs>
        <w:ind w:left="851"/>
        <w:rPr>
          <w:sz w:val="24"/>
          <w:szCs w:val="24"/>
          <w:lang w:bidi="da-DK"/>
        </w:rPr>
      </w:pPr>
      <w:r>
        <w:rPr>
          <w:sz w:val="24"/>
          <w:szCs w:val="24"/>
          <w:lang w:bidi="da-DK"/>
        </w:rPr>
        <w:t>Ikke alle pakningsstørrelser er nødvendigvis markedsført.</w:t>
      </w:r>
    </w:p>
    <w:p w:rsidR="009260DE" w:rsidRPr="00C84483" w:rsidRDefault="009260DE" w:rsidP="009260DE">
      <w:pPr>
        <w:tabs>
          <w:tab w:val="left" w:pos="851"/>
        </w:tabs>
        <w:ind w:left="851"/>
        <w:rPr>
          <w:sz w:val="24"/>
          <w:szCs w:val="24"/>
        </w:rPr>
      </w:pPr>
    </w:p>
    <w:p w:rsidR="00191C42" w:rsidRPr="00191C42" w:rsidRDefault="009260DE" w:rsidP="0033394B">
      <w:pPr>
        <w:tabs>
          <w:tab w:val="left" w:pos="851"/>
        </w:tabs>
        <w:ind w:left="851" w:hanging="851"/>
        <w:rPr>
          <w:sz w:val="24"/>
          <w:szCs w:val="24"/>
          <w:lang w:bidi="da-DK"/>
        </w:rPr>
      </w:pPr>
      <w:r w:rsidRPr="00C84483">
        <w:rPr>
          <w:b/>
          <w:sz w:val="24"/>
          <w:szCs w:val="24"/>
        </w:rPr>
        <w:t>6.6</w:t>
      </w:r>
      <w:r w:rsidRPr="00C84483">
        <w:rPr>
          <w:b/>
          <w:sz w:val="24"/>
          <w:szCs w:val="24"/>
        </w:rPr>
        <w:tab/>
      </w:r>
      <w:bookmarkStart w:id="8" w:name="_Hlk121754038"/>
      <w:r w:rsidR="0033394B" w:rsidRPr="00BA4587">
        <w:rPr>
          <w:b/>
          <w:noProof/>
          <w:sz w:val="24"/>
          <w:szCs w:val="24"/>
        </w:rPr>
        <w:t>Regler for bortskaffelse og anden håndtering</w:t>
      </w:r>
      <w:bookmarkEnd w:id="8"/>
      <w:r w:rsidR="0033394B" w:rsidRPr="00191C42">
        <w:rPr>
          <w:sz w:val="24"/>
          <w:szCs w:val="24"/>
          <w:lang w:bidi="da-DK"/>
        </w:rPr>
        <w:t xml:space="preserve"> </w:t>
      </w:r>
      <w:r w:rsidR="0033394B">
        <w:rPr>
          <w:sz w:val="24"/>
          <w:szCs w:val="24"/>
          <w:lang w:bidi="da-DK"/>
        </w:rPr>
        <w:br/>
      </w:r>
      <w:r w:rsidR="00191C42" w:rsidRPr="00191C42">
        <w:rPr>
          <w:sz w:val="24"/>
          <w:szCs w:val="24"/>
          <w:lang w:bidi="da-DK"/>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91C42" w:rsidRPr="000F794A" w:rsidRDefault="00191C42" w:rsidP="00191C42">
      <w:pPr>
        <w:tabs>
          <w:tab w:val="left" w:pos="851"/>
        </w:tabs>
        <w:ind w:left="851"/>
        <w:rPr>
          <w:sz w:val="24"/>
          <w:szCs w:val="24"/>
          <w:lang w:bidi="da-DK"/>
        </w:rPr>
      </w:pPr>
      <w:proofErr w:type="spellStart"/>
      <w:r w:rsidRPr="000F794A">
        <w:rPr>
          <w:sz w:val="24"/>
          <w:szCs w:val="24"/>
          <w:lang w:bidi="da-DK"/>
        </w:rPr>
        <w:t>Vifor</w:t>
      </w:r>
      <w:proofErr w:type="spellEnd"/>
      <w:r w:rsidRPr="000F794A">
        <w:rPr>
          <w:sz w:val="24"/>
          <w:szCs w:val="24"/>
          <w:lang w:bidi="da-DK"/>
        </w:rPr>
        <w:t xml:space="preserve"> </w:t>
      </w:r>
      <w:proofErr w:type="spellStart"/>
      <w:r w:rsidRPr="000F794A">
        <w:rPr>
          <w:sz w:val="24"/>
          <w:szCs w:val="24"/>
          <w:lang w:bidi="da-DK"/>
        </w:rPr>
        <w:t>Fresenius</w:t>
      </w:r>
      <w:proofErr w:type="spellEnd"/>
      <w:r w:rsidRPr="000F794A">
        <w:rPr>
          <w:sz w:val="24"/>
          <w:szCs w:val="24"/>
          <w:lang w:bidi="da-DK"/>
        </w:rPr>
        <w:t xml:space="preserve"> Medical Care </w:t>
      </w:r>
      <w:proofErr w:type="spellStart"/>
      <w:r w:rsidRPr="000F794A">
        <w:rPr>
          <w:sz w:val="24"/>
          <w:szCs w:val="24"/>
          <w:lang w:bidi="da-DK"/>
        </w:rPr>
        <w:t>Renal</w:t>
      </w:r>
      <w:proofErr w:type="spellEnd"/>
      <w:r w:rsidRPr="000F794A">
        <w:rPr>
          <w:sz w:val="24"/>
          <w:szCs w:val="24"/>
          <w:lang w:bidi="da-DK"/>
        </w:rPr>
        <w:t xml:space="preserve"> Pharma France</w:t>
      </w:r>
    </w:p>
    <w:p w:rsidR="00191C42" w:rsidRPr="00191C42" w:rsidRDefault="00191C42" w:rsidP="00191C42">
      <w:pPr>
        <w:tabs>
          <w:tab w:val="left" w:pos="851"/>
        </w:tabs>
        <w:ind w:left="851"/>
        <w:rPr>
          <w:sz w:val="24"/>
          <w:szCs w:val="24"/>
          <w:lang w:val="en-US" w:bidi="da-DK"/>
        </w:rPr>
      </w:pPr>
      <w:r w:rsidRPr="00191C42">
        <w:rPr>
          <w:sz w:val="24"/>
          <w:szCs w:val="24"/>
          <w:lang w:val="en-US" w:bidi="da-DK"/>
        </w:rPr>
        <w:t>100–101 </w:t>
      </w:r>
      <w:proofErr w:type="spellStart"/>
      <w:r w:rsidRPr="00191C42">
        <w:rPr>
          <w:sz w:val="24"/>
          <w:szCs w:val="24"/>
          <w:lang w:val="en-US" w:bidi="da-DK"/>
        </w:rPr>
        <w:t>Terrasse</w:t>
      </w:r>
      <w:proofErr w:type="spellEnd"/>
      <w:r w:rsidRPr="00191C42">
        <w:rPr>
          <w:sz w:val="24"/>
          <w:szCs w:val="24"/>
          <w:lang w:val="en-US" w:bidi="da-DK"/>
        </w:rPr>
        <w:t xml:space="preserve"> </w:t>
      </w:r>
      <w:proofErr w:type="spellStart"/>
      <w:r w:rsidRPr="00191C42">
        <w:rPr>
          <w:sz w:val="24"/>
          <w:szCs w:val="24"/>
          <w:lang w:val="en-US" w:bidi="da-DK"/>
        </w:rPr>
        <w:t>Boieldieu</w:t>
      </w:r>
      <w:proofErr w:type="spellEnd"/>
    </w:p>
    <w:p w:rsidR="00191C42" w:rsidRPr="00191C42" w:rsidRDefault="00191C42" w:rsidP="00191C42">
      <w:pPr>
        <w:tabs>
          <w:tab w:val="left" w:pos="851"/>
        </w:tabs>
        <w:ind w:left="851"/>
        <w:rPr>
          <w:sz w:val="24"/>
          <w:szCs w:val="24"/>
          <w:lang w:val="en-US" w:bidi="da-DK"/>
        </w:rPr>
      </w:pPr>
      <w:r w:rsidRPr="00191C42">
        <w:rPr>
          <w:sz w:val="24"/>
          <w:szCs w:val="24"/>
          <w:lang w:val="en-US" w:bidi="da-DK"/>
        </w:rPr>
        <w:t>Tour Franklin La Défense 8</w:t>
      </w:r>
    </w:p>
    <w:p w:rsidR="00191C42" w:rsidRPr="00191C42" w:rsidRDefault="00191C42" w:rsidP="00191C42">
      <w:pPr>
        <w:tabs>
          <w:tab w:val="left" w:pos="851"/>
        </w:tabs>
        <w:ind w:left="851"/>
        <w:rPr>
          <w:sz w:val="24"/>
          <w:szCs w:val="24"/>
          <w:lang w:val="nb-NO"/>
        </w:rPr>
      </w:pPr>
      <w:r w:rsidRPr="00191C42">
        <w:rPr>
          <w:sz w:val="24"/>
          <w:szCs w:val="24"/>
          <w:lang w:val="nb-NO"/>
        </w:rPr>
        <w:t>92042 Paris La Défense Cedex</w:t>
      </w:r>
    </w:p>
    <w:p w:rsidR="00191C42" w:rsidRPr="00191C42" w:rsidRDefault="00191C42" w:rsidP="00191C42">
      <w:pPr>
        <w:tabs>
          <w:tab w:val="left" w:pos="851"/>
        </w:tabs>
        <w:ind w:left="851"/>
        <w:rPr>
          <w:sz w:val="24"/>
          <w:szCs w:val="24"/>
          <w:lang w:bidi="da-DK"/>
        </w:rPr>
      </w:pPr>
      <w:r w:rsidRPr="00191C42">
        <w:rPr>
          <w:sz w:val="24"/>
          <w:szCs w:val="24"/>
          <w:lang w:bidi="da-DK"/>
        </w:rPr>
        <w:t>Frankrig</w:t>
      </w:r>
    </w:p>
    <w:p w:rsidR="00191C42" w:rsidRPr="00191C42" w:rsidRDefault="00191C42" w:rsidP="00191C42">
      <w:pPr>
        <w:tabs>
          <w:tab w:val="left" w:pos="851"/>
        </w:tabs>
        <w:ind w:left="851"/>
        <w:rPr>
          <w:sz w:val="24"/>
          <w:szCs w:val="24"/>
          <w:lang w:bidi="da-DK"/>
        </w:rPr>
      </w:pPr>
    </w:p>
    <w:p w:rsidR="00191C42" w:rsidRPr="000F794A" w:rsidRDefault="00191C42" w:rsidP="00191C42">
      <w:pPr>
        <w:tabs>
          <w:tab w:val="left" w:pos="851"/>
        </w:tabs>
        <w:ind w:left="851"/>
        <w:rPr>
          <w:b/>
          <w:sz w:val="24"/>
          <w:szCs w:val="24"/>
          <w:lang w:bidi="da-DK"/>
        </w:rPr>
      </w:pPr>
      <w:r w:rsidRPr="000F794A">
        <w:rPr>
          <w:b/>
          <w:sz w:val="24"/>
          <w:szCs w:val="24"/>
          <w:lang w:bidi="da-DK"/>
        </w:rPr>
        <w:t>Repræsentant</w:t>
      </w:r>
    </w:p>
    <w:p w:rsidR="00191C42" w:rsidRPr="00191C42" w:rsidRDefault="00191C42" w:rsidP="00191C42">
      <w:pPr>
        <w:tabs>
          <w:tab w:val="left" w:pos="851"/>
        </w:tabs>
        <w:ind w:left="851"/>
        <w:rPr>
          <w:sz w:val="24"/>
          <w:szCs w:val="24"/>
          <w:lang w:val="sv-SE"/>
        </w:rPr>
      </w:pPr>
      <w:proofErr w:type="spellStart"/>
      <w:r w:rsidRPr="00191C42">
        <w:rPr>
          <w:sz w:val="24"/>
          <w:szCs w:val="24"/>
          <w:lang w:val="sv-SE"/>
        </w:rPr>
        <w:t>Vifor</w:t>
      </w:r>
      <w:proofErr w:type="spellEnd"/>
      <w:r w:rsidRPr="00191C42">
        <w:rPr>
          <w:sz w:val="24"/>
          <w:szCs w:val="24"/>
          <w:lang w:val="sv-SE"/>
        </w:rPr>
        <w:t xml:space="preserve"> </w:t>
      </w:r>
      <w:proofErr w:type="spellStart"/>
      <w:r w:rsidRPr="00191C42">
        <w:rPr>
          <w:sz w:val="24"/>
          <w:szCs w:val="24"/>
          <w:lang w:val="sv-SE"/>
        </w:rPr>
        <w:t>Pharma</w:t>
      </w:r>
      <w:proofErr w:type="spellEnd"/>
      <w:r w:rsidRPr="00191C42">
        <w:rPr>
          <w:sz w:val="24"/>
          <w:szCs w:val="24"/>
          <w:lang w:val="sv-SE"/>
        </w:rPr>
        <w:t xml:space="preserve"> Nordiska AB</w:t>
      </w:r>
    </w:p>
    <w:p w:rsidR="00191C42" w:rsidRPr="00191C42" w:rsidRDefault="00191C42" w:rsidP="00191C42">
      <w:pPr>
        <w:tabs>
          <w:tab w:val="left" w:pos="851"/>
        </w:tabs>
        <w:ind w:left="851"/>
        <w:rPr>
          <w:sz w:val="24"/>
          <w:szCs w:val="24"/>
          <w:lang w:val="sv-SE"/>
        </w:rPr>
      </w:pPr>
      <w:r w:rsidRPr="00191C42">
        <w:rPr>
          <w:sz w:val="24"/>
          <w:szCs w:val="24"/>
          <w:lang w:val="sv-SE"/>
        </w:rPr>
        <w:t>Gustav III:s Boulevard 46</w:t>
      </w:r>
    </w:p>
    <w:p w:rsidR="00191C42" w:rsidRPr="00191C42" w:rsidRDefault="00191C42" w:rsidP="00191C42">
      <w:pPr>
        <w:tabs>
          <w:tab w:val="left" w:pos="851"/>
        </w:tabs>
        <w:ind w:left="851"/>
        <w:rPr>
          <w:sz w:val="24"/>
          <w:szCs w:val="24"/>
          <w:lang w:val="sv-SE"/>
        </w:rPr>
      </w:pPr>
      <w:r w:rsidRPr="00191C42">
        <w:rPr>
          <w:sz w:val="24"/>
          <w:szCs w:val="24"/>
          <w:lang w:val="sv-SE"/>
        </w:rPr>
        <w:t>169 73 Solna</w:t>
      </w:r>
    </w:p>
    <w:p w:rsidR="00191C42" w:rsidRPr="00191C42" w:rsidRDefault="00191C42" w:rsidP="00191C42">
      <w:pPr>
        <w:tabs>
          <w:tab w:val="left" w:pos="851"/>
        </w:tabs>
        <w:ind w:left="851"/>
        <w:rPr>
          <w:sz w:val="24"/>
          <w:szCs w:val="24"/>
          <w:lang w:bidi="da-DK"/>
        </w:rPr>
      </w:pPr>
      <w:r w:rsidRPr="00191C42">
        <w:rPr>
          <w:sz w:val="24"/>
          <w:szCs w:val="24"/>
          <w:lang w:bidi="da-DK"/>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3394B">
        <w:rPr>
          <w:b/>
          <w:sz w:val="24"/>
          <w:szCs w:val="24"/>
        </w:rPr>
        <w:t>-</w:t>
      </w:r>
      <w:r w:rsidRPr="00C84483">
        <w:rPr>
          <w:b/>
          <w:sz w:val="24"/>
          <w:szCs w:val="24"/>
        </w:rPr>
        <w:t>NUMRE)</w:t>
      </w:r>
    </w:p>
    <w:p w:rsidR="009260DE" w:rsidRPr="00C84483" w:rsidRDefault="000D7285" w:rsidP="009260DE">
      <w:pPr>
        <w:tabs>
          <w:tab w:val="left" w:pos="851"/>
        </w:tabs>
        <w:ind w:left="851"/>
        <w:rPr>
          <w:sz w:val="24"/>
          <w:szCs w:val="24"/>
        </w:rPr>
      </w:pPr>
      <w:r>
        <w:rPr>
          <w:sz w:val="24"/>
          <w:szCs w:val="24"/>
        </w:rPr>
        <w:t>62564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CF4FA0" w:rsidP="009260DE">
      <w:pPr>
        <w:tabs>
          <w:tab w:val="left" w:pos="851"/>
        </w:tabs>
        <w:ind w:left="851"/>
        <w:rPr>
          <w:sz w:val="24"/>
          <w:szCs w:val="24"/>
        </w:rPr>
      </w:pPr>
      <w:r>
        <w:rPr>
          <w:sz w:val="24"/>
          <w:szCs w:val="24"/>
        </w:rPr>
        <w:t>10. september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485419" w:rsidP="009260DE">
      <w:pPr>
        <w:tabs>
          <w:tab w:val="left" w:pos="851"/>
        </w:tabs>
        <w:ind w:left="851"/>
        <w:rPr>
          <w:sz w:val="24"/>
          <w:szCs w:val="24"/>
        </w:rPr>
      </w:pPr>
      <w:r>
        <w:rPr>
          <w:sz w:val="24"/>
          <w:szCs w:val="24"/>
        </w:rPr>
        <w:t>21</w:t>
      </w:r>
      <w:r w:rsidR="0033394B">
        <w:rPr>
          <w:sz w:val="24"/>
          <w:szCs w:val="24"/>
        </w:rPr>
        <w:t xml:space="preserve">. </w:t>
      </w:r>
      <w:r>
        <w:rPr>
          <w:sz w:val="24"/>
          <w:szCs w:val="24"/>
        </w:rPr>
        <w:t>december</w:t>
      </w:r>
      <w:r w:rsidR="0033394B">
        <w:rPr>
          <w:sz w:val="24"/>
          <w:szCs w:val="24"/>
        </w:rPr>
        <w:t xml:space="preserve"> 2023</w:t>
      </w:r>
    </w:p>
    <w:sectPr w:rsidR="009260DE" w:rsidRPr="00C8448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979" w:rsidRDefault="00BA6979">
      <w:r>
        <w:separator/>
      </w:r>
    </w:p>
  </w:endnote>
  <w:endnote w:type="continuationSeparator" w:id="0">
    <w:p w:rsidR="00BA6979" w:rsidRDefault="00BA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F4FA0">
      <w:rPr>
        <w:i/>
        <w:noProof/>
        <w:sz w:val="18"/>
        <w:szCs w:val="18"/>
      </w:rPr>
      <w:t>Rayaldee, bløde depotkapsler 30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979" w:rsidRDefault="00BA6979">
      <w:r>
        <w:separator/>
      </w:r>
    </w:p>
  </w:footnote>
  <w:footnote w:type="continuationSeparator" w:id="0">
    <w:p w:rsidR="00BA6979" w:rsidRDefault="00BA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79"/>
    <w:rsid w:val="000259B9"/>
    <w:rsid w:val="00041491"/>
    <w:rsid w:val="00050D16"/>
    <w:rsid w:val="00074F2A"/>
    <w:rsid w:val="000A1CA8"/>
    <w:rsid w:val="000A466B"/>
    <w:rsid w:val="000B058C"/>
    <w:rsid w:val="000D7285"/>
    <w:rsid w:val="000E4EE6"/>
    <w:rsid w:val="000F794A"/>
    <w:rsid w:val="001454E2"/>
    <w:rsid w:val="00191C42"/>
    <w:rsid w:val="00206CE8"/>
    <w:rsid w:val="002072D5"/>
    <w:rsid w:val="0021526C"/>
    <w:rsid w:val="00261AFB"/>
    <w:rsid w:val="00283A2B"/>
    <w:rsid w:val="002B0046"/>
    <w:rsid w:val="002B30AD"/>
    <w:rsid w:val="002C2C01"/>
    <w:rsid w:val="0033394B"/>
    <w:rsid w:val="00386620"/>
    <w:rsid w:val="003A29AE"/>
    <w:rsid w:val="003A32D7"/>
    <w:rsid w:val="003B4074"/>
    <w:rsid w:val="003B45D6"/>
    <w:rsid w:val="003C769A"/>
    <w:rsid w:val="003F1838"/>
    <w:rsid w:val="003F1DBD"/>
    <w:rsid w:val="003F659A"/>
    <w:rsid w:val="0045746C"/>
    <w:rsid w:val="00485419"/>
    <w:rsid w:val="0049104B"/>
    <w:rsid w:val="004B5248"/>
    <w:rsid w:val="004E3B12"/>
    <w:rsid w:val="00504DB0"/>
    <w:rsid w:val="00532310"/>
    <w:rsid w:val="00565F0F"/>
    <w:rsid w:val="0057147B"/>
    <w:rsid w:val="00591116"/>
    <w:rsid w:val="00594A86"/>
    <w:rsid w:val="00596D86"/>
    <w:rsid w:val="005E0837"/>
    <w:rsid w:val="00637F5A"/>
    <w:rsid w:val="006560B1"/>
    <w:rsid w:val="006756DD"/>
    <w:rsid w:val="00737275"/>
    <w:rsid w:val="00740EEC"/>
    <w:rsid w:val="0078011A"/>
    <w:rsid w:val="00782AF4"/>
    <w:rsid w:val="00790EE7"/>
    <w:rsid w:val="007B6649"/>
    <w:rsid w:val="00816921"/>
    <w:rsid w:val="0082576E"/>
    <w:rsid w:val="008B7F23"/>
    <w:rsid w:val="008C7CD6"/>
    <w:rsid w:val="008E4C7F"/>
    <w:rsid w:val="008F6FBF"/>
    <w:rsid w:val="00907F75"/>
    <w:rsid w:val="009260DE"/>
    <w:rsid w:val="0093258A"/>
    <w:rsid w:val="00982542"/>
    <w:rsid w:val="009C7BA3"/>
    <w:rsid w:val="009D1F5A"/>
    <w:rsid w:val="009F5BA8"/>
    <w:rsid w:val="00A81304"/>
    <w:rsid w:val="00A87D7E"/>
    <w:rsid w:val="00B003BF"/>
    <w:rsid w:val="00B0395B"/>
    <w:rsid w:val="00B268CC"/>
    <w:rsid w:val="00B373D7"/>
    <w:rsid w:val="00B90057"/>
    <w:rsid w:val="00BA6979"/>
    <w:rsid w:val="00BC17E1"/>
    <w:rsid w:val="00C3067A"/>
    <w:rsid w:val="00C30D9B"/>
    <w:rsid w:val="00C36276"/>
    <w:rsid w:val="00C40BDA"/>
    <w:rsid w:val="00C42586"/>
    <w:rsid w:val="00C442C3"/>
    <w:rsid w:val="00C60CCD"/>
    <w:rsid w:val="00C84483"/>
    <w:rsid w:val="00C91B0B"/>
    <w:rsid w:val="00C95551"/>
    <w:rsid w:val="00CB20D7"/>
    <w:rsid w:val="00CC39BD"/>
    <w:rsid w:val="00CF4FA0"/>
    <w:rsid w:val="00D020B0"/>
    <w:rsid w:val="00D11748"/>
    <w:rsid w:val="00D366CF"/>
    <w:rsid w:val="00DF3B42"/>
    <w:rsid w:val="00E108AA"/>
    <w:rsid w:val="00E3749A"/>
    <w:rsid w:val="00E703CD"/>
    <w:rsid w:val="00E7437F"/>
    <w:rsid w:val="00E865B8"/>
    <w:rsid w:val="00EA37FE"/>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5F41D5-CF4F-4D9E-8876-28DBF688C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8F6FBF"/>
    <w:rPr>
      <w:color w:val="0563C1" w:themeColor="hyperlink"/>
      <w:u w:val="single"/>
    </w:rPr>
  </w:style>
  <w:style w:type="character" w:styleId="Ulstomtale">
    <w:name w:val="Unresolved Mention"/>
    <w:basedOn w:val="Standardskrifttypeiafsnit"/>
    <w:uiPriority w:val="99"/>
    <w:semiHidden/>
    <w:unhideWhenUsed/>
    <w:rsid w:val="008F6FBF"/>
    <w:rPr>
      <w:color w:val="605E5C"/>
      <w:shd w:val="clear" w:color="auto" w:fill="E1DFDD"/>
    </w:rPr>
  </w:style>
  <w:style w:type="character" w:customStyle="1" w:styleId="NormalKeepChar">
    <w:name w:val="Normal Keep Char"/>
    <w:link w:val="NormalKeep"/>
    <w:locked/>
    <w:rsid w:val="00C442C3"/>
    <w:rPr>
      <w:sz w:val="22"/>
      <w:szCs w:val="22"/>
      <w:lang w:bidi="da-DK"/>
    </w:rPr>
  </w:style>
  <w:style w:type="paragraph" w:customStyle="1" w:styleId="NormalKeep">
    <w:name w:val="Normal Keep"/>
    <w:basedOn w:val="Normal"/>
    <w:link w:val="NormalKeepChar"/>
    <w:qFormat/>
    <w:rsid w:val="00C442C3"/>
    <w:pPr>
      <w:keepNext/>
      <w:suppressAutoHyphens/>
    </w:pPr>
    <w:rPr>
      <w:sz w:val="22"/>
      <w:szCs w:val="22"/>
      <w:lang w:eastAsia="da-DK" w:bidi="da-DK"/>
    </w:rPr>
  </w:style>
  <w:style w:type="character" w:customStyle="1" w:styleId="HeadingUnderlinedChar">
    <w:name w:val="Heading Underlined Char"/>
    <w:link w:val="HeadingUnderlined"/>
    <w:locked/>
    <w:rsid w:val="00C442C3"/>
    <w:rPr>
      <w:sz w:val="22"/>
      <w:szCs w:val="22"/>
      <w:u w:val="single"/>
      <w:lang w:bidi="da-DK"/>
    </w:rPr>
  </w:style>
  <w:style w:type="paragraph" w:customStyle="1" w:styleId="HeadingUnderlined">
    <w:name w:val="Heading Underlined"/>
    <w:basedOn w:val="NormalKeep"/>
    <w:next w:val="NormalKeep"/>
    <w:link w:val="HeadingUnderlinedChar"/>
    <w:qFormat/>
    <w:rsid w:val="00C442C3"/>
    <w:pPr>
      <w:keepLines/>
    </w:pPr>
    <w:rPr>
      <w:u w:val="single"/>
    </w:rPr>
  </w:style>
  <w:style w:type="paragraph" w:customStyle="1" w:styleId="TableTitle">
    <w:name w:val="Table Title"/>
    <w:basedOn w:val="Overskrift1"/>
    <w:next w:val="NormalKeep"/>
    <w:qFormat/>
    <w:rsid w:val="00C442C3"/>
    <w:pPr>
      <w:keepLines/>
      <w:suppressAutoHyphens/>
      <w:spacing w:before="0" w:after="0"/>
      <w:ind w:left="1138" w:hanging="1138"/>
    </w:pPr>
    <w:rPr>
      <w:rFonts w:ascii="Times New Roman" w:eastAsia="SimSun" w:hAnsi="Times New Roman"/>
      <w:bCs/>
      <w:kern w:val="0"/>
      <w:sz w:val="22"/>
      <w:szCs w:val="22"/>
      <w:lang w:eastAsia="da-DK" w:bidi="da-DK"/>
    </w:rPr>
  </w:style>
  <w:style w:type="paragraph" w:customStyle="1" w:styleId="Call-Out">
    <w:name w:val="Call-Out"/>
    <w:basedOn w:val="Normal"/>
    <w:qFormat/>
    <w:rsid w:val="00C442C3"/>
    <w:pPr>
      <w:keepNext/>
      <w:suppressAutoHyphens/>
      <w:jc w:val="center"/>
    </w:pPr>
    <w:rPr>
      <w:rFonts w:ascii="Arial" w:eastAsia="SimSun" w:hAnsi="Arial" w:cs="Arial"/>
      <w:sz w:val="16"/>
      <w:szCs w:val="16"/>
      <w:lang w:eastAsia="da-DK" w:bidi="da-DK"/>
    </w:rPr>
  </w:style>
  <w:style w:type="paragraph" w:customStyle="1" w:styleId="Call-OutLeft">
    <w:name w:val="Call-Out Left"/>
    <w:basedOn w:val="Call-Out"/>
    <w:qFormat/>
    <w:rsid w:val="00C442C3"/>
    <w:pPr>
      <w:jc w:val="left"/>
    </w:pPr>
  </w:style>
  <w:style w:type="character" w:customStyle="1" w:styleId="Subscript">
    <w:name w:val="Subscript"/>
    <w:uiPriority w:val="1"/>
    <w:qFormat/>
    <w:rsid w:val="00C442C3"/>
    <w:rPr>
      <w:vertAlign w:val="subscript"/>
    </w:rPr>
  </w:style>
  <w:style w:type="character" w:styleId="Strk">
    <w:name w:val="Strong"/>
    <w:basedOn w:val="Standardskrifttypeiafsnit"/>
    <w:uiPriority w:val="22"/>
    <w:qFormat/>
    <w:rsid w:val="00C44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2040">
      <w:bodyDiv w:val="1"/>
      <w:marLeft w:val="0"/>
      <w:marRight w:val="0"/>
      <w:marTop w:val="0"/>
      <w:marBottom w:val="0"/>
      <w:divBdr>
        <w:top w:val="none" w:sz="0" w:space="0" w:color="auto"/>
        <w:left w:val="none" w:sz="0" w:space="0" w:color="auto"/>
        <w:bottom w:val="none" w:sz="0" w:space="0" w:color="auto"/>
        <w:right w:val="none" w:sz="0" w:space="0" w:color="auto"/>
      </w:divBdr>
    </w:div>
    <w:div w:id="57674677">
      <w:bodyDiv w:val="1"/>
      <w:marLeft w:val="0"/>
      <w:marRight w:val="0"/>
      <w:marTop w:val="0"/>
      <w:marBottom w:val="0"/>
      <w:divBdr>
        <w:top w:val="none" w:sz="0" w:space="0" w:color="auto"/>
        <w:left w:val="none" w:sz="0" w:space="0" w:color="auto"/>
        <w:bottom w:val="none" w:sz="0" w:space="0" w:color="auto"/>
        <w:right w:val="none" w:sz="0" w:space="0" w:color="auto"/>
      </w:divBdr>
    </w:div>
    <w:div w:id="131682520">
      <w:bodyDiv w:val="1"/>
      <w:marLeft w:val="0"/>
      <w:marRight w:val="0"/>
      <w:marTop w:val="0"/>
      <w:marBottom w:val="0"/>
      <w:divBdr>
        <w:top w:val="none" w:sz="0" w:space="0" w:color="auto"/>
        <w:left w:val="none" w:sz="0" w:space="0" w:color="auto"/>
        <w:bottom w:val="none" w:sz="0" w:space="0" w:color="auto"/>
        <w:right w:val="none" w:sz="0" w:space="0" w:color="auto"/>
      </w:divBdr>
    </w:div>
    <w:div w:id="1512897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6308732">
      <w:bodyDiv w:val="1"/>
      <w:marLeft w:val="0"/>
      <w:marRight w:val="0"/>
      <w:marTop w:val="0"/>
      <w:marBottom w:val="0"/>
      <w:divBdr>
        <w:top w:val="none" w:sz="0" w:space="0" w:color="auto"/>
        <w:left w:val="none" w:sz="0" w:space="0" w:color="auto"/>
        <w:bottom w:val="none" w:sz="0" w:space="0" w:color="auto"/>
        <w:right w:val="none" w:sz="0" w:space="0" w:color="auto"/>
      </w:divBdr>
    </w:div>
    <w:div w:id="184178757">
      <w:bodyDiv w:val="1"/>
      <w:marLeft w:val="0"/>
      <w:marRight w:val="0"/>
      <w:marTop w:val="0"/>
      <w:marBottom w:val="0"/>
      <w:divBdr>
        <w:top w:val="none" w:sz="0" w:space="0" w:color="auto"/>
        <w:left w:val="none" w:sz="0" w:space="0" w:color="auto"/>
        <w:bottom w:val="none" w:sz="0" w:space="0" w:color="auto"/>
        <w:right w:val="none" w:sz="0" w:space="0" w:color="auto"/>
      </w:divBdr>
    </w:div>
    <w:div w:id="323047561">
      <w:bodyDiv w:val="1"/>
      <w:marLeft w:val="0"/>
      <w:marRight w:val="0"/>
      <w:marTop w:val="0"/>
      <w:marBottom w:val="0"/>
      <w:divBdr>
        <w:top w:val="none" w:sz="0" w:space="0" w:color="auto"/>
        <w:left w:val="none" w:sz="0" w:space="0" w:color="auto"/>
        <w:bottom w:val="none" w:sz="0" w:space="0" w:color="auto"/>
        <w:right w:val="none" w:sz="0" w:space="0" w:color="auto"/>
      </w:divBdr>
    </w:div>
    <w:div w:id="341591413">
      <w:bodyDiv w:val="1"/>
      <w:marLeft w:val="0"/>
      <w:marRight w:val="0"/>
      <w:marTop w:val="0"/>
      <w:marBottom w:val="0"/>
      <w:divBdr>
        <w:top w:val="none" w:sz="0" w:space="0" w:color="auto"/>
        <w:left w:val="none" w:sz="0" w:space="0" w:color="auto"/>
        <w:bottom w:val="none" w:sz="0" w:space="0" w:color="auto"/>
        <w:right w:val="none" w:sz="0" w:space="0" w:color="auto"/>
      </w:divBdr>
    </w:div>
    <w:div w:id="402990269">
      <w:bodyDiv w:val="1"/>
      <w:marLeft w:val="0"/>
      <w:marRight w:val="0"/>
      <w:marTop w:val="0"/>
      <w:marBottom w:val="0"/>
      <w:divBdr>
        <w:top w:val="none" w:sz="0" w:space="0" w:color="auto"/>
        <w:left w:val="none" w:sz="0" w:space="0" w:color="auto"/>
        <w:bottom w:val="none" w:sz="0" w:space="0" w:color="auto"/>
        <w:right w:val="none" w:sz="0" w:space="0" w:color="auto"/>
      </w:divBdr>
    </w:div>
    <w:div w:id="525825460">
      <w:bodyDiv w:val="1"/>
      <w:marLeft w:val="0"/>
      <w:marRight w:val="0"/>
      <w:marTop w:val="0"/>
      <w:marBottom w:val="0"/>
      <w:divBdr>
        <w:top w:val="none" w:sz="0" w:space="0" w:color="auto"/>
        <w:left w:val="none" w:sz="0" w:space="0" w:color="auto"/>
        <w:bottom w:val="none" w:sz="0" w:space="0" w:color="auto"/>
        <w:right w:val="none" w:sz="0" w:space="0" w:color="auto"/>
      </w:divBdr>
    </w:div>
    <w:div w:id="536166285">
      <w:bodyDiv w:val="1"/>
      <w:marLeft w:val="0"/>
      <w:marRight w:val="0"/>
      <w:marTop w:val="0"/>
      <w:marBottom w:val="0"/>
      <w:divBdr>
        <w:top w:val="none" w:sz="0" w:space="0" w:color="auto"/>
        <w:left w:val="none" w:sz="0" w:space="0" w:color="auto"/>
        <w:bottom w:val="none" w:sz="0" w:space="0" w:color="auto"/>
        <w:right w:val="none" w:sz="0" w:space="0" w:color="auto"/>
      </w:divBdr>
    </w:div>
    <w:div w:id="537475126">
      <w:bodyDiv w:val="1"/>
      <w:marLeft w:val="0"/>
      <w:marRight w:val="0"/>
      <w:marTop w:val="0"/>
      <w:marBottom w:val="0"/>
      <w:divBdr>
        <w:top w:val="none" w:sz="0" w:space="0" w:color="auto"/>
        <w:left w:val="none" w:sz="0" w:space="0" w:color="auto"/>
        <w:bottom w:val="none" w:sz="0" w:space="0" w:color="auto"/>
        <w:right w:val="none" w:sz="0" w:space="0" w:color="auto"/>
      </w:divBdr>
    </w:div>
    <w:div w:id="596838594">
      <w:bodyDiv w:val="1"/>
      <w:marLeft w:val="0"/>
      <w:marRight w:val="0"/>
      <w:marTop w:val="0"/>
      <w:marBottom w:val="0"/>
      <w:divBdr>
        <w:top w:val="none" w:sz="0" w:space="0" w:color="auto"/>
        <w:left w:val="none" w:sz="0" w:space="0" w:color="auto"/>
        <w:bottom w:val="none" w:sz="0" w:space="0" w:color="auto"/>
        <w:right w:val="none" w:sz="0" w:space="0" w:color="auto"/>
      </w:divBdr>
    </w:div>
    <w:div w:id="599223825">
      <w:bodyDiv w:val="1"/>
      <w:marLeft w:val="0"/>
      <w:marRight w:val="0"/>
      <w:marTop w:val="0"/>
      <w:marBottom w:val="0"/>
      <w:divBdr>
        <w:top w:val="none" w:sz="0" w:space="0" w:color="auto"/>
        <w:left w:val="none" w:sz="0" w:space="0" w:color="auto"/>
        <w:bottom w:val="none" w:sz="0" w:space="0" w:color="auto"/>
        <w:right w:val="none" w:sz="0" w:space="0" w:color="auto"/>
      </w:divBdr>
    </w:div>
    <w:div w:id="747582656">
      <w:bodyDiv w:val="1"/>
      <w:marLeft w:val="0"/>
      <w:marRight w:val="0"/>
      <w:marTop w:val="0"/>
      <w:marBottom w:val="0"/>
      <w:divBdr>
        <w:top w:val="none" w:sz="0" w:space="0" w:color="auto"/>
        <w:left w:val="none" w:sz="0" w:space="0" w:color="auto"/>
        <w:bottom w:val="none" w:sz="0" w:space="0" w:color="auto"/>
        <w:right w:val="none" w:sz="0" w:space="0" w:color="auto"/>
      </w:divBdr>
    </w:div>
    <w:div w:id="812061533">
      <w:bodyDiv w:val="1"/>
      <w:marLeft w:val="0"/>
      <w:marRight w:val="0"/>
      <w:marTop w:val="0"/>
      <w:marBottom w:val="0"/>
      <w:divBdr>
        <w:top w:val="none" w:sz="0" w:space="0" w:color="auto"/>
        <w:left w:val="none" w:sz="0" w:space="0" w:color="auto"/>
        <w:bottom w:val="none" w:sz="0" w:space="0" w:color="auto"/>
        <w:right w:val="none" w:sz="0" w:space="0" w:color="auto"/>
      </w:divBdr>
    </w:div>
    <w:div w:id="835730132">
      <w:bodyDiv w:val="1"/>
      <w:marLeft w:val="0"/>
      <w:marRight w:val="0"/>
      <w:marTop w:val="0"/>
      <w:marBottom w:val="0"/>
      <w:divBdr>
        <w:top w:val="none" w:sz="0" w:space="0" w:color="auto"/>
        <w:left w:val="none" w:sz="0" w:space="0" w:color="auto"/>
        <w:bottom w:val="none" w:sz="0" w:space="0" w:color="auto"/>
        <w:right w:val="none" w:sz="0" w:space="0" w:color="auto"/>
      </w:divBdr>
    </w:div>
    <w:div w:id="868565334">
      <w:bodyDiv w:val="1"/>
      <w:marLeft w:val="0"/>
      <w:marRight w:val="0"/>
      <w:marTop w:val="0"/>
      <w:marBottom w:val="0"/>
      <w:divBdr>
        <w:top w:val="none" w:sz="0" w:space="0" w:color="auto"/>
        <w:left w:val="none" w:sz="0" w:space="0" w:color="auto"/>
        <w:bottom w:val="none" w:sz="0" w:space="0" w:color="auto"/>
        <w:right w:val="none" w:sz="0" w:space="0" w:color="auto"/>
      </w:divBdr>
    </w:div>
    <w:div w:id="919290494">
      <w:bodyDiv w:val="1"/>
      <w:marLeft w:val="0"/>
      <w:marRight w:val="0"/>
      <w:marTop w:val="0"/>
      <w:marBottom w:val="0"/>
      <w:divBdr>
        <w:top w:val="none" w:sz="0" w:space="0" w:color="auto"/>
        <w:left w:val="none" w:sz="0" w:space="0" w:color="auto"/>
        <w:bottom w:val="none" w:sz="0" w:space="0" w:color="auto"/>
        <w:right w:val="none" w:sz="0" w:space="0" w:color="auto"/>
      </w:divBdr>
    </w:div>
    <w:div w:id="980500483">
      <w:bodyDiv w:val="1"/>
      <w:marLeft w:val="0"/>
      <w:marRight w:val="0"/>
      <w:marTop w:val="0"/>
      <w:marBottom w:val="0"/>
      <w:divBdr>
        <w:top w:val="none" w:sz="0" w:space="0" w:color="auto"/>
        <w:left w:val="none" w:sz="0" w:space="0" w:color="auto"/>
        <w:bottom w:val="none" w:sz="0" w:space="0" w:color="auto"/>
        <w:right w:val="none" w:sz="0" w:space="0" w:color="auto"/>
      </w:divBdr>
    </w:div>
    <w:div w:id="1060203377">
      <w:bodyDiv w:val="1"/>
      <w:marLeft w:val="0"/>
      <w:marRight w:val="0"/>
      <w:marTop w:val="0"/>
      <w:marBottom w:val="0"/>
      <w:divBdr>
        <w:top w:val="none" w:sz="0" w:space="0" w:color="auto"/>
        <w:left w:val="none" w:sz="0" w:space="0" w:color="auto"/>
        <w:bottom w:val="none" w:sz="0" w:space="0" w:color="auto"/>
        <w:right w:val="none" w:sz="0" w:space="0" w:color="auto"/>
      </w:divBdr>
    </w:div>
    <w:div w:id="1071317326">
      <w:bodyDiv w:val="1"/>
      <w:marLeft w:val="0"/>
      <w:marRight w:val="0"/>
      <w:marTop w:val="0"/>
      <w:marBottom w:val="0"/>
      <w:divBdr>
        <w:top w:val="none" w:sz="0" w:space="0" w:color="auto"/>
        <w:left w:val="none" w:sz="0" w:space="0" w:color="auto"/>
        <w:bottom w:val="none" w:sz="0" w:space="0" w:color="auto"/>
        <w:right w:val="none" w:sz="0" w:space="0" w:color="auto"/>
      </w:divBdr>
    </w:div>
    <w:div w:id="1072311813">
      <w:bodyDiv w:val="1"/>
      <w:marLeft w:val="0"/>
      <w:marRight w:val="0"/>
      <w:marTop w:val="0"/>
      <w:marBottom w:val="0"/>
      <w:divBdr>
        <w:top w:val="none" w:sz="0" w:space="0" w:color="auto"/>
        <w:left w:val="none" w:sz="0" w:space="0" w:color="auto"/>
        <w:bottom w:val="none" w:sz="0" w:space="0" w:color="auto"/>
        <w:right w:val="none" w:sz="0" w:space="0" w:color="auto"/>
      </w:divBdr>
    </w:div>
    <w:div w:id="1099790502">
      <w:bodyDiv w:val="1"/>
      <w:marLeft w:val="0"/>
      <w:marRight w:val="0"/>
      <w:marTop w:val="0"/>
      <w:marBottom w:val="0"/>
      <w:divBdr>
        <w:top w:val="none" w:sz="0" w:space="0" w:color="auto"/>
        <w:left w:val="none" w:sz="0" w:space="0" w:color="auto"/>
        <w:bottom w:val="none" w:sz="0" w:space="0" w:color="auto"/>
        <w:right w:val="none" w:sz="0" w:space="0" w:color="auto"/>
      </w:divBdr>
    </w:div>
    <w:div w:id="1160269796">
      <w:bodyDiv w:val="1"/>
      <w:marLeft w:val="0"/>
      <w:marRight w:val="0"/>
      <w:marTop w:val="0"/>
      <w:marBottom w:val="0"/>
      <w:divBdr>
        <w:top w:val="none" w:sz="0" w:space="0" w:color="auto"/>
        <w:left w:val="none" w:sz="0" w:space="0" w:color="auto"/>
        <w:bottom w:val="none" w:sz="0" w:space="0" w:color="auto"/>
        <w:right w:val="none" w:sz="0" w:space="0" w:color="auto"/>
      </w:divBdr>
    </w:div>
    <w:div w:id="1220088758">
      <w:bodyDiv w:val="1"/>
      <w:marLeft w:val="0"/>
      <w:marRight w:val="0"/>
      <w:marTop w:val="0"/>
      <w:marBottom w:val="0"/>
      <w:divBdr>
        <w:top w:val="none" w:sz="0" w:space="0" w:color="auto"/>
        <w:left w:val="none" w:sz="0" w:space="0" w:color="auto"/>
        <w:bottom w:val="none" w:sz="0" w:space="0" w:color="auto"/>
        <w:right w:val="none" w:sz="0" w:space="0" w:color="auto"/>
      </w:divBdr>
    </w:div>
    <w:div w:id="1278637506">
      <w:bodyDiv w:val="1"/>
      <w:marLeft w:val="0"/>
      <w:marRight w:val="0"/>
      <w:marTop w:val="0"/>
      <w:marBottom w:val="0"/>
      <w:divBdr>
        <w:top w:val="none" w:sz="0" w:space="0" w:color="auto"/>
        <w:left w:val="none" w:sz="0" w:space="0" w:color="auto"/>
        <w:bottom w:val="none" w:sz="0" w:space="0" w:color="auto"/>
        <w:right w:val="none" w:sz="0" w:space="0" w:color="auto"/>
      </w:divBdr>
    </w:div>
    <w:div w:id="1474827614">
      <w:bodyDiv w:val="1"/>
      <w:marLeft w:val="0"/>
      <w:marRight w:val="0"/>
      <w:marTop w:val="0"/>
      <w:marBottom w:val="0"/>
      <w:divBdr>
        <w:top w:val="none" w:sz="0" w:space="0" w:color="auto"/>
        <w:left w:val="none" w:sz="0" w:space="0" w:color="auto"/>
        <w:bottom w:val="none" w:sz="0" w:space="0" w:color="auto"/>
        <w:right w:val="none" w:sz="0" w:space="0" w:color="auto"/>
      </w:divBdr>
    </w:div>
    <w:div w:id="1498766376">
      <w:bodyDiv w:val="1"/>
      <w:marLeft w:val="0"/>
      <w:marRight w:val="0"/>
      <w:marTop w:val="0"/>
      <w:marBottom w:val="0"/>
      <w:divBdr>
        <w:top w:val="none" w:sz="0" w:space="0" w:color="auto"/>
        <w:left w:val="none" w:sz="0" w:space="0" w:color="auto"/>
        <w:bottom w:val="none" w:sz="0" w:space="0" w:color="auto"/>
        <w:right w:val="none" w:sz="0" w:space="0" w:color="auto"/>
      </w:divBdr>
    </w:div>
    <w:div w:id="1515195126">
      <w:bodyDiv w:val="1"/>
      <w:marLeft w:val="0"/>
      <w:marRight w:val="0"/>
      <w:marTop w:val="0"/>
      <w:marBottom w:val="0"/>
      <w:divBdr>
        <w:top w:val="none" w:sz="0" w:space="0" w:color="auto"/>
        <w:left w:val="none" w:sz="0" w:space="0" w:color="auto"/>
        <w:bottom w:val="none" w:sz="0" w:space="0" w:color="auto"/>
        <w:right w:val="none" w:sz="0" w:space="0" w:color="auto"/>
      </w:divBdr>
    </w:div>
    <w:div w:id="1541286683">
      <w:bodyDiv w:val="1"/>
      <w:marLeft w:val="0"/>
      <w:marRight w:val="0"/>
      <w:marTop w:val="0"/>
      <w:marBottom w:val="0"/>
      <w:divBdr>
        <w:top w:val="none" w:sz="0" w:space="0" w:color="auto"/>
        <w:left w:val="none" w:sz="0" w:space="0" w:color="auto"/>
        <w:bottom w:val="none" w:sz="0" w:space="0" w:color="auto"/>
        <w:right w:val="none" w:sz="0" w:space="0" w:color="auto"/>
      </w:divBdr>
    </w:div>
    <w:div w:id="1550263755">
      <w:bodyDiv w:val="1"/>
      <w:marLeft w:val="0"/>
      <w:marRight w:val="0"/>
      <w:marTop w:val="0"/>
      <w:marBottom w:val="0"/>
      <w:divBdr>
        <w:top w:val="none" w:sz="0" w:space="0" w:color="auto"/>
        <w:left w:val="none" w:sz="0" w:space="0" w:color="auto"/>
        <w:bottom w:val="none" w:sz="0" w:space="0" w:color="auto"/>
        <w:right w:val="none" w:sz="0" w:space="0" w:color="auto"/>
      </w:divBdr>
    </w:div>
    <w:div w:id="1566649282">
      <w:bodyDiv w:val="1"/>
      <w:marLeft w:val="0"/>
      <w:marRight w:val="0"/>
      <w:marTop w:val="0"/>
      <w:marBottom w:val="0"/>
      <w:divBdr>
        <w:top w:val="none" w:sz="0" w:space="0" w:color="auto"/>
        <w:left w:val="none" w:sz="0" w:space="0" w:color="auto"/>
        <w:bottom w:val="none" w:sz="0" w:space="0" w:color="auto"/>
        <w:right w:val="none" w:sz="0" w:space="0" w:color="auto"/>
      </w:divBdr>
    </w:div>
    <w:div w:id="1586765448">
      <w:bodyDiv w:val="1"/>
      <w:marLeft w:val="0"/>
      <w:marRight w:val="0"/>
      <w:marTop w:val="0"/>
      <w:marBottom w:val="0"/>
      <w:divBdr>
        <w:top w:val="none" w:sz="0" w:space="0" w:color="auto"/>
        <w:left w:val="none" w:sz="0" w:space="0" w:color="auto"/>
        <w:bottom w:val="none" w:sz="0" w:space="0" w:color="auto"/>
        <w:right w:val="none" w:sz="0" w:space="0" w:color="auto"/>
      </w:divBdr>
    </w:div>
    <w:div w:id="1638681727">
      <w:bodyDiv w:val="1"/>
      <w:marLeft w:val="0"/>
      <w:marRight w:val="0"/>
      <w:marTop w:val="0"/>
      <w:marBottom w:val="0"/>
      <w:divBdr>
        <w:top w:val="none" w:sz="0" w:space="0" w:color="auto"/>
        <w:left w:val="none" w:sz="0" w:space="0" w:color="auto"/>
        <w:bottom w:val="none" w:sz="0" w:space="0" w:color="auto"/>
        <w:right w:val="none" w:sz="0" w:space="0" w:color="auto"/>
      </w:divBdr>
    </w:div>
    <w:div w:id="1791513900">
      <w:bodyDiv w:val="1"/>
      <w:marLeft w:val="0"/>
      <w:marRight w:val="0"/>
      <w:marTop w:val="0"/>
      <w:marBottom w:val="0"/>
      <w:divBdr>
        <w:top w:val="none" w:sz="0" w:space="0" w:color="auto"/>
        <w:left w:val="none" w:sz="0" w:space="0" w:color="auto"/>
        <w:bottom w:val="none" w:sz="0" w:space="0" w:color="auto"/>
        <w:right w:val="none" w:sz="0" w:space="0" w:color="auto"/>
      </w:divBdr>
    </w:div>
    <w:div w:id="1819104032">
      <w:bodyDiv w:val="1"/>
      <w:marLeft w:val="0"/>
      <w:marRight w:val="0"/>
      <w:marTop w:val="0"/>
      <w:marBottom w:val="0"/>
      <w:divBdr>
        <w:top w:val="none" w:sz="0" w:space="0" w:color="auto"/>
        <w:left w:val="none" w:sz="0" w:space="0" w:color="auto"/>
        <w:bottom w:val="none" w:sz="0" w:space="0" w:color="auto"/>
        <w:right w:val="none" w:sz="0" w:space="0" w:color="auto"/>
      </w:divBdr>
    </w:div>
    <w:div w:id="1820465114">
      <w:bodyDiv w:val="1"/>
      <w:marLeft w:val="0"/>
      <w:marRight w:val="0"/>
      <w:marTop w:val="0"/>
      <w:marBottom w:val="0"/>
      <w:divBdr>
        <w:top w:val="none" w:sz="0" w:space="0" w:color="auto"/>
        <w:left w:val="none" w:sz="0" w:space="0" w:color="auto"/>
        <w:bottom w:val="none" w:sz="0" w:space="0" w:color="auto"/>
        <w:right w:val="none" w:sz="0" w:space="0" w:color="auto"/>
      </w:divBdr>
    </w:div>
    <w:div w:id="1878276134">
      <w:bodyDiv w:val="1"/>
      <w:marLeft w:val="0"/>
      <w:marRight w:val="0"/>
      <w:marTop w:val="0"/>
      <w:marBottom w:val="0"/>
      <w:divBdr>
        <w:top w:val="none" w:sz="0" w:space="0" w:color="auto"/>
        <w:left w:val="none" w:sz="0" w:space="0" w:color="auto"/>
        <w:bottom w:val="none" w:sz="0" w:space="0" w:color="auto"/>
        <w:right w:val="none" w:sz="0" w:space="0" w:color="auto"/>
      </w:divBdr>
    </w:div>
    <w:div w:id="1898398425">
      <w:bodyDiv w:val="1"/>
      <w:marLeft w:val="0"/>
      <w:marRight w:val="0"/>
      <w:marTop w:val="0"/>
      <w:marBottom w:val="0"/>
      <w:divBdr>
        <w:top w:val="none" w:sz="0" w:space="0" w:color="auto"/>
        <w:left w:val="none" w:sz="0" w:space="0" w:color="auto"/>
        <w:bottom w:val="none" w:sz="0" w:space="0" w:color="auto"/>
        <w:right w:val="none" w:sz="0" w:space="0" w:color="auto"/>
      </w:divBdr>
    </w:div>
    <w:div w:id="1905598937">
      <w:bodyDiv w:val="1"/>
      <w:marLeft w:val="0"/>
      <w:marRight w:val="0"/>
      <w:marTop w:val="0"/>
      <w:marBottom w:val="0"/>
      <w:divBdr>
        <w:top w:val="none" w:sz="0" w:space="0" w:color="auto"/>
        <w:left w:val="none" w:sz="0" w:space="0" w:color="auto"/>
        <w:bottom w:val="none" w:sz="0" w:space="0" w:color="auto"/>
        <w:right w:val="none" w:sz="0" w:space="0" w:color="auto"/>
      </w:divBdr>
    </w:div>
    <w:div w:id="1907491122">
      <w:bodyDiv w:val="1"/>
      <w:marLeft w:val="0"/>
      <w:marRight w:val="0"/>
      <w:marTop w:val="0"/>
      <w:marBottom w:val="0"/>
      <w:divBdr>
        <w:top w:val="none" w:sz="0" w:space="0" w:color="auto"/>
        <w:left w:val="none" w:sz="0" w:space="0" w:color="auto"/>
        <w:bottom w:val="none" w:sz="0" w:space="0" w:color="auto"/>
        <w:right w:val="none" w:sz="0" w:space="0" w:color="auto"/>
      </w:divBdr>
    </w:div>
    <w:div w:id="1956937614">
      <w:bodyDiv w:val="1"/>
      <w:marLeft w:val="0"/>
      <w:marRight w:val="0"/>
      <w:marTop w:val="0"/>
      <w:marBottom w:val="0"/>
      <w:divBdr>
        <w:top w:val="none" w:sz="0" w:space="0" w:color="auto"/>
        <w:left w:val="none" w:sz="0" w:space="0" w:color="auto"/>
        <w:bottom w:val="none" w:sz="0" w:space="0" w:color="auto"/>
        <w:right w:val="none" w:sz="0" w:space="0" w:color="auto"/>
      </w:divBdr>
    </w:div>
    <w:div w:id="204047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8178F-5D1C-48AC-BFCF-1A187D783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3543</Words>
  <Characters>22938</Characters>
  <Application>Microsoft Office Word</Application>
  <DocSecurity>0</DocSecurity>
  <Lines>191</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HELS@dkma.dk</dc:creator>
  <cp:keywords/>
  <dc:description>2022093756 pkt. 4.4, 4.5</dc:description>
  <cp:lastModifiedBy>Helle Søndersted</cp:lastModifiedBy>
  <cp:revision>2</cp:revision>
  <cp:lastPrinted>2020-09-10T08:29:00Z</cp:lastPrinted>
  <dcterms:created xsi:type="dcterms:W3CDTF">2023-12-21T07:24:00Z</dcterms:created>
  <dcterms:modified xsi:type="dcterms:W3CDTF">2023-12-21T07:24:00Z</dcterms:modified>
</cp:coreProperties>
</file>