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3F8" w:rsidRDefault="000023F8" w:rsidP="000023F8">
      <w:bookmarkStart w:id="0" w:name="_GoBack"/>
      <w:bookmarkEnd w:id="0"/>
      <w:r>
        <w:rPr>
          <w:noProof/>
          <w:lang w:eastAsia="da-DK"/>
        </w:rPr>
        <w:drawing>
          <wp:inline distT="0" distB="0" distL="0" distR="0" wp14:anchorId="65458E52" wp14:editId="3871BE0D">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0023F8" w:rsidRPr="00C84483" w:rsidRDefault="000023F8" w:rsidP="000023F8">
      <w:pPr>
        <w:pStyle w:val="Titel"/>
        <w:tabs>
          <w:tab w:val="left" w:pos="8222"/>
        </w:tabs>
        <w:jc w:val="left"/>
        <w:rPr>
          <w:b w:val="0"/>
          <w:szCs w:val="24"/>
        </w:rPr>
      </w:pPr>
    </w:p>
    <w:p w:rsidR="000023F8" w:rsidRDefault="00D27B32" w:rsidP="000023F8">
      <w:pPr>
        <w:pStyle w:val="Titel"/>
        <w:jc w:val="right"/>
        <w:rPr>
          <w:szCs w:val="24"/>
        </w:rPr>
      </w:pPr>
      <w:r>
        <w:rPr>
          <w:szCs w:val="24"/>
        </w:rPr>
        <w:t>23</w:t>
      </w:r>
      <w:r w:rsidR="00B12B6E">
        <w:rPr>
          <w:szCs w:val="24"/>
        </w:rPr>
        <w:t xml:space="preserve">. </w:t>
      </w:r>
      <w:r>
        <w:rPr>
          <w:szCs w:val="24"/>
        </w:rPr>
        <w:t>maj</w:t>
      </w:r>
      <w:r w:rsidR="00B12B6E">
        <w:rPr>
          <w:szCs w:val="24"/>
        </w:rPr>
        <w:t xml:space="preserve"> </w:t>
      </w:r>
      <w:r w:rsidR="000023F8">
        <w:rPr>
          <w:szCs w:val="24"/>
        </w:rPr>
        <w:t>20</w:t>
      </w:r>
      <w:r w:rsidR="00525221">
        <w:rPr>
          <w:szCs w:val="24"/>
        </w:rPr>
        <w:t>2</w:t>
      </w:r>
      <w:r>
        <w:rPr>
          <w:szCs w:val="24"/>
        </w:rPr>
        <w:t>4</w:t>
      </w:r>
    </w:p>
    <w:p w:rsidR="000023F8" w:rsidRDefault="000023F8" w:rsidP="00F050F1">
      <w:pPr>
        <w:pStyle w:val="Titel"/>
        <w:jc w:val="left"/>
        <w:rPr>
          <w:szCs w:val="24"/>
        </w:rPr>
      </w:pPr>
    </w:p>
    <w:p w:rsidR="001F22A5" w:rsidRDefault="001F22A5" w:rsidP="00F050F1">
      <w:pPr>
        <w:pStyle w:val="Titel"/>
        <w:jc w:val="left"/>
        <w:rPr>
          <w:szCs w:val="24"/>
        </w:rPr>
      </w:pPr>
    </w:p>
    <w:p w:rsidR="000023F8" w:rsidRPr="00C84483" w:rsidRDefault="000023F8" w:rsidP="000023F8">
      <w:pPr>
        <w:jc w:val="center"/>
        <w:rPr>
          <w:b/>
          <w:sz w:val="24"/>
          <w:szCs w:val="24"/>
        </w:rPr>
      </w:pPr>
      <w:r w:rsidRPr="00C84483">
        <w:rPr>
          <w:b/>
          <w:sz w:val="24"/>
          <w:szCs w:val="24"/>
        </w:rPr>
        <w:t>PRODUKTRESUMÉ</w:t>
      </w:r>
    </w:p>
    <w:p w:rsidR="000023F8" w:rsidRPr="00C84483" w:rsidRDefault="000023F8" w:rsidP="000023F8">
      <w:pPr>
        <w:jc w:val="center"/>
        <w:rPr>
          <w:b/>
          <w:sz w:val="24"/>
          <w:szCs w:val="24"/>
        </w:rPr>
      </w:pPr>
    </w:p>
    <w:p w:rsidR="000023F8" w:rsidRPr="00C84483" w:rsidRDefault="000023F8" w:rsidP="000023F8">
      <w:pPr>
        <w:jc w:val="center"/>
        <w:rPr>
          <w:b/>
          <w:sz w:val="24"/>
          <w:szCs w:val="24"/>
        </w:rPr>
      </w:pPr>
      <w:r w:rsidRPr="00C84483">
        <w:rPr>
          <w:b/>
          <w:sz w:val="24"/>
          <w:szCs w:val="24"/>
        </w:rPr>
        <w:t>for</w:t>
      </w:r>
    </w:p>
    <w:p w:rsidR="000023F8" w:rsidRPr="00C84483" w:rsidRDefault="000023F8" w:rsidP="000023F8">
      <w:pPr>
        <w:jc w:val="center"/>
        <w:rPr>
          <w:b/>
          <w:sz w:val="24"/>
          <w:szCs w:val="24"/>
        </w:rPr>
      </w:pPr>
    </w:p>
    <w:p w:rsidR="000023F8" w:rsidRPr="00C84483" w:rsidRDefault="000023F8" w:rsidP="000023F8">
      <w:pPr>
        <w:jc w:val="center"/>
        <w:rPr>
          <w:b/>
          <w:sz w:val="24"/>
          <w:szCs w:val="24"/>
        </w:rPr>
      </w:pPr>
      <w:proofErr w:type="spellStart"/>
      <w:r>
        <w:rPr>
          <w:b/>
          <w:sz w:val="24"/>
          <w:szCs w:val="24"/>
        </w:rPr>
        <w:t>Regiocit</w:t>
      </w:r>
      <w:proofErr w:type="spellEnd"/>
      <w:r>
        <w:rPr>
          <w:b/>
          <w:sz w:val="24"/>
          <w:szCs w:val="24"/>
        </w:rPr>
        <w:t xml:space="preserve">, </w:t>
      </w:r>
      <w:proofErr w:type="spellStart"/>
      <w:r>
        <w:rPr>
          <w:b/>
          <w:sz w:val="24"/>
          <w:szCs w:val="24"/>
        </w:rPr>
        <w:t>hæmofiltreringsvæske</w:t>
      </w:r>
      <w:proofErr w:type="spellEnd"/>
    </w:p>
    <w:p w:rsidR="000023F8" w:rsidRPr="00C84483" w:rsidRDefault="000023F8" w:rsidP="000023F8">
      <w:pPr>
        <w:jc w:val="both"/>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0.</w:t>
      </w:r>
      <w:r w:rsidRPr="00C84483">
        <w:rPr>
          <w:b/>
          <w:sz w:val="24"/>
          <w:szCs w:val="24"/>
        </w:rPr>
        <w:tab/>
        <w:t>D.SP.NR.</w:t>
      </w:r>
    </w:p>
    <w:p w:rsidR="000023F8" w:rsidRPr="00C84483" w:rsidRDefault="000023F8" w:rsidP="000023F8">
      <w:pPr>
        <w:tabs>
          <w:tab w:val="left" w:pos="851"/>
        </w:tabs>
        <w:rPr>
          <w:sz w:val="24"/>
          <w:szCs w:val="24"/>
        </w:rPr>
      </w:pPr>
      <w:r w:rsidRPr="00C84483">
        <w:rPr>
          <w:sz w:val="24"/>
          <w:szCs w:val="24"/>
        </w:rPr>
        <w:tab/>
      </w:r>
      <w:r>
        <w:rPr>
          <w:sz w:val="24"/>
          <w:szCs w:val="24"/>
        </w:rPr>
        <w:t>28946</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1.</w:t>
      </w:r>
      <w:r w:rsidRPr="00C84483">
        <w:rPr>
          <w:b/>
          <w:sz w:val="24"/>
          <w:szCs w:val="24"/>
        </w:rPr>
        <w:tab/>
        <w:t>LÆGEMIDLETS NAVN</w:t>
      </w:r>
    </w:p>
    <w:p w:rsidR="000023F8" w:rsidRPr="00C84483" w:rsidRDefault="000023F8" w:rsidP="000023F8">
      <w:pPr>
        <w:tabs>
          <w:tab w:val="left" w:pos="851"/>
        </w:tabs>
        <w:rPr>
          <w:sz w:val="24"/>
          <w:szCs w:val="24"/>
        </w:rPr>
      </w:pPr>
      <w:r w:rsidRPr="00C84483">
        <w:rPr>
          <w:sz w:val="24"/>
          <w:szCs w:val="24"/>
        </w:rPr>
        <w:tab/>
      </w:r>
      <w:proofErr w:type="spellStart"/>
      <w:r>
        <w:rPr>
          <w:sz w:val="24"/>
          <w:szCs w:val="24"/>
        </w:rPr>
        <w:t>Regiocit</w:t>
      </w:r>
      <w:proofErr w:type="spellEnd"/>
    </w:p>
    <w:p w:rsidR="000023F8" w:rsidRPr="00C84483" w:rsidRDefault="000023F8" w:rsidP="000023F8">
      <w:pPr>
        <w:tabs>
          <w:tab w:val="left" w:pos="851"/>
        </w:tabs>
        <w:rPr>
          <w:sz w:val="24"/>
          <w:szCs w:val="24"/>
        </w:rPr>
      </w:pPr>
      <w:r w:rsidRPr="00C84483">
        <w:rPr>
          <w:sz w:val="24"/>
          <w:szCs w:val="24"/>
        </w:rPr>
        <w:tab/>
      </w:r>
    </w:p>
    <w:p w:rsidR="000023F8" w:rsidRPr="00C84483" w:rsidRDefault="000023F8" w:rsidP="000023F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023F8" w:rsidRPr="00EA24D2" w:rsidRDefault="000023F8" w:rsidP="000023F8">
      <w:pPr>
        <w:ind w:left="851"/>
        <w:rPr>
          <w:bCs/>
          <w:noProof/>
          <w:sz w:val="24"/>
          <w:szCs w:val="24"/>
        </w:rPr>
      </w:pPr>
      <w:proofErr w:type="spellStart"/>
      <w:r w:rsidRPr="00EA24D2">
        <w:rPr>
          <w:sz w:val="24"/>
          <w:szCs w:val="24"/>
        </w:rPr>
        <w:t>Natriumchlorid</w:t>
      </w:r>
      <w:proofErr w:type="spellEnd"/>
      <w:r w:rsidRPr="00EA24D2">
        <w:rPr>
          <w:bCs/>
          <w:noProof/>
          <w:sz w:val="24"/>
          <w:szCs w:val="24"/>
        </w:rPr>
        <w:tab/>
      </w:r>
      <w:r w:rsidRPr="00EA24D2">
        <w:rPr>
          <w:sz w:val="24"/>
          <w:szCs w:val="24"/>
        </w:rPr>
        <w:t>5,03 g/l</w:t>
      </w:r>
    </w:p>
    <w:p w:rsidR="000023F8" w:rsidRPr="002F1BF7" w:rsidRDefault="000023F8" w:rsidP="000023F8">
      <w:pPr>
        <w:ind w:left="851"/>
        <w:rPr>
          <w:bCs/>
          <w:noProof/>
          <w:sz w:val="24"/>
          <w:szCs w:val="24"/>
          <w:lang w:val="de-DE"/>
        </w:rPr>
      </w:pPr>
      <w:r w:rsidRPr="002F1BF7">
        <w:rPr>
          <w:sz w:val="24"/>
          <w:szCs w:val="24"/>
          <w:lang w:val="de-DE"/>
        </w:rPr>
        <w:t>Natriumcitrat</w:t>
      </w:r>
      <w:r w:rsidRPr="002F1BF7">
        <w:rPr>
          <w:bCs/>
          <w:noProof/>
          <w:sz w:val="24"/>
          <w:szCs w:val="24"/>
          <w:lang w:val="de-DE"/>
        </w:rPr>
        <w:tab/>
      </w:r>
      <w:r w:rsidRPr="002F1BF7">
        <w:rPr>
          <w:sz w:val="24"/>
          <w:szCs w:val="24"/>
          <w:lang w:val="de-DE"/>
        </w:rPr>
        <w:t>5,29 g/l</w:t>
      </w:r>
    </w:p>
    <w:p w:rsidR="000023F8" w:rsidRPr="002F1BF7" w:rsidRDefault="000023F8" w:rsidP="000023F8">
      <w:pPr>
        <w:ind w:left="851"/>
        <w:rPr>
          <w:bCs/>
          <w:noProof/>
          <w:sz w:val="24"/>
          <w:szCs w:val="24"/>
          <w:lang w:val="de-DE"/>
        </w:rPr>
      </w:pPr>
    </w:p>
    <w:p w:rsidR="000023F8" w:rsidRPr="002F1BF7" w:rsidRDefault="000023F8" w:rsidP="000023F8">
      <w:pPr>
        <w:ind w:left="851"/>
        <w:rPr>
          <w:bCs/>
          <w:noProof/>
          <w:sz w:val="24"/>
          <w:szCs w:val="24"/>
          <w:lang w:val="de-DE"/>
        </w:rPr>
      </w:pPr>
      <w:r w:rsidRPr="002F1BF7">
        <w:rPr>
          <w:sz w:val="24"/>
          <w:szCs w:val="24"/>
          <w:lang w:val="de-DE"/>
        </w:rPr>
        <w:t>Natrium, Na</w:t>
      </w:r>
      <w:r w:rsidRPr="002F1BF7">
        <w:rPr>
          <w:sz w:val="24"/>
          <w:szCs w:val="24"/>
          <w:vertAlign w:val="superscript"/>
          <w:lang w:val="de-DE"/>
        </w:rPr>
        <w:t>+</w:t>
      </w:r>
      <w:r w:rsidRPr="002F1BF7">
        <w:rPr>
          <w:bCs/>
          <w:noProof/>
          <w:sz w:val="24"/>
          <w:szCs w:val="24"/>
          <w:lang w:val="de-DE"/>
        </w:rPr>
        <w:t xml:space="preserve"> </w:t>
      </w:r>
      <w:r w:rsidRPr="002F1BF7">
        <w:rPr>
          <w:bCs/>
          <w:noProof/>
          <w:sz w:val="24"/>
          <w:szCs w:val="24"/>
          <w:lang w:val="de-DE"/>
        </w:rPr>
        <w:tab/>
      </w:r>
      <w:r w:rsidRPr="002F1BF7">
        <w:rPr>
          <w:sz w:val="24"/>
          <w:szCs w:val="24"/>
          <w:lang w:val="de-DE"/>
        </w:rPr>
        <w:t>140 mmol/l</w:t>
      </w:r>
    </w:p>
    <w:p w:rsidR="000023F8" w:rsidRPr="009F49C7" w:rsidRDefault="000023F8" w:rsidP="000023F8">
      <w:pPr>
        <w:ind w:left="851"/>
        <w:rPr>
          <w:bCs/>
          <w:noProof/>
          <w:sz w:val="24"/>
          <w:szCs w:val="24"/>
          <w:lang w:val="en-US"/>
        </w:rPr>
      </w:pPr>
      <w:proofErr w:type="spellStart"/>
      <w:r w:rsidRPr="009F49C7">
        <w:rPr>
          <w:sz w:val="24"/>
          <w:szCs w:val="24"/>
          <w:lang w:val="en-US"/>
        </w:rPr>
        <w:t>Chlorid</w:t>
      </w:r>
      <w:proofErr w:type="spellEnd"/>
      <w:r w:rsidRPr="009F49C7">
        <w:rPr>
          <w:sz w:val="24"/>
          <w:szCs w:val="24"/>
          <w:lang w:val="en-US"/>
        </w:rPr>
        <w:t>, Cl</w:t>
      </w:r>
      <w:r w:rsidRPr="009F49C7">
        <w:rPr>
          <w:sz w:val="24"/>
          <w:szCs w:val="24"/>
          <w:vertAlign w:val="superscript"/>
          <w:lang w:val="en-US"/>
        </w:rPr>
        <w:t>-</w:t>
      </w:r>
      <w:r w:rsidRPr="009F49C7">
        <w:rPr>
          <w:bCs/>
          <w:noProof/>
          <w:sz w:val="24"/>
          <w:szCs w:val="24"/>
          <w:lang w:val="en-US"/>
        </w:rPr>
        <w:t xml:space="preserve"> </w:t>
      </w:r>
      <w:r w:rsidRPr="009F49C7">
        <w:rPr>
          <w:bCs/>
          <w:noProof/>
          <w:sz w:val="24"/>
          <w:szCs w:val="24"/>
          <w:lang w:val="en-US"/>
        </w:rPr>
        <w:tab/>
      </w:r>
      <w:r w:rsidRPr="009F49C7">
        <w:rPr>
          <w:sz w:val="24"/>
          <w:szCs w:val="24"/>
          <w:lang w:val="en-US"/>
        </w:rPr>
        <w:t>86 mmol/l</w:t>
      </w:r>
    </w:p>
    <w:p w:rsidR="000023F8" w:rsidRPr="00F33C5C" w:rsidRDefault="000023F8" w:rsidP="000023F8">
      <w:pPr>
        <w:ind w:left="851"/>
        <w:rPr>
          <w:bCs/>
          <w:noProof/>
          <w:sz w:val="24"/>
          <w:szCs w:val="24"/>
        </w:rPr>
      </w:pPr>
      <w:r w:rsidRPr="00F33C5C">
        <w:rPr>
          <w:sz w:val="24"/>
          <w:szCs w:val="24"/>
        </w:rPr>
        <w:t>Citrat, C</w:t>
      </w:r>
      <w:r w:rsidRPr="00F33C5C">
        <w:rPr>
          <w:sz w:val="24"/>
          <w:szCs w:val="24"/>
          <w:vertAlign w:val="subscript"/>
        </w:rPr>
        <w:t>6</w:t>
      </w:r>
      <w:r w:rsidRPr="00F33C5C">
        <w:rPr>
          <w:sz w:val="24"/>
          <w:szCs w:val="24"/>
        </w:rPr>
        <w:t>H</w:t>
      </w:r>
      <w:r w:rsidRPr="00F33C5C">
        <w:rPr>
          <w:sz w:val="24"/>
          <w:szCs w:val="24"/>
          <w:vertAlign w:val="subscript"/>
        </w:rPr>
        <w:t>5</w:t>
      </w:r>
      <w:r w:rsidRPr="00F33C5C">
        <w:rPr>
          <w:sz w:val="24"/>
          <w:szCs w:val="24"/>
        </w:rPr>
        <w:t>O</w:t>
      </w:r>
      <w:r w:rsidRPr="00F33C5C">
        <w:rPr>
          <w:sz w:val="24"/>
          <w:szCs w:val="24"/>
          <w:vertAlign w:val="subscript"/>
        </w:rPr>
        <w:t>7</w:t>
      </w:r>
      <w:r w:rsidRPr="00F33C5C">
        <w:rPr>
          <w:sz w:val="24"/>
          <w:szCs w:val="24"/>
          <w:vertAlign w:val="superscript"/>
        </w:rPr>
        <w:t>3-</w:t>
      </w:r>
      <w:r w:rsidRPr="00F33C5C">
        <w:rPr>
          <w:bCs/>
          <w:noProof/>
          <w:sz w:val="24"/>
          <w:szCs w:val="24"/>
        </w:rPr>
        <w:t xml:space="preserve"> </w:t>
      </w:r>
      <w:r w:rsidRPr="00F33C5C">
        <w:rPr>
          <w:bCs/>
          <w:noProof/>
          <w:sz w:val="24"/>
          <w:szCs w:val="24"/>
        </w:rPr>
        <w:tab/>
      </w:r>
      <w:r w:rsidRPr="00F33C5C">
        <w:rPr>
          <w:sz w:val="24"/>
          <w:szCs w:val="24"/>
        </w:rPr>
        <w:t>18 mmol/l</w:t>
      </w:r>
    </w:p>
    <w:p w:rsidR="000023F8" w:rsidRPr="00F33C5C" w:rsidRDefault="000023F8" w:rsidP="000023F8">
      <w:pPr>
        <w:ind w:left="851"/>
        <w:rPr>
          <w:bCs/>
          <w:noProof/>
          <w:sz w:val="24"/>
          <w:szCs w:val="24"/>
        </w:rPr>
      </w:pPr>
    </w:p>
    <w:p w:rsidR="000023F8" w:rsidRPr="009F49C7" w:rsidRDefault="000023F8" w:rsidP="000023F8">
      <w:pPr>
        <w:ind w:left="851"/>
        <w:rPr>
          <w:noProof/>
          <w:color w:val="000000"/>
          <w:sz w:val="24"/>
          <w:szCs w:val="24"/>
        </w:rPr>
      </w:pPr>
      <w:r w:rsidRPr="009F49C7">
        <w:rPr>
          <w:color w:val="000000"/>
          <w:sz w:val="24"/>
          <w:szCs w:val="24"/>
        </w:rPr>
        <w:t>Alle hjælpestoffer er anført under pkt. 6.1.</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3.</w:t>
      </w:r>
      <w:r w:rsidRPr="00C84483">
        <w:rPr>
          <w:b/>
          <w:sz w:val="24"/>
          <w:szCs w:val="24"/>
        </w:rPr>
        <w:tab/>
        <w:t>LÆGEMIDDELFORM</w:t>
      </w:r>
    </w:p>
    <w:p w:rsidR="000023F8" w:rsidRPr="009F49C7" w:rsidRDefault="000023F8" w:rsidP="000023F8">
      <w:pPr>
        <w:ind w:left="851"/>
        <w:rPr>
          <w:iCs/>
          <w:noProof/>
          <w:sz w:val="24"/>
          <w:szCs w:val="24"/>
        </w:rPr>
      </w:pPr>
      <w:proofErr w:type="spellStart"/>
      <w:r w:rsidRPr="009F49C7">
        <w:rPr>
          <w:sz w:val="24"/>
          <w:szCs w:val="24"/>
        </w:rPr>
        <w:t>Hæmofiltreringsvæske</w:t>
      </w:r>
      <w:proofErr w:type="spellEnd"/>
    </w:p>
    <w:p w:rsidR="000023F8" w:rsidRPr="009F49C7" w:rsidRDefault="000023F8" w:rsidP="000023F8">
      <w:pPr>
        <w:ind w:left="851"/>
        <w:rPr>
          <w:noProof/>
          <w:sz w:val="24"/>
          <w:szCs w:val="24"/>
        </w:rPr>
      </w:pPr>
    </w:p>
    <w:p w:rsidR="000023F8" w:rsidRPr="009F49C7" w:rsidRDefault="000023F8" w:rsidP="000023F8">
      <w:pPr>
        <w:ind w:left="851"/>
        <w:rPr>
          <w:noProof/>
          <w:sz w:val="24"/>
          <w:szCs w:val="24"/>
        </w:rPr>
      </w:pPr>
      <w:r w:rsidRPr="009F49C7">
        <w:rPr>
          <w:sz w:val="24"/>
          <w:szCs w:val="24"/>
        </w:rPr>
        <w:t>Væsken er steril, klar og farveløs og fri for bakterielle endotoksiner.</w:t>
      </w:r>
      <w:r w:rsidRPr="009F49C7">
        <w:rPr>
          <w:bCs/>
          <w:noProof/>
          <w:sz w:val="24"/>
          <w:szCs w:val="24"/>
        </w:rPr>
        <w:t xml:space="preserve">  </w:t>
      </w:r>
    </w:p>
    <w:p w:rsidR="000023F8" w:rsidRPr="009F49C7" w:rsidRDefault="000023F8" w:rsidP="000023F8">
      <w:pPr>
        <w:ind w:left="851"/>
        <w:rPr>
          <w:noProof/>
          <w:sz w:val="24"/>
          <w:szCs w:val="24"/>
        </w:rPr>
      </w:pPr>
    </w:p>
    <w:p w:rsidR="000023F8" w:rsidRPr="009F49C7" w:rsidRDefault="000023F8" w:rsidP="000023F8">
      <w:pPr>
        <w:ind w:left="851"/>
        <w:rPr>
          <w:bCs/>
          <w:noProof/>
          <w:sz w:val="24"/>
          <w:szCs w:val="24"/>
        </w:rPr>
      </w:pPr>
      <w:r w:rsidRPr="009F49C7">
        <w:rPr>
          <w:sz w:val="24"/>
          <w:szCs w:val="24"/>
        </w:rPr>
        <w:t xml:space="preserve">Teoretisk </w:t>
      </w:r>
      <w:proofErr w:type="spellStart"/>
      <w:r w:rsidRPr="009F49C7">
        <w:rPr>
          <w:sz w:val="24"/>
          <w:szCs w:val="24"/>
        </w:rPr>
        <w:t>osmolaritet</w:t>
      </w:r>
      <w:proofErr w:type="spellEnd"/>
      <w:r w:rsidRPr="009F49C7">
        <w:rPr>
          <w:sz w:val="24"/>
          <w:szCs w:val="24"/>
        </w:rPr>
        <w:t>: 244 </w:t>
      </w:r>
      <w:proofErr w:type="spellStart"/>
      <w:r w:rsidRPr="009F49C7">
        <w:rPr>
          <w:sz w:val="24"/>
          <w:szCs w:val="24"/>
        </w:rPr>
        <w:t>mOsm</w:t>
      </w:r>
      <w:proofErr w:type="spellEnd"/>
      <w:r w:rsidRPr="009F49C7">
        <w:rPr>
          <w:sz w:val="24"/>
          <w:szCs w:val="24"/>
        </w:rPr>
        <w:t>/l</w:t>
      </w:r>
    </w:p>
    <w:p w:rsidR="000023F8" w:rsidRPr="009F49C7" w:rsidRDefault="000023F8" w:rsidP="000023F8">
      <w:pPr>
        <w:ind w:left="851"/>
        <w:rPr>
          <w:noProof/>
          <w:sz w:val="24"/>
          <w:szCs w:val="24"/>
        </w:rPr>
      </w:pPr>
      <w:r w:rsidRPr="009F49C7">
        <w:rPr>
          <w:sz w:val="24"/>
          <w:szCs w:val="24"/>
        </w:rPr>
        <w:t>pH ≈ 7,4</w:t>
      </w:r>
    </w:p>
    <w:p w:rsidR="000023F8" w:rsidRDefault="000023F8" w:rsidP="000023F8">
      <w:pPr>
        <w:tabs>
          <w:tab w:val="left" w:pos="851"/>
        </w:tabs>
        <w:rPr>
          <w:sz w:val="24"/>
          <w:szCs w:val="24"/>
        </w:rPr>
      </w:pP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4.</w:t>
      </w:r>
      <w:r w:rsidRPr="00C84483">
        <w:rPr>
          <w:b/>
          <w:sz w:val="24"/>
          <w:szCs w:val="24"/>
        </w:rPr>
        <w:tab/>
        <w:t>KLINISKE OPLYSNINGER</w:t>
      </w:r>
    </w:p>
    <w:p w:rsidR="000023F8" w:rsidRPr="00C84483" w:rsidRDefault="000023F8" w:rsidP="000023F8">
      <w:pPr>
        <w:tabs>
          <w:tab w:val="left" w:pos="851"/>
        </w:tabs>
        <w:rPr>
          <w:b/>
          <w:sz w:val="24"/>
          <w:szCs w:val="24"/>
        </w:rPr>
      </w:pPr>
    </w:p>
    <w:p w:rsidR="000023F8" w:rsidRPr="00C84483" w:rsidRDefault="000023F8" w:rsidP="000023F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023F8" w:rsidRPr="009F49C7" w:rsidRDefault="000023F8" w:rsidP="000023F8">
      <w:pPr>
        <w:ind w:left="851"/>
        <w:rPr>
          <w:sz w:val="24"/>
          <w:szCs w:val="24"/>
        </w:rPr>
      </w:pPr>
      <w:proofErr w:type="spellStart"/>
      <w:r w:rsidRPr="009F49C7">
        <w:rPr>
          <w:sz w:val="24"/>
          <w:szCs w:val="24"/>
        </w:rPr>
        <w:t>Regiocit</w:t>
      </w:r>
      <w:proofErr w:type="spellEnd"/>
      <w:r w:rsidRPr="009F49C7">
        <w:rPr>
          <w:sz w:val="24"/>
          <w:szCs w:val="24"/>
        </w:rPr>
        <w:t xml:space="preserve"> er indiceret som erstatningsvæske til kontinuerlig nyresubstitutionsterapi (CRRT), hvor der anvendes regional citratantikoagulation. Citrat er særligt relevant, når systemisk </w:t>
      </w:r>
      <w:proofErr w:type="spellStart"/>
      <w:r w:rsidRPr="009F49C7">
        <w:rPr>
          <w:sz w:val="24"/>
          <w:szCs w:val="24"/>
        </w:rPr>
        <w:t>heparinantikoagulation</w:t>
      </w:r>
      <w:proofErr w:type="spellEnd"/>
      <w:r w:rsidRPr="009F49C7">
        <w:rPr>
          <w:sz w:val="24"/>
          <w:szCs w:val="24"/>
        </w:rPr>
        <w:t xml:space="preserve"> er kontraindiceret, f.eks. hos patienter med forhøjet blødningsrisiko.</w:t>
      </w:r>
    </w:p>
    <w:p w:rsidR="000023F8" w:rsidRPr="009F49C7" w:rsidRDefault="000023F8" w:rsidP="000023F8">
      <w:pPr>
        <w:ind w:left="851"/>
        <w:rPr>
          <w:sz w:val="24"/>
          <w:szCs w:val="24"/>
        </w:rPr>
      </w:pPr>
    </w:p>
    <w:p w:rsidR="000023F8" w:rsidRPr="009F49C7" w:rsidRDefault="000023F8" w:rsidP="000023F8">
      <w:pPr>
        <w:ind w:left="851"/>
        <w:rPr>
          <w:sz w:val="24"/>
          <w:szCs w:val="24"/>
        </w:rPr>
      </w:pPr>
      <w:r w:rsidRPr="009F49C7">
        <w:rPr>
          <w:sz w:val="24"/>
          <w:szCs w:val="24"/>
        </w:rPr>
        <w:t xml:space="preserve">Hos pædiatriske patienter er </w:t>
      </w:r>
      <w:proofErr w:type="spellStart"/>
      <w:r w:rsidRPr="009F49C7">
        <w:rPr>
          <w:sz w:val="24"/>
          <w:szCs w:val="24"/>
        </w:rPr>
        <w:t>Regiocit</w:t>
      </w:r>
      <w:proofErr w:type="spellEnd"/>
      <w:r w:rsidRPr="009F49C7">
        <w:rPr>
          <w:sz w:val="24"/>
          <w:szCs w:val="24"/>
        </w:rPr>
        <w:t xml:space="preserve"> indiceret til alle aldersgrupper, forudsat at det anvendte udstyr er justeret efter barnets vægt.</w:t>
      </w:r>
    </w:p>
    <w:p w:rsidR="000023F8" w:rsidRDefault="000023F8" w:rsidP="000023F8">
      <w:pPr>
        <w:rPr>
          <w:sz w:val="24"/>
          <w:szCs w:val="24"/>
        </w:rPr>
      </w:pPr>
      <w:r>
        <w:rPr>
          <w:sz w:val="24"/>
          <w:szCs w:val="24"/>
        </w:rPr>
        <w:br w:type="page"/>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F22A5">
        <w:rPr>
          <w:b/>
          <w:sz w:val="24"/>
          <w:szCs w:val="24"/>
        </w:rPr>
        <w:t>administration</w:t>
      </w:r>
    </w:p>
    <w:p w:rsidR="000023F8" w:rsidRDefault="000023F8" w:rsidP="000023F8">
      <w:pPr>
        <w:ind w:left="851"/>
        <w:rPr>
          <w:sz w:val="24"/>
          <w:szCs w:val="24"/>
          <w:u w:val="single"/>
        </w:rPr>
      </w:pPr>
    </w:p>
    <w:p w:rsidR="000023F8" w:rsidRDefault="000023F8" w:rsidP="000023F8">
      <w:pPr>
        <w:ind w:left="851"/>
        <w:rPr>
          <w:sz w:val="24"/>
          <w:szCs w:val="24"/>
          <w:u w:val="single"/>
        </w:rPr>
      </w:pPr>
      <w:r>
        <w:rPr>
          <w:sz w:val="24"/>
          <w:szCs w:val="24"/>
          <w:u w:val="single"/>
        </w:rPr>
        <w:t>Dosering</w:t>
      </w:r>
    </w:p>
    <w:p w:rsidR="000023F8" w:rsidRDefault="000023F8" w:rsidP="000023F8">
      <w:pPr>
        <w:ind w:left="851"/>
        <w:rPr>
          <w:sz w:val="24"/>
          <w:szCs w:val="24"/>
        </w:rPr>
      </w:pPr>
      <w:r>
        <w:rPr>
          <w:sz w:val="24"/>
          <w:szCs w:val="24"/>
        </w:rPr>
        <w:t xml:space="preserve">Hastigheden, hvorved </w:t>
      </w:r>
      <w:proofErr w:type="spellStart"/>
      <w:r>
        <w:rPr>
          <w:sz w:val="24"/>
          <w:szCs w:val="24"/>
        </w:rPr>
        <w:t>Regiocit</w:t>
      </w:r>
      <w:proofErr w:type="spellEnd"/>
      <w:r>
        <w:rPr>
          <w:sz w:val="24"/>
          <w:szCs w:val="24"/>
        </w:rPr>
        <w:t xml:space="preserve"> administreres, afhænger af den tilsigtede citratdosis og den ordinerede blodflowrate (BFR). Ved ordinationen af </w:t>
      </w:r>
      <w:proofErr w:type="spellStart"/>
      <w:r>
        <w:rPr>
          <w:sz w:val="24"/>
          <w:szCs w:val="24"/>
        </w:rPr>
        <w:t>Regiocit</w:t>
      </w:r>
      <w:proofErr w:type="spellEnd"/>
      <w:r>
        <w:rPr>
          <w:sz w:val="24"/>
          <w:szCs w:val="24"/>
        </w:rPr>
        <w:t xml:space="preserve"> skal der tages højde for flowraterne for udløbsvæsken og andre terapeutiske væsker, patientens behov for væskefjernelse, yderligere væsketilførsel og -afgang samt den ønskede syre/base- og elektrolytbalance. </w:t>
      </w:r>
      <w:proofErr w:type="spellStart"/>
      <w:r>
        <w:rPr>
          <w:sz w:val="24"/>
          <w:szCs w:val="24"/>
        </w:rPr>
        <w:t>Regiocit</w:t>
      </w:r>
      <w:proofErr w:type="spellEnd"/>
      <w:r>
        <w:rPr>
          <w:sz w:val="24"/>
          <w:szCs w:val="24"/>
        </w:rPr>
        <w:t xml:space="preserve"> må kun ordineres, og administration (dosis, infusionsrate og samlet mængde) må kun fastlægges af en læge med erfaring i behandling af kritisk syge patienter og CRRT. </w:t>
      </w:r>
    </w:p>
    <w:p w:rsidR="000023F8" w:rsidRDefault="000023F8" w:rsidP="000023F8">
      <w:pPr>
        <w:ind w:left="851"/>
        <w:rPr>
          <w:sz w:val="24"/>
          <w:szCs w:val="24"/>
        </w:rPr>
      </w:pPr>
      <w:r>
        <w:rPr>
          <w:sz w:val="24"/>
          <w:szCs w:val="24"/>
        </w:rPr>
        <w:t xml:space="preserve">Infusionsraten for </w:t>
      </w:r>
      <w:proofErr w:type="spellStart"/>
      <w:r>
        <w:rPr>
          <w:sz w:val="24"/>
          <w:szCs w:val="24"/>
        </w:rPr>
        <w:t>Regiocit</w:t>
      </w:r>
      <w:proofErr w:type="spellEnd"/>
      <w:r>
        <w:rPr>
          <w:sz w:val="24"/>
          <w:szCs w:val="24"/>
        </w:rPr>
        <w:t xml:space="preserve"> før filteret skal være ordineret og justeret efter blodflowraten for at opnå en målkoncentration af citrat i blodet på 3 til 4 mmol/l blod.</w:t>
      </w:r>
    </w:p>
    <w:p w:rsidR="000023F8" w:rsidRDefault="000023F8" w:rsidP="000023F8">
      <w:pPr>
        <w:ind w:left="851"/>
        <w:rPr>
          <w:sz w:val="24"/>
          <w:szCs w:val="24"/>
        </w:rPr>
      </w:pPr>
    </w:p>
    <w:p w:rsidR="000023F8" w:rsidRDefault="000023F8" w:rsidP="000023F8">
      <w:pPr>
        <w:ind w:left="851"/>
        <w:rPr>
          <w:sz w:val="24"/>
          <w:szCs w:val="24"/>
        </w:rPr>
      </w:pPr>
      <w:r>
        <w:rPr>
          <w:sz w:val="24"/>
          <w:szCs w:val="24"/>
        </w:rPr>
        <w:t xml:space="preserve">Flowraten for antikoagulation af det </w:t>
      </w:r>
      <w:proofErr w:type="spellStart"/>
      <w:r>
        <w:rPr>
          <w:sz w:val="24"/>
          <w:szCs w:val="24"/>
        </w:rPr>
        <w:t>ekstrakorporale</w:t>
      </w:r>
      <w:proofErr w:type="spellEnd"/>
      <w:r>
        <w:rPr>
          <w:sz w:val="24"/>
          <w:szCs w:val="24"/>
        </w:rPr>
        <w:t xml:space="preserve"> kredsløb bør titreres med henblik på at opnå en koncentration af ioniseret calcium efter filteret i området 0,25 til 0,35 mmol/l.</w:t>
      </w:r>
      <w:r>
        <w:rPr>
          <w:noProof/>
          <w:sz w:val="24"/>
          <w:szCs w:val="24"/>
        </w:rPr>
        <w:t xml:space="preserve"> </w:t>
      </w:r>
      <w:r>
        <w:rPr>
          <w:sz w:val="24"/>
          <w:szCs w:val="24"/>
        </w:rPr>
        <w:t>Patientens systemiske koncentration af ioniseret calcium skal holdes i det normale fysiologiske område ved justering af calciumsupplementet.</w:t>
      </w:r>
    </w:p>
    <w:p w:rsidR="000023F8" w:rsidRDefault="000023F8" w:rsidP="000023F8">
      <w:pPr>
        <w:ind w:left="851"/>
        <w:rPr>
          <w:noProof/>
          <w:sz w:val="24"/>
          <w:szCs w:val="24"/>
        </w:rPr>
      </w:pPr>
    </w:p>
    <w:p w:rsidR="000023F8" w:rsidRDefault="000023F8" w:rsidP="000023F8">
      <w:pPr>
        <w:ind w:left="851"/>
        <w:rPr>
          <w:noProof/>
          <w:sz w:val="24"/>
          <w:szCs w:val="24"/>
        </w:rPr>
      </w:pPr>
      <w:r>
        <w:rPr>
          <w:noProof/>
          <w:sz w:val="24"/>
          <w:szCs w:val="24"/>
        </w:rPr>
        <w:t>Citrat fungerer også som en bufferkilde (på grund af omdannelse til hydrogencarbonat); infusionsraten for Regiocit skal tage højde for raten, hvorved bufferadministrationen sker fra andre kilder (f.eks. dialysat og/eller erstatningsvæske). Regiocit skal anvendes sammen med en dialysevæske/erstatningsvæske med passende koncentration af hydrogencarbonat.</w:t>
      </w:r>
    </w:p>
    <w:p w:rsidR="000023F8" w:rsidRDefault="000023F8" w:rsidP="000023F8">
      <w:pPr>
        <w:ind w:left="851"/>
        <w:rPr>
          <w:noProof/>
          <w:sz w:val="24"/>
          <w:szCs w:val="24"/>
        </w:rPr>
      </w:pPr>
    </w:p>
    <w:p w:rsidR="000023F8" w:rsidRDefault="000023F8" w:rsidP="000023F8">
      <w:pPr>
        <w:ind w:left="851"/>
        <w:rPr>
          <w:noProof/>
          <w:sz w:val="24"/>
          <w:szCs w:val="24"/>
        </w:rPr>
      </w:pPr>
      <w:r>
        <w:rPr>
          <w:noProof/>
          <w:sz w:val="24"/>
          <w:szCs w:val="24"/>
        </w:rPr>
        <w:t>Der er altid behov for en separat infusion af calcium. Justér eller stop calciuminfusionen ifølge lægens ordination, når antikoagulationen stoppes.</w:t>
      </w:r>
    </w:p>
    <w:p w:rsidR="000023F8" w:rsidRDefault="000023F8" w:rsidP="000023F8">
      <w:pPr>
        <w:ind w:left="851"/>
        <w:rPr>
          <w:noProof/>
          <w:sz w:val="24"/>
          <w:szCs w:val="24"/>
        </w:rPr>
      </w:pPr>
    </w:p>
    <w:p w:rsidR="000023F8" w:rsidRDefault="000023F8" w:rsidP="000023F8">
      <w:pPr>
        <w:ind w:left="851"/>
        <w:rPr>
          <w:noProof/>
          <w:sz w:val="24"/>
          <w:szCs w:val="24"/>
        </w:rPr>
      </w:pPr>
      <w:r>
        <w:rPr>
          <w:noProof/>
          <w:sz w:val="24"/>
          <w:szCs w:val="24"/>
        </w:rPr>
        <w:t>Det er nødvendigt at monitorere det ioniserede calcium (iCa) i blodet efter filtrering, det systemiske iCa i blodet og det samlede calciumindhold i blodet, ledsaget af andre laboratorieparametre og kliniske parametre, for at bestemme den korrekte dosering af Regiocit på baggrund af det ønskede niveau af antikoagulation (se pkt. 4.4).</w:t>
      </w:r>
    </w:p>
    <w:p w:rsidR="000023F8" w:rsidRDefault="000023F8" w:rsidP="000023F8">
      <w:pPr>
        <w:ind w:left="851"/>
        <w:rPr>
          <w:noProof/>
          <w:sz w:val="24"/>
          <w:szCs w:val="24"/>
        </w:rPr>
      </w:pPr>
    </w:p>
    <w:p w:rsidR="000023F8" w:rsidRDefault="000023F8" w:rsidP="000023F8">
      <w:pPr>
        <w:ind w:left="851"/>
        <w:rPr>
          <w:noProof/>
          <w:sz w:val="24"/>
          <w:szCs w:val="24"/>
        </w:rPr>
      </w:pPr>
      <w:r>
        <w:rPr>
          <w:noProof/>
          <w:sz w:val="24"/>
          <w:szCs w:val="24"/>
        </w:rPr>
        <w:t>Plasmaniveauet af natrium, magnesium, kalium og phosphat bør kontrolleres regelmæssigt, og supplement bør gives efter behov.</w:t>
      </w:r>
    </w:p>
    <w:p w:rsidR="000023F8" w:rsidRDefault="000023F8" w:rsidP="000023F8">
      <w:pPr>
        <w:rPr>
          <w:noProof/>
          <w:sz w:val="24"/>
          <w:szCs w:val="24"/>
        </w:rPr>
      </w:pPr>
    </w:p>
    <w:p w:rsidR="000023F8" w:rsidRDefault="000023F8" w:rsidP="000023F8">
      <w:pPr>
        <w:ind w:left="851"/>
        <w:rPr>
          <w:noProof/>
          <w:sz w:val="24"/>
          <w:szCs w:val="24"/>
        </w:rPr>
      </w:pPr>
      <w:r>
        <w:rPr>
          <w:sz w:val="24"/>
          <w:szCs w:val="24"/>
        </w:rPr>
        <w:t xml:space="preserve">Flowrater for </w:t>
      </w:r>
      <w:proofErr w:type="spellStart"/>
      <w:r>
        <w:rPr>
          <w:sz w:val="24"/>
          <w:szCs w:val="24"/>
        </w:rPr>
        <w:t>Regiocit</w:t>
      </w:r>
      <w:proofErr w:type="spellEnd"/>
      <w:r>
        <w:rPr>
          <w:sz w:val="24"/>
          <w:szCs w:val="24"/>
        </w:rPr>
        <w:t xml:space="preserve"> hos voksne og unge:</w:t>
      </w:r>
    </w:p>
    <w:p w:rsidR="000023F8" w:rsidRDefault="000023F8" w:rsidP="000023F8">
      <w:pPr>
        <w:pStyle w:val="Listeafsnit"/>
        <w:numPr>
          <w:ilvl w:val="0"/>
          <w:numId w:val="6"/>
        </w:numPr>
        <w:ind w:left="1276" w:hanging="425"/>
        <w:rPr>
          <w:noProof/>
          <w:sz w:val="24"/>
          <w:szCs w:val="24"/>
        </w:rPr>
      </w:pPr>
      <w:r>
        <w:rPr>
          <w:sz w:val="24"/>
          <w:szCs w:val="24"/>
        </w:rPr>
        <w:t xml:space="preserve">Til kontinuerlig </w:t>
      </w:r>
      <w:proofErr w:type="spellStart"/>
      <w:r>
        <w:rPr>
          <w:sz w:val="24"/>
          <w:szCs w:val="24"/>
        </w:rPr>
        <w:t>veno</w:t>
      </w:r>
      <w:proofErr w:type="spellEnd"/>
      <w:r>
        <w:rPr>
          <w:sz w:val="24"/>
          <w:szCs w:val="24"/>
        </w:rPr>
        <w:t xml:space="preserve">-venøs </w:t>
      </w:r>
      <w:proofErr w:type="spellStart"/>
      <w:r>
        <w:rPr>
          <w:sz w:val="24"/>
          <w:szCs w:val="24"/>
        </w:rPr>
        <w:t>hæmofiltrering</w:t>
      </w:r>
      <w:proofErr w:type="spellEnd"/>
    </w:p>
    <w:p w:rsidR="000023F8" w:rsidRDefault="000023F8" w:rsidP="000023F8">
      <w:pPr>
        <w:pStyle w:val="Listeafsnit"/>
        <w:ind w:left="1276"/>
        <w:rPr>
          <w:noProof/>
          <w:sz w:val="24"/>
          <w:szCs w:val="24"/>
        </w:rPr>
      </w:pPr>
      <w:r>
        <w:rPr>
          <w:sz w:val="24"/>
          <w:szCs w:val="24"/>
        </w:rPr>
        <w:t>1-2,5 l/t ved en blodflowrate på mellem 100 og 200 ml/min.</w:t>
      </w:r>
    </w:p>
    <w:p w:rsidR="000023F8" w:rsidRDefault="000023F8" w:rsidP="000023F8">
      <w:pPr>
        <w:pStyle w:val="Listeafsnit"/>
        <w:numPr>
          <w:ilvl w:val="0"/>
          <w:numId w:val="6"/>
        </w:numPr>
        <w:ind w:left="1276" w:hanging="425"/>
        <w:rPr>
          <w:noProof/>
          <w:sz w:val="24"/>
          <w:szCs w:val="24"/>
        </w:rPr>
      </w:pPr>
      <w:r>
        <w:rPr>
          <w:sz w:val="24"/>
          <w:szCs w:val="24"/>
        </w:rPr>
        <w:t xml:space="preserve">Til kontinuerlig </w:t>
      </w:r>
      <w:proofErr w:type="spellStart"/>
      <w:r>
        <w:rPr>
          <w:sz w:val="24"/>
          <w:szCs w:val="24"/>
        </w:rPr>
        <w:t>veno</w:t>
      </w:r>
      <w:proofErr w:type="spellEnd"/>
      <w:r>
        <w:rPr>
          <w:sz w:val="24"/>
          <w:szCs w:val="24"/>
        </w:rPr>
        <w:t xml:space="preserve">-venøs </w:t>
      </w:r>
      <w:proofErr w:type="spellStart"/>
      <w:r>
        <w:rPr>
          <w:sz w:val="24"/>
          <w:szCs w:val="24"/>
        </w:rPr>
        <w:t>hæmodiafiltrering</w:t>
      </w:r>
      <w:proofErr w:type="spellEnd"/>
    </w:p>
    <w:p w:rsidR="000023F8" w:rsidRDefault="000023F8" w:rsidP="000023F8">
      <w:pPr>
        <w:pStyle w:val="Listeafsnit"/>
        <w:ind w:left="1276"/>
        <w:rPr>
          <w:sz w:val="24"/>
          <w:szCs w:val="24"/>
        </w:rPr>
      </w:pPr>
      <w:r>
        <w:rPr>
          <w:sz w:val="24"/>
          <w:szCs w:val="24"/>
        </w:rPr>
        <w:t>1-2 l/t ved en blodflowrate på mellem 100 og 200 ml/min.</w:t>
      </w:r>
      <w:r>
        <w:rPr>
          <w:noProof/>
          <w:sz w:val="24"/>
          <w:szCs w:val="24"/>
        </w:rPr>
        <w:t xml:space="preserve"> </w:t>
      </w:r>
    </w:p>
    <w:p w:rsidR="000023F8" w:rsidRDefault="000023F8" w:rsidP="000023F8">
      <w:pPr>
        <w:ind w:left="851"/>
        <w:rPr>
          <w:sz w:val="24"/>
          <w:szCs w:val="24"/>
        </w:rPr>
      </w:pPr>
    </w:p>
    <w:p w:rsidR="000023F8" w:rsidRDefault="000023F8" w:rsidP="000023F8">
      <w:pPr>
        <w:ind w:left="851"/>
        <w:rPr>
          <w:i/>
          <w:sz w:val="24"/>
          <w:szCs w:val="24"/>
        </w:rPr>
      </w:pPr>
      <w:r>
        <w:rPr>
          <w:i/>
          <w:sz w:val="24"/>
          <w:szCs w:val="24"/>
        </w:rPr>
        <w:t>Pædiatrisk population</w:t>
      </w:r>
    </w:p>
    <w:p w:rsidR="000023F8" w:rsidRDefault="000023F8" w:rsidP="000023F8">
      <w:pPr>
        <w:ind w:left="851"/>
        <w:rPr>
          <w:sz w:val="24"/>
          <w:szCs w:val="24"/>
        </w:rPr>
      </w:pPr>
      <w:r>
        <w:rPr>
          <w:sz w:val="24"/>
          <w:szCs w:val="24"/>
        </w:rPr>
        <w:t xml:space="preserve">Til nyfødte og små børn (0 til 23 måneder) bør målet for </w:t>
      </w:r>
      <w:proofErr w:type="spellStart"/>
      <w:r>
        <w:rPr>
          <w:sz w:val="24"/>
          <w:szCs w:val="24"/>
        </w:rPr>
        <w:t>Regiocit</w:t>
      </w:r>
      <w:proofErr w:type="spellEnd"/>
      <w:r>
        <w:rPr>
          <w:sz w:val="24"/>
          <w:szCs w:val="24"/>
        </w:rPr>
        <w:t xml:space="preserve"> være en dosis på 3 mmol citrat pr. liter </w:t>
      </w:r>
      <w:proofErr w:type="spellStart"/>
      <w:r>
        <w:rPr>
          <w:sz w:val="24"/>
          <w:szCs w:val="24"/>
        </w:rPr>
        <w:t>blodflow</w:t>
      </w:r>
      <w:proofErr w:type="spellEnd"/>
      <w:r>
        <w:rPr>
          <w:sz w:val="24"/>
          <w:szCs w:val="24"/>
        </w:rPr>
        <w:t xml:space="preserve"> ved kontinuerlig </w:t>
      </w:r>
      <w:proofErr w:type="spellStart"/>
      <w:r>
        <w:rPr>
          <w:sz w:val="24"/>
          <w:szCs w:val="24"/>
        </w:rPr>
        <w:t>veno</w:t>
      </w:r>
      <w:proofErr w:type="spellEnd"/>
      <w:r>
        <w:rPr>
          <w:sz w:val="24"/>
          <w:szCs w:val="24"/>
        </w:rPr>
        <w:t xml:space="preserve">-venøs </w:t>
      </w:r>
      <w:proofErr w:type="spellStart"/>
      <w:r>
        <w:rPr>
          <w:sz w:val="24"/>
          <w:szCs w:val="24"/>
        </w:rPr>
        <w:t>hæmofiltrering</w:t>
      </w:r>
      <w:proofErr w:type="spellEnd"/>
      <w:r>
        <w:rPr>
          <w:sz w:val="24"/>
          <w:szCs w:val="24"/>
        </w:rPr>
        <w:t xml:space="preserve"> eller </w:t>
      </w:r>
      <w:proofErr w:type="spellStart"/>
      <w:r>
        <w:rPr>
          <w:sz w:val="24"/>
          <w:szCs w:val="24"/>
        </w:rPr>
        <w:t>hæmodiafiltrering</w:t>
      </w:r>
      <w:proofErr w:type="spellEnd"/>
      <w:r>
        <w:rPr>
          <w:sz w:val="24"/>
          <w:szCs w:val="24"/>
        </w:rPr>
        <w:t>. Til børn (2 til 11 år) bør doseringen tilpasses efter både patientens vægt og blodflowrate.</w:t>
      </w:r>
    </w:p>
    <w:p w:rsidR="000023F8" w:rsidRDefault="000023F8" w:rsidP="000023F8">
      <w:pPr>
        <w:ind w:left="851"/>
        <w:rPr>
          <w:sz w:val="24"/>
          <w:szCs w:val="24"/>
        </w:rPr>
      </w:pPr>
    </w:p>
    <w:p w:rsidR="000023F8" w:rsidRDefault="000023F8" w:rsidP="000023F8">
      <w:pPr>
        <w:ind w:left="851"/>
        <w:rPr>
          <w:i/>
          <w:sz w:val="24"/>
          <w:szCs w:val="24"/>
        </w:rPr>
      </w:pPr>
      <w:r>
        <w:rPr>
          <w:i/>
          <w:sz w:val="24"/>
          <w:szCs w:val="24"/>
        </w:rPr>
        <w:t>Særlige populationer</w:t>
      </w:r>
    </w:p>
    <w:p w:rsidR="000023F8" w:rsidRDefault="000023F8" w:rsidP="000023F8">
      <w:pPr>
        <w:ind w:left="851"/>
        <w:rPr>
          <w:sz w:val="24"/>
          <w:szCs w:val="24"/>
        </w:rPr>
      </w:pPr>
      <w:r>
        <w:rPr>
          <w:sz w:val="24"/>
          <w:szCs w:val="24"/>
        </w:rPr>
        <w:t>Hos den ældre population er der ingen specifik justering af doseringen sammenlignet med voksne.</w:t>
      </w:r>
    </w:p>
    <w:p w:rsidR="000023F8" w:rsidRDefault="000023F8" w:rsidP="000023F8">
      <w:pPr>
        <w:ind w:left="851"/>
        <w:rPr>
          <w:sz w:val="24"/>
          <w:szCs w:val="24"/>
        </w:rPr>
      </w:pPr>
    </w:p>
    <w:p w:rsidR="000023F8" w:rsidRDefault="000023F8" w:rsidP="000023F8">
      <w:pPr>
        <w:ind w:left="851"/>
        <w:rPr>
          <w:i/>
          <w:sz w:val="24"/>
          <w:szCs w:val="24"/>
        </w:rPr>
      </w:pPr>
      <w:r>
        <w:rPr>
          <w:i/>
          <w:sz w:val="24"/>
          <w:szCs w:val="24"/>
        </w:rPr>
        <w:lastRenderedPageBreak/>
        <w:t xml:space="preserve">Nedsat leverfunktion eller </w:t>
      </w:r>
      <w:proofErr w:type="spellStart"/>
      <w:r>
        <w:rPr>
          <w:i/>
          <w:sz w:val="24"/>
          <w:szCs w:val="24"/>
        </w:rPr>
        <w:t>levershock</w:t>
      </w:r>
      <w:proofErr w:type="spellEnd"/>
    </w:p>
    <w:p w:rsidR="000023F8" w:rsidRDefault="000023F8" w:rsidP="000023F8">
      <w:pPr>
        <w:ind w:left="851"/>
        <w:rPr>
          <w:sz w:val="24"/>
          <w:szCs w:val="24"/>
        </w:rPr>
      </w:pPr>
      <w:r>
        <w:rPr>
          <w:sz w:val="24"/>
          <w:szCs w:val="24"/>
        </w:rPr>
        <w:t>Der kan være behov for dosisreduktion hos patienter med let til moderat nedsat leverfunktion (f.eks. Child-</w:t>
      </w:r>
      <w:proofErr w:type="spellStart"/>
      <w:r>
        <w:rPr>
          <w:sz w:val="24"/>
          <w:szCs w:val="24"/>
        </w:rPr>
        <w:t>Pugh</w:t>
      </w:r>
      <w:proofErr w:type="spellEnd"/>
      <w:r>
        <w:rPr>
          <w:sz w:val="24"/>
          <w:szCs w:val="24"/>
        </w:rPr>
        <w:t xml:space="preserve"> ≤12). I tilfælde af nedsat leverfunktion (herunder f.eks. levercirrose) bør den initiale startdosis af citrat reduceres, da metabolismen kan være utilstrækkelig (se pkt. 4.4). Hyppig monitorering af citratakkumulering tilrådes. </w:t>
      </w:r>
      <w:proofErr w:type="spellStart"/>
      <w:r>
        <w:rPr>
          <w:sz w:val="24"/>
          <w:szCs w:val="24"/>
        </w:rPr>
        <w:t>Regiocit</w:t>
      </w:r>
      <w:proofErr w:type="spellEnd"/>
      <w:r>
        <w:rPr>
          <w:sz w:val="24"/>
          <w:szCs w:val="24"/>
        </w:rPr>
        <w:t xml:space="preserve"> må ikke administreres til patienter med svært nedsat leverfunktion eller </w:t>
      </w:r>
      <w:proofErr w:type="spellStart"/>
      <w:r>
        <w:rPr>
          <w:sz w:val="24"/>
          <w:szCs w:val="24"/>
        </w:rPr>
        <w:t>levershock</w:t>
      </w:r>
      <w:proofErr w:type="spellEnd"/>
      <w:r>
        <w:rPr>
          <w:sz w:val="24"/>
          <w:szCs w:val="24"/>
        </w:rPr>
        <w:t xml:space="preserve"> med </w:t>
      </w:r>
      <w:proofErr w:type="spellStart"/>
      <w:r>
        <w:rPr>
          <w:sz w:val="24"/>
          <w:szCs w:val="24"/>
        </w:rPr>
        <w:t>hypoperfusion</w:t>
      </w:r>
      <w:proofErr w:type="spellEnd"/>
      <w:r>
        <w:rPr>
          <w:sz w:val="24"/>
          <w:szCs w:val="24"/>
        </w:rPr>
        <w:t xml:space="preserve"> af musklerne (f.eks. sygdomme såsom septisk </w:t>
      </w:r>
      <w:proofErr w:type="spellStart"/>
      <w:r>
        <w:rPr>
          <w:sz w:val="24"/>
          <w:szCs w:val="24"/>
        </w:rPr>
        <w:t>shock</w:t>
      </w:r>
      <w:proofErr w:type="spellEnd"/>
      <w:r>
        <w:rPr>
          <w:sz w:val="24"/>
          <w:szCs w:val="24"/>
        </w:rPr>
        <w:t xml:space="preserve"> og </w:t>
      </w:r>
      <w:proofErr w:type="spellStart"/>
      <w:r>
        <w:rPr>
          <w:sz w:val="24"/>
          <w:szCs w:val="24"/>
        </w:rPr>
        <w:t>lactatacidose</w:t>
      </w:r>
      <w:proofErr w:type="spellEnd"/>
      <w:r>
        <w:rPr>
          <w:sz w:val="24"/>
          <w:szCs w:val="24"/>
        </w:rPr>
        <w:t>) på grund af begrænset citratmetabolisme (se pkt. 4.3).</w:t>
      </w:r>
    </w:p>
    <w:p w:rsidR="000023F8" w:rsidRDefault="000023F8" w:rsidP="000023F8">
      <w:pPr>
        <w:ind w:left="851"/>
        <w:rPr>
          <w:sz w:val="24"/>
          <w:szCs w:val="24"/>
          <w:u w:val="single"/>
        </w:rPr>
      </w:pPr>
    </w:p>
    <w:p w:rsidR="000023F8" w:rsidRDefault="000023F8" w:rsidP="000023F8">
      <w:pPr>
        <w:ind w:left="851"/>
        <w:rPr>
          <w:sz w:val="24"/>
          <w:szCs w:val="24"/>
          <w:u w:val="single"/>
        </w:rPr>
      </w:pPr>
      <w:r>
        <w:rPr>
          <w:sz w:val="24"/>
          <w:szCs w:val="24"/>
          <w:u w:val="single"/>
        </w:rPr>
        <w:t>Administration</w:t>
      </w:r>
    </w:p>
    <w:p w:rsidR="000023F8" w:rsidRDefault="000023F8" w:rsidP="000023F8">
      <w:pPr>
        <w:ind w:left="851"/>
        <w:rPr>
          <w:noProof/>
          <w:sz w:val="24"/>
          <w:szCs w:val="24"/>
        </w:rPr>
      </w:pPr>
      <w:r>
        <w:rPr>
          <w:sz w:val="24"/>
          <w:szCs w:val="24"/>
        </w:rPr>
        <w:t>Til intravenøs anvendelse.</w:t>
      </w:r>
      <w:r>
        <w:rPr>
          <w:noProof/>
          <w:sz w:val="24"/>
          <w:szCs w:val="24"/>
        </w:rPr>
        <w:t xml:space="preserve"> </w:t>
      </w:r>
      <w:proofErr w:type="spellStart"/>
      <w:r>
        <w:rPr>
          <w:sz w:val="24"/>
          <w:szCs w:val="24"/>
        </w:rPr>
        <w:t>Regiocit</w:t>
      </w:r>
      <w:proofErr w:type="spellEnd"/>
      <w:r>
        <w:rPr>
          <w:sz w:val="24"/>
          <w:szCs w:val="24"/>
        </w:rPr>
        <w:t xml:space="preserve"> må kun anvendes med udstyr egnet til ekstrakorporal nyresubstitution beregnet på CRRT i </w:t>
      </w:r>
      <w:proofErr w:type="spellStart"/>
      <w:r>
        <w:rPr>
          <w:sz w:val="24"/>
          <w:szCs w:val="24"/>
        </w:rPr>
        <w:t>prædilutionstilstand</w:t>
      </w:r>
      <w:proofErr w:type="spellEnd"/>
      <w:r>
        <w:rPr>
          <w:sz w:val="24"/>
          <w:szCs w:val="24"/>
        </w:rPr>
        <w:t>, og der skal bruges en dedikeret pumpe til citratantikoagulation, hvor væskens flowrate justeres automatisk ud fra en måldosis, der angives af en operatør (mmol citrat/l blod).</w:t>
      </w:r>
    </w:p>
    <w:p w:rsidR="000023F8" w:rsidRDefault="000023F8" w:rsidP="000023F8">
      <w:pPr>
        <w:ind w:left="851"/>
        <w:rPr>
          <w:sz w:val="24"/>
          <w:szCs w:val="24"/>
        </w:rPr>
      </w:pPr>
    </w:p>
    <w:p w:rsidR="000023F8" w:rsidRDefault="000023F8" w:rsidP="000023F8">
      <w:pPr>
        <w:ind w:left="851"/>
        <w:rPr>
          <w:noProof/>
          <w:sz w:val="24"/>
          <w:szCs w:val="24"/>
        </w:rPr>
      </w:pPr>
      <w:proofErr w:type="spellStart"/>
      <w:r>
        <w:rPr>
          <w:sz w:val="24"/>
          <w:szCs w:val="24"/>
        </w:rPr>
        <w:t>Regiocit</w:t>
      </w:r>
      <w:proofErr w:type="spellEnd"/>
      <w:r>
        <w:rPr>
          <w:sz w:val="24"/>
          <w:szCs w:val="24"/>
        </w:rPr>
        <w:t xml:space="preserve"> må kun anvendes af eller under vejledning fra en læge med kompetencer inden for regional citratantikoagulation i forbindelse med CRRT.</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4.3</w:t>
      </w:r>
      <w:r w:rsidRPr="00C84483">
        <w:rPr>
          <w:b/>
          <w:sz w:val="24"/>
          <w:szCs w:val="24"/>
        </w:rPr>
        <w:tab/>
        <w:t>Kontraindikationer</w:t>
      </w:r>
    </w:p>
    <w:p w:rsidR="000023F8" w:rsidRPr="009F49C7" w:rsidRDefault="000023F8" w:rsidP="000023F8">
      <w:pPr>
        <w:ind w:left="851"/>
        <w:rPr>
          <w:noProof/>
          <w:sz w:val="24"/>
          <w:szCs w:val="24"/>
        </w:rPr>
      </w:pPr>
      <w:r w:rsidRPr="009F49C7">
        <w:rPr>
          <w:sz w:val="24"/>
          <w:szCs w:val="24"/>
        </w:rPr>
        <w:t>Overfølsomhed over for det (de) aktive stof(fer) eller over for et eller flere af hjælpestofferne anført i pkt. 6.1.</w:t>
      </w:r>
    </w:p>
    <w:p w:rsidR="000023F8" w:rsidRPr="009F49C7" w:rsidRDefault="000023F8" w:rsidP="000023F8">
      <w:pPr>
        <w:ind w:left="851"/>
        <w:rPr>
          <w:sz w:val="24"/>
          <w:szCs w:val="24"/>
        </w:rPr>
      </w:pPr>
      <w:r w:rsidRPr="009F49C7">
        <w:rPr>
          <w:sz w:val="24"/>
          <w:szCs w:val="24"/>
        </w:rPr>
        <w:t>Svært nedsat leverfunktion.</w:t>
      </w:r>
    </w:p>
    <w:p w:rsidR="000023F8" w:rsidRPr="009F49C7" w:rsidRDefault="000023F8" w:rsidP="000023F8">
      <w:pPr>
        <w:ind w:left="851"/>
        <w:rPr>
          <w:sz w:val="24"/>
          <w:szCs w:val="24"/>
          <w:highlight w:val="yellow"/>
        </w:rPr>
      </w:pPr>
      <w:proofErr w:type="spellStart"/>
      <w:r w:rsidRPr="009F49C7">
        <w:rPr>
          <w:sz w:val="24"/>
          <w:szCs w:val="24"/>
        </w:rPr>
        <w:t>Shock</w:t>
      </w:r>
      <w:proofErr w:type="spellEnd"/>
      <w:r w:rsidRPr="009F49C7">
        <w:rPr>
          <w:sz w:val="24"/>
          <w:szCs w:val="24"/>
        </w:rPr>
        <w:t xml:space="preserve"> med </w:t>
      </w:r>
      <w:proofErr w:type="spellStart"/>
      <w:r w:rsidRPr="009F49C7">
        <w:rPr>
          <w:sz w:val="24"/>
          <w:szCs w:val="24"/>
        </w:rPr>
        <w:t>hypoperfusion</w:t>
      </w:r>
      <w:proofErr w:type="spellEnd"/>
      <w:r w:rsidRPr="009F49C7">
        <w:rPr>
          <w:sz w:val="24"/>
          <w:szCs w:val="24"/>
        </w:rPr>
        <w:t xml:space="preserve"> af musklerne.</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023F8" w:rsidRDefault="000023F8" w:rsidP="000023F8">
      <w:pPr>
        <w:tabs>
          <w:tab w:val="left" w:pos="851"/>
        </w:tabs>
        <w:ind w:left="851"/>
        <w:rPr>
          <w:sz w:val="24"/>
          <w:szCs w:val="24"/>
        </w:rPr>
      </w:pPr>
      <w:proofErr w:type="spellStart"/>
      <w:r>
        <w:rPr>
          <w:sz w:val="24"/>
          <w:szCs w:val="24"/>
        </w:rPr>
        <w:t>Regiocit</w:t>
      </w:r>
      <w:proofErr w:type="spellEnd"/>
      <w:r>
        <w:rPr>
          <w:sz w:val="24"/>
          <w:szCs w:val="24"/>
        </w:rPr>
        <w:t xml:space="preserve"> må ikke bruges til direkte intravenøs infusion. Det må kun bruges til </w:t>
      </w:r>
      <w:proofErr w:type="spellStart"/>
      <w:r>
        <w:rPr>
          <w:sz w:val="24"/>
          <w:szCs w:val="24"/>
        </w:rPr>
        <w:t>prædilution</w:t>
      </w:r>
      <w:proofErr w:type="spellEnd"/>
      <w:r>
        <w:rPr>
          <w:sz w:val="24"/>
          <w:szCs w:val="24"/>
        </w:rPr>
        <w:t xml:space="preserve"> sammen med udstyr egnet til ekstrakorporal nyresubstitution beregnet på CRRT. Dialysemaskinen skal være egnet til brug med citratantikoagulation.</w:t>
      </w:r>
    </w:p>
    <w:p w:rsidR="000023F8" w:rsidRDefault="000023F8" w:rsidP="000023F8">
      <w:pPr>
        <w:tabs>
          <w:tab w:val="left" w:pos="851"/>
        </w:tabs>
        <w:ind w:left="851"/>
        <w:rPr>
          <w:sz w:val="24"/>
          <w:szCs w:val="24"/>
        </w:rPr>
      </w:pPr>
    </w:p>
    <w:p w:rsidR="000023F8" w:rsidRDefault="000023F8" w:rsidP="000023F8">
      <w:pPr>
        <w:tabs>
          <w:tab w:val="left" w:pos="851"/>
        </w:tabs>
        <w:ind w:left="851"/>
        <w:rPr>
          <w:sz w:val="24"/>
          <w:szCs w:val="24"/>
        </w:rPr>
      </w:pPr>
      <w:proofErr w:type="spellStart"/>
      <w:r>
        <w:rPr>
          <w:sz w:val="24"/>
          <w:szCs w:val="24"/>
        </w:rPr>
        <w:t>Regiocit</w:t>
      </w:r>
      <w:proofErr w:type="spellEnd"/>
      <w:r>
        <w:rPr>
          <w:sz w:val="24"/>
          <w:szCs w:val="24"/>
        </w:rPr>
        <w:t xml:space="preserve"> kan opvarmes til 37 °C for øget patientkomfort. Opvarmning af væsken inden anvendelse må kun udføres med tør varme. Væsker bør ikke opvarmes i vand eller i en mikroovn på grund af risikoen for patientskade eller </w:t>
      </w:r>
      <w:r>
        <w:rPr>
          <w:sz w:val="24"/>
          <w:szCs w:val="24"/>
        </w:rPr>
        <w:noBreakHyphen/>
        <w:t xml:space="preserve">ubehag. </w:t>
      </w:r>
      <w:proofErr w:type="spellStart"/>
      <w:r>
        <w:rPr>
          <w:sz w:val="24"/>
          <w:szCs w:val="24"/>
        </w:rPr>
        <w:t>Regiocit</w:t>
      </w:r>
      <w:proofErr w:type="spellEnd"/>
      <w:r>
        <w:rPr>
          <w:sz w:val="24"/>
          <w:szCs w:val="24"/>
        </w:rPr>
        <w:t xml:space="preserve"> bør, når væsken og beholderen gør det muligt, inspiceres visuelt for partikler og misfarvning inden anvendelse. Må ikke administreres, medmindre væsken er klar og forseglingen er intakt.</w:t>
      </w:r>
    </w:p>
    <w:p w:rsidR="000023F8" w:rsidRDefault="000023F8" w:rsidP="000023F8">
      <w:pPr>
        <w:tabs>
          <w:tab w:val="left" w:pos="851"/>
        </w:tabs>
        <w:ind w:left="851"/>
        <w:rPr>
          <w:sz w:val="24"/>
          <w:szCs w:val="24"/>
        </w:rPr>
      </w:pPr>
    </w:p>
    <w:p w:rsidR="000023F8" w:rsidRDefault="000023F8" w:rsidP="000023F8">
      <w:pPr>
        <w:tabs>
          <w:tab w:val="left" w:pos="851"/>
        </w:tabs>
        <w:ind w:left="851"/>
        <w:rPr>
          <w:sz w:val="24"/>
          <w:szCs w:val="24"/>
        </w:rPr>
      </w:pPr>
      <w:r>
        <w:rPr>
          <w:sz w:val="24"/>
          <w:szCs w:val="24"/>
        </w:rPr>
        <w:t xml:space="preserve">Må kun anvendes, hvis yderposen og posen med væske er ubeskadiget. Anvendelse af en kontamineret væske kan forårsage sepsis og </w:t>
      </w:r>
      <w:proofErr w:type="spellStart"/>
      <w:r>
        <w:rPr>
          <w:sz w:val="24"/>
          <w:szCs w:val="24"/>
        </w:rPr>
        <w:t>shock</w:t>
      </w:r>
      <w:proofErr w:type="spellEnd"/>
      <w:r>
        <w:rPr>
          <w:sz w:val="24"/>
          <w:szCs w:val="24"/>
        </w:rPr>
        <w:t>.</w:t>
      </w:r>
    </w:p>
    <w:p w:rsidR="000023F8" w:rsidRDefault="000023F8" w:rsidP="000023F8">
      <w:pPr>
        <w:tabs>
          <w:tab w:val="left" w:pos="851"/>
        </w:tabs>
        <w:ind w:left="851"/>
        <w:rPr>
          <w:sz w:val="24"/>
          <w:szCs w:val="24"/>
        </w:rPr>
      </w:pPr>
    </w:p>
    <w:p w:rsidR="000023F8" w:rsidRDefault="000023F8" w:rsidP="000023F8">
      <w:pPr>
        <w:tabs>
          <w:tab w:val="left" w:pos="851"/>
        </w:tabs>
        <w:autoSpaceDE w:val="0"/>
        <w:autoSpaceDN w:val="0"/>
        <w:adjustRightInd w:val="0"/>
        <w:ind w:left="851"/>
        <w:rPr>
          <w:sz w:val="24"/>
          <w:szCs w:val="24"/>
        </w:rPr>
      </w:pPr>
      <w:r>
        <w:rPr>
          <w:sz w:val="24"/>
          <w:szCs w:val="24"/>
        </w:rPr>
        <w:t xml:space="preserve">På grund af sammensætningen af </w:t>
      </w:r>
      <w:proofErr w:type="spellStart"/>
      <w:r>
        <w:rPr>
          <w:sz w:val="24"/>
          <w:szCs w:val="24"/>
        </w:rPr>
        <w:t>Regiocit</w:t>
      </w:r>
      <w:proofErr w:type="spellEnd"/>
      <w:r>
        <w:rPr>
          <w:sz w:val="24"/>
          <w:szCs w:val="24"/>
        </w:rPr>
        <w:t xml:space="preserve"> skal andre væsker, der benyttes til behandlingen, have en passende </w:t>
      </w:r>
      <w:proofErr w:type="spellStart"/>
      <w:r>
        <w:rPr>
          <w:sz w:val="24"/>
          <w:szCs w:val="24"/>
        </w:rPr>
        <w:t>hydrogencarbonatkoncentration</w:t>
      </w:r>
      <w:proofErr w:type="spellEnd"/>
      <w:r>
        <w:rPr>
          <w:sz w:val="24"/>
          <w:szCs w:val="24"/>
        </w:rPr>
        <w:t xml:space="preserve">. </w:t>
      </w:r>
    </w:p>
    <w:p w:rsidR="000023F8" w:rsidRDefault="000023F8" w:rsidP="000023F8">
      <w:pPr>
        <w:tabs>
          <w:tab w:val="left" w:pos="851"/>
        </w:tabs>
        <w:autoSpaceDE w:val="0"/>
        <w:autoSpaceDN w:val="0"/>
        <w:adjustRightInd w:val="0"/>
        <w:ind w:left="851"/>
        <w:rPr>
          <w:sz w:val="24"/>
          <w:szCs w:val="24"/>
        </w:rPr>
      </w:pPr>
    </w:p>
    <w:p w:rsidR="000023F8" w:rsidRDefault="000023F8" w:rsidP="000023F8">
      <w:pPr>
        <w:tabs>
          <w:tab w:val="left" w:pos="851"/>
        </w:tabs>
        <w:autoSpaceDE w:val="0"/>
        <w:autoSpaceDN w:val="0"/>
        <w:adjustRightInd w:val="0"/>
        <w:ind w:left="851"/>
        <w:rPr>
          <w:sz w:val="24"/>
          <w:szCs w:val="24"/>
        </w:rPr>
      </w:pPr>
      <w:proofErr w:type="spellStart"/>
      <w:r>
        <w:rPr>
          <w:sz w:val="24"/>
          <w:szCs w:val="24"/>
        </w:rPr>
        <w:t>Regiocit</w:t>
      </w:r>
      <w:proofErr w:type="spellEnd"/>
      <w:r>
        <w:rPr>
          <w:sz w:val="24"/>
          <w:szCs w:val="24"/>
        </w:rPr>
        <w:t xml:space="preserve"> indeholder citrat, som kan påvirke patientens elektrolyt</w:t>
      </w:r>
      <w:r>
        <w:rPr>
          <w:sz w:val="24"/>
          <w:szCs w:val="24"/>
        </w:rPr>
        <w:noBreakHyphen/>
        <w:t xml:space="preserve"> og syre/base</w:t>
      </w:r>
      <w:r>
        <w:rPr>
          <w:sz w:val="24"/>
          <w:szCs w:val="24"/>
        </w:rPr>
        <w:noBreakHyphen/>
        <w:t xml:space="preserve">balance. Patientens </w:t>
      </w:r>
      <w:proofErr w:type="spellStart"/>
      <w:r>
        <w:rPr>
          <w:sz w:val="24"/>
          <w:szCs w:val="24"/>
        </w:rPr>
        <w:t>hæmodynamiske</w:t>
      </w:r>
      <w:proofErr w:type="spellEnd"/>
      <w:r>
        <w:rPr>
          <w:sz w:val="24"/>
          <w:szCs w:val="24"/>
        </w:rPr>
        <w:t xml:space="preserve"> status, væskebalance, blodsukkerniveau, elektrolyt- og syre/base-balance skal monitoreres nøje før og under behandlingen. </w:t>
      </w:r>
    </w:p>
    <w:p w:rsidR="000023F8" w:rsidRDefault="000023F8" w:rsidP="000023F8">
      <w:pPr>
        <w:tabs>
          <w:tab w:val="left" w:pos="851"/>
        </w:tabs>
        <w:autoSpaceDE w:val="0"/>
        <w:autoSpaceDN w:val="0"/>
        <w:adjustRightInd w:val="0"/>
        <w:ind w:left="851"/>
        <w:rPr>
          <w:sz w:val="24"/>
          <w:szCs w:val="24"/>
        </w:rPr>
      </w:pPr>
    </w:p>
    <w:p w:rsidR="000023F8" w:rsidRDefault="000023F8" w:rsidP="000023F8">
      <w:pPr>
        <w:tabs>
          <w:tab w:val="left" w:pos="851"/>
        </w:tabs>
        <w:autoSpaceDE w:val="0"/>
        <w:autoSpaceDN w:val="0"/>
        <w:adjustRightInd w:val="0"/>
        <w:ind w:left="851"/>
        <w:rPr>
          <w:color w:val="000000"/>
          <w:sz w:val="24"/>
          <w:szCs w:val="24"/>
        </w:rPr>
      </w:pPr>
      <w:r>
        <w:rPr>
          <w:sz w:val="24"/>
          <w:szCs w:val="24"/>
        </w:rPr>
        <w:t xml:space="preserve">Natrium, magnesium, kalium, </w:t>
      </w:r>
      <w:proofErr w:type="spellStart"/>
      <w:r>
        <w:rPr>
          <w:sz w:val="24"/>
          <w:szCs w:val="24"/>
        </w:rPr>
        <w:t>phosphat</w:t>
      </w:r>
      <w:proofErr w:type="spellEnd"/>
      <w:r>
        <w:rPr>
          <w:sz w:val="24"/>
          <w:szCs w:val="24"/>
        </w:rPr>
        <w:t xml:space="preserve"> og calcium skal monitoreres nøje. </w:t>
      </w:r>
      <w:r>
        <w:rPr>
          <w:color w:val="000000"/>
          <w:sz w:val="24"/>
          <w:szCs w:val="24"/>
        </w:rPr>
        <w:t xml:space="preserve">Blodkoncentrationen og patientens behov skal vurderes flere gange dagligt, herunder </w:t>
      </w:r>
      <w:proofErr w:type="spellStart"/>
      <w:r>
        <w:rPr>
          <w:color w:val="000000"/>
          <w:sz w:val="24"/>
          <w:szCs w:val="24"/>
        </w:rPr>
        <w:t>infusattilførsel</w:t>
      </w:r>
      <w:proofErr w:type="spellEnd"/>
      <w:r>
        <w:rPr>
          <w:color w:val="000000"/>
          <w:sz w:val="24"/>
          <w:szCs w:val="24"/>
        </w:rPr>
        <w:t xml:space="preserve"> og alle afgange. Infusion af elektrolytter kan være nødvendig for at supplere ved et eventuelt tab </w:t>
      </w:r>
      <w:r>
        <w:rPr>
          <w:sz w:val="24"/>
          <w:szCs w:val="24"/>
        </w:rPr>
        <w:t>(se pkt. 4.8 og 4.9)</w:t>
      </w:r>
      <w:r>
        <w:rPr>
          <w:color w:val="000000"/>
          <w:sz w:val="24"/>
          <w:szCs w:val="24"/>
        </w:rPr>
        <w:t>.</w:t>
      </w:r>
    </w:p>
    <w:p w:rsidR="000023F8" w:rsidRDefault="000023F8" w:rsidP="000023F8">
      <w:pPr>
        <w:tabs>
          <w:tab w:val="left" w:pos="851"/>
        </w:tabs>
        <w:autoSpaceDE w:val="0"/>
        <w:autoSpaceDN w:val="0"/>
        <w:adjustRightInd w:val="0"/>
        <w:ind w:left="851"/>
        <w:rPr>
          <w:color w:val="000000"/>
          <w:sz w:val="24"/>
          <w:szCs w:val="24"/>
        </w:rPr>
      </w:pPr>
    </w:p>
    <w:p w:rsidR="000023F8" w:rsidRDefault="000023F8" w:rsidP="000023F8">
      <w:pPr>
        <w:tabs>
          <w:tab w:val="left" w:pos="851"/>
        </w:tabs>
        <w:autoSpaceDE w:val="0"/>
        <w:autoSpaceDN w:val="0"/>
        <w:adjustRightInd w:val="0"/>
        <w:ind w:left="851"/>
        <w:rPr>
          <w:color w:val="000000"/>
          <w:sz w:val="24"/>
          <w:szCs w:val="24"/>
        </w:rPr>
      </w:pPr>
      <w:proofErr w:type="spellStart"/>
      <w:r>
        <w:rPr>
          <w:color w:val="000000"/>
          <w:sz w:val="24"/>
          <w:szCs w:val="24"/>
        </w:rPr>
        <w:lastRenderedPageBreak/>
        <w:t>Regiocit</w:t>
      </w:r>
      <w:proofErr w:type="spellEnd"/>
      <w:r>
        <w:rPr>
          <w:color w:val="000000"/>
          <w:sz w:val="24"/>
          <w:szCs w:val="24"/>
        </w:rPr>
        <w:t xml:space="preserve"> indeholder intet calcium og kan medføre systemisk ioniseret </w:t>
      </w:r>
      <w:proofErr w:type="spellStart"/>
      <w:r>
        <w:rPr>
          <w:color w:val="000000"/>
          <w:sz w:val="24"/>
          <w:szCs w:val="24"/>
        </w:rPr>
        <w:t>hypocalciæmi</w:t>
      </w:r>
      <w:proofErr w:type="spellEnd"/>
      <w:r>
        <w:rPr>
          <w:color w:val="000000"/>
          <w:sz w:val="24"/>
          <w:szCs w:val="24"/>
        </w:rPr>
        <w:t xml:space="preserve"> på grund af tab af calcium bundet til citrat i udløbsvæsken og/eller i tilfælde af systemisk citratakkumulering.</w:t>
      </w:r>
    </w:p>
    <w:p w:rsidR="000023F8" w:rsidRDefault="000023F8" w:rsidP="000023F8">
      <w:pPr>
        <w:tabs>
          <w:tab w:val="left" w:pos="851"/>
        </w:tabs>
        <w:autoSpaceDE w:val="0"/>
        <w:autoSpaceDN w:val="0"/>
        <w:adjustRightInd w:val="0"/>
        <w:ind w:left="851"/>
        <w:rPr>
          <w:color w:val="000000"/>
          <w:sz w:val="24"/>
          <w:szCs w:val="24"/>
        </w:rPr>
      </w:pPr>
    </w:p>
    <w:p w:rsidR="000023F8" w:rsidRDefault="000023F8" w:rsidP="000023F8">
      <w:pPr>
        <w:tabs>
          <w:tab w:val="left" w:pos="851"/>
        </w:tabs>
        <w:autoSpaceDE w:val="0"/>
        <w:autoSpaceDN w:val="0"/>
        <w:adjustRightInd w:val="0"/>
        <w:ind w:left="851"/>
        <w:rPr>
          <w:color w:val="000000"/>
          <w:sz w:val="24"/>
          <w:szCs w:val="24"/>
        </w:rPr>
      </w:pPr>
      <w:proofErr w:type="spellStart"/>
      <w:r>
        <w:rPr>
          <w:color w:val="000000"/>
          <w:sz w:val="24"/>
          <w:szCs w:val="24"/>
        </w:rPr>
        <w:t>Regiocit</w:t>
      </w:r>
      <w:proofErr w:type="spellEnd"/>
      <w:r>
        <w:rPr>
          <w:color w:val="000000"/>
          <w:sz w:val="24"/>
          <w:szCs w:val="24"/>
        </w:rPr>
        <w:t xml:space="preserve"> indeholder intet magnesium. Anvendelse af </w:t>
      </w:r>
      <w:proofErr w:type="spellStart"/>
      <w:r>
        <w:rPr>
          <w:color w:val="000000"/>
          <w:sz w:val="24"/>
          <w:szCs w:val="24"/>
        </w:rPr>
        <w:t>Regiocit</w:t>
      </w:r>
      <w:proofErr w:type="spellEnd"/>
      <w:r>
        <w:rPr>
          <w:color w:val="000000"/>
          <w:sz w:val="24"/>
          <w:szCs w:val="24"/>
        </w:rPr>
        <w:t xml:space="preserve"> kan medføre </w:t>
      </w:r>
      <w:proofErr w:type="spellStart"/>
      <w:r>
        <w:rPr>
          <w:color w:val="000000"/>
          <w:sz w:val="24"/>
          <w:szCs w:val="24"/>
        </w:rPr>
        <w:t>hypomagnesiæmi</w:t>
      </w:r>
      <w:proofErr w:type="spellEnd"/>
      <w:r>
        <w:rPr>
          <w:color w:val="000000"/>
          <w:sz w:val="24"/>
          <w:szCs w:val="24"/>
        </w:rPr>
        <w:t xml:space="preserve"> på grund af CRRT</w:t>
      </w:r>
      <w:r>
        <w:rPr>
          <w:color w:val="000000"/>
          <w:sz w:val="24"/>
          <w:szCs w:val="24"/>
        </w:rPr>
        <w:noBreakHyphen/>
        <w:t>udløbsvæsketab. Patienten skal monitoreres, da infusion af magnesium kan være nødvendig.</w:t>
      </w:r>
    </w:p>
    <w:p w:rsidR="000023F8" w:rsidRDefault="000023F8" w:rsidP="000023F8">
      <w:pPr>
        <w:tabs>
          <w:tab w:val="left" w:pos="851"/>
        </w:tabs>
        <w:autoSpaceDE w:val="0"/>
        <w:autoSpaceDN w:val="0"/>
        <w:adjustRightInd w:val="0"/>
        <w:ind w:left="851"/>
        <w:rPr>
          <w:color w:val="000000"/>
          <w:sz w:val="24"/>
          <w:szCs w:val="24"/>
        </w:rPr>
      </w:pPr>
    </w:p>
    <w:p w:rsidR="000023F8" w:rsidRDefault="000023F8" w:rsidP="000023F8">
      <w:pPr>
        <w:tabs>
          <w:tab w:val="left" w:pos="851"/>
        </w:tabs>
        <w:autoSpaceDE w:val="0"/>
        <w:autoSpaceDN w:val="0"/>
        <w:adjustRightInd w:val="0"/>
        <w:ind w:left="851"/>
        <w:rPr>
          <w:color w:val="000000"/>
          <w:sz w:val="24"/>
          <w:szCs w:val="24"/>
        </w:rPr>
      </w:pPr>
      <w:proofErr w:type="spellStart"/>
      <w:r>
        <w:rPr>
          <w:color w:val="000000"/>
          <w:sz w:val="24"/>
          <w:szCs w:val="24"/>
        </w:rPr>
        <w:t>Regiocit</w:t>
      </w:r>
      <w:proofErr w:type="spellEnd"/>
      <w:r>
        <w:rPr>
          <w:color w:val="000000"/>
          <w:sz w:val="24"/>
          <w:szCs w:val="24"/>
        </w:rPr>
        <w:t xml:space="preserve"> indeholder intet </w:t>
      </w:r>
      <w:proofErr w:type="spellStart"/>
      <w:r>
        <w:rPr>
          <w:color w:val="000000"/>
          <w:sz w:val="24"/>
          <w:szCs w:val="24"/>
        </w:rPr>
        <w:t>glucose</w:t>
      </w:r>
      <w:proofErr w:type="spellEnd"/>
      <w:r>
        <w:rPr>
          <w:color w:val="000000"/>
          <w:sz w:val="24"/>
          <w:szCs w:val="24"/>
        </w:rPr>
        <w:t xml:space="preserve">. Administration af </w:t>
      </w:r>
      <w:proofErr w:type="spellStart"/>
      <w:r>
        <w:rPr>
          <w:color w:val="000000"/>
          <w:sz w:val="24"/>
          <w:szCs w:val="24"/>
        </w:rPr>
        <w:t>Regiocit</w:t>
      </w:r>
      <w:proofErr w:type="spellEnd"/>
      <w:r>
        <w:rPr>
          <w:color w:val="000000"/>
          <w:sz w:val="24"/>
          <w:szCs w:val="24"/>
        </w:rPr>
        <w:t xml:space="preserve"> kan medføre hypoglykæmi. </w:t>
      </w:r>
      <w:proofErr w:type="spellStart"/>
      <w:r>
        <w:rPr>
          <w:color w:val="000000"/>
          <w:sz w:val="24"/>
          <w:szCs w:val="24"/>
        </w:rPr>
        <w:t>Glucoseniveauet</w:t>
      </w:r>
      <w:proofErr w:type="spellEnd"/>
      <w:r>
        <w:rPr>
          <w:color w:val="000000"/>
          <w:sz w:val="24"/>
          <w:szCs w:val="24"/>
        </w:rPr>
        <w:t xml:space="preserve"> i blodet skal kontrolleres regelmæssigt.</w:t>
      </w:r>
    </w:p>
    <w:p w:rsidR="000023F8" w:rsidRDefault="000023F8" w:rsidP="000023F8">
      <w:pPr>
        <w:tabs>
          <w:tab w:val="left" w:pos="851"/>
        </w:tabs>
        <w:autoSpaceDE w:val="0"/>
        <w:autoSpaceDN w:val="0"/>
        <w:adjustRightInd w:val="0"/>
        <w:ind w:left="851"/>
        <w:rPr>
          <w:color w:val="000000"/>
          <w:sz w:val="24"/>
          <w:szCs w:val="24"/>
        </w:rPr>
      </w:pPr>
    </w:p>
    <w:p w:rsidR="000023F8" w:rsidRDefault="000023F8" w:rsidP="000023F8">
      <w:pPr>
        <w:tabs>
          <w:tab w:val="left" w:pos="851"/>
        </w:tabs>
        <w:autoSpaceDE w:val="0"/>
        <w:autoSpaceDN w:val="0"/>
        <w:adjustRightInd w:val="0"/>
        <w:ind w:left="851"/>
        <w:rPr>
          <w:sz w:val="24"/>
          <w:szCs w:val="24"/>
        </w:rPr>
      </w:pPr>
      <w:proofErr w:type="spellStart"/>
      <w:r>
        <w:rPr>
          <w:color w:val="000000"/>
          <w:sz w:val="24"/>
          <w:szCs w:val="24"/>
        </w:rPr>
        <w:t>Regiocit</w:t>
      </w:r>
      <w:proofErr w:type="spellEnd"/>
      <w:r>
        <w:rPr>
          <w:color w:val="000000"/>
          <w:sz w:val="24"/>
          <w:szCs w:val="24"/>
        </w:rPr>
        <w:t xml:space="preserve"> indeholder intet kalium. Koncentrationen af serumkalium skal monitoreres før og under CRRT.</w:t>
      </w:r>
    </w:p>
    <w:p w:rsidR="000023F8" w:rsidRDefault="000023F8" w:rsidP="000023F8">
      <w:pPr>
        <w:tabs>
          <w:tab w:val="left" w:pos="851"/>
        </w:tabs>
        <w:ind w:left="851"/>
        <w:rPr>
          <w:sz w:val="24"/>
          <w:szCs w:val="24"/>
        </w:rPr>
      </w:pPr>
    </w:p>
    <w:p w:rsidR="000023F8" w:rsidRDefault="000023F8" w:rsidP="000023F8">
      <w:pPr>
        <w:tabs>
          <w:tab w:val="left" w:pos="851"/>
        </w:tabs>
        <w:autoSpaceDE w:val="0"/>
        <w:autoSpaceDN w:val="0"/>
        <w:adjustRightInd w:val="0"/>
        <w:ind w:left="851"/>
        <w:rPr>
          <w:sz w:val="24"/>
          <w:szCs w:val="24"/>
          <w:u w:val="single"/>
        </w:rPr>
      </w:pPr>
      <w:r>
        <w:rPr>
          <w:sz w:val="24"/>
          <w:szCs w:val="24"/>
          <w:u w:val="single"/>
        </w:rPr>
        <w:t>Akkumulering af citrat som følge af metabolisk svigt</w:t>
      </w:r>
    </w:p>
    <w:p w:rsidR="000023F8" w:rsidRDefault="000023F8" w:rsidP="000023F8">
      <w:pPr>
        <w:tabs>
          <w:tab w:val="left" w:pos="851"/>
        </w:tabs>
        <w:ind w:left="851"/>
        <w:rPr>
          <w:sz w:val="24"/>
          <w:szCs w:val="24"/>
        </w:rPr>
      </w:pPr>
      <w:r>
        <w:rPr>
          <w:sz w:val="24"/>
          <w:szCs w:val="24"/>
        </w:rPr>
        <w:t xml:space="preserve">Der kræves særlig opmærksomhed hos patienter med leversvigt (herunder f.eks. levercirrose eller akut leversvigt) eller </w:t>
      </w:r>
      <w:proofErr w:type="spellStart"/>
      <w:r>
        <w:rPr>
          <w:sz w:val="24"/>
          <w:szCs w:val="24"/>
        </w:rPr>
        <w:t>levershock</w:t>
      </w:r>
      <w:proofErr w:type="spellEnd"/>
      <w:r>
        <w:rPr>
          <w:sz w:val="24"/>
          <w:szCs w:val="24"/>
        </w:rPr>
        <w:t xml:space="preserve"> (se pkt. 4.2 og 4.3), da citratmetabolismen kan være markant reduceret, og patienterne kan være eksponeret for citratakkumulering.</w:t>
      </w:r>
      <w:r>
        <w:rPr>
          <w:color w:val="0070C0"/>
          <w:sz w:val="24"/>
          <w:szCs w:val="24"/>
        </w:rPr>
        <w:t xml:space="preserve"> </w:t>
      </w:r>
      <w:r>
        <w:rPr>
          <w:sz w:val="24"/>
          <w:szCs w:val="24"/>
        </w:rPr>
        <w:t xml:space="preserve">Hvis der anvendes </w:t>
      </w:r>
      <w:proofErr w:type="spellStart"/>
      <w:r>
        <w:rPr>
          <w:sz w:val="24"/>
          <w:szCs w:val="24"/>
        </w:rPr>
        <w:t>hæmofiltrering</w:t>
      </w:r>
      <w:proofErr w:type="spellEnd"/>
      <w:r>
        <w:rPr>
          <w:sz w:val="24"/>
          <w:szCs w:val="24"/>
        </w:rPr>
        <w:t xml:space="preserve"> med citrat hos disse patienter, anbefales hyppigere monitorering af citratakkumuleringen. Hvis leveren og skeletmuskulaturen ikke kan </w:t>
      </w:r>
      <w:proofErr w:type="spellStart"/>
      <w:r>
        <w:rPr>
          <w:sz w:val="24"/>
          <w:szCs w:val="24"/>
        </w:rPr>
        <w:t>metabolisere</w:t>
      </w:r>
      <w:proofErr w:type="spellEnd"/>
      <w:r>
        <w:rPr>
          <w:sz w:val="24"/>
          <w:szCs w:val="24"/>
        </w:rPr>
        <w:t xml:space="preserve"> citratet, produceres der ikke </w:t>
      </w:r>
      <w:proofErr w:type="spellStart"/>
      <w:r>
        <w:rPr>
          <w:sz w:val="24"/>
          <w:szCs w:val="24"/>
        </w:rPr>
        <w:t>hydrogencarbonat</w:t>
      </w:r>
      <w:proofErr w:type="spellEnd"/>
      <w:r>
        <w:rPr>
          <w:sz w:val="24"/>
          <w:szCs w:val="24"/>
        </w:rPr>
        <w:t xml:space="preserve">, og der kan akkumuleres citrat. Dette følges af metabolisk </w:t>
      </w:r>
      <w:proofErr w:type="spellStart"/>
      <w:r>
        <w:rPr>
          <w:sz w:val="24"/>
          <w:szCs w:val="24"/>
        </w:rPr>
        <w:t>acidose</w:t>
      </w:r>
      <w:proofErr w:type="spellEnd"/>
      <w:r>
        <w:rPr>
          <w:sz w:val="24"/>
          <w:szCs w:val="24"/>
        </w:rPr>
        <w:t xml:space="preserve"> og ioniseret </w:t>
      </w:r>
      <w:proofErr w:type="spellStart"/>
      <w:r>
        <w:rPr>
          <w:sz w:val="24"/>
          <w:szCs w:val="24"/>
        </w:rPr>
        <w:t>hypocalciæmi</w:t>
      </w:r>
      <w:proofErr w:type="spellEnd"/>
      <w:r>
        <w:rPr>
          <w:sz w:val="24"/>
          <w:szCs w:val="24"/>
        </w:rPr>
        <w:t xml:space="preserve">. Citratakkumulering kan spores ved monitorering af koncentrationen af ioniseret calcium, det totale calciumindhold og </w:t>
      </w:r>
      <w:proofErr w:type="spellStart"/>
      <w:r>
        <w:rPr>
          <w:sz w:val="24"/>
          <w:szCs w:val="24"/>
        </w:rPr>
        <w:t>hydrogencarbonatkoncentrationen</w:t>
      </w:r>
      <w:proofErr w:type="spellEnd"/>
      <w:r>
        <w:rPr>
          <w:sz w:val="24"/>
          <w:szCs w:val="24"/>
        </w:rPr>
        <w:t xml:space="preserve"> i blodet. Hvis der akkumuleres citrat, stiger forholdet mellem det totale calcium og det ioniserede calcium i blodet. Hvis det totale/ioniserede calciumforhold stiger til mere end 2,3, skal citratbufferen nedsættes eller stoppes. For at korrigere for metabolisk </w:t>
      </w:r>
      <w:proofErr w:type="spellStart"/>
      <w:r>
        <w:rPr>
          <w:sz w:val="24"/>
          <w:szCs w:val="24"/>
        </w:rPr>
        <w:t>acidose</w:t>
      </w:r>
      <w:proofErr w:type="spellEnd"/>
      <w:r>
        <w:rPr>
          <w:sz w:val="24"/>
          <w:szCs w:val="24"/>
        </w:rPr>
        <w:t xml:space="preserve"> skal </w:t>
      </w:r>
      <w:proofErr w:type="spellStart"/>
      <w:r>
        <w:rPr>
          <w:sz w:val="24"/>
          <w:szCs w:val="24"/>
        </w:rPr>
        <w:t>hydrogencarbonatet</w:t>
      </w:r>
      <w:proofErr w:type="spellEnd"/>
      <w:r>
        <w:rPr>
          <w:sz w:val="24"/>
          <w:szCs w:val="24"/>
        </w:rPr>
        <w:t xml:space="preserve"> erstattes. CRRT kan fortsættes, uden at antikoagulation eller andre </w:t>
      </w:r>
      <w:proofErr w:type="spellStart"/>
      <w:r>
        <w:rPr>
          <w:sz w:val="24"/>
          <w:szCs w:val="24"/>
        </w:rPr>
        <w:t>antikoagulationsmidler</w:t>
      </w:r>
      <w:proofErr w:type="spellEnd"/>
      <w:r>
        <w:rPr>
          <w:sz w:val="24"/>
          <w:szCs w:val="24"/>
        </w:rPr>
        <w:t xml:space="preserve"> skal tages i betragtning.</w:t>
      </w:r>
    </w:p>
    <w:p w:rsidR="000023F8" w:rsidRDefault="000023F8" w:rsidP="000023F8">
      <w:pPr>
        <w:tabs>
          <w:tab w:val="left" w:pos="851"/>
        </w:tabs>
        <w:autoSpaceDE w:val="0"/>
        <w:autoSpaceDN w:val="0"/>
        <w:adjustRightInd w:val="0"/>
        <w:ind w:left="851"/>
        <w:rPr>
          <w:sz w:val="24"/>
          <w:szCs w:val="24"/>
        </w:rPr>
      </w:pPr>
      <w:r>
        <w:rPr>
          <w:sz w:val="24"/>
          <w:szCs w:val="24"/>
        </w:rPr>
        <w:t xml:space="preserve"> </w:t>
      </w:r>
    </w:p>
    <w:p w:rsidR="000023F8" w:rsidRDefault="000023F8" w:rsidP="000023F8">
      <w:pPr>
        <w:tabs>
          <w:tab w:val="left" w:pos="851"/>
        </w:tabs>
        <w:ind w:left="851"/>
        <w:rPr>
          <w:color w:val="000000"/>
          <w:sz w:val="24"/>
          <w:szCs w:val="24"/>
          <w:u w:val="single"/>
        </w:rPr>
      </w:pPr>
      <w:r>
        <w:rPr>
          <w:color w:val="000000"/>
          <w:sz w:val="24"/>
          <w:szCs w:val="24"/>
          <w:u w:val="single"/>
        </w:rPr>
        <w:t>Akkumulering af citrat som følge af forkert infusion</w:t>
      </w:r>
    </w:p>
    <w:p w:rsidR="000023F8" w:rsidRDefault="000023F8" w:rsidP="000023F8">
      <w:pPr>
        <w:tabs>
          <w:tab w:val="left" w:pos="851"/>
        </w:tabs>
        <w:ind w:left="851"/>
        <w:rPr>
          <w:sz w:val="24"/>
          <w:szCs w:val="24"/>
        </w:rPr>
      </w:pPr>
      <w:r>
        <w:rPr>
          <w:sz w:val="24"/>
          <w:szCs w:val="24"/>
        </w:rPr>
        <w:t xml:space="preserve">Forkert infusion af for store mængder citrat (se også pkt. 4.9) medfører akut </w:t>
      </w:r>
      <w:proofErr w:type="spellStart"/>
      <w:r>
        <w:rPr>
          <w:sz w:val="24"/>
          <w:szCs w:val="24"/>
        </w:rPr>
        <w:t>hypocalciæmi</w:t>
      </w:r>
      <w:proofErr w:type="spellEnd"/>
      <w:r>
        <w:rPr>
          <w:sz w:val="24"/>
          <w:szCs w:val="24"/>
        </w:rPr>
        <w:t xml:space="preserve"> og metabolisk </w:t>
      </w:r>
      <w:proofErr w:type="spellStart"/>
      <w:r>
        <w:rPr>
          <w:sz w:val="24"/>
          <w:szCs w:val="24"/>
        </w:rPr>
        <w:t>alkalose</w:t>
      </w:r>
      <w:proofErr w:type="spellEnd"/>
      <w:r>
        <w:rPr>
          <w:sz w:val="24"/>
          <w:szCs w:val="24"/>
        </w:rPr>
        <w:t xml:space="preserve"> og kan eksponere patienten for neurologiske og hjerterelaterede komplikationer. Behandlingen består af </w:t>
      </w:r>
      <w:proofErr w:type="spellStart"/>
      <w:r>
        <w:rPr>
          <w:sz w:val="24"/>
          <w:szCs w:val="24"/>
        </w:rPr>
        <w:t>seponering</w:t>
      </w:r>
      <w:proofErr w:type="spellEnd"/>
      <w:r>
        <w:rPr>
          <w:sz w:val="24"/>
          <w:szCs w:val="24"/>
        </w:rPr>
        <w:t xml:space="preserve"> af citratinfusionen og infusion af calcium. </w:t>
      </w:r>
    </w:p>
    <w:p w:rsidR="000023F8" w:rsidRDefault="000023F8" w:rsidP="000023F8">
      <w:pPr>
        <w:rPr>
          <w:color w:val="000000"/>
          <w:sz w:val="24"/>
          <w:szCs w:val="24"/>
          <w:u w:val="single"/>
        </w:rPr>
      </w:pPr>
    </w:p>
    <w:p w:rsidR="000023F8" w:rsidRDefault="000023F8" w:rsidP="000023F8">
      <w:pPr>
        <w:tabs>
          <w:tab w:val="left" w:pos="851"/>
        </w:tabs>
        <w:ind w:left="851"/>
        <w:rPr>
          <w:color w:val="000000"/>
          <w:sz w:val="24"/>
          <w:szCs w:val="24"/>
          <w:u w:val="single"/>
        </w:rPr>
      </w:pPr>
      <w:r>
        <w:rPr>
          <w:color w:val="000000"/>
          <w:sz w:val="24"/>
          <w:szCs w:val="24"/>
          <w:u w:val="single"/>
        </w:rPr>
        <w:t xml:space="preserve">Systemisk </w:t>
      </w:r>
      <w:proofErr w:type="spellStart"/>
      <w:r>
        <w:rPr>
          <w:color w:val="000000"/>
          <w:sz w:val="24"/>
          <w:szCs w:val="24"/>
          <w:u w:val="single"/>
        </w:rPr>
        <w:t>hypocalciæmi</w:t>
      </w:r>
      <w:proofErr w:type="spellEnd"/>
      <w:r>
        <w:rPr>
          <w:color w:val="000000"/>
          <w:sz w:val="24"/>
          <w:szCs w:val="24"/>
        </w:rPr>
        <w:t xml:space="preserve"> (lavt ioniseret calcium) kan opstå som følge af to forskellige mekanismer</w:t>
      </w:r>
    </w:p>
    <w:p w:rsidR="000023F8" w:rsidRDefault="000023F8" w:rsidP="000023F8">
      <w:pPr>
        <w:numPr>
          <w:ilvl w:val="0"/>
          <w:numId w:val="7"/>
        </w:numPr>
        <w:tabs>
          <w:tab w:val="left" w:pos="1134"/>
        </w:tabs>
        <w:ind w:left="1134" w:hanging="283"/>
        <w:rPr>
          <w:color w:val="000000"/>
          <w:sz w:val="24"/>
          <w:szCs w:val="24"/>
        </w:rPr>
      </w:pPr>
      <w:r>
        <w:rPr>
          <w:color w:val="000000"/>
          <w:sz w:val="24"/>
          <w:szCs w:val="24"/>
        </w:rPr>
        <w:t>Utilstrækkelig kompensation for calciumtab med citrat gennem filteret (lavt ioniseret calcium og lavt totalt calcium), hvilket kræver justering af calciumopløsningens flowrate med henblik på tilførsel af supplement.</w:t>
      </w:r>
    </w:p>
    <w:p w:rsidR="000023F8" w:rsidRDefault="000023F8" w:rsidP="000023F8">
      <w:pPr>
        <w:numPr>
          <w:ilvl w:val="0"/>
          <w:numId w:val="7"/>
        </w:numPr>
        <w:tabs>
          <w:tab w:val="left" w:pos="1134"/>
        </w:tabs>
        <w:ind w:left="1134" w:hanging="283"/>
        <w:rPr>
          <w:color w:val="000000"/>
          <w:sz w:val="24"/>
          <w:szCs w:val="24"/>
        </w:rPr>
      </w:pPr>
      <w:r>
        <w:rPr>
          <w:color w:val="000000"/>
          <w:sz w:val="24"/>
          <w:szCs w:val="24"/>
        </w:rPr>
        <w:t xml:space="preserve">Citratakkumulering som følge af ringe metabolisme i lever og muskler (højt forhold af totalt calcium/ioniseret calcium), hvilket kræver delvist eller helt skift fra </w:t>
      </w:r>
      <w:proofErr w:type="spellStart"/>
      <w:r>
        <w:rPr>
          <w:color w:val="000000"/>
          <w:sz w:val="24"/>
          <w:szCs w:val="24"/>
        </w:rPr>
        <w:t>Regiocit</w:t>
      </w:r>
      <w:proofErr w:type="spellEnd"/>
      <w:r>
        <w:rPr>
          <w:color w:val="000000"/>
          <w:sz w:val="24"/>
          <w:szCs w:val="24"/>
        </w:rPr>
        <w:t xml:space="preserve"> til en erstatningsvæske uden citrat (kontinuerlig </w:t>
      </w:r>
      <w:proofErr w:type="spellStart"/>
      <w:r>
        <w:rPr>
          <w:color w:val="000000"/>
          <w:sz w:val="24"/>
          <w:szCs w:val="24"/>
        </w:rPr>
        <w:t>veno</w:t>
      </w:r>
      <w:proofErr w:type="spellEnd"/>
      <w:r>
        <w:rPr>
          <w:color w:val="000000"/>
          <w:sz w:val="24"/>
          <w:szCs w:val="24"/>
        </w:rPr>
        <w:t xml:space="preserve">-venøs </w:t>
      </w:r>
      <w:proofErr w:type="spellStart"/>
      <w:r>
        <w:rPr>
          <w:color w:val="000000"/>
          <w:sz w:val="24"/>
          <w:szCs w:val="24"/>
        </w:rPr>
        <w:t>hæmofiltrering</w:t>
      </w:r>
      <w:proofErr w:type="spellEnd"/>
      <w:r>
        <w:rPr>
          <w:color w:val="000000"/>
          <w:sz w:val="24"/>
          <w:szCs w:val="24"/>
        </w:rPr>
        <w:t xml:space="preserve">) eller kombineret reduktion eller afbrydelse af </w:t>
      </w:r>
      <w:proofErr w:type="spellStart"/>
      <w:r>
        <w:rPr>
          <w:color w:val="000000"/>
          <w:sz w:val="24"/>
          <w:szCs w:val="24"/>
        </w:rPr>
        <w:t>Regiocit</w:t>
      </w:r>
      <w:proofErr w:type="spellEnd"/>
      <w:r>
        <w:rPr>
          <w:color w:val="000000"/>
          <w:sz w:val="24"/>
          <w:szCs w:val="24"/>
        </w:rPr>
        <w:t xml:space="preserve">-flowraten og en øget </w:t>
      </w:r>
      <w:proofErr w:type="spellStart"/>
      <w:r>
        <w:rPr>
          <w:color w:val="000000"/>
          <w:sz w:val="24"/>
          <w:szCs w:val="24"/>
        </w:rPr>
        <w:t>dialysatflowrate</w:t>
      </w:r>
      <w:proofErr w:type="spellEnd"/>
      <w:r>
        <w:rPr>
          <w:color w:val="000000"/>
          <w:sz w:val="24"/>
          <w:szCs w:val="24"/>
        </w:rPr>
        <w:t xml:space="preserve"> med henblik på hurtigere fjernelse af citratet (kontinuerlig </w:t>
      </w:r>
      <w:proofErr w:type="spellStart"/>
      <w:r>
        <w:rPr>
          <w:color w:val="000000"/>
          <w:sz w:val="24"/>
          <w:szCs w:val="24"/>
        </w:rPr>
        <w:t>veno</w:t>
      </w:r>
      <w:proofErr w:type="spellEnd"/>
      <w:r>
        <w:rPr>
          <w:color w:val="000000"/>
          <w:sz w:val="24"/>
          <w:szCs w:val="24"/>
        </w:rPr>
        <w:t xml:space="preserve">-venøs </w:t>
      </w:r>
      <w:proofErr w:type="spellStart"/>
      <w:r>
        <w:rPr>
          <w:color w:val="000000"/>
          <w:sz w:val="24"/>
          <w:szCs w:val="24"/>
        </w:rPr>
        <w:t>hæmodiafiltrering</w:t>
      </w:r>
      <w:proofErr w:type="spellEnd"/>
      <w:r>
        <w:rPr>
          <w:color w:val="000000"/>
          <w:sz w:val="24"/>
          <w:szCs w:val="24"/>
        </w:rPr>
        <w:t>).</w:t>
      </w:r>
    </w:p>
    <w:p w:rsidR="000023F8" w:rsidRDefault="000023F8" w:rsidP="000023F8">
      <w:pPr>
        <w:tabs>
          <w:tab w:val="left" w:pos="851"/>
        </w:tabs>
        <w:ind w:left="851"/>
        <w:rPr>
          <w:color w:val="000000"/>
          <w:sz w:val="24"/>
          <w:szCs w:val="24"/>
        </w:rPr>
      </w:pPr>
    </w:p>
    <w:p w:rsidR="000023F8" w:rsidRDefault="000023F8" w:rsidP="000023F8">
      <w:pPr>
        <w:tabs>
          <w:tab w:val="left" w:pos="851"/>
        </w:tabs>
        <w:ind w:left="851"/>
        <w:rPr>
          <w:color w:val="000000"/>
          <w:sz w:val="24"/>
          <w:szCs w:val="24"/>
          <w:u w:val="single"/>
        </w:rPr>
      </w:pPr>
      <w:r>
        <w:rPr>
          <w:color w:val="000000"/>
          <w:sz w:val="24"/>
          <w:szCs w:val="24"/>
          <w:u w:val="single"/>
        </w:rPr>
        <w:t xml:space="preserve">Systemisk </w:t>
      </w:r>
      <w:proofErr w:type="spellStart"/>
      <w:r>
        <w:rPr>
          <w:color w:val="000000"/>
          <w:sz w:val="24"/>
          <w:szCs w:val="24"/>
          <w:u w:val="single"/>
        </w:rPr>
        <w:t>hypercalciæmi</w:t>
      </w:r>
      <w:proofErr w:type="spellEnd"/>
    </w:p>
    <w:p w:rsidR="000023F8" w:rsidRDefault="000023F8" w:rsidP="000023F8">
      <w:pPr>
        <w:tabs>
          <w:tab w:val="left" w:pos="851"/>
        </w:tabs>
        <w:ind w:left="851"/>
        <w:rPr>
          <w:color w:val="000000"/>
          <w:sz w:val="24"/>
          <w:szCs w:val="24"/>
        </w:rPr>
      </w:pPr>
      <w:r>
        <w:rPr>
          <w:color w:val="000000"/>
          <w:sz w:val="24"/>
          <w:szCs w:val="24"/>
        </w:rPr>
        <w:t xml:space="preserve">Højt totalt calcium med højt ioniseret calcium kan indtræffe på grund af overdreven perfusion af calciumerstatningsvæsken. Det kræver en reduktion i calciumopløsningens flowrate. </w:t>
      </w:r>
    </w:p>
    <w:p w:rsidR="000023F8" w:rsidRDefault="000023F8" w:rsidP="000023F8">
      <w:pPr>
        <w:tabs>
          <w:tab w:val="left" w:pos="851"/>
        </w:tabs>
        <w:ind w:left="851"/>
        <w:rPr>
          <w:color w:val="000000"/>
          <w:sz w:val="24"/>
          <w:szCs w:val="24"/>
        </w:rPr>
      </w:pPr>
      <w:r>
        <w:rPr>
          <w:color w:val="000000"/>
          <w:sz w:val="24"/>
          <w:szCs w:val="24"/>
        </w:rPr>
        <w:lastRenderedPageBreak/>
        <w:t xml:space="preserve">Højt totalt calcium med et højt totalt calcium/ioniseret calciumforhold kan opstå som følge af calciumcitratakkumulering i forbindelse med en for stor citratflowrate eller manglende evne til at </w:t>
      </w:r>
      <w:proofErr w:type="spellStart"/>
      <w:r>
        <w:rPr>
          <w:color w:val="000000"/>
          <w:sz w:val="24"/>
          <w:szCs w:val="24"/>
        </w:rPr>
        <w:t>metabolisere</w:t>
      </w:r>
      <w:proofErr w:type="spellEnd"/>
      <w:r>
        <w:rPr>
          <w:color w:val="000000"/>
          <w:sz w:val="24"/>
          <w:szCs w:val="24"/>
        </w:rPr>
        <w:t xml:space="preserve"> en tilstrækkelig mængde citrat. Det bør medføre, at citratinfusionen reduceres eller seponeres.</w:t>
      </w:r>
    </w:p>
    <w:p w:rsidR="000023F8" w:rsidRDefault="000023F8" w:rsidP="000023F8">
      <w:pPr>
        <w:tabs>
          <w:tab w:val="left" w:pos="851"/>
        </w:tabs>
        <w:ind w:left="851"/>
        <w:rPr>
          <w:color w:val="000000"/>
          <w:sz w:val="24"/>
          <w:szCs w:val="24"/>
        </w:rPr>
      </w:pPr>
    </w:p>
    <w:p w:rsidR="000023F8" w:rsidRDefault="000023F8" w:rsidP="000023F8">
      <w:pPr>
        <w:tabs>
          <w:tab w:val="left" w:pos="851"/>
        </w:tabs>
        <w:ind w:left="851"/>
        <w:rPr>
          <w:color w:val="000000"/>
          <w:sz w:val="24"/>
          <w:szCs w:val="24"/>
          <w:u w:val="single"/>
        </w:rPr>
      </w:pPr>
      <w:r>
        <w:rPr>
          <w:color w:val="000000"/>
          <w:sz w:val="24"/>
          <w:szCs w:val="24"/>
          <w:u w:val="single"/>
        </w:rPr>
        <w:t xml:space="preserve">Metabolisk </w:t>
      </w:r>
      <w:proofErr w:type="spellStart"/>
      <w:r>
        <w:rPr>
          <w:color w:val="000000"/>
          <w:sz w:val="24"/>
          <w:szCs w:val="24"/>
          <w:u w:val="single"/>
        </w:rPr>
        <w:t>acidose</w:t>
      </w:r>
      <w:proofErr w:type="spellEnd"/>
    </w:p>
    <w:p w:rsidR="000023F8" w:rsidRDefault="000023F8" w:rsidP="000023F8">
      <w:pPr>
        <w:tabs>
          <w:tab w:val="left" w:pos="851"/>
        </w:tabs>
        <w:ind w:left="851"/>
        <w:rPr>
          <w:color w:val="000000"/>
          <w:sz w:val="24"/>
          <w:szCs w:val="24"/>
        </w:rPr>
      </w:pPr>
      <w:r>
        <w:rPr>
          <w:color w:val="000000"/>
          <w:sz w:val="24"/>
          <w:szCs w:val="24"/>
        </w:rPr>
        <w:t xml:space="preserve">Der kan blive akkumuleret citrat, hvis leveren og skeletmuskulaturen ikke kan sørge for tilstrækkelig </w:t>
      </w:r>
      <w:proofErr w:type="spellStart"/>
      <w:r>
        <w:rPr>
          <w:color w:val="000000"/>
          <w:sz w:val="24"/>
          <w:szCs w:val="24"/>
        </w:rPr>
        <w:t>metabolisering</w:t>
      </w:r>
      <w:proofErr w:type="spellEnd"/>
      <w:r>
        <w:rPr>
          <w:color w:val="000000"/>
          <w:sz w:val="24"/>
          <w:szCs w:val="24"/>
        </w:rPr>
        <w:t xml:space="preserve"> af citronsyre, hvilket kan opstå ved levercirrose eller akut leversvigt. I så fald akkumuleres der citronsyre, og det medfører metabolisk </w:t>
      </w:r>
      <w:proofErr w:type="spellStart"/>
      <w:r>
        <w:rPr>
          <w:color w:val="000000"/>
          <w:sz w:val="24"/>
          <w:szCs w:val="24"/>
        </w:rPr>
        <w:t>acidose</w:t>
      </w:r>
      <w:proofErr w:type="spellEnd"/>
      <w:r>
        <w:rPr>
          <w:color w:val="000000"/>
          <w:sz w:val="24"/>
          <w:szCs w:val="24"/>
        </w:rPr>
        <w:t xml:space="preserve">. Hos disse patienter stiger det klassiske anion </w:t>
      </w:r>
      <w:proofErr w:type="spellStart"/>
      <w:r>
        <w:rPr>
          <w:color w:val="000000"/>
          <w:sz w:val="24"/>
          <w:szCs w:val="24"/>
        </w:rPr>
        <w:t>gap</w:t>
      </w:r>
      <w:proofErr w:type="spellEnd"/>
      <w:r>
        <w:rPr>
          <w:color w:val="000000"/>
          <w:sz w:val="24"/>
          <w:szCs w:val="24"/>
        </w:rPr>
        <w:t xml:space="preserve"> også, hvilket afspejler stigningen i det ioniserede citrat. I de fleste tilfælde bliver der også akkumuleret </w:t>
      </w:r>
      <w:proofErr w:type="spellStart"/>
      <w:r>
        <w:rPr>
          <w:color w:val="000000"/>
          <w:sz w:val="24"/>
          <w:szCs w:val="24"/>
        </w:rPr>
        <w:t>lactat</w:t>
      </w:r>
      <w:proofErr w:type="spellEnd"/>
      <w:r>
        <w:rPr>
          <w:color w:val="000000"/>
          <w:sz w:val="24"/>
          <w:szCs w:val="24"/>
        </w:rPr>
        <w:t xml:space="preserve">. </w:t>
      </w:r>
    </w:p>
    <w:p w:rsidR="000023F8" w:rsidRDefault="000023F8" w:rsidP="000023F8">
      <w:pPr>
        <w:tabs>
          <w:tab w:val="left" w:pos="851"/>
        </w:tabs>
        <w:ind w:left="851"/>
        <w:rPr>
          <w:color w:val="000000"/>
          <w:sz w:val="24"/>
          <w:szCs w:val="24"/>
        </w:rPr>
      </w:pPr>
      <w:r>
        <w:rPr>
          <w:color w:val="000000"/>
          <w:sz w:val="24"/>
          <w:szCs w:val="24"/>
        </w:rPr>
        <w:t xml:space="preserve">Metabolisk </w:t>
      </w:r>
      <w:proofErr w:type="spellStart"/>
      <w:r>
        <w:rPr>
          <w:color w:val="000000"/>
          <w:sz w:val="24"/>
          <w:szCs w:val="24"/>
        </w:rPr>
        <w:t>acidose</w:t>
      </w:r>
      <w:proofErr w:type="spellEnd"/>
      <w:r>
        <w:rPr>
          <w:color w:val="000000"/>
          <w:sz w:val="24"/>
          <w:szCs w:val="24"/>
        </w:rPr>
        <w:t xml:space="preserve"> som følge af manglende </w:t>
      </w:r>
      <w:proofErr w:type="spellStart"/>
      <w:r>
        <w:rPr>
          <w:color w:val="000000"/>
          <w:sz w:val="24"/>
          <w:szCs w:val="24"/>
        </w:rPr>
        <w:t>metabolisering</w:t>
      </w:r>
      <w:proofErr w:type="spellEnd"/>
      <w:r>
        <w:rPr>
          <w:color w:val="000000"/>
          <w:sz w:val="24"/>
          <w:szCs w:val="24"/>
        </w:rPr>
        <w:t xml:space="preserve"> af citronsyre kan diagnosticeres tidligt ved rutinemæssig monitorering af metabolismen.</w:t>
      </w:r>
    </w:p>
    <w:p w:rsidR="000023F8" w:rsidRDefault="000023F8" w:rsidP="000023F8">
      <w:pPr>
        <w:tabs>
          <w:tab w:val="left" w:pos="851"/>
        </w:tabs>
        <w:ind w:left="851"/>
        <w:rPr>
          <w:color w:val="000000"/>
          <w:sz w:val="24"/>
          <w:szCs w:val="24"/>
        </w:rPr>
      </w:pPr>
      <w:r>
        <w:rPr>
          <w:color w:val="000000"/>
          <w:sz w:val="24"/>
          <w:szCs w:val="24"/>
        </w:rPr>
        <w:t xml:space="preserve">Hvis der opstår citratakkumulering, og/eller metabolisk </w:t>
      </w:r>
      <w:proofErr w:type="spellStart"/>
      <w:r>
        <w:rPr>
          <w:color w:val="000000"/>
          <w:sz w:val="24"/>
          <w:szCs w:val="24"/>
        </w:rPr>
        <w:t>acidose</w:t>
      </w:r>
      <w:proofErr w:type="spellEnd"/>
      <w:r>
        <w:rPr>
          <w:color w:val="000000"/>
          <w:sz w:val="24"/>
          <w:szCs w:val="24"/>
        </w:rPr>
        <w:t xml:space="preserve"> udvikles eller forværres under behandling med </w:t>
      </w:r>
      <w:proofErr w:type="spellStart"/>
      <w:r>
        <w:rPr>
          <w:color w:val="000000"/>
          <w:sz w:val="24"/>
          <w:szCs w:val="24"/>
        </w:rPr>
        <w:t>Regiocit</w:t>
      </w:r>
      <w:proofErr w:type="spellEnd"/>
      <w:r>
        <w:rPr>
          <w:color w:val="000000"/>
          <w:sz w:val="24"/>
          <w:szCs w:val="24"/>
        </w:rPr>
        <w:t>, kan det være nødvendigt at reducere infusionsraten eller afbryde administrationen heraf.</w:t>
      </w:r>
    </w:p>
    <w:p w:rsidR="000023F8" w:rsidRDefault="000023F8" w:rsidP="000023F8">
      <w:pPr>
        <w:tabs>
          <w:tab w:val="left" w:pos="851"/>
        </w:tabs>
        <w:ind w:left="851"/>
        <w:rPr>
          <w:color w:val="000000"/>
          <w:sz w:val="24"/>
          <w:szCs w:val="24"/>
        </w:rPr>
      </w:pPr>
    </w:p>
    <w:p w:rsidR="000023F8" w:rsidRDefault="000023F8" w:rsidP="000023F8">
      <w:pPr>
        <w:tabs>
          <w:tab w:val="left" w:pos="851"/>
        </w:tabs>
        <w:ind w:left="851"/>
        <w:rPr>
          <w:color w:val="000000"/>
          <w:sz w:val="24"/>
          <w:szCs w:val="24"/>
          <w:u w:val="single"/>
        </w:rPr>
      </w:pPr>
      <w:r>
        <w:rPr>
          <w:color w:val="000000"/>
          <w:sz w:val="24"/>
          <w:szCs w:val="24"/>
          <w:u w:val="single"/>
        </w:rPr>
        <w:t xml:space="preserve">Metabolisk </w:t>
      </w:r>
      <w:proofErr w:type="spellStart"/>
      <w:r>
        <w:rPr>
          <w:color w:val="000000"/>
          <w:sz w:val="24"/>
          <w:szCs w:val="24"/>
          <w:u w:val="single"/>
        </w:rPr>
        <w:t>alkalose</w:t>
      </w:r>
      <w:proofErr w:type="spellEnd"/>
    </w:p>
    <w:p w:rsidR="000023F8" w:rsidRDefault="000023F8" w:rsidP="000023F8">
      <w:pPr>
        <w:tabs>
          <w:tab w:val="left" w:pos="851"/>
        </w:tabs>
        <w:ind w:left="851"/>
        <w:rPr>
          <w:color w:val="000000"/>
          <w:sz w:val="24"/>
          <w:szCs w:val="24"/>
        </w:rPr>
      </w:pPr>
      <w:r>
        <w:rPr>
          <w:color w:val="000000"/>
          <w:sz w:val="24"/>
          <w:szCs w:val="24"/>
        </w:rPr>
        <w:t xml:space="preserve">Nogle patienter kræver og tåler høje citratinfusionsrater for at holde niveauet af ioniseret calcium i det </w:t>
      </w:r>
      <w:proofErr w:type="spellStart"/>
      <w:r>
        <w:rPr>
          <w:color w:val="000000"/>
          <w:sz w:val="24"/>
          <w:szCs w:val="24"/>
        </w:rPr>
        <w:t>ekstrakorporale</w:t>
      </w:r>
      <w:proofErr w:type="spellEnd"/>
      <w:r>
        <w:rPr>
          <w:color w:val="000000"/>
          <w:sz w:val="24"/>
          <w:szCs w:val="24"/>
        </w:rPr>
        <w:t xml:space="preserve"> kredsløb inden for det ønskede område. </w:t>
      </w:r>
      <w:proofErr w:type="spellStart"/>
      <w:r>
        <w:rPr>
          <w:color w:val="000000"/>
          <w:sz w:val="24"/>
          <w:szCs w:val="24"/>
        </w:rPr>
        <w:t>Regiocit</w:t>
      </w:r>
      <w:proofErr w:type="spellEnd"/>
      <w:r>
        <w:rPr>
          <w:color w:val="000000"/>
          <w:sz w:val="24"/>
          <w:szCs w:val="24"/>
        </w:rPr>
        <w:t xml:space="preserve"> indeholder citrat, som bidrager til den samlede bufferbelastning. Yderligere </w:t>
      </w:r>
      <w:proofErr w:type="spellStart"/>
      <w:r>
        <w:rPr>
          <w:color w:val="000000"/>
          <w:sz w:val="24"/>
          <w:szCs w:val="24"/>
        </w:rPr>
        <w:t>natriumhydrogencarbonat</w:t>
      </w:r>
      <w:proofErr w:type="spellEnd"/>
      <w:r>
        <w:rPr>
          <w:color w:val="000000"/>
          <w:sz w:val="24"/>
          <w:szCs w:val="24"/>
        </w:rPr>
        <w:t xml:space="preserve"> (eller bufferkilde) indeholdt i CRRT</w:t>
      </w:r>
      <w:r>
        <w:rPr>
          <w:color w:val="000000"/>
          <w:sz w:val="24"/>
          <w:szCs w:val="24"/>
        </w:rPr>
        <w:noBreakHyphen/>
        <w:t xml:space="preserve">væskerne eller i andre væsker administreret under behandling kan øge risikoen for metabolisk </w:t>
      </w:r>
      <w:proofErr w:type="spellStart"/>
      <w:r>
        <w:rPr>
          <w:color w:val="000000"/>
          <w:sz w:val="24"/>
          <w:szCs w:val="24"/>
        </w:rPr>
        <w:t>alkalose</w:t>
      </w:r>
      <w:proofErr w:type="spellEnd"/>
      <w:r>
        <w:rPr>
          <w:color w:val="000000"/>
          <w:sz w:val="24"/>
          <w:szCs w:val="24"/>
        </w:rPr>
        <w:t xml:space="preserve">. Metabolisk </w:t>
      </w:r>
      <w:proofErr w:type="spellStart"/>
      <w:r>
        <w:rPr>
          <w:color w:val="000000"/>
          <w:sz w:val="24"/>
          <w:szCs w:val="24"/>
        </w:rPr>
        <w:t>alkalose</w:t>
      </w:r>
      <w:proofErr w:type="spellEnd"/>
      <w:r>
        <w:rPr>
          <w:color w:val="000000"/>
          <w:sz w:val="24"/>
          <w:szCs w:val="24"/>
        </w:rPr>
        <w:t xml:space="preserve"> kan opstå, hvis netto-citratadministrationsraten overstiger det, der er nødvendigt for at opretholde syre/base</w:t>
      </w:r>
      <w:r>
        <w:rPr>
          <w:color w:val="000000"/>
          <w:sz w:val="24"/>
          <w:szCs w:val="24"/>
        </w:rPr>
        <w:noBreakHyphen/>
        <w:t>balancen (se pkt. 4.2).</w:t>
      </w:r>
    </w:p>
    <w:p w:rsidR="000023F8" w:rsidRDefault="000023F8" w:rsidP="000023F8">
      <w:pPr>
        <w:tabs>
          <w:tab w:val="left" w:pos="851"/>
        </w:tabs>
        <w:ind w:left="851"/>
        <w:rPr>
          <w:color w:val="000000"/>
          <w:sz w:val="24"/>
          <w:szCs w:val="24"/>
        </w:rPr>
      </w:pPr>
    </w:p>
    <w:p w:rsidR="000023F8" w:rsidRDefault="000023F8" w:rsidP="000023F8">
      <w:pPr>
        <w:tabs>
          <w:tab w:val="left" w:pos="851"/>
        </w:tabs>
        <w:ind w:left="851"/>
        <w:rPr>
          <w:color w:val="000000"/>
          <w:sz w:val="24"/>
          <w:szCs w:val="24"/>
        </w:rPr>
      </w:pPr>
      <w:r>
        <w:rPr>
          <w:color w:val="000000"/>
          <w:sz w:val="24"/>
          <w:szCs w:val="24"/>
        </w:rPr>
        <w:t xml:space="preserve">Dette kan behandles ved at reducere blodflowraten, således at patientens citratinfusionsrate kan nedsættes. Metabolisk </w:t>
      </w:r>
      <w:proofErr w:type="spellStart"/>
      <w:r>
        <w:rPr>
          <w:color w:val="000000"/>
          <w:sz w:val="24"/>
          <w:szCs w:val="24"/>
        </w:rPr>
        <w:t>alkalose</w:t>
      </w:r>
      <w:proofErr w:type="spellEnd"/>
      <w:r>
        <w:rPr>
          <w:color w:val="000000"/>
          <w:sz w:val="24"/>
          <w:szCs w:val="24"/>
        </w:rPr>
        <w:t xml:space="preserve"> kan også behandles ved at øge </w:t>
      </w:r>
      <w:proofErr w:type="spellStart"/>
      <w:r>
        <w:rPr>
          <w:color w:val="000000"/>
          <w:sz w:val="24"/>
          <w:szCs w:val="24"/>
        </w:rPr>
        <w:t>dialysatflowraten</w:t>
      </w:r>
      <w:proofErr w:type="spellEnd"/>
      <w:r>
        <w:rPr>
          <w:color w:val="000000"/>
          <w:sz w:val="24"/>
          <w:szCs w:val="24"/>
        </w:rPr>
        <w:t xml:space="preserve">, hvorved CRRT-dosen også opretholdes, samt ved infusion af 0,9 % </w:t>
      </w:r>
      <w:proofErr w:type="spellStart"/>
      <w:r>
        <w:rPr>
          <w:color w:val="000000"/>
          <w:sz w:val="24"/>
          <w:szCs w:val="24"/>
        </w:rPr>
        <w:t>natriumchlorid</w:t>
      </w:r>
      <w:proofErr w:type="spellEnd"/>
      <w:r>
        <w:rPr>
          <w:color w:val="000000"/>
          <w:sz w:val="24"/>
          <w:szCs w:val="24"/>
        </w:rPr>
        <w:t xml:space="preserve"> efter filteret, eller ændre sammensætningen af CRRT</w:t>
      </w:r>
      <w:r>
        <w:rPr>
          <w:color w:val="000000"/>
          <w:sz w:val="24"/>
          <w:szCs w:val="24"/>
        </w:rPr>
        <w:noBreakHyphen/>
        <w:t xml:space="preserve">væsken. Citratakkumulering med metabolisk </w:t>
      </w:r>
      <w:proofErr w:type="spellStart"/>
      <w:r>
        <w:rPr>
          <w:color w:val="000000"/>
          <w:sz w:val="24"/>
          <w:szCs w:val="24"/>
        </w:rPr>
        <w:t>alkalose</w:t>
      </w:r>
      <w:proofErr w:type="spellEnd"/>
      <w:r>
        <w:rPr>
          <w:color w:val="000000"/>
          <w:sz w:val="24"/>
          <w:szCs w:val="24"/>
        </w:rPr>
        <w:t xml:space="preserve"> og </w:t>
      </w:r>
      <w:proofErr w:type="spellStart"/>
      <w:r>
        <w:rPr>
          <w:color w:val="000000"/>
          <w:sz w:val="24"/>
          <w:szCs w:val="24"/>
        </w:rPr>
        <w:t>hypocalciæmi</w:t>
      </w:r>
      <w:proofErr w:type="spellEnd"/>
      <w:r>
        <w:rPr>
          <w:color w:val="000000"/>
          <w:sz w:val="24"/>
          <w:szCs w:val="24"/>
        </w:rPr>
        <w:t xml:space="preserve"> kan også indtræffe, hvis patienten har modtaget en stor mængde citratholdige blodprodukter, og hvis CRRT-dosen er for lav. </w:t>
      </w:r>
    </w:p>
    <w:p w:rsidR="000023F8" w:rsidRDefault="000023F8" w:rsidP="000023F8">
      <w:pPr>
        <w:tabs>
          <w:tab w:val="left" w:pos="851"/>
        </w:tabs>
        <w:ind w:left="851"/>
        <w:rPr>
          <w:color w:val="000000"/>
          <w:sz w:val="24"/>
          <w:szCs w:val="24"/>
        </w:rPr>
      </w:pPr>
      <w:r>
        <w:rPr>
          <w:color w:val="000000"/>
          <w:sz w:val="24"/>
          <w:szCs w:val="24"/>
        </w:rPr>
        <w:t xml:space="preserve">Calciumniveauet i blodet skal kontrolleres regelmæssigt hos patienter med metabolisk </w:t>
      </w:r>
      <w:proofErr w:type="spellStart"/>
      <w:r>
        <w:rPr>
          <w:color w:val="000000"/>
          <w:sz w:val="24"/>
          <w:szCs w:val="24"/>
        </w:rPr>
        <w:t>alkalose</w:t>
      </w:r>
      <w:proofErr w:type="spellEnd"/>
      <w:r>
        <w:rPr>
          <w:color w:val="000000"/>
          <w:sz w:val="24"/>
          <w:szCs w:val="24"/>
        </w:rPr>
        <w:t xml:space="preserve">, da denne tilstand kan forstærke </w:t>
      </w:r>
      <w:proofErr w:type="spellStart"/>
      <w:r>
        <w:rPr>
          <w:color w:val="000000"/>
          <w:sz w:val="24"/>
          <w:szCs w:val="24"/>
        </w:rPr>
        <w:t>hypocalciæmi</w:t>
      </w:r>
      <w:proofErr w:type="spellEnd"/>
      <w:r>
        <w:rPr>
          <w:color w:val="000000"/>
          <w:sz w:val="24"/>
          <w:szCs w:val="24"/>
        </w:rPr>
        <w:t>.</w:t>
      </w:r>
    </w:p>
    <w:p w:rsidR="000023F8" w:rsidRDefault="000023F8" w:rsidP="000023F8">
      <w:pPr>
        <w:tabs>
          <w:tab w:val="left" w:pos="851"/>
        </w:tabs>
        <w:ind w:left="851"/>
        <w:rPr>
          <w:color w:val="000000"/>
          <w:sz w:val="24"/>
          <w:szCs w:val="24"/>
        </w:rPr>
      </w:pPr>
    </w:p>
    <w:p w:rsidR="000023F8" w:rsidRDefault="000023F8" w:rsidP="000023F8">
      <w:pPr>
        <w:tabs>
          <w:tab w:val="left" w:pos="851"/>
        </w:tabs>
        <w:ind w:left="851"/>
        <w:rPr>
          <w:color w:val="000000"/>
          <w:sz w:val="24"/>
          <w:szCs w:val="24"/>
        </w:rPr>
      </w:pPr>
      <w:r>
        <w:rPr>
          <w:color w:val="000000"/>
          <w:sz w:val="24"/>
          <w:szCs w:val="24"/>
          <w:u w:val="single"/>
        </w:rPr>
        <w:t>Anvendelse til patienter med nedsat leverfunktion</w:t>
      </w:r>
    </w:p>
    <w:p w:rsidR="000023F8" w:rsidRDefault="000023F8" w:rsidP="000023F8">
      <w:pPr>
        <w:tabs>
          <w:tab w:val="left" w:pos="851"/>
        </w:tabs>
        <w:ind w:left="851"/>
        <w:rPr>
          <w:szCs w:val="22"/>
        </w:rPr>
      </w:pPr>
      <w:r>
        <w:rPr>
          <w:color w:val="000000"/>
          <w:sz w:val="24"/>
          <w:szCs w:val="24"/>
        </w:rPr>
        <w:t xml:space="preserve">Metabolisme af citrat (til </w:t>
      </w:r>
      <w:proofErr w:type="spellStart"/>
      <w:r>
        <w:rPr>
          <w:color w:val="000000"/>
          <w:sz w:val="24"/>
          <w:szCs w:val="24"/>
        </w:rPr>
        <w:t>hydrogencarbonat</w:t>
      </w:r>
      <w:proofErr w:type="spellEnd"/>
      <w:r>
        <w:rPr>
          <w:color w:val="000000"/>
          <w:sz w:val="24"/>
          <w:szCs w:val="24"/>
        </w:rPr>
        <w:t xml:space="preserve">) kan være nedsat hos patienter med nedsat leverfunktion, hvilket medfører akkumulering af citrat. Hvis </w:t>
      </w:r>
      <w:proofErr w:type="spellStart"/>
      <w:r>
        <w:rPr>
          <w:color w:val="000000"/>
          <w:sz w:val="24"/>
          <w:szCs w:val="24"/>
        </w:rPr>
        <w:t>Regiocit</w:t>
      </w:r>
      <w:proofErr w:type="spellEnd"/>
      <w:r>
        <w:rPr>
          <w:color w:val="000000"/>
          <w:sz w:val="24"/>
          <w:szCs w:val="24"/>
        </w:rPr>
        <w:t xml:space="preserve"> administreres til patienter med let til moderat nedsat leverfunktion (f.eks. </w:t>
      </w:r>
      <w:r>
        <w:rPr>
          <w:szCs w:val="22"/>
        </w:rPr>
        <w:t>Child-</w:t>
      </w:r>
      <w:proofErr w:type="spellStart"/>
      <w:r>
        <w:rPr>
          <w:szCs w:val="22"/>
        </w:rPr>
        <w:t>Pugh</w:t>
      </w:r>
      <w:proofErr w:type="spellEnd"/>
      <w:r>
        <w:rPr>
          <w:szCs w:val="22"/>
        </w:rPr>
        <w:t xml:space="preserve"> ≤12), er hyppig monitorering af pH, elektrolytter, total/ioniseret calciumforhold og systemisk ioniseret calcium vigtig, så elektrolyt</w:t>
      </w:r>
      <w:r>
        <w:rPr>
          <w:szCs w:val="22"/>
        </w:rPr>
        <w:noBreakHyphen/>
        <w:t xml:space="preserve"> og/eller syre/base</w:t>
      </w:r>
      <w:r>
        <w:rPr>
          <w:szCs w:val="22"/>
        </w:rPr>
        <w:noBreakHyphen/>
        <w:t xml:space="preserve">ubalance undgås (se pkt. 4.2). </w:t>
      </w:r>
      <w:proofErr w:type="spellStart"/>
      <w:r>
        <w:rPr>
          <w:szCs w:val="22"/>
        </w:rPr>
        <w:t>Regiocit</w:t>
      </w:r>
      <w:proofErr w:type="spellEnd"/>
      <w:r>
        <w:rPr>
          <w:szCs w:val="22"/>
        </w:rPr>
        <w:t xml:space="preserve"> bør ikke anvendes til patienter med svært nedsat leverfunktion (se pkt. 4.3).</w:t>
      </w:r>
    </w:p>
    <w:p w:rsidR="000023F8" w:rsidRDefault="000023F8" w:rsidP="000023F8">
      <w:pPr>
        <w:tabs>
          <w:tab w:val="left" w:pos="851"/>
        </w:tabs>
        <w:ind w:left="851"/>
        <w:rPr>
          <w:szCs w:val="22"/>
        </w:rPr>
      </w:pPr>
    </w:p>
    <w:p w:rsidR="000023F8" w:rsidRDefault="000023F8" w:rsidP="000023F8">
      <w:pPr>
        <w:tabs>
          <w:tab w:val="left" w:pos="851"/>
        </w:tabs>
        <w:ind w:left="851"/>
        <w:rPr>
          <w:color w:val="000000"/>
          <w:sz w:val="24"/>
          <w:szCs w:val="24"/>
        </w:rPr>
      </w:pPr>
      <w:proofErr w:type="spellStart"/>
      <w:r>
        <w:rPr>
          <w:color w:val="000000"/>
          <w:sz w:val="24"/>
          <w:szCs w:val="24"/>
          <w:u w:val="single"/>
        </w:rPr>
        <w:t>Hæmodynamisk</w:t>
      </w:r>
      <w:proofErr w:type="spellEnd"/>
      <w:r>
        <w:rPr>
          <w:color w:val="000000"/>
          <w:sz w:val="24"/>
          <w:szCs w:val="24"/>
          <w:u w:val="single"/>
        </w:rPr>
        <w:t xml:space="preserve"> status og væskebalance</w:t>
      </w:r>
    </w:p>
    <w:p w:rsidR="000023F8" w:rsidRDefault="000023F8" w:rsidP="000023F8">
      <w:pPr>
        <w:tabs>
          <w:tab w:val="left" w:pos="851"/>
        </w:tabs>
        <w:ind w:left="851"/>
        <w:rPr>
          <w:color w:val="000000"/>
          <w:sz w:val="24"/>
          <w:szCs w:val="24"/>
        </w:rPr>
      </w:pPr>
      <w:r>
        <w:rPr>
          <w:color w:val="000000"/>
          <w:sz w:val="24"/>
          <w:szCs w:val="24"/>
        </w:rPr>
        <w:t xml:space="preserve">Patientens </w:t>
      </w:r>
      <w:proofErr w:type="spellStart"/>
      <w:r>
        <w:rPr>
          <w:color w:val="000000"/>
          <w:sz w:val="24"/>
          <w:szCs w:val="24"/>
        </w:rPr>
        <w:t>hæmodynamiske</w:t>
      </w:r>
      <w:proofErr w:type="spellEnd"/>
      <w:r>
        <w:rPr>
          <w:color w:val="000000"/>
          <w:sz w:val="24"/>
          <w:szCs w:val="24"/>
        </w:rPr>
        <w:t xml:space="preserve"> status og væskebalance skal monitoreres under hele proceduren.</w:t>
      </w:r>
    </w:p>
    <w:p w:rsidR="000023F8" w:rsidRDefault="000023F8" w:rsidP="000023F8">
      <w:pPr>
        <w:pStyle w:val="Listeafsnit"/>
        <w:numPr>
          <w:ilvl w:val="0"/>
          <w:numId w:val="6"/>
        </w:numPr>
        <w:tabs>
          <w:tab w:val="left" w:pos="851"/>
        </w:tabs>
        <w:ind w:left="1418" w:hanging="567"/>
        <w:rPr>
          <w:color w:val="000000"/>
          <w:sz w:val="24"/>
          <w:szCs w:val="24"/>
        </w:rPr>
      </w:pPr>
      <w:r>
        <w:rPr>
          <w:color w:val="000000"/>
          <w:sz w:val="24"/>
          <w:szCs w:val="24"/>
        </w:rPr>
        <w:t xml:space="preserve">I tilfælde af </w:t>
      </w:r>
      <w:proofErr w:type="spellStart"/>
      <w:r>
        <w:rPr>
          <w:color w:val="000000"/>
          <w:sz w:val="24"/>
          <w:szCs w:val="24"/>
        </w:rPr>
        <w:t>hypervolæmi</w:t>
      </w:r>
      <w:proofErr w:type="spellEnd"/>
      <w:r>
        <w:rPr>
          <w:color w:val="000000"/>
          <w:sz w:val="24"/>
          <w:szCs w:val="24"/>
        </w:rPr>
        <w:t xml:space="preserve"> kan den ordinerede nettoultrafiltreringsrate for CRRT</w:t>
      </w:r>
      <w:r>
        <w:rPr>
          <w:color w:val="000000"/>
          <w:sz w:val="24"/>
          <w:szCs w:val="24"/>
        </w:rPr>
        <w:noBreakHyphen/>
        <w:t xml:space="preserve">maskinen øges, og/eller administrationsraten for væsker bortset fra erstatningsvæske og/eller </w:t>
      </w:r>
      <w:proofErr w:type="spellStart"/>
      <w:r>
        <w:rPr>
          <w:color w:val="000000"/>
          <w:sz w:val="24"/>
          <w:szCs w:val="24"/>
        </w:rPr>
        <w:t>dialysat</w:t>
      </w:r>
      <w:proofErr w:type="spellEnd"/>
      <w:r>
        <w:rPr>
          <w:color w:val="000000"/>
          <w:sz w:val="24"/>
          <w:szCs w:val="24"/>
        </w:rPr>
        <w:t xml:space="preserve"> kan reduceres.</w:t>
      </w:r>
    </w:p>
    <w:p w:rsidR="000023F8" w:rsidRDefault="000023F8" w:rsidP="000023F8">
      <w:pPr>
        <w:pStyle w:val="Listeafsnit"/>
        <w:numPr>
          <w:ilvl w:val="0"/>
          <w:numId w:val="6"/>
        </w:numPr>
        <w:tabs>
          <w:tab w:val="left" w:pos="851"/>
        </w:tabs>
        <w:ind w:left="1418" w:hanging="567"/>
        <w:rPr>
          <w:color w:val="000000"/>
          <w:sz w:val="24"/>
          <w:szCs w:val="24"/>
        </w:rPr>
      </w:pPr>
      <w:r>
        <w:rPr>
          <w:color w:val="000000"/>
          <w:sz w:val="24"/>
          <w:szCs w:val="24"/>
        </w:rPr>
        <w:lastRenderedPageBreak/>
        <w:t xml:space="preserve">I tilfælde af </w:t>
      </w:r>
      <w:proofErr w:type="spellStart"/>
      <w:r>
        <w:rPr>
          <w:color w:val="000000"/>
          <w:sz w:val="24"/>
          <w:szCs w:val="24"/>
        </w:rPr>
        <w:t>hypovolæmi</w:t>
      </w:r>
      <w:proofErr w:type="spellEnd"/>
      <w:r>
        <w:rPr>
          <w:color w:val="000000"/>
          <w:sz w:val="24"/>
          <w:szCs w:val="24"/>
        </w:rPr>
        <w:t xml:space="preserve"> kan den ordinerede nettoultrafiltreringsrate for CRRT</w:t>
      </w:r>
      <w:r>
        <w:rPr>
          <w:color w:val="000000"/>
          <w:sz w:val="24"/>
          <w:szCs w:val="24"/>
        </w:rPr>
        <w:noBreakHyphen/>
        <w:t xml:space="preserve">maskinen reduceres, og/eller administrationsraten for væsker bortset fra erstatningsvæske og/eller </w:t>
      </w:r>
      <w:proofErr w:type="spellStart"/>
      <w:r>
        <w:rPr>
          <w:color w:val="000000"/>
          <w:sz w:val="24"/>
          <w:szCs w:val="24"/>
        </w:rPr>
        <w:t>dialysat</w:t>
      </w:r>
      <w:proofErr w:type="spellEnd"/>
      <w:r>
        <w:rPr>
          <w:color w:val="000000"/>
          <w:sz w:val="24"/>
          <w:szCs w:val="24"/>
        </w:rPr>
        <w:t xml:space="preserve"> kan øges. </w:t>
      </w:r>
    </w:p>
    <w:p w:rsidR="000023F8" w:rsidRDefault="000023F8" w:rsidP="000023F8">
      <w:pPr>
        <w:tabs>
          <w:tab w:val="left" w:pos="851"/>
        </w:tabs>
        <w:ind w:left="851"/>
        <w:rPr>
          <w:color w:val="000000"/>
          <w:sz w:val="24"/>
          <w:szCs w:val="24"/>
        </w:rPr>
      </w:pPr>
    </w:p>
    <w:p w:rsidR="000023F8" w:rsidRDefault="000023F8" w:rsidP="000023F8">
      <w:pPr>
        <w:tabs>
          <w:tab w:val="left" w:pos="851"/>
        </w:tabs>
        <w:ind w:left="851"/>
        <w:rPr>
          <w:color w:val="000000"/>
          <w:sz w:val="24"/>
          <w:szCs w:val="24"/>
        </w:rPr>
      </w:pPr>
      <w:proofErr w:type="spellStart"/>
      <w:r>
        <w:rPr>
          <w:color w:val="000000"/>
          <w:sz w:val="24"/>
          <w:szCs w:val="24"/>
          <w:u w:val="single"/>
        </w:rPr>
        <w:t>Hypoosmolaritet</w:t>
      </w:r>
      <w:proofErr w:type="spellEnd"/>
      <w:r>
        <w:rPr>
          <w:color w:val="000000"/>
          <w:sz w:val="24"/>
          <w:szCs w:val="24"/>
          <w:u w:val="single"/>
        </w:rPr>
        <w:t>/</w:t>
      </w:r>
      <w:proofErr w:type="spellStart"/>
      <w:r>
        <w:rPr>
          <w:color w:val="000000"/>
          <w:sz w:val="24"/>
          <w:szCs w:val="24"/>
          <w:u w:val="single"/>
        </w:rPr>
        <w:t>hypotonicitet</w:t>
      </w:r>
      <w:proofErr w:type="spellEnd"/>
    </w:p>
    <w:p w:rsidR="000023F8" w:rsidRDefault="000023F8" w:rsidP="000023F8">
      <w:pPr>
        <w:tabs>
          <w:tab w:val="left" w:pos="851"/>
        </w:tabs>
        <w:ind w:left="851"/>
        <w:rPr>
          <w:color w:val="000000"/>
          <w:sz w:val="24"/>
          <w:szCs w:val="24"/>
        </w:rPr>
      </w:pPr>
      <w:proofErr w:type="spellStart"/>
      <w:r>
        <w:rPr>
          <w:color w:val="000000"/>
          <w:sz w:val="24"/>
          <w:szCs w:val="24"/>
        </w:rPr>
        <w:t>Regiocit</w:t>
      </w:r>
      <w:proofErr w:type="spellEnd"/>
      <w:r>
        <w:rPr>
          <w:color w:val="000000"/>
          <w:sz w:val="24"/>
          <w:szCs w:val="24"/>
        </w:rPr>
        <w:t xml:space="preserve"> er </w:t>
      </w:r>
      <w:proofErr w:type="spellStart"/>
      <w:r>
        <w:rPr>
          <w:color w:val="000000"/>
          <w:sz w:val="24"/>
          <w:szCs w:val="24"/>
        </w:rPr>
        <w:t>hypoosmolært</w:t>
      </w:r>
      <w:proofErr w:type="spellEnd"/>
      <w:r>
        <w:rPr>
          <w:color w:val="000000"/>
          <w:sz w:val="24"/>
          <w:szCs w:val="24"/>
        </w:rPr>
        <w:t>/</w:t>
      </w:r>
      <w:proofErr w:type="spellStart"/>
      <w:r>
        <w:rPr>
          <w:color w:val="000000"/>
          <w:sz w:val="24"/>
          <w:szCs w:val="24"/>
        </w:rPr>
        <w:t>hypotonisk</w:t>
      </w:r>
      <w:proofErr w:type="spellEnd"/>
      <w:r>
        <w:rPr>
          <w:color w:val="000000"/>
          <w:sz w:val="24"/>
          <w:szCs w:val="24"/>
        </w:rPr>
        <w:t xml:space="preserve"> i forhold til CRRT</w:t>
      </w:r>
      <w:r>
        <w:rPr>
          <w:color w:val="000000"/>
          <w:sz w:val="24"/>
          <w:szCs w:val="24"/>
        </w:rPr>
        <w:noBreakHyphen/>
        <w:t xml:space="preserve">standarderstatningsvæsker og bør anvendes med forsigtighed til patienter med traumatisk hjerneskade, cerebralt ødem eller øget </w:t>
      </w:r>
      <w:proofErr w:type="spellStart"/>
      <w:r>
        <w:rPr>
          <w:color w:val="000000"/>
          <w:sz w:val="24"/>
          <w:szCs w:val="24"/>
        </w:rPr>
        <w:t>intrakranielt</w:t>
      </w:r>
      <w:proofErr w:type="spellEnd"/>
      <w:r>
        <w:rPr>
          <w:color w:val="000000"/>
          <w:sz w:val="24"/>
          <w:szCs w:val="24"/>
        </w:rPr>
        <w:t xml:space="preserve"> tryk.</w:t>
      </w:r>
    </w:p>
    <w:p w:rsidR="000023F8" w:rsidRDefault="000023F8" w:rsidP="000023F8">
      <w:pPr>
        <w:tabs>
          <w:tab w:val="left" w:pos="851"/>
        </w:tabs>
        <w:ind w:left="851"/>
        <w:rPr>
          <w:color w:val="000000"/>
          <w:sz w:val="24"/>
          <w:szCs w:val="24"/>
        </w:rPr>
      </w:pPr>
    </w:p>
    <w:p w:rsidR="000023F8" w:rsidRDefault="000023F8" w:rsidP="000023F8">
      <w:pPr>
        <w:tabs>
          <w:tab w:val="left" w:pos="851"/>
        </w:tabs>
        <w:ind w:left="851"/>
        <w:rPr>
          <w:sz w:val="24"/>
          <w:szCs w:val="24"/>
        </w:rPr>
      </w:pPr>
      <w:r>
        <w:rPr>
          <w:sz w:val="24"/>
          <w:szCs w:val="24"/>
        </w:rPr>
        <w:t xml:space="preserve">Brugsvejledningen skal følges nøje. Ukorrekt brug af adgangsporte eller andre begrænsninger af </w:t>
      </w:r>
      <w:proofErr w:type="spellStart"/>
      <w:r>
        <w:rPr>
          <w:sz w:val="24"/>
          <w:szCs w:val="24"/>
        </w:rPr>
        <w:t>væskeflowet</w:t>
      </w:r>
      <w:proofErr w:type="spellEnd"/>
      <w:r>
        <w:rPr>
          <w:sz w:val="24"/>
          <w:szCs w:val="24"/>
        </w:rPr>
        <w:t xml:space="preserve"> kan bevirke ukorrekt vægttab hos patienten og medføre maskinalarm. Hvis behandlingen fortsættes, uden at den bagvedliggende årsag løses, kan det medføre patientskader eller død.</w:t>
      </w:r>
    </w:p>
    <w:p w:rsidR="000023F8" w:rsidRDefault="000023F8" w:rsidP="000023F8">
      <w:pPr>
        <w:tabs>
          <w:tab w:val="left" w:pos="851"/>
        </w:tabs>
        <w:ind w:left="851"/>
        <w:rPr>
          <w:sz w:val="24"/>
          <w:szCs w:val="24"/>
        </w:rPr>
      </w:pPr>
    </w:p>
    <w:p w:rsidR="000023F8" w:rsidRDefault="000023F8" w:rsidP="000023F8">
      <w:pPr>
        <w:tabs>
          <w:tab w:val="left" w:pos="851"/>
        </w:tabs>
        <w:autoSpaceDE w:val="0"/>
        <w:autoSpaceDN w:val="0"/>
        <w:adjustRightInd w:val="0"/>
        <w:ind w:left="851"/>
        <w:rPr>
          <w:sz w:val="24"/>
          <w:szCs w:val="24"/>
        </w:rPr>
      </w:pPr>
      <w:r>
        <w:rPr>
          <w:sz w:val="24"/>
          <w:szCs w:val="24"/>
        </w:rPr>
        <w:t>Væsken må kun anvendes, hvis den er klar og ikke indeholder synlige partikler.</w:t>
      </w:r>
    </w:p>
    <w:p w:rsidR="000023F8" w:rsidRDefault="000023F8" w:rsidP="000023F8">
      <w:pPr>
        <w:tabs>
          <w:tab w:val="left" w:pos="851"/>
        </w:tabs>
        <w:ind w:left="851"/>
        <w:rPr>
          <w:sz w:val="24"/>
          <w:szCs w:val="24"/>
        </w:rPr>
      </w:pPr>
    </w:p>
    <w:p w:rsidR="000023F8" w:rsidRDefault="000023F8" w:rsidP="000023F8">
      <w:pPr>
        <w:tabs>
          <w:tab w:val="left" w:pos="851"/>
        </w:tabs>
        <w:ind w:left="851"/>
        <w:rPr>
          <w:sz w:val="24"/>
          <w:szCs w:val="24"/>
        </w:rPr>
      </w:pPr>
      <w:r>
        <w:rPr>
          <w:sz w:val="24"/>
          <w:szCs w:val="24"/>
        </w:rPr>
        <w:t>CRRT medfører proportional fjernelse af natrium i forhold til plasma/vand/natrium-indholdet. For at undgå et fald i patientens natriumniveau i blodet (</w:t>
      </w:r>
      <w:proofErr w:type="spellStart"/>
      <w:r>
        <w:rPr>
          <w:sz w:val="24"/>
          <w:szCs w:val="24"/>
        </w:rPr>
        <w:t>hyponatriæmi</w:t>
      </w:r>
      <w:proofErr w:type="spellEnd"/>
      <w:r>
        <w:rPr>
          <w:sz w:val="24"/>
          <w:szCs w:val="24"/>
        </w:rPr>
        <w:t>) skal natriumtabet korrigeres som led i den samlede væske- og elektrolytbehandling (se pkt. 4.8). Administrationen af både CRRT-relaterede dialysevæsker og andre væsker, der ikke indgår i CRRT-ordinationen, kræver omhyggelig vurdering.</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023F8" w:rsidRDefault="000023F8" w:rsidP="000023F8">
      <w:pPr>
        <w:ind w:left="851"/>
        <w:rPr>
          <w:noProof/>
          <w:sz w:val="24"/>
          <w:szCs w:val="24"/>
        </w:rPr>
      </w:pPr>
      <w:r>
        <w:rPr>
          <w:sz w:val="24"/>
          <w:szCs w:val="24"/>
        </w:rPr>
        <w:t>Blodets koncentration af filtrerbare/</w:t>
      </w:r>
      <w:proofErr w:type="spellStart"/>
      <w:r>
        <w:rPr>
          <w:sz w:val="24"/>
          <w:szCs w:val="24"/>
        </w:rPr>
        <w:t>dialyserbare</w:t>
      </w:r>
      <w:proofErr w:type="spellEnd"/>
      <w:r>
        <w:rPr>
          <w:sz w:val="24"/>
          <w:szCs w:val="24"/>
        </w:rPr>
        <w:t xml:space="preserve"> lægemidler kan blive reduceret under behandlingen, da de bliver fjernet af det </w:t>
      </w:r>
      <w:proofErr w:type="spellStart"/>
      <w:r>
        <w:rPr>
          <w:sz w:val="24"/>
          <w:szCs w:val="24"/>
        </w:rPr>
        <w:t>ekstrakorporale</w:t>
      </w:r>
      <w:proofErr w:type="spellEnd"/>
      <w:r>
        <w:rPr>
          <w:sz w:val="24"/>
          <w:szCs w:val="24"/>
        </w:rPr>
        <w:t xml:space="preserve"> filter.</w:t>
      </w:r>
      <w:r>
        <w:rPr>
          <w:noProof/>
          <w:sz w:val="24"/>
          <w:szCs w:val="24"/>
        </w:rPr>
        <w:t xml:space="preserve"> </w:t>
      </w:r>
      <w:r>
        <w:rPr>
          <w:sz w:val="24"/>
          <w:szCs w:val="24"/>
        </w:rPr>
        <w:t>Der skal om nødvendigt påbegyndes relevant korrigerende behandling for at opretholde den ønskede koncentration i blodet af de lægemidler, der fjernes under behandlingen.</w:t>
      </w:r>
    </w:p>
    <w:p w:rsidR="000023F8" w:rsidRDefault="000023F8" w:rsidP="000023F8">
      <w:pPr>
        <w:ind w:left="851"/>
        <w:rPr>
          <w:noProof/>
          <w:sz w:val="24"/>
          <w:szCs w:val="24"/>
        </w:rPr>
      </w:pPr>
    </w:p>
    <w:p w:rsidR="000023F8" w:rsidRDefault="000023F8" w:rsidP="000023F8">
      <w:pPr>
        <w:ind w:left="851"/>
        <w:rPr>
          <w:sz w:val="24"/>
          <w:szCs w:val="24"/>
        </w:rPr>
      </w:pPr>
      <w:r>
        <w:rPr>
          <w:sz w:val="24"/>
          <w:szCs w:val="24"/>
        </w:rPr>
        <w:t xml:space="preserve">Der forventes ikke nogen </w:t>
      </w:r>
      <w:proofErr w:type="spellStart"/>
      <w:r>
        <w:rPr>
          <w:sz w:val="24"/>
          <w:szCs w:val="24"/>
        </w:rPr>
        <w:t>farmakodynamiske</w:t>
      </w:r>
      <w:proofErr w:type="spellEnd"/>
      <w:r>
        <w:rPr>
          <w:sz w:val="24"/>
          <w:szCs w:val="24"/>
        </w:rPr>
        <w:t xml:space="preserve"> lægemiddelinteraktioner mellem indholdsstofferne i </w:t>
      </w:r>
      <w:proofErr w:type="spellStart"/>
      <w:r>
        <w:rPr>
          <w:sz w:val="24"/>
          <w:szCs w:val="24"/>
        </w:rPr>
        <w:t>Regiocit</w:t>
      </w:r>
      <w:proofErr w:type="spellEnd"/>
      <w:r>
        <w:rPr>
          <w:sz w:val="24"/>
          <w:szCs w:val="24"/>
        </w:rPr>
        <w:t xml:space="preserve">. Interaktioner kan kun forventes ved utilstrækkelig eller ukorrekt terapeutisk anvendelse af væsken (se pkt. 4.4 og 4.9). </w:t>
      </w:r>
    </w:p>
    <w:p w:rsidR="000023F8" w:rsidRDefault="000023F8" w:rsidP="000023F8">
      <w:pPr>
        <w:ind w:left="851"/>
        <w:rPr>
          <w:noProof/>
          <w:sz w:val="24"/>
          <w:szCs w:val="24"/>
        </w:rPr>
      </w:pPr>
    </w:p>
    <w:p w:rsidR="000023F8" w:rsidRDefault="000023F8" w:rsidP="000023F8">
      <w:pPr>
        <w:ind w:left="851"/>
        <w:rPr>
          <w:noProof/>
          <w:sz w:val="24"/>
          <w:szCs w:val="24"/>
        </w:rPr>
      </w:pPr>
      <w:r>
        <w:rPr>
          <w:sz w:val="24"/>
          <w:szCs w:val="24"/>
        </w:rPr>
        <w:t>Følgende interaktioner er dog mulige sammen med lægemiddelprodukter, der indeholder:</w:t>
      </w:r>
    </w:p>
    <w:p w:rsidR="000023F8" w:rsidRDefault="000023F8" w:rsidP="000023F8">
      <w:pPr>
        <w:pStyle w:val="Listeafsnit"/>
        <w:numPr>
          <w:ilvl w:val="0"/>
          <w:numId w:val="8"/>
        </w:numPr>
        <w:ind w:left="1276" w:hanging="425"/>
        <w:rPr>
          <w:noProof/>
          <w:sz w:val="24"/>
          <w:szCs w:val="24"/>
        </w:rPr>
      </w:pPr>
      <w:r>
        <w:rPr>
          <w:sz w:val="24"/>
          <w:szCs w:val="24"/>
        </w:rPr>
        <w:t>vitamin D og andre vitamin D-</w:t>
      </w:r>
      <w:proofErr w:type="spellStart"/>
      <w:r>
        <w:rPr>
          <w:sz w:val="24"/>
          <w:szCs w:val="24"/>
        </w:rPr>
        <w:t>analoger</w:t>
      </w:r>
      <w:proofErr w:type="spellEnd"/>
      <w:r>
        <w:rPr>
          <w:sz w:val="24"/>
          <w:szCs w:val="24"/>
        </w:rPr>
        <w:t xml:space="preserve"> samt lægemidler, indeholdende calcium (f.eks. </w:t>
      </w:r>
      <w:proofErr w:type="spellStart"/>
      <w:r>
        <w:rPr>
          <w:sz w:val="24"/>
          <w:szCs w:val="24"/>
        </w:rPr>
        <w:t>calciumchlorid</w:t>
      </w:r>
      <w:proofErr w:type="spellEnd"/>
      <w:r>
        <w:rPr>
          <w:sz w:val="24"/>
          <w:szCs w:val="24"/>
        </w:rPr>
        <w:t xml:space="preserve"> eller </w:t>
      </w:r>
      <w:proofErr w:type="spellStart"/>
      <w:r>
        <w:rPr>
          <w:sz w:val="24"/>
          <w:szCs w:val="24"/>
        </w:rPr>
        <w:t>calciumgluconat</w:t>
      </w:r>
      <w:proofErr w:type="spellEnd"/>
      <w:r>
        <w:rPr>
          <w:sz w:val="24"/>
          <w:szCs w:val="24"/>
        </w:rPr>
        <w:t xml:space="preserve">, som anvendes til opretholdelse af </w:t>
      </w:r>
      <w:proofErr w:type="spellStart"/>
      <w:r>
        <w:rPr>
          <w:sz w:val="24"/>
          <w:szCs w:val="24"/>
        </w:rPr>
        <w:t>calciumhomeostase</w:t>
      </w:r>
      <w:proofErr w:type="spellEnd"/>
      <w:r>
        <w:rPr>
          <w:sz w:val="24"/>
          <w:szCs w:val="24"/>
        </w:rPr>
        <w:t xml:space="preserve"> hos CRRT</w:t>
      </w:r>
      <w:r>
        <w:rPr>
          <w:sz w:val="24"/>
          <w:szCs w:val="24"/>
        </w:rPr>
        <w:noBreakHyphen/>
        <w:t xml:space="preserve">patienter, som får citratantikoagulation), kan øge risikoen for </w:t>
      </w:r>
      <w:proofErr w:type="spellStart"/>
      <w:r>
        <w:rPr>
          <w:sz w:val="24"/>
          <w:szCs w:val="24"/>
        </w:rPr>
        <w:t>hypercalciæmi</w:t>
      </w:r>
      <w:proofErr w:type="spellEnd"/>
      <w:r>
        <w:rPr>
          <w:sz w:val="24"/>
          <w:szCs w:val="24"/>
        </w:rPr>
        <w:t xml:space="preserve"> og kan resultere i en reduceret antikoagulerende effekt.</w:t>
      </w:r>
      <w:r>
        <w:rPr>
          <w:noProof/>
          <w:sz w:val="24"/>
          <w:szCs w:val="24"/>
        </w:rPr>
        <w:t xml:space="preserve"> </w:t>
      </w:r>
    </w:p>
    <w:p w:rsidR="000023F8" w:rsidRDefault="000023F8" w:rsidP="000023F8">
      <w:pPr>
        <w:pStyle w:val="Listeafsnit"/>
        <w:numPr>
          <w:ilvl w:val="0"/>
          <w:numId w:val="8"/>
        </w:numPr>
        <w:ind w:left="1276" w:hanging="425"/>
        <w:rPr>
          <w:noProof/>
          <w:sz w:val="24"/>
          <w:szCs w:val="24"/>
        </w:rPr>
      </w:pPr>
      <w:proofErr w:type="spellStart"/>
      <w:r>
        <w:rPr>
          <w:sz w:val="24"/>
          <w:szCs w:val="24"/>
        </w:rPr>
        <w:t>natriumhydrogencarbonat</w:t>
      </w:r>
      <w:proofErr w:type="spellEnd"/>
      <w:r>
        <w:rPr>
          <w:sz w:val="24"/>
          <w:szCs w:val="24"/>
        </w:rPr>
        <w:t xml:space="preserve">, som kan øge risikoen for en høj koncentration af </w:t>
      </w:r>
      <w:proofErr w:type="spellStart"/>
      <w:r>
        <w:rPr>
          <w:sz w:val="24"/>
          <w:szCs w:val="24"/>
        </w:rPr>
        <w:t>hydrogencarbonat</w:t>
      </w:r>
      <w:proofErr w:type="spellEnd"/>
      <w:r>
        <w:rPr>
          <w:sz w:val="24"/>
          <w:szCs w:val="24"/>
        </w:rPr>
        <w:t xml:space="preserve"> i blodet (metabolisk </w:t>
      </w:r>
      <w:proofErr w:type="spellStart"/>
      <w:r>
        <w:rPr>
          <w:sz w:val="24"/>
          <w:szCs w:val="24"/>
        </w:rPr>
        <w:t>alkalose</w:t>
      </w:r>
      <w:proofErr w:type="spellEnd"/>
      <w:r>
        <w:rPr>
          <w:sz w:val="24"/>
          <w:szCs w:val="24"/>
        </w:rPr>
        <w:t xml:space="preserve"> – se pkt. 4.8).</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4.6</w:t>
      </w:r>
      <w:r w:rsidRPr="00C84483">
        <w:rPr>
          <w:b/>
          <w:sz w:val="24"/>
          <w:szCs w:val="24"/>
        </w:rPr>
        <w:tab/>
      </w:r>
      <w:r w:rsidR="001F22A5">
        <w:rPr>
          <w:b/>
          <w:sz w:val="24"/>
          <w:szCs w:val="24"/>
        </w:rPr>
        <w:t>Fertilitet, g</w:t>
      </w:r>
      <w:r w:rsidRPr="00C84483">
        <w:rPr>
          <w:b/>
          <w:sz w:val="24"/>
          <w:szCs w:val="24"/>
        </w:rPr>
        <w:t>raviditet og amning</w:t>
      </w:r>
    </w:p>
    <w:p w:rsidR="000023F8" w:rsidRDefault="000023F8" w:rsidP="000023F8">
      <w:pPr>
        <w:ind w:left="851"/>
        <w:rPr>
          <w:sz w:val="24"/>
          <w:szCs w:val="24"/>
          <w:u w:val="single"/>
        </w:rPr>
      </w:pPr>
    </w:p>
    <w:p w:rsidR="000023F8" w:rsidRPr="009F49C7" w:rsidRDefault="000023F8" w:rsidP="000023F8">
      <w:pPr>
        <w:ind w:left="851"/>
        <w:rPr>
          <w:noProof/>
          <w:sz w:val="24"/>
          <w:szCs w:val="24"/>
        </w:rPr>
      </w:pPr>
      <w:r w:rsidRPr="009F49C7">
        <w:rPr>
          <w:sz w:val="24"/>
          <w:szCs w:val="24"/>
          <w:u w:val="single"/>
        </w:rPr>
        <w:t>Fertilitet</w:t>
      </w:r>
    </w:p>
    <w:p w:rsidR="000023F8" w:rsidRPr="009F49C7" w:rsidRDefault="000023F8" w:rsidP="000023F8">
      <w:pPr>
        <w:ind w:left="851"/>
        <w:rPr>
          <w:noProof/>
          <w:sz w:val="24"/>
          <w:szCs w:val="24"/>
        </w:rPr>
      </w:pPr>
      <w:r w:rsidRPr="009F49C7">
        <w:rPr>
          <w:sz w:val="24"/>
          <w:szCs w:val="24"/>
        </w:rPr>
        <w:t xml:space="preserve">Der forventes ingen virkning på fertiliteten, da natrium, </w:t>
      </w:r>
      <w:proofErr w:type="spellStart"/>
      <w:r w:rsidRPr="009F49C7">
        <w:rPr>
          <w:sz w:val="24"/>
          <w:szCs w:val="24"/>
        </w:rPr>
        <w:t>chlorid</w:t>
      </w:r>
      <w:proofErr w:type="spellEnd"/>
      <w:r w:rsidRPr="009F49C7">
        <w:rPr>
          <w:sz w:val="24"/>
          <w:szCs w:val="24"/>
        </w:rPr>
        <w:t xml:space="preserve"> og citrat er normale komponenter i kroppen.</w:t>
      </w:r>
    </w:p>
    <w:p w:rsidR="000023F8" w:rsidRPr="009F49C7" w:rsidRDefault="000023F8" w:rsidP="000023F8">
      <w:pPr>
        <w:ind w:left="851"/>
        <w:rPr>
          <w:noProof/>
          <w:sz w:val="24"/>
          <w:szCs w:val="24"/>
        </w:rPr>
      </w:pPr>
    </w:p>
    <w:p w:rsidR="000023F8" w:rsidRPr="009F49C7" w:rsidRDefault="000023F8" w:rsidP="000023F8">
      <w:pPr>
        <w:ind w:left="851"/>
        <w:rPr>
          <w:noProof/>
          <w:sz w:val="24"/>
          <w:szCs w:val="24"/>
          <w:u w:val="single"/>
        </w:rPr>
      </w:pPr>
      <w:r w:rsidRPr="009F49C7">
        <w:rPr>
          <w:sz w:val="24"/>
          <w:szCs w:val="24"/>
          <w:u w:val="single"/>
        </w:rPr>
        <w:t>Graviditet og amning</w:t>
      </w:r>
    </w:p>
    <w:p w:rsidR="000023F8" w:rsidRPr="009F49C7" w:rsidRDefault="000023F8" w:rsidP="000023F8">
      <w:pPr>
        <w:ind w:left="851"/>
        <w:rPr>
          <w:noProof/>
          <w:sz w:val="24"/>
          <w:szCs w:val="24"/>
        </w:rPr>
      </w:pPr>
      <w:r w:rsidRPr="009F49C7">
        <w:rPr>
          <w:sz w:val="24"/>
          <w:szCs w:val="24"/>
        </w:rPr>
        <w:t xml:space="preserve">Der findes ingen dokumenterede kliniske data vedrørende brugen af </w:t>
      </w:r>
      <w:proofErr w:type="spellStart"/>
      <w:r w:rsidRPr="009F49C7">
        <w:rPr>
          <w:sz w:val="24"/>
          <w:szCs w:val="24"/>
        </w:rPr>
        <w:t>Regiocit</w:t>
      </w:r>
      <w:proofErr w:type="spellEnd"/>
      <w:r w:rsidRPr="009F49C7">
        <w:rPr>
          <w:sz w:val="24"/>
          <w:szCs w:val="24"/>
        </w:rPr>
        <w:t xml:space="preserve"> under graviditet og amning.</w:t>
      </w:r>
      <w:r w:rsidRPr="009F49C7">
        <w:rPr>
          <w:noProof/>
          <w:sz w:val="24"/>
          <w:szCs w:val="24"/>
        </w:rPr>
        <w:t xml:space="preserve"> </w:t>
      </w:r>
      <w:proofErr w:type="spellStart"/>
      <w:r w:rsidRPr="009F49C7">
        <w:rPr>
          <w:sz w:val="24"/>
          <w:szCs w:val="24"/>
        </w:rPr>
        <w:t>Regiocit</w:t>
      </w:r>
      <w:proofErr w:type="spellEnd"/>
      <w:r w:rsidRPr="009F49C7">
        <w:rPr>
          <w:sz w:val="24"/>
          <w:szCs w:val="24"/>
        </w:rPr>
        <w:t xml:space="preserve"> må kun anvendes til gravide og ammende kvinder, hvis det er tvingende nødvendigt.</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lastRenderedPageBreak/>
        <w:t>4.7</w:t>
      </w:r>
      <w:r w:rsidRPr="00C84483">
        <w:rPr>
          <w:b/>
          <w:sz w:val="24"/>
          <w:szCs w:val="24"/>
        </w:rPr>
        <w:tab/>
        <w:t xml:space="preserve">Virkninger på evnen til at føre motorkøretøj </w:t>
      </w:r>
      <w:r w:rsidR="001F22A5">
        <w:rPr>
          <w:b/>
          <w:sz w:val="24"/>
          <w:szCs w:val="24"/>
        </w:rPr>
        <w:t>og</w:t>
      </w:r>
      <w:r w:rsidRPr="00C84483">
        <w:rPr>
          <w:b/>
          <w:sz w:val="24"/>
          <w:szCs w:val="24"/>
        </w:rPr>
        <w:t xml:space="preserve"> betjene maskiner</w:t>
      </w:r>
    </w:p>
    <w:p w:rsidR="000023F8" w:rsidRDefault="000023F8" w:rsidP="000023F8">
      <w:pPr>
        <w:widowControl w:val="0"/>
        <w:numPr>
          <w:ilvl w:val="12"/>
          <w:numId w:val="0"/>
        </w:numPr>
        <w:tabs>
          <w:tab w:val="left" w:pos="851"/>
        </w:tabs>
        <w:ind w:left="851"/>
        <w:rPr>
          <w:sz w:val="24"/>
          <w:szCs w:val="24"/>
        </w:rPr>
      </w:pPr>
      <w:r>
        <w:rPr>
          <w:sz w:val="24"/>
          <w:szCs w:val="24"/>
        </w:rPr>
        <w:t>Ikke mærkning.</w:t>
      </w:r>
    </w:p>
    <w:p w:rsidR="000023F8" w:rsidRPr="00C84483" w:rsidRDefault="000023F8" w:rsidP="000023F8">
      <w:pPr>
        <w:widowControl w:val="0"/>
        <w:numPr>
          <w:ilvl w:val="12"/>
          <w:numId w:val="0"/>
        </w:numPr>
        <w:tabs>
          <w:tab w:val="left" w:pos="851"/>
        </w:tabs>
        <w:ind w:left="851"/>
        <w:rPr>
          <w:noProof/>
          <w:sz w:val="24"/>
          <w:szCs w:val="24"/>
        </w:rPr>
      </w:pPr>
      <w:proofErr w:type="spellStart"/>
      <w:r w:rsidRPr="00CA59F7">
        <w:rPr>
          <w:sz w:val="24"/>
          <w:szCs w:val="24"/>
        </w:rPr>
        <w:t>Regiocit</w:t>
      </w:r>
      <w:proofErr w:type="spellEnd"/>
      <w:r w:rsidRPr="00CA59F7">
        <w:rPr>
          <w:sz w:val="24"/>
          <w:szCs w:val="24"/>
        </w:rPr>
        <w:t xml:space="preserve"> er ikke kendt for at påvirke evnen til at føre motorkøretøj eller betjene maskiner.</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4.8</w:t>
      </w:r>
      <w:r w:rsidRPr="00C84483">
        <w:rPr>
          <w:b/>
          <w:sz w:val="24"/>
          <w:szCs w:val="24"/>
        </w:rPr>
        <w:tab/>
        <w:t>Bivirkninger</w:t>
      </w:r>
    </w:p>
    <w:p w:rsidR="000023F8" w:rsidRDefault="000023F8" w:rsidP="000023F8">
      <w:pPr>
        <w:ind w:left="851"/>
        <w:rPr>
          <w:sz w:val="24"/>
          <w:szCs w:val="24"/>
        </w:rPr>
      </w:pPr>
      <w:r>
        <w:rPr>
          <w:sz w:val="24"/>
          <w:szCs w:val="24"/>
        </w:rPr>
        <w:t xml:space="preserve">Der kan opstå bivirkninger som følge af behandlingen med </w:t>
      </w:r>
      <w:proofErr w:type="spellStart"/>
      <w:r>
        <w:rPr>
          <w:sz w:val="24"/>
          <w:szCs w:val="24"/>
        </w:rPr>
        <w:t>Regiocit</w:t>
      </w:r>
      <w:proofErr w:type="spellEnd"/>
      <w:r>
        <w:rPr>
          <w:sz w:val="24"/>
          <w:szCs w:val="24"/>
        </w:rPr>
        <w:t>-væsken eller dialysebehandlingen.</w:t>
      </w:r>
      <w:r>
        <w:rPr>
          <w:noProof/>
          <w:sz w:val="24"/>
          <w:szCs w:val="24"/>
        </w:rPr>
        <w:t xml:space="preserve"> </w:t>
      </w:r>
      <w:r>
        <w:rPr>
          <w:sz w:val="24"/>
          <w:szCs w:val="24"/>
        </w:rPr>
        <w:t>Særlige forsigtighedsregler vedrørende brugen er beskrevet under pkt. 4.4.</w:t>
      </w:r>
    </w:p>
    <w:p w:rsidR="000023F8" w:rsidRDefault="000023F8" w:rsidP="000023F8">
      <w:pPr>
        <w:ind w:left="851"/>
        <w:rPr>
          <w:noProof/>
          <w:sz w:val="24"/>
          <w:szCs w:val="24"/>
        </w:rPr>
      </w:pPr>
    </w:p>
    <w:p w:rsidR="000023F8" w:rsidRDefault="000023F8" w:rsidP="000023F8">
      <w:pPr>
        <w:ind w:left="851"/>
        <w:rPr>
          <w:noProof/>
          <w:sz w:val="24"/>
          <w:szCs w:val="24"/>
        </w:rPr>
      </w:pPr>
      <w:r>
        <w:rPr>
          <w:sz w:val="24"/>
          <w:szCs w:val="24"/>
        </w:rPr>
        <w:t>De følgende bivirkninger er beskrevet i publiceret litteratur meget almindelig (≥1/10); almindelig (≥1/100 til &lt;1/10); ikke almindelig (≥1/1.000 til &lt;1/100); sjælden (≥1/10.000 til &lt;1/1.000); meget sjælden (&lt;1/10.000); ikke kendt (kan ikke estimeres ud fra forhåndenværende data):</w:t>
      </w:r>
    </w:p>
    <w:p w:rsidR="000023F8" w:rsidRPr="00F56686" w:rsidRDefault="000023F8" w:rsidP="000023F8">
      <w:pPr>
        <w:tabs>
          <w:tab w:val="left" w:pos="851"/>
        </w:tabs>
        <w:autoSpaceDE w:val="0"/>
        <w:autoSpaceDN w:val="0"/>
        <w:adjustRightInd w:val="0"/>
        <w:ind w:left="851"/>
        <w:rPr>
          <w:noProof/>
          <w:sz w:val="24"/>
          <w:szCs w:val="24"/>
        </w:rPr>
      </w:pPr>
    </w:p>
    <w:tbl>
      <w:tblPr>
        <w:tblW w:w="8748"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312"/>
      </w:tblGrid>
      <w:tr w:rsidR="000023F8" w:rsidRPr="00F56686" w:rsidTr="003B4BCE">
        <w:tc>
          <w:tcPr>
            <w:tcW w:w="8748" w:type="dxa"/>
            <w:gridSpan w:val="2"/>
          </w:tcPr>
          <w:p w:rsidR="000023F8" w:rsidRPr="00F56686" w:rsidRDefault="000023F8" w:rsidP="003B4BCE">
            <w:pPr>
              <w:suppressLineNumbers/>
              <w:autoSpaceDE w:val="0"/>
              <w:autoSpaceDN w:val="0"/>
              <w:adjustRightInd w:val="0"/>
              <w:rPr>
                <w:b/>
                <w:bCs/>
                <w:noProof/>
                <w:sz w:val="24"/>
                <w:szCs w:val="24"/>
              </w:rPr>
            </w:pPr>
            <w:r w:rsidRPr="00F56686">
              <w:rPr>
                <w:b/>
                <w:sz w:val="24"/>
                <w:szCs w:val="24"/>
              </w:rPr>
              <w:t>Metabolisme og ernæring</w:t>
            </w:r>
          </w:p>
        </w:tc>
      </w:tr>
      <w:tr w:rsidR="000023F8" w:rsidRPr="00F56686" w:rsidTr="003B4BCE">
        <w:tc>
          <w:tcPr>
            <w:tcW w:w="2436" w:type="dxa"/>
            <w:tcBorders>
              <w:bottom w:val="nil"/>
            </w:tcBorders>
          </w:tcPr>
          <w:p w:rsidR="000023F8" w:rsidRPr="00F56686" w:rsidRDefault="000023F8" w:rsidP="003B4BCE">
            <w:pPr>
              <w:suppressLineNumbers/>
              <w:autoSpaceDE w:val="0"/>
              <w:autoSpaceDN w:val="0"/>
              <w:adjustRightInd w:val="0"/>
              <w:rPr>
                <w:noProof/>
                <w:sz w:val="24"/>
                <w:szCs w:val="24"/>
              </w:rPr>
            </w:pPr>
            <w:r w:rsidRPr="00F56686">
              <w:rPr>
                <w:sz w:val="24"/>
                <w:szCs w:val="24"/>
              </w:rPr>
              <w:t>Almindelig</w:t>
            </w:r>
            <w:r w:rsidRPr="00F56686">
              <w:rPr>
                <w:noProof/>
                <w:sz w:val="24"/>
                <w:szCs w:val="24"/>
              </w:rPr>
              <w:t xml:space="preserve"> </w:t>
            </w:r>
          </w:p>
        </w:tc>
        <w:tc>
          <w:tcPr>
            <w:tcW w:w="6312" w:type="dxa"/>
          </w:tcPr>
          <w:p w:rsidR="000023F8" w:rsidRPr="00F56686" w:rsidRDefault="000023F8" w:rsidP="003B4BCE">
            <w:pPr>
              <w:suppressLineNumbers/>
              <w:autoSpaceDE w:val="0"/>
              <w:autoSpaceDN w:val="0"/>
              <w:adjustRightInd w:val="0"/>
              <w:rPr>
                <w:noProof/>
                <w:sz w:val="24"/>
                <w:szCs w:val="24"/>
              </w:rPr>
            </w:pPr>
            <w:r w:rsidRPr="00F56686">
              <w:rPr>
                <w:sz w:val="24"/>
                <w:szCs w:val="24"/>
              </w:rPr>
              <w:t xml:space="preserve">Elektrolytubalancer, f.eks. </w:t>
            </w:r>
            <w:proofErr w:type="spellStart"/>
            <w:r w:rsidRPr="00F56686">
              <w:rPr>
                <w:sz w:val="24"/>
                <w:szCs w:val="24"/>
              </w:rPr>
              <w:t>hypomagnesiæmi</w:t>
            </w:r>
            <w:proofErr w:type="spellEnd"/>
            <w:r w:rsidRPr="00F56686">
              <w:rPr>
                <w:sz w:val="24"/>
                <w:szCs w:val="24"/>
              </w:rPr>
              <w:t xml:space="preserve"> (se pkt. 4.4), </w:t>
            </w:r>
            <w:proofErr w:type="spellStart"/>
            <w:r w:rsidRPr="00F56686">
              <w:rPr>
                <w:sz w:val="24"/>
                <w:szCs w:val="24"/>
              </w:rPr>
              <w:t>hypocalc</w:t>
            </w:r>
            <w:r>
              <w:rPr>
                <w:sz w:val="24"/>
                <w:szCs w:val="24"/>
              </w:rPr>
              <w:t>i</w:t>
            </w:r>
            <w:r w:rsidRPr="00F56686">
              <w:rPr>
                <w:sz w:val="24"/>
                <w:szCs w:val="24"/>
              </w:rPr>
              <w:t>æmi</w:t>
            </w:r>
            <w:proofErr w:type="spellEnd"/>
            <w:r w:rsidRPr="00F56686">
              <w:rPr>
                <w:sz w:val="24"/>
                <w:szCs w:val="24"/>
              </w:rPr>
              <w:t xml:space="preserve"> (se pkt. 4.4 og 4.9), </w:t>
            </w:r>
            <w:proofErr w:type="spellStart"/>
            <w:r w:rsidRPr="00F56686">
              <w:rPr>
                <w:sz w:val="24"/>
                <w:szCs w:val="24"/>
              </w:rPr>
              <w:t>hypercalc</w:t>
            </w:r>
            <w:r>
              <w:rPr>
                <w:sz w:val="24"/>
                <w:szCs w:val="24"/>
              </w:rPr>
              <w:t>i</w:t>
            </w:r>
            <w:r w:rsidRPr="00F56686">
              <w:rPr>
                <w:sz w:val="24"/>
                <w:szCs w:val="24"/>
              </w:rPr>
              <w:t>æmi</w:t>
            </w:r>
            <w:proofErr w:type="spellEnd"/>
            <w:r w:rsidRPr="00F56686">
              <w:rPr>
                <w:sz w:val="24"/>
                <w:szCs w:val="24"/>
              </w:rPr>
              <w:t xml:space="preserve"> (se pkt. 4.4), </w:t>
            </w:r>
            <w:proofErr w:type="spellStart"/>
            <w:r w:rsidRPr="00F56686">
              <w:rPr>
                <w:sz w:val="24"/>
                <w:szCs w:val="24"/>
              </w:rPr>
              <w:t>hyponatriæmi</w:t>
            </w:r>
            <w:proofErr w:type="spellEnd"/>
            <w:r w:rsidRPr="00F56686">
              <w:rPr>
                <w:sz w:val="24"/>
                <w:szCs w:val="24"/>
              </w:rPr>
              <w:t xml:space="preserve"> (se pkt. 4.4</w:t>
            </w:r>
            <w:r>
              <w:rPr>
                <w:sz w:val="24"/>
                <w:szCs w:val="24"/>
              </w:rPr>
              <w:t xml:space="preserve">), </w:t>
            </w:r>
            <w:proofErr w:type="spellStart"/>
            <w:r>
              <w:rPr>
                <w:sz w:val="24"/>
                <w:szCs w:val="24"/>
              </w:rPr>
              <w:t>hypokaliæmi</w:t>
            </w:r>
            <w:proofErr w:type="spellEnd"/>
            <w:r>
              <w:rPr>
                <w:sz w:val="24"/>
                <w:szCs w:val="24"/>
              </w:rPr>
              <w:t xml:space="preserve"> (se pkt. 4.4), </w:t>
            </w:r>
            <w:proofErr w:type="spellStart"/>
            <w:r>
              <w:rPr>
                <w:sz w:val="24"/>
                <w:szCs w:val="24"/>
              </w:rPr>
              <w:t>hypophosphatæmi</w:t>
            </w:r>
            <w:proofErr w:type="spellEnd"/>
            <w:r>
              <w:rPr>
                <w:sz w:val="24"/>
                <w:szCs w:val="24"/>
              </w:rPr>
              <w:t xml:space="preserve"> (se pkt. 4.4)</w:t>
            </w:r>
            <w:r>
              <w:rPr>
                <w:noProof/>
                <w:sz w:val="24"/>
                <w:szCs w:val="24"/>
              </w:rPr>
              <w:t xml:space="preserve"> </w:t>
            </w:r>
            <w:r w:rsidRPr="00F56686">
              <w:rPr>
                <w:noProof/>
                <w:sz w:val="24"/>
                <w:szCs w:val="24"/>
              </w:rPr>
              <w:t xml:space="preserve"> </w:t>
            </w:r>
          </w:p>
        </w:tc>
      </w:tr>
      <w:tr w:rsidR="000023F8" w:rsidRPr="00F56686" w:rsidTr="003B4BCE">
        <w:tc>
          <w:tcPr>
            <w:tcW w:w="2436" w:type="dxa"/>
            <w:tcBorders>
              <w:top w:val="nil"/>
            </w:tcBorders>
          </w:tcPr>
          <w:p w:rsidR="000023F8" w:rsidRPr="00F56686" w:rsidRDefault="000023F8" w:rsidP="003B4BCE">
            <w:pPr>
              <w:suppressLineNumbers/>
              <w:autoSpaceDE w:val="0"/>
              <w:autoSpaceDN w:val="0"/>
              <w:adjustRightInd w:val="0"/>
              <w:rPr>
                <w:noProof/>
                <w:sz w:val="24"/>
                <w:szCs w:val="24"/>
              </w:rPr>
            </w:pPr>
          </w:p>
        </w:tc>
        <w:tc>
          <w:tcPr>
            <w:tcW w:w="6312" w:type="dxa"/>
          </w:tcPr>
          <w:p w:rsidR="000023F8" w:rsidRPr="00F56686" w:rsidRDefault="000023F8" w:rsidP="003B4BCE">
            <w:pPr>
              <w:suppressLineNumbers/>
              <w:autoSpaceDE w:val="0"/>
              <w:autoSpaceDN w:val="0"/>
              <w:adjustRightInd w:val="0"/>
              <w:rPr>
                <w:b/>
                <w:bCs/>
                <w:noProof/>
                <w:sz w:val="24"/>
                <w:szCs w:val="24"/>
              </w:rPr>
            </w:pPr>
            <w:r w:rsidRPr="00F56686">
              <w:rPr>
                <w:sz w:val="24"/>
                <w:szCs w:val="24"/>
              </w:rPr>
              <w:t xml:space="preserve">Forstyrrelser i syre/basebalancen, herunder metabolisk </w:t>
            </w:r>
            <w:proofErr w:type="spellStart"/>
            <w:r w:rsidRPr="00F56686">
              <w:rPr>
                <w:sz w:val="24"/>
                <w:szCs w:val="24"/>
              </w:rPr>
              <w:t>acidose</w:t>
            </w:r>
            <w:proofErr w:type="spellEnd"/>
            <w:r w:rsidRPr="00F56686">
              <w:rPr>
                <w:sz w:val="24"/>
                <w:szCs w:val="24"/>
              </w:rPr>
              <w:t xml:space="preserve"> (se pkt. 4.4 og 4.9) og metabolisk </w:t>
            </w:r>
            <w:proofErr w:type="spellStart"/>
            <w:r w:rsidRPr="00F56686">
              <w:rPr>
                <w:sz w:val="24"/>
                <w:szCs w:val="24"/>
              </w:rPr>
              <w:t>alkalose</w:t>
            </w:r>
            <w:proofErr w:type="spellEnd"/>
            <w:r w:rsidRPr="00F56686">
              <w:rPr>
                <w:sz w:val="24"/>
                <w:szCs w:val="24"/>
              </w:rPr>
              <w:t xml:space="preserve"> (se pkt. 4.4, 4.5 og 4.9)</w:t>
            </w:r>
          </w:p>
        </w:tc>
      </w:tr>
      <w:tr w:rsidR="000023F8" w:rsidRPr="00F56686" w:rsidTr="003B4BCE">
        <w:tc>
          <w:tcPr>
            <w:tcW w:w="2436" w:type="dxa"/>
            <w:tcBorders>
              <w:bottom w:val="nil"/>
            </w:tcBorders>
          </w:tcPr>
          <w:p w:rsidR="000023F8" w:rsidRPr="00F56686" w:rsidRDefault="000023F8" w:rsidP="003B4BCE">
            <w:pPr>
              <w:suppressLineNumbers/>
              <w:autoSpaceDE w:val="0"/>
              <w:autoSpaceDN w:val="0"/>
              <w:adjustRightInd w:val="0"/>
              <w:rPr>
                <w:noProof/>
                <w:sz w:val="24"/>
                <w:szCs w:val="24"/>
              </w:rPr>
            </w:pPr>
            <w:r w:rsidRPr="00F56686">
              <w:rPr>
                <w:sz w:val="24"/>
                <w:szCs w:val="24"/>
              </w:rPr>
              <w:t>Ikke kendt</w:t>
            </w:r>
          </w:p>
        </w:tc>
        <w:tc>
          <w:tcPr>
            <w:tcW w:w="6312" w:type="dxa"/>
          </w:tcPr>
          <w:p w:rsidR="000023F8" w:rsidRPr="00F56686" w:rsidRDefault="000023F8" w:rsidP="003B4BCE">
            <w:pPr>
              <w:suppressLineNumbers/>
              <w:autoSpaceDE w:val="0"/>
              <w:autoSpaceDN w:val="0"/>
              <w:adjustRightInd w:val="0"/>
              <w:rPr>
                <w:noProof/>
                <w:sz w:val="24"/>
                <w:szCs w:val="24"/>
              </w:rPr>
            </w:pPr>
            <w:r w:rsidRPr="00F56686">
              <w:rPr>
                <w:sz w:val="24"/>
                <w:szCs w:val="24"/>
              </w:rPr>
              <w:t>Væskeretention</w:t>
            </w:r>
          </w:p>
        </w:tc>
      </w:tr>
      <w:tr w:rsidR="000023F8" w:rsidRPr="00F56686" w:rsidTr="003B4BCE">
        <w:tc>
          <w:tcPr>
            <w:tcW w:w="2436" w:type="dxa"/>
            <w:tcBorders>
              <w:top w:val="nil"/>
            </w:tcBorders>
          </w:tcPr>
          <w:p w:rsidR="000023F8" w:rsidRPr="00F56686" w:rsidRDefault="000023F8" w:rsidP="003B4BCE">
            <w:pPr>
              <w:suppressLineNumbers/>
              <w:autoSpaceDE w:val="0"/>
              <w:autoSpaceDN w:val="0"/>
              <w:adjustRightInd w:val="0"/>
              <w:rPr>
                <w:noProof/>
                <w:sz w:val="24"/>
                <w:szCs w:val="24"/>
              </w:rPr>
            </w:pPr>
          </w:p>
        </w:tc>
        <w:tc>
          <w:tcPr>
            <w:tcW w:w="6312" w:type="dxa"/>
          </w:tcPr>
          <w:p w:rsidR="000023F8" w:rsidRPr="00F56686" w:rsidRDefault="000023F8" w:rsidP="003B4BCE">
            <w:pPr>
              <w:suppressLineNumbers/>
              <w:autoSpaceDE w:val="0"/>
              <w:autoSpaceDN w:val="0"/>
              <w:adjustRightInd w:val="0"/>
              <w:rPr>
                <w:noProof/>
                <w:sz w:val="24"/>
                <w:szCs w:val="24"/>
              </w:rPr>
            </w:pPr>
            <w:proofErr w:type="spellStart"/>
            <w:r w:rsidRPr="00F56686">
              <w:rPr>
                <w:sz w:val="24"/>
                <w:szCs w:val="24"/>
              </w:rPr>
              <w:t>Væskeubalance</w:t>
            </w:r>
            <w:proofErr w:type="spellEnd"/>
            <w:r w:rsidRPr="00F56686">
              <w:rPr>
                <w:sz w:val="24"/>
                <w:szCs w:val="24"/>
              </w:rPr>
              <w:t>, f.eks. dehydrering (se pkt. 4.4)</w:t>
            </w:r>
          </w:p>
        </w:tc>
      </w:tr>
      <w:tr w:rsidR="000023F8" w:rsidRPr="00F56686" w:rsidTr="003B4BCE">
        <w:tc>
          <w:tcPr>
            <w:tcW w:w="8748" w:type="dxa"/>
            <w:gridSpan w:val="2"/>
          </w:tcPr>
          <w:p w:rsidR="000023F8" w:rsidRPr="00F56686" w:rsidRDefault="000023F8" w:rsidP="003B4BCE">
            <w:pPr>
              <w:suppressLineNumbers/>
              <w:autoSpaceDE w:val="0"/>
              <w:autoSpaceDN w:val="0"/>
              <w:adjustRightInd w:val="0"/>
              <w:rPr>
                <w:noProof/>
                <w:sz w:val="24"/>
                <w:szCs w:val="24"/>
              </w:rPr>
            </w:pPr>
            <w:proofErr w:type="spellStart"/>
            <w:r w:rsidRPr="00F56686">
              <w:rPr>
                <w:b/>
                <w:sz w:val="24"/>
                <w:szCs w:val="24"/>
              </w:rPr>
              <w:t>Vaskulære</w:t>
            </w:r>
            <w:proofErr w:type="spellEnd"/>
            <w:r w:rsidRPr="00F56686">
              <w:rPr>
                <w:b/>
                <w:sz w:val="24"/>
                <w:szCs w:val="24"/>
              </w:rPr>
              <w:t xml:space="preserve"> sygdomme</w:t>
            </w:r>
          </w:p>
        </w:tc>
      </w:tr>
      <w:tr w:rsidR="000023F8" w:rsidRPr="00F56686" w:rsidTr="003B4BCE">
        <w:tc>
          <w:tcPr>
            <w:tcW w:w="2436" w:type="dxa"/>
          </w:tcPr>
          <w:p w:rsidR="000023F8" w:rsidRPr="00F56686" w:rsidRDefault="000023F8" w:rsidP="003B4BCE">
            <w:pPr>
              <w:suppressLineNumbers/>
              <w:autoSpaceDE w:val="0"/>
              <w:autoSpaceDN w:val="0"/>
              <w:adjustRightInd w:val="0"/>
              <w:rPr>
                <w:noProof/>
                <w:sz w:val="24"/>
                <w:szCs w:val="24"/>
              </w:rPr>
            </w:pPr>
            <w:r w:rsidRPr="00F56686">
              <w:rPr>
                <w:sz w:val="24"/>
                <w:szCs w:val="24"/>
              </w:rPr>
              <w:t>Ikke kendt</w:t>
            </w:r>
          </w:p>
        </w:tc>
        <w:tc>
          <w:tcPr>
            <w:tcW w:w="6312" w:type="dxa"/>
          </w:tcPr>
          <w:p w:rsidR="000023F8" w:rsidRPr="00F56686" w:rsidRDefault="000023F8" w:rsidP="003B4BCE">
            <w:pPr>
              <w:suppressLineNumbers/>
              <w:autoSpaceDE w:val="0"/>
              <w:autoSpaceDN w:val="0"/>
              <w:adjustRightInd w:val="0"/>
              <w:rPr>
                <w:noProof/>
                <w:sz w:val="24"/>
                <w:szCs w:val="24"/>
              </w:rPr>
            </w:pPr>
            <w:r w:rsidRPr="00F56686">
              <w:rPr>
                <w:sz w:val="24"/>
                <w:szCs w:val="24"/>
              </w:rPr>
              <w:t>Hypotension*</w:t>
            </w:r>
          </w:p>
        </w:tc>
      </w:tr>
      <w:tr w:rsidR="000023F8" w:rsidRPr="00F56686" w:rsidTr="003B4BCE">
        <w:tc>
          <w:tcPr>
            <w:tcW w:w="8748" w:type="dxa"/>
            <w:gridSpan w:val="2"/>
          </w:tcPr>
          <w:p w:rsidR="000023F8" w:rsidRPr="00F56686" w:rsidRDefault="000023F8" w:rsidP="003B4BCE">
            <w:pPr>
              <w:suppressLineNumbers/>
              <w:autoSpaceDE w:val="0"/>
              <w:autoSpaceDN w:val="0"/>
              <w:adjustRightInd w:val="0"/>
              <w:rPr>
                <w:b/>
                <w:noProof/>
                <w:sz w:val="24"/>
                <w:szCs w:val="24"/>
              </w:rPr>
            </w:pPr>
            <w:r w:rsidRPr="00F56686">
              <w:rPr>
                <w:b/>
                <w:sz w:val="24"/>
                <w:szCs w:val="24"/>
              </w:rPr>
              <w:t>Mave-tarm-kanalen</w:t>
            </w:r>
          </w:p>
        </w:tc>
      </w:tr>
      <w:tr w:rsidR="000023F8" w:rsidRPr="00F56686" w:rsidTr="003B4BCE">
        <w:tc>
          <w:tcPr>
            <w:tcW w:w="2436" w:type="dxa"/>
          </w:tcPr>
          <w:p w:rsidR="000023F8" w:rsidRPr="00F56686" w:rsidRDefault="000023F8" w:rsidP="003B4BCE">
            <w:pPr>
              <w:suppressLineNumbers/>
              <w:autoSpaceDE w:val="0"/>
              <w:autoSpaceDN w:val="0"/>
              <w:adjustRightInd w:val="0"/>
              <w:rPr>
                <w:noProof/>
                <w:sz w:val="24"/>
                <w:szCs w:val="24"/>
              </w:rPr>
            </w:pPr>
            <w:r w:rsidRPr="00F56686">
              <w:rPr>
                <w:sz w:val="24"/>
                <w:szCs w:val="24"/>
              </w:rPr>
              <w:t>Ikke kendt</w:t>
            </w:r>
          </w:p>
        </w:tc>
        <w:tc>
          <w:tcPr>
            <w:tcW w:w="6312" w:type="dxa"/>
          </w:tcPr>
          <w:p w:rsidR="000023F8" w:rsidRPr="00F56686" w:rsidRDefault="000023F8" w:rsidP="003B4BCE">
            <w:pPr>
              <w:suppressLineNumbers/>
              <w:autoSpaceDE w:val="0"/>
              <w:autoSpaceDN w:val="0"/>
              <w:adjustRightInd w:val="0"/>
              <w:rPr>
                <w:noProof/>
                <w:sz w:val="24"/>
                <w:szCs w:val="24"/>
              </w:rPr>
            </w:pPr>
            <w:r w:rsidRPr="00F56686">
              <w:rPr>
                <w:sz w:val="24"/>
                <w:szCs w:val="24"/>
              </w:rPr>
              <w:t>Kvalme*</w:t>
            </w:r>
          </w:p>
        </w:tc>
      </w:tr>
      <w:tr w:rsidR="000023F8" w:rsidRPr="00F56686" w:rsidTr="003B4BCE">
        <w:tc>
          <w:tcPr>
            <w:tcW w:w="2436" w:type="dxa"/>
          </w:tcPr>
          <w:p w:rsidR="000023F8" w:rsidRPr="00F56686" w:rsidRDefault="000023F8" w:rsidP="003B4BCE">
            <w:pPr>
              <w:suppressLineNumbers/>
              <w:autoSpaceDE w:val="0"/>
              <w:autoSpaceDN w:val="0"/>
              <w:adjustRightInd w:val="0"/>
              <w:rPr>
                <w:noProof/>
                <w:sz w:val="24"/>
                <w:szCs w:val="24"/>
              </w:rPr>
            </w:pPr>
          </w:p>
        </w:tc>
        <w:tc>
          <w:tcPr>
            <w:tcW w:w="6312" w:type="dxa"/>
          </w:tcPr>
          <w:p w:rsidR="000023F8" w:rsidRPr="00F56686" w:rsidRDefault="000023F8" w:rsidP="003B4BCE">
            <w:pPr>
              <w:suppressLineNumbers/>
              <w:autoSpaceDE w:val="0"/>
              <w:autoSpaceDN w:val="0"/>
              <w:adjustRightInd w:val="0"/>
              <w:rPr>
                <w:noProof/>
                <w:sz w:val="24"/>
                <w:szCs w:val="24"/>
              </w:rPr>
            </w:pPr>
            <w:r w:rsidRPr="00F56686">
              <w:rPr>
                <w:sz w:val="24"/>
                <w:szCs w:val="24"/>
              </w:rPr>
              <w:t>Opkastning*</w:t>
            </w:r>
          </w:p>
        </w:tc>
      </w:tr>
      <w:tr w:rsidR="000023F8" w:rsidRPr="00F56686" w:rsidTr="003B4BCE">
        <w:tc>
          <w:tcPr>
            <w:tcW w:w="8748" w:type="dxa"/>
            <w:gridSpan w:val="2"/>
          </w:tcPr>
          <w:p w:rsidR="000023F8" w:rsidRPr="00F56686" w:rsidRDefault="000023F8" w:rsidP="003B4BCE">
            <w:pPr>
              <w:suppressLineNumbers/>
              <w:autoSpaceDE w:val="0"/>
              <w:autoSpaceDN w:val="0"/>
              <w:adjustRightInd w:val="0"/>
              <w:rPr>
                <w:b/>
                <w:bCs/>
                <w:noProof/>
                <w:sz w:val="24"/>
                <w:szCs w:val="24"/>
              </w:rPr>
            </w:pPr>
            <w:r w:rsidRPr="00F56686">
              <w:rPr>
                <w:b/>
                <w:sz w:val="24"/>
                <w:szCs w:val="24"/>
              </w:rPr>
              <w:t xml:space="preserve">Knogler, led, muskler og bindevæv </w:t>
            </w:r>
          </w:p>
        </w:tc>
      </w:tr>
      <w:tr w:rsidR="000023F8" w:rsidRPr="00F56686" w:rsidTr="003B4BCE">
        <w:tc>
          <w:tcPr>
            <w:tcW w:w="2436" w:type="dxa"/>
          </w:tcPr>
          <w:p w:rsidR="000023F8" w:rsidRPr="00F56686" w:rsidRDefault="000023F8" w:rsidP="003B4BCE">
            <w:pPr>
              <w:suppressLineNumbers/>
              <w:autoSpaceDE w:val="0"/>
              <w:autoSpaceDN w:val="0"/>
              <w:adjustRightInd w:val="0"/>
              <w:rPr>
                <w:noProof/>
                <w:sz w:val="24"/>
                <w:szCs w:val="24"/>
              </w:rPr>
            </w:pPr>
            <w:r w:rsidRPr="00F56686">
              <w:rPr>
                <w:sz w:val="24"/>
                <w:szCs w:val="24"/>
              </w:rPr>
              <w:t>Ikke kendt</w:t>
            </w:r>
          </w:p>
        </w:tc>
        <w:tc>
          <w:tcPr>
            <w:tcW w:w="6312" w:type="dxa"/>
          </w:tcPr>
          <w:p w:rsidR="000023F8" w:rsidRPr="00F56686" w:rsidRDefault="000023F8" w:rsidP="003B4BCE">
            <w:pPr>
              <w:suppressLineNumbers/>
              <w:autoSpaceDE w:val="0"/>
              <w:autoSpaceDN w:val="0"/>
              <w:adjustRightInd w:val="0"/>
              <w:rPr>
                <w:noProof/>
                <w:sz w:val="24"/>
                <w:szCs w:val="24"/>
              </w:rPr>
            </w:pPr>
            <w:r w:rsidRPr="00F56686">
              <w:rPr>
                <w:sz w:val="24"/>
                <w:szCs w:val="24"/>
              </w:rPr>
              <w:t>Muskelkramper*</w:t>
            </w:r>
          </w:p>
        </w:tc>
      </w:tr>
    </w:tbl>
    <w:p w:rsidR="000023F8" w:rsidRPr="009F49C7" w:rsidRDefault="000023F8" w:rsidP="000023F8">
      <w:pPr>
        <w:ind w:left="851"/>
        <w:rPr>
          <w:sz w:val="24"/>
          <w:szCs w:val="24"/>
        </w:rPr>
      </w:pPr>
    </w:p>
    <w:p w:rsidR="000023F8" w:rsidRPr="009F49C7" w:rsidRDefault="000023F8" w:rsidP="000023F8">
      <w:pPr>
        <w:ind w:left="851"/>
        <w:rPr>
          <w:noProof/>
          <w:sz w:val="24"/>
          <w:szCs w:val="24"/>
        </w:rPr>
      </w:pPr>
      <w:r w:rsidRPr="009F49C7">
        <w:rPr>
          <w:sz w:val="24"/>
          <w:szCs w:val="24"/>
        </w:rPr>
        <w:t>* bivirkninger, der er relateret til dialysebehandlingen</w:t>
      </w:r>
    </w:p>
    <w:p w:rsidR="000023F8" w:rsidRPr="009F49C7" w:rsidRDefault="000023F8" w:rsidP="000023F8">
      <w:pPr>
        <w:ind w:left="851"/>
        <w:rPr>
          <w:noProof/>
          <w:sz w:val="24"/>
          <w:szCs w:val="24"/>
        </w:rPr>
      </w:pPr>
    </w:p>
    <w:p w:rsidR="000023F8" w:rsidRPr="009F49C7" w:rsidRDefault="000023F8" w:rsidP="000023F8">
      <w:pPr>
        <w:ind w:left="851"/>
        <w:rPr>
          <w:sz w:val="24"/>
          <w:szCs w:val="24"/>
          <w:u w:val="single"/>
        </w:rPr>
      </w:pPr>
      <w:r w:rsidRPr="009F49C7">
        <w:rPr>
          <w:sz w:val="24"/>
          <w:szCs w:val="24"/>
          <w:u w:val="single"/>
        </w:rPr>
        <w:t>Indberetning af formodede bivirkninger</w:t>
      </w:r>
    </w:p>
    <w:p w:rsidR="000023F8" w:rsidRPr="009F49C7" w:rsidRDefault="000023F8" w:rsidP="000023F8">
      <w:pPr>
        <w:ind w:left="851"/>
        <w:rPr>
          <w:sz w:val="24"/>
          <w:szCs w:val="24"/>
        </w:rPr>
      </w:pPr>
      <w:r w:rsidRPr="009F49C7">
        <w:rPr>
          <w:sz w:val="24"/>
          <w:szCs w:val="24"/>
        </w:rPr>
        <w:t>Når lægemidlet er godkendt, er indberetning af formodede bivirkninger vigtig.</w:t>
      </w:r>
      <w:r w:rsidRPr="009F49C7">
        <w:rPr>
          <w:bCs/>
          <w:sz w:val="24"/>
          <w:szCs w:val="24"/>
        </w:rPr>
        <w:t xml:space="preserve"> </w:t>
      </w:r>
      <w:r w:rsidRPr="009F49C7">
        <w:rPr>
          <w:sz w:val="24"/>
          <w:szCs w:val="24"/>
        </w:rPr>
        <w:t>Det muliggør løbende overvågning af benefit/</w:t>
      </w:r>
      <w:proofErr w:type="spellStart"/>
      <w:r w:rsidRPr="009F49C7">
        <w:rPr>
          <w:sz w:val="24"/>
          <w:szCs w:val="24"/>
        </w:rPr>
        <w:t>risk</w:t>
      </w:r>
      <w:proofErr w:type="spellEnd"/>
      <w:r w:rsidRPr="009F49C7">
        <w:rPr>
          <w:sz w:val="24"/>
          <w:szCs w:val="24"/>
        </w:rPr>
        <w:t>-forholdet for lægemidlet.</w:t>
      </w:r>
      <w:r w:rsidRPr="009F49C7">
        <w:rPr>
          <w:bCs/>
          <w:sz w:val="24"/>
          <w:szCs w:val="24"/>
        </w:rPr>
        <w:t xml:space="preserve"> </w:t>
      </w:r>
      <w:r w:rsidR="00525221">
        <w:rPr>
          <w:bCs/>
          <w:sz w:val="24"/>
          <w:szCs w:val="24"/>
        </w:rPr>
        <w:t>S</w:t>
      </w:r>
      <w:r w:rsidRPr="009F49C7">
        <w:rPr>
          <w:sz w:val="24"/>
          <w:szCs w:val="24"/>
        </w:rPr>
        <w:t>undhedsperson</w:t>
      </w:r>
      <w:r w:rsidR="00525221">
        <w:rPr>
          <w:sz w:val="24"/>
          <w:szCs w:val="24"/>
        </w:rPr>
        <w:t>er</w:t>
      </w:r>
      <w:r w:rsidRPr="009F49C7">
        <w:rPr>
          <w:sz w:val="24"/>
          <w:szCs w:val="24"/>
        </w:rPr>
        <w:t xml:space="preserve"> anmodes om at indberette alle formodede bivirkninger via:</w:t>
      </w:r>
    </w:p>
    <w:p w:rsidR="000023F8" w:rsidRPr="009F49C7" w:rsidRDefault="000023F8" w:rsidP="000023F8">
      <w:pPr>
        <w:ind w:left="851"/>
        <w:rPr>
          <w:sz w:val="24"/>
          <w:szCs w:val="24"/>
        </w:rPr>
      </w:pPr>
    </w:p>
    <w:p w:rsidR="000023F8" w:rsidRPr="009F49C7" w:rsidRDefault="000023F8" w:rsidP="000023F8">
      <w:pPr>
        <w:ind w:left="851"/>
        <w:rPr>
          <w:sz w:val="24"/>
          <w:szCs w:val="24"/>
        </w:rPr>
      </w:pPr>
      <w:r>
        <w:rPr>
          <w:sz w:val="24"/>
          <w:szCs w:val="24"/>
        </w:rPr>
        <w:t>Lægemiddel</w:t>
      </w:r>
      <w:r w:rsidRPr="009F49C7">
        <w:rPr>
          <w:sz w:val="24"/>
          <w:szCs w:val="24"/>
        </w:rPr>
        <w:t>styrelsen</w:t>
      </w:r>
    </w:p>
    <w:p w:rsidR="000023F8" w:rsidRPr="009F49C7" w:rsidRDefault="000023F8" w:rsidP="000023F8">
      <w:pPr>
        <w:ind w:left="851"/>
        <w:rPr>
          <w:sz w:val="24"/>
          <w:szCs w:val="24"/>
        </w:rPr>
      </w:pPr>
      <w:r w:rsidRPr="009F49C7">
        <w:rPr>
          <w:sz w:val="24"/>
          <w:szCs w:val="24"/>
        </w:rPr>
        <w:t>Axel Heides Gade 1</w:t>
      </w:r>
    </w:p>
    <w:p w:rsidR="000023F8" w:rsidRPr="009F49C7" w:rsidRDefault="000023F8" w:rsidP="000023F8">
      <w:pPr>
        <w:ind w:left="851"/>
        <w:rPr>
          <w:sz w:val="24"/>
          <w:szCs w:val="24"/>
        </w:rPr>
      </w:pPr>
      <w:r w:rsidRPr="009F49C7">
        <w:rPr>
          <w:sz w:val="24"/>
          <w:szCs w:val="24"/>
        </w:rPr>
        <w:t>DK-2300 København S</w:t>
      </w:r>
    </w:p>
    <w:p w:rsidR="000023F8" w:rsidRPr="00F050F1" w:rsidRDefault="000023F8" w:rsidP="000023F8">
      <w:pPr>
        <w:ind w:left="851"/>
        <w:rPr>
          <w:sz w:val="24"/>
          <w:szCs w:val="24"/>
        </w:rPr>
      </w:pPr>
      <w:r w:rsidRPr="00F050F1">
        <w:rPr>
          <w:sz w:val="24"/>
          <w:szCs w:val="24"/>
        </w:rPr>
        <w:t xml:space="preserve">Websted: </w:t>
      </w:r>
      <w:hyperlink r:id="rId9" w:history="1">
        <w:r w:rsidRPr="00F050F1">
          <w:rPr>
            <w:rStyle w:val="Hyperlink"/>
            <w:szCs w:val="24"/>
          </w:rPr>
          <w:t>www.meldenbivirkning.dk</w:t>
        </w:r>
      </w:hyperlink>
    </w:p>
    <w:p w:rsidR="000023F8" w:rsidRPr="00F050F1" w:rsidRDefault="000023F8" w:rsidP="000023F8">
      <w:pPr>
        <w:pStyle w:val="Sidehoved"/>
        <w:tabs>
          <w:tab w:val="left" w:pos="851"/>
        </w:tabs>
        <w:rPr>
          <w:szCs w:val="24"/>
        </w:rPr>
      </w:pPr>
    </w:p>
    <w:p w:rsidR="000023F8" w:rsidRPr="00C84483" w:rsidRDefault="000023F8" w:rsidP="000023F8">
      <w:pPr>
        <w:tabs>
          <w:tab w:val="left" w:pos="851"/>
        </w:tabs>
        <w:ind w:left="851" w:hanging="851"/>
        <w:rPr>
          <w:b/>
          <w:sz w:val="24"/>
          <w:szCs w:val="24"/>
        </w:rPr>
      </w:pPr>
      <w:r w:rsidRPr="00C84483">
        <w:rPr>
          <w:b/>
          <w:sz w:val="24"/>
          <w:szCs w:val="24"/>
        </w:rPr>
        <w:t>4.9</w:t>
      </w:r>
      <w:r w:rsidRPr="00C84483">
        <w:rPr>
          <w:b/>
          <w:sz w:val="24"/>
          <w:szCs w:val="24"/>
        </w:rPr>
        <w:tab/>
        <w:t>Overdosering</w:t>
      </w:r>
    </w:p>
    <w:p w:rsidR="000023F8" w:rsidRDefault="000023F8" w:rsidP="000023F8">
      <w:pPr>
        <w:ind w:left="851"/>
        <w:rPr>
          <w:noProof/>
          <w:sz w:val="24"/>
          <w:szCs w:val="24"/>
        </w:rPr>
      </w:pPr>
      <w:r>
        <w:rPr>
          <w:sz w:val="24"/>
          <w:szCs w:val="24"/>
        </w:rPr>
        <w:t>Uønsket administration af for store mængder erstatningsvæske kan medføre overdosis, hvilket kan forårsage en livstruende situation for patienten.</w:t>
      </w:r>
      <w:r>
        <w:rPr>
          <w:noProof/>
          <w:sz w:val="24"/>
          <w:szCs w:val="24"/>
        </w:rPr>
        <w:t xml:space="preserve"> </w:t>
      </w:r>
      <w:r>
        <w:rPr>
          <w:sz w:val="24"/>
          <w:szCs w:val="24"/>
        </w:rPr>
        <w:t xml:space="preserve">Dette kan resultere i lungeødem og </w:t>
      </w:r>
      <w:proofErr w:type="spellStart"/>
      <w:r>
        <w:rPr>
          <w:sz w:val="24"/>
          <w:szCs w:val="24"/>
        </w:rPr>
        <w:t>kongestivt</w:t>
      </w:r>
      <w:proofErr w:type="spellEnd"/>
      <w:r>
        <w:rPr>
          <w:sz w:val="24"/>
          <w:szCs w:val="24"/>
        </w:rPr>
        <w:t xml:space="preserve"> hjertesvigt i forbindelse med væskeoverskud samt i </w:t>
      </w:r>
      <w:proofErr w:type="spellStart"/>
      <w:r>
        <w:rPr>
          <w:sz w:val="24"/>
          <w:szCs w:val="24"/>
        </w:rPr>
        <w:t>hypocalciæmi</w:t>
      </w:r>
      <w:proofErr w:type="spellEnd"/>
      <w:r>
        <w:rPr>
          <w:sz w:val="24"/>
          <w:szCs w:val="24"/>
        </w:rPr>
        <w:t xml:space="preserve"> (se pkt. 4.4) og metabolisk </w:t>
      </w:r>
      <w:proofErr w:type="spellStart"/>
      <w:r>
        <w:rPr>
          <w:sz w:val="24"/>
          <w:szCs w:val="24"/>
        </w:rPr>
        <w:t>alkalose</w:t>
      </w:r>
      <w:proofErr w:type="spellEnd"/>
      <w:r>
        <w:rPr>
          <w:sz w:val="24"/>
          <w:szCs w:val="24"/>
        </w:rPr>
        <w:t xml:space="preserve"> (se pkt. 4.4) på grund af overskud af citrat i forhold til </w:t>
      </w:r>
      <w:proofErr w:type="spellStart"/>
      <w:r>
        <w:rPr>
          <w:sz w:val="24"/>
          <w:szCs w:val="24"/>
        </w:rPr>
        <w:t>blodflowet</w:t>
      </w:r>
      <w:proofErr w:type="spellEnd"/>
      <w:r>
        <w:rPr>
          <w:sz w:val="24"/>
          <w:szCs w:val="24"/>
        </w:rPr>
        <w:t>.</w:t>
      </w:r>
      <w:r>
        <w:rPr>
          <w:noProof/>
          <w:sz w:val="24"/>
          <w:szCs w:val="24"/>
        </w:rPr>
        <w:t xml:space="preserve"> </w:t>
      </w:r>
      <w:r>
        <w:rPr>
          <w:sz w:val="24"/>
          <w:szCs w:val="24"/>
        </w:rPr>
        <w:t xml:space="preserve">Denne forstyrrelse skal med det samme korrigeres ved </w:t>
      </w:r>
      <w:proofErr w:type="spellStart"/>
      <w:r>
        <w:rPr>
          <w:sz w:val="24"/>
          <w:szCs w:val="24"/>
        </w:rPr>
        <w:t>seponering</w:t>
      </w:r>
      <w:proofErr w:type="spellEnd"/>
      <w:r>
        <w:rPr>
          <w:sz w:val="24"/>
          <w:szCs w:val="24"/>
        </w:rPr>
        <w:t xml:space="preserve"> af erstatningsvæske og ved intravenøs administration af calcium. </w:t>
      </w:r>
      <w:proofErr w:type="gramStart"/>
      <w:r>
        <w:rPr>
          <w:sz w:val="24"/>
          <w:szCs w:val="24"/>
        </w:rPr>
        <w:t xml:space="preserve">Forsigtig </w:t>
      </w:r>
      <w:r>
        <w:rPr>
          <w:sz w:val="24"/>
          <w:szCs w:val="24"/>
        </w:rPr>
        <w:lastRenderedPageBreak/>
        <w:t>calciumsupplement</w:t>
      </w:r>
      <w:proofErr w:type="gramEnd"/>
      <w:r>
        <w:rPr>
          <w:sz w:val="24"/>
          <w:szCs w:val="24"/>
        </w:rPr>
        <w:t xml:space="preserve"> kan omvende virkningen af en overdosis. Risikoen kan minimeres ved tæt monitorering under behandlingen.</w:t>
      </w:r>
    </w:p>
    <w:p w:rsidR="000023F8" w:rsidRDefault="000023F8" w:rsidP="000023F8">
      <w:pPr>
        <w:ind w:left="851"/>
        <w:rPr>
          <w:noProof/>
          <w:sz w:val="24"/>
          <w:szCs w:val="24"/>
        </w:rPr>
      </w:pPr>
    </w:p>
    <w:p w:rsidR="000023F8" w:rsidRDefault="000023F8" w:rsidP="000023F8">
      <w:pPr>
        <w:ind w:left="851"/>
        <w:rPr>
          <w:bCs/>
          <w:sz w:val="24"/>
          <w:szCs w:val="24"/>
        </w:rPr>
      </w:pPr>
      <w:r>
        <w:rPr>
          <w:sz w:val="24"/>
          <w:szCs w:val="24"/>
        </w:rPr>
        <w:t>Hos patienter med nedsat citratmetabolisme (leversvigt eller -</w:t>
      </w:r>
      <w:proofErr w:type="spellStart"/>
      <w:r>
        <w:rPr>
          <w:sz w:val="24"/>
          <w:szCs w:val="24"/>
        </w:rPr>
        <w:t>shock</w:t>
      </w:r>
      <w:proofErr w:type="spellEnd"/>
      <w:r>
        <w:rPr>
          <w:sz w:val="24"/>
          <w:szCs w:val="24"/>
        </w:rPr>
        <w:t xml:space="preserve">) kan overdosis manifestere sig som citratakkumulering, metabolisk </w:t>
      </w:r>
      <w:proofErr w:type="spellStart"/>
      <w:r>
        <w:rPr>
          <w:sz w:val="24"/>
          <w:szCs w:val="24"/>
        </w:rPr>
        <w:t>acidose</w:t>
      </w:r>
      <w:proofErr w:type="spellEnd"/>
      <w:r>
        <w:rPr>
          <w:sz w:val="24"/>
          <w:szCs w:val="24"/>
        </w:rPr>
        <w:t xml:space="preserve"> (se pkt. 4.4), systemisk total </w:t>
      </w:r>
      <w:proofErr w:type="spellStart"/>
      <w:r>
        <w:rPr>
          <w:sz w:val="24"/>
          <w:szCs w:val="24"/>
        </w:rPr>
        <w:t>hypercalciæmi</w:t>
      </w:r>
      <w:proofErr w:type="spellEnd"/>
      <w:r>
        <w:rPr>
          <w:sz w:val="24"/>
          <w:szCs w:val="24"/>
        </w:rPr>
        <w:t xml:space="preserve"> (se pkt. 4.4) og ioniseret </w:t>
      </w:r>
      <w:proofErr w:type="spellStart"/>
      <w:r>
        <w:rPr>
          <w:sz w:val="24"/>
          <w:szCs w:val="24"/>
        </w:rPr>
        <w:t>hypocalciæmi</w:t>
      </w:r>
      <w:proofErr w:type="spellEnd"/>
      <w:r>
        <w:rPr>
          <w:sz w:val="24"/>
          <w:szCs w:val="24"/>
        </w:rPr>
        <w:t xml:space="preserve"> (se pkt. 4.4 og 4.8) sammen med øget totalt calcium/ioniseret calcium-ratio.</w:t>
      </w:r>
    </w:p>
    <w:p w:rsidR="000023F8" w:rsidRDefault="000023F8" w:rsidP="000023F8">
      <w:pPr>
        <w:ind w:left="851"/>
        <w:rPr>
          <w:bCs/>
          <w:sz w:val="24"/>
          <w:szCs w:val="24"/>
        </w:rPr>
      </w:pPr>
      <w:proofErr w:type="spellStart"/>
      <w:r>
        <w:rPr>
          <w:sz w:val="24"/>
          <w:szCs w:val="24"/>
        </w:rPr>
        <w:t>Regiocit</w:t>
      </w:r>
      <w:proofErr w:type="spellEnd"/>
      <w:r>
        <w:rPr>
          <w:sz w:val="24"/>
          <w:szCs w:val="24"/>
        </w:rPr>
        <w:t xml:space="preserve"> skal derfor enten reduceres eller seponeres.</w:t>
      </w:r>
    </w:p>
    <w:p w:rsidR="000023F8" w:rsidRDefault="000023F8" w:rsidP="000023F8">
      <w:pPr>
        <w:ind w:left="851"/>
        <w:rPr>
          <w:sz w:val="24"/>
          <w:szCs w:val="24"/>
        </w:rPr>
      </w:pPr>
      <w:r>
        <w:rPr>
          <w:sz w:val="24"/>
          <w:szCs w:val="24"/>
        </w:rPr>
        <w:t xml:space="preserve">For at korrigere for metabolisk </w:t>
      </w:r>
      <w:proofErr w:type="spellStart"/>
      <w:r>
        <w:rPr>
          <w:sz w:val="24"/>
          <w:szCs w:val="24"/>
        </w:rPr>
        <w:t>acidose</w:t>
      </w:r>
      <w:proofErr w:type="spellEnd"/>
      <w:r>
        <w:rPr>
          <w:sz w:val="24"/>
          <w:szCs w:val="24"/>
        </w:rPr>
        <w:t xml:space="preserve"> skal </w:t>
      </w:r>
      <w:proofErr w:type="spellStart"/>
      <w:r>
        <w:rPr>
          <w:sz w:val="24"/>
          <w:szCs w:val="24"/>
        </w:rPr>
        <w:t>hydrogencarbonat</w:t>
      </w:r>
      <w:proofErr w:type="spellEnd"/>
      <w:r>
        <w:rPr>
          <w:sz w:val="24"/>
          <w:szCs w:val="24"/>
        </w:rPr>
        <w:t xml:space="preserve"> erstattes.</w:t>
      </w:r>
      <w:r>
        <w:rPr>
          <w:bCs/>
          <w:sz w:val="24"/>
          <w:szCs w:val="24"/>
        </w:rPr>
        <w:t xml:space="preserve"> </w:t>
      </w:r>
      <w:r>
        <w:rPr>
          <w:sz w:val="24"/>
          <w:szCs w:val="24"/>
        </w:rPr>
        <w:t xml:space="preserve">Kontinuerlig nyreerstatningsterapi kan fortsættes, uden at antikoagulation eller andre </w:t>
      </w:r>
      <w:proofErr w:type="spellStart"/>
      <w:r>
        <w:rPr>
          <w:sz w:val="24"/>
          <w:szCs w:val="24"/>
        </w:rPr>
        <w:t>antikoagulationsmidler</w:t>
      </w:r>
      <w:proofErr w:type="spellEnd"/>
      <w:r>
        <w:rPr>
          <w:sz w:val="24"/>
          <w:szCs w:val="24"/>
        </w:rPr>
        <w:t xml:space="preserve"> skal tages i betragtning.</w:t>
      </w:r>
    </w:p>
    <w:p w:rsidR="000023F8" w:rsidRDefault="000023F8" w:rsidP="000023F8">
      <w:pPr>
        <w:tabs>
          <w:tab w:val="left" w:pos="851"/>
        </w:tabs>
        <w:ind w:left="851" w:hanging="851"/>
        <w:rPr>
          <w:b/>
          <w:sz w:val="24"/>
          <w:szCs w:val="24"/>
        </w:rPr>
      </w:pPr>
    </w:p>
    <w:p w:rsidR="000023F8" w:rsidRPr="00C84483" w:rsidRDefault="000023F8" w:rsidP="000023F8">
      <w:pPr>
        <w:tabs>
          <w:tab w:val="left" w:pos="851"/>
        </w:tabs>
        <w:ind w:left="851" w:hanging="851"/>
        <w:rPr>
          <w:b/>
          <w:sz w:val="24"/>
          <w:szCs w:val="24"/>
        </w:rPr>
      </w:pPr>
      <w:r w:rsidRPr="00C84483">
        <w:rPr>
          <w:b/>
          <w:sz w:val="24"/>
          <w:szCs w:val="24"/>
        </w:rPr>
        <w:t>4.10</w:t>
      </w:r>
      <w:r w:rsidRPr="00C84483">
        <w:rPr>
          <w:b/>
          <w:sz w:val="24"/>
          <w:szCs w:val="24"/>
        </w:rPr>
        <w:tab/>
        <w:t>Udlevering</w:t>
      </w:r>
    </w:p>
    <w:p w:rsidR="000023F8" w:rsidRPr="00C84483" w:rsidRDefault="000023F8" w:rsidP="000023F8">
      <w:pPr>
        <w:tabs>
          <w:tab w:val="left" w:pos="851"/>
        </w:tabs>
        <w:ind w:left="851" w:hanging="851"/>
        <w:rPr>
          <w:sz w:val="24"/>
          <w:szCs w:val="24"/>
        </w:rPr>
      </w:pPr>
      <w:r w:rsidRPr="00C84483">
        <w:rPr>
          <w:sz w:val="24"/>
          <w:szCs w:val="24"/>
        </w:rPr>
        <w:tab/>
      </w:r>
      <w:r>
        <w:rPr>
          <w:sz w:val="24"/>
          <w:szCs w:val="24"/>
        </w:rPr>
        <w:t>B</w:t>
      </w:r>
    </w:p>
    <w:p w:rsidR="000023F8" w:rsidRPr="00C84483" w:rsidRDefault="000023F8" w:rsidP="000023F8">
      <w:pPr>
        <w:tabs>
          <w:tab w:val="left" w:pos="851"/>
        </w:tabs>
        <w:rPr>
          <w:sz w:val="24"/>
          <w:szCs w:val="24"/>
        </w:rPr>
      </w:pPr>
    </w:p>
    <w:p w:rsidR="000023F8" w:rsidRPr="00C84483" w:rsidRDefault="000023F8" w:rsidP="000023F8">
      <w:pPr>
        <w:tabs>
          <w:tab w:val="left" w:pos="851"/>
        </w:tabs>
        <w:rPr>
          <w:sz w:val="24"/>
          <w:szCs w:val="24"/>
        </w:rPr>
      </w:pPr>
    </w:p>
    <w:p w:rsidR="000023F8" w:rsidRPr="001F22A5" w:rsidRDefault="000023F8" w:rsidP="001F22A5">
      <w:pPr>
        <w:tabs>
          <w:tab w:val="left" w:pos="851"/>
        </w:tabs>
        <w:ind w:left="851" w:hanging="851"/>
        <w:rPr>
          <w:b/>
          <w:sz w:val="24"/>
          <w:szCs w:val="24"/>
        </w:rPr>
      </w:pPr>
      <w:r w:rsidRPr="00C84483">
        <w:rPr>
          <w:b/>
          <w:sz w:val="24"/>
          <w:szCs w:val="24"/>
        </w:rPr>
        <w:t>5.</w:t>
      </w:r>
      <w:r w:rsidRPr="00C84483">
        <w:rPr>
          <w:b/>
          <w:sz w:val="24"/>
          <w:szCs w:val="24"/>
        </w:rPr>
        <w:tab/>
        <w:t>FARMAKOLOGISKE EGENSKABER</w:t>
      </w:r>
      <w:r w:rsidRPr="009F49C7">
        <w:rPr>
          <w:sz w:val="24"/>
          <w:szCs w:val="24"/>
        </w:rPr>
        <w:t xml:space="preserve"> </w:t>
      </w:r>
    </w:p>
    <w:p w:rsidR="000023F8" w:rsidRPr="00C84483" w:rsidRDefault="000023F8" w:rsidP="000023F8">
      <w:pPr>
        <w:tabs>
          <w:tab w:val="left" w:pos="851"/>
        </w:tabs>
        <w:rPr>
          <w:sz w:val="24"/>
          <w:szCs w:val="24"/>
        </w:rPr>
      </w:pPr>
    </w:p>
    <w:p w:rsidR="001F22A5" w:rsidRPr="001F22A5" w:rsidRDefault="000023F8" w:rsidP="001F22A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F22A5" w:rsidRDefault="001F22A5" w:rsidP="001F22A5">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9F49C7">
        <w:rPr>
          <w:sz w:val="24"/>
          <w:szCs w:val="24"/>
        </w:rPr>
        <w:t>Hæmofiltrater</w:t>
      </w:r>
      <w:proofErr w:type="spellEnd"/>
      <w:r w:rsidRPr="009F49C7">
        <w:rPr>
          <w:sz w:val="24"/>
          <w:szCs w:val="24"/>
        </w:rPr>
        <w:t>.</w:t>
      </w:r>
      <w:r>
        <w:rPr>
          <w:sz w:val="24"/>
          <w:szCs w:val="24"/>
        </w:rPr>
        <w:t xml:space="preserve"> </w:t>
      </w:r>
      <w:r w:rsidRPr="009F49C7">
        <w:rPr>
          <w:sz w:val="24"/>
          <w:szCs w:val="24"/>
        </w:rPr>
        <w:t xml:space="preserve">ATC-kode: B 05 ZB. </w:t>
      </w:r>
    </w:p>
    <w:p w:rsidR="001F22A5" w:rsidRDefault="001F22A5" w:rsidP="001F22A5">
      <w:pPr>
        <w:ind w:left="851"/>
        <w:rPr>
          <w:sz w:val="24"/>
          <w:szCs w:val="24"/>
        </w:rPr>
      </w:pPr>
    </w:p>
    <w:p w:rsidR="001F22A5" w:rsidRPr="002E3E69" w:rsidRDefault="001F22A5" w:rsidP="001F22A5">
      <w:pPr>
        <w:pStyle w:val="Brdtekst"/>
        <w:tabs>
          <w:tab w:val="left" w:pos="851"/>
        </w:tabs>
        <w:ind w:left="851"/>
        <w:rPr>
          <w:i w:val="0"/>
          <w:color w:val="auto"/>
          <w:sz w:val="24"/>
          <w:szCs w:val="24"/>
          <w:lang w:val="da-DK"/>
        </w:rPr>
      </w:pPr>
      <w:r w:rsidRPr="00AC4484">
        <w:rPr>
          <w:i w:val="0"/>
          <w:color w:val="auto"/>
          <w:sz w:val="24"/>
          <w:szCs w:val="24"/>
          <w:lang w:val="da-DK"/>
        </w:rPr>
        <w:t xml:space="preserve">Citrat har </w:t>
      </w:r>
      <w:proofErr w:type="spellStart"/>
      <w:r w:rsidRPr="00AC4484">
        <w:rPr>
          <w:i w:val="0"/>
          <w:color w:val="auto"/>
          <w:sz w:val="24"/>
          <w:szCs w:val="24"/>
          <w:lang w:val="da-DK"/>
        </w:rPr>
        <w:t>antikoagulationseffekt</w:t>
      </w:r>
      <w:proofErr w:type="spellEnd"/>
      <w:r w:rsidRPr="00AC4484">
        <w:rPr>
          <w:i w:val="0"/>
          <w:color w:val="auto"/>
          <w:sz w:val="24"/>
          <w:szCs w:val="24"/>
          <w:lang w:val="da-DK"/>
        </w:rPr>
        <w:t xml:space="preserve"> på grund af dets evne til at danne komplekser med ioniseret calcium, hvilket gør det utilgængeligt i koagulationskaskaden. I </w:t>
      </w:r>
      <w:proofErr w:type="spellStart"/>
      <w:r w:rsidRPr="00AC4484">
        <w:rPr>
          <w:i w:val="0"/>
          <w:color w:val="auto"/>
          <w:sz w:val="24"/>
          <w:szCs w:val="24"/>
          <w:lang w:val="da-DK"/>
        </w:rPr>
        <w:t>Regiocit</w:t>
      </w:r>
      <w:proofErr w:type="spellEnd"/>
      <w:r w:rsidRPr="00AC4484">
        <w:rPr>
          <w:i w:val="0"/>
          <w:color w:val="auto"/>
          <w:sz w:val="24"/>
          <w:szCs w:val="24"/>
          <w:lang w:val="da-DK"/>
        </w:rPr>
        <w:t xml:space="preserve"> er natriumkoncentrationen sat til 140 mmol/l, da kritisk syge patienter er tilbøjelige til at udvikle svær </w:t>
      </w:r>
      <w:proofErr w:type="spellStart"/>
      <w:r w:rsidRPr="00AC4484">
        <w:rPr>
          <w:i w:val="0"/>
          <w:color w:val="auto"/>
          <w:sz w:val="24"/>
          <w:szCs w:val="24"/>
          <w:lang w:val="da-DK"/>
        </w:rPr>
        <w:t>hyponatriæmi</w:t>
      </w:r>
      <w:proofErr w:type="spellEnd"/>
      <w:r w:rsidRPr="00AC4484">
        <w:rPr>
          <w:i w:val="0"/>
          <w:color w:val="auto"/>
          <w:sz w:val="24"/>
          <w:szCs w:val="24"/>
          <w:lang w:val="da-DK"/>
        </w:rPr>
        <w:t xml:space="preserve">. </w:t>
      </w:r>
      <w:proofErr w:type="spellStart"/>
      <w:r w:rsidRPr="00AC4484">
        <w:rPr>
          <w:i w:val="0"/>
          <w:color w:val="auto"/>
          <w:sz w:val="24"/>
          <w:szCs w:val="24"/>
          <w:lang w:val="da-DK"/>
        </w:rPr>
        <w:t>Chlorid</w:t>
      </w:r>
      <w:proofErr w:type="spellEnd"/>
      <w:r w:rsidRPr="00AC4484">
        <w:rPr>
          <w:i w:val="0"/>
          <w:color w:val="auto"/>
          <w:sz w:val="24"/>
          <w:szCs w:val="24"/>
          <w:lang w:val="da-DK"/>
        </w:rPr>
        <w:t xml:space="preserve"> er sat til det niveau, der kræves for at balancere kationer, fordi væsken er fri for </w:t>
      </w:r>
      <w:proofErr w:type="spellStart"/>
      <w:r w:rsidRPr="00AC4484">
        <w:rPr>
          <w:i w:val="0"/>
          <w:color w:val="auto"/>
          <w:sz w:val="24"/>
          <w:szCs w:val="24"/>
          <w:lang w:val="da-DK"/>
        </w:rPr>
        <w:t>hydrogencarbonat</w:t>
      </w:r>
      <w:proofErr w:type="spellEnd"/>
      <w:r w:rsidRPr="00AC4484">
        <w:rPr>
          <w:i w:val="0"/>
          <w:color w:val="auto"/>
          <w:sz w:val="24"/>
          <w:szCs w:val="24"/>
          <w:lang w:val="da-DK"/>
        </w:rPr>
        <w:t xml:space="preserve">. Natrium og </w:t>
      </w:r>
      <w:proofErr w:type="spellStart"/>
      <w:r w:rsidRPr="00AC4484">
        <w:rPr>
          <w:i w:val="0"/>
          <w:color w:val="auto"/>
          <w:sz w:val="24"/>
          <w:szCs w:val="24"/>
          <w:lang w:val="da-DK"/>
        </w:rPr>
        <w:t>chlorid</w:t>
      </w:r>
      <w:proofErr w:type="spellEnd"/>
      <w:r w:rsidRPr="00AC4484">
        <w:rPr>
          <w:i w:val="0"/>
          <w:color w:val="auto"/>
          <w:sz w:val="24"/>
          <w:szCs w:val="24"/>
          <w:lang w:val="da-DK"/>
        </w:rPr>
        <w:t xml:space="preserve"> er normale komponenter i kroppen og anses derfor for at være farmakologisk inaktive. Citrat er en normal metabolit i kroppen, der fungerer som et første </w:t>
      </w:r>
      <w:proofErr w:type="spellStart"/>
      <w:r w:rsidRPr="00AC4484">
        <w:rPr>
          <w:i w:val="0"/>
          <w:color w:val="auto"/>
          <w:sz w:val="24"/>
          <w:szCs w:val="24"/>
          <w:lang w:val="da-DK"/>
        </w:rPr>
        <w:t>mellemstof</w:t>
      </w:r>
      <w:proofErr w:type="spellEnd"/>
      <w:r w:rsidRPr="00AC4484">
        <w:rPr>
          <w:i w:val="0"/>
          <w:color w:val="auto"/>
          <w:sz w:val="24"/>
          <w:szCs w:val="24"/>
          <w:lang w:val="da-DK"/>
        </w:rPr>
        <w:t xml:space="preserve"> i Krebs’ cyklus. </w:t>
      </w:r>
      <w:proofErr w:type="spellStart"/>
      <w:r w:rsidRPr="00AC4484">
        <w:rPr>
          <w:i w:val="0"/>
          <w:color w:val="auto"/>
          <w:sz w:val="24"/>
          <w:szCs w:val="24"/>
          <w:lang w:val="da-DK"/>
        </w:rPr>
        <w:t>Regiocit</w:t>
      </w:r>
      <w:proofErr w:type="spellEnd"/>
      <w:r w:rsidRPr="00AC4484">
        <w:rPr>
          <w:i w:val="0"/>
          <w:color w:val="auto"/>
          <w:sz w:val="24"/>
          <w:szCs w:val="24"/>
          <w:lang w:val="da-DK"/>
        </w:rPr>
        <w:t xml:space="preserve"> indeholder ikke kalium og </w:t>
      </w:r>
      <w:proofErr w:type="spellStart"/>
      <w:r w:rsidRPr="00AC4484">
        <w:rPr>
          <w:i w:val="0"/>
          <w:color w:val="auto"/>
          <w:sz w:val="24"/>
          <w:szCs w:val="24"/>
          <w:lang w:val="da-DK"/>
        </w:rPr>
        <w:t>glu</w:t>
      </w:r>
      <w:r>
        <w:rPr>
          <w:i w:val="0"/>
          <w:color w:val="auto"/>
          <w:sz w:val="24"/>
          <w:szCs w:val="24"/>
          <w:lang w:val="da-DK"/>
        </w:rPr>
        <w:t>c</w:t>
      </w:r>
      <w:r w:rsidRPr="00AC4484">
        <w:rPr>
          <w:i w:val="0"/>
          <w:color w:val="auto"/>
          <w:sz w:val="24"/>
          <w:szCs w:val="24"/>
          <w:lang w:val="da-DK"/>
        </w:rPr>
        <w:t>ose</w:t>
      </w:r>
      <w:proofErr w:type="spellEnd"/>
      <w:r w:rsidRPr="00AC4484">
        <w:rPr>
          <w:i w:val="0"/>
          <w:color w:val="auto"/>
          <w:sz w:val="24"/>
          <w:szCs w:val="24"/>
          <w:lang w:val="da-DK"/>
        </w:rPr>
        <w:t xml:space="preserve">. Der forventes ikke toksiske virkninger som følge af anvendelsen af </w:t>
      </w:r>
      <w:proofErr w:type="spellStart"/>
      <w:r w:rsidRPr="00AC4484">
        <w:rPr>
          <w:i w:val="0"/>
          <w:color w:val="auto"/>
          <w:sz w:val="24"/>
          <w:szCs w:val="24"/>
          <w:lang w:val="da-DK"/>
        </w:rPr>
        <w:t>Regiocit</w:t>
      </w:r>
      <w:proofErr w:type="spellEnd"/>
      <w:r w:rsidRPr="00AC4484">
        <w:rPr>
          <w:i w:val="0"/>
          <w:color w:val="auto"/>
          <w:sz w:val="24"/>
          <w:szCs w:val="24"/>
          <w:lang w:val="da-DK"/>
        </w:rPr>
        <w:t xml:space="preserve"> ved terapeutisk dosis.</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023F8" w:rsidRPr="009F49C7" w:rsidRDefault="000023F8" w:rsidP="000023F8">
      <w:pPr>
        <w:ind w:left="851"/>
        <w:rPr>
          <w:iCs/>
          <w:noProof/>
          <w:sz w:val="24"/>
          <w:szCs w:val="24"/>
        </w:rPr>
      </w:pPr>
      <w:r w:rsidRPr="009F49C7">
        <w:rPr>
          <w:sz w:val="24"/>
          <w:szCs w:val="24"/>
        </w:rPr>
        <w:t xml:space="preserve">Citrat er en normal metabolit i kroppen og et </w:t>
      </w:r>
      <w:proofErr w:type="spellStart"/>
      <w:r w:rsidRPr="009F49C7">
        <w:rPr>
          <w:sz w:val="24"/>
          <w:szCs w:val="24"/>
        </w:rPr>
        <w:t>mellemstof</w:t>
      </w:r>
      <w:proofErr w:type="spellEnd"/>
      <w:r w:rsidRPr="009F49C7">
        <w:rPr>
          <w:sz w:val="24"/>
          <w:szCs w:val="24"/>
        </w:rPr>
        <w:t xml:space="preserve"> i Krebs’ cyklu</w:t>
      </w:r>
      <w:r>
        <w:rPr>
          <w:sz w:val="24"/>
          <w:szCs w:val="24"/>
        </w:rPr>
        <w:t>s. Denne fysiologiske cyklus</w:t>
      </w:r>
      <w:r w:rsidRPr="009F49C7">
        <w:rPr>
          <w:sz w:val="24"/>
          <w:szCs w:val="24"/>
        </w:rPr>
        <w:t xml:space="preserve"> er i stand til at behandle store mængder citronsyre, så længe citronsyren optræder i lave koncentrationer. Krebs’ cyklus finder sted i mitokondrierne, og alle celler, der indeholder disse cellulære organeller, kan </w:t>
      </w:r>
      <w:proofErr w:type="spellStart"/>
      <w:r w:rsidRPr="009F49C7">
        <w:rPr>
          <w:sz w:val="24"/>
          <w:szCs w:val="24"/>
        </w:rPr>
        <w:t>metabolisere</w:t>
      </w:r>
      <w:proofErr w:type="spellEnd"/>
      <w:r w:rsidRPr="009F49C7">
        <w:rPr>
          <w:sz w:val="24"/>
          <w:szCs w:val="24"/>
        </w:rPr>
        <w:t xml:space="preserve"> citrat. Væv, der er rigt på mitokondrier, såsom lever, skeletmuskulatur og nyrer, har derfor en større kapacitet til at generere og eliminere citrat. </w:t>
      </w:r>
    </w:p>
    <w:p w:rsidR="000023F8" w:rsidRPr="009F49C7" w:rsidRDefault="000023F8" w:rsidP="000023F8">
      <w:pPr>
        <w:ind w:left="851"/>
        <w:rPr>
          <w:sz w:val="24"/>
          <w:szCs w:val="24"/>
        </w:rPr>
      </w:pPr>
    </w:p>
    <w:p w:rsidR="000023F8" w:rsidRPr="009F49C7" w:rsidRDefault="000023F8" w:rsidP="000023F8">
      <w:pPr>
        <w:ind w:left="851"/>
        <w:rPr>
          <w:iCs/>
          <w:noProof/>
          <w:sz w:val="24"/>
          <w:szCs w:val="24"/>
          <w:u w:val="single"/>
        </w:rPr>
      </w:pPr>
      <w:r w:rsidRPr="009F49C7">
        <w:rPr>
          <w:sz w:val="24"/>
          <w:szCs w:val="24"/>
          <w:u w:val="single"/>
        </w:rPr>
        <w:t>Absorption og fordeling</w:t>
      </w:r>
    </w:p>
    <w:p w:rsidR="000023F8" w:rsidRPr="009F49C7" w:rsidRDefault="000023F8" w:rsidP="000023F8">
      <w:pPr>
        <w:ind w:left="851"/>
        <w:rPr>
          <w:iCs/>
          <w:noProof/>
          <w:sz w:val="24"/>
          <w:szCs w:val="24"/>
        </w:rPr>
      </w:pPr>
      <w:r w:rsidRPr="009F49C7">
        <w:rPr>
          <w:sz w:val="24"/>
          <w:szCs w:val="24"/>
        </w:rPr>
        <w:t xml:space="preserve">Absorption og fordeling af natrium og </w:t>
      </w:r>
      <w:proofErr w:type="spellStart"/>
      <w:r w:rsidRPr="009F49C7">
        <w:rPr>
          <w:sz w:val="24"/>
          <w:szCs w:val="24"/>
        </w:rPr>
        <w:t>chlorider</w:t>
      </w:r>
      <w:proofErr w:type="spellEnd"/>
      <w:r w:rsidRPr="009F49C7">
        <w:rPr>
          <w:sz w:val="24"/>
          <w:szCs w:val="24"/>
        </w:rPr>
        <w:t xml:space="preserve"> bestemmes af patientens kliniske tilstand, metaboliske status og restnyrefunktion.</w:t>
      </w:r>
      <w:r w:rsidRPr="009F49C7">
        <w:rPr>
          <w:iCs/>
          <w:noProof/>
          <w:sz w:val="24"/>
          <w:szCs w:val="24"/>
        </w:rPr>
        <w:t xml:space="preserve"> </w:t>
      </w:r>
      <w:r w:rsidRPr="009F49C7">
        <w:rPr>
          <w:sz w:val="24"/>
          <w:szCs w:val="24"/>
        </w:rPr>
        <w:t>Ekstracellulært citrat kan transporteres fra blodet gennem plasmamembranen af en gruppe proteiner, dvs. plasmamembrancitrattransportere (</w:t>
      </w:r>
      <w:proofErr w:type="spellStart"/>
      <w:r w:rsidRPr="009F49C7">
        <w:rPr>
          <w:sz w:val="24"/>
          <w:szCs w:val="24"/>
        </w:rPr>
        <w:t>PMCT'er</w:t>
      </w:r>
      <w:proofErr w:type="spellEnd"/>
      <w:r w:rsidRPr="009F49C7">
        <w:rPr>
          <w:sz w:val="24"/>
          <w:szCs w:val="24"/>
        </w:rPr>
        <w:t xml:space="preserve">), og ind i cellerne, hvorefter det </w:t>
      </w:r>
      <w:proofErr w:type="spellStart"/>
      <w:r w:rsidRPr="009F49C7">
        <w:rPr>
          <w:sz w:val="24"/>
          <w:szCs w:val="24"/>
        </w:rPr>
        <w:t>metaboliseres</w:t>
      </w:r>
      <w:proofErr w:type="spellEnd"/>
      <w:r w:rsidRPr="009F49C7">
        <w:rPr>
          <w:sz w:val="24"/>
          <w:szCs w:val="24"/>
        </w:rPr>
        <w:t xml:space="preserve"> i forskellige organer og væv. </w:t>
      </w:r>
    </w:p>
    <w:p w:rsidR="000023F8" w:rsidRPr="009F49C7" w:rsidRDefault="000023F8" w:rsidP="000023F8">
      <w:pPr>
        <w:ind w:left="851"/>
        <w:rPr>
          <w:iCs/>
          <w:noProof/>
          <w:sz w:val="24"/>
          <w:szCs w:val="24"/>
        </w:rPr>
      </w:pPr>
      <w:r w:rsidRPr="009F49C7">
        <w:rPr>
          <w:iCs/>
          <w:noProof/>
          <w:sz w:val="24"/>
          <w:szCs w:val="24"/>
        </w:rPr>
        <w:t xml:space="preserve"> </w:t>
      </w:r>
    </w:p>
    <w:p w:rsidR="000023F8" w:rsidRPr="009F49C7" w:rsidRDefault="000023F8" w:rsidP="000023F8">
      <w:pPr>
        <w:ind w:left="851"/>
        <w:rPr>
          <w:iCs/>
          <w:noProof/>
          <w:sz w:val="24"/>
          <w:szCs w:val="24"/>
          <w:u w:val="single"/>
        </w:rPr>
      </w:pPr>
      <w:r w:rsidRPr="009F49C7">
        <w:rPr>
          <w:sz w:val="24"/>
          <w:szCs w:val="24"/>
          <w:u w:val="single"/>
        </w:rPr>
        <w:t>Biotransformation</w:t>
      </w:r>
    </w:p>
    <w:p w:rsidR="000023F8" w:rsidRPr="009F49C7" w:rsidRDefault="000023F8" w:rsidP="000023F8">
      <w:pPr>
        <w:ind w:left="851"/>
        <w:rPr>
          <w:iCs/>
          <w:noProof/>
          <w:sz w:val="24"/>
          <w:szCs w:val="24"/>
        </w:rPr>
      </w:pPr>
      <w:r w:rsidRPr="009F49C7">
        <w:rPr>
          <w:sz w:val="24"/>
          <w:szCs w:val="24"/>
        </w:rPr>
        <w:t xml:space="preserve">Hos mennesker er citrat et </w:t>
      </w:r>
      <w:proofErr w:type="spellStart"/>
      <w:r w:rsidRPr="009F49C7">
        <w:rPr>
          <w:sz w:val="24"/>
          <w:szCs w:val="24"/>
        </w:rPr>
        <w:t>mellemstof</w:t>
      </w:r>
      <w:proofErr w:type="spellEnd"/>
      <w:r w:rsidRPr="009F49C7">
        <w:rPr>
          <w:sz w:val="24"/>
          <w:szCs w:val="24"/>
        </w:rPr>
        <w:t xml:space="preserve"> i de</w:t>
      </w:r>
      <w:r>
        <w:rPr>
          <w:sz w:val="24"/>
          <w:szCs w:val="24"/>
        </w:rPr>
        <w:t>n centrale metaboliske cyklus</w:t>
      </w:r>
      <w:r w:rsidRPr="009F49C7">
        <w:rPr>
          <w:sz w:val="24"/>
          <w:szCs w:val="24"/>
        </w:rPr>
        <w:t>, der kaldes Krebs’ cyklus, som nævnt ovenfor.</w:t>
      </w:r>
      <w:r w:rsidRPr="009F49C7">
        <w:rPr>
          <w:iCs/>
          <w:noProof/>
          <w:sz w:val="24"/>
          <w:szCs w:val="24"/>
        </w:rPr>
        <w:t xml:space="preserve"> </w:t>
      </w:r>
      <w:r w:rsidRPr="009F49C7">
        <w:rPr>
          <w:sz w:val="24"/>
          <w:szCs w:val="24"/>
        </w:rPr>
        <w:t xml:space="preserve">Citrat </w:t>
      </w:r>
      <w:proofErr w:type="spellStart"/>
      <w:r w:rsidRPr="009F49C7">
        <w:rPr>
          <w:sz w:val="24"/>
          <w:szCs w:val="24"/>
        </w:rPr>
        <w:t>metaboliseres</w:t>
      </w:r>
      <w:proofErr w:type="spellEnd"/>
      <w:r w:rsidRPr="009F49C7">
        <w:rPr>
          <w:sz w:val="24"/>
          <w:szCs w:val="24"/>
        </w:rPr>
        <w:t xml:space="preserve"> hurtigt, hovedsageligt i leveren, men kan også </w:t>
      </w:r>
      <w:proofErr w:type="spellStart"/>
      <w:r w:rsidRPr="009F49C7">
        <w:rPr>
          <w:sz w:val="24"/>
          <w:szCs w:val="24"/>
        </w:rPr>
        <w:t>metaboliseres</w:t>
      </w:r>
      <w:proofErr w:type="spellEnd"/>
      <w:r w:rsidRPr="009F49C7">
        <w:rPr>
          <w:sz w:val="24"/>
          <w:szCs w:val="24"/>
        </w:rPr>
        <w:t xml:space="preserve"> af andre organer/væv.</w:t>
      </w:r>
      <w:r w:rsidRPr="009F49C7">
        <w:rPr>
          <w:iCs/>
          <w:noProof/>
          <w:sz w:val="24"/>
          <w:szCs w:val="24"/>
        </w:rPr>
        <w:t xml:space="preserve"> </w:t>
      </w:r>
    </w:p>
    <w:p w:rsidR="000023F8" w:rsidRDefault="000023F8" w:rsidP="000023F8">
      <w:pPr>
        <w:ind w:left="851"/>
        <w:rPr>
          <w:iCs/>
          <w:noProof/>
          <w:sz w:val="24"/>
          <w:szCs w:val="24"/>
        </w:rPr>
      </w:pPr>
    </w:p>
    <w:p w:rsidR="001F22A5" w:rsidRPr="009F49C7" w:rsidRDefault="001F22A5" w:rsidP="000023F8">
      <w:pPr>
        <w:ind w:left="851"/>
        <w:rPr>
          <w:iCs/>
          <w:noProof/>
          <w:sz w:val="24"/>
          <w:szCs w:val="24"/>
        </w:rPr>
      </w:pPr>
    </w:p>
    <w:p w:rsidR="000023F8" w:rsidRPr="009F49C7" w:rsidRDefault="000023F8" w:rsidP="000023F8">
      <w:pPr>
        <w:ind w:left="851"/>
        <w:rPr>
          <w:iCs/>
          <w:noProof/>
          <w:sz w:val="24"/>
          <w:szCs w:val="24"/>
          <w:u w:val="single"/>
        </w:rPr>
      </w:pPr>
      <w:r w:rsidRPr="009F49C7">
        <w:rPr>
          <w:sz w:val="24"/>
          <w:szCs w:val="24"/>
          <w:u w:val="single"/>
        </w:rPr>
        <w:lastRenderedPageBreak/>
        <w:t>Elimination</w:t>
      </w:r>
    </w:p>
    <w:p w:rsidR="000023F8" w:rsidRPr="009F49C7" w:rsidRDefault="000023F8" w:rsidP="000023F8">
      <w:pPr>
        <w:ind w:left="851"/>
        <w:rPr>
          <w:iCs/>
          <w:noProof/>
          <w:sz w:val="24"/>
          <w:szCs w:val="24"/>
        </w:rPr>
      </w:pPr>
      <w:r w:rsidRPr="009F49C7">
        <w:rPr>
          <w:sz w:val="24"/>
          <w:szCs w:val="24"/>
        </w:rPr>
        <w:t>Overskud af cirkulerende citrat udskilles normalt gennem nyrerne.</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5.3</w:t>
      </w:r>
      <w:r w:rsidRPr="00C84483">
        <w:rPr>
          <w:b/>
          <w:sz w:val="24"/>
          <w:szCs w:val="24"/>
        </w:rPr>
        <w:tab/>
      </w:r>
      <w:r w:rsidR="001F22A5">
        <w:rPr>
          <w:b/>
          <w:sz w:val="24"/>
          <w:szCs w:val="24"/>
        </w:rPr>
        <w:t>Non-</w:t>
      </w:r>
      <w:r w:rsidRPr="00C84483">
        <w:rPr>
          <w:b/>
          <w:sz w:val="24"/>
          <w:szCs w:val="24"/>
        </w:rPr>
        <w:t>kliniske sikkerhedsdata</w:t>
      </w:r>
    </w:p>
    <w:p w:rsidR="000023F8" w:rsidRPr="009F49C7" w:rsidRDefault="000023F8" w:rsidP="000023F8">
      <w:pPr>
        <w:ind w:left="851"/>
        <w:rPr>
          <w:iCs/>
          <w:noProof/>
          <w:sz w:val="24"/>
          <w:szCs w:val="24"/>
        </w:rPr>
      </w:pPr>
      <w:r w:rsidRPr="009F49C7">
        <w:rPr>
          <w:sz w:val="24"/>
          <w:szCs w:val="24"/>
        </w:rPr>
        <w:t>Der er ingen prækliniske data, der betragtes som relevante for klinisk sikkerhed ud over data, som er indeholdt i andre afsnit af produktresuméet.</w:t>
      </w:r>
    </w:p>
    <w:p w:rsidR="000023F8" w:rsidRDefault="000023F8" w:rsidP="000023F8">
      <w:pPr>
        <w:tabs>
          <w:tab w:val="left" w:pos="851"/>
        </w:tabs>
        <w:rPr>
          <w:sz w:val="24"/>
          <w:szCs w:val="24"/>
        </w:rPr>
      </w:pPr>
    </w:p>
    <w:p w:rsidR="000023F8" w:rsidRPr="00C84483" w:rsidRDefault="000023F8" w:rsidP="000023F8">
      <w:pPr>
        <w:tabs>
          <w:tab w:val="left" w:pos="851"/>
        </w:tabs>
        <w:rPr>
          <w:sz w:val="24"/>
          <w:szCs w:val="24"/>
        </w:rPr>
      </w:pPr>
    </w:p>
    <w:p w:rsidR="000023F8" w:rsidRDefault="000023F8" w:rsidP="000023F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023F8" w:rsidRPr="00C84483" w:rsidRDefault="000023F8" w:rsidP="000023F8">
      <w:pPr>
        <w:tabs>
          <w:tab w:val="left" w:pos="851"/>
        </w:tabs>
        <w:rPr>
          <w:b/>
          <w:sz w:val="24"/>
          <w:szCs w:val="24"/>
        </w:rPr>
      </w:pPr>
    </w:p>
    <w:p w:rsidR="000023F8" w:rsidRPr="00C84483" w:rsidRDefault="000023F8" w:rsidP="000023F8">
      <w:pPr>
        <w:tabs>
          <w:tab w:val="left" w:pos="851"/>
        </w:tabs>
        <w:ind w:left="851" w:hanging="851"/>
        <w:rPr>
          <w:b/>
          <w:sz w:val="24"/>
          <w:szCs w:val="24"/>
        </w:rPr>
      </w:pPr>
      <w:r w:rsidRPr="00C84483">
        <w:rPr>
          <w:b/>
          <w:sz w:val="24"/>
          <w:szCs w:val="24"/>
        </w:rPr>
        <w:t>6.1</w:t>
      </w:r>
      <w:r w:rsidRPr="00C84483">
        <w:rPr>
          <w:b/>
          <w:sz w:val="24"/>
          <w:szCs w:val="24"/>
        </w:rPr>
        <w:tab/>
        <w:t>Hjælpestoffer</w:t>
      </w:r>
    </w:p>
    <w:p w:rsidR="000023F8" w:rsidRPr="009F49C7" w:rsidRDefault="000023F8" w:rsidP="000023F8">
      <w:pPr>
        <w:ind w:left="851"/>
        <w:rPr>
          <w:noProof/>
          <w:sz w:val="24"/>
          <w:szCs w:val="24"/>
        </w:rPr>
      </w:pPr>
      <w:r w:rsidRPr="009F49C7">
        <w:rPr>
          <w:sz w:val="24"/>
          <w:szCs w:val="24"/>
        </w:rPr>
        <w:t>Vand til injektionsvæsker</w:t>
      </w:r>
    </w:p>
    <w:p w:rsidR="000023F8" w:rsidRDefault="000023F8" w:rsidP="000023F8">
      <w:pPr>
        <w:ind w:left="851"/>
        <w:rPr>
          <w:sz w:val="24"/>
          <w:szCs w:val="24"/>
        </w:rPr>
      </w:pPr>
      <w:r w:rsidRPr="009F49C7">
        <w:rPr>
          <w:sz w:val="24"/>
          <w:szCs w:val="24"/>
        </w:rPr>
        <w:t xml:space="preserve">Fortyndet </w:t>
      </w:r>
      <w:r>
        <w:rPr>
          <w:sz w:val="24"/>
          <w:szCs w:val="24"/>
        </w:rPr>
        <w:t xml:space="preserve">saltsyre </w:t>
      </w:r>
      <w:r w:rsidRPr="009F49C7">
        <w:rPr>
          <w:sz w:val="24"/>
          <w:szCs w:val="24"/>
        </w:rPr>
        <w:t>(til pH-justering) E 507</w:t>
      </w:r>
    </w:p>
    <w:p w:rsidR="000023F8" w:rsidRDefault="000023F8" w:rsidP="000023F8">
      <w:pPr>
        <w:ind w:left="851"/>
        <w:rPr>
          <w:sz w:val="24"/>
          <w:szCs w:val="24"/>
        </w:rPr>
      </w:pPr>
    </w:p>
    <w:p w:rsidR="000023F8" w:rsidRPr="00C84483" w:rsidRDefault="000023F8" w:rsidP="000023F8">
      <w:pPr>
        <w:tabs>
          <w:tab w:val="left" w:pos="851"/>
        </w:tabs>
        <w:rPr>
          <w:b/>
          <w:sz w:val="24"/>
          <w:szCs w:val="24"/>
        </w:rPr>
      </w:pPr>
      <w:r w:rsidRPr="00C84483">
        <w:rPr>
          <w:b/>
          <w:sz w:val="24"/>
          <w:szCs w:val="24"/>
        </w:rPr>
        <w:t>6.2</w:t>
      </w:r>
      <w:r w:rsidRPr="00C84483">
        <w:rPr>
          <w:b/>
          <w:sz w:val="24"/>
          <w:szCs w:val="24"/>
        </w:rPr>
        <w:tab/>
        <w:t>Uforligeligheder</w:t>
      </w:r>
    </w:p>
    <w:p w:rsidR="000023F8" w:rsidRDefault="000023F8" w:rsidP="000023F8">
      <w:pPr>
        <w:ind w:left="851"/>
        <w:rPr>
          <w:noProof/>
          <w:sz w:val="24"/>
          <w:szCs w:val="24"/>
        </w:rPr>
      </w:pPr>
      <w:r w:rsidRPr="009F49C7">
        <w:rPr>
          <w:sz w:val="24"/>
          <w:szCs w:val="24"/>
        </w:rPr>
        <w:t>Da der ikke foreligger studier af eventuelle uforligeligheder, må dette lægemiddel ikke blandes med andre lægemidler.</w:t>
      </w:r>
      <w:r w:rsidRPr="009F49C7">
        <w:rPr>
          <w:noProof/>
          <w:sz w:val="24"/>
          <w:szCs w:val="24"/>
        </w:rPr>
        <w:t xml:space="preserve"> </w:t>
      </w:r>
    </w:p>
    <w:p w:rsidR="000023F8" w:rsidRDefault="000023F8" w:rsidP="000023F8">
      <w:pPr>
        <w:ind w:left="851"/>
        <w:rPr>
          <w:noProof/>
          <w:sz w:val="24"/>
          <w:szCs w:val="24"/>
        </w:rPr>
      </w:pPr>
    </w:p>
    <w:p w:rsidR="000023F8" w:rsidRDefault="000023F8" w:rsidP="000023F8">
      <w:pPr>
        <w:ind w:left="851"/>
        <w:rPr>
          <w:noProof/>
          <w:sz w:val="24"/>
          <w:szCs w:val="24"/>
        </w:rPr>
      </w:pPr>
      <w:r>
        <w:rPr>
          <w:sz w:val="24"/>
          <w:szCs w:val="24"/>
        </w:rPr>
        <w:t>Det er lægens ansvar at bestemme kompatibiliteten med lægemidler, der gives i tillæg til dette lægemiddel, ved at kontrollere for eventuelle farveændringer og/eller eventuel udfældning.</w:t>
      </w:r>
      <w:r>
        <w:rPr>
          <w:noProof/>
          <w:sz w:val="24"/>
          <w:szCs w:val="24"/>
        </w:rPr>
        <w:t xml:space="preserve"> </w:t>
      </w:r>
      <w:r>
        <w:rPr>
          <w:sz w:val="24"/>
          <w:szCs w:val="24"/>
        </w:rPr>
        <w:t>Før der gives anden medicin, skal det kontrolleres, om denne er opløselig i og stabil sammen med dette lægemiddel.</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6.3</w:t>
      </w:r>
      <w:r w:rsidRPr="00C84483">
        <w:rPr>
          <w:b/>
          <w:sz w:val="24"/>
          <w:szCs w:val="24"/>
        </w:rPr>
        <w:tab/>
        <w:t>Opbevaringstid</w:t>
      </w:r>
    </w:p>
    <w:p w:rsidR="000023F8" w:rsidRPr="009F49C7" w:rsidRDefault="000023F8" w:rsidP="000023F8">
      <w:pPr>
        <w:ind w:left="851"/>
        <w:rPr>
          <w:noProof/>
          <w:sz w:val="24"/>
          <w:szCs w:val="24"/>
        </w:rPr>
      </w:pPr>
      <w:r w:rsidRPr="009F49C7">
        <w:rPr>
          <w:sz w:val="24"/>
          <w:szCs w:val="24"/>
        </w:rPr>
        <w:t>18 måneder</w:t>
      </w:r>
      <w:r w:rsidRPr="009F49C7">
        <w:rPr>
          <w:noProof/>
          <w:sz w:val="24"/>
          <w:szCs w:val="24"/>
        </w:rPr>
        <w:t>,</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023F8" w:rsidRPr="009F49C7" w:rsidRDefault="000023F8" w:rsidP="000023F8">
      <w:pPr>
        <w:ind w:left="851"/>
        <w:rPr>
          <w:sz w:val="24"/>
          <w:szCs w:val="24"/>
        </w:rPr>
      </w:pPr>
      <w:r w:rsidRPr="009F49C7">
        <w:rPr>
          <w:sz w:val="24"/>
          <w:szCs w:val="24"/>
        </w:rPr>
        <w:t>Dette lægemiddel kræver ingen særlige forholdsregler vedrørende opbevaringen.</w:t>
      </w:r>
    </w:p>
    <w:p w:rsidR="000023F8" w:rsidRPr="009F49C7" w:rsidRDefault="000023F8" w:rsidP="000023F8">
      <w:pPr>
        <w:ind w:left="851"/>
        <w:rPr>
          <w:noProof/>
          <w:sz w:val="24"/>
          <w:szCs w:val="24"/>
        </w:rPr>
      </w:pPr>
    </w:p>
    <w:p w:rsidR="000023F8" w:rsidRPr="009F49C7" w:rsidRDefault="000023F8" w:rsidP="000023F8">
      <w:pPr>
        <w:ind w:left="851"/>
        <w:rPr>
          <w:noProof/>
          <w:sz w:val="24"/>
          <w:szCs w:val="24"/>
        </w:rPr>
      </w:pPr>
      <w:r w:rsidRPr="009F49C7">
        <w:rPr>
          <w:sz w:val="24"/>
          <w:szCs w:val="24"/>
        </w:rPr>
        <w:t>Må ikke nedfryses.</w:t>
      </w:r>
    </w:p>
    <w:p w:rsidR="000023F8" w:rsidRPr="009F49C7" w:rsidRDefault="000023F8" w:rsidP="000023F8">
      <w:pPr>
        <w:ind w:left="851"/>
        <w:rPr>
          <w:sz w:val="24"/>
          <w:szCs w:val="24"/>
        </w:rPr>
      </w:pPr>
      <w:r w:rsidRPr="009F49C7">
        <w:rPr>
          <w:sz w:val="24"/>
          <w:szCs w:val="24"/>
        </w:rPr>
        <w:tab/>
      </w:r>
    </w:p>
    <w:p w:rsidR="000023F8" w:rsidRPr="00C84483" w:rsidRDefault="000023F8" w:rsidP="000023F8">
      <w:pPr>
        <w:tabs>
          <w:tab w:val="left" w:pos="851"/>
        </w:tabs>
        <w:ind w:left="851" w:hanging="851"/>
        <w:rPr>
          <w:b/>
          <w:sz w:val="24"/>
          <w:szCs w:val="24"/>
        </w:rPr>
      </w:pPr>
      <w:r w:rsidRPr="00C84483">
        <w:rPr>
          <w:b/>
          <w:sz w:val="24"/>
          <w:szCs w:val="24"/>
        </w:rPr>
        <w:t>6.5</w:t>
      </w:r>
      <w:r w:rsidRPr="00C84483">
        <w:rPr>
          <w:b/>
          <w:sz w:val="24"/>
          <w:szCs w:val="24"/>
        </w:rPr>
        <w:tab/>
        <w:t>Emballagetype</w:t>
      </w:r>
      <w:r w:rsidR="001F22A5">
        <w:rPr>
          <w:b/>
          <w:sz w:val="24"/>
          <w:szCs w:val="24"/>
        </w:rPr>
        <w:t xml:space="preserve"> </w:t>
      </w:r>
      <w:r w:rsidRPr="00C84483">
        <w:rPr>
          <w:b/>
          <w:sz w:val="24"/>
          <w:szCs w:val="24"/>
        </w:rPr>
        <w:t>og pakningsstørrelser</w:t>
      </w:r>
    </w:p>
    <w:p w:rsidR="000023F8" w:rsidRPr="009F49C7" w:rsidRDefault="000023F8" w:rsidP="000023F8">
      <w:pPr>
        <w:ind w:left="851"/>
        <w:rPr>
          <w:noProof/>
          <w:sz w:val="24"/>
          <w:szCs w:val="24"/>
        </w:rPr>
      </w:pPr>
      <w:r>
        <w:rPr>
          <w:sz w:val="24"/>
          <w:szCs w:val="24"/>
        </w:rPr>
        <w:t>Beholderen er e</w:t>
      </w:r>
      <w:r w:rsidRPr="009F49C7">
        <w:rPr>
          <w:sz w:val="24"/>
          <w:szCs w:val="24"/>
        </w:rPr>
        <w:t xml:space="preserve">n et-kammerpose, der består af flerlaget film, som indeholder </w:t>
      </w:r>
      <w:proofErr w:type="spellStart"/>
      <w:r w:rsidRPr="009F49C7">
        <w:rPr>
          <w:sz w:val="24"/>
          <w:szCs w:val="24"/>
        </w:rPr>
        <w:t>polyolefiner</w:t>
      </w:r>
      <w:proofErr w:type="spellEnd"/>
      <w:r w:rsidRPr="009F49C7">
        <w:rPr>
          <w:sz w:val="24"/>
          <w:szCs w:val="24"/>
        </w:rPr>
        <w:t xml:space="preserve"> og elastomerer.</w:t>
      </w:r>
      <w:r w:rsidRPr="009F49C7">
        <w:rPr>
          <w:noProof/>
          <w:sz w:val="24"/>
          <w:szCs w:val="24"/>
        </w:rPr>
        <w:t xml:space="preserve"> </w:t>
      </w:r>
      <w:r w:rsidRPr="009F49C7">
        <w:rPr>
          <w:sz w:val="24"/>
          <w:szCs w:val="24"/>
        </w:rPr>
        <w:t xml:space="preserve">Posen </w:t>
      </w:r>
      <w:r>
        <w:rPr>
          <w:sz w:val="24"/>
          <w:szCs w:val="24"/>
        </w:rPr>
        <w:t>har</w:t>
      </w:r>
      <w:r w:rsidRPr="009F49C7">
        <w:rPr>
          <w:sz w:val="24"/>
          <w:szCs w:val="24"/>
        </w:rPr>
        <w:t xml:space="preserve"> en </w:t>
      </w:r>
      <w:proofErr w:type="spellStart"/>
      <w:r w:rsidRPr="009F49C7">
        <w:rPr>
          <w:sz w:val="24"/>
          <w:szCs w:val="24"/>
        </w:rPr>
        <w:t>injektionskonnektor</w:t>
      </w:r>
      <w:proofErr w:type="spellEnd"/>
      <w:r w:rsidRPr="009F49C7">
        <w:rPr>
          <w:sz w:val="24"/>
          <w:szCs w:val="24"/>
        </w:rPr>
        <w:t xml:space="preserve"> (eller </w:t>
      </w:r>
      <w:proofErr w:type="spellStart"/>
      <w:r w:rsidRPr="009F49C7">
        <w:rPr>
          <w:sz w:val="24"/>
          <w:szCs w:val="24"/>
        </w:rPr>
        <w:t>spydkonnektor</w:t>
      </w:r>
      <w:proofErr w:type="spellEnd"/>
      <w:r w:rsidRPr="009F49C7">
        <w:rPr>
          <w:sz w:val="24"/>
          <w:szCs w:val="24"/>
        </w:rPr>
        <w:t>) og en luer-</w:t>
      </w:r>
      <w:proofErr w:type="spellStart"/>
      <w:r w:rsidRPr="009F49C7">
        <w:rPr>
          <w:sz w:val="24"/>
          <w:szCs w:val="24"/>
        </w:rPr>
        <w:t>konnektor</w:t>
      </w:r>
      <w:proofErr w:type="spellEnd"/>
      <w:r w:rsidRPr="009F49C7">
        <w:rPr>
          <w:sz w:val="24"/>
          <w:szCs w:val="24"/>
        </w:rPr>
        <w:t xml:space="preserve"> til sammenkobling med en passende </w:t>
      </w:r>
      <w:proofErr w:type="spellStart"/>
      <w:r w:rsidRPr="009F49C7">
        <w:rPr>
          <w:sz w:val="24"/>
          <w:szCs w:val="24"/>
        </w:rPr>
        <w:t>hæmofiltreringsvæskeslange</w:t>
      </w:r>
      <w:proofErr w:type="spellEnd"/>
      <w:r w:rsidRPr="009F49C7">
        <w:rPr>
          <w:sz w:val="24"/>
          <w:szCs w:val="24"/>
        </w:rPr>
        <w:t xml:space="preserve"> eller præ-blodpumpeslange.</w:t>
      </w:r>
    </w:p>
    <w:p w:rsidR="000023F8" w:rsidRDefault="000023F8" w:rsidP="000023F8">
      <w:pPr>
        <w:ind w:left="851"/>
        <w:rPr>
          <w:noProof/>
          <w:sz w:val="24"/>
          <w:szCs w:val="24"/>
        </w:rPr>
      </w:pPr>
      <w:r>
        <w:rPr>
          <w:sz w:val="24"/>
          <w:szCs w:val="24"/>
        </w:rPr>
        <w:t>Posen indeholder 5000 ml væske, og udenpå er posen beklædt med en gennemsigtig yderpose fremstillet af polymerfilm.</w:t>
      </w:r>
    </w:p>
    <w:p w:rsidR="000023F8" w:rsidRDefault="000023F8" w:rsidP="000023F8">
      <w:pPr>
        <w:ind w:left="851"/>
        <w:rPr>
          <w:noProof/>
          <w:sz w:val="24"/>
          <w:szCs w:val="24"/>
        </w:rPr>
      </w:pPr>
      <w:r>
        <w:rPr>
          <w:sz w:val="24"/>
          <w:szCs w:val="24"/>
        </w:rPr>
        <w:t>Hver karton indeholder to poser og en indlægsseddel.</w:t>
      </w:r>
    </w:p>
    <w:p w:rsidR="000023F8" w:rsidRDefault="000023F8" w:rsidP="000023F8">
      <w:pPr>
        <w:ind w:left="851"/>
        <w:rPr>
          <w:sz w:val="24"/>
          <w:szCs w:val="24"/>
        </w:rPr>
      </w:pPr>
    </w:p>
    <w:p w:rsidR="000023F8" w:rsidRDefault="000023F8" w:rsidP="000023F8">
      <w:pPr>
        <w:ind w:left="851"/>
        <w:rPr>
          <w:sz w:val="24"/>
          <w:szCs w:val="24"/>
        </w:rPr>
      </w:pPr>
      <w:r>
        <w:rPr>
          <w:sz w:val="24"/>
          <w:szCs w:val="24"/>
        </w:rPr>
        <w:t>Pakningsstørrelser: 2 x 5000 ml i en karton.</w:t>
      </w:r>
    </w:p>
    <w:p w:rsidR="000023F8" w:rsidRDefault="000023F8" w:rsidP="000023F8">
      <w:pPr>
        <w:ind w:left="851"/>
        <w:rPr>
          <w:sz w:val="24"/>
          <w:szCs w:val="24"/>
        </w:rPr>
      </w:pPr>
      <w:r>
        <w:rPr>
          <w:sz w:val="24"/>
          <w:szCs w:val="24"/>
        </w:rPr>
        <w:t>Ikke alle pakningsstørrelser er nødvendigvis markedsført.</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1F22A5">
        <w:rPr>
          <w:b/>
          <w:sz w:val="24"/>
          <w:szCs w:val="24"/>
        </w:rPr>
        <w:t>bortskaffelse</w:t>
      </w:r>
      <w:r w:rsidRPr="00C84483">
        <w:rPr>
          <w:b/>
          <w:sz w:val="24"/>
          <w:szCs w:val="24"/>
        </w:rPr>
        <w:t xml:space="preserve"> og anden håndtering</w:t>
      </w:r>
    </w:p>
    <w:p w:rsidR="000023F8" w:rsidRDefault="000023F8" w:rsidP="000023F8">
      <w:pPr>
        <w:ind w:left="851"/>
        <w:rPr>
          <w:sz w:val="24"/>
          <w:szCs w:val="24"/>
        </w:rPr>
      </w:pPr>
    </w:p>
    <w:p w:rsidR="000023F8" w:rsidRPr="009F49C7" w:rsidRDefault="000023F8" w:rsidP="000023F8">
      <w:pPr>
        <w:ind w:left="851"/>
        <w:rPr>
          <w:noProof/>
          <w:sz w:val="24"/>
          <w:szCs w:val="24"/>
        </w:rPr>
      </w:pPr>
      <w:r w:rsidRPr="009F49C7">
        <w:rPr>
          <w:sz w:val="24"/>
          <w:szCs w:val="24"/>
        </w:rPr>
        <w:t>Væsken kan bortskaffes via afløbet uden at skade miljøet.</w:t>
      </w:r>
      <w:r w:rsidRPr="009F49C7">
        <w:rPr>
          <w:noProof/>
          <w:sz w:val="24"/>
          <w:szCs w:val="24"/>
        </w:rPr>
        <w:t xml:space="preserve"> </w:t>
      </w:r>
    </w:p>
    <w:p w:rsidR="000023F8" w:rsidRPr="009F49C7" w:rsidRDefault="000023F8" w:rsidP="000023F8">
      <w:pPr>
        <w:ind w:left="851"/>
        <w:rPr>
          <w:noProof/>
          <w:sz w:val="24"/>
          <w:szCs w:val="24"/>
        </w:rPr>
      </w:pPr>
    </w:p>
    <w:p w:rsidR="000023F8" w:rsidRDefault="000023F8" w:rsidP="000023F8">
      <w:pPr>
        <w:ind w:left="851"/>
        <w:rPr>
          <w:sz w:val="24"/>
          <w:szCs w:val="24"/>
          <w:u w:val="single"/>
        </w:rPr>
      </w:pPr>
      <w:r>
        <w:rPr>
          <w:sz w:val="24"/>
          <w:szCs w:val="24"/>
          <w:u w:val="single"/>
        </w:rPr>
        <w:t>Denne brugervejledning skal følges:</w:t>
      </w:r>
    </w:p>
    <w:p w:rsidR="000023F8" w:rsidRDefault="000023F8" w:rsidP="000023F8">
      <w:pPr>
        <w:ind w:left="851"/>
        <w:rPr>
          <w:noProof/>
          <w:sz w:val="24"/>
          <w:szCs w:val="24"/>
        </w:rPr>
      </w:pPr>
      <w:r>
        <w:rPr>
          <w:sz w:val="24"/>
          <w:szCs w:val="24"/>
        </w:rPr>
        <w:t>Der bør anvendes aseptisk teknik under håndtering og indgivelse til patienten.</w:t>
      </w:r>
      <w:r>
        <w:rPr>
          <w:noProof/>
          <w:sz w:val="24"/>
          <w:szCs w:val="24"/>
        </w:rPr>
        <w:t xml:space="preserve"> </w:t>
      </w:r>
      <w:r>
        <w:rPr>
          <w:sz w:val="24"/>
          <w:szCs w:val="24"/>
        </w:rPr>
        <w:t>Fjern yderposen fra posen umiddelbart før brug.</w:t>
      </w:r>
      <w:r>
        <w:rPr>
          <w:noProof/>
          <w:sz w:val="24"/>
          <w:szCs w:val="24"/>
        </w:rPr>
        <w:t xml:space="preserve"> Må kun anvendes, hvis yderposen er ubeskadiget, alle forseglingerne er intakte, og væsken er klar. Undersøg for utætheder ved </w:t>
      </w:r>
      <w:r>
        <w:rPr>
          <w:noProof/>
          <w:sz w:val="24"/>
          <w:szCs w:val="24"/>
        </w:rPr>
        <w:lastRenderedPageBreak/>
        <w:t xml:space="preserve">at klemme fast på posen. Hvis der er utætheder, kasseres væsken straks, da sterilitet ikke længere kan garanteres. </w:t>
      </w:r>
      <w:r>
        <w:rPr>
          <w:sz w:val="24"/>
          <w:szCs w:val="24"/>
        </w:rPr>
        <w:t>Væsken skal bruges straks efter åbning for at undgå mikrobiologisk kontaminering.</w:t>
      </w:r>
    </w:p>
    <w:p w:rsidR="000023F8" w:rsidRPr="009F49C7" w:rsidRDefault="000023F8" w:rsidP="000023F8">
      <w:pPr>
        <w:ind w:left="851"/>
        <w:rPr>
          <w:i/>
          <w:noProof/>
          <w:sz w:val="24"/>
          <w:szCs w:val="24"/>
        </w:rPr>
      </w:pPr>
    </w:p>
    <w:p w:rsidR="000023F8" w:rsidRPr="009F49C7" w:rsidRDefault="000023F8" w:rsidP="000023F8">
      <w:pPr>
        <w:ind w:left="851"/>
        <w:rPr>
          <w:sz w:val="24"/>
          <w:szCs w:val="24"/>
          <w:lang w:eastAsia="sv-SE"/>
        </w:rPr>
      </w:pPr>
      <w:r w:rsidRPr="009F49C7">
        <w:rPr>
          <w:sz w:val="24"/>
          <w:szCs w:val="24"/>
        </w:rPr>
        <w:t>I. Hvis luer-</w:t>
      </w:r>
      <w:proofErr w:type="spellStart"/>
      <w:r w:rsidRPr="009F49C7">
        <w:rPr>
          <w:sz w:val="24"/>
          <w:szCs w:val="24"/>
        </w:rPr>
        <w:t>konnektoren</w:t>
      </w:r>
      <w:proofErr w:type="spellEnd"/>
      <w:r w:rsidRPr="009F49C7">
        <w:rPr>
          <w:sz w:val="24"/>
          <w:szCs w:val="24"/>
        </w:rPr>
        <w:t xml:space="preserve"> anvendes, fjernes hætten ved at dreje og trække. Slut herefter luer-hanlåsen på præ-blodpumpeslangen til luer-</w:t>
      </w:r>
      <w:proofErr w:type="spellStart"/>
      <w:r w:rsidRPr="009F49C7">
        <w:rPr>
          <w:sz w:val="24"/>
          <w:szCs w:val="24"/>
        </w:rPr>
        <w:t>hunkonnektoren</w:t>
      </w:r>
      <w:proofErr w:type="spellEnd"/>
      <w:r w:rsidRPr="009F49C7">
        <w:rPr>
          <w:sz w:val="24"/>
          <w:szCs w:val="24"/>
        </w:rPr>
        <w:t xml:space="preserve"> på posen ved at trykke og dreje.</w:t>
      </w:r>
      <w:r w:rsidRPr="009F49C7">
        <w:rPr>
          <w:sz w:val="24"/>
          <w:szCs w:val="24"/>
          <w:lang w:eastAsia="sv-SE"/>
        </w:rPr>
        <w:t xml:space="preserve"> </w:t>
      </w:r>
      <w:r w:rsidRPr="009F49C7">
        <w:rPr>
          <w:sz w:val="24"/>
          <w:szCs w:val="24"/>
        </w:rPr>
        <w:t xml:space="preserve">Kontrollér, at forbindelsen er tæt, og stram til. </w:t>
      </w:r>
      <w:proofErr w:type="spellStart"/>
      <w:r w:rsidRPr="009F49C7">
        <w:rPr>
          <w:sz w:val="24"/>
          <w:szCs w:val="24"/>
        </w:rPr>
        <w:t>Konnektoren</w:t>
      </w:r>
      <w:proofErr w:type="spellEnd"/>
      <w:r w:rsidRPr="009F49C7">
        <w:rPr>
          <w:sz w:val="24"/>
          <w:szCs w:val="24"/>
        </w:rPr>
        <w:t xml:space="preserve"> er nu åben. Kontrollér, at væsken strømmer frit.</w:t>
      </w:r>
      <w:r w:rsidRPr="009F49C7">
        <w:rPr>
          <w:sz w:val="24"/>
          <w:szCs w:val="24"/>
          <w:lang w:eastAsia="sv-SE"/>
        </w:rPr>
        <w:t xml:space="preserve"> </w:t>
      </w:r>
      <w:r w:rsidRPr="009F49C7">
        <w:rPr>
          <w:sz w:val="24"/>
          <w:szCs w:val="24"/>
        </w:rPr>
        <w:t>Når præ-blodpumpeslangen kobles fra luer-</w:t>
      </w:r>
      <w:proofErr w:type="spellStart"/>
      <w:r w:rsidRPr="009F49C7">
        <w:rPr>
          <w:sz w:val="24"/>
          <w:szCs w:val="24"/>
        </w:rPr>
        <w:t>konnektoren</w:t>
      </w:r>
      <w:proofErr w:type="spellEnd"/>
      <w:r w:rsidRPr="009F49C7">
        <w:rPr>
          <w:sz w:val="24"/>
          <w:szCs w:val="24"/>
        </w:rPr>
        <w:t>, lukkes denne, og væsken strømmer ikke mere. Luer-porten er nålefri og kan aftørres.</w:t>
      </w:r>
    </w:p>
    <w:p w:rsidR="000023F8" w:rsidRPr="009F49C7" w:rsidRDefault="000023F8" w:rsidP="000023F8">
      <w:pPr>
        <w:ind w:left="851"/>
        <w:rPr>
          <w:sz w:val="24"/>
          <w:szCs w:val="24"/>
          <w:lang w:eastAsia="sv-SE"/>
        </w:rPr>
      </w:pPr>
    </w:p>
    <w:p w:rsidR="000023F8" w:rsidRPr="009F49C7" w:rsidRDefault="000023F8" w:rsidP="000023F8">
      <w:pPr>
        <w:ind w:left="851"/>
        <w:rPr>
          <w:sz w:val="24"/>
          <w:szCs w:val="24"/>
          <w:lang w:eastAsia="sv-SE"/>
        </w:rPr>
      </w:pPr>
      <w:r w:rsidRPr="009F49C7">
        <w:rPr>
          <w:sz w:val="24"/>
          <w:szCs w:val="24"/>
        </w:rPr>
        <w:t>II.</w:t>
      </w:r>
      <w:r w:rsidRPr="009F49C7">
        <w:rPr>
          <w:sz w:val="24"/>
          <w:szCs w:val="24"/>
          <w:lang w:eastAsia="sv-SE"/>
        </w:rPr>
        <w:t xml:space="preserve"> </w:t>
      </w:r>
      <w:r w:rsidRPr="009F49C7">
        <w:rPr>
          <w:sz w:val="24"/>
          <w:szCs w:val="24"/>
        </w:rPr>
        <w:t xml:space="preserve">Hvis </w:t>
      </w:r>
      <w:proofErr w:type="spellStart"/>
      <w:r w:rsidRPr="009F49C7">
        <w:rPr>
          <w:sz w:val="24"/>
          <w:szCs w:val="24"/>
        </w:rPr>
        <w:t>injektionskonnektoren</w:t>
      </w:r>
      <w:proofErr w:type="spellEnd"/>
      <w:r w:rsidRPr="009F49C7">
        <w:rPr>
          <w:sz w:val="24"/>
          <w:szCs w:val="24"/>
        </w:rPr>
        <w:t xml:space="preserve"> (eller </w:t>
      </w:r>
      <w:proofErr w:type="spellStart"/>
      <w:r w:rsidRPr="009F49C7">
        <w:rPr>
          <w:sz w:val="24"/>
          <w:szCs w:val="24"/>
        </w:rPr>
        <w:t>spydkonnektoren</w:t>
      </w:r>
      <w:proofErr w:type="spellEnd"/>
      <w:r w:rsidRPr="009F49C7">
        <w:rPr>
          <w:sz w:val="24"/>
          <w:szCs w:val="24"/>
        </w:rPr>
        <w:t>) anvendes, skal snap-</w:t>
      </w:r>
      <w:proofErr w:type="spellStart"/>
      <w:r w:rsidRPr="009F49C7">
        <w:rPr>
          <w:sz w:val="24"/>
          <w:szCs w:val="24"/>
        </w:rPr>
        <w:t>off</w:t>
      </w:r>
      <w:proofErr w:type="spellEnd"/>
      <w:r w:rsidRPr="009F49C7">
        <w:rPr>
          <w:sz w:val="24"/>
          <w:szCs w:val="24"/>
        </w:rPr>
        <w:t>-hætten først fjernes.</w:t>
      </w:r>
      <w:r w:rsidRPr="009F49C7">
        <w:rPr>
          <w:sz w:val="24"/>
          <w:szCs w:val="24"/>
          <w:lang w:eastAsia="sv-SE"/>
        </w:rPr>
        <w:t xml:space="preserve"> </w:t>
      </w:r>
      <w:proofErr w:type="spellStart"/>
      <w:r w:rsidR="00B12B6E">
        <w:t>Injektionskonnektoren</w:t>
      </w:r>
      <w:proofErr w:type="spellEnd"/>
      <w:r w:rsidR="00B12B6E">
        <w:t xml:space="preserve"> kan aftørres. </w:t>
      </w:r>
      <w:r w:rsidRPr="009F49C7">
        <w:rPr>
          <w:sz w:val="24"/>
          <w:szCs w:val="24"/>
        </w:rPr>
        <w:t>Derefter føres spyddet gennem gummimembranen.</w:t>
      </w:r>
      <w:r w:rsidRPr="009F49C7">
        <w:rPr>
          <w:sz w:val="24"/>
          <w:szCs w:val="24"/>
          <w:lang w:eastAsia="sv-SE"/>
        </w:rPr>
        <w:t xml:space="preserve"> </w:t>
      </w:r>
      <w:r w:rsidRPr="009F49C7">
        <w:rPr>
          <w:sz w:val="24"/>
          <w:szCs w:val="24"/>
        </w:rPr>
        <w:t>Kontrollér, at væsken strømmer frit.</w:t>
      </w:r>
    </w:p>
    <w:p w:rsidR="000023F8" w:rsidRDefault="000023F8" w:rsidP="000023F8">
      <w:pPr>
        <w:tabs>
          <w:tab w:val="left" w:pos="851"/>
        </w:tabs>
        <w:jc w:val="both"/>
        <w:rPr>
          <w:sz w:val="24"/>
          <w:szCs w:val="24"/>
        </w:rPr>
      </w:pPr>
    </w:p>
    <w:p w:rsidR="000023F8" w:rsidRDefault="000023F8" w:rsidP="000023F8">
      <w:pPr>
        <w:ind w:left="851"/>
        <w:rPr>
          <w:sz w:val="24"/>
          <w:szCs w:val="24"/>
        </w:rPr>
      </w:pPr>
      <w:r>
        <w:rPr>
          <w:sz w:val="24"/>
          <w:szCs w:val="24"/>
        </w:rPr>
        <w:t xml:space="preserve">Inden tilsætning af et stof eller lægemiddel skal det kontrolleres, om additivet er opløseligt og stabilt i </w:t>
      </w:r>
      <w:proofErr w:type="spellStart"/>
      <w:r>
        <w:rPr>
          <w:sz w:val="24"/>
          <w:szCs w:val="24"/>
        </w:rPr>
        <w:t>Regiocit</w:t>
      </w:r>
      <w:proofErr w:type="spellEnd"/>
      <w:r>
        <w:rPr>
          <w:sz w:val="24"/>
          <w:szCs w:val="24"/>
        </w:rPr>
        <w:t xml:space="preserve">, og at pH-intervallet er passende. Additiver, der vides at være uforligelige, bør ikke tilsættes. Indlægssedlen for det tilsatte lægemiddel og anden relevant litteratur skal konsulteres. Hvis der efter tilsætningen sker en farveændring og/eller der fremkommer bundfald, uopløselige komplekser eller krystaller, må væsken ikke anvendes. Bland væsken grundigt, når additiver er blevet tilsat. Tilsætning af og blanding med additiver skal altid ske før tilslutning af posen med væske til det </w:t>
      </w:r>
      <w:proofErr w:type="spellStart"/>
      <w:r>
        <w:rPr>
          <w:sz w:val="24"/>
          <w:szCs w:val="24"/>
        </w:rPr>
        <w:t>ekstrakorporale</w:t>
      </w:r>
      <w:proofErr w:type="spellEnd"/>
      <w:r>
        <w:rPr>
          <w:sz w:val="24"/>
          <w:szCs w:val="24"/>
        </w:rPr>
        <w:t xml:space="preserve"> kredsløb.</w:t>
      </w:r>
    </w:p>
    <w:p w:rsidR="000023F8" w:rsidRDefault="000023F8" w:rsidP="000023F8">
      <w:pPr>
        <w:ind w:left="851"/>
        <w:rPr>
          <w:sz w:val="24"/>
          <w:szCs w:val="24"/>
        </w:rPr>
      </w:pPr>
      <w:r>
        <w:rPr>
          <w:sz w:val="24"/>
          <w:szCs w:val="24"/>
        </w:rPr>
        <w:t>Væsken er kun til engangsbrug. Ubrugt væske skal kasseres.</w:t>
      </w:r>
    </w:p>
    <w:p w:rsidR="000023F8" w:rsidRPr="00C84483" w:rsidRDefault="000023F8" w:rsidP="000023F8">
      <w:pPr>
        <w:tabs>
          <w:tab w:val="left" w:pos="851"/>
        </w:tabs>
        <w:jc w:val="both"/>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27B32" w:rsidRPr="00AB5CBE" w:rsidRDefault="00D27B32" w:rsidP="00D27B32">
      <w:pPr>
        <w:tabs>
          <w:tab w:val="left" w:pos="851"/>
        </w:tabs>
        <w:ind w:left="851"/>
        <w:rPr>
          <w:sz w:val="24"/>
          <w:szCs w:val="24"/>
          <w:lang w:val="en-US"/>
        </w:rPr>
      </w:pPr>
      <w:proofErr w:type="spellStart"/>
      <w:r w:rsidRPr="00AB5CBE">
        <w:rPr>
          <w:sz w:val="24"/>
          <w:szCs w:val="24"/>
          <w:lang w:val="en-US"/>
        </w:rPr>
        <w:t>Vantive</w:t>
      </w:r>
      <w:proofErr w:type="spellEnd"/>
      <w:r w:rsidRPr="00AB5CBE">
        <w:rPr>
          <w:sz w:val="24"/>
          <w:szCs w:val="24"/>
          <w:lang w:val="en-US"/>
        </w:rPr>
        <w:t xml:space="preserve"> Belgium SRL</w:t>
      </w:r>
    </w:p>
    <w:p w:rsidR="00D27B32" w:rsidRPr="00AB5CBE" w:rsidRDefault="00D27B32" w:rsidP="00D27B32">
      <w:pPr>
        <w:tabs>
          <w:tab w:val="left" w:pos="851"/>
        </w:tabs>
        <w:ind w:left="851"/>
        <w:rPr>
          <w:sz w:val="24"/>
          <w:szCs w:val="24"/>
          <w:lang w:val="en-US"/>
        </w:rPr>
      </w:pPr>
      <w:r w:rsidRPr="00AB5CBE">
        <w:rPr>
          <w:sz w:val="24"/>
          <w:szCs w:val="24"/>
          <w:lang w:val="en-US"/>
        </w:rPr>
        <w:t xml:space="preserve">Boulevard </w:t>
      </w:r>
      <w:proofErr w:type="spellStart"/>
      <w:r w:rsidRPr="00AB5CBE">
        <w:rPr>
          <w:sz w:val="24"/>
          <w:szCs w:val="24"/>
          <w:lang w:val="en-US"/>
        </w:rPr>
        <w:t>d'Angleterre</w:t>
      </w:r>
      <w:proofErr w:type="spellEnd"/>
      <w:r w:rsidRPr="00AB5CBE">
        <w:rPr>
          <w:sz w:val="24"/>
          <w:szCs w:val="24"/>
          <w:lang w:val="en-US"/>
        </w:rPr>
        <w:t>, 2</w:t>
      </w:r>
    </w:p>
    <w:p w:rsidR="00D27B32" w:rsidRPr="00AB5CBE" w:rsidRDefault="00D27B32" w:rsidP="00D27B32">
      <w:pPr>
        <w:tabs>
          <w:tab w:val="left" w:pos="851"/>
        </w:tabs>
        <w:ind w:left="851"/>
        <w:rPr>
          <w:sz w:val="24"/>
          <w:szCs w:val="24"/>
        </w:rPr>
      </w:pPr>
      <w:r w:rsidRPr="00AB5CBE">
        <w:rPr>
          <w:sz w:val="24"/>
          <w:szCs w:val="24"/>
        </w:rPr>
        <w:t xml:space="preserve">1420 </w:t>
      </w:r>
      <w:proofErr w:type="spellStart"/>
      <w:r w:rsidRPr="00AB5CBE">
        <w:rPr>
          <w:sz w:val="24"/>
          <w:szCs w:val="24"/>
        </w:rPr>
        <w:t>Braine-l'Alleud</w:t>
      </w:r>
      <w:proofErr w:type="spellEnd"/>
    </w:p>
    <w:p w:rsidR="000023F8" w:rsidRPr="00F33C5C" w:rsidRDefault="00D27B32" w:rsidP="00D27B32">
      <w:pPr>
        <w:numPr>
          <w:ilvl w:val="12"/>
          <w:numId w:val="0"/>
        </w:numPr>
        <w:tabs>
          <w:tab w:val="left" w:pos="851"/>
        </w:tabs>
        <w:ind w:left="851" w:right="-2"/>
        <w:rPr>
          <w:sz w:val="24"/>
          <w:szCs w:val="24"/>
          <w:lang w:val="en-US"/>
        </w:rPr>
      </w:pPr>
      <w:r w:rsidRPr="00AB5CBE">
        <w:rPr>
          <w:sz w:val="24"/>
          <w:szCs w:val="24"/>
        </w:rPr>
        <w:t xml:space="preserve">Belgien  </w:t>
      </w:r>
    </w:p>
    <w:p w:rsidR="000023F8" w:rsidRPr="00F33C5C" w:rsidRDefault="000023F8" w:rsidP="000023F8">
      <w:pPr>
        <w:numPr>
          <w:ilvl w:val="12"/>
          <w:numId w:val="0"/>
        </w:numPr>
        <w:tabs>
          <w:tab w:val="left" w:pos="851"/>
        </w:tabs>
        <w:ind w:left="851" w:right="-2"/>
        <w:rPr>
          <w:sz w:val="24"/>
          <w:szCs w:val="24"/>
          <w:lang w:val="en-US"/>
        </w:rPr>
      </w:pPr>
    </w:p>
    <w:p w:rsidR="000023F8" w:rsidRPr="00F33C5C" w:rsidRDefault="000023F8" w:rsidP="000023F8">
      <w:pPr>
        <w:numPr>
          <w:ilvl w:val="12"/>
          <w:numId w:val="0"/>
        </w:numPr>
        <w:tabs>
          <w:tab w:val="left" w:pos="851"/>
        </w:tabs>
        <w:ind w:left="851" w:right="-2"/>
        <w:rPr>
          <w:b/>
          <w:sz w:val="24"/>
          <w:szCs w:val="24"/>
          <w:lang w:val="en-US"/>
        </w:rPr>
      </w:pPr>
      <w:r w:rsidRPr="00F33C5C">
        <w:rPr>
          <w:b/>
          <w:noProof/>
          <w:sz w:val="24"/>
          <w:szCs w:val="24"/>
          <w:lang w:val="en-US"/>
        </w:rPr>
        <w:t>Repræsentant</w:t>
      </w:r>
    </w:p>
    <w:p w:rsidR="00D27B32" w:rsidRDefault="00D27B32" w:rsidP="00D27B32">
      <w:pPr>
        <w:tabs>
          <w:tab w:val="left" w:pos="851"/>
        </w:tabs>
        <w:ind w:left="851"/>
        <w:rPr>
          <w:sz w:val="24"/>
          <w:szCs w:val="24"/>
          <w:lang w:val="en-US"/>
        </w:rPr>
      </w:pPr>
      <w:proofErr w:type="spellStart"/>
      <w:r w:rsidRPr="00AB5CBE">
        <w:rPr>
          <w:sz w:val="24"/>
          <w:szCs w:val="24"/>
          <w:lang w:val="en-US"/>
        </w:rPr>
        <w:t>Vantive</w:t>
      </w:r>
      <w:proofErr w:type="spellEnd"/>
      <w:r w:rsidRPr="00AB5CBE">
        <w:rPr>
          <w:sz w:val="24"/>
          <w:szCs w:val="24"/>
          <w:lang w:val="en-US"/>
        </w:rPr>
        <w:t xml:space="preserve"> </w:t>
      </w:r>
      <w:proofErr w:type="spellStart"/>
      <w:r w:rsidRPr="00AB5CBE">
        <w:rPr>
          <w:sz w:val="24"/>
          <w:szCs w:val="24"/>
          <w:lang w:val="en-US"/>
        </w:rPr>
        <w:t>ApS</w:t>
      </w:r>
      <w:proofErr w:type="spellEnd"/>
    </w:p>
    <w:p w:rsidR="000023F8" w:rsidRPr="00327A71" w:rsidRDefault="000023F8" w:rsidP="000023F8">
      <w:pPr>
        <w:tabs>
          <w:tab w:val="left" w:pos="851"/>
        </w:tabs>
        <w:autoSpaceDE w:val="0"/>
        <w:autoSpaceDN w:val="0"/>
        <w:adjustRightInd w:val="0"/>
        <w:ind w:left="851"/>
        <w:rPr>
          <w:sz w:val="24"/>
          <w:szCs w:val="24"/>
        </w:rPr>
      </w:pPr>
      <w:r w:rsidRPr="00327A71">
        <w:rPr>
          <w:sz w:val="24"/>
          <w:szCs w:val="24"/>
        </w:rPr>
        <w:t>Tobaksvejen 2</w:t>
      </w:r>
      <w:r w:rsidR="001F22A5">
        <w:rPr>
          <w:sz w:val="24"/>
          <w:szCs w:val="24"/>
        </w:rPr>
        <w:t>3</w:t>
      </w:r>
      <w:r w:rsidRPr="00327A71">
        <w:rPr>
          <w:sz w:val="24"/>
          <w:szCs w:val="24"/>
        </w:rPr>
        <w:t>A</w:t>
      </w:r>
    </w:p>
    <w:p w:rsidR="000023F8" w:rsidRPr="00327A71" w:rsidRDefault="000023F8" w:rsidP="000023F8">
      <w:pPr>
        <w:tabs>
          <w:tab w:val="left" w:pos="851"/>
        </w:tabs>
        <w:autoSpaceDE w:val="0"/>
        <w:autoSpaceDN w:val="0"/>
        <w:adjustRightInd w:val="0"/>
        <w:ind w:left="851"/>
        <w:rPr>
          <w:sz w:val="24"/>
          <w:szCs w:val="24"/>
        </w:rPr>
      </w:pPr>
      <w:r w:rsidRPr="00327A71">
        <w:rPr>
          <w:sz w:val="24"/>
          <w:szCs w:val="24"/>
        </w:rPr>
        <w:t>2860 Søborg</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1F22A5">
        <w:rPr>
          <w:b/>
          <w:sz w:val="24"/>
          <w:szCs w:val="24"/>
        </w:rPr>
        <w:t>-</w:t>
      </w:r>
      <w:r w:rsidRPr="00C84483">
        <w:rPr>
          <w:b/>
          <w:sz w:val="24"/>
          <w:szCs w:val="24"/>
        </w:rPr>
        <w:t>NUMRE)</w:t>
      </w:r>
    </w:p>
    <w:p w:rsidR="000023F8" w:rsidRPr="00C84483" w:rsidRDefault="000023F8" w:rsidP="000023F8">
      <w:pPr>
        <w:tabs>
          <w:tab w:val="left" w:pos="851"/>
        </w:tabs>
        <w:ind w:left="851" w:hanging="851"/>
        <w:rPr>
          <w:sz w:val="24"/>
          <w:szCs w:val="24"/>
        </w:rPr>
      </w:pPr>
      <w:r w:rsidRPr="00C84483">
        <w:rPr>
          <w:sz w:val="24"/>
          <w:szCs w:val="24"/>
        </w:rPr>
        <w:tab/>
      </w:r>
      <w:r>
        <w:rPr>
          <w:sz w:val="24"/>
          <w:szCs w:val="24"/>
        </w:rPr>
        <w:t>52999</w:t>
      </w:r>
    </w:p>
    <w:p w:rsidR="000023F8" w:rsidRPr="00C84483" w:rsidRDefault="000023F8" w:rsidP="000023F8">
      <w:pPr>
        <w:tabs>
          <w:tab w:val="left" w:pos="851"/>
        </w:tabs>
        <w:jc w:val="both"/>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023F8" w:rsidRPr="00C84483" w:rsidRDefault="000023F8" w:rsidP="000023F8">
      <w:pPr>
        <w:tabs>
          <w:tab w:val="left" w:pos="851"/>
        </w:tabs>
        <w:rPr>
          <w:sz w:val="24"/>
          <w:szCs w:val="24"/>
        </w:rPr>
      </w:pPr>
      <w:r w:rsidRPr="00C84483">
        <w:rPr>
          <w:sz w:val="24"/>
          <w:szCs w:val="24"/>
        </w:rPr>
        <w:tab/>
      </w:r>
      <w:r>
        <w:rPr>
          <w:sz w:val="24"/>
          <w:szCs w:val="24"/>
        </w:rPr>
        <w:t>11. november 2014</w:t>
      </w:r>
    </w:p>
    <w:p w:rsidR="000023F8" w:rsidRPr="00C84483" w:rsidRDefault="000023F8" w:rsidP="000023F8">
      <w:pPr>
        <w:tabs>
          <w:tab w:val="left" w:pos="851"/>
        </w:tabs>
        <w:rPr>
          <w:sz w:val="24"/>
          <w:szCs w:val="24"/>
        </w:rPr>
      </w:pPr>
    </w:p>
    <w:p w:rsidR="000023F8" w:rsidRPr="00C84483" w:rsidRDefault="000023F8" w:rsidP="000023F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023F8" w:rsidRPr="00222D13" w:rsidRDefault="000023F8" w:rsidP="000023F8">
      <w:pPr>
        <w:tabs>
          <w:tab w:val="left" w:pos="851"/>
        </w:tabs>
        <w:rPr>
          <w:sz w:val="24"/>
          <w:szCs w:val="24"/>
        </w:rPr>
      </w:pPr>
      <w:r w:rsidRPr="00222D13">
        <w:rPr>
          <w:sz w:val="24"/>
          <w:szCs w:val="24"/>
        </w:rPr>
        <w:tab/>
      </w:r>
      <w:r w:rsidR="00D27B32">
        <w:rPr>
          <w:sz w:val="24"/>
          <w:szCs w:val="24"/>
        </w:rPr>
        <w:t>23. maj 2024</w:t>
      </w:r>
    </w:p>
    <w:p w:rsidR="000023F8" w:rsidRPr="008E01B5" w:rsidRDefault="000023F8" w:rsidP="000023F8"/>
    <w:p w:rsidR="000023F8" w:rsidRPr="00D25AC0" w:rsidRDefault="000023F8" w:rsidP="000023F8"/>
    <w:p w:rsidR="009260DE" w:rsidRPr="000023F8" w:rsidRDefault="009260DE" w:rsidP="000023F8"/>
    <w:sectPr w:rsidR="009260DE" w:rsidRPr="000023F8"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3F8" w:rsidRDefault="000023F8">
      <w:r>
        <w:separator/>
      </w:r>
    </w:p>
  </w:endnote>
  <w:endnote w:type="continuationSeparator" w:id="0">
    <w:p w:rsidR="000023F8" w:rsidRDefault="0000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F050F1" w:rsidP="00C42586">
    <w:pPr>
      <w:pStyle w:val="Sidefod"/>
      <w:tabs>
        <w:tab w:val="clear" w:pos="4819"/>
        <w:tab w:val="left" w:pos="8505"/>
      </w:tabs>
      <w:rPr>
        <w:i/>
        <w:sz w:val="18"/>
        <w:szCs w:val="18"/>
      </w:rPr>
    </w:pPr>
    <w:proofErr w:type="spellStart"/>
    <w:r w:rsidRPr="00F050F1">
      <w:rPr>
        <w:i/>
        <w:sz w:val="18"/>
        <w:szCs w:val="18"/>
      </w:rPr>
      <w:t>Regiocit</w:t>
    </w:r>
    <w:proofErr w:type="spellEnd"/>
    <w:r w:rsidRPr="00F050F1">
      <w:rPr>
        <w:i/>
        <w:sz w:val="18"/>
        <w:szCs w:val="18"/>
      </w:rPr>
      <w:t xml:space="preserve">, </w:t>
    </w:r>
    <w:proofErr w:type="spellStart"/>
    <w:r w:rsidRPr="00F050F1">
      <w:rPr>
        <w:i/>
        <w:sz w:val="18"/>
        <w:szCs w:val="18"/>
      </w:rPr>
      <w:t>hæmofiltreringsvæske</w:t>
    </w:r>
    <w:proofErr w:type="spellEnd"/>
    <w:r w:rsidRPr="00F050F1">
      <w:rPr>
        <w:i/>
        <w:sz w:val="18"/>
        <w:szCs w:val="18"/>
      </w:rPr>
      <w:t xml:space="preserve"> 18-140 mmol-l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3F8" w:rsidRDefault="000023F8">
      <w:r>
        <w:separator/>
      </w:r>
    </w:p>
  </w:footnote>
  <w:footnote w:type="continuationSeparator" w:id="0">
    <w:p w:rsidR="000023F8" w:rsidRDefault="0000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6936750"/>
    <w:multiLevelType w:val="hybridMultilevel"/>
    <w:tmpl w:val="51D251E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7327A7D"/>
    <w:multiLevelType w:val="hybridMultilevel"/>
    <w:tmpl w:val="A0788CE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7D57393"/>
    <w:multiLevelType w:val="hybridMultilevel"/>
    <w:tmpl w:val="4956F5F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F8"/>
    <w:rsid w:val="000023F8"/>
    <w:rsid w:val="000259B9"/>
    <w:rsid w:val="00041491"/>
    <w:rsid w:val="00050D16"/>
    <w:rsid w:val="00074F2A"/>
    <w:rsid w:val="000A1CA8"/>
    <w:rsid w:val="000A466B"/>
    <w:rsid w:val="000B058C"/>
    <w:rsid w:val="000E4EE6"/>
    <w:rsid w:val="001454E2"/>
    <w:rsid w:val="001D3D32"/>
    <w:rsid w:val="001F22A5"/>
    <w:rsid w:val="00206CE8"/>
    <w:rsid w:val="0021526C"/>
    <w:rsid w:val="00283A2B"/>
    <w:rsid w:val="002B30AD"/>
    <w:rsid w:val="002C2C01"/>
    <w:rsid w:val="002F1BF7"/>
    <w:rsid w:val="003A29AE"/>
    <w:rsid w:val="003A32D7"/>
    <w:rsid w:val="003B4074"/>
    <w:rsid w:val="003C769A"/>
    <w:rsid w:val="003F1838"/>
    <w:rsid w:val="0045746C"/>
    <w:rsid w:val="0049104B"/>
    <w:rsid w:val="00492AA8"/>
    <w:rsid w:val="004E3B12"/>
    <w:rsid w:val="00525221"/>
    <w:rsid w:val="00532310"/>
    <w:rsid w:val="00560ECC"/>
    <w:rsid w:val="00565F0F"/>
    <w:rsid w:val="00594A86"/>
    <w:rsid w:val="00596D86"/>
    <w:rsid w:val="005D1539"/>
    <w:rsid w:val="00637F5A"/>
    <w:rsid w:val="006560B1"/>
    <w:rsid w:val="006756DD"/>
    <w:rsid w:val="00737275"/>
    <w:rsid w:val="00740EEC"/>
    <w:rsid w:val="0078011A"/>
    <w:rsid w:val="00782AF4"/>
    <w:rsid w:val="00790EE7"/>
    <w:rsid w:val="00791F85"/>
    <w:rsid w:val="007B6649"/>
    <w:rsid w:val="0081546F"/>
    <w:rsid w:val="0082576E"/>
    <w:rsid w:val="00907F75"/>
    <w:rsid w:val="009260DE"/>
    <w:rsid w:val="0093258A"/>
    <w:rsid w:val="009C7BA3"/>
    <w:rsid w:val="009D1F5A"/>
    <w:rsid w:val="00A649A1"/>
    <w:rsid w:val="00B003BF"/>
    <w:rsid w:val="00B12B6E"/>
    <w:rsid w:val="00B373D7"/>
    <w:rsid w:val="00BF624E"/>
    <w:rsid w:val="00C36276"/>
    <w:rsid w:val="00C42586"/>
    <w:rsid w:val="00C60CCD"/>
    <w:rsid w:val="00C84483"/>
    <w:rsid w:val="00C95551"/>
    <w:rsid w:val="00CB20D7"/>
    <w:rsid w:val="00D020B0"/>
    <w:rsid w:val="00D11748"/>
    <w:rsid w:val="00D27B32"/>
    <w:rsid w:val="00D366CF"/>
    <w:rsid w:val="00E108AA"/>
    <w:rsid w:val="00E31812"/>
    <w:rsid w:val="00E3749A"/>
    <w:rsid w:val="00E47D43"/>
    <w:rsid w:val="00E7437F"/>
    <w:rsid w:val="00E865B8"/>
    <w:rsid w:val="00EA24D2"/>
    <w:rsid w:val="00EC0B9B"/>
    <w:rsid w:val="00ED5E9F"/>
    <w:rsid w:val="00F050F1"/>
    <w:rsid w:val="00F33C5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F1DD0"/>
  <w15:chartTrackingRefBased/>
  <w15:docId w15:val="{E87FDA40-D8D6-443A-A936-1F6D5BF7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2A5"/>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rsid w:val="000023F8"/>
    <w:rPr>
      <w:color w:val="0000FF"/>
      <w:u w:val="single"/>
    </w:rPr>
  </w:style>
  <w:style w:type="paragraph" w:styleId="Brdtekst">
    <w:name w:val="Body Text"/>
    <w:basedOn w:val="Normal"/>
    <w:link w:val="BrdtekstTegn"/>
    <w:rsid w:val="000023F8"/>
    <w:rPr>
      <w:rFonts w:eastAsia="SimSun"/>
      <w:i/>
      <w:color w:val="008000"/>
      <w:sz w:val="22"/>
      <w:lang w:val="en-GB"/>
    </w:rPr>
  </w:style>
  <w:style w:type="character" w:customStyle="1" w:styleId="BrdtekstTegn">
    <w:name w:val="Brødtekst Tegn"/>
    <w:basedOn w:val="Standardskrifttypeiafsnit"/>
    <w:link w:val="Brdtekst"/>
    <w:rsid w:val="000023F8"/>
    <w:rPr>
      <w:rFonts w:eastAsia="SimSun"/>
      <w:i/>
      <w:color w:val="008000"/>
      <w:sz w:val="22"/>
      <w:lang w:val="en-GB" w:eastAsia="en-US"/>
    </w:rPr>
  </w:style>
  <w:style w:type="paragraph" w:styleId="Listeafsnit">
    <w:name w:val="List Paragraph"/>
    <w:basedOn w:val="Normal"/>
    <w:uiPriority w:val="34"/>
    <w:qFormat/>
    <w:rsid w:val="00002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3178</Words>
  <Characters>21254</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2024032699_x000d_
Skift af MAH fra BAxter Holding BV samt ændring af repræsentanten fra BAxter A/S</dc:description>
  <cp:lastModifiedBy>Marianne Ott Jensen</cp:lastModifiedBy>
  <cp:revision>4</cp:revision>
  <cp:lastPrinted>2012-08-22T08:53:00Z</cp:lastPrinted>
  <dcterms:created xsi:type="dcterms:W3CDTF">2024-05-23T05:34:00Z</dcterms:created>
  <dcterms:modified xsi:type="dcterms:W3CDTF">2024-05-23T05:35:00Z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