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294D"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4BAB47C" wp14:editId="49AAC99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B117311" w14:textId="77777777" w:rsidR="009260DE" w:rsidRPr="00C84483" w:rsidRDefault="009260DE" w:rsidP="009260DE">
      <w:pPr>
        <w:pStyle w:val="Titel"/>
        <w:tabs>
          <w:tab w:val="right" w:pos="9356"/>
        </w:tabs>
        <w:jc w:val="left"/>
        <w:rPr>
          <w:b w:val="0"/>
          <w:szCs w:val="24"/>
          <w:lang w:eastAsia="en-US"/>
        </w:rPr>
      </w:pPr>
    </w:p>
    <w:p w14:paraId="67785C5E" w14:textId="2FACE45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77051">
        <w:rPr>
          <w:szCs w:val="24"/>
        </w:rPr>
        <w:t>12. december 2024</w:t>
      </w:r>
    </w:p>
    <w:p w14:paraId="0F7C7278" w14:textId="77777777" w:rsidR="009260DE" w:rsidRPr="00C84483" w:rsidRDefault="009260DE" w:rsidP="009260DE">
      <w:pPr>
        <w:pStyle w:val="Titel"/>
        <w:tabs>
          <w:tab w:val="left" w:pos="8222"/>
        </w:tabs>
        <w:jc w:val="left"/>
        <w:rPr>
          <w:b w:val="0"/>
          <w:szCs w:val="24"/>
        </w:rPr>
      </w:pPr>
    </w:p>
    <w:p w14:paraId="1BA9A6B8" w14:textId="77777777" w:rsidR="009260DE" w:rsidRPr="00C84483" w:rsidRDefault="009260DE" w:rsidP="009260DE">
      <w:pPr>
        <w:pStyle w:val="Titel"/>
        <w:jc w:val="left"/>
        <w:rPr>
          <w:b w:val="0"/>
          <w:szCs w:val="24"/>
        </w:rPr>
      </w:pPr>
    </w:p>
    <w:p w14:paraId="566DAC5F" w14:textId="77777777" w:rsidR="009260DE" w:rsidRPr="00C84483" w:rsidRDefault="009260DE" w:rsidP="009260DE">
      <w:pPr>
        <w:jc w:val="center"/>
        <w:rPr>
          <w:b/>
          <w:sz w:val="24"/>
          <w:szCs w:val="24"/>
        </w:rPr>
      </w:pPr>
      <w:r w:rsidRPr="00C84483">
        <w:rPr>
          <w:b/>
          <w:sz w:val="24"/>
          <w:szCs w:val="24"/>
        </w:rPr>
        <w:t>PRODUKTRESUMÉ</w:t>
      </w:r>
    </w:p>
    <w:p w14:paraId="487A95F2" w14:textId="77777777" w:rsidR="009260DE" w:rsidRPr="00C84483" w:rsidRDefault="009260DE" w:rsidP="009260DE">
      <w:pPr>
        <w:jc w:val="center"/>
        <w:rPr>
          <w:b/>
          <w:sz w:val="24"/>
          <w:szCs w:val="24"/>
        </w:rPr>
      </w:pPr>
    </w:p>
    <w:p w14:paraId="21D75229" w14:textId="77777777" w:rsidR="009260DE" w:rsidRDefault="009260DE" w:rsidP="009260DE">
      <w:pPr>
        <w:jc w:val="center"/>
        <w:rPr>
          <w:b/>
          <w:sz w:val="24"/>
          <w:szCs w:val="24"/>
        </w:rPr>
      </w:pPr>
      <w:r w:rsidRPr="00C84483">
        <w:rPr>
          <w:b/>
          <w:sz w:val="24"/>
          <w:szCs w:val="24"/>
        </w:rPr>
        <w:t>for</w:t>
      </w:r>
    </w:p>
    <w:p w14:paraId="5C77C24A" w14:textId="77777777" w:rsidR="000B058C" w:rsidRPr="00C84483" w:rsidRDefault="000B058C" w:rsidP="009260DE">
      <w:pPr>
        <w:jc w:val="center"/>
        <w:rPr>
          <w:b/>
          <w:sz w:val="24"/>
          <w:szCs w:val="24"/>
        </w:rPr>
      </w:pPr>
    </w:p>
    <w:p w14:paraId="79657116" w14:textId="5F7FDE3C" w:rsidR="009260DE" w:rsidRPr="00C84483" w:rsidRDefault="005B0517" w:rsidP="009260DE">
      <w:pPr>
        <w:jc w:val="center"/>
        <w:rPr>
          <w:b/>
          <w:sz w:val="24"/>
          <w:szCs w:val="24"/>
        </w:rPr>
      </w:pPr>
      <w:r w:rsidRPr="005B0517">
        <w:rPr>
          <w:b/>
          <w:sz w:val="24"/>
          <w:szCs w:val="24"/>
        </w:rPr>
        <w:t>Relfydess, injektionsvæske, opløsning</w:t>
      </w:r>
    </w:p>
    <w:p w14:paraId="43B061E3" w14:textId="78A943F6" w:rsidR="009260DE" w:rsidRDefault="009260DE" w:rsidP="009260DE">
      <w:pPr>
        <w:jc w:val="both"/>
        <w:rPr>
          <w:sz w:val="24"/>
          <w:szCs w:val="24"/>
        </w:rPr>
      </w:pPr>
    </w:p>
    <w:p w14:paraId="10A1321A" w14:textId="77777777" w:rsidR="005B0517" w:rsidRPr="00C84483" w:rsidRDefault="005B0517" w:rsidP="009260DE">
      <w:pPr>
        <w:jc w:val="both"/>
        <w:rPr>
          <w:sz w:val="24"/>
          <w:szCs w:val="24"/>
        </w:rPr>
      </w:pPr>
    </w:p>
    <w:p w14:paraId="60A0E81C" w14:textId="4A631165" w:rsidR="005B0517" w:rsidRPr="005B0517" w:rsidRDefault="005B0517" w:rsidP="005B0517">
      <w:pPr>
        <w:jc w:val="both"/>
        <w:rPr>
          <w:sz w:val="24"/>
          <w:szCs w:val="24"/>
        </w:rPr>
      </w:pPr>
      <w:r w:rsidRPr="005B0517">
        <w:rPr>
          <w:noProof/>
          <w:sz w:val="24"/>
          <w:szCs w:val="24"/>
        </w:rPr>
        <w:drawing>
          <wp:inline distT="0" distB="0" distL="0" distR="0" wp14:anchorId="5CC3DA77" wp14:editId="195E1BF4">
            <wp:extent cx="184150" cy="177800"/>
            <wp:effectExtent l="0" t="0" r="6350" b="0"/>
            <wp:docPr id="3" name="Billede 3"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177800"/>
                    </a:xfrm>
                    <a:prstGeom prst="rect">
                      <a:avLst/>
                    </a:prstGeom>
                    <a:noFill/>
                    <a:ln>
                      <a:noFill/>
                    </a:ln>
                  </pic:spPr>
                </pic:pic>
              </a:graphicData>
            </a:graphic>
          </wp:inline>
        </w:drawing>
      </w:r>
      <w:r w:rsidRPr="005B0517">
        <w:rPr>
          <w:sz w:val="24"/>
          <w:szCs w:val="24"/>
        </w:rPr>
        <w:t>Dette lægemiddel er underlagt supplerende overvågning. Dermed kan nye sikkerhedsoplysninger hurtigt tilvejebringes. Sundhedspersoner anmodes om at indberette alle formodede bivirkninger. Se i pkt. 4.8, hvordan bivirkninger indberettes.</w:t>
      </w:r>
    </w:p>
    <w:p w14:paraId="17F5750F" w14:textId="77777777" w:rsidR="005B0517" w:rsidRPr="005B0517" w:rsidRDefault="005B0517" w:rsidP="005B0517">
      <w:pPr>
        <w:jc w:val="both"/>
        <w:rPr>
          <w:sz w:val="24"/>
          <w:szCs w:val="24"/>
        </w:rPr>
      </w:pPr>
    </w:p>
    <w:p w14:paraId="60A815E8" w14:textId="77777777" w:rsidR="009260DE" w:rsidRPr="00C84483" w:rsidRDefault="009260DE" w:rsidP="009260DE">
      <w:pPr>
        <w:jc w:val="both"/>
        <w:rPr>
          <w:sz w:val="24"/>
          <w:szCs w:val="24"/>
        </w:rPr>
      </w:pPr>
    </w:p>
    <w:p w14:paraId="2B5D5A5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75ECAFD" w14:textId="1EEBE71F" w:rsidR="009260DE" w:rsidRPr="00C84483" w:rsidRDefault="005B0517" w:rsidP="009260DE">
      <w:pPr>
        <w:tabs>
          <w:tab w:val="left" w:pos="851"/>
        </w:tabs>
        <w:ind w:left="851"/>
        <w:rPr>
          <w:sz w:val="24"/>
          <w:szCs w:val="24"/>
        </w:rPr>
      </w:pPr>
      <w:r>
        <w:rPr>
          <w:sz w:val="24"/>
          <w:szCs w:val="24"/>
        </w:rPr>
        <w:t>33563</w:t>
      </w:r>
    </w:p>
    <w:p w14:paraId="4A9E2586" w14:textId="77777777" w:rsidR="009260DE" w:rsidRPr="00C84483" w:rsidRDefault="009260DE" w:rsidP="009260DE">
      <w:pPr>
        <w:tabs>
          <w:tab w:val="left" w:pos="851"/>
        </w:tabs>
        <w:ind w:left="851"/>
        <w:rPr>
          <w:sz w:val="24"/>
          <w:szCs w:val="24"/>
        </w:rPr>
      </w:pPr>
    </w:p>
    <w:p w14:paraId="301268D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D4BB2F4" w14:textId="7FDA01BA" w:rsidR="009260DE" w:rsidRPr="00C84483" w:rsidRDefault="005B0517" w:rsidP="009260DE">
      <w:pPr>
        <w:tabs>
          <w:tab w:val="left" w:pos="851"/>
        </w:tabs>
        <w:ind w:left="851"/>
        <w:rPr>
          <w:sz w:val="24"/>
          <w:szCs w:val="24"/>
        </w:rPr>
      </w:pPr>
      <w:r>
        <w:rPr>
          <w:sz w:val="24"/>
          <w:szCs w:val="24"/>
        </w:rPr>
        <w:t>Relfydess</w:t>
      </w:r>
    </w:p>
    <w:p w14:paraId="6C1D07BD" w14:textId="77777777" w:rsidR="009260DE" w:rsidRPr="00C84483" w:rsidRDefault="009260DE" w:rsidP="009260DE">
      <w:pPr>
        <w:tabs>
          <w:tab w:val="left" w:pos="851"/>
        </w:tabs>
        <w:ind w:left="851"/>
        <w:rPr>
          <w:sz w:val="24"/>
          <w:szCs w:val="24"/>
        </w:rPr>
      </w:pPr>
    </w:p>
    <w:p w14:paraId="30BEDA5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BF5FA02" w14:textId="77777777" w:rsidR="005B0517" w:rsidRPr="005B0517" w:rsidRDefault="005B0517" w:rsidP="005B0517">
      <w:pPr>
        <w:tabs>
          <w:tab w:val="left" w:pos="851"/>
        </w:tabs>
        <w:ind w:left="851"/>
        <w:rPr>
          <w:sz w:val="24"/>
          <w:szCs w:val="24"/>
        </w:rPr>
      </w:pPr>
      <w:r w:rsidRPr="005B0517">
        <w:rPr>
          <w:sz w:val="24"/>
          <w:szCs w:val="24"/>
        </w:rPr>
        <w:t xml:space="preserve">Botulinumtoksin type A 100 enheder/ml, fremstillet af </w:t>
      </w:r>
      <w:r w:rsidRPr="005B0517">
        <w:rPr>
          <w:i/>
          <w:sz w:val="24"/>
          <w:szCs w:val="24"/>
        </w:rPr>
        <w:t>Clostridium botulinum</w:t>
      </w:r>
      <w:r w:rsidRPr="005B0517">
        <w:rPr>
          <w:sz w:val="24"/>
          <w:szCs w:val="24"/>
        </w:rPr>
        <w:t>, uden sammensatte proteiner.</w:t>
      </w:r>
    </w:p>
    <w:p w14:paraId="7684D20D" w14:textId="77777777" w:rsidR="005B0517" w:rsidRPr="005B0517" w:rsidRDefault="005B0517" w:rsidP="005B0517">
      <w:pPr>
        <w:tabs>
          <w:tab w:val="left" w:pos="851"/>
        </w:tabs>
        <w:ind w:left="851"/>
        <w:rPr>
          <w:sz w:val="24"/>
          <w:szCs w:val="24"/>
        </w:rPr>
      </w:pPr>
      <w:r w:rsidRPr="005B0517">
        <w:rPr>
          <w:sz w:val="24"/>
          <w:szCs w:val="24"/>
        </w:rPr>
        <w:t>Styrkeenhederne er specielle for Relfydess og er ikke indbyrdes udskiftelige med andre præparater med botulinumtoksin.</w:t>
      </w:r>
    </w:p>
    <w:p w14:paraId="607B26D2" w14:textId="77777777" w:rsidR="005B0517" w:rsidRPr="005B0517" w:rsidRDefault="005B0517" w:rsidP="005B0517">
      <w:pPr>
        <w:tabs>
          <w:tab w:val="left" w:pos="851"/>
        </w:tabs>
        <w:ind w:left="851"/>
        <w:rPr>
          <w:sz w:val="24"/>
          <w:szCs w:val="24"/>
        </w:rPr>
      </w:pPr>
      <w:r w:rsidRPr="005B0517">
        <w:rPr>
          <w:sz w:val="24"/>
          <w:szCs w:val="24"/>
        </w:rPr>
        <w:t>Hvert hætteglas indeholder 150 enheder i 1,5 ml opløsning.</w:t>
      </w:r>
    </w:p>
    <w:p w14:paraId="6F8D27EB" w14:textId="77777777" w:rsidR="005B0517" w:rsidRPr="005B0517" w:rsidRDefault="005B0517" w:rsidP="005B0517">
      <w:pPr>
        <w:tabs>
          <w:tab w:val="left" w:pos="851"/>
        </w:tabs>
        <w:ind w:left="851"/>
        <w:rPr>
          <w:sz w:val="24"/>
          <w:szCs w:val="24"/>
        </w:rPr>
      </w:pPr>
    </w:p>
    <w:p w14:paraId="15415637" w14:textId="2A83E6FF" w:rsidR="005B0517" w:rsidRPr="005B0517" w:rsidRDefault="005B0517" w:rsidP="005B0517">
      <w:pPr>
        <w:tabs>
          <w:tab w:val="left" w:pos="851"/>
        </w:tabs>
        <w:ind w:left="851"/>
        <w:rPr>
          <w:sz w:val="24"/>
          <w:szCs w:val="24"/>
          <w:u w:val="single"/>
        </w:rPr>
      </w:pPr>
      <w:r w:rsidRPr="005B0517">
        <w:rPr>
          <w:sz w:val="24"/>
          <w:szCs w:val="24"/>
          <w:u w:val="single"/>
        </w:rPr>
        <w:t>Hjælpestof, som behandleren skal være opmærksom på</w:t>
      </w:r>
    </w:p>
    <w:p w14:paraId="06952891" w14:textId="77777777" w:rsidR="005B0517" w:rsidRPr="005B0517" w:rsidRDefault="005B0517" w:rsidP="005B0517">
      <w:pPr>
        <w:tabs>
          <w:tab w:val="left" w:pos="851"/>
        </w:tabs>
        <w:ind w:left="851"/>
        <w:rPr>
          <w:sz w:val="24"/>
          <w:szCs w:val="24"/>
        </w:rPr>
      </w:pPr>
      <w:r w:rsidRPr="005B0517">
        <w:rPr>
          <w:sz w:val="24"/>
          <w:szCs w:val="24"/>
        </w:rPr>
        <w:t>Én ml opløsning indeholder 1,1 mg polysorbat 80.</w:t>
      </w:r>
    </w:p>
    <w:p w14:paraId="2341F913" w14:textId="77777777" w:rsidR="005B0517" w:rsidRPr="005B0517" w:rsidRDefault="005B0517" w:rsidP="005B0517">
      <w:pPr>
        <w:tabs>
          <w:tab w:val="left" w:pos="851"/>
        </w:tabs>
        <w:ind w:left="851"/>
        <w:rPr>
          <w:sz w:val="24"/>
          <w:szCs w:val="24"/>
        </w:rPr>
      </w:pPr>
    </w:p>
    <w:p w14:paraId="34FD22CC" w14:textId="77777777" w:rsidR="005B0517" w:rsidRPr="005B0517" w:rsidRDefault="005B0517" w:rsidP="005B0517">
      <w:pPr>
        <w:tabs>
          <w:tab w:val="left" w:pos="851"/>
        </w:tabs>
        <w:ind w:left="851"/>
        <w:rPr>
          <w:sz w:val="24"/>
          <w:szCs w:val="24"/>
        </w:rPr>
      </w:pPr>
      <w:r w:rsidRPr="005B0517">
        <w:rPr>
          <w:sz w:val="24"/>
          <w:szCs w:val="24"/>
        </w:rPr>
        <w:t>Alle hjælpestoffer er anført under pkt. 6.1.</w:t>
      </w:r>
    </w:p>
    <w:p w14:paraId="1F727789" w14:textId="77777777" w:rsidR="009260DE" w:rsidRPr="00C84483" w:rsidRDefault="009260DE" w:rsidP="009260DE">
      <w:pPr>
        <w:tabs>
          <w:tab w:val="left" w:pos="851"/>
        </w:tabs>
        <w:ind w:left="851"/>
        <w:rPr>
          <w:sz w:val="24"/>
          <w:szCs w:val="24"/>
        </w:rPr>
      </w:pPr>
    </w:p>
    <w:p w14:paraId="05607F6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DCEA2C4" w14:textId="11044FA9" w:rsidR="00FA43C1" w:rsidRDefault="00FA43C1" w:rsidP="00FA43C1">
      <w:pPr>
        <w:tabs>
          <w:tab w:val="left" w:pos="851"/>
        </w:tabs>
        <w:ind w:left="851"/>
        <w:rPr>
          <w:sz w:val="24"/>
          <w:szCs w:val="24"/>
        </w:rPr>
      </w:pPr>
      <w:r w:rsidRPr="00FA43C1">
        <w:rPr>
          <w:sz w:val="24"/>
          <w:szCs w:val="24"/>
        </w:rPr>
        <w:t>Injektionsvæske, opløsning (injektion)</w:t>
      </w:r>
    </w:p>
    <w:p w14:paraId="6D70BBBE" w14:textId="77777777" w:rsidR="00FA43C1" w:rsidRPr="00FA43C1" w:rsidRDefault="00FA43C1" w:rsidP="00FA43C1">
      <w:pPr>
        <w:tabs>
          <w:tab w:val="left" w:pos="851"/>
        </w:tabs>
        <w:ind w:left="851"/>
        <w:rPr>
          <w:sz w:val="24"/>
          <w:szCs w:val="24"/>
        </w:rPr>
      </w:pPr>
    </w:p>
    <w:p w14:paraId="3B471032" w14:textId="77777777" w:rsidR="00FA43C1" w:rsidRPr="00FA43C1" w:rsidRDefault="00FA43C1" w:rsidP="00FA43C1">
      <w:pPr>
        <w:tabs>
          <w:tab w:val="left" w:pos="851"/>
        </w:tabs>
        <w:ind w:left="851"/>
        <w:rPr>
          <w:sz w:val="24"/>
          <w:szCs w:val="24"/>
        </w:rPr>
      </w:pPr>
      <w:r w:rsidRPr="00FA43C1">
        <w:rPr>
          <w:sz w:val="24"/>
          <w:szCs w:val="24"/>
        </w:rPr>
        <w:t>Klar, farveløs til lysegul opløsning.</w:t>
      </w:r>
    </w:p>
    <w:p w14:paraId="476D5E00" w14:textId="77777777" w:rsidR="009260DE" w:rsidRPr="00C84483" w:rsidRDefault="009260DE" w:rsidP="009260DE">
      <w:pPr>
        <w:tabs>
          <w:tab w:val="left" w:pos="851"/>
        </w:tabs>
        <w:ind w:left="851"/>
        <w:rPr>
          <w:sz w:val="24"/>
          <w:szCs w:val="24"/>
        </w:rPr>
      </w:pPr>
    </w:p>
    <w:p w14:paraId="49BBFB91" w14:textId="77777777" w:rsidR="009260DE" w:rsidRPr="00C84483" w:rsidRDefault="009260DE" w:rsidP="009260DE">
      <w:pPr>
        <w:tabs>
          <w:tab w:val="left" w:pos="851"/>
        </w:tabs>
        <w:ind w:left="851"/>
        <w:rPr>
          <w:sz w:val="24"/>
          <w:szCs w:val="24"/>
        </w:rPr>
      </w:pPr>
    </w:p>
    <w:p w14:paraId="4BAED42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D0D93EB" w14:textId="77777777" w:rsidR="009260DE" w:rsidRPr="00C84483" w:rsidRDefault="009260DE" w:rsidP="009260DE">
      <w:pPr>
        <w:tabs>
          <w:tab w:val="left" w:pos="851"/>
        </w:tabs>
        <w:ind w:left="851"/>
        <w:rPr>
          <w:b/>
          <w:sz w:val="24"/>
          <w:szCs w:val="24"/>
        </w:rPr>
      </w:pPr>
    </w:p>
    <w:p w14:paraId="5CF0573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8D035FB" w14:textId="77777777" w:rsidR="00FA43C1" w:rsidRPr="00FA43C1" w:rsidRDefault="00FA43C1" w:rsidP="00FA43C1">
      <w:pPr>
        <w:tabs>
          <w:tab w:val="left" w:pos="851"/>
        </w:tabs>
        <w:ind w:left="851"/>
        <w:rPr>
          <w:sz w:val="24"/>
          <w:szCs w:val="24"/>
        </w:rPr>
      </w:pPr>
      <w:r w:rsidRPr="00FA43C1">
        <w:rPr>
          <w:sz w:val="24"/>
          <w:szCs w:val="24"/>
        </w:rPr>
        <w:t>Relfydess er indiceret til midlertidig forbedring af udseendet af:</w:t>
      </w:r>
    </w:p>
    <w:p w14:paraId="66B3DFA8" w14:textId="77777777" w:rsidR="00FA43C1" w:rsidRPr="00FA43C1" w:rsidRDefault="00FA43C1" w:rsidP="00FA43C1">
      <w:pPr>
        <w:numPr>
          <w:ilvl w:val="0"/>
          <w:numId w:val="6"/>
        </w:numPr>
        <w:tabs>
          <w:tab w:val="left" w:pos="851"/>
        </w:tabs>
        <w:ind w:left="1418" w:hanging="284"/>
        <w:rPr>
          <w:sz w:val="24"/>
          <w:szCs w:val="24"/>
        </w:rPr>
      </w:pPr>
      <w:r w:rsidRPr="00FA43C1">
        <w:rPr>
          <w:sz w:val="24"/>
          <w:szCs w:val="24"/>
        </w:rPr>
        <w:t>Moderate til svære glabellarynker ved maksimal panderynken</w:t>
      </w:r>
    </w:p>
    <w:p w14:paraId="1D982B71" w14:textId="77777777" w:rsidR="00FA43C1" w:rsidRPr="00FA43C1" w:rsidRDefault="00FA43C1" w:rsidP="00FA43C1">
      <w:pPr>
        <w:numPr>
          <w:ilvl w:val="0"/>
          <w:numId w:val="6"/>
        </w:numPr>
        <w:tabs>
          <w:tab w:val="left" w:pos="851"/>
        </w:tabs>
        <w:ind w:left="1418" w:hanging="284"/>
        <w:rPr>
          <w:sz w:val="24"/>
          <w:szCs w:val="24"/>
        </w:rPr>
      </w:pPr>
      <w:r w:rsidRPr="00FA43C1">
        <w:rPr>
          <w:sz w:val="24"/>
          <w:szCs w:val="24"/>
        </w:rPr>
        <w:t>Moderate til svære rynker i laterale canthus ved maksimal smilen</w:t>
      </w:r>
    </w:p>
    <w:p w14:paraId="71C747BE" w14:textId="77777777" w:rsidR="00FA43C1" w:rsidRPr="00FA43C1" w:rsidRDefault="00FA43C1" w:rsidP="00FA43C1">
      <w:pPr>
        <w:tabs>
          <w:tab w:val="left" w:pos="851"/>
        </w:tabs>
        <w:ind w:left="851"/>
        <w:rPr>
          <w:sz w:val="24"/>
          <w:szCs w:val="24"/>
        </w:rPr>
      </w:pPr>
      <w:r w:rsidRPr="00FA43C1">
        <w:rPr>
          <w:sz w:val="24"/>
          <w:szCs w:val="24"/>
        </w:rPr>
        <w:lastRenderedPageBreak/>
        <w:t>alene eller i kombination, hos voksne patienter under 65 år, når sværhedsgraden af disse rynker har væsentlig psykologisk indvirkning på patienten.</w:t>
      </w:r>
    </w:p>
    <w:p w14:paraId="0CA6CD62" w14:textId="77777777" w:rsidR="009260DE" w:rsidRPr="00C84483" w:rsidRDefault="009260DE" w:rsidP="009260DE">
      <w:pPr>
        <w:tabs>
          <w:tab w:val="left" w:pos="851"/>
        </w:tabs>
        <w:ind w:left="851"/>
        <w:rPr>
          <w:sz w:val="24"/>
          <w:szCs w:val="24"/>
        </w:rPr>
      </w:pPr>
    </w:p>
    <w:p w14:paraId="7621EB6F"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B512A2A" w14:textId="77777777" w:rsidR="00FA43C1" w:rsidRPr="00FA43C1" w:rsidRDefault="00FA43C1" w:rsidP="00FA43C1">
      <w:pPr>
        <w:ind w:left="851"/>
        <w:rPr>
          <w:sz w:val="24"/>
          <w:szCs w:val="24"/>
        </w:rPr>
      </w:pPr>
      <w:r w:rsidRPr="00FA43C1">
        <w:rPr>
          <w:sz w:val="24"/>
          <w:szCs w:val="24"/>
        </w:rPr>
        <w:t xml:space="preserve">Behandlingsintervallet bør ikke være under 12 uger. </w:t>
      </w:r>
    </w:p>
    <w:p w14:paraId="43CB418F" w14:textId="77777777" w:rsidR="00FA43C1" w:rsidRPr="00FA43C1" w:rsidRDefault="00FA43C1" w:rsidP="00FA43C1">
      <w:pPr>
        <w:ind w:left="851"/>
        <w:rPr>
          <w:sz w:val="24"/>
          <w:szCs w:val="24"/>
        </w:rPr>
      </w:pPr>
    </w:p>
    <w:p w14:paraId="679EDC8B" w14:textId="77777777" w:rsidR="00FA43C1" w:rsidRPr="00FA43C1" w:rsidRDefault="00FA43C1" w:rsidP="00FA43C1">
      <w:pPr>
        <w:ind w:left="851"/>
        <w:rPr>
          <w:sz w:val="24"/>
          <w:szCs w:val="24"/>
        </w:rPr>
      </w:pPr>
      <w:r w:rsidRPr="00FA43C1">
        <w:rPr>
          <w:sz w:val="24"/>
          <w:szCs w:val="24"/>
        </w:rPr>
        <w:t>Virkningen og sikkerheden ved gentagen administration af dette produkt i mere end 52 uger er ikke undersøgt.</w:t>
      </w:r>
    </w:p>
    <w:p w14:paraId="547FB948" w14:textId="77777777" w:rsidR="00FA43C1" w:rsidRPr="00FA43C1" w:rsidRDefault="00FA43C1" w:rsidP="00FA43C1">
      <w:pPr>
        <w:ind w:left="851"/>
        <w:rPr>
          <w:sz w:val="24"/>
          <w:szCs w:val="24"/>
          <w:lang w:val="sv-SE"/>
        </w:rPr>
      </w:pPr>
    </w:p>
    <w:p w14:paraId="42F3D181" w14:textId="77777777" w:rsidR="00FA43C1" w:rsidRPr="00FA43C1" w:rsidRDefault="00FA43C1" w:rsidP="00FA43C1">
      <w:pPr>
        <w:ind w:left="851"/>
        <w:rPr>
          <w:sz w:val="24"/>
          <w:szCs w:val="24"/>
        </w:rPr>
      </w:pPr>
      <w:r w:rsidRPr="00FA43C1">
        <w:rPr>
          <w:sz w:val="24"/>
          <w:szCs w:val="24"/>
        </w:rPr>
        <w:t>Den kumulative dosis skal tages i betragtning, hvis andre botulinumtoksin-produkter anvendes eller har været anvendt til behandling af andre indikationer.</w:t>
      </w:r>
    </w:p>
    <w:p w14:paraId="1EB90D3E" w14:textId="77777777" w:rsidR="00FA43C1" w:rsidRPr="00FA43C1" w:rsidRDefault="00FA43C1" w:rsidP="00FA43C1">
      <w:pPr>
        <w:ind w:left="851"/>
        <w:rPr>
          <w:sz w:val="24"/>
          <w:szCs w:val="24"/>
          <w:u w:val="single"/>
        </w:rPr>
      </w:pPr>
    </w:p>
    <w:p w14:paraId="3C3DD306" w14:textId="77777777" w:rsidR="00FA43C1" w:rsidRPr="00FA43C1" w:rsidRDefault="00FA43C1" w:rsidP="00FA43C1">
      <w:pPr>
        <w:keepNext/>
        <w:ind w:left="851"/>
        <w:rPr>
          <w:sz w:val="24"/>
          <w:szCs w:val="24"/>
          <w:u w:val="single"/>
        </w:rPr>
      </w:pPr>
      <w:r w:rsidRPr="00FA43C1">
        <w:rPr>
          <w:sz w:val="24"/>
          <w:szCs w:val="24"/>
          <w:u w:val="single"/>
        </w:rPr>
        <w:t>Dosering</w:t>
      </w:r>
    </w:p>
    <w:p w14:paraId="5642EEFB" w14:textId="77777777" w:rsidR="00FA43C1" w:rsidRPr="00FA43C1" w:rsidRDefault="00FA43C1" w:rsidP="00FA43C1">
      <w:pPr>
        <w:ind w:left="851"/>
        <w:rPr>
          <w:sz w:val="24"/>
          <w:szCs w:val="24"/>
        </w:rPr>
      </w:pPr>
      <w:r w:rsidRPr="00FA43C1">
        <w:rPr>
          <w:sz w:val="24"/>
          <w:szCs w:val="24"/>
        </w:rPr>
        <w:t>Styrkeenhederne er specielle for Relfydess og er ikke indbyrdes udskiftelige med andre præparater med botulinumtoksin.</w:t>
      </w:r>
    </w:p>
    <w:p w14:paraId="60D6FA6F" w14:textId="77777777" w:rsidR="00FA43C1" w:rsidRPr="00FA43C1" w:rsidRDefault="00FA43C1" w:rsidP="00FA43C1">
      <w:pPr>
        <w:keepNext/>
        <w:ind w:left="851"/>
        <w:rPr>
          <w:sz w:val="24"/>
          <w:szCs w:val="24"/>
        </w:rPr>
      </w:pPr>
    </w:p>
    <w:p w14:paraId="325259B4" w14:textId="77777777" w:rsidR="00FA43C1" w:rsidRPr="00FA43C1" w:rsidRDefault="00FA43C1" w:rsidP="00FA43C1">
      <w:pPr>
        <w:pStyle w:val="Kommentartekst"/>
        <w:ind w:left="851"/>
        <w:rPr>
          <w:sz w:val="24"/>
          <w:szCs w:val="24"/>
        </w:rPr>
      </w:pPr>
      <w:r w:rsidRPr="00FA43C1">
        <w:rPr>
          <w:sz w:val="24"/>
          <w:szCs w:val="24"/>
        </w:rPr>
        <w:t>Relfydess er klar til brug med en koncentration på 10 enheder pr. 0,1 ml. Produktet skal ikke rekonstitueres.</w:t>
      </w:r>
    </w:p>
    <w:p w14:paraId="1C481F04" w14:textId="77777777" w:rsidR="00FA43C1" w:rsidRDefault="00FA43C1" w:rsidP="00FA43C1">
      <w:pPr>
        <w:pStyle w:val="Kommentartekst"/>
        <w:rPr>
          <w:sz w:val="22"/>
          <w:szCs w:val="22"/>
        </w:rPr>
      </w:pPr>
    </w:p>
    <w:p w14:paraId="15DAA104" w14:textId="77777777" w:rsidR="00FA43C1" w:rsidRDefault="00FA43C1" w:rsidP="00FA43C1">
      <w:pPr>
        <w:pStyle w:val="Kommentartekst"/>
        <w:keepNext/>
        <w:rPr>
          <w:szCs w:val="24"/>
        </w:rPr>
      </w:pPr>
      <w:r>
        <w:rPr>
          <w:b/>
          <w:sz w:val="22"/>
        </w:rPr>
        <w:t>Tabel 1:</w:t>
      </w:r>
      <w:r>
        <w:rPr>
          <w:b/>
          <w:sz w:val="22"/>
        </w:rPr>
        <w:tab/>
        <w:t>Doseringsanvisninger for Relfydess</w:t>
      </w:r>
    </w:p>
    <w:tbl>
      <w:tblPr>
        <w:tblStyle w:val="Tabel-Gitter"/>
        <w:tblW w:w="5000" w:type="pct"/>
        <w:tblInd w:w="-5" w:type="dxa"/>
        <w:tblLook w:val="04A0" w:firstRow="1" w:lastRow="0" w:firstColumn="1" w:lastColumn="0" w:noHBand="0" w:noVBand="1"/>
      </w:tblPr>
      <w:tblGrid>
        <w:gridCol w:w="2664"/>
        <w:gridCol w:w="2654"/>
        <w:gridCol w:w="4310"/>
      </w:tblGrid>
      <w:tr w:rsidR="00FA43C1" w14:paraId="13AF4202" w14:textId="77777777" w:rsidTr="00FA43C1">
        <w:trPr>
          <w:cantSplit/>
        </w:trPr>
        <w:tc>
          <w:tcPr>
            <w:tcW w:w="2694" w:type="dxa"/>
            <w:tcBorders>
              <w:top w:val="single" w:sz="4" w:space="0" w:color="auto"/>
              <w:left w:val="single" w:sz="4" w:space="0" w:color="auto"/>
              <w:bottom w:val="single" w:sz="4" w:space="0" w:color="auto"/>
              <w:right w:val="single" w:sz="4" w:space="0" w:color="auto"/>
            </w:tcBorders>
            <w:hideMark/>
          </w:tcPr>
          <w:p w14:paraId="7F5FD1A5" w14:textId="77777777" w:rsidR="00FA43C1" w:rsidRDefault="00FA43C1">
            <w:pPr>
              <w:pStyle w:val="Kommentartekst"/>
              <w:keepNext/>
              <w:rPr>
                <w:b/>
                <w:bCs/>
                <w:sz w:val="22"/>
                <w:szCs w:val="22"/>
              </w:rPr>
            </w:pPr>
            <w:r>
              <w:rPr>
                <w:b/>
                <w:sz w:val="22"/>
              </w:rPr>
              <w:t>Behandling(er)</w:t>
            </w:r>
          </w:p>
        </w:tc>
        <w:tc>
          <w:tcPr>
            <w:tcW w:w="2693" w:type="dxa"/>
            <w:tcBorders>
              <w:top w:val="single" w:sz="4" w:space="0" w:color="auto"/>
              <w:left w:val="single" w:sz="4" w:space="0" w:color="auto"/>
              <w:bottom w:val="single" w:sz="4" w:space="0" w:color="auto"/>
              <w:right w:val="single" w:sz="4" w:space="0" w:color="auto"/>
            </w:tcBorders>
            <w:hideMark/>
          </w:tcPr>
          <w:p w14:paraId="19FA93D1" w14:textId="77777777" w:rsidR="00FA43C1" w:rsidRDefault="00FA43C1">
            <w:pPr>
              <w:pStyle w:val="Kommentartekst"/>
              <w:keepNext/>
              <w:rPr>
                <w:b/>
                <w:bCs/>
                <w:sz w:val="22"/>
                <w:szCs w:val="22"/>
              </w:rPr>
            </w:pPr>
            <w:r>
              <w:rPr>
                <w:b/>
                <w:sz w:val="22"/>
              </w:rPr>
              <w:t>Samlet anbefalet dosis</w:t>
            </w:r>
          </w:p>
        </w:tc>
        <w:tc>
          <w:tcPr>
            <w:tcW w:w="4394" w:type="dxa"/>
            <w:tcBorders>
              <w:top w:val="single" w:sz="4" w:space="0" w:color="auto"/>
              <w:left w:val="single" w:sz="4" w:space="0" w:color="auto"/>
              <w:bottom w:val="single" w:sz="4" w:space="0" w:color="auto"/>
              <w:right w:val="single" w:sz="4" w:space="0" w:color="auto"/>
            </w:tcBorders>
            <w:hideMark/>
          </w:tcPr>
          <w:p w14:paraId="3D05698E" w14:textId="77777777" w:rsidR="00FA43C1" w:rsidRDefault="00FA43C1">
            <w:pPr>
              <w:pStyle w:val="Kommentartekst"/>
              <w:keepNext/>
              <w:rPr>
                <w:b/>
                <w:bCs/>
                <w:sz w:val="22"/>
                <w:szCs w:val="22"/>
              </w:rPr>
            </w:pPr>
            <w:r>
              <w:rPr>
                <w:b/>
                <w:sz w:val="22"/>
              </w:rPr>
              <w:t>Dosis pr. injektion</w:t>
            </w:r>
          </w:p>
        </w:tc>
      </w:tr>
      <w:tr w:rsidR="00FA43C1" w14:paraId="29DFA84F" w14:textId="77777777" w:rsidTr="00FA43C1">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4583FCE6" w14:textId="77777777" w:rsidR="00FA43C1" w:rsidRDefault="00FA43C1">
            <w:pPr>
              <w:pStyle w:val="Kommentartekst"/>
              <w:keepNext/>
              <w:rPr>
                <w:sz w:val="22"/>
                <w:szCs w:val="22"/>
              </w:rPr>
            </w:pPr>
            <w:r>
              <w:rPr>
                <w:sz w:val="22"/>
              </w:rPr>
              <w:t>Glabellarynker (GL)</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89E9E7" w14:textId="77777777" w:rsidR="00FA43C1" w:rsidRDefault="00FA43C1">
            <w:pPr>
              <w:pStyle w:val="Kommentartekst"/>
              <w:keepNext/>
              <w:rPr>
                <w:sz w:val="22"/>
                <w:szCs w:val="22"/>
              </w:rPr>
            </w:pPr>
            <w:r>
              <w:rPr>
                <w:sz w:val="22"/>
              </w:rPr>
              <w:t xml:space="preserve">50 enheder (0,5 ml)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CDF47C5" w14:textId="77777777" w:rsidR="00FA43C1" w:rsidRDefault="00FA43C1">
            <w:pPr>
              <w:pStyle w:val="Kommentartekst"/>
              <w:keepNext/>
              <w:rPr>
                <w:sz w:val="22"/>
                <w:szCs w:val="22"/>
              </w:rPr>
            </w:pPr>
            <w:r>
              <w:rPr>
                <w:sz w:val="22"/>
              </w:rPr>
              <w:t>5 injektioner à 10 enheder (0,1 ml):</w:t>
            </w:r>
          </w:p>
          <w:p w14:paraId="6CD105FD" w14:textId="77777777" w:rsidR="00FA43C1" w:rsidRDefault="00FA43C1">
            <w:pPr>
              <w:pStyle w:val="Kommentartekst"/>
              <w:keepNext/>
              <w:rPr>
                <w:sz w:val="22"/>
                <w:szCs w:val="22"/>
              </w:rPr>
            </w:pPr>
            <w:r>
              <w:rPr>
                <w:sz w:val="22"/>
              </w:rPr>
              <w:t xml:space="preserve">2 injektioner på hver side i corrugator-musklen og 1 injektion ved procerus-musklen tæt på den nasofrontale vinkel (se </w:t>
            </w:r>
            <w:r>
              <w:rPr>
                <w:b/>
                <w:sz w:val="22"/>
              </w:rPr>
              <w:t>figur 1</w:t>
            </w:r>
            <w:r>
              <w:rPr>
                <w:sz w:val="22"/>
              </w:rPr>
              <w:t>)</w:t>
            </w:r>
          </w:p>
        </w:tc>
      </w:tr>
      <w:tr w:rsidR="00FA43C1" w14:paraId="7D5AC134" w14:textId="77777777" w:rsidTr="00FA43C1">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044899AC" w14:textId="77777777" w:rsidR="00FA43C1" w:rsidRDefault="00FA43C1">
            <w:pPr>
              <w:pStyle w:val="Kommentartekst"/>
              <w:keepNext/>
              <w:rPr>
                <w:sz w:val="22"/>
                <w:szCs w:val="22"/>
              </w:rPr>
            </w:pPr>
            <w:r>
              <w:rPr>
                <w:sz w:val="22"/>
              </w:rPr>
              <w:t>Rynker i laterale canthus (LCL)</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03C0D16" w14:textId="77777777" w:rsidR="00FA43C1" w:rsidRDefault="00FA43C1">
            <w:pPr>
              <w:pStyle w:val="Kommentartekst"/>
              <w:keepNext/>
              <w:rPr>
                <w:sz w:val="22"/>
                <w:szCs w:val="22"/>
              </w:rPr>
            </w:pPr>
            <w:r>
              <w:rPr>
                <w:sz w:val="22"/>
              </w:rPr>
              <w:t>60 enheder (0,6 ml)</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ACEE846" w14:textId="77777777" w:rsidR="00FA43C1" w:rsidRDefault="00FA43C1">
            <w:pPr>
              <w:pStyle w:val="Kommentartekst"/>
              <w:keepNext/>
              <w:rPr>
                <w:sz w:val="22"/>
                <w:szCs w:val="22"/>
              </w:rPr>
            </w:pPr>
            <w:r>
              <w:rPr>
                <w:sz w:val="22"/>
              </w:rPr>
              <w:t>6 injektioner à 10 enheder (0,1 ml):</w:t>
            </w:r>
          </w:p>
          <w:p w14:paraId="7EB192D4" w14:textId="77777777" w:rsidR="00FA43C1" w:rsidRDefault="00FA43C1">
            <w:pPr>
              <w:keepNext/>
              <w:rPr>
                <w:bCs/>
                <w:sz w:val="22"/>
                <w:szCs w:val="22"/>
              </w:rPr>
            </w:pPr>
            <w:r>
              <w:t xml:space="preserve">3 injektioner på hver side i orbicularis oculi-musklen (se </w:t>
            </w:r>
            <w:r>
              <w:rPr>
                <w:b/>
              </w:rPr>
              <w:t>figur 2</w:t>
            </w:r>
            <w:r>
              <w:t>)</w:t>
            </w:r>
          </w:p>
        </w:tc>
      </w:tr>
      <w:tr w:rsidR="00FA43C1" w14:paraId="5AA01B74" w14:textId="77777777" w:rsidTr="00FA43C1">
        <w:trPr>
          <w:cantSplit/>
        </w:trPr>
        <w:tc>
          <w:tcPr>
            <w:tcW w:w="2694" w:type="dxa"/>
            <w:tcBorders>
              <w:top w:val="single" w:sz="4" w:space="0" w:color="auto"/>
              <w:left w:val="single" w:sz="4" w:space="0" w:color="auto"/>
              <w:bottom w:val="single" w:sz="4" w:space="0" w:color="auto"/>
              <w:right w:val="single" w:sz="4" w:space="0" w:color="auto"/>
            </w:tcBorders>
            <w:vAlign w:val="center"/>
            <w:hideMark/>
          </w:tcPr>
          <w:p w14:paraId="1DB2E134" w14:textId="77777777" w:rsidR="00FA43C1" w:rsidRDefault="00FA43C1">
            <w:pPr>
              <w:pStyle w:val="Kommentartekst"/>
              <w:keepNext/>
              <w:rPr>
                <w:sz w:val="22"/>
                <w:szCs w:val="22"/>
              </w:rPr>
            </w:pPr>
            <w:r>
              <w:rPr>
                <w:sz w:val="22"/>
              </w:rPr>
              <w:t>Kombineret behandling af glabellarynker og rynker i laterale canthus</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763E5C" w14:textId="77777777" w:rsidR="00FA43C1" w:rsidRDefault="00FA43C1">
            <w:pPr>
              <w:pStyle w:val="Kommentartekst"/>
              <w:keepNext/>
              <w:rPr>
                <w:sz w:val="22"/>
                <w:szCs w:val="22"/>
              </w:rPr>
            </w:pPr>
            <w:r>
              <w:rPr>
                <w:sz w:val="22"/>
              </w:rPr>
              <w:t xml:space="preserve">110 enheder (1,1 ml) </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D4351A6" w14:textId="77777777" w:rsidR="00FA43C1" w:rsidRDefault="00FA43C1">
            <w:pPr>
              <w:pStyle w:val="Kommentartekst"/>
              <w:keepNext/>
              <w:rPr>
                <w:sz w:val="22"/>
                <w:szCs w:val="22"/>
              </w:rPr>
            </w:pPr>
            <w:r>
              <w:rPr>
                <w:sz w:val="22"/>
              </w:rPr>
              <w:t>I alt 11 injektioner à 10 enheder (0,1 ml) til kombineret GL og LCL</w:t>
            </w:r>
          </w:p>
        </w:tc>
      </w:tr>
    </w:tbl>
    <w:p w14:paraId="4B4A1C4A" w14:textId="77777777" w:rsidR="00FA43C1" w:rsidRDefault="00FA43C1" w:rsidP="00FA43C1">
      <w:pPr>
        <w:pStyle w:val="Kommentartekst"/>
        <w:rPr>
          <w:szCs w:val="24"/>
          <w:lang w:eastAsia="en-US"/>
        </w:rPr>
      </w:pPr>
    </w:p>
    <w:p w14:paraId="752C12FA" w14:textId="77777777" w:rsidR="00FA43C1" w:rsidRPr="00FA43C1" w:rsidRDefault="00FA43C1" w:rsidP="00FA43C1">
      <w:pPr>
        <w:ind w:left="851"/>
        <w:rPr>
          <w:i/>
          <w:iCs/>
          <w:sz w:val="24"/>
          <w:szCs w:val="24"/>
        </w:rPr>
      </w:pPr>
      <w:r w:rsidRPr="00FA43C1">
        <w:rPr>
          <w:i/>
          <w:sz w:val="24"/>
          <w:szCs w:val="24"/>
        </w:rPr>
        <w:t>Generel information</w:t>
      </w:r>
    </w:p>
    <w:p w14:paraId="36E107B1" w14:textId="77777777" w:rsidR="00FA43C1" w:rsidRPr="00FA43C1" w:rsidRDefault="00FA43C1" w:rsidP="00FA43C1">
      <w:pPr>
        <w:ind w:left="851"/>
        <w:rPr>
          <w:sz w:val="24"/>
          <w:szCs w:val="24"/>
        </w:rPr>
      </w:pPr>
      <w:r w:rsidRPr="00FA43C1">
        <w:rPr>
          <w:sz w:val="24"/>
          <w:szCs w:val="24"/>
        </w:rPr>
        <w:t>I tilfælde af manglende eller nedsat virkning af behandlingen efter gentagne injektioner bør andre metoder tages i brug. I tilfælde af manglende virkning efter første behandling kan følgende fremgangsmåder overvejes:</w:t>
      </w:r>
    </w:p>
    <w:p w14:paraId="71F0E957" w14:textId="77777777" w:rsidR="00FA43C1" w:rsidRPr="00FA43C1" w:rsidRDefault="00FA43C1" w:rsidP="00FA43C1">
      <w:pPr>
        <w:pStyle w:val="Listeafsnit"/>
        <w:numPr>
          <w:ilvl w:val="0"/>
          <w:numId w:val="7"/>
        </w:numPr>
        <w:tabs>
          <w:tab w:val="clear" w:pos="567"/>
          <w:tab w:val="left" w:pos="709"/>
        </w:tabs>
        <w:spacing w:line="240" w:lineRule="auto"/>
        <w:ind w:left="1134" w:hanging="283"/>
        <w:rPr>
          <w:sz w:val="24"/>
          <w:szCs w:val="24"/>
        </w:rPr>
      </w:pPr>
      <w:r w:rsidRPr="00FA43C1">
        <w:rPr>
          <w:sz w:val="24"/>
          <w:szCs w:val="24"/>
        </w:rPr>
        <w:t>Årsagerne til behandlingssvigt analyseres, for eksempel injektion i de forkerte muskler, forkert injektionsteknik eller dannelse af toksinneutraliserende antistoffer.</w:t>
      </w:r>
    </w:p>
    <w:p w14:paraId="423498DB" w14:textId="77777777" w:rsidR="00FA43C1" w:rsidRPr="00FA43C1" w:rsidRDefault="00FA43C1" w:rsidP="00FA43C1">
      <w:pPr>
        <w:pStyle w:val="Listeafsnit"/>
        <w:numPr>
          <w:ilvl w:val="0"/>
          <w:numId w:val="7"/>
        </w:numPr>
        <w:tabs>
          <w:tab w:val="clear" w:pos="567"/>
          <w:tab w:val="left" w:pos="709"/>
        </w:tabs>
        <w:spacing w:line="240" w:lineRule="auto"/>
        <w:ind w:left="1134" w:hanging="283"/>
        <w:rPr>
          <w:sz w:val="24"/>
          <w:szCs w:val="24"/>
        </w:rPr>
      </w:pPr>
      <w:r w:rsidRPr="00FA43C1">
        <w:rPr>
          <w:sz w:val="24"/>
          <w:szCs w:val="24"/>
        </w:rPr>
        <w:t>Reevaluering af relevansen af behandling med botulinumtoksin A.</w:t>
      </w:r>
    </w:p>
    <w:p w14:paraId="76D8D2E9" w14:textId="77777777" w:rsidR="00FA43C1" w:rsidRPr="00FA43C1" w:rsidRDefault="00FA43C1" w:rsidP="00FA43C1">
      <w:pPr>
        <w:ind w:left="851"/>
        <w:rPr>
          <w:bCs/>
          <w:i/>
          <w:iCs/>
          <w:sz w:val="24"/>
          <w:szCs w:val="24"/>
        </w:rPr>
      </w:pPr>
    </w:p>
    <w:p w14:paraId="77202E2D" w14:textId="77777777" w:rsidR="00FA43C1" w:rsidRPr="00FA43C1" w:rsidRDefault="00FA43C1" w:rsidP="00FA43C1">
      <w:pPr>
        <w:keepNext/>
        <w:ind w:left="851"/>
        <w:rPr>
          <w:bCs/>
          <w:i/>
          <w:iCs/>
          <w:sz w:val="24"/>
          <w:szCs w:val="24"/>
        </w:rPr>
      </w:pPr>
      <w:r w:rsidRPr="00FA43C1">
        <w:rPr>
          <w:i/>
          <w:sz w:val="24"/>
          <w:szCs w:val="24"/>
        </w:rPr>
        <w:t>Pædiatrisk population</w:t>
      </w:r>
    </w:p>
    <w:p w14:paraId="2898662A" w14:textId="77777777" w:rsidR="00FA43C1" w:rsidRPr="00FA43C1" w:rsidRDefault="00FA43C1" w:rsidP="00FA43C1">
      <w:pPr>
        <w:autoSpaceDE w:val="0"/>
        <w:autoSpaceDN w:val="0"/>
        <w:adjustRightInd w:val="0"/>
        <w:ind w:left="851"/>
        <w:rPr>
          <w:sz w:val="24"/>
          <w:szCs w:val="24"/>
        </w:rPr>
      </w:pPr>
      <w:r w:rsidRPr="00FA43C1">
        <w:rPr>
          <w:sz w:val="24"/>
          <w:szCs w:val="24"/>
        </w:rPr>
        <w:t xml:space="preserve">Relfydess' sikkerhed og virkning hos børn op til 18 år er ikke klarlagt. </w:t>
      </w:r>
    </w:p>
    <w:p w14:paraId="79942FCC" w14:textId="77777777" w:rsidR="00FA43C1" w:rsidRPr="00FA43C1" w:rsidRDefault="00FA43C1" w:rsidP="00FA43C1">
      <w:pPr>
        <w:autoSpaceDE w:val="0"/>
        <w:autoSpaceDN w:val="0"/>
        <w:adjustRightInd w:val="0"/>
        <w:ind w:left="851"/>
        <w:rPr>
          <w:sz w:val="24"/>
          <w:szCs w:val="24"/>
        </w:rPr>
      </w:pPr>
      <w:r w:rsidRPr="00FA43C1">
        <w:rPr>
          <w:sz w:val="24"/>
          <w:szCs w:val="24"/>
        </w:rPr>
        <w:t xml:space="preserve">Anvendelse af </w:t>
      </w:r>
      <w:bookmarkStart w:id="0" w:name="_Hlk118374513"/>
      <w:r w:rsidRPr="00FA43C1">
        <w:rPr>
          <w:sz w:val="24"/>
          <w:szCs w:val="24"/>
        </w:rPr>
        <w:t xml:space="preserve">Relfydess </w:t>
      </w:r>
      <w:bookmarkEnd w:id="0"/>
      <w:r w:rsidRPr="00FA43C1">
        <w:rPr>
          <w:sz w:val="24"/>
          <w:szCs w:val="24"/>
        </w:rPr>
        <w:t xml:space="preserve">anbefales ikke til patienter under 18 år. </w:t>
      </w:r>
    </w:p>
    <w:p w14:paraId="44FA9D72" w14:textId="77777777" w:rsidR="00FA43C1" w:rsidRPr="00FA43C1" w:rsidRDefault="00FA43C1" w:rsidP="00FA43C1">
      <w:pPr>
        <w:autoSpaceDE w:val="0"/>
        <w:autoSpaceDN w:val="0"/>
        <w:adjustRightInd w:val="0"/>
        <w:ind w:left="851"/>
        <w:rPr>
          <w:sz w:val="24"/>
          <w:szCs w:val="24"/>
        </w:rPr>
      </w:pPr>
    </w:p>
    <w:p w14:paraId="5D76ED76" w14:textId="77777777" w:rsidR="00FA43C1" w:rsidRPr="00FA43C1" w:rsidRDefault="00FA43C1" w:rsidP="00FA43C1">
      <w:pPr>
        <w:keepNext/>
        <w:ind w:left="851"/>
        <w:rPr>
          <w:bCs/>
          <w:i/>
          <w:iCs/>
          <w:sz w:val="24"/>
          <w:szCs w:val="24"/>
        </w:rPr>
      </w:pPr>
      <w:r w:rsidRPr="00FA43C1">
        <w:rPr>
          <w:i/>
          <w:sz w:val="24"/>
          <w:szCs w:val="24"/>
        </w:rPr>
        <w:t>Ældre</w:t>
      </w:r>
    </w:p>
    <w:p w14:paraId="3680B9E9" w14:textId="77777777" w:rsidR="00FA43C1" w:rsidRPr="00FA43C1" w:rsidRDefault="00FA43C1" w:rsidP="00FA43C1">
      <w:pPr>
        <w:autoSpaceDE w:val="0"/>
        <w:autoSpaceDN w:val="0"/>
        <w:adjustRightInd w:val="0"/>
        <w:ind w:left="851"/>
        <w:rPr>
          <w:rFonts w:eastAsia="SimSun"/>
          <w:sz w:val="24"/>
          <w:szCs w:val="24"/>
        </w:rPr>
      </w:pPr>
      <w:r w:rsidRPr="00FA43C1">
        <w:rPr>
          <w:sz w:val="24"/>
          <w:szCs w:val="24"/>
        </w:rPr>
        <w:t>Der er begrænsede kliniske fase 3-data om anvendelse af Relfydess til patienter på 65 år og derover.</w:t>
      </w:r>
    </w:p>
    <w:p w14:paraId="1FBE1B12" w14:textId="77777777" w:rsidR="00FA43C1" w:rsidRDefault="00FA43C1" w:rsidP="00FA43C1">
      <w:pPr>
        <w:keepNext/>
        <w:ind w:left="851"/>
        <w:rPr>
          <w:sz w:val="24"/>
          <w:szCs w:val="24"/>
          <w:u w:val="single"/>
        </w:rPr>
      </w:pPr>
    </w:p>
    <w:p w14:paraId="6A18BFAB" w14:textId="275C6C93" w:rsidR="00FA43C1" w:rsidRPr="00FA43C1" w:rsidRDefault="00FA43C1" w:rsidP="00FA43C1">
      <w:pPr>
        <w:keepNext/>
        <w:ind w:left="851"/>
        <w:rPr>
          <w:sz w:val="24"/>
          <w:szCs w:val="24"/>
        </w:rPr>
      </w:pPr>
      <w:r w:rsidRPr="00FA43C1">
        <w:rPr>
          <w:sz w:val="24"/>
          <w:szCs w:val="24"/>
          <w:u w:val="single"/>
        </w:rPr>
        <w:t>Administration</w:t>
      </w:r>
      <w:r w:rsidRPr="00FA43C1">
        <w:rPr>
          <w:sz w:val="24"/>
          <w:szCs w:val="24"/>
        </w:rPr>
        <w:t xml:space="preserve"> </w:t>
      </w:r>
    </w:p>
    <w:p w14:paraId="4677E2A7" w14:textId="77777777" w:rsidR="00FA43C1" w:rsidRPr="00FA43C1" w:rsidRDefault="00FA43C1" w:rsidP="00FA43C1">
      <w:pPr>
        <w:ind w:left="851"/>
        <w:rPr>
          <w:sz w:val="24"/>
          <w:szCs w:val="24"/>
        </w:rPr>
      </w:pPr>
      <w:r w:rsidRPr="00FA43C1">
        <w:rPr>
          <w:sz w:val="24"/>
          <w:szCs w:val="24"/>
        </w:rPr>
        <w:t>Relfydess må kun administreres af læger, der har de nødvendige kvalifikationer og ekspertisen inden for denne behandling og med det nødvendige udstyr i overensstemmelse med de nationale retningslinjer og lovgivningen.</w:t>
      </w:r>
    </w:p>
    <w:p w14:paraId="003F005B" w14:textId="77777777" w:rsidR="00FA43C1" w:rsidRPr="00FA43C1" w:rsidRDefault="00FA43C1" w:rsidP="00FA43C1">
      <w:pPr>
        <w:ind w:left="851"/>
        <w:rPr>
          <w:sz w:val="24"/>
          <w:szCs w:val="24"/>
        </w:rPr>
      </w:pPr>
    </w:p>
    <w:p w14:paraId="0BFD54D1" w14:textId="77777777" w:rsidR="00FA43C1" w:rsidRPr="00FA43C1" w:rsidRDefault="00FA43C1" w:rsidP="00FA43C1">
      <w:pPr>
        <w:ind w:left="851"/>
        <w:rPr>
          <w:sz w:val="24"/>
          <w:szCs w:val="24"/>
        </w:rPr>
      </w:pPr>
      <w:r w:rsidRPr="00FA43C1">
        <w:rPr>
          <w:sz w:val="24"/>
          <w:szCs w:val="24"/>
        </w:rPr>
        <w:t>Intramuskulær anvendelse.</w:t>
      </w:r>
    </w:p>
    <w:p w14:paraId="10AB7A6C" w14:textId="77777777" w:rsidR="00FA43C1" w:rsidRPr="00FA43C1" w:rsidRDefault="00FA43C1" w:rsidP="00FA43C1">
      <w:pPr>
        <w:ind w:left="851"/>
        <w:rPr>
          <w:sz w:val="24"/>
          <w:szCs w:val="24"/>
        </w:rPr>
      </w:pPr>
    </w:p>
    <w:p w14:paraId="1D842E56" w14:textId="77777777" w:rsidR="00FA43C1" w:rsidRPr="00FA43C1" w:rsidRDefault="00FA43C1" w:rsidP="00FA43C1">
      <w:pPr>
        <w:ind w:left="851"/>
        <w:rPr>
          <w:rFonts w:eastAsia="SimSun"/>
          <w:sz w:val="24"/>
          <w:szCs w:val="24"/>
        </w:rPr>
      </w:pPr>
      <w:r w:rsidRPr="00FA43C1">
        <w:rPr>
          <w:sz w:val="24"/>
          <w:szCs w:val="24"/>
        </w:rPr>
        <w:t>Dosering og behandlingsintervaller afhænger af en vurdering af den enkelte patients respons, men må ikke overstige de maksimalt tilladte doser, og behandlingsintervallet skal vare mindst 12 uger.</w:t>
      </w:r>
    </w:p>
    <w:p w14:paraId="72F24ACE" w14:textId="77777777" w:rsidR="00FA43C1" w:rsidRPr="00FA43C1" w:rsidRDefault="00FA43C1" w:rsidP="00FA43C1">
      <w:pPr>
        <w:ind w:left="851"/>
        <w:rPr>
          <w:sz w:val="24"/>
          <w:szCs w:val="24"/>
        </w:rPr>
      </w:pPr>
    </w:p>
    <w:p w14:paraId="542CB3D0" w14:textId="77777777" w:rsidR="00FA43C1" w:rsidRPr="00FA43C1" w:rsidRDefault="00FA43C1" w:rsidP="00FA43C1">
      <w:pPr>
        <w:ind w:left="851"/>
        <w:rPr>
          <w:sz w:val="24"/>
          <w:szCs w:val="24"/>
        </w:rPr>
      </w:pPr>
      <w:r w:rsidRPr="00FA43C1">
        <w:rPr>
          <w:sz w:val="24"/>
          <w:szCs w:val="24"/>
        </w:rPr>
        <w:t>Hvert hætteglas må kun anvendes til en enkelt patient i en enkelt behandling. Eventuelt resterende produkt efter behandlingen skal kasseres.</w:t>
      </w:r>
    </w:p>
    <w:p w14:paraId="51FB153E" w14:textId="77777777" w:rsidR="00FA43C1" w:rsidRPr="00FA43C1" w:rsidRDefault="00FA43C1" w:rsidP="00FA43C1">
      <w:pPr>
        <w:ind w:left="851"/>
        <w:rPr>
          <w:i/>
          <w:iCs/>
          <w:sz w:val="24"/>
          <w:szCs w:val="24"/>
        </w:rPr>
      </w:pPr>
    </w:p>
    <w:p w14:paraId="286ACDD5" w14:textId="77777777" w:rsidR="00FA43C1" w:rsidRPr="00FA43C1" w:rsidRDefault="00FA43C1" w:rsidP="00FA43C1">
      <w:pPr>
        <w:ind w:left="851"/>
        <w:rPr>
          <w:sz w:val="24"/>
          <w:szCs w:val="24"/>
        </w:rPr>
      </w:pPr>
      <w:r w:rsidRPr="00FA43C1">
        <w:rPr>
          <w:sz w:val="24"/>
          <w:szCs w:val="24"/>
        </w:rPr>
        <w:t>For at forebygge krydsinfektioner skal der anvendes aseptisk teknik og standardpraksis. For instruktioner om håndtering og bortskaffelse af hætteglassene, se pkt. 6.6.</w:t>
      </w:r>
    </w:p>
    <w:p w14:paraId="246723D8" w14:textId="77777777" w:rsidR="00FA43C1" w:rsidRPr="00FA43C1" w:rsidRDefault="00FA43C1" w:rsidP="00FA43C1">
      <w:pPr>
        <w:ind w:left="851"/>
        <w:rPr>
          <w:sz w:val="24"/>
          <w:szCs w:val="24"/>
        </w:rPr>
      </w:pPr>
    </w:p>
    <w:p w14:paraId="23D6E98A" w14:textId="77777777" w:rsidR="00FA43C1" w:rsidRPr="00FA43C1" w:rsidRDefault="00FA43C1" w:rsidP="00FA43C1">
      <w:pPr>
        <w:pStyle w:val="Kommentartekst"/>
        <w:ind w:left="851"/>
        <w:rPr>
          <w:sz w:val="24"/>
          <w:szCs w:val="24"/>
        </w:rPr>
      </w:pPr>
      <w:r w:rsidRPr="00FA43C1">
        <w:rPr>
          <w:sz w:val="24"/>
          <w:szCs w:val="24"/>
        </w:rPr>
        <w:t>Mediantiden indtil virkningen indtræffer er 2-3 dage. Nogle patienter har dog rapporteret om en virkning efter 1 dag. Virkning af behandlingen er påvist i op til 6 måneder. Op mod 75 % af patienterne vender ikke tilbage til tilstanden ved baseline.</w:t>
      </w:r>
    </w:p>
    <w:p w14:paraId="06CA2555" w14:textId="77777777" w:rsidR="00FA43C1" w:rsidRPr="00FA43C1" w:rsidRDefault="00FA43C1" w:rsidP="00FA43C1">
      <w:pPr>
        <w:ind w:left="851"/>
        <w:rPr>
          <w:sz w:val="24"/>
          <w:szCs w:val="24"/>
        </w:rPr>
      </w:pPr>
    </w:p>
    <w:p w14:paraId="1406EB53" w14:textId="77777777" w:rsidR="00FA43C1" w:rsidRPr="00FA43C1" w:rsidRDefault="00FA43C1" w:rsidP="00FA43C1">
      <w:pPr>
        <w:pStyle w:val="TableParagraph"/>
        <w:keepNext/>
        <w:ind w:left="851"/>
        <w:jc w:val="both"/>
        <w:rPr>
          <w:rFonts w:ascii="Times New Roman" w:eastAsia="Times New Roman" w:hAnsi="Times New Roman" w:cs="Times New Roman"/>
          <w:i/>
          <w:iCs/>
          <w:sz w:val="24"/>
          <w:szCs w:val="24"/>
        </w:rPr>
      </w:pPr>
      <w:r w:rsidRPr="00FA43C1">
        <w:rPr>
          <w:rFonts w:ascii="Times New Roman" w:hAnsi="Times New Roman"/>
          <w:i/>
          <w:sz w:val="24"/>
          <w:szCs w:val="24"/>
        </w:rPr>
        <w:t>Glabellarynker</w:t>
      </w:r>
    </w:p>
    <w:p w14:paraId="687E8087" w14:textId="77777777" w:rsidR="00FA43C1" w:rsidRPr="00FA43C1" w:rsidRDefault="00FA43C1" w:rsidP="00FA43C1">
      <w:pPr>
        <w:pStyle w:val="TableParagraph"/>
        <w:ind w:left="851"/>
        <w:rPr>
          <w:rFonts w:ascii="Times New Roman" w:eastAsia="Times New Roman" w:hAnsi="Times New Roman" w:cs="Times New Roman"/>
          <w:sz w:val="24"/>
          <w:szCs w:val="24"/>
        </w:rPr>
      </w:pPr>
      <w:r w:rsidRPr="00FA43C1">
        <w:rPr>
          <w:rFonts w:ascii="Times New Roman" w:hAnsi="Times New Roman"/>
          <w:sz w:val="24"/>
          <w:szCs w:val="24"/>
        </w:rPr>
        <w:t xml:space="preserve">Den anbefalede dosis til behandling af glabellarynker hos voksne er i alt 50 enheder/0,5 ml, der administreres som en intramuskulær injektion, inddelt ligeligt (10 enheder/0,1 ml pr. injektion) på hver af de fem intramuskulære injektionssteder (se </w:t>
      </w:r>
      <w:r w:rsidRPr="00FA43C1">
        <w:rPr>
          <w:rFonts w:ascii="Times New Roman" w:hAnsi="Times New Roman"/>
          <w:b/>
          <w:sz w:val="24"/>
          <w:szCs w:val="24"/>
        </w:rPr>
        <w:t>figur 1</w:t>
      </w:r>
      <w:r w:rsidRPr="00FA43C1">
        <w:rPr>
          <w:rFonts w:ascii="Times New Roman" w:hAnsi="Times New Roman"/>
          <w:sz w:val="24"/>
          <w:szCs w:val="24"/>
        </w:rPr>
        <w:t>): 2 injektioner på hver side i corrugator-musklen og 1 injektion ved procerus-musklen tæt på den nasofrontale vinkel. De anatomiske referencepunkter er nemmere at identificere ved palpering og observation af patienten ved maksimal panderynken. Før og under injektionen trykkes tommel- eller pegefinger godt fast under orbitalranden for at undgå ekstravasation under randen. Kanylens skråkant skal pege opad og medialt under injektionen.</w:t>
      </w:r>
    </w:p>
    <w:p w14:paraId="5815AFC8" w14:textId="77777777" w:rsidR="00FA43C1" w:rsidRPr="00FA43C1" w:rsidRDefault="00FA43C1" w:rsidP="00FA43C1">
      <w:pPr>
        <w:pStyle w:val="TableParagraph"/>
        <w:ind w:left="851"/>
        <w:rPr>
          <w:rFonts w:asciiTheme="minorHAnsi" w:hAnsiTheme="minorHAnsi" w:cstheme="minorBidi"/>
          <w:sz w:val="24"/>
          <w:szCs w:val="24"/>
        </w:rPr>
      </w:pPr>
      <w:bookmarkStart w:id="1" w:name="_Hlk96075858"/>
    </w:p>
    <w:p w14:paraId="53056558" w14:textId="77777777" w:rsidR="00FA43C1" w:rsidRPr="00FA43C1" w:rsidRDefault="00FA43C1" w:rsidP="00FA43C1">
      <w:pPr>
        <w:pStyle w:val="TableParagraph"/>
        <w:ind w:left="851"/>
        <w:rPr>
          <w:rFonts w:ascii="Times New Roman" w:eastAsia="Times New Roman" w:hAnsi="Times New Roman" w:cs="Times New Roman"/>
          <w:sz w:val="24"/>
          <w:szCs w:val="24"/>
        </w:rPr>
      </w:pPr>
      <w:r w:rsidRPr="00FA43C1">
        <w:rPr>
          <w:rFonts w:ascii="Times New Roman" w:hAnsi="Times New Roman"/>
          <w:sz w:val="24"/>
          <w:szCs w:val="24"/>
        </w:rPr>
        <w:t>Følgende foranstaltninger skal træffes for at mindske risikoen for øjenlågsptose:</w:t>
      </w:r>
    </w:p>
    <w:p w14:paraId="110DCB12" w14:textId="77777777" w:rsidR="00FA43C1" w:rsidRPr="00FA43C1" w:rsidRDefault="00FA43C1" w:rsidP="00FA43C1">
      <w:pPr>
        <w:pStyle w:val="TableParagraph"/>
        <w:numPr>
          <w:ilvl w:val="0"/>
          <w:numId w:val="8"/>
        </w:numPr>
        <w:ind w:left="1134" w:hanging="283"/>
        <w:rPr>
          <w:rFonts w:ascii="Times New Roman" w:eastAsia="Times New Roman" w:hAnsi="Times New Roman" w:cs="Times New Roman"/>
          <w:sz w:val="24"/>
          <w:szCs w:val="24"/>
        </w:rPr>
      </w:pPr>
      <w:r w:rsidRPr="00FA43C1">
        <w:rPr>
          <w:rFonts w:ascii="Times New Roman" w:hAnsi="Times New Roman"/>
          <w:sz w:val="24"/>
          <w:szCs w:val="24"/>
        </w:rPr>
        <w:t>Undgå injektioner tæt på levator palpebrae superioris-musklen, især hos patienter med meget nedsunkne øjenbryn.</w:t>
      </w:r>
    </w:p>
    <w:p w14:paraId="59342CCE" w14:textId="77777777" w:rsidR="00FA43C1" w:rsidRPr="00FA43C1" w:rsidRDefault="00FA43C1" w:rsidP="00FA43C1">
      <w:pPr>
        <w:pStyle w:val="Listeafsnit"/>
        <w:numPr>
          <w:ilvl w:val="0"/>
          <w:numId w:val="8"/>
        </w:numPr>
        <w:shd w:val="clear" w:color="auto" w:fill="FFFFFF" w:themeFill="background1"/>
        <w:tabs>
          <w:tab w:val="clear" w:pos="567"/>
          <w:tab w:val="left" w:pos="1304"/>
        </w:tabs>
        <w:spacing w:line="240" w:lineRule="auto"/>
        <w:ind w:left="1134" w:hanging="283"/>
        <w:rPr>
          <w:sz w:val="24"/>
          <w:szCs w:val="24"/>
        </w:rPr>
      </w:pPr>
      <w:r w:rsidRPr="00FA43C1">
        <w:rPr>
          <w:sz w:val="24"/>
          <w:szCs w:val="24"/>
        </w:rPr>
        <w:t>Injektioner i laterale corrugator-muskel bør placeres mindst 1 cm over den benede supraorbitale forhøjning.</w:t>
      </w:r>
    </w:p>
    <w:p w14:paraId="41A7CEAD" w14:textId="77777777" w:rsidR="00FA43C1" w:rsidRPr="00FA43C1" w:rsidRDefault="00FA43C1" w:rsidP="00FA43C1">
      <w:pPr>
        <w:pStyle w:val="Listeafsnit"/>
        <w:numPr>
          <w:ilvl w:val="0"/>
          <w:numId w:val="8"/>
        </w:numPr>
        <w:shd w:val="clear" w:color="auto" w:fill="FFFFFF" w:themeFill="background1"/>
        <w:tabs>
          <w:tab w:val="clear" w:pos="567"/>
          <w:tab w:val="left" w:pos="1304"/>
        </w:tabs>
        <w:spacing w:line="240" w:lineRule="auto"/>
        <w:ind w:left="1134" w:hanging="283"/>
        <w:rPr>
          <w:sz w:val="24"/>
          <w:szCs w:val="24"/>
        </w:rPr>
      </w:pPr>
      <w:r w:rsidRPr="00FA43C1">
        <w:rPr>
          <w:sz w:val="24"/>
          <w:szCs w:val="24"/>
        </w:rPr>
        <w:t xml:space="preserve">Sørg for, at den injicerede dosis (volumen) er nøjagtig. </w:t>
      </w:r>
    </w:p>
    <w:p w14:paraId="5DB095A4" w14:textId="5B2148F2" w:rsidR="00FA43C1" w:rsidRDefault="00FA43C1" w:rsidP="00FA43C1">
      <w:pPr>
        <w:pStyle w:val="Listeafsnit"/>
        <w:numPr>
          <w:ilvl w:val="0"/>
          <w:numId w:val="8"/>
        </w:numPr>
        <w:shd w:val="clear" w:color="auto" w:fill="FFFFFF" w:themeFill="background1"/>
        <w:tabs>
          <w:tab w:val="clear" w:pos="567"/>
          <w:tab w:val="left" w:pos="1304"/>
        </w:tabs>
        <w:spacing w:line="240" w:lineRule="auto"/>
        <w:ind w:left="1134" w:hanging="283"/>
        <w:rPr>
          <w:sz w:val="24"/>
          <w:szCs w:val="24"/>
        </w:rPr>
      </w:pPr>
      <w:r w:rsidRPr="00FA43C1">
        <w:rPr>
          <w:sz w:val="24"/>
          <w:szCs w:val="24"/>
        </w:rPr>
        <w:t>Undgå injektioner tættere end 1 cm over midten af øjenbrynet.</w:t>
      </w:r>
    </w:p>
    <w:p w14:paraId="26F849BA" w14:textId="77777777" w:rsidR="00FA43C1" w:rsidRPr="00FA43C1" w:rsidRDefault="00FA43C1" w:rsidP="003E394E">
      <w:pPr>
        <w:pStyle w:val="Listeafsnit"/>
        <w:shd w:val="clear" w:color="auto" w:fill="FFFFFF" w:themeFill="background1"/>
        <w:tabs>
          <w:tab w:val="clear" w:pos="567"/>
          <w:tab w:val="left" w:pos="1304"/>
        </w:tabs>
        <w:spacing w:line="240" w:lineRule="auto"/>
        <w:ind w:left="1134"/>
        <w:rPr>
          <w:sz w:val="24"/>
          <w:szCs w:val="24"/>
        </w:rPr>
      </w:pPr>
    </w:p>
    <w:p w14:paraId="22A2A157" w14:textId="18390919" w:rsidR="00FA43C1" w:rsidRDefault="00FA43C1" w:rsidP="003E394E">
      <w:pPr>
        <w:pStyle w:val="TableParagraph"/>
        <w:keepNext/>
        <w:tabs>
          <w:tab w:val="left" w:pos="1843"/>
        </w:tabs>
        <w:ind w:left="851"/>
        <w:jc w:val="both"/>
        <w:rPr>
          <w:rFonts w:ascii="Times New Roman" w:hAnsi="Times New Roman"/>
          <w:b/>
        </w:rPr>
      </w:pPr>
      <w:r>
        <w:rPr>
          <w:rFonts w:ascii="Times New Roman" w:hAnsi="Times New Roman"/>
          <w:b/>
        </w:rPr>
        <w:t>Figur 1:</w:t>
      </w:r>
      <w:r>
        <w:rPr>
          <w:rFonts w:ascii="Times New Roman" w:hAnsi="Times New Roman"/>
          <w:b/>
        </w:rPr>
        <w:tab/>
        <w:t>Injektionssteder ved behandling af glabellarynker</w:t>
      </w:r>
    </w:p>
    <w:p w14:paraId="5F1EC737" w14:textId="77777777" w:rsidR="003E394E" w:rsidRDefault="003E394E" w:rsidP="00FA43C1">
      <w:pPr>
        <w:pStyle w:val="TableParagraph"/>
        <w:keepNext/>
        <w:jc w:val="both"/>
        <w:rPr>
          <w:rFonts w:ascii="Times New Roman" w:eastAsia="Times New Roman" w:hAnsi="Times New Roman" w:cs="Times New Roman"/>
          <w:b/>
          <w:bCs/>
        </w:rPr>
      </w:pPr>
    </w:p>
    <w:bookmarkEnd w:id="1"/>
    <w:p w14:paraId="541457FA" w14:textId="301F68D3" w:rsidR="00FA43C1" w:rsidRDefault="00FA43C1" w:rsidP="003E394E">
      <w:pPr>
        <w:pStyle w:val="TableParagraph"/>
        <w:ind w:left="709"/>
        <w:rPr>
          <w:rFonts w:asciiTheme="minorHAnsi" w:hAnsiTheme="minorHAnsi" w:cstheme="minorBidi"/>
        </w:rPr>
      </w:pPr>
      <w:r>
        <w:rPr>
          <w:noProof/>
        </w:rPr>
        <w:drawing>
          <wp:inline distT="0" distB="0" distL="0" distR="0" wp14:anchorId="6B897C4D" wp14:editId="208F3F02">
            <wp:extent cx="4168684" cy="2114550"/>
            <wp:effectExtent l="0" t="0" r="381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717" cy="2126233"/>
                    </a:xfrm>
                    <a:prstGeom prst="rect">
                      <a:avLst/>
                    </a:prstGeom>
                    <a:noFill/>
                    <a:ln>
                      <a:noFill/>
                    </a:ln>
                  </pic:spPr>
                </pic:pic>
              </a:graphicData>
            </a:graphic>
          </wp:inline>
        </w:drawing>
      </w:r>
    </w:p>
    <w:p w14:paraId="2B7FF5B4" w14:textId="77777777" w:rsidR="00FA43C1" w:rsidRPr="00FA43C1" w:rsidRDefault="00FA43C1" w:rsidP="00FA43C1">
      <w:pPr>
        <w:pStyle w:val="TableParagraph"/>
        <w:ind w:left="851"/>
        <w:jc w:val="both"/>
        <w:rPr>
          <w:rFonts w:asciiTheme="minorHAnsi" w:hAnsiTheme="minorHAnsi" w:cstheme="minorBidi"/>
          <w:sz w:val="24"/>
          <w:szCs w:val="24"/>
        </w:rPr>
      </w:pPr>
    </w:p>
    <w:p w14:paraId="6701B2BC" w14:textId="77777777" w:rsidR="00FA43C1" w:rsidRPr="00FA43C1" w:rsidRDefault="00FA43C1" w:rsidP="00FA43C1">
      <w:pPr>
        <w:pStyle w:val="TableParagraph"/>
        <w:keepNext/>
        <w:ind w:left="851"/>
        <w:jc w:val="both"/>
        <w:rPr>
          <w:rFonts w:ascii="Times New Roman" w:eastAsia="Times New Roman" w:hAnsi="Times New Roman" w:cs="Times New Roman"/>
          <w:i/>
          <w:iCs/>
          <w:sz w:val="24"/>
          <w:szCs w:val="24"/>
        </w:rPr>
      </w:pPr>
      <w:r w:rsidRPr="00FA43C1">
        <w:rPr>
          <w:rFonts w:ascii="Times New Roman" w:hAnsi="Times New Roman"/>
          <w:i/>
          <w:sz w:val="24"/>
          <w:szCs w:val="24"/>
        </w:rPr>
        <w:lastRenderedPageBreak/>
        <w:t>Rynker i laterale canthus</w:t>
      </w:r>
    </w:p>
    <w:p w14:paraId="4732C6EA" w14:textId="77777777" w:rsidR="00FA43C1" w:rsidRPr="00FA43C1" w:rsidRDefault="00FA43C1" w:rsidP="00FA43C1">
      <w:pPr>
        <w:pStyle w:val="TableParagraph"/>
        <w:ind w:left="851"/>
        <w:rPr>
          <w:rFonts w:ascii="Times New Roman" w:eastAsia="Times New Roman" w:hAnsi="Times New Roman" w:cs="Times New Roman"/>
          <w:sz w:val="24"/>
          <w:szCs w:val="24"/>
        </w:rPr>
      </w:pPr>
      <w:r w:rsidRPr="00FA43C1">
        <w:rPr>
          <w:rFonts w:ascii="Times New Roman" w:hAnsi="Times New Roman"/>
          <w:sz w:val="24"/>
          <w:szCs w:val="24"/>
        </w:rPr>
        <w:t xml:space="preserve">Den anbefalede dosis til behandling af rynker i laterale canthus hos voksne er i alt 60 enheder/0,6 ml, der administreres som en intramuskulær injektion, inddelt ligeligt i 10 enheder/0,1 ml på hver af de seks intramuskulære injektionssteder (se </w:t>
      </w:r>
      <w:r w:rsidRPr="00FA43C1">
        <w:rPr>
          <w:rFonts w:ascii="Times New Roman" w:hAnsi="Times New Roman"/>
          <w:b/>
          <w:sz w:val="24"/>
          <w:szCs w:val="24"/>
        </w:rPr>
        <w:t>figur 2</w:t>
      </w:r>
      <w:r w:rsidRPr="00FA43C1">
        <w:rPr>
          <w:rFonts w:ascii="Times New Roman" w:hAnsi="Times New Roman"/>
          <w:sz w:val="24"/>
          <w:szCs w:val="24"/>
        </w:rPr>
        <w:t xml:space="preserve">): Valgmulighed 1 og valgmulighed 2): 3 injektioner (30 enheder/0,3 ml) på hver side af orbicularis oculi-musklen. Injektionerne skal gives med kanylens skråkant pegende opad og væk fra øjet i orbicularis oculi-musklen. Injicér som i valgmulighed 1, hvis rynkerne i området ud for laterale canthus findes både over og under canthus. Injicér som i valgmulighed 2, hvis rynkerne i området ud for laterale canthus fortrinsvis er under laterale canthus. </w:t>
      </w:r>
    </w:p>
    <w:p w14:paraId="0205D913" w14:textId="77777777" w:rsidR="00FA43C1" w:rsidRDefault="00FA43C1" w:rsidP="00FA43C1">
      <w:pPr>
        <w:pStyle w:val="TableParagraph"/>
        <w:rPr>
          <w:rFonts w:ascii="Times New Roman" w:eastAsia="Times New Roman" w:hAnsi="Times New Roman" w:cs="Times New Roman"/>
          <w:lang w:val="sv-SE"/>
        </w:rPr>
      </w:pPr>
    </w:p>
    <w:p w14:paraId="35656E1E" w14:textId="77777777" w:rsidR="00FA43C1" w:rsidRDefault="00FA43C1" w:rsidP="00B3589A">
      <w:pPr>
        <w:pStyle w:val="TableParagraph"/>
        <w:keepNext/>
        <w:tabs>
          <w:tab w:val="left" w:pos="1985"/>
        </w:tabs>
        <w:ind w:left="851"/>
        <w:rPr>
          <w:rFonts w:ascii="Times New Roman" w:eastAsia="Times New Roman" w:hAnsi="Times New Roman" w:cs="Times New Roman"/>
          <w:b/>
          <w:bCs/>
        </w:rPr>
      </w:pPr>
      <w:r>
        <w:rPr>
          <w:rFonts w:ascii="Times New Roman" w:hAnsi="Times New Roman"/>
          <w:b/>
        </w:rPr>
        <w:t>Figur 2:</w:t>
      </w:r>
      <w:r>
        <w:rPr>
          <w:rFonts w:ascii="Times New Roman" w:hAnsi="Times New Roman"/>
          <w:b/>
        </w:rPr>
        <w:tab/>
        <w:t>Injektionssteder ved behandling af rynker i laterale canthus</w:t>
      </w:r>
    </w:p>
    <w:p w14:paraId="0F3E41EE" w14:textId="77777777" w:rsidR="00FA43C1" w:rsidRDefault="00FA43C1" w:rsidP="00FA43C1">
      <w:pPr>
        <w:pStyle w:val="TableParagraph"/>
        <w:keepNext/>
        <w:rPr>
          <w:rFonts w:ascii="Times New Roman" w:eastAsia="Times New Roman" w:hAnsi="Times New Roman" w:cs="Times New Roman"/>
          <w:b/>
          <w:bCs/>
          <w:lang w:val="sv-SE"/>
        </w:rPr>
      </w:pPr>
    </w:p>
    <w:p w14:paraId="62740773" w14:textId="6F8EFD96" w:rsidR="00FA43C1" w:rsidRDefault="00B3589A" w:rsidP="00B3589A">
      <w:pPr>
        <w:pStyle w:val="paragraph"/>
        <w:keepNext/>
        <w:tabs>
          <w:tab w:val="left" w:pos="5812"/>
        </w:tabs>
        <w:spacing w:before="0" w:beforeAutospacing="0" w:after="0" w:afterAutospacing="0"/>
        <w:ind w:left="851"/>
        <w:jc w:val="both"/>
        <w:rPr>
          <w:b/>
          <w:bCs/>
          <w:i/>
          <w:iCs/>
          <w:sz w:val="22"/>
          <w:szCs w:val="22"/>
        </w:rPr>
      </w:pPr>
      <w:r>
        <w:rPr>
          <w:noProof/>
        </w:rPr>
        <w:drawing>
          <wp:anchor distT="0" distB="0" distL="114300" distR="114300" simplePos="0" relativeHeight="251660288" behindDoc="1" locked="0" layoutInCell="1" allowOverlap="1" wp14:anchorId="1ABF5AE6" wp14:editId="25771047">
            <wp:simplePos x="0" y="0"/>
            <wp:positionH relativeFrom="column">
              <wp:posOffset>3794760</wp:posOffset>
            </wp:positionH>
            <wp:positionV relativeFrom="paragraph">
              <wp:posOffset>196850</wp:posOffset>
            </wp:positionV>
            <wp:extent cx="1727200" cy="1916430"/>
            <wp:effectExtent l="0" t="0" r="6350" b="762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0" cy="19164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A0EF994" wp14:editId="79BEFF59">
            <wp:simplePos x="0" y="0"/>
            <wp:positionH relativeFrom="margin">
              <wp:posOffset>600710</wp:posOffset>
            </wp:positionH>
            <wp:positionV relativeFrom="paragraph">
              <wp:posOffset>209550</wp:posOffset>
            </wp:positionV>
            <wp:extent cx="1784350" cy="1931670"/>
            <wp:effectExtent l="0" t="0" r="6350"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0" cy="1931670"/>
                    </a:xfrm>
                    <a:prstGeom prst="rect">
                      <a:avLst/>
                    </a:prstGeom>
                    <a:noFill/>
                  </pic:spPr>
                </pic:pic>
              </a:graphicData>
            </a:graphic>
            <wp14:sizeRelH relativeFrom="margin">
              <wp14:pctWidth>0</wp14:pctWidth>
            </wp14:sizeRelH>
            <wp14:sizeRelV relativeFrom="margin">
              <wp14:pctHeight>0</wp14:pctHeight>
            </wp14:sizeRelV>
          </wp:anchor>
        </w:drawing>
      </w:r>
      <w:r w:rsidR="00FA43C1">
        <w:rPr>
          <w:b/>
          <w:sz w:val="22"/>
        </w:rPr>
        <w:t>Valgmulighed 1: Over og under laterale canthus</w:t>
      </w:r>
      <w:r>
        <w:rPr>
          <w:b/>
          <w:sz w:val="22"/>
        </w:rPr>
        <w:tab/>
      </w:r>
      <w:r w:rsidR="00FA43C1">
        <w:rPr>
          <w:b/>
          <w:sz w:val="22"/>
        </w:rPr>
        <w:t>Valgmulighed 2: Under laterale canthus</w:t>
      </w:r>
    </w:p>
    <w:p w14:paraId="5ED5BA9D" w14:textId="77777777" w:rsidR="00FA43C1" w:rsidRDefault="00FA43C1" w:rsidP="00FA43C1">
      <w:pPr>
        <w:pStyle w:val="TableParagraph"/>
        <w:ind w:left="851"/>
        <w:rPr>
          <w:rFonts w:ascii="Times New Roman" w:hAnsi="Times New Roman"/>
          <w:sz w:val="24"/>
          <w:szCs w:val="24"/>
        </w:rPr>
      </w:pPr>
    </w:p>
    <w:p w14:paraId="184EA544" w14:textId="1E3127EF" w:rsidR="00FA43C1" w:rsidRPr="00FA43C1" w:rsidRDefault="00FA43C1" w:rsidP="00FA43C1">
      <w:pPr>
        <w:pStyle w:val="TableParagraph"/>
        <w:ind w:left="851"/>
        <w:rPr>
          <w:rFonts w:ascii="Times New Roman" w:eastAsia="Times New Roman" w:hAnsi="Times New Roman" w:cs="Times New Roman"/>
          <w:sz w:val="24"/>
          <w:szCs w:val="24"/>
        </w:rPr>
      </w:pPr>
      <w:r w:rsidRPr="00FA43C1">
        <w:rPr>
          <w:rFonts w:ascii="Times New Roman" w:hAnsi="Times New Roman"/>
          <w:sz w:val="24"/>
          <w:szCs w:val="24"/>
        </w:rPr>
        <w:t>De anatomiske referencepunkter for laterale canthus er nemmere at identificere ved palpering og observation af patienten ved maksimal smilen. Der skal udvises forsigtighed for ikke at injicere i zygomaticus major/minor for at undgå, at munden hænger lateralt og et asymmetrisk smil.</w:t>
      </w:r>
    </w:p>
    <w:p w14:paraId="1C26D70E" w14:textId="77777777" w:rsidR="00FA43C1" w:rsidRPr="00FA43C1" w:rsidRDefault="00FA43C1" w:rsidP="00FA43C1">
      <w:pPr>
        <w:pStyle w:val="TableParagraph"/>
        <w:ind w:left="851"/>
        <w:rPr>
          <w:rFonts w:ascii="Times New Roman" w:hAnsi="Times New Roman" w:cs="Times New Roman"/>
          <w:sz w:val="24"/>
          <w:szCs w:val="24"/>
        </w:rPr>
      </w:pPr>
    </w:p>
    <w:p w14:paraId="1914F427" w14:textId="77777777" w:rsidR="00FA43C1" w:rsidRPr="00FA43C1" w:rsidRDefault="00FA43C1" w:rsidP="00FA43C1">
      <w:pPr>
        <w:pStyle w:val="TableParagraph"/>
        <w:keepNext/>
        <w:ind w:left="851"/>
        <w:rPr>
          <w:rFonts w:ascii="Times New Roman" w:eastAsia="Times New Roman" w:hAnsi="Times New Roman" w:cs="Times New Roman"/>
          <w:i/>
          <w:iCs/>
          <w:sz w:val="24"/>
          <w:szCs w:val="24"/>
        </w:rPr>
      </w:pPr>
      <w:r w:rsidRPr="00FA43C1">
        <w:rPr>
          <w:rFonts w:ascii="Times New Roman" w:hAnsi="Times New Roman"/>
          <w:i/>
          <w:sz w:val="24"/>
          <w:szCs w:val="24"/>
        </w:rPr>
        <w:t>Kombineret behandling af glabellarynker og rynker i laterale canthus</w:t>
      </w:r>
    </w:p>
    <w:p w14:paraId="53E73B42" w14:textId="77777777" w:rsidR="00FA43C1" w:rsidRPr="00FA43C1" w:rsidRDefault="00FA43C1" w:rsidP="00FA43C1">
      <w:pPr>
        <w:pStyle w:val="TableParagraph"/>
        <w:ind w:left="851"/>
        <w:rPr>
          <w:rFonts w:ascii="Times New Roman" w:eastAsia="Times New Roman" w:hAnsi="Times New Roman" w:cs="Times New Roman"/>
          <w:sz w:val="24"/>
          <w:szCs w:val="24"/>
        </w:rPr>
      </w:pPr>
      <w:r w:rsidRPr="00FA43C1">
        <w:rPr>
          <w:rFonts w:ascii="Times New Roman" w:hAnsi="Times New Roman"/>
          <w:sz w:val="24"/>
          <w:szCs w:val="24"/>
        </w:rPr>
        <w:t>Ved kombineret behandling af glabellarynker og rynker i laterale canthus skal den respektive, individuelle dosering og administration følges for en samlet dosis på 110 enheder/1,1 ml Relfydess.</w:t>
      </w:r>
    </w:p>
    <w:p w14:paraId="68D92A91" w14:textId="77777777" w:rsidR="00FA43C1" w:rsidRPr="00FA43C1" w:rsidRDefault="00FA43C1" w:rsidP="00FA43C1">
      <w:pPr>
        <w:pStyle w:val="TableParagraph"/>
        <w:ind w:left="851"/>
        <w:rPr>
          <w:rFonts w:ascii="Times New Roman" w:eastAsia="Times New Roman" w:hAnsi="Times New Roman" w:cs="Times New Roman"/>
          <w:sz w:val="24"/>
          <w:szCs w:val="24"/>
          <w:lang w:val="sv-SE"/>
        </w:rPr>
      </w:pPr>
    </w:p>
    <w:p w14:paraId="6E42E37A" w14:textId="77777777" w:rsidR="00FA43C1" w:rsidRPr="00FA43C1" w:rsidRDefault="00FA43C1" w:rsidP="00FA43C1">
      <w:pPr>
        <w:pStyle w:val="TableParagraph"/>
        <w:ind w:left="851"/>
        <w:rPr>
          <w:rFonts w:ascii="Times New Roman" w:eastAsia="Times New Roman" w:hAnsi="Times New Roman" w:cs="Times New Roman"/>
          <w:sz w:val="24"/>
          <w:szCs w:val="24"/>
        </w:rPr>
      </w:pPr>
      <w:r w:rsidRPr="00FA43C1">
        <w:rPr>
          <w:rFonts w:ascii="Times New Roman" w:hAnsi="Times New Roman"/>
          <w:sz w:val="24"/>
          <w:szCs w:val="24"/>
        </w:rPr>
        <w:t>Den anbefalede dosis ved behandling af glabellarynker er 50 enheder/0,5 ml (10 enheder/0,1 ml pr. injektion) på hvert af de fem intramuskulære injektionssteder. Den anbefalede dosis ved behandling af rynker i laterale canthus er 60 enheder/0,6 ml (10 enheder/0,1 ml på hvert af de seks intramuskulære injektionssteder).</w:t>
      </w:r>
    </w:p>
    <w:p w14:paraId="7B33E83C" w14:textId="77777777" w:rsidR="009260DE" w:rsidRPr="00FA43C1" w:rsidRDefault="009260DE" w:rsidP="00FA43C1">
      <w:pPr>
        <w:tabs>
          <w:tab w:val="left" w:pos="851"/>
        </w:tabs>
        <w:ind w:left="851"/>
        <w:rPr>
          <w:sz w:val="24"/>
          <w:szCs w:val="24"/>
          <w:lang w:val="sv-SE"/>
        </w:rPr>
      </w:pPr>
    </w:p>
    <w:p w14:paraId="1161416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449D8BA" w14:textId="4CD797F3" w:rsidR="00FA43C1" w:rsidRPr="00FA43C1" w:rsidRDefault="00FA43C1" w:rsidP="00FA43C1">
      <w:pPr>
        <w:tabs>
          <w:tab w:val="left" w:pos="851"/>
        </w:tabs>
        <w:ind w:left="851"/>
        <w:rPr>
          <w:sz w:val="24"/>
          <w:szCs w:val="24"/>
        </w:rPr>
      </w:pPr>
      <w:r w:rsidRPr="00FA43C1">
        <w:rPr>
          <w:sz w:val="24"/>
          <w:szCs w:val="24"/>
        </w:rPr>
        <w:t>Overfølsomhed over for det</w:t>
      </w:r>
      <w:r>
        <w:rPr>
          <w:sz w:val="24"/>
          <w:szCs w:val="24"/>
        </w:rPr>
        <w:t xml:space="preserve"> </w:t>
      </w:r>
      <w:r w:rsidRPr="00FA43C1">
        <w:rPr>
          <w:sz w:val="24"/>
          <w:szCs w:val="24"/>
        </w:rPr>
        <w:t>aktive stof eller over for et eller flere af hjælpestofferne anført i pkt. 6.1.</w:t>
      </w:r>
    </w:p>
    <w:p w14:paraId="300C4318" w14:textId="77777777" w:rsidR="00FA43C1" w:rsidRPr="00FA43C1" w:rsidRDefault="00FA43C1" w:rsidP="00FA43C1">
      <w:pPr>
        <w:tabs>
          <w:tab w:val="left" w:pos="851"/>
        </w:tabs>
        <w:ind w:left="851"/>
        <w:rPr>
          <w:sz w:val="24"/>
          <w:szCs w:val="24"/>
        </w:rPr>
      </w:pPr>
      <w:r w:rsidRPr="00FA43C1">
        <w:rPr>
          <w:sz w:val="24"/>
          <w:szCs w:val="24"/>
        </w:rPr>
        <w:t>Forekomst af infektion på de foreslåede injektionssteder.</w:t>
      </w:r>
    </w:p>
    <w:p w14:paraId="6176BC4B" w14:textId="05ED2484" w:rsidR="00FA43C1" w:rsidRPr="00FA43C1" w:rsidRDefault="00FA43C1" w:rsidP="00FA43C1">
      <w:pPr>
        <w:tabs>
          <w:tab w:val="left" w:pos="851"/>
        </w:tabs>
        <w:ind w:left="851"/>
        <w:rPr>
          <w:sz w:val="24"/>
          <w:szCs w:val="24"/>
        </w:rPr>
      </w:pPr>
      <w:r w:rsidRPr="00FA43C1">
        <w:rPr>
          <w:sz w:val="24"/>
          <w:szCs w:val="24"/>
        </w:rPr>
        <w:t>Forekomst af myasthenia gravis, Lambert-Eaton-syndrom eller amyotrofisk lateral sklerose.</w:t>
      </w:r>
    </w:p>
    <w:p w14:paraId="23227B84" w14:textId="2A5F363C" w:rsidR="004E7E6E" w:rsidRDefault="004E7E6E">
      <w:pPr>
        <w:rPr>
          <w:b/>
          <w:sz w:val="24"/>
          <w:szCs w:val="24"/>
        </w:rPr>
      </w:pPr>
      <w:r>
        <w:rPr>
          <w:b/>
          <w:sz w:val="24"/>
          <w:szCs w:val="24"/>
        </w:rPr>
        <w:br w:type="page"/>
      </w:r>
    </w:p>
    <w:p w14:paraId="21B070B1" w14:textId="77777777" w:rsidR="00FA43C1" w:rsidRPr="00FA43C1" w:rsidRDefault="00FA43C1" w:rsidP="00FA43C1">
      <w:pPr>
        <w:tabs>
          <w:tab w:val="left" w:pos="851"/>
        </w:tabs>
        <w:ind w:left="851"/>
        <w:rPr>
          <w:b/>
          <w:sz w:val="24"/>
          <w:szCs w:val="24"/>
        </w:rPr>
      </w:pPr>
    </w:p>
    <w:p w14:paraId="7121510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A967248" w14:textId="77777777" w:rsidR="004E7E6E" w:rsidRPr="004E7E6E" w:rsidRDefault="004E7E6E" w:rsidP="004E7E6E">
      <w:pPr>
        <w:tabs>
          <w:tab w:val="left" w:pos="851"/>
        </w:tabs>
        <w:ind w:left="851"/>
        <w:rPr>
          <w:sz w:val="24"/>
          <w:szCs w:val="24"/>
          <w:u w:val="single"/>
        </w:rPr>
      </w:pPr>
    </w:p>
    <w:p w14:paraId="38AB0FCB" w14:textId="77777777" w:rsidR="004E7E6E" w:rsidRPr="004E7E6E" w:rsidRDefault="004E7E6E" w:rsidP="004E7E6E">
      <w:pPr>
        <w:tabs>
          <w:tab w:val="left" w:pos="851"/>
        </w:tabs>
        <w:ind w:left="851"/>
        <w:rPr>
          <w:sz w:val="24"/>
          <w:szCs w:val="24"/>
          <w:u w:val="single"/>
        </w:rPr>
      </w:pPr>
      <w:r w:rsidRPr="004E7E6E">
        <w:rPr>
          <w:sz w:val="24"/>
          <w:szCs w:val="24"/>
          <w:u w:val="single"/>
        </w:rPr>
        <w:t>Generelt</w:t>
      </w:r>
    </w:p>
    <w:p w14:paraId="1589BE35" w14:textId="77777777" w:rsidR="004E7E6E" w:rsidRPr="004E7E6E" w:rsidRDefault="004E7E6E" w:rsidP="004E7E6E">
      <w:pPr>
        <w:tabs>
          <w:tab w:val="left" w:pos="851"/>
        </w:tabs>
        <w:ind w:left="851"/>
        <w:rPr>
          <w:sz w:val="24"/>
          <w:szCs w:val="24"/>
        </w:rPr>
      </w:pPr>
      <w:r w:rsidRPr="004E7E6E">
        <w:rPr>
          <w:sz w:val="24"/>
          <w:szCs w:val="24"/>
        </w:rPr>
        <w:t>Relfydess må ikke injiceres i et blodkar.</w:t>
      </w:r>
    </w:p>
    <w:p w14:paraId="6052BA77" w14:textId="77777777" w:rsidR="004E7E6E" w:rsidRPr="004E7E6E" w:rsidRDefault="004E7E6E" w:rsidP="004E7E6E">
      <w:pPr>
        <w:tabs>
          <w:tab w:val="left" w:pos="851"/>
        </w:tabs>
        <w:ind w:left="851"/>
        <w:rPr>
          <w:sz w:val="24"/>
          <w:szCs w:val="24"/>
        </w:rPr>
      </w:pPr>
    </w:p>
    <w:p w14:paraId="60C83E72" w14:textId="77777777" w:rsidR="004E7E6E" w:rsidRPr="004E7E6E" w:rsidRDefault="004E7E6E" w:rsidP="004E7E6E">
      <w:pPr>
        <w:tabs>
          <w:tab w:val="left" w:pos="851"/>
        </w:tabs>
        <w:ind w:left="851"/>
        <w:rPr>
          <w:sz w:val="24"/>
          <w:szCs w:val="24"/>
        </w:rPr>
      </w:pPr>
      <w:r w:rsidRPr="004E7E6E">
        <w:rPr>
          <w:sz w:val="24"/>
          <w:szCs w:val="24"/>
        </w:rPr>
        <w:t>Som det er tilfældet med alle intramuskulære injektioner, anbefales anvendelse af Relfydess ikke til patienter, som har forlænget blødningstid.</w:t>
      </w:r>
    </w:p>
    <w:p w14:paraId="7D1085BC" w14:textId="77777777" w:rsidR="004E7E6E" w:rsidRPr="004E7E6E" w:rsidRDefault="004E7E6E" w:rsidP="004E7E6E">
      <w:pPr>
        <w:tabs>
          <w:tab w:val="left" w:pos="851"/>
        </w:tabs>
        <w:ind w:left="851"/>
        <w:rPr>
          <w:sz w:val="24"/>
          <w:szCs w:val="24"/>
        </w:rPr>
      </w:pPr>
    </w:p>
    <w:p w14:paraId="7DE773D4" w14:textId="77777777" w:rsidR="004E7E6E" w:rsidRPr="004E7E6E" w:rsidRDefault="004E7E6E" w:rsidP="004E7E6E">
      <w:pPr>
        <w:tabs>
          <w:tab w:val="left" w:pos="851"/>
        </w:tabs>
        <w:ind w:left="851"/>
        <w:rPr>
          <w:sz w:val="24"/>
          <w:szCs w:val="24"/>
        </w:rPr>
      </w:pPr>
      <w:r w:rsidRPr="004E7E6E">
        <w:rPr>
          <w:sz w:val="24"/>
          <w:szCs w:val="24"/>
        </w:rPr>
        <w:t>Patienter, der behandles med den anbefalede dosis, kan opleve overdreven muskelsvækkelse.</w:t>
      </w:r>
    </w:p>
    <w:p w14:paraId="33539A01" w14:textId="77777777" w:rsidR="004E7E6E" w:rsidRPr="004E7E6E" w:rsidRDefault="004E7E6E" w:rsidP="004E7E6E">
      <w:pPr>
        <w:tabs>
          <w:tab w:val="left" w:pos="851"/>
        </w:tabs>
        <w:ind w:left="851"/>
        <w:rPr>
          <w:sz w:val="24"/>
          <w:szCs w:val="24"/>
        </w:rPr>
      </w:pPr>
    </w:p>
    <w:p w14:paraId="2947FA4C" w14:textId="77777777" w:rsidR="004E7E6E" w:rsidRPr="004E7E6E" w:rsidRDefault="004E7E6E" w:rsidP="004E7E6E">
      <w:pPr>
        <w:tabs>
          <w:tab w:val="left" w:pos="851"/>
        </w:tabs>
        <w:ind w:left="851"/>
        <w:rPr>
          <w:sz w:val="24"/>
          <w:szCs w:val="24"/>
        </w:rPr>
      </w:pPr>
      <w:r w:rsidRPr="004E7E6E">
        <w:rPr>
          <w:sz w:val="24"/>
          <w:szCs w:val="24"/>
        </w:rPr>
        <w:t>Hvert hætteglas med Relfydess må kun anvendes til en enkelt patient i en enkelt behandling.</w:t>
      </w:r>
    </w:p>
    <w:p w14:paraId="4959F898" w14:textId="77777777" w:rsidR="004E7E6E" w:rsidRPr="004E7E6E" w:rsidRDefault="004E7E6E" w:rsidP="004E7E6E">
      <w:pPr>
        <w:tabs>
          <w:tab w:val="left" w:pos="851"/>
        </w:tabs>
        <w:ind w:left="851"/>
        <w:rPr>
          <w:sz w:val="24"/>
          <w:szCs w:val="24"/>
        </w:rPr>
      </w:pPr>
    </w:p>
    <w:p w14:paraId="1BA2C7E5" w14:textId="77777777" w:rsidR="004E7E6E" w:rsidRPr="004E7E6E" w:rsidRDefault="004E7E6E" w:rsidP="004E7E6E">
      <w:pPr>
        <w:tabs>
          <w:tab w:val="left" w:pos="851"/>
        </w:tabs>
        <w:ind w:left="851"/>
        <w:rPr>
          <w:sz w:val="24"/>
          <w:szCs w:val="24"/>
        </w:rPr>
      </w:pPr>
      <w:r w:rsidRPr="004E7E6E">
        <w:rPr>
          <w:sz w:val="24"/>
          <w:szCs w:val="24"/>
        </w:rPr>
        <w:t>Eventuelt overskydende produkt skal bortskaffes som beskrevet i pkt. 6.6. Der skal udvises særlig forsigtighed i forbindelse med inaktivering og bortskaffelse af ubrugt opløsning (se pkt. 6.6).</w:t>
      </w:r>
    </w:p>
    <w:p w14:paraId="4EDB6C84" w14:textId="77777777" w:rsidR="004E7E6E" w:rsidRPr="004E7E6E" w:rsidRDefault="004E7E6E" w:rsidP="004E7E6E">
      <w:pPr>
        <w:tabs>
          <w:tab w:val="left" w:pos="851"/>
        </w:tabs>
        <w:ind w:left="851"/>
        <w:rPr>
          <w:sz w:val="24"/>
          <w:szCs w:val="24"/>
        </w:rPr>
      </w:pPr>
    </w:p>
    <w:p w14:paraId="52DED300" w14:textId="77777777" w:rsidR="004E7E6E" w:rsidRPr="004E7E6E" w:rsidRDefault="004E7E6E" w:rsidP="004E7E6E">
      <w:pPr>
        <w:tabs>
          <w:tab w:val="left" w:pos="851"/>
        </w:tabs>
        <w:ind w:left="851"/>
        <w:rPr>
          <w:sz w:val="24"/>
          <w:szCs w:val="24"/>
          <w:u w:val="single"/>
        </w:rPr>
      </w:pPr>
      <w:r w:rsidRPr="004E7E6E">
        <w:rPr>
          <w:sz w:val="24"/>
          <w:szCs w:val="24"/>
          <w:u w:val="single"/>
        </w:rPr>
        <w:t>Overfølsomhedsreaktioner</w:t>
      </w:r>
    </w:p>
    <w:p w14:paraId="4951990A" w14:textId="77777777" w:rsidR="004E7E6E" w:rsidRPr="004E7E6E" w:rsidRDefault="004E7E6E" w:rsidP="004E7E6E">
      <w:pPr>
        <w:tabs>
          <w:tab w:val="left" w:pos="851"/>
        </w:tabs>
        <w:ind w:left="851"/>
        <w:rPr>
          <w:sz w:val="24"/>
          <w:szCs w:val="24"/>
        </w:rPr>
      </w:pPr>
      <w:r w:rsidRPr="004E7E6E">
        <w:rPr>
          <w:sz w:val="24"/>
          <w:szCs w:val="24"/>
        </w:rPr>
        <w:t>Der er indberettet alvorlige og/eller akutte overfølsomhedsreaktioner for botulinumtoksin-produkter, og der kan i meget sjældne tilfælde opstå anafylaktiske reaktioner (se pkt. 4.8). Disse reaktioner inkluderer anafylaksi, serumsyge, urticaria, bløddelsødem og dyspnø. Det nødvendige udstyr og lægemidler (herunder adrenalin) til behandling af anafylaksi skal derfor være umiddelbart tilgængeligt</w:t>
      </w:r>
      <w:r w:rsidRPr="004E7E6E">
        <w:rPr>
          <w:i/>
          <w:sz w:val="24"/>
          <w:szCs w:val="24"/>
        </w:rPr>
        <w:t xml:space="preserve">. </w:t>
      </w:r>
      <w:r w:rsidRPr="004E7E6E">
        <w:rPr>
          <w:sz w:val="24"/>
          <w:szCs w:val="24"/>
        </w:rPr>
        <w:t>Yderligere injektion af Relfydess skal afbrydes, hvis en sådan reaktion opstår, og relevant medicinsk behandling skal straks iværksættes.</w:t>
      </w:r>
    </w:p>
    <w:p w14:paraId="5A690001" w14:textId="77777777" w:rsidR="004E7E6E" w:rsidRPr="004E7E6E" w:rsidRDefault="004E7E6E" w:rsidP="004E7E6E">
      <w:pPr>
        <w:tabs>
          <w:tab w:val="left" w:pos="851"/>
        </w:tabs>
        <w:ind w:left="851"/>
        <w:rPr>
          <w:sz w:val="24"/>
          <w:szCs w:val="24"/>
          <w:u w:val="single"/>
        </w:rPr>
      </w:pPr>
    </w:p>
    <w:p w14:paraId="09320B5F" w14:textId="77777777" w:rsidR="004E7E6E" w:rsidRPr="004E7E6E" w:rsidRDefault="004E7E6E" w:rsidP="004E7E6E">
      <w:pPr>
        <w:tabs>
          <w:tab w:val="left" w:pos="851"/>
        </w:tabs>
        <w:ind w:left="851"/>
        <w:rPr>
          <w:sz w:val="24"/>
          <w:szCs w:val="24"/>
          <w:u w:val="single"/>
        </w:rPr>
      </w:pPr>
      <w:r w:rsidRPr="004E7E6E">
        <w:rPr>
          <w:sz w:val="24"/>
          <w:szCs w:val="24"/>
          <w:u w:val="single"/>
        </w:rPr>
        <w:t>Spredning af toksinets virkning</w:t>
      </w:r>
    </w:p>
    <w:p w14:paraId="5FEAE94B" w14:textId="77777777" w:rsidR="004E7E6E" w:rsidRPr="004E7E6E" w:rsidRDefault="004E7E6E" w:rsidP="004E7E6E">
      <w:pPr>
        <w:tabs>
          <w:tab w:val="left" w:pos="851"/>
        </w:tabs>
        <w:ind w:left="851"/>
        <w:rPr>
          <w:sz w:val="24"/>
          <w:szCs w:val="24"/>
        </w:rPr>
      </w:pPr>
      <w:r w:rsidRPr="004E7E6E">
        <w:rPr>
          <w:sz w:val="24"/>
          <w:szCs w:val="24"/>
        </w:rPr>
        <w:t xml:space="preserve">Sikkerhedsdata post-marketing fra andre godkendte botulinumtoksin-produkter tyder på, at virkninger af botulinumtoksinet (for eksempel diplopi, sløret syn og ptose) kan observeres ud over det lokale injektionssted (se pkt. 4.8). Desuden er der i meget sjældne tilfælde rapporteret om bivirkninger af botulinumtoksin, der kan være forbundet med spredning af toksinets effekt fjernt fra injektionsstedet, og som indbefatter asteni, generaliseret muskelsvækkelse, dysfagi, dysfoni, dysartri, urininkontinens samt vejrtrækningsbesvær. Disse symptomer svarer til botulinumtoksins virkningsmekanisme og er blevet indberettet timer til uger efter injektion. </w:t>
      </w:r>
    </w:p>
    <w:p w14:paraId="5204BB69" w14:textId="77777777" w:rsidR="004E7E6E" w:rsidRPr="004E7E6E" w:rsidRDefault="004E7E6E" w:rsidP="004E7E6E">
      <w:pPr>
        <w:tabs>
          <w:tab w:val="left" w:pos="851"/>
        </w:tabs>
        <w:ind w:left="851"/>
        <w:rPr>
          <w:sz w:val="24"/>
          <w:szCs w:val="24"/>
        </w:rPr>
      </w:pPr>
    </w:p>
    <w:p w14:paraId="1A968AD5" w14:textId="77777777" w:rsidR="004E7E6E" w:rsidRPr="004E7E6E" w:rsidRDefault="004E7E6E" w:rsidP="004E7E6E">
      <w:pPr>
        <w:tabs>
          <w:tab w:val="left" w:pos="851"/>
        </w:tabs>
        <w:ind w:left="851"/>
        <w:rPr>
          <w:sz w:val="24"/>
          <w:szCs w:val="24"/>
        </w:rPr>
      </w:pPr>
      <w:r w:rsidRPr="004E7E6E">
        <w:rPr>
          <w:sz w:val="24"/>
          <w:szCs w:val="24"/>
        </w:rPr>
        <w:t>Synke- og vejrtrækningsbesvær kan være livstruende, og der har været rapporter om dødsfald forbundet med spredning af toksinets virkninger. Patienter med eksisterende synke- eller vejrtrækningsbesvær kan være mere modtagelige over for disse komplikationer. Mere specifikt er der efter behandling med botulinumtoksin indberettet meget sjældne tilfælde af dødsfald hos patienter med dysfagi, pneumopati eller signifikant asteni. Relfydess anbefales derfor ikke til sådanne patienter.</w:t>
      </w:r>
    </w:p>
    <w:p w14:paraId="1C58BF22" w14:textId="77777777" w:rsidR="004E7E6E" w:rsidRPr="004E7E6E" w:rsidRDefault="004E7E6E" w:rsidP="004E7E6E">
      <w:pPr>
        <w:tabs>
          <w:tab w:val="left" w:pos="851"/>
        </w:tabs>
        <w:ind w:left="851"/>
        <w:rPr>
          <w:sz w:val="24"/>
          <w:szCs w:val="24"/>
        </w:rPr>
      </w:pPr>
    </w:p>
    <w:p w14:paraId="13A94635" w14:textId="77777777" w:rsidR="004E7E6E" w:rsidRPr="004E7E6E" w:rsidRDefault="004E7E6E" w:rsidP="004E7E6E">
      <w:pPr>
        <w:tabs>
          <w:tab w:val="left" w:pos="851"/>
        </w:tabs>
        <w:ind w:left="851"/>
        <w:rPr>
          <w:sz w:val="24"/>
          <w:szCs w:val="24"/>
        </w:rPr>
      </w:pPr>
      <w:r w:rsidRPr="004E7E6E">
        <w:rPr>
          <w:sz w:val="24"/>
          <w:szCs w:val="24"/>
        </w:rPr>
        <w:t>Patienten eller omsorgsgiveren skal tilrådes at kontakte en læge øjeblikkeligt, hvis patienten får problemer med at synke, tale eller trække vejret.</w:t>
      </w:r>
    </w:p>
    <w:p w14:paraId="5FF72456" w14:textId="77777777" w:rsidR="004E7E6E" w:rsidRPr="004E7E6E" w:rsidRDefault="004E7E6E" w:rsidP="004E7E6E">
      <w:pPr>
        <w:tabs>
          <w:tab w:val="left" w:pos="851"/>
        </w:tabs>
        <w:ind w:left="851"/>
        <w:rPr>
          <w:sz w:val="24"/>
          <w:szCs w:val="24"/>
          <w:u w:val="single"/>
        </w:rPr>
      </w:pPr>
    </w:p>
    <w:p w14:paraId="2739E337" w14:textId="77777777" w:rsidR="004E7E6E" w:rsidRPr="004E7E6E" w:rsidRDefault="004E7E6E" w:rsidP="004E7E6E">
      <w:pPr>
        <w:tabs>
          <w:tab w:val="left" w:pos="851"/>
        </w:tabs>
        <w:ind w:left="851"/>
        <w:rPr>
          <w:sz w:val="24"/>
          <w:szCs w:val="24"/>
          <w:u w:val="single"/>
        </w:rPr>
      </w:pPr>
      <w:r w:rsidRPr="004E7E6E">
        <w:rPr>
          <w:sz w:val="24"/>
          <w:szCs w:val="24"/>
          <w:u w:val="single"/>
        </w:rPr>
        <w:t>Eksisterende neuromuskulære sygdomme</w:t>
      </w:r>
    </w:p>
    <w:p w14:paraId="72CE8500" w14:textId="77777777" w:rsidR="004E7E6E" w:rsidRPr="004E7E6E" w:rsidRDefault="004E7E6E" w:rsidP="004E7E6E">
      <w:pPr>
        <w:tabs>
          <w:tab w:val="left" w:pos="851"/>
        </w:tabs>
        <w:ind w:left="851"/>
        <w:rPr>
          <w:sz w:val="24"/>
          <w:szCs w:val="24"/>
        </w:rPr>
      </w:pPr>
      <w:r w:rsidRPr="004E7E6E">
        <w:rPr>
          <w:sz w:val="24"/>
          <w:szCs w:val="24"/>
        </w:rPr>
        <w:t xml:space="preserve">Relfydess skal anvendes med forsigtighed til patienter med risiko for eller klinisk evidens for udtalt neuromuskulær transmissionsdefekt. Disse patienter kan have øget følsomhed over for stoffer som botulinumtoksin, og der kan opstå svær muskelsvækkelse (inklusive </w:t>
      </w:r>
      <w:r w:rsidRPr="004E7E6E">
        <w:rPr>
          <w:sz w:val="24"/>
          <w:szCs w:val="24"/>
        </w:rPr>
        <w:lastRenderedPageBreak/>
        <w:t>systemiske virkninger af svær dysfagi og respiratorisk svækkelse) efter behandlingen. I nogle af disse tilfælde har dysfagien varet adskillige måneder og krævet indsættelse af en gastrisk ernæringssonde.</w:t>
      </w:r>
    </w:p>
    <w:p w14:paraId="77D150E6" w14:textId="77777777" w:rsidR="004E7E6E" w:rsidRPr="004E7E6E" w:rsidRDefault="004E7E6E" w:rsidP="004E7E6E">
      <w:pPr>
        <w:tabs>
          <w:tab w:val="left" w:pos="851"/>
        </w:tabs>
        <w:ind w:left="851"/>
        <w:rPr>
          <w:sz w:val="24"/>
          <w:szCs w:val="24"/>
        </w:rPr>
      </w:pPr>
    </w:p>
    <w:p w14:paraId="34198A28" w14:textId="77777777" w:rsidR="004E7E6E" w:rsidRPr="004E7E6E" w:rsidRDefault="004E7E6E" w:rsidP="004E7E6E">
      <w:pPr>
        <w:tabs>
          <w:tab w:val="left" w:pos="851"/>
        </w:tabs>
        <w:ind w:left="851"/>
        <w:rPr>
          <w:sz w:val="24"/>
          <w:szCs w:val="24"/>
          <w:u w:val="single"/>
        </w:rPr>
      </w:pPr>
      <w:r w:rsidRPr="004E7E6E">
        <w:rPr>
          <w:sz w:val="24"/>
          <w:szCs w:val="24"/>
          <w:u w:val="single"/>
        </w:rPr>
        <w:t>Eksisterende tilstande på injektionsstedet</w:t>
      </w:r>
    </w:p>
    <w:p w14:paraId="52D5EB16" w14:textId="77777777" w:rsidR="004E7E6E" w:rsidRPr="004E7E6E" w:rsidRDefault="004E7E6E" w:rsidP="004E7E6E">
      <w:pPr>
        <w:tabs>
          <w:tab w:val="left" w:pos="851"/>
        </w:tabs>
        <w:ind w:left="851"/>
        <w:rPr>
          <w:sz w:val="24"/>
          <w:szCs w:val="24"/>
        </w:rPr>
      </w:pPr>
      <w:r w:rsidRPr="004E7E6E">
        <w:rPr>
          <w:sz w:val="24"/>
          <w:szCs w:val="24"/>
        </w:rPr>
        <w:t>Der skal udvises forsigtighed, hvis Relfydess anvendes ved forekomst af inflammation på det eller de foreslåede injektionssteder, eller hvis der er kraftig svækkelse eller atrofi i den eller de muskler, der rammes.</w:t>
      </w:r>
    </w:p>
    <w:p w14:paraId="73A87A90" w14:textId="77777777" w:rsidR="004E7E6E" w:rsidRPr="004E7E6E" w:rsidRDefault="004E7E6E" w:rsidP="004E7E6E">
      <w:pPr>
        <w:tabs>
          <w:tab w:val="left" w:pos="851"/>
        </w:tabs>
        <w:ind w:left="851"/>
        <w:rPr>
          <w:sz w:val="24"/>
          <w:szCs w:val="24"/>
        </w:rPr>
      </w:pPr>
      <w:r w:rsidRPr="004E7E6E">
        <w:rPr>
          <w:sz w:val="24"/>
          <w:szCs w:val="24"/>
        </w:rPr>
        <w:t>Der skal udvises forsigtighed, hvis Relfydess anvendes til patienter, der har udtalt asymmetri, ptose, slaphed i huden (for eksempel dermatochalasis; se pkt. 5.1), dyb ardannelse i huden eller kraftig sebakøs hud i ansigtet.</w:t>
      </w:r>
    </w:p>
    <w:p w14:paraId="2172E2C5" w14:textId="77777777" w:rsidR="004E7E6E" w:rsidRPr="004E7E6E" w:rsidRDefault="004E7E6E" w:rsidP="004E7E6E">
      <w:pPr>
        <w:tabs>
          <w:tab w:val="left" w:pos="851"/>
        </w:tabs>
        <w:ind w:left="851"/>
        <w:rPr>
          <w:sz w:val="24"/>
          <w:szCs w:val="24"/>
        </w:rPr>
      </w:pPr>
    </w:p>
    <w:p w14:paraId="4F726E2A" w14:textId="77777777" w:rsidR="004E7E6E" w:rsidRPr="004E7E6E" w:rsidRDefault="004E7E6E" w:rsidP="004E7E6E">
      <w:pPr>
        <w:tabs>
          <w:tab w:val="left" w:pos="851"/>
        </w:tabs>
        <w:ind w:left="851"/>
        <w:rPr>
          <w:sz w:val="24"/>
          <w:szCs w:val="24"/>
          <w:u w:val="single"/>
        </w:rPr>
      </w:pPr>
      <w:r w:rsidRPr="004E7E6E">
        <w:rPr>
          <w:sz w:val="24"/>
          <w:szCs w:val="24"/>
          <w:u w:val="single"/>
        </w:rPr>
        <w:t>Oftalmiske bivirkninger</w:t>
      </w:r>
    </w:p>
    <w:p w14:paraId="73F92FD9" w14:textId="77777777" w:rsidR="004E7E6E" w:rsidRPr="004E7E6E" w:rsidRDefault="004E7E6E" w:rsidP="004E7E6E">
      <w:pPr>
        <w:tabs>
          <w:tab w:val="left" w:pos="851"/>
        </w:tabs>
        <w:ind w:left="851"/>
        <w:rPr>
          <w:sz w:val="24"/>
          <w:szCs w:val="24"/>
        </w:rPr>
      </w:pPr>
      <w:r w:rsidRPr="004E7E6E">
        <w:rPr>
          <w:sz w:val="24"/>
          <w:szCs w:val="24"/>
        </w:rPr>
        <w:t>Der kan opstå øjentørhed, mindsket tåreproduktion, reduceret blinken samt cornealidelser efter anvendelse af botulinumtoksiner. Det bør overvejes at henvise patienten til øjenlæge, hvis symptomerne på øjentørhed (fx øjenirritation, fotofobi eller synsforandringer) varer ved. Der kan opstå øget tåreflåd efter anvendelse af botulinumtoksiner.</w:t>
      </w:r>
    </w:p>
    <w:p w14:paraId="39AD9BEE" w14:textId="77777777" w:rsidR="004E7E6E" w:rsidRPr="004E7E6E" w:rsidRDefault="004E7E6E" w:rsidP="004E7E6E">
      <w:pPr>
        <w:tabs>
          <w:tab w:val="left" w:pos="851"/>
        </w:tabs>
        <w:ind w:left="851"/>
        <w:rPr>
          <w:sz w:val="24"/>
          <w:szCs w:val="24"/>
        </w:rPr>
      </w:pPr>
    </w:p>
    <w:p w14:paraId="5443DC4A" w14:textId="77777777" w:rsidR="004E7E6E" w:rsidRPr="004E7E6E" w:rsidRDefault="004E7E6E" w:rsidP="004E7E6E">
      <w:pPr>
        <w:tabs>
          <w:tab w:val="left" w:pos="851"/>
        </w:tabs>
        <w:ind w:left="851"/>
        <w:rPr>
          <w:sz w:val="24"/>
          <w:szCs w:val="24"/>
          <w:u w:val="single"/>
        </w:rPr>
      </w:pPr>
      <w:r w:rsidRPr="004E7E6E">
        <w:rPr>
          <w:sz w:val="24"/>
          <w:szCs w:val="24"/>
          <w:u w:val="single"/>
        </w:rPr>
        <w:t>Muskelatrofi</w:t>
      </w:r>
    </w:p>
    <w:p w14:paraId="4A66F320" w14:textId="77777777" w:rsidR="004E7E6E" w:rsidRPr="004E7E6E" w:rsidRDefault="004E7E6E" w:rsidP="004E7E6E">
      <w:pPr>
        <w:tabs>
          <w:tab w:val="left" w:pos="851"/>
        </w:tabs>
        <w:ind w:left="851"/>
        <w:rPr>
          <w:sz w:val="24"/>
          <w:szCs w:val="24"/>
        </w:rPr>
      </w:pPr>
      <w:r w:rsidRPr="004E7E6E">
        <w:rPr>
          <w:sz w:val="24"/>
          <w:szCs w:val="24"/>
        </w:rPr>
        <w:t>Muskelatrofi er forventeligt efter gentagen botulinumbehandling sekundært til de behandlede musklers lammelse.</w:t>
      </w:r>
    </w:p>
    <w:p w14:paraId="6A89F035" w14:textId="77777777" w:rsidR="004E7E6E" w:rsidRPr="004E7E6E" w:rsidRDefault="004E7E6E" w:rsidP="004E7E6E">
      <w:pPr>
        <w:tabs>
          <w:tab w:val="left" w:pos="851"/>
        </w:tabs>
        <w:ind w:left="851"/>
        <w:rPr>
          <w:sz w:val="24"/>
          <w:szCs w:val="24"/>
        </w:rPr>
      </w:pPr>
    </w:p>
    <w:p w14:paraId="48D11C70" w14:textId="77777777" w:rsidR="004E7E6E" w:rsidRPr="004E7E6E" w:rsidRDefault="004E7E6E" w:rsidP="004E7E6E">
      <w:pPr>
        <w:tabs>
          <w:tab w:val="left" w:pos="851"/>
        </w:tabs>
        <w:ind w:left="851"/>
        <w:rPr>
          <w:sz w:val="24"/>
          <w:szCs w:val="24"/>
          <w:u w:val="single"/>
        </w:rPr>
      </w:pPr>
      <w:r w:rsidRPr="004E7E6E">
        <w:rPr>
          <w:sz w:val="24"/>
          <w:szCs w:val="24"/>
          <w:u w:val="single"/>
        </w:rPr>
        <w:t>Dannelse af antistoffer</w:t>
      </w:r>
    </w:p>
    <w:p w14:paraId="193CBFD8" w14:textId="77777777" w:rsidR="004E7E6E" w:rsidRPr="004E7E6E" w:rsidRDefault="004E7E6E" w:rsidP="004E7E6E">
      <w:pPr>
        <w:tabs>
          <w:tab w:val="left" w:pos="851"/>
        </w:tabs>
        <w:ind w:left="851"/>
        <w:rPr>
          <w:sz w:val="24"/>
          <w:szCs w:val="24"/>
        </w:rPr>
      </w:pPr>
      <w:r w:rsidRPr="004E7E6E">
        <w:rPr>
          <w:sz w:val="24"/>
          <w:szCs w:val="24"/>
        </w:rPr>
        <w:t>Injektioner med hyppigere intervaller eller højere doser øger risikoen for dannelse af neutraliserende antistoffer mod botulinumtoksin. Klinisk kan dannelsen af neutraliserende antistoffer mindske den efterfølgende behandlings virkning.</w:t>
      </w:r>
    </w:p>
    <w:p w14:paraId="4A987C10" w14:textId="77777777" w:rsidR="004E7E6E" w:rsidRPr="004E7E6E" w:rsidRDefault="004E7E6E" w:rsidP="004E7E6E">
      <w:pPr>
        <w:tabs>
          <w:tab w:val="left" w:pos="851"/>
        </w:tabs>
        <w:ind w:left="851"/>
        <w:rPr>
          <w:sz w:val="24"/>
          <w:szCs w:val="24"/>
          <w:u w:val="single"/>
        </w:rPr>
      </w:pPr>
    </w:p>
    <w:p w14:paraId="56DC4D4D" w14:textId="77777777" w:rsidR="004E7E6E" w:rsidRPr="004E7E6E" w:rsidRDefault="004E7E6E" w:rsidP="004E7E6E">
      <w:pPr>
        <w:tabs>
          <w:tab w:val="left" w:pos="851"/>
        </w:tabs>
        <w:ind w:left="851"/>
        <w:rPr>
          <w:sz w:val="24"/>
          <w:szCs w:val="24"/>
          <w:u w:val="single"/>
        </w:rPr>
      </w:pPr>
      <w:r w:rsidRPr="004E7E6E">
        <w:rPr>
          <w:sz w:val="24"/>
          <w:szCs w:val="24"/>
          <w:u w:val="single"/>
        </w:rPr>
        <w:t>Sporbarhed</w:t>
      </w:r>
    </w:p>
    <w:p w14:paraId="5C8E547E" w14:textId="77777777" w:rsidR="004E7E6E" w:rsidRPr="004E7E6E" w:rsidRDefault="004E7E6E" w:rsidP="004E7E6E">
      <w:pPr>
        <w:tabs>
          <w:tab w:val="left" w:pos="851"/>
        </w:tabs>
        <w:ind w:left="851"/>
        <w:rPr>
          <w:sz w:val="24"/>
          <w:szCs w:val="24"/>
        </w:rPr>
      </w:pPr>
      <w:r w:rsidRPr="004E7E6E">
        <w:rPr>
          <w:sz w:val="24"/>
          <w:szCs w:val="24"/>
        </w:rPr>
        <w:t>For at forbedre sporbarheden af biologiske lægemidler skal det administrerede produkts navn og batchnummer registreres tydeligt.</w:t>
      </w:r>
    </w:p>
    <w:p w14:paraId="5B4C5797" w14:textId="77777777" w:rsidR="004E7E6E" w:rsidRPr="004E7E6E" w:rsidRDefault="004E7E6E" w:rsidP="004E7E6E">
      <w:pPr>
        <w:tabs>
          <w:tab w:val="left" w:pos="851"/>
        </w:tabs>
        <w:ind w:left="851"/>
        <w:rPr>
          <w:i/>
          <w:sz w:val="24"/>
          <w:szCs w:val="24"/>
        </w:rPr>
      </w:pPr>
    </w:p>
    <w:p w14:paraId="1AC91253" w14:textId="77777777" w:rsidR="004E7E6E" w:rsidRPr="004E7E6E" w:rsidRDefault="004E7E6E" w:rsidP="004E7E6E">
      <w:pPr>
        <w:tabs>
          <w:tab w:val="left" w:pos="851"/>
        </w:tabs>
        <w:ind w:left="851"/>
        <w:rPr>
          <w:iCs/>
          <w:sz w:val="24"/>
          <w:szCs w:val="24"/>
        </w:rPr>
      </w:pPr>
      <w:r w:rsidRPr="004E7E6E">
        <w:rPr>
          <w:sz w:val="24"/>
          <w:szCs w:val="24"/>
          <w:u w:val="single"/>
        </w:rPr>
        <w:t>Indhold af kalium og natrium</w:t>
      </w:r>
      <w:r w:rsidRPr="004E7E6E">
        <w:rPr>
          <w:sz w:val="24"/>
          <w:szCs w:val="24"/>
        </w:rPr>
        <w:t xml:space="preserve"> </w:t>
      </w:r>
    </w:p>
    <w:p w14:paraId="2ED0C528" w14:textId="77777777" w:rsidR="004E7E6E" w:rsidRPr="004E7E6E" w:rsidRDefault="004E7E6E" w:rsidP="004E7E6E">
      <w:pPr>
        <w:tabs>
          <w:tab w:val="left" w:pos="851"/>
        </w:tabs>
        <w:ind w:left="851"/>
        <w:rPr>
          <w:sz w:val="24"/>
          <w:szCs w:val="24"/>
        </w:rPr>
      </w:pPr>
      <w:r w:rsidRPr="004E7E6E">
        <w:rPr>
          <w:sz w:val="24"/>
          <w:szCs w:val="24"/>
        </w:rPr>
        <w:t xml:space="preserve">Dette lægemiddel indeholder mindre end 1 mmol kalium (39 mg) pr. hætteglas med 150 enheder, dvs. det er i det væsentlige kaliumfrit. </w:t>
      </w:r>
    </w:p>
    <w:p w14:paraId="1A28628E" w14:textId="77777777" w:rsidR="004E7E6E" w:rsidRPr="004E7E6E" w:rsidRDefault="004E7E6E" w:rsidP="004E7E6E">
      <w:pPr>
        <w:tabs>
          <w:tab w:val="left" w:pos="851"/>
        </w:tabs>
        <w:ind w:left="851"/>
        <w:rPr>
          <w:sz w:val="24"/>
          <w:szCs w:val="24"/>
        </w:rPr>
      </w:pPr>
      <w:r w:rsidRPr="004E7E6E">
        <w:rPr>
          <w:sz w:val="24"/>
          <w:szCs w:val="24"/>
        </w:rPr>
        <w:t>Dette lægemiddel indeholder mindre end 1 mmol natrium (23 mg) pr. hætteglas med 150 enheder, dvs. det er i det væsentlige natriumfrit.</w:t>
      </w:r>
    </w:p>
    <w:p w14:paraId="1A599EF4" w14:textId="77777777" w:rsidR="004E7E6E" w:rsidRPr="004E7E6E" w:rsidRDefault="004E7E6E" w:rsidP="004E7E6E">
      <w:pPr>
        <w:tabs>
          <w:tab w:val="left" w:pos="851"/>
        </w:tabs>
        <w:ind w:left="851"/>
        <w:rPr>
          <w:sz w:val="24"/>
          <w:szCs w:val="24"/>
        </w:rPr>
      </w:pPr>
    </w:p>
    <w:p w14:paraId="7B33C769" w14:textId="77777777" w:rsidR="004E7E6E" w:rsidRPr="004E7E6E" w:rsidRDefault="004E7E6E" w:rsidP="004E7E6E">
      <w:pPr>
        <w:tabs>
          <w:tab w:val="left" w:pos="851"/>
        </w:tabs>
        <w:ind w:left="851"/>
        <w:rPr>
          <w:sz w:val="24"/>
          <w:szCs w:val="24"/>
          <w:u w:val="single"/>
        </w:rPr>
      </w:pPr>
      <w:r w:rsidRPr="004E7E6E">
        <w:rPr>
          <w:sz w:val="24"/>
          <w:szCs w:val="24"/>
          <w:u w:val="single"/>
        </w:rPr>
        <w:t>Indhold af polysorbat 80</w:t>
      </w:r>
    </w:p>
    <w:p w14:paraId="0C760002" w14:textId="77777777" w:rsidR="004E7E6E" w:rsidRPr="004E7E6E" w:rsidRDefault="004E7E6E" w:rsidP="004E7E6E">
      <w:pPr>
        <w:tabs>
          <w:tab w:val="left" w:pos="851"/>
        </w:tabs>
        <w:ind w:left="851"/>
        <w:rPr>
          <w:sz w:val="24"/>
          <w:szCs w:val="24"/>
        </w:rPr>
      </w:pPr>
      <w:r w:rsidRPr="004E7E6E">
        <w:rPr>
          <w:sz w:val="24"/>
          <w:szCs w:val="24"/>
        </w:rPr>
        <w:t>Dette lægemiddel indeholder 1,6 mg polysorbat 80 pr. hætteglas med 150 enheder, hvilket svarer til 1,1 mg/ml. Polysorbater kan forårsage allergiske reaktioner.</w:t>
      </w:r>
    </w:p>
    <w:p w14:paraId="44B58073" w14:textId="77777777" w:rsidR="009260DE" w:rsidRPr="00C84483" w:rsidRDefault="009260DE" w:rsidP="009260DE">
      <w:pPr>
        <w:tabs>
          <w:tab w:val="left" w:pos="851"/>
        </w:tabs>
        <w:ind w:left="851"/>
        <w:rPr>
          <w:sz w:val="24"/>
          <w:szCs w:val="24"/>
        </w:rPr>
      </w:pPr>
    </w:p>
    <w:p w14:paraId="020D9AA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DB8D8D7" w14:textId="77777777" w:rsidR="00323920" w:rsidRPr="00323920" w:rsidRDefault="00323920" w:rsidP="00323920">
      <w:pPr>
        <w:tabs>
          <w:tab w:val="left" w:pos="851"/>
        </w:tabs>
        <w:ind w:left="851"/>
        <w:rPr>
          <w:sz w:val="24"/>
          <w:szCs w:val="24"/>
        </w:rPr>
      </w:pPr>
      <w:r w:rsidRPr="00323920">
        <w:rPr>
          <w:sz w:val="24"/>
          <w:szCs w:val="24"/>
        </w:rPr>
        <w:t>Der er ikke udført interaktionsstudier.</w:t>
      </w:r>
    </w:p>
    <w:p w14:paraId="27637CE9" w14:textId="77777777" w:rsidR="00323920" w:rsidRPr="00323920" w:rsidRDefault="00323920" w:rsidP="00323920">
      <w:pPr>
        <w:tabs>
          <w:tab w:val="left" w:pos="851"/>
        </w:tabs>
        <w:ind w:left="851"/>
        <w:rPr>
          <w:sz w:val="24"/>
          <w:szCs w:val="24"/>
        </w:rPr>
      </w:pPr>
    </w:p>
    <w:p w14:paraId="2EBBB117" w14:textId="77777777" w:rsidR="00323920" w:rsidRPr="00323920" w:rsidRDefault="00323920" w:rsidP="00323920">
      <w:pPr>
        <w:tabs>
          <w:tab w:val="left" w:pos="851"/>
        </w:tabs>
        <w:ind w:left="851"/>
        <w:rPr>
          <w:sz w:val="24"/>
          <w:szCs w:val="24"/>
        </w:rPr>
      </w:pPr>
      <w:r w:rsidRPr="00323920">
        <w:rPr>
          <w:sz w:val="24"/>
          <w:szCs w:val="24"/>
        </w:rPr>
        <w:t xml:space="preserve">Samtidig behandling med Relfydess og aminoglykosider eller andre midler, påvirker den neuromuskulære transmission (fx curare-lignende midler eller andre botulinumtoksinprodukter på andre steder) må kun ske med forsigtighed, da det kan forstærke virkningen af botulinumtoksin. </w:t>
      </w:r>
    </w:p>
    <w:p w14:paraId="0D44629C" w14:textId="6CD0A810" w:rsidR="00323920" w:rsidRDefault="00323920">
      <w:pPr>
        <w:rPr>
          <w:sz w:val="24"/>
          <w:szCs w:val="24"/>
        </w:rPr>
      </w:pPr>
      <w:r>
        <w:rPr>
          <w:sz w:val="24"/>
          <w:szCs w:val="24"/>
        </w:rPr>
        <w:br w:type="page"/>
      </w:r>
    </w:p>
    <w:p w14:paraId="1BCC59C9" w14:textId="77777777" w:rsidR="009260DE" w:rsidRPr="00C84483" w:rsidRDefault="009260DE" w:rsidP="009260DE">
      <w:pPr>
        <w:tabs>
          <w:tab w:val="left" w:pos="851"/>
        </w:tabs>
        <w:ind w:left="851"/>
        <w:rPr>
          <w:sz w:val="24"/>
          <w:szCs w:val="24"/>
        </w:rPr>
      </w:pPr>
    </w:p>
    <w:p w14:paraId="1387AC4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018D910" w14:textId="77777777" w:rsidR="00323920" w:rsidRDefault="00323920" w:rsidP="00323920">
      <w:pPr>
        <w:tabs>
          <w:tab w:val="left" w:pos="851"/>
        </w:tabs>
        <w:ind w:left="851"/>
        <w:rPr>
          <w:sz w:val="24"/>
          <w:szCs w:val="24"/>
          <w:u w:val="single"/>
        </w:rPr>
      </w:pPr>
    </w:p>
    <w:p w14:paraId="50D2B52C" w14:textId="46C0DE31" w:rsidR="00323920" w:rsidRPr="00323920" w:rsidRDefault="00323920" w:rsidP="00323920">
      <w:pPr>
        <w:tabs>
          <w:tab w:val="left" w:pos="851"/>
        </w:tabs>
        <w:ind w:left="851"/>
        <w:rPr>
          <w:sz w:val="24"/>
          <w:szCs w:val="24"/>
        </w:rPr>
      </w:pPr>
      <w:r w:rsidRPr="00323920">
        <w:rPr>
          <w:sz w:val="24"/>
          <w:szCs w:val="24"/>
          <w:u w:val="single"/>
        </w:rPr>
        <w:t>Graviditet</w:t>
      </w:r>
    </w:p>
    <w:p w14:paraId="3E7D4256" w14:textId="77777777" w:rsidR="00323920" w:rsidRPr="00323920" w:rsidRDefault="00323920" w:rsidP="00323920">
      <w:pPr>
        <w:tabs>
          <w:tab w:val="left" w:pos="851"/>
        </w:tabs>
        <w:ind w:left="851"/>
        <w:rPr>
          <w:sz w:val="24"/>
          <w:szCs w:val="24"/>
        </w:rPr>
      </w:pPr>
      <w:r w:rsidRPr="00323920">
        <w:rPr>
          <w:sz w:val="24"/>
          <w:szCs w:val="24"/>
        </w:rPr>
        <w:t>Der er utilstrækkelige data fra anvendelse af botulinumtoksin type A til gravide kvinder. Dyreforsøg indikerer hverken direkte eller indirekte skadelige virkninger hvad angår reproduktionstoksicitet ud over høje doser, som forårsager maternel toksicitet (se pkt. 5.3). Den potentielle risiko for mennesker er ukendt.</w:t>
      </w:r>
    </w:p>
    <w:p w14:paraId="6666AB04" w14:textId="77777777" w:rsidR="00323920" w:rsidRPr="00323920" w:rsidRDefault="00323920" w:rsidP="00323920">
      <w:pPr>
        <w:tabs>
          <w:tab w:val="left" w:pos="851"/>
        </w:tabs>
        <w:ind w:left="851"/>
        <w:rPr>
          <w:sz w:val="24"/>
          <w:szCs w:val="24"/>
        </w:rPr>
      </w:pPr>
      <w:r w:rsidRPr="00323920">
        <w:rPr>
          <w:sz w:val="24"/>
          <w:szCs w:val="24"/>
        </w:rPr>
        <w:t xml:space="preserve">Relfydess bør ikke anvendes under graviditeten og til kvinder i den fertile alder, som ikke anvender sikker kontraception. </w:t>
      </w:r>
    </w:p>
    <w:p w14:paraId="0BBBA720" w14:textId="77777777" w:rsidR="00323920" w:rsidRPr="00323920" w:rsidRDefault="00323920" w:rsidP="00323920">
      <w:pPr>
        <w:tabs>
          <w:tab w:val="left" w:pos="851"/>
        </w:tabs>
        <w:ind w:left="851"/>
        <w:rPr>
          <w:sz w:val="24"/>
          <w:szCs w:val="24"/>
        </w:rPr>
      </w:pPr>
    </w:p>
    <w:p w14:paraId="390734F7" w14:textId="77777777" w:rsidR="00323920" w:rsidRPr="00323920" w:rsidRDefault="00323920" w:rsidP="00323920">
      <w:pPr>
        <w:tabs>
          <w:tab w:val="left" w:pos="851"/>
        </w:tabs>
        <w:ind w:left="851"/>
        <w:rPr>
          <w:sz w:val="24"/>
          <w:szCs w:val="24"/>
        </w:rPr>
      </w:pPr>
      <w:r w:rsidRPr="00323920">
        <w:rPr>
          <w:sz w:val="24"/>
          <w:szCs w:val="24"/>
          <w:u w:val="single"/>
        </w:rPr>
        <w:t>Amning</w:t>
      </w:r>
    </w:p>
    <w:p w14:paraId="6487C65D" w14:textId="77777777" w:rsidR="00323920" w:rsidRPr="00323920" w:rsidRDefault="00323920" w:rsidP="00323920">
      <w:pPr>
        <w:tabs>
          <w:tab w:val="left" w:pos="851"/>
        </w:tabs>
        <w:ind w:left="851"/>
        <w:rPr>
          <w:sz w:val="24"/>
          <w:szCs w:val="24"/>
        </w:rPr>
      </w:pPr>
      <w:r w:rsidRPr="00323920">
        <w:rPr>
          <w:sz w:val="24"/>
          <w:szCs w:val="24"/>
        </w:rPr>
        <w:t>Det er ukendt, om Relfydess udskilles i human mælk. Udskillelsen af Reflydess i mælk er ikke undersøgt hos dyr.  Relfydess må ikke anvendes under amning.</w:t>
      </w:r>
    </w:p>
    <w:p w14:paraId="47D1C76F" w14:textId="77777777" w:rsidR="00323920" w:rsidRPr="00323920" w:rsidRDefault="00323920" w:rsidP="00323920">
      <w:pPr>
        <w:tabs>
          <w:tab w:val="left" w:pos="851"/>
        </w:tabs>
        <w:ind w:left="851"/>
        <w:rPr>
          <w:sz w:val="24"/>
          <w:szCs w:val="24"/>
        </w:rPr>
      </w:pPr>
    </w:p>
    <w:p w14:paraId="55DCCB82" w14:textId="77777777" w:rsidR="00323920" w:rsidRPr="00323920" w:rsidRDefault="00323920" w:rsidP="00323920">
      <w:pPr>
        <w:tabs>
          <w:tab w:val="left" w:pos="851"/>
        </w:tabs>
        <w:ind w:left="851"/>
        <w:rPr>
          <w:sz w:val="24"/>
          <w:szCs w:val="24"/>
          <w:u w:val="single"/>
        </w:rPr>
      </w:pPr>
      <w:r w:rsidRPr="00323920">
        <w:rPr>
          <w:sz w:val="24"/>
          <w:szCs w:val="24"/>
          <w:u w:val="single"/>
        </w:rPr>
        <w:t>Fertilitet</w:t>
      </w:r>
    </w:p>
    <w:p w14:paraId="1278206F" w14:textId="77777777" w:rsidR="00323920" w:rsidRPr="00323920" w:rsidRDefault="00323920" w:rsidP="00323920">
      <w:pPr>
        <w:tabs>
          <w:tab w:val="left" w:pos="851"/>
        </w:tabs>
        <w:ind w:left="851"/>
        <w:rPr>
          <w:sz w:val="24"/>
          <w:szCs w:val="24"/>
        </w:rPr>
      </w:pPr>
      <w:r w:rsidRPr="00323920">
        <w:rPr>
          <w:sz w:val="24"/>
          <w:szCs w:val="24"/>
        </w:rPr>
        <w:t xml:space="preserve">Der foreligger ingen kliniske data vedrørende Relfydess' virkninger på fertiliteten.  I dyreforsøg var der ingen tegn på nogen direkte virkning af botulinumtoksin A på fertiliteten (se pkt. 5.3). </w:t>
      </w:r>
    </w:p>
    <w:p w14:paraId="3E67FF72" w14:textId="77777777" w:rsidR="009260DE" w:rsidRPr="00C84483" w:rsidRDefault="009260DE" w:rsidP="009260DE">
      <w:pPr>
        <w:tabs>
          <w:tab w:val="left" w:pos="851"/>
        </w:tabs>
        <w:ind w:left="851"/>
        <w:rPr>
          <w:sz w:val="24"/>
          <w:szCs w:val="24"/>
        </w:rPr>
      </w:pPr>
    </w:p>
    <w:p w14:paraId="36BF7D4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283A568" w14:textId="662B7F25" w:rsidR="00323920" w:rsidRPr="00323920" w:rsidRDefault="00323920" w:rsidP="00323920">
      <w:pPr>
        <w:tabs>
          <w:tab w:val="left" w:pos="851"/>
        </w:tabs>
        <w:ind w:left="851"/>
        <w:rPr>
          <w:sz w:val="24"/>
          <w:szCs w:val="24"/>
        </w:rPr>
      </w:pPr>
      <w:r w:rsidRPr="00323920">
        <w:rPr>
          <w:sz w:val="24"/>
          <w:szCs w:val="24"/>
        </w:rPr>
        <w:t>Ikke mærkning</w:t>
      </w:r>
      <w:r>
        <w:rPr>
          <w:sz w:val="24"/>
          <w:szCs w:val="24"/>
        </w:rPr>
        <w:t>.</w:t>
      </w:r>
    </w:p>
    <w:p w14:paraId="4F6D4C17" w14:textId="77777777" w:rsidR="00323920" w:rsidRPr="00323920" w:rsidRDefault="00323920" w:rsidP="00323920">
      <w:pPr>
        <w:tabs>
          <w:tab w:val="left" w:pos="851"/>
        </w:tabs>
        <w:ind w:left="851"/>
        <w:rPr>
          <w:sz w:val="24"/>
          <w:szCs w:val="24"/>
        </w:rPr>
      </w:pPr>
      <w:r w:rsidRPr="00323920">
        <w:rPr>
          <w:sz w:val="24"/>
          <w:szCs w:val="24"/>
        </w:rPr>
        <w:t>Det er rapporteret, at andre botulinumtoksinprodukter i mindre eller moderat grad påvirker evnen til at føre motorkøretøj og betjene maskiner. Der er en mulig risiko for lokaliseret muskelsvækkelse eller synsforstyrrelser forbundet med anvendelse af Relfydess. Dette kan midlertidigt nedsætte evnen til at føre motorkøretøj og betjene maskiner.</w:t>
      </w:r>
    </w:p>
    <w:p w14:paraId="07B38D87" w14:textId="77777777" w:rsidR="009260DE" w:rsidRPr="00C84483" w:rsidRDefault="009260DE" w:rsidP="009260DE">
      <w:pPr>
        <w:tabs>
          <w:tab w:val="left" w:pos="851"/>
        </w:tabs>
        <w:ind w:left="851"/>
        <w:rPr>
          <w:sz w:val="24"/>
          <w:szCs w:val="24"/>
        </w:rPr>
      </w:pPr>
    </w:p>
    <w:p w14:paraId="0E49262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AE1E3AC" w14:textId="77777777" w:rsidR="00323920" w:rsidRPr="00323920" w:rsidRDefault="00323920" w:rsidP="00323920">
      <w:pPr>
        <w:keepNext/>
        <w:autoSpaceDE w:val="0"/>
        <w:autoSpaceDN w:val="0"/>
        <w:adjustRightInd w:val="0"/>
        <w:ind w:left="851"/>
        <w:jc w:val="both"/>
        <w:rPr>
          <w:sz w:val="24"/>
          <w:szCs w:val="24"/>
        </w:rPr>
      </w:pPr>
    </w:p>
    <w:p w14:paraId="06E80A4A" w14:textId="77777777" w:rsidR="00323920" w:rsidRPr="00323920" w:rsidRDefault="00323920" w:rsidP="00323920">
      <w:pPr>
        <w:keepNext/>
        <w:autoSpaceDE w:val="0"/>
        <w:autoSpaceDN w:val="0"/>
        <w:adjustRightInd w:val="0"/>
        <w:ind w:left="851"/>
        <w:jc w:val="both"/>
        <w:rPr>
          <w:i/>
          <w:sz w:val="24"/>
          <w:szCs w:val="24"/>
        </w:rPr>
      </w:pPr>
      <w:r w:rsidRPr="00323920">
        <w:rPr>
          <w:sz w:val="24"/>
          <w:szCs w:val="24"/>
          <w:u w:val="single"/>
        </w:rPr>
        <w:t>Resumé af sikkerhedsprofilen</w:t>
      </w:r>
    </w:p>
    <w:p w14:paraId="0EDF7355" w14:textId="77777777" w:rsidR="00323920" w:rsidRPr="00323920" w:rsidRDefault="00323920" w:rsidP="00323920">
      <w:pPr>
        <w:autoSpaceDE w:val="0"/>
        <w:autoSpaceDN w:val="0"/>
        <w:adjustRightInd w:val="0"/>
        <w:ind w:left="851"/>
        <w:rPr>
          <w:sz w:val="24"/>
          <w:szCs w:val="24"/>
        </w:rPr>
      </w:pPr>
      <w:r w:rsidRPr="00323920">
        <w:rPr>
          <w:sz w:val="24"/>
          <w:szCs w:val="24"/>
        </w:rPr>
        <w:t>Størstedelen af de bivirkninger, der er indberettet efter en enkelt behandling med Relfydess hos patienter, der fik ≥ 50 enheder, i alle placebokontrollerede studier i udviklingsprogrammet var lette til moderate i styrke. De hyppigst indberettede bivirkninger var reaktioner på injektionsstedet samt hovedpine, der opstod hos henholdsvis cirka 7 % og 5 % af patienterne.</w:t>
      </w:r>
    </w:p>
    <w:p w14:paraId="2D582B11" w14:textId="77777777" w:rsidR="00323920" w:rsidRPr="00323920" w:rsidRDefault="00323920" w:rsidP="00323920">
      <w:pPr>
        <w:autoSpaceDE w:val="0"/>
        <w:autoSpaceDN w:val="0"/>
        <w:adjustRightInd w:val="0"/>
        <w:ind w:left="851"/>
        <w:rPr>
          <w:sz w:val="24"/>
          <w:szCs w:val="24"/>
        </w:rPr>
      </w:pPr>
      <w:r w:rsidRPr="00323920">
        <w:rPr>
          <w:sz w:val="24"/>
          <w:szCs w:val="24"/>
        </w:rPr>
        <w:t xml:space="preserve">Generelt opstod reaktionerne forbundet med behandlingen/injektionsteknikken inden for den første måned efter injektionen og var forbigående.  </w:t>
      </w:r>
    </w:p>
    <w:p w14:paraId="2A7904F1" w14:textId="77777777" w:rsidR="00323920" w:rsidRPr="00323920" w:rsidRDefault="00323920" w:rsidP="00323920">
      <w:pPr>
        <w:autoSpaceDE w:val="0"/>
        <w:autoSpaceDN w:val="0"/>
        <w:adjustRightInd w:val="0"/>
        <w:ind w:left="851"/>
        <w:rPr>
          <w:sz w:val="24"/>
          <w:szCs w:val="24"/>
        </w:rPr>
      </w:pPr>
    </w:p>
    <w:p w14:paraId="7FBF5C40" w14:textId="77777777" w:rsidR="00323920" w:rsidRPr="00323920" w:rsidRDefault="00323920" w:rsidP="00323920">
      <w:pPr>
        <w:autoSpaceDE w:val="0"/>
        <w:autoSpaceDN w:val="0"/>
        <w:adjustRightInd w:val="0"/>
        <w:ind w:left="851"/>
        <w:rPr>
          <w:sz w:val="24"/>
          <w:szCs w:val="24"/>
        </w:rPr>
      </w:pPr>
      <w:r w:rsidRPr="00323920">
        <w:rPr>
          <w:sz w:val="24"/>
          <w:szCs w:val="24"/>
        </w:rPr>
        <w:t>Bivirkningernes beskaffenhed og hyppighed efter behandling af glabellarynker og rynker i laterale canthus var sammenlignelig med de bivirkninger, der er observeret efter behandling af patienter for de individuelle indikationer.</w:t>
      </w:r>
    </w:p>
    <w:p w14:paraId="6B43071F" w14:textId="77777777" w:rsidR="00323920" w:rsidRPr="00323920" w:rsidRDefault="00323920" w:rsidP="00323920">
      <w:pPr>
        <w:autoSpaceDE w:val="0"/>
        <w:autoSpaceDN w:val="0"/>
        <w:adjustRightInd w:val="0"/>
        <w:ind w:left="851"/>
        <w:rPr>
          <w:sz w:val="24"/>
          <w:szCs w:val="24"/>
        </w:rPr>
      </w:pPr>
    </w:p>
    <w:p w14:paraId="0575247B" w14:textId="77777777" w:rsidR="00323920" w:rsidRPr="00323920" w:rsidRDefault="00323920" w:rsidP="00323920">
      <w:pPr>
        <w:keepNext/>
        <w:autoSpaceDE w:val="0"/>
        <w:autoSpaceDN w:val="0"/>
        <w:adjustRightInd w:val="0"/>
        <w:ind w:left="851"/>
        <w:rPr>
          <w:sz w:val="24"/>
          <w:szCs w:val="24"/>
          <w:u w:val="single"/>
        </w:rPr>
      </w:pPr>
      <w:r w:rsidRPr="00323920">
        <w:rPr>
          <w:sz w:val="24"/>
          <w:szCs w:val="24"/>
          <w:u w:val="single"/>
        </w:rPr>
        <w:t xml:space="preserve">Bivirkningstabel </w:t>
      </w:r>
    </w:p>
    <w:p w14:paraId="7A052BAB" w14:textId="77777777" w:rsidR="00323920" w:rsidRPr="00323920" w:rsidRDefault="00323920" w:rsidP="00323920">
      <w:pPr>
        <w:autoSpaceDE w:val="0"/>
        <w:autoSpaceDN w:val="0"/>
        <w:adjustRightInd w:val="0"/>
        <w:ind w:left="851"/>
        <w:rPr>
          <w:sz w:val="24"/>
          <w:szCs w:val="24"/>
        </w:rPr>
      </w:pPr>
      <w:r w:rsidRPr="00323920">
        <w:rPr>
          <w:sz w:val="24"/>
          <w:szCs w:val="24"/>
        </w:rPr>
        <w:t xml:space="preserve">Bivirkningernes hyppighed klassificeres som følger: </w:t>
      </w:r>
    </w:p>
    <w:p w14:paraId="336926AC" w14:textId="77777777" w:rsidR="00323920" w:rsidRPr="00323920" w:rsidRDefault="00323920" w:rsidP="00323920">
      <w:pPr>
        <w:autoSpaceDE w:val="0"/>
        <w:autoSpaceDN w:val="0"/>
        <w:adjustRightInd w:val="0"/>
        <w:ind w:left="851"/>
        <w:rPr>
          <w:sz w:val="24"/>
          <w:szCs w:val="24"/>
        </w:rPr>
      </w:pPr>
      <w:r w:rsidRPr="00323920">
        <w:rPr>
          <w:sz w:val="24"/>
          <w:szCs w:val="24"/>
        </w:rPr>
        <w:t>Meget almindelig (≥ 1/10), almindelig (≥ 1/100 til &lt; 1/10), ikke almindelig (≥ 1/1.000 til &lt; 1/100), sjælden (≥ 1/10.000 til &lt; 1/1.000), meget sjælden (&lt; 1/10.000), ikke kendt (kan ikke estimeres ud fra forhåndenværende data).</w:t>
      </w:r>
    </w:p>
    <w:p w14:paraId="63FD6F85" w14:textId="77777777" w:rsidR="00323920" w:rsidRDefault="00323920" w:rsidP="00323920">
      <w:pPr>
        <w:autoSpaceDE w:val="0"/>
        <w:autoSpaceDN w:val="0"/>
        <w:adjustRightInd w:val="0"/>
        <w:rPr>
          <w:szCs w:val="22"/>
        </w:rPr>
      </w:pPr>
    </w:p>
    <w:p w14:paraId="0CAC35C2" w14:textId="77777777" w:rsidR="00323920" w:rsidRDefault="00323920" w:rsidP="00323920">
      <w:pPr>
        <w:keepNext/>
        <w:autoSpaceDE w:val="0"/>
        <w:autoSpaceDN w:val="0"/>
        <w:adjustRightInd w:val="0"/>
        <w:rPr>
          <w:b/>
          <w:bCs/>
          <w:szCs w:val="22"/>
        </w:rPr>
      </w:pPr>
      <w:r>
        <w:rPr>
          <w:b/>
        </w:rPr>
        <w:lastRenderedPageBreak/>
        <w:t>Tabel 2:</w:t>
      </w:r>
      <w:r>
        <w:rPr>
          <w:b/>
        </w:rPr>
        <w:tab/>
        <w:t>Moderate til svære glabellarynker</w:t>
      </w:r>
    </w:p>
    <w:p w14:paraId="68E37BA9" w14:textId="77777777" w:rsidR="00323920" w:rsidRDefault="00323920" w:rsidP="00323920">
      <w:pPr>
        <w:keepNext/>
        <w:autoSpaceDE w:val="0"/>
        <w:autoSpaceDN w:val="0"/>
        <w:adjustRightInd w:val="0"/>
      </w:pPr>
    </w:p>
    <w:p w14:paraId="54E01DAA" w14:textId="33DD8E66" w:rsidR="00323920" w:rsidRDefault="00323920" w:rsidP="00323920">
      <w:pPr>
        <w:keepNext/>
        <w:autoSpaceDE w:val="0"/>
        <w:autoSpaceDN w:val="0"/>
        <w:adjustRightInd w:val="0"/>
        <w:rPr>
          <w:szCs w:val="22"/>
        </w:rPr>
      </w:pPr>
      <w:r>
        <w:t>Nedenstående bivirkninger er observeret hos patienter, som fik Relfydess administreret til midlertidig forbedring af udseendet af moderate til svære glabellarynker.</w:t>
      </w:r>
    </w:p>
    <w:tbl>
      <w:tblPr>
        <w:tblW w:w="5000" w:type="pct"/>
        <w:jc w:val="center"/>
        <w:tblCellMar>
          <w:left w:w="70" w:type="dxa"/>
          <w:right w:w="70" w:type="dxa"/>
        </w:tblCellMar>
        <w:tblLook w:val="04A0" w:firstRow="1" w:lastRow="0" w:firstColumn="1" w:lastColumn="0" w:noHBand="0" w:noVBand="1"/>
      </w:tblPr>
      <w:tblGrid>
        <w:gridCol w:w="3330"/>
        <w:gridCol w:w="2152"/>
        <w:gridCol w:w="4146"/>
      </w:tblGrid>
      <w:tr w:rsidR="00323920" w14:paraId="7FA140D2" w14:textId="77777777" w:rsidTr="00323920">
        <w:trPr>
          <w:trHeight w:val="290"/>
          <w:jc w:val="center"/>
        </w:trPr>
        <w:tc>
          <w:tcPr>
            <w:tcW w:w="2940" w:type="dxa"/>
            <w:tcBorders>
              <w:top w:val="single" w:sz="4" w:space="0" w:color="auto"/>
              <w:left w:val="single" w:sz="4" w:space="0" w:color="auto"/>
              <w:bottom w:val="single" w:sz="4" w:space="0" w:color="auto"/>
              <w:right w:val="single" w:sz="4" w:space="0" w:color="auto"/>
            </w:tcBorders>
            <w:vAlign w:val="bottom"/>
            <w:hideMark/>
          </w:tcPr>
          <w:p w14:paraId="4F7F3E77" w14:textId="77777777" w:rsidR="00323920" w:rsidRDefault="00323920">
            <w:pPr>
              <w:keepNext/>
              <w:rPr>
                <w:b/>
                <w:bCs/>
                <w:szCs w:val="22"/>
              </w:rPr>
            </w:pPr>
            <w:r>
              <w:rPr>
                <w:b/>
              </w:rPr>
              <w:t>Systemorganklasse</w:t>
            </w:r>
          </w:p>
        </w:tc>
        <w:tc>
          <w:tcPr>
            <w:tcW w:w="1900" w:type="dxa"/>
            <w:tcBorders>
              <w:top w:val="single" w:sz="4" w:space="0" w:color="auto"/>
              <w:left w:val="nil"/>
              <w:bottom w:val="single" w:sz="4" w:space="0" w:color="auto"/>
              <w:right w:val="single" w:sz="4" w:space="0" w:color="auto"/>
            </w:tcBorders>
            <w:noWrap/>
            <w:vAlign w:val="bottom"/>
            <w:hideMark/>
          </w:tcPr>
          <w:p w14:paraId="5F8C3B5D" w14:textId="77777777" w:rsidR="00323920" w:rsidRDefault="00323920">
            <w:pPr>
              <w:keepNext/>
              <w:rPr>
                <w:b/>
                <w:bCs/>
                <w:szCs w:val="22"/>
              </w:rPr>
            </w:pPr>
            <w:r>
              <w:rPr>
                <w:b/>
              </w:rPr>
              <w:t>Hyppighed</w:t>
            </w:r>
          </w:p>
        </w:tc>
        <w:tc>
          <w:tcPr>
            <w:tcW w:w="3660" w:type="dxa"/>
            <w:tcBorders>
              <w:top w:val="single" w:sz="4" w:space="0" w:color="auto"/>
              <w:left w:val="nil"/>
              <w:bottom w:val="single" w:sz="4" w:space="0" w:color="auto"/>
              <w:right w:val="single" w:sz="4" w:space="0" w:color="auto"/>
            </w:tcBorders>
            <w:noWrap/>
            <w:vAlign w:val="bottom"/>
            <w:hideMark/>
          </w:tcPr>
          <w:p w14:paraId="21CE3A5A" w14:textId="77777777" w:rsidR="00323920" w:rsidRDefault="00323920">
            <w:pPr>
              <w:keepNext/>
              <w:rPr>
                <w:b/>
                <w:bCs/>
                <w:szCs w:val="22"/>
              </w:rPr>
            </w:pPr>
            <w:r>
              <w:rPr>
                <w:b/>
              </w:rPr>
              <w:t>Bivirkning</w:t>
            </w:r>
          </w:p>
        </w:tc>
      </w:tr>
      <w:tr w:rsidR="00323920" w14:paraId="38CBE3FB" w14:textId="77777777" w:rsidTr="00323920">
        <w:trPr>
          <w:trHeight w:val="290"/>
          <w:jc w:val="center"/>
        </w:trPr>
        <w:tc>
          <w:tcPr>
            <w:tcW w:w="2940" w:type="dxa"/>
            <w:tcBorders>
              <w:top w:val="nil"/>
              <w:left w:val="single" w:sz="4" w:space="0" w:color="auto"/>
              <w:bottom w:val="single" w:sz="4" w:space="0" w:color="auto"/>
              <w:right w:val="single" w:sz="4" w:space="0" w:color="auto"/>
            </w:tcBorders>
            <w:hideMark/>
          </w:tcPr>
          <w:p w14:paraId="6840A5FB" w14:textId="77777777" w:rsidR="00323920" w:rsidRDefault="00323920">
            <w:pPr>
              <w:keepNext/>
              <w:rPr>
                <w:szCs w:val="22"/>
              </w:rPr>
            </w:pPr>
            <w:r>
              <w:t>Immunsystemet</w:t>
            </w:r>
          </w:p>
        </w:tc>
        <w:tc>
          <w:tcPr>
            <w:tcW w:w="1900" w:type="dxa"/>
            <w:tcBorders>
              <w:top w:val="nil"/>
              <w:left w:val="nil"/>
              <w:bottom w:val="single" w:sz="4" w:space="0" w:color="auto"/>
              <w:right w:val="single" w:sz="4" w:space="0" w:color="auto"/>
            </w:tcBorders>
            <w:noWrap/>
            <w:hideMark/>
          </w:tcPr>
          <w:p w14:paraId="132C8B64" w14:textId="77777777" w:rsidR="00323920" w:rsidRDefault="00323920">
            <w:pPr>
              <w:keepNext/>
              <w:rPr>
                <w:szCs w:val="22"/>
              </w:rPr>
            </w:pPr>
            <w:r>
              <w:t>Ikke almindelig</w:t>
            </w:r>
          </w:p>
        </w:tc>
        <w:tc>
          <w:tcPr>
            <w:tcW w:w="3660" w:type="dxa"/>
            <w:tcBorders>
              <w:top w:val="nil"/>
              <w:left w:val="nil"/>
              <w:bottom w:val="single" w:sz="4" w:space="0" w:color="auto"/>
              <w:right w:val="single" w:sz="4" w:space="0" w:color="auto"/>
            </w:tcBorders>
            <w:hideMark/>
          </w:tcPr>
          <w:p w14:paraId="2EEC42D0" w14:textId="77777777" w:rsidR="00323920" w:rsidRDefault="00323920">
            <w:pPr>
              <w:keepNext/>
              <w:rPr>
                <w:szCs w:val="22"/>
              </w:rPr>
            </w:pPr>
            <w:r>
              <w:t>Overfølsomhed</w:t>
            </w:r>
          </w:p>
        </w:tc>
      </w:tr>
      <w:tr w:rsidR="00323920" w14:paraId="610E6546" w14:textId="77777777" w:rsidTr="00323920">
        <w:trPr>
          <w:trHeight w:val="290"/>
          <w:jc w:val="center"/>
        </w:trPr>
        <w:tc>
          <w:tcPr>
            <w:tcW w:w="2940" w:type="dxa"/>
            <w:tcBorders>
              <w:top w:val="nil"/>
              <w:left w:val="single" w:sz="4" w:space="0" w:color="auto"/>
              <w:bottom w:val="single" w:sz="4" w:space="0" w:color="auto"/>
              <w:right w:val="single" w:sz="4" w:space="0" w:color="auto"/>
            </w:tcBorders>
            <w:hideMark/>
          </w:tcPr>
          <w:p w14:paraId="00F5D36D" w14:textId="77777777" w:rsidR="00323920" w:rsidRDefault="00323920">
            <w:pPr>
              <w:keepNext/>
              <w:rPr>
                <w:szCs w:val="22"/>
              </w:rPr>
            </w:pPr>
            <w:r>
              <w:t>Nervesystemet</w:t>
            </w:r>
          </w:p>
        </w:tc>
        <w:tc>
          <w:tcPr>
            <w:tcW w:w="1900" w:type="dxa"/>
            <w:tcBorders>
              <w:top w:val="nil"/>
              <w:left w:val="nil"/>
              <w:bottom w:val="single" w:sz="4" w:space="0" w:color="auto"/>
              <w:right w:val="single" w:sz="4" w:space="0" w:color="auto"/>
            </w:tcBorders>
            <w:noWrap/>
            <w:hideMark/>
          </w:tcPr>
          <w:p w14:paraId="71BCBBC2" w14:textId="77777777" w:rsidR="00323920" w:rsidRDefault="00323920">
            <w:pPr>
              <w:keepNext/>
              <w:rPr>
                <w:szCs w:val="22"/>
              </w:rPr>
            </w:pPr>
            <w:r>
              <w:t>Almindelig</w:t>
            </w:r>
          </w:p>
        </w:tc>
        <w:tc>
          <w:tcPr>
            <w:tcW w:w="3660" w:type="dxa"/>
            <w:tcBorders>
              <w:top w:val="nil"/>
              <w:left w:val="nil"/>
              <w:bottom w:val="single" w:sz="4" w:space="0" w:color="auto"/>
              <w:right w:val="single" w:sz="4" w:space="0" w:color="auto"/>
            </w:tcBorders>
            <w:hideMark/>
          </w:tcPr>
          <w:p w14:paraId="707C0666" w14:textId="77777777" w:rsidR="00323920" w:rsidRDefault="00323920">
            <w:pPr>
              <w:keepNext/>
              <w:rPr>
                <w:szCs w:val="22"/>
              </w:rPr>
            </w:pPr>
            <w:r>
              <w:t>Hovedpine</w:t>
            </w:r>
          </w:p>
        </w:tc>
      </w:tr>
      <w:tr w:rsidR="00323920" w14:paraId="34E1AF98" w14:textId="77777777" w:rsidTr="00323920">
        <w:trPr>
          <w:trHeight w:val="290"/>
          <w:jc w:val="center"/>
        </w:trPr>
        <w:tc>
          <w:tcPr>
            <w:tcW w:w="2940" w:type="dxa"/>
            <w:vMerge w:val="restart"/>
            <w:tcBorders>
              <w:top w:val="nil"/>
              <w:left w:val="single" w:sz="4" w:space="0" w:color="auto"/>
              <w:bottom w:val="single" w:sz="4" w:space="0" w:color="auto"/>
              <w:right w:val="single" w:sz="4" w:space="0" w:color="auto"/>
            </w:tcBorders>
            <w:vAlign w:val="center"/>
            <w:hideMark/>
          </w:tcPr>
          <w:p w14:paraId="00500FC4" w14:textId="77777777" w:rsidR="00323920" w:rsidRDefault="00323920">
            <w:pPr>
              <w:keepNext/>
              <w:rPr>
                <w:szCs w:val="22"/>
              </w:rPr>
            </w:pPr>
            <w:r>
              <w:t>Øjne</w:t>
            </w:r>
          </w:p>
        </w:tc>
        <w:tc>
          <w:tcPr>
            <w:tcW w:w="1900" w:type="dxa"/>
            <w:tcBorders>
              <w:top w:val="nil"/>
              <w:left w:val="nil"/>
              <w:bottom w:val="single" w:sz="4" w:space="0" w:color="auto"/>
              <w:right w:val="single" w:sz="4" w:space="0" w:color="auto"/>
            </w:tcBorders>
            <w:noWrap/>
            <w:hideMark/>
          </w:tcPr>
          <w:p w14:paraId="1A7983CF" w14:textId="77777777" w:rsidR="00323920" w:rsidRDefault="00323920">
            <w:pPr>
              <w:keepNext/>
              <w:rPr>
                <w:szCs w:val="22"/>
              </w:rPr>
            </w:pPr>
            <w:r>
              <w:t>Almindelig</w:t>
            </w:r>
          </w:p>
        </w:tc>
        <w:tc>
          <w:tcPr>
            <w:tcW w:w="3660" w:type="dxa"/>
            <w:tcBorders>
              <w:top w:val="nil"/>
              <w:left w:val="nil"/>
              <w:bottom w:val="single" w:sz="4" w:space="0" w:color="auto"/>
              <w:right w:val="single" w:sz="4" w:space="0" w:color="auto"/>
            </w:tcBorders>
            <w:hideMark/>
          </w:tcPr>
          <w:p w14:paraId="42C2591E" w14:textId="77777777" w:rsidR="00323920" w:rsidRDefault="00323920">
            <w:pPr>
              <w:keepNext/>
              <w:rPr>
                <w:szCs w:val="22"/>
              </w:rPr>
            </w:pPr>
            <w:r>
              <w:t>Øjenlågsptose</w:t>
            </w:r>
          </w:p>
        </w:tc>
      </w:tr>
      <w:tr w:rsidR="00323920" w14:paraId="6C7A1794" w14:textId="77777777" w:rsidTr="00323920">
        <w:trPr>
          <w:trHeight w:val="290"/>
          <w:jc w:val="center"/>
        </w:trPr>
        <w:tc>
          <w:tcPr>
            <w:tcW w:w="0" w:type="auto"/>
            <w:vMerge/>
            <w:tcBorders>
              <w:top w:val="nil"/>
              <w:left w:val="single" w:sz="4" w:space="0" w:color="auto"/>
              <w:bottom w:val="single" w:sz="4" w:space="0" w:color="auto"/>
              <w:right w:val="single" w:sz="4" w:space="0" w:color="auto"/>
            </w:tcBorders>
            <w:vAlign w:val="center"/>
            <w:hideMark/>
          </w:tcPr>
          <w:p w14:paraId="511A2226" w14:textId="77777777" w:rsidR="00323920" w:rsidRDefault="00323920">
            <w:pPr>
              <w:rPr>
                <w:sz w:val="22"/>
                <w:szCs w:val="22"/>
              </w:rPr>
            </w:pPr>
          </w:p>
        </w:tc>
        <w:tc>
          <w:tcPr>
            <w:tcW w:w="1900" w:type="dxa"/>
            <w:tcBorders>
              <w:top w:val="nil"/>
              <w:left w:val="nil"/>
              <w:bottom w:val="single" w:sz="4" w:space="0" w:color="auto"/>
              <w:right w:val="single" w:sz="4" w:space="0" w:color="auto"/>
            </w:tcBorders>
            <w:noWrap/>
            <w:hideMark/>
          </w:tcPr>
          <w:p w14:paraId="729CF407" w14:textId="77777777" w:rsidR="00323920" w:rsidRDefault="00323920">
            <w:pPr>
              <w:keepNext/>
              <w:rPr>
                <w:szCs w:val="22"/>
              </w:rPr>
            </w:pPr>
            <w:r>
              <w:t>Ikke almindelig</w:t>
            </w:r>
          </w:p>
        </w:tc>
        <w:tc>
          <w:tcPr>
            <w:tcW w:w="3660" w:type="dxa"/>
            <w:tcBorders>
              <w:top w:val="nil"/>
              <w:left w:val="nil"/>
              <w:bottom w:val="single" w:sz="4" w:space="0" w:color="auto"/>
              <w:right w:val="single" w:sz="4" w:space="0" w:color="auto"/>
            </w:tcBorders>
            <w:hideMark/>
          </w:tcPr>
          <w:p w14:paraId="0A4AA3C9" w14:textId="77777777" w:rsidR="00323920" w:rsidRDefault="00323920">
            <w:pPr>
              <w:keepNext/>
              <w:rPr>
                <w:szCs w:val="22"/>
              </w:rPr>
            </w:pPr>
            <w:r>
              <w:t>Synsforringelse, øjentørhed, astenopi</w:t>
            </w:r>
          </w:p>
        </w:tc>
      </w:tr>
      <w:tr w:rsidR="00323920" w14:paraId="5BD32588" w14:textId="77777777" w:rsidTr="00323920">
        <w:trPr>
          <w:trHeight w:val="290"/>
          <w:jc w:val="center"/>
        </w:trPr>
        <w:tc>
          <w:tcPr>
            <w:tcW w:w="2940" w:type="dxa"/>
            <w:tcBorders>
              <w:top w:val="nil"/>
              <w:left w:val="single" w:sz="4" w:space="0" w:color="auto"/>
              <w:bottom w:val="single" w:sz="4" w:space="0" w:color="auto"/>
              <w:right w:val="single" w:sz="4" w:space="0" w:color="auto"/>
            </w:tcBorders>
            <w:hideMark/>
          </w:tcPr>
          <w:p w14:paraId="22E7867F" w14:textId="77777777" w:rsidR="00323920" w:rsidRDefault="00323920">
            <w:pPr>
              <w:keepNext/>
              <w:rPr>
                <w:szCs w:val="22"/>
              </w:rPr>
            </w:pPr>
            <w:r>
              <w:t>Hud og subkutane væv</w:t>
            </w:r>
          </w:p>
        </w:tc>
        <w:tc>
          <w:tcPr>
            <w:tcW w:w="1900" w:type="dxa"/>
            <w:tcBorders>
              <w:top w:val="nil"/>
              <w:left w:val="nil"/>
              <w:bottom w:val="single" w:sz="4" w:space="0" w:color="auto"/>
              <w:right w:val="single" w:sz="4" w:space="0" w:color="auto"/>
            </w:tcBorders>
            <w:noWrap/>
            <w:vAlign w:val="center"/>
            <w:hideMark/>
          </w:tcPr>
          <w:p w14:paraId="271F882F" w14:textId="77777777" w:rsidR="00323920" w:rsidRDefault="00323920">
            <w:pPr>
              <w:keepNext/>
              <w:rPr>
                <w:szCs w:val="22"/>
              </w:rPr>
            </w:pPr>
            <w:r>
              <w:t>Ikke almindelig</w:t>
            </w:r>
          </w:p>
        </w:tc>
        <w:tc>
          <w:tcPr>
            <w:tcW w:w="3660" w:type="dxa"/>
            <w:tcBorders>
              <w:top w:val="nil"/>
              <w:left w:val="nil"/>
              <w:bottom w:val="single" w:sz="4" w:space="0" w:color="auto"/>
              <w:right w:val="single" w:sz="4" w:space="0" w:color="auto"/>
            </w:tcBorders>
            <w:vAlign w:val="center"/>
            <w:hideMark/>
          </w:tcPr>
          <w:p w14:paraId="7FB848F0" w14:textId="77777777" w:rsidR="00323920" w:rsidRDefault="00323920">
            <w:pPr>
              <w:keepNext/>
              <w:rPr>
                <w:szCs w:val="22"/>
              </w:rPr>
            </w:pPr>
            <w:r>
              <w:t>Øjenbrynsptose, urticaria</w:t>
            </w:r>
          </w:p>
        </w:tc>
      </w:tr>
      <w:tr w:rsidR="00323920" w14:paraId="2AA377E0" w14:textId="77777777" w:rsidTr="00323920">
        <w:trPr>
          <w:trHeight w:val="463"/>
          <w:jc w:val="center"/>
        </w:trPr>
        <w:tc>
          <w:tcPr>
            <w:tcW w:w="2940" w:type="dxa"/>
            <w:tcBorders>
              <w:top w:val="nil"/>
              <w:left w:val="single" w:sz="4" w:space="0" w:color="auto"/>
              <w:bottom w:val="single" w:sz="4" w:space="0" w:color="auto"/>
              <w:right w:val="single" w:sz="4" w:space="0" w:color="auto"/>
            </w:tcBorders>
            <w:hideMark/>
          </w:tcPr>
          <w:p w14:paraId="4E53C678" w14:textId="77777777" w:rsidR="00323920" w:rsidRDefault="00323920">
            <w:pPr>
              <w:keepNext/>
              <w:rPr>
                <w:szCs w:val="22"/>
              </w:rPr>
            </w:pPr>
            <w:r>
              <w:t>Knogler, led, muskler og bindevæv</w:t>
            </w:r>
          </w:p>
        </w:tc>
        <w:tc>
          <w:tcPr>
            <w:tcW w:w="1900" w:type="dxa"/>
            <w:tcBorders>
              <w:top w:val="nil"/>
              <w:left w:val="nil"/>
              <w:bottom w:val="single" w:sz="4" w:space="0" w:color="auto"/>
              <w:right w:val="single" w:sz="4" w:space="0" w:color="auto"/>
            </w:tcBorders>
            <w:noWrap/>
            <w:vAlign w:val="center"/>
            <w:hideMark/>
          </w:tcPr>
          <w:p w14:paraId="7EF1D14A" w14:textId="77777777" w:rsidR="00323920" w:rsidRDefault="00323920">
            <w:pPr>
              <w:keepNext/>
              <w:rPr>
                <w:szCs w:val="22"/>
              </w:rPr>
            </w:pPr>
            <w:r>
              <w:t>Ikke almindelig</w:t>
            </w:r>
          </w:p>
        </w:tc>
        <w:tc>
          <w:tcPr>
            <w:tcW w:w="3660" w:type="dxa"/>
            <w:tcBorders>
              <w:top w:val="nil"/>
              <w:left w:val="nil"/>
              <w:bottom w:val="single" w:sz="4" w:space="0" w:color="auto"/>
              <w:right w:val="single" w:sz="4" w:space="0" w:color="auto"/>
            </w:tcBorders>
            <w:vAlign w:val="center"/>
            <w:hideMark/>
          </w:tcPr>
          <w:p w14:paraId="1DF71313" w14:textId="77777777" w:rsidR="00323920" w:rsidRDefault="00323920">
            <w:pPr>
              <w:keepNext/>
              <w:rPr>
                <w:szCs w:val="22"/>
              </w:rPr>
            </w:pPr>
            <w:r>
              <w:t>Muskelsvækkelse, muskelspasmer</w:t>
            </w:r>
          </w:p>
        </w:tc>
      </w:tr>
      <w:tr w:rsidR="00323920" w14:paraId="75840207" w14:textId="77777777" w:rsidTr="00323920">
        <w:trPr>
          <w:trHeight w:val="429"/>
          <w:jc w:val="center"/>
        </w:trPr>
        <w:tc>
          <w:tcPr>
            <w:tcW w:w="2940" w:type="dxa"/>
            <w:tcBorders>
              <w:top w:val="nil"/>
              <w:left w:val="single" w:sz="4" w:space="0" w:color="auto"/>
              <w:bottom w:val="single" w:sz="4" w:space="0" w:color="auto"/>
              <w:right w:val="single" w:sz="4" w:space="0" w:color="auto"/>
            </w:tcBorders>
            <w:hideMark/>
          </w:tcPr>
          <w:p w14:paraId="5C3A9A26" w14:textId="77777777" w:rsidR="00323920" w:rsidRDefault="00323920">
            <w:pPr>
              <w:keepNext/>
              <w:rPr>
                <w:szCs w:val="22"/>
              </w:rPr>
            </w:pPr>
            <w:r>
              <w:t>Almene symptomer og reaktioner på administrationsstedet</w:t>
            </w:r>
          </w:p>
        </w:tc>
        <w:tc>
          <w:tcPr>
            <w:tcW w:w="1900" w:type="dxa"/>
            <w:tcBorders>
              <w:top w:val="nil"/>
              <w:left w:val="nil"/>
              <w:bottom w:val="single" w:sz="4" w:space="0" w:color="auto"/>
              <w:right w:val="single" w:sz="4" w:space="0" w:color="auto"/>
            </w:tcBorders>
            <w:noWrap/>
            <w:vAlign w:val="center"/>
            <w:hideMark/>
          </w:tcPr>
          <w:p w14:paraId="4F389279" w14:textId="77777777" w:rsidR="00323920" w:rsidRDefault="00323920">
            <w:pPr>
              <w:keepNext/>
              <w:rPr>
                <w:szCs w:val="22"/>
              </w:rPr>
            </w:pPr>
            <w:r>
              <w:t>Almindelig</w:t>
            </w:r>
          </w:p>
        </w:tc>
        <w:tc>
          <w:tcPr>
            <w:tcW w:w="3660" w:type="dxa"/>
            <w:tcBorders>
              <w:top w:val="nil"/>
              <w:left w:val="nil"/>
              <w:bottom w:val="single" w:sz="4" w:space="0" w:color="auto"/>
              <w:right w:val="single" w:sz="4" w:space="0" w:color="auto"/>
            </w:tcBorders>
            <w:vAlign w:val="center"/>
            <w:hideMark/>
          </w:tcPr>
          <w:p w14:paraId="485810A9" w14:textId="77777777" w:rsidR="00323920" w:rsidRDefault="00323920">
            <w:pPr>
              <w:keepNext/>
              <w:rPr>
                <w:szCs w:val="22"/>
              </w:rPr>
            </w:pPr>
            <w:r>
              <w:t>Reaktioner på injektionsstedet (fx blå mærker, hævelse, pruritus, smerter, ubehag, hæmatom, overfølsomhed og varme)</w:t>
            </w:r>
          </w:p>
        </w:tc>
      </w:tr>
    </w:tbl>
    <w:p w14:paraId="644EB031" w14:textId="55ACB838" w:rsidR="00323920" w:rsidRDefault="00323920" w:rsidP="00323920">
      <w:pPr>
        <w:autoSpaceDE w:val="0"/>
        <w:autoSpaceDN w:val="0"/>
        <w:adjustRightInd w:val="0"/>
        <w:jc w:val="both"/>
        <w:rPr>
          <w:sz w:val="22"/>
          <w:szCs w:val="22"/>
        </w:rPr>
      </w:pPr>
    </w:p>
    <w:p w14:paraId="5E241C07" w14:textId="77777777" w:rsidR="00323920" w:rsidRDefault="00323920" w:rsidP="00323920">
      <w:pPr>
        <w:autoSpaceDE w:val="0"/>
        <w:autoSpaceDN w:val="0"/>
        <w:adjustRightInd w:val="0"/>
        <w:jc w:val="both"/>
        <w:rPr>
          <w:sz w:val="22"/>
          <w:szCs w:val="22"/>
        </w:rPr>
      </w:pPr>
    </w:p>
    <w:p w14:paraId="39CA2623" w14:textId="77777777" w:rsidR="00323920" w:rsidRDefault="00323920" w:rsidP="00323920">
      <w:pPr>
        <w:keepNext/>
        <w:autoSpaceDE w:val="0"/>
        <w:autoSpaceDN w:val="0"/>
        <w:adjustRightInd w:val="0"/>
        <w:jc w:val="both"/>
        <w:rPr>
          <w:b/>
          <w:bCs/>
          <w:szCs w:val="22"/>
        </w:rPr>
      </w:pPr>
      <w:r>
        <w:rPr>
          <w:b/>
        </w:rPr>
        <w:t>Tabel 3:</w:t>
      </w:r>
      <w:r>
        <w:rPr>
          <w:b/>
        </w:rPr>
        <w:tab/>
        <w:t>Moderate til svære rynker i laterale canthus</w:t>
      </w:r>
    </w:p>
    <w:p w14:paraId="36AD5D35" w14:textId="77777777" w:rsidR="00323920" w:rsidRDefault="00323920" w:rsidP="00323920">
      <w:pPr>
        <w:keepNext/>
        <w:autoSpaceDE w:val="0"/>
        <w:autoSpaceDN w:val="0"/>
        <w:adjustRightInd w:val="0"/>
      </w:pPr>
    </w:p>
    <w:p w14:paraId="1B25DA7E" w14:textId="7A0BEDC3" w:rsidR="00323920" w:rsidRDefault="00323920" w:rsidP="00323920">
      <w:pPr>
        <w:keepNext/>
        <w:autoSpaceDE w:val="0"/>
        <w:autoSpaceDN w:val="0"/>
        <w:adjustRightInd w:val="0"/>
        <w:rPr>
          <w:szCs w:val="22"/>
        </w:rPr>
      </w:pPr>
      <w:r>
        <w:t>Nedenstående bivirkninger er observeret hos patienter, som fik Relfydess administreret til midlertidig forbedring af udseendet af moderate til svære rynker i laterale canthus.</w:t>
      </w:r>
    </w:p>
    <w:tbl>
      <w:tblPr>
        <w:tblW w:w="5000" w:type="pct"/>
        <w:jc w:val="center"/>
        <w:tblCellMar>
          <w:left w:w="70" w:type="dxa"/>
          <w:right w:w="70" w:type="dxa"/>
        </w:tblCellMar>
        <w:tblLook w:val="04A0" w:firstRow="1" w:lastRow="0" w:firstColumn="1" w:lastColumn="0" w:noHBand="0" w:noVBand="1"/>
      </w:tblPr>
      <w:tblGrid>
        <w:gridCol w:w="3330"/>
        <w:gridCol w:w="2152"/>
        <w:gridCol w:w="4146"/>
      </w:tblGrid>
      <w:tr w:rsidR="00323920" w14:paraId="47A13838" w14:textId="77777777" w:rsidTr="00323920">
        <w:trPr>
          <w:trHeight w:val="290"/>
          <w:jc w:val="center"/>
        </w:trPr>
        <w:tc>
          <w:tcPr>
            <w:tcW w:w="3134" w:type="dxa"/>
            <w:tcBorders>
              <w:top w:val="single" w:sz="4" w:space="0" w:color="auto"/>
              <w:left w:val="single" w:sz="4" w:space="0" w:color="auto"/>
              <w:bottom w:val="single" w:sz="4" w:space="0" w:color="auto"/>
              <w:right w:val="single" w:sz="4" w:space="0" w:color="auto"/>
            </w:tcBorders>
            <w:vAlign w:val="bottom"/>
            <w:hideMark/>
          </w:tcPr>
          <w:p w14:paraId="163BDC15" w14:textId="77777777" w:rsidR="00323920" w:rsidRDefault="00323920">
            <w:pPr>
              <w:keepNext/>
              <w:jc w:val="both"/>
              <w:rPr>
                <w:b/>
                <w:bCs/>
                <w:szCs w:val="22"/>
              </w:rPr>
            </w:pPr>
            <w:r>
              <w:rPr>
                <w:b/>
              </w:rPr>
              <w:t>Systemorganklasse</w:t>
            </w:r>
          </w:p>
        </w:tc>
        <w:tc>
          <w:tcPr>
            <w:tcW w:w="2025" w:type="dxa"/>
            <w:tcBorders>
              <w:top w:val="single" w:sz="4" w:space="0" w:color="auto"/>
              <w:left w:val="nil"/>
              <w:bottom w:val="single" w:sz="4" w:space="0" w:color="auto"/>
              <w:right w:val="single" w:sz="4" w:space="0" w:color="auto"/>
            </w:tcBorders>
            <w:noWrap/>
            <w:vAlign w:val="bottom"/>
            <w:hideMark/>
          </w:tcPr>
          <w:p w14:paraId="1176CFF9" w14:textId="77777777" w:rsidR="00323920" w:rsidRDefault="00323920">
            <w:pPr>
              <w:keepNext/>
              <w:jc w:val="both"/>
              <w:rPr>
                <w:b/>
                <w:bCs/>
                <w:szCs w:val="22"/>
              </w:rPr>
            </w:pPr>
            <w:r>
              <w:rPr>
                <w:b/>
              </w:rPr>
              <w:t>Hyppighed</w:t>
            </w:r>
          </w:p>
        </w:tc>
        <w:tc>
          <w:tcPr>
            <w:tcW w:w="3902" w:type="dxa"/>
            <w:tcBorders>
              <w:top w:val="single" w:sz="4" w:space="0" w:color="auto"/>
              <w:left w:val="nil"/>
              <w:bottom w:val="single" w:sz="4" w:space="0" w:color="auto"/>
              <w:right w:val="single" w:sz="4" w:space="0" w:color="auto"/>
            </w:tcBorders>
            <w:noWrap/>
            <w:vAlign w:val="bottom"/>
            <w:hideMark/>
          </w:tcPr>
          <w:p w14:paraId="16153BBB" w14:textId="77777777" w:rsidR="00323920" w:rsidRDefault="00323920">
            <w:pPr>
              <w:keepNext/>
              <w:jc w:val="both"/>
              <w:rPr>
                <w:b/>
                <w:bCs/>
                <w:szCs w:val="22"/>
              </w:rPr>
            </w:pPr>
            <w:r>
              <w:rPr>
                <w:b/>
              </w:rPr>
              <w:t>Bivirkning</w:t>
            </w:r>
          </w:p>
        </w:tc>
      </w:tr>
      <w:tr w:rsidR="00323920" w14:paraId="025A0E48" w14:textId="77777777" w:rsidTr="00323920">
        <w:trPr>
          <w:trHeight w:val="182"/>
          <w:jc w:val="center"/>
        </w:trPr>
        <w:tc>
          <w:tcPr>
            <w:tcW w:w="3134" w:type="dxa"/>
            <w:tcBorders>
              <w:top w:val="single" w:sz="4" w:space="0" w:color="auto"/>
              <w:left w:val="single" w:sz="4" w:space="0" w:color="auto"/>
              <w:bottom w:val="single" w:sz="4" w:space="0" w:color="auto"/>
              <w:right w:val="single" w:sz="4" w:space="0" w:color="auto"/>
            </w:tcBorders>
            <w:vAlign w:val="center"/>
            <w:hideMark/>
          </w:tcPr>
          <w:p w14:paraId="0EF69A88" w14:textId="77777777" w:rsidR="00323920" w:rsidRDefault="00323920">
            <w:pPr>
              <w:keepNext/>
              <w:rPr>
                <w:szCs w:val="22"/>
              </w:rPr>
            </w:pPr>
            <w:r>
              <w:t>Immunsystemet</w:t>
            </w:r>
          </w:p>
        </w:tc>
        <w:tc>
          <w:tcPr>
            <w:tcW w:w="2025" w:type="dxa"/>
            <w:tcBorders>
              <w:top w:val="single" w:sz="4" w:space="0" w:color="auto"/>
              <w:left w:val="single" w:sz="4" w:space="0" w:color="auto"/>
              <w:bottom w:val="single" w:sz="4" w:space="0" w:color="auto"/>
              <w:right w:val="single" w:sz="4" w:space="0" w:color="auto"/>
            </w:tcBorders>
            <w:hideMark/>
          </w:tcPr>
          <w:p w14:paraId="2593133F" w14:textId="77777777" w:rsidR="00323920" w:rsidRDefault="00323920">
            <w:pPr>
              <w:keepNext/>
              <w:rPr>
                <w:szCs w:val="22"/>
              </w:rPr>
            </w:pPr>
            <w:r>
              <w:t>Ikke almindelig</w:t>
            </w:r>
          </w:p>
        </w:tc>
        <w:tc>
          <w:tcPr>
            <w:tcW w:w="3902" w:type="dxa"/>
            <w:tcBorders>
              <w:top w:val="single" w:sz="4" w:space="0" w:color="auto"/>
              <w:left w:val="nil"/>
              <w:bottom w:val="single" w:sz="4" w:space="0" w:color="auto"/>
              <w:right w:val="single" w:sz="4" w:space="0" w:color="auto"/>
            </w:tcBorders>
            <w:hideMark/>
          </w:tcPr>
          <w:p w14:paraId="16562870" w14:textId="77777777" w:rsidR="00323920" w:rsidRDefault="00323920">
            <w:pPr>
              <w:keepNext/>
              <w:jc w:val="both"/>
              <w:rPr>
                <w:szCs w:val="22"/>
              </w:rPr>
            </w:pPr>
            <w:r>
              <w:t>Overfølsomhed</w:t>
            </w:r>
          </w:p>
        </w:tc>
      </w:tr>
      <w:tr w:rsidR="00323920" w14:paraId="5002A619" w14:textId="77777777" w:rsidTr="00323920">
        <w:trPr>
          <w:trHeight w:val="182"/>
          <w:jc w:val="center"/>
        </w:trPr>
        <w:tc>
          <w:tcPr>
            <w:tcW w:w="3134" w:type="dxa"/>
            <w:tcBorders>
              <w:top w:val="single" w:sz="4" w:space="0" w:color="auto"/>
              <w:left w:val="single" w:sz="4" w:space="0" w:color="auto"/>
              <w:bottom w:val="single" w:sz="4" w:space="0" w:color="auto"/>
              <w:right w:val="single" w:sz="4" w:space="0" w:color="auto"/>
            </w:tcBorders>
            <w:vAlign w:val="center"/>
            <w:hideMark/>
          </w:tcPr>
          <w:p w14:paraId="53E29F78" w14:textId="77777777" w:rsidR="00323920" w:rsidRDefault="00323920">
            <w:pPr>
              <w:keepNext/>
              <w:rPr>
                <w:szCs w:val="22"/>
              </w:rPr>
            </w:pPr>
            <w:r>
              <w:t>Nervesystemet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80CAB18" w14:textId="77777777" w:rsidR="00323920" w:rsidRDefault="00323920">
            <w:pPr>
              <w:keepNext/>
              <w:rPr>
                <w:szCs w:val="22"/>
              </w:rPr>
            </w:pPr>
            <w:r>
              <w:t>Almindelig</w:t>
            </w:r>
          </w:p>
        </w:tc>
        <w:tc>
          <w:tcPr>
            <w:tcW w:w="3902" w:type="dxa"/>
            <w:tcBorders>
              <w:top w:val="single" w:sz="4" w:space="0" w:color="auto"/>
              <w:left w:val="nil"/>
              <w:bottom w:val="single" w:sz="4" w:space="0" w:color="auto"/>
              <w:right w:val="single" w:sz="4" w:space="0" w:color="auto"/>
            </w:tcBorders>
            <w:hideMark/>
          </w:tcPr>
          <w:p w14:paraId="590C82CC" w14:textId="77777777" w:rsidR="00323920" w:rsidRDefault="00323920">
            <w:pPr>
              <w:keepNext/>
              <w:jc w:val="both"/>
              <w:rPr>
                <w:szCs w:val="22"/>
              </w:rPr>
            </w:pPr>
            <w:r>
              <w:t>Hovedpine</w:t>
            </w:r>
          </w:p>
        </w:tc>
      </w:tr>
      <w:tr w:rsidR="00323920" w14:paraId="10643DD3" w14:textId="77777777" w:rsidTr="00323920">
        <w:trPr>
          <w:trHeight w:val="360"/>
          <w:jc w:val="center"/>
        </w:trPr>
        <w:tc>
          <w:tcPr>
            <w:tcW w:w="3134" w:type="dxa"/>
            <w:tcBorders>
              <w:top w:val="single" w:sz="4" w:space="0" w:color="auto"/>
              <w:left w:val="single" w:sz="4" w:space="0" w:color="auto"/>
              <w:bottom w:val="single" w:sz="4" w:space="0" w:color="auto"/>
              <w:right w:val="single" w:sz="4" w:space="0" w:color="auto"/>
            </w:tcBorders>
            <w:vAlign w:val="center"/>
            <w:hideMark/>
          </w:tcPr>
          <w:p w14:paraId="10AAECB2" w14:textId="77777777" w:rsidR="00323920" w:rsidRDefault="00323920">
            <w:pPr>
              <w:keepNext/>
              <w:rPr>
                <w:szCs w:val="22"/>
              </w:rPr>
            </w:pPr>
            <w:r>
              <w:t>Øjne</w:t>
            </w:r>
          </w:p>
        </w:tc>
        <w:tc>
          <w:tcPr>
            <w:tcW w:w="2025" w:type="dxa"/>
            <w:tcBorders>
              <w:top w:val="single" w:sz="4" w:space="0" w:color="auto"/>
              <w:left w:val="nil"/>
              <w:bottom w:val="single" w:sz="4" w:space="0" w:color="auto"/>
              <w:right w:val="single" w:sz="4" w:space="0" w:color="auto"/>
            </w:tcBorders>
            <w:noWrap/>
            <w:hideMark/>
          </w:tcPr>
          <w:p w14:paraId="08471374" w14:textId="77777777" w:rsidR="00323920" w:rsidRDefault="00323920">
            <w:pPr>
              <w:keepNext/>
              <w:rPr>
                <w:szCs w:val="22"/>
              </w:rPr>
            </w:pPr>
            <w:r>
              <w:t>Ikke almindelig</w:t>
            </w:r>
          </w:p>
        </w:tc>
        <w:tc>
          <w:tcPr>
            <w:tcW w:w="3902" w:type="dxa"/>
            <w:tcBorders>
              <w:top w:val="single" w:sz="4" w:space="0" w:color="auto"/>
              <w:left w:val="nil"/>
              <w:bottom w:val="single" w:sz="4" w:space="0" w:color="auto"/>
              <w:right w:val="single" w:sz="4" w:space="0" w:color="auto"/>
            </w:tcBorders>
            <w:hideMark/>
          </w:tcPr>
          <w:p w14:paraId="29C1F1C1" w14:textId="77777777" w:rsidR="00323920" w:rsidRDefault="00323920">
            <w:pPr>
              <w:keepNext/>
              <w:rPr>
                <w:szCs w:val="22"/>
              </w:rPr>
            </w:pPr>
            <w:r>
              <w:t>Øjentørhed, astenopi, hævelse på øjenlåg</w:t>
            </w:r>
          </w:p>
        </w:tc>
      </w:tr>
      <w:tr w:rsidR="00323920" w14:paraId="4AF1D5CA" w14:textId="77777777" w:rsidTr="00323920">
        <w:trPr>
          <w:trHeight w:val="360"/>
          <w:jc w:val="center"/>
        </w:trPr>
        <w:tc>
          <w:tcPr>
            <w:tcW w:w="3134" w:type="dxa"/>
            <w:tcBorders>
              <w:top w:val="single" w:sz="4" w:space="0" w:color="auto"/>
              <w:left w:val="single" w:sz="4" w:space="0" w:color="auto"/>
              <w:bottom w:val="single" w:sz="4" w:space="0" w:color="auto"/>
              <w:right w:val="single" w:sz="4" w:space="0" w:color="auto"/>
            </w:tcBorders>
            <w:vAlign w:val="center"/>
            <w:hideMark/>
          </w:tcPr>
          <w:p w14:paraId="70A490C8" w14:textId="77777777" w:rsidR="00323920" w:rsidRDefault="00323920">
            <w:pPr>
              <w:keepNext/>
              <w:rPr>
                <w:szCs w:val="22"/>
              </w:rPr>
            </w:pPr>
            <w:r>
              <w:t>Knogler, led, muskler og bindevæv</w:t>
            </w:r>
          </w:p>
        </w:tc>
        <w:tc>
          <w:tcPr>
            <w:tcW w:w="2025" w:type="dxa"/>
            <w:tcBorders>
              <w:top w:val="single" w:sz="4" w:space="0" w:color="auto"/>
              <w:left w:val="nil"/>
              <w:bottom w:val="single" w:sz="4" w:space="0" w:color="auto"/>
              <w:right w:val="single" w:sz="4" w:space="0" w:color="auto"/>
            </w:tcBorders>
            <w:noWrap/>
            <w:vAlign w:val="center"/>
            <w:hideMark/>
          </w:tcPr>
          <w:p w14:paraId="74532D48" w14:textId="77777777" w:rsidR="00323920" w:rsidRDefault="00323920">
            <w:pPr>
              <w:keepNext/>
              <w:rPr>
                <w:szCs w:val="22"/>
              </w:rPr>
            </w:pPr>
            <w:r>
              <w:t>Ikke almindelig</w:t>
            </w:r>
          </w:p>
        </w:tc>
        <w:tc>
          <w:tcPr>
            <w:tcW w:w="3902" w:type="dxa"/>
            <w:tcBorders>
              <w:top w:val="single" w:sz="4" w:space="0" w:color="auto"/>
              <w:left w:val="nil"/>
              <w:bottom w:val="single" w:sz="4" w:space="0" w:color="auto"/>
              <w:right w:val="single" w:sz="4" w:space="0" w:color="auto"/>
            </w:tcBorders>
            <w:vAlign w:val="center"/>
            <w:hideMark/>
          </w:tcPr>
          <w:p w14:paraId="35FD2143" w14:textId="77777777" w:rsidR="00323920" w:rsidRDefault="00323920">
            <w:pPr>
              <w:keepNext/>
              <w:rPr>
                <w:szCs w:val="22"/>
              </w:rPr>
            </w:pPr>
            <w:r>
              <w:t xml:space="preserve">Muskelsvækkelse </w:t>
            </w:r>
          </w:p>
        </w:tc>
      </w:tr>
      <w:tr w:rsidR="00323920" w14:paraId="3EA6C72A" w14:textId="77777777" w:rsidTr="00323920">
        <w:trPr>
          <w:trHeight w:val="166"/>
          <w:jc w:val="center"/>
        </w:trPr>
        <w:tc>
          <w:tcPr>
            <w:tcW w:w="3134" w:type="dxa"/>
            <w:tcBorders>
              <w:top w:val="single" w:sz="4" w:space="0" w:color="auto"/>
              <w:left w:val="single" w:sz="4" w:space="0" w:color="auto"/>
              <w:bottom w:val="single" w:sz="4" w:space="0" w:color="auto"/>
              <w:right w:val="single" w:sz="4" w:space="0" w:color="auto"/>
            </w:tcBorders>
            <w:vAlign w:val="center"/>
            <w:hideMark/>
          </w:tcPr>
          <w:p w14:paraId="3AA3870A" w14:textId="77777777" w:rsidR="00323920" w:rsidRDefault="00323920">
            <w:pPr>
              <w:keepNext/>
              <w:rPr>
                <w:szCs w:val="22"/>
              </w:rPr>
            </w:pPr>
            <w:r>
              <w:t>Almene symptomer og reaktioner på administrationsstedet</w:t>
            </w:r>
          </w:p>
        </w:tc>
        <w:tc>
          <w:tcPr>
            <w:tcW w:w="2025" w:type="dxa"/>
            <w:tcBorders>
              <w:top w:val="single" w:sz="4" w:space="0" w:color="auto"/>
              <w:left w:val="nil"/>
              <w:bottom w:val="single" w:sz="4" w:space="0" w:color="auto"/>
              <w:right w:val="single" w:sz="4" w:space="0" w:color="auto"/>
            </w:tcBorders>
            <w:noWrap/>
            <w:hideMark/>
          </w:tcPr>
          <w:p w14:paraId="2E80709D" w14:textId="77777777" w:rsidR="00323920" w:rsidRDefault="00323920">
            <w:pPr>
              <w:keepNext/>
              <w:jc w:val="both"/>
              <w:rPr>
                <w:szCs w:val="22"/>
              </w:rPr>
            </w:pPr>
            <w:r>
              <w:t>Almindelig</w:t>
            </w:r>
          </w:p>
        </w:tc>
        <w:tc>
          <w:tcPr>
            <w:tcW w:w="3902" w:type="dxa"/>
            <w:tcBorders>
              <w:top w:val="single" w:sz="4" w:space="0" w:color="auto"/>
              <w:left w:val="nil"/>
              <w:bottom w:val="single" w:sz="4" w:space="0" w:color="auto"/>
              <w:right w:val="single" w:sz="4" w:space="0" w:color="auto"/>
            </w:tcBorders>
            <w:hideMark/>
          </w:tcPr>
          <w:p w14:paraId="106CF2AE" w14:textId="77777777" w:rsidR="00323920" w:rsidRDefault="00323920">
            <w:pPr>
              <w:keepNext/>
              <w:jc w:val="both"/>
              <w:rPr>
                <w:szCs w:val="22"/>
              </w:rPr>
            </w:pPr>
            <w:r>
              <w:t>Reaktioner på injektionsstedet (fx erythem, smerter og blå mærker)</w:t>
            </w:r>
          </w:p>
        </w:tc>
      </w:tr>
    </w:tbl>
    <w:p w14:paraId="1F337AD0" w14:textId="77777777" w:rsidR="00323920" w:rsidRPr="00323920" w:rsidRDefault="00323920" w:rsidP="00323920">
      <w:pPr>
        <w:keepNext/>
        <w:autoSpaceDE w:val="0"/>
        <w:autoSpaceDN w:val="0"/>
        <w:adjustRightInd w:val="0"/>
        <w:ind w:left="851"/>
        <w:jc w:val="both"/>
        <w:rPr>
          <w:i/>
          <w:sz w:val="24"/>
          <w:szCs w:val="24"/>
        </w:rPr>
      </w:pPr>
    </w:p>
    <w:p w14:paraId="14FB4E43" w14:textId="77777777" w:rsidR="00323920" w:rsidRPr="00323920" w:rsidRDefault="00323920" w:rsidP="00323920">
      <w:pPr>
        <w:keepNext/>
        <w:autoSpaceDE w:val="0"/>
        <w:autoSpaceDN w:val="0"/>
        <w:adjustRightInd w:val="0"/>
        <w:ind w:left="851"/>
        <w:rPr>
          <w:sz w:val="24"/>
          <w:szCs w:val="24"/>
          <w:u w:val="single"/>
        </w:rPr>
      </w:pPr>
      <w:bookmarkStart w:id="2" w:name="_Hlk130392142"/>
      <w:r w:rsidRPr="00323920">
        <w:rPr>
          <w:sz w:val="24"/>
          <w:szCs w:val="24"/>
          <w:u w:val="single"/>
        </w:rPr>
        <w:t>Indberetning af formodede bivirkninger</w:t>
      </w:r>
    </w:p>
    <w:p w14:paraId="07F62BDF" w14:textId="77777777" w:rsidR="00323920" w:rsidRPr="00323920" w:rsidRDefault="00323920" w:rsidP="00323920">
      <w:pPr>
        <w:autoSpaceDE w:val="0"/>
        <w:autoSpaceDN w:val="0"/>
        <w:adjustRightInd w:val="0"/>
        <w:ind w:left="851"/>
        <w:rPr>
          <w:sz w:val="24"/>
          <w:szCs w:val="24"/>
        </w:rPr>
      </w:pPr>
      <w:r w:rsidRPr="00323920">
        <w:rPr>
          <w:sz w:val="24"/>
          <w:szCs w:val="24"/>
        </w:rPr>
        <w:t>Når lægemidlet er godkendt, er indberetning af formodede bivirkninger vigtig. Det muliggør løbende overvågning af benefit/risk-forholdet for lægemidlet. Sundhedspersoner anmodes om at indberette alle formodede bivirkninger via</w:t>
      </w:r>
      <w:bookmarkEnd w:id="2"/>
      <w:r w:rsidRPr="00323920">
        <w:rPr>
          <w:sz w:val="24"/>
          <w:szCs w:val="24"/>
        </w:rPr>
        <w:t>:</w:t>
      </w:r>
    </w:p>
    <w:p w14:paraId="09FDC116" w14:textId="77777777" w:rsidR="00323920" w:rsidRPr="00323920" w:rsidRDefault="00323920" w:rsidP="00323920">
      <w:pPr>
        <w:autoSpaceDE w:val="0"/>
        <w:autoSpaceDN w:val="0"/>
        <w:adjustRightInd w:val="0"/>
        <w:ind w:left="851"/>
        <w:rPr>
          <w:sz w:val="24"/>
          <w:szCs w:val="24"/>
        </w:rPr>
      </w:pPr>
    </w:p>
    <w:p w14:paraId="66E52FDF" w14:textId="77777777" w:rsidR="00323920" w:rsidRPr="00323920" w:rsidRDefault="00323920" w:rsidP="00323920">
      <w:pPr>
        <w:pStyle w:val="Sidehoved"/>
        <w:tabs>
          <w:tab w:val="left" w:pos="720"/>
        </w:tabs>
        <w:ind w:left="851"/>
        <w:rPr>
          <w:szCs w:val="24"/>
        </w:rPr>
      </w:pPr>
      <w:r w:rsidRPr="00323920">
        <w:rPr>
          <w:szCs w:val="24"/>
        </w:rPr>
        <w:t>Lægemiddelstyrelsen</w:t>
      </w:r>
    </w:p>
    <w:p w14:paraId="016A77C6" w14:textId="77777777" w:rsidR="00323920" w:rsidRPr="00323920" w:rsidRDefault="00323920" w:rsidP="00323920">
      <w:pPr>
        <w:pStyle w:val="Sidehoved"/>
        <w:tabs>
          <w:tab w:val="left" w:pos="720"/>
        </w:tabs>
        <w:ind w:left="851"/>
        <w:rPr>
          <w:szCs w:val="24"/>
        </w:rPr>
      </w:pPr>
      <w:r w:rsidRPr="00323920">
        <w:rPr>
          <w:szCs w:val="24"/>
        </w:rPr>
        <w:t>Axel Heides Gade 1</w:t>
      </w:r>
    </w:p>
    <w:p w14:paraId="6C81A0C6" w14:textId="77777777" w:rsidR="00323920" w:rsidRPr="00323920" w:rsidRDefault="00323920" w:rsidP="00323920">
      <w:pPr>
        <w:pStyle w:val="Sidehoved"/>
        <w:tabs>
          <w:tab w:val="left" w:pos="720"/>
        </w:tabs>
        <w:ind w:left="851"/>
        <w:rPr>
          <w:szCs w:val="24"/>
        </w:rPr>
      </w:pPr>
      <w:r w:rsidRPr="00323920">
        <w:rPr>
          <w:szCs w:val="24"/>
        </w:rPr>
        <w:t>DK-2300 København S</w:t>
      </w:r>
    </w:p>
    <w:p w14:paraId="4401AE76" w14:textId="760FEE3F" w:rsidR="00323920" w:rsidRPr="00323920" w:rsidRDefault="00323920" w:rsidP="00323920">
      <w:pPr>
        <w:pStyle w:val="Sidehoved"/>
        <w:tabs>
          <w:tab w:val="left" w:pos="720"/>
        </w:tabs>
        <w:ind w:left="851"/>
        <w:rPr>
          <w:szCs w:val="24"/>
        </w:rPr>
      </w:pPr>
      <w:r w:rsidRPr="00323920">
        <w:rPr>
          <w:szCs w:val="24"/>
        </w:rPr>
        <w:t>Websted: www.meldenbivirkning.dk</w:t>
      </w:r>
    </w:p>
    <w:p w14:paraId="63B95344" w14:textId="77777777" w:rsidR="009260DE" w:rsidRPr="00323920" w:rsidRDefault="009260DE" w:rsidP="00323920">
      <w:pPr>
        <w:tabs>
          <w:tab w:val="left" w:pos="851"/>
        </w:tabs>
        <w:ind w:left="851"/>
        <w:rPr>
          <w:sz w:val="24"/>
          <w:szCs w:val="24"/>
        </w:rPr>
      </w:pPr>
    </w:p>
    <w:p w14:paraId="57BC458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F0D7098" w14:textId="77777777" w:rsidR="002E06A9" w:rsidRPr="002E06A9" w:rsidRDefault="002E06A9" w:rsidP="002E06A9">
      <w:pPr>
        <w:tabs>
          <w:tab w:val="left" w:pos="851"/>
        </w:tabs>
        <w:ind w:left="851"/>
        <w:rPr>
          <w:sz w:val="24"/>
          <w:szCs w:val="24"/>
        </w:rPr>
      </w:pPr>
      <w:r w:rsidRPr="002E06A9">
        <w:rPr>
          <w:sz w:val="24"/>
          <w:szCs w:val="24"/>
        </w:rPr>
        <w:t>Overdosering kan medføre fjern og markant neuromuskulær lammelse med flere forskellige symptomer. Respiratorisk støtte kan være nødvendig, hvis overdosering medfører åndedrætslammelse. I tilfælde af overdosering skal patienten monitoreres i flere uger for eventuelle tegn og/eller symptomer på svær muskelsvækkelse eller muskellammelse. Symptomatisk behandling kan være påkrævet.</w:t>
      </w:r>
    </w:p>
    <w:p w14:paraId="11A533D7" w14:textId="77777777" w:rsidR="002E06A9" w:rsidRPr="002E06A9" w:rsidRDefault="002E06A9" w:rsidP="002E06A9">
      <w:pPr>
        <w:tabs>
          <w:tab w:val="left" w:pos="851"/>
        </w:tabs>
        <w:ind w:left="851"/>
        <w:rPr>
          <w:sz w:val="24"/>
          <w:szCs w:val="24"/>
        </w:rPr>
      </w:pPr>
    </w:p>
    <w:p w14:paraId="09C27EEE" w14:textId="77777777" w:rsidR="002E06A9" w:rsidRPr="002E06A9" w:rsidRDefault="002E06A9" w:rsidP="002E06A9">
      <w:pPr>
        <w:tabs>
          <w:tab w:val="left" w:pos="851"/>
        </w:tabs>
        <w:ind w:left="851"/>
        <w:rPr>
          <w:sz w:val="24"/>
          <w:szCs w:val="24"/>
        </w:rPr>
      </w:pPr>
      <w:r w:rsidRPr="002E06A9">
        <w:rPr>
          <w:sz w:val="24"/>
          <w:szCs w:val="24"/>
        </w:rPr>
        <w:t xml:space="preserve">Symptomerne på overdosering ses ikke nødvendigvis umiddelbart efter injektion. </w:t>
      </w:r>
    </w:p>
    <w:p w14:paraId="058C2280" w14:textId="77777777" w:rsidR="002E06A9" w:rsidRPr="002E06A9" w:rsidRDefault="002E06A9" w:rsidP="002E06A9">
      <w:pPr>
        <w:tabs>
          <w:tab w:val="left" w:pos="851"/>
        </w:tabs>
        <w:ind w:left="851"/>
        <w:rPr>
          <w:sz w:val="24"/>
          <w:szCs w:val="24"/>
        </w:rPr>
      </w:pPr>
    </w:p>
    <w:p w14:paraId="6C142A59" w14:textId="77777777" w:rsidR="002E06A9" w:rsidRPr="002E06A9" w:rsidRDefault="002E06A9" w:rsidP="002E06A9">
      <w:pPr>
        <w:tabs>
          <w:tab w:val="left" w:pos="851"/>
        </w:tabs>
        <w:ind w:left="851"/>
        <w:rPr>
          <w:sz w:val="24"/>
          <w:szCs w:val="24"/>
        </w:rPr>
      </w:pPr>
      <w:r w:rsidRPr="002E06A9">
        <w:rPr>
          <w:sz w:val="24"/>
          <w:szCs w:val="24"/>
        </w:rPr>
        <w:lastRenderedPageBreak/>
        <w:t>Indlæggelse på hospitalet bør overvejes for patienter med symptomer på overdosering af botulinumtoksin (fx en kombination af muskelsvækkelse, ptose, diplopi, synke- og talebesvær eller åndedrætslammelse).</w:t>
      </w:r>
    </w:p>
    <w:p w14:paraId="5A5082D1" w14:textId="77777777" w:rsidR="009260DE" w:rsidRPr="00C84483" w:rsidRDefault="009260DE" w:rsidP="009260DE">
      <w:pPr>
        <w:tabs>
          <w:tab w:val="left" w:pos="851"/>
        </w:tabs>
        <w:ind w:left="851"/>
        <w:rPr>
          <w:sz w:val="24"/>
          <w:szCs w:val="24"/>
        </w:rPr>
      </w:pPr>
    </w:p>
    <w:p w14:paraId="5DB7717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ECA7795" w14:textId="77777777" w:rsidR="00B171D8" w:rsidRPr="00B171D8" w:rsidRDefault="00B171D8" w:rsidP="00B171D8">
      <w:pPr>
        <w:tabs>
          <w:tab w:val="left" w:pos="851"/>
        </w:tabs>
        <w:ind w:left="851"/>
        <w:rPr>
          <w:sz w:val="24"/>
        </w:rPr>
      </w:pPr>
      <w:r w:rsidRPr="00B171D8">
        <w:rPr>
          <w:sz w:val="24"/>
        </w:rPr>
        <w:t>NBS (kun til sygehuse og speciallæger i dermatologi, venerologi, neurologi, oftalmologi og plastikkirurgi)</w:t>
      </w:r>
    </w:p>
    <w:p w14:paraId="05503810" w14:textId="06C62FC8" w:rsidR="009260DE" w:rsidRDefault="009260DE" w:rsidP="009260DE">
      <w:pPr>
        <w:tabs>
          <w:tab w:val="left" w:pos="851"/>
        </w:tabs>
        <w:ind w:left="851"/>
        <w:rPr>
          <w:sz w:val="24"/>
          <w:szCs w:val="24"/>
        </w:rPr>
      </w:pPr>
    </w:p>
    <w:p w14:paraId="7C23CC64" w14:textId="77777777" w:rsidR="00B171D8" w:rsidRPr="00C84483" w:rsidRDefault="00B171D8" w:rsidP="009260DE">
      <w:pPr>
        <w:tabs>
          <w:tab w:val="left" w:pos="851"/>
        </w:tabs>
        <w:ind w:left="851"/>
        <w:rPr>
          <w:sz w:val="24"/>
          <w:szCs w:val="24"/>
        </w:rPr>
      </w:pPr>
    </w:p>
    <w:p w14:paraId="71837D4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C69E0DC" w14:textId="77777777" w:rsidR="009260DE" w:rsidRPr="00C84483" w:rsidRDefault="009260DE" w:rsidP="009260DE">
      <w:pPr>
        <w:tabs>
          <w:tab w:val="left" w:pos="851"/>
        </w:tabs>
        <w:ind w:left="851"/>
        <w:rPr>
          <w:sz w:val="24"/>
          <w:szCs w:val="24"/>
        </w:rPr>
      </w:pPr>
    </w:p>
    <w:p w14:paraId="64E450A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9E126CE" w14:textId="77777777" w:rsidR="002E06A9" w:rsidRPr="002E06A9" w:rsidRDefault="002E06A9" w:rsidP="002E06A9">
      <w:pPr>
        <w:ind w:left="851"/>
        <w:outlineLvl w:val="0"/>
        <w:rPr>
          <w:sz w:val="24"/>
          <w:szCs w:val="24"/>
        </w:rPr>
      </w:pPr>
      <w:r w:rsidRPr="002E06A9">
        <w:rPr>
          <w:sz w:val="24"/>
          <w:szCs w:val="24"/>
        </w:rPr>
        <w:t>Farmakoterapeutisk klassifikation: Andre muskelrelaxantia, perifert virkende midler</w:t>
      </w:r>
    </w:p>
    <w:p w14:paraId="6D9A6D92" w14:textId="77B1B26F" w:rsidR="002E06A9" w:rsidRPr="002E06A9" w:rsidRDefault="002E06A9" w:rsidP="002E06A9">
      <w:pPr>
        <w:ind w:left="851"/>
        <w:outlineLvl w:val="0"/>
        <w:rPr>
          <w:sz w:val="24"/>
          <w:szCs w:val="24"/>
        </w:rPr>
      </w:pPr>
      <w:r w:rsidRPr="002E06A9">
        <w:rPr>
          <w:sz w:val="24"/>
          <w:szCs w:val="24"/>
        </w:rPr>
        <w:t>ATC-kode: M03AX01</w:t>
      </w:r>
      <w:r>
        <w:rPr>
          <w:sz w:val="24"/>
          <w:szCs w:val="24"/>
        </w:rPr>
        <w:t>.</w:t>
      </w:r>
    </w:p>
    <w:p w14:paraId="586A77D8" w14:textId="77777777" w:rsidR="002E06A9" w:rsidRPr="002E06A9" w:rsidRDefault="002E06A9" w:rsidP="002E06A9">
      <w:pPr>
        <w:autoSpaceDE w:val="0"/>
        <w:autoSpaceDN w:val="0"/>
        <w:adjustRightInd w:val="0"/>
        <w:ind w:left="851"/>
        <w:rPr>
          <w:b/>
          <w:sz w:val="24"/>
          <w:szCs w:val="24"/>
        </w:rPr>
      </w:pPr>
    </w:p>
    <w:p w14:paraId="0784726A" w14:textId="77777777" w:rsidR="002E06A9" w:rsidRPr="002E06A9" w:rsidRDefault="002E06A9" w:rsidP="002E06A9">
      <w:pPr>
        <w:keepNext/>
        <w:autoSpaceDE w:val="0"/>
        <w:autoSpaceDN w:val="0"/>
        <w:adjustRightInd w:val="0"/>
        <w:ind w:left="851"/>
        <w:rPr>
          <w:sz w:val="24"/>
          <w:szCs w:val="24"/>
        </w:rPr>
      </w:pPr>
      <w:r w:rsidRPr="002E06A9">
        <w:rPr>
          <w:sz w:val="24"/>
          <w:szCs w:val="24"/>
          <w:u w:val="single"/>
        </w:rPr>
        <w:t>Virkningsmekanisme</w:t>
      </w:r>
    </w:p>
    <w:p w14:paraId="7F25F0EB" w14:textId="77777777" w:rsidR="002E06A9" w:rsidRPr="002E06A9" w:rsidRDefault="002E06A9" w:rsidP="002E06A9">
      <w:pPr>
        <w:autoSpaceDE w:val="0"/>
        <w:autoSpaceDN w:val="0"/>
        <w:adjustRightInd w:val="0"/>
        <w:ind w:left="851"/>
        <w:rPr>
          <w:sz w:val="24"/>
          <w:szCs w:val="24"/>
        </w:rPr>
      </w:pPr>
      <w:r w:rsidRPr="002E06A9">
        <w:rPr>
          <w:sz w:val="24"/>
          <w:szCs w:val="24"/>
        </w:rPr>
        <w:t>Den primære farmakodynamiske virkning af botulinumtoksin type A er kemisk denervering af den behandlede muskel, som medfører et målbart fald i musklens sammensatte aktionspotentiale. Dette fører til lokaliseret nedsat muskelaktivitet.</w:t>
      </w:r>
    </w:p>
    <w:p w14:paraId="6D987236" w14:textId="77777777" w:rsidR="002E06A9" w:rsidRPr="002E06A9" w:rsidRDefault="002E06A9" w:rsidP="002E06A9">
      <w:pPr>
        <w:autoSpaceDE w:val="0"/>
        <w:autoSpaceDN w:val="0"/>
        <w:adjustRightInd w:val="0"/>
        <w:ind w:left="851"/>
        <w:rPr>
          <w:sz w:val="24"/>
          <w:szCs w:val="24"/>
        </w:rPr>
      </w:pPr>
    </w:p>
    <w:p w14:paraId="0C6271CA" w14:textId="77777777" w:rsidR="002E06A9" w:rsidRPr="002E06A9" w:rsidRDefault="002E06A9" w:rsidP="002E06A9">
      <w:pPr>
        <w:autoSpaceDE w:val="0"/>
        <w:autoSpaceDN w:val="0"/>
        <w:adjustRightInd w:val="0"/>
        <w:ind w:left="851"/>
        <w:rPr>
          <w:sz w:val="24"/>
          <w:szCs w:val="24"/>
        </w:rPr>
      </w:pPr>
      <w:r w:rsidRPr="002E06A9">
        <w:rPr>
          <w:sz w:val="24"/>
          <w:szCs w:val="24"/>
        </w:rPr>
        <w:t>Når toksinet injiceres intramuskulært, lammer det den ramte muskel. Dette nedsætter musklens aktivitet midlertidigt. Virkningen er vedvarende, indtil den neuromuskulære forbindelse er genoprettet, og musklens aktivitet vender tilbage.</w:t>
      </w:r>
    </w:p>
    <w:p w14:paraId="37B402B6" w14:textId="77777777" w:rsidR="002E06A9" w:rsidRPr="002E06A9" w:rsidRDefault="002E06A9" w:rsidP="002E06A9">
      <w:pPr>
        <w:autoSpaceDE w:val="0"/>
        <w:autoSpaceDN w:val="0"/>
        <w:adjustRightInd w:val="0"/>
        <w:ind w:left="851"/>
        <w:rPr>
          <w:sz w:val="24"/>
          <w:szCs w:val="24"/>
        </w:rPr>
      </w:pPr>
    </w:p>
    <w:p w14:paraId="0FD8E007" w14:textId="77777777" w:rsidR="002E06A9" w:rsidRPr="002E06A9" w:rsidRDefault="002E06A9" w:rsidP="002E06A9">
      <w:pPr>
        <w:keepNext/>
        <w:autoSpaceDE w:val="0"/>
        <w:autoSpaceDN w:val="0"/>
        <w:adjustRightInd w:val="0"/>
        <w:ind w:left="851"/>
        <w:rPr>
          <w:sz w:val="24"/>
          <w:szCs w:val="24"/>
        </w:rPr>
      </w:pPr>
      <w:r w:rsidRPr="002E06A9">
        <w:rPr>
          <w:sz w:val="24"/>
          <w:szCs w:val="24"/>
          <w:u w:val="single"/>
        </w:rPr>
        <w:t>Klinisk virkning og sikkerhed</w:t>
      </w:r>
    </w:p>
    <w:p w14:paraId="0E173334" w14:textId="77777777" w:rsidR="002E06A9" w:rsidRPr="002E06A9" w:rsidRDefault="002E06A9" w:rsidP="002E06A9">
      <w:pPr>
        <w:numPr>
          <w:ilvl w:val="12"/>
          <w:numId w:val="0"/>
        </w:numPr>
        <w:ind w:left="851" w:right="-2"/>
        <w:rPr>
          <w:iCs/>
          <w:sz w:val="24"/>
          <w:szCs w:val="24"/>
        </w:rPr>
      </w:pPr>
      <w:r w:rsidRPr="002E06A9">
        <w:rPr>
          <w:sz w:val="24"/>
          <w:szCs w:val="24"/>
        </w:rPr>
        <w:t>De data, der beskrives nedenfor, afspejler resultaterne fra de placebokontrollerede fase III-studier READY</w:t>
      </w:r>
      <w:r w:rsidRPr="002E06A9">
        <w:rPr>
          <w:sz w:val="24"/>
          <w:szCs w:val="24"/>
        </w:rPr>
        <w:noBreakHyphen/>
        <w:t>1, READY</w:t>
      </w:r>
      <w:r w:rsidRPr="002E06A9">
        <w:rPr>
          <w:sz w:val="24"/>
          <w:szCs w:val="24"/>
        </w:rPr>
        <w:noBreakHyphen/>
        <w:t>2 og READY</w:t>
      </w:r>
      <w:r w:rsidRPr="002E06A9">
        <w:rPr>
          <w:sz w:val="24"/>
          <w:szCs w:val="24"/>
        </w:rPr>
        <w:noBreakHyphen/>
        <w:t>3. I alt 1.012 patienter blev behandlet i tre pivotale forsøg. Af disse blev 806 patienter behandlet med Relfydess, og 206 patienter blev behandlet med placebo. Der var desuden yderligere 902 Relfydess-behandlede patienter i et åbent langtidsstudie af sikkerheden (READY</w:t>
      </w:r>
      <w:r w:rsidRPr="002E06A9">
        <w:rPr>
          <w:sz w:val="24"/>
          <w:szCs w:val="24"/>
        </w:rPr>
        <w:noBreakHyphen/>
        <w:t>4). På tværs af alle fase III-studier blev 1.708 patienter behandlet med Relfydess.</w:t>
      </w:r>
    </w:p>
    <w:p w14:paraId="2B141062" w14:textId="77777777" w:rsidR="002E06A9" w:rsidRPr="002E06A9" w:rsidRDefault="002E06A9" w:rsidP="002E06A9">
      <w:pPr>
        <w:numPr>
          <w:ilvl w:val="12"/>
          <w:numId w:val="0"/>
        </w:numPr>
        <w:ind w:left="851" w:right="-2"/>
        <w:rPr>
          <w:iCs/>
          <w:sz w:val="24"/>
          <w:szCs w:val="24"/>
        </w:rPr>
      </w:pPr>
    </w:p>
    <w:p w14:paraId="3BC545CF" w14:textId="77777777" w:rsidR="002E06A9" w:rsidRPr="002E06A9" w:rsidRDefault="002E06A9" w:rsidP="002E06A9">
      <w:pPr>
        <w:numPr>
          <w:ilvl w:val="12"/>
          <w:numId w:val="0"/>
        </w:numPr>
        <w:ind w:left="851" w:right="-2"/>
        <w:rPr>
          <w:sz w:val="24"/>
          <w:szCs w:val="24"/>
        </w:rPr>
      </w:pPr>
      <w:r w:rsidRPr="002E06A9">
        <w:rPr>
          <w:sz w:val="24"/>
          <w:szCs w:val="24"/>
        </w:rPr>
        <w:t>Indtræden af en virkning blev rapporteret inden for 1 dag (op mod 39 % og 34 % i henholdsvis glabellarynker og rynker i laterale canthus) med en mediantid indtil virkningens indtræden på 2-3 dage. Virkning af behandlingen er påvist i op til 6 måneder. Op mod 75 % af patienterne vender ikke tilbage til tilstanden ved baseline.</w:t>
      </w:r>
    </w:p>
    <w:p w14:paraId="1A13F79C" w14:textId="77777777" w:rsidR="002E06A9" w:rsidRPr="002E06A9" w:rsidRDefault="002E06A9" w:rsidP="002E06A9">
      <w:pPr>
        <w:numPr>
          <w:ilvl w:val="12"/>
          <w:numId w:val="0"/>
        </w:numPr>
        <w:ind w:left="851" w:right="-2"/>
        <w:rPr>
          <w:sz w:val="24"/>
          <w:szCs w:val="24"/>
        </w:rPr>
      </w:pPr>
    </w:p>
    <w:p w14:paraId="0B0ED43F" w14:textId="77777777" w:rsidR="002E06A9" w:rsidRPr="002E06A9" w:rsidRDefault="002E06A9" w:rsidP="002E06A9">
      <w:pPr>
        <w:numPr>
          <w:ilvl w:val="12"/>
          <w:numId w:val="0"/>
        </w:numPr>
        <w:ind w:left="851" w:right="-2"/>
        <w:rPr>
          <w:sz w:val="24"/>
          <w:szCs w:val="24"/>
        </w:rPr>
      </w:pPr>
      <w:r w:rsidRPr="002E06A9">
        <w:rPr>
          <w:sz w:val="24"/>
          <w:szCs w:val="24"/>
        </w:rPr>
        <w:t>Patienter, der fik ≥ 50 enheder Relfydess (1.699 i alt), blev testet for dannelse af antilægemiddel-antistof (ADA) ved baseline og efter hver behandling. Kliniske data tyder på, at muligheden for ADA i lav titer hos nogle personer efter behandling; samlet set blev 1,1 % af de testede personer testet positive for ADA. Det kan konkluderes, at immunogeniciteten for Relfydess er lav.</w:t>
      </w:r>
    </w:p>
    <w:p w14:paraId="52F12DAE" w14:textId="77777777" w:rsidR="002E06A9" w:rsidRPr="002E06A9" w:rsidRDefault="002E06A9" w:rsidP="002E06A9">
      <w:pPr>
        <w:numPr>
          <w:ilvl w:val="12"/>
          <w:numId w:val="0"/>
        </w:numPr>
        <w:ind w:left="851" w:right="-2"/>
        <w:rPr>
          <w:sz w:val="24"/>
          <w:szCs w:val="24"/>
        </w:rPr>
      </w:pPr>
    </w:p>
    <w:p w14:paraId="09726047" w14:textId="77777777" w:rsidR="002E06A9" w:rsidRPr="002E06A9" w:rsidRDefault="002E06A9" w:rsidP="002E06A9">
      <w:pPr>
        <w:keepNext/>
        <w:numPr>
          <w:ilvl w:val="12"/>
          <w:numId w:val="0"/>
        </w:numPr>
        <w:ind w:left="851" w:right="-2"/>
        <w:rPr>
          <w:b/>
          <w:bCs/>
          <w:i/>
          <w:sz w:val="24"/>
          <w:szCs w:val="24"/>
        </w:rPr>
      </w:pPr>
      <w:r w:rsidRPr="002E06A9">
        <w:rPr>
          <w:b/>
          <w:i/>
          <w:sz w:val="24"/>
          <w:szCs w:val="24"/>
        </w:rPr>
        <w:t>Glabellarynker (READY</w:t>
      </w:r>
      <w:r w:rsidRPr="002E06A9">
        <w:rPr>
          <w:b/>
          <w:i/>
          <w:sz w:val="24"/>
          <w:szCs w:val="24"/>
        </w:rPr>
        <w:noBreakHyphen/>
        <w:t>1 og READY</w:t>
      </w:r>
      <w:r w:rsidRPr="002E06A9">
        <w:rPr>
          <w:b/>
          <w:i/>
          <w:sz w:val="24"/>
          <w:szCs w:val="24"/>
        </w:rPr>
        <w:noBreakHyphen/>
        <w:t>3)</w:t>
      </w:r>
    </w:p>
    <w:p w14:paraId="673CEBD0" w14:textId="77777777" w:rsidR="002E06A9" w:rsidRPr="002E06A9" w:rsidRDefault="002E06A9" w:rsidP="002E06A9">
      <w:pPr>
        <w:numPr>
          <w:ilvl w:val="12"/>
          <w:numId w:val="0"/>
        </w:numPr>
        <w:ind w:left="851" w:right="-2"/>
        <w:rPr>
          <w:sz w:val="24"/>
          <w:szCs w:val="24"/>
        </w:rPr>
      </w:pPr>
      <w:r w:rsidRPr="002E06A9">
        <w:rPr>
          <w:sz w:val="24"/>
          <w:szCs w:val="24"/>
        </w:rPr>
        <w:t>I to pivotale, dobbeltblinde, placebokontrollerede multicenterstudier i fase III blev 451 patienter behandlet i GL i den anbefalede dosis på 50 enheder. I READY</w:t>
      </w:r>
      <w:r w:rsidRPr="002E06A9">
        <w:rPr>
          <w:sz w:val="24"/>
          <w:szCs w:val="24"/>
        </w:rPr>
        <w:noBreakHyphen/>
        <w:t>1 blev kun behandling af GL med Relfydess undersøgt. I READY</w:t>
      </w:r>
      <w:r w:rsidRPr="002E06A9">
        <w:rPr>
          <w:sz w:val="24"/>
          <w:szCs w:val="24"/>
        </w:rPr>
        <w:noBreakHyphen/>
        <w:t xml:space="preserve">3 blev kombineret behandling af GL og LCL undersøgt. </w:t>
      </w:r>
    </w:p>
    <w:p w14:paraId="272F68D3" w14:textId="77777777" w:rsidR="002E06A9" w:rsidRPr="002E06A9" w:rsidRDefault="002E06A9" w:rsidP="002E06A9">
      <w:pPr>
        <w:numPr>
          <w:ilvl w:val="12"/>
          <w:numId w:val="0"/>
        </w:numPr>
        <w:ind w:left="851" w:right="-2"/>
        <w:rPr>
          <w:sz w:val="24"/>
          <w:szCs w:val="24"/>
        </w:rPr>
      </w:pPr>
    </w:p>
    <w:p w14:paraId="60D52D75" w14:textId="77777777" w:rsidR="002E06A9" w:rsidRPr="002E06A9" w:rsidRDefault="002E06A9" w:rsidP="002E06A9">
      <w:pPr>
        <w:numPr>
          <w:ilvl w:val="12"/>
          <w:numId w:val="0"/>
        </w:numPr>
        <w:ind w:left="851" w:right="-2"/>
        <w:rPr>
          <w:sz w:val="24"/>
          <w:szCs w:val="24"/>
        </w:rPr>
      </w:pPr>
      <w:r w:rsidRPr="002E06A9">
        <w:rPr>
          <w:sz w:val="24"/>
          <w:szCs w:val="24"/>
        </w:rPr>
        <w:t>Det primære effektmål var andelen af respondere, defineret som en opnået score på 0 eller 1 i sværhedsgraden af glabellarynker på GL</w:t>
      </w:r>
      <w:r w:rsidRPr="002E06A9">
        <w:rPr>
          <w:sz w:val="24"/>
          <w:szCs w:val="24"/>
        </w:rPr>
        <w:noBreakHyphen/>
      </w:r>
      <w:bookmarkStart w:id="3" w:name="_Hlk137106966"/>
      <w:r w:rsidRPr="002E06A9">
        <w:rPr>
          <w:sz w:val="24"/>
          <w:szCs w:val="24"/>
        </w:rPr>
        <w:t>ILA 4</w:t>
      </w:r>
      <w:bookmarkEnd w:id="3"/>
      <w:r w:rsidRPr="002E06A9">
        <w:rPr>
          <w:sz w:val="24"/>
          <w:szCs w:val="24"/>
        </w:rPr>
        <w:noBreakHyphen/>
        <w:t xml:space="preserve">Point Photographic Scale ved maksimal </w:t>
      </w:r>
      <w:r w:rsidRPr="002E06A9">
        <w:rPr>
          <w:sz w:val="24"/>
          <w:szCs w:val="24"/>
        </w:rPr>
        <w:lastRenderedPageBreak/>
        <w:t xml:space="preserve">panderynken ved besøget i måned 1. </w:t>
      </w:r>
      <w:bookmarkStart w:id="4" w:name="_Hlk131513152"/>
      <w:r w:rsidRPr="002E06A9">
        <w:rPr>
          <w:sz w:val="24"/>
          <w:szCs w:val="24"/>
        </w:rPr>
        <w:t>Størstedelen af patienter i både Relfydess- og placebogruppen havde ifølge investigator kraftige glabellarynker ved baseline (henholdsvis 74,5 % og 75,8 %).</w:t>
      </w:r>
      <w:bookmarkEnd w:id="4"/>
      <w:r w:rsidRPr="002E06A9">
        <w:rPr>
          <w:sz w:val="24"/>
          <w:szCs w:val="24"/>
        </w:rPr>
        <w:t xml:space="preserve"> Patienter med kraftig slaphed i huden i behandlingsområdet eller det periorbitale område var udelukket fra studierne. Andelen af respondere var statistisk signifikant større (p &lt; 0,001) i Relfydess-gruppen end i placebogruppen efter 1 måned (tabel 4).</w:t>
      </w:r>
    </w:p>
    <w:p w14:paraId="6D3DD44B" w14:textId="77777777" w:rsidR="002E06A9" w:rsidRDefault="002E06A9" w:rsidP="002E06A9">
      <w:pPr>
        <w:numPr>
          <w:ilvl w:val="12"/>
          <w:numId w:val="0"/>
        </w:numPr>
        <w:ind w:right="-2"/>
        <w:rPr>
          <w:szCs w:val="22"/>
        </w:rPr>
      </w:pPr>
    </w:p>
    <w:p w14:paraId="78062592" w14:textId="77777777" w:rsidR="002E06A9" w:rsidRDefault="002E06A9" w:rsidP="002E06A9">
      <w:pPr>
        <w:keepNext/>
        <w:keepLines/>
        <w:ind w:left="1080" w:hanging="1080"/>
        <w:rPr>
          <w:b/>
          <w:bCs/>
          <w:szCs w:val="22"/>
        </w:rPr>
      </w:pPr>
      <w:r>
        <w:rPr>
          <w:b/>
        </w:rPr>
        <w:t xml:space="preserve">Tabel 4: </w:t>
      </w:r>
      <w:r>
        <w:rPr>
          <w:b/>
        </w:rPr>
        <w:tab/>
        <w:t>Investigators vurdering af behandlingen af glabellarynker</w:t>
      </w:r>
      <w:r>
        <w:rPr>
          <w:b/>
          <w:vertAlign w:val="superscript"/>
        </w:rPr>
        <w:t>a</w:t>
      </w:r>
      <w:r>
        <w:rPr>
          <w:b/>
        </w:rPr>
        <w:t xml:space="preserve"> (procentandel og antal patienter) i måned 1</w:t>
      </w:r>
      <w:r>
        <w:rPr>
          <w:b/>
          <w:vertAlign w:val="superscript"/>
        </w:rPr>
        <w:t>b</w:t>
      </w:r>
      <w:r>
        <w:rPr>
          <w:b/>
        </w:rPr>
        <w:t xml:space="preserve"> i mITT-populationen i de dobbeltblinde, placebokontrollerede kliniske studier</w:t>
      </w:r>
      <w:r>
        <w:rPr>
          <w:b/>
          <w:vertAlign w:val="superscript"/>
        </w:rPr>
        <w:t>c</w:t>
      </w:r>
      <w:r>
        <w:rPr>
          <w:b/>
        </w:rP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8"/>
        <w:gridCol w:w="3278"/>
        <w:gridCol w:w="3147"/>
        <w:gridCol w:w="1049"/>
      </w:tblGrid>
      <w:tr w:rsidR="002E06A9" w14:paraId="17B4EED9" w14:textId="77777777" w:rsidTr="002E06A9">
        <w:trPr>
          <w:trHeight w:val="15"/>
          <w:jc w:val="center"/>
        </w:trPr>
        <w:tc>
          <w:tcPr>
            <w:tcW w:w="1965" w:type="dxa"/>
            <w:tcBorders>
              <w:top w:val="single" w:sz="6" w:space="0" w:color="auto"/>
              <w:left w:val="single" w:sz="6" w:space="0" w:color="auto"/>
              <w:bottom w:val="single" w:sz="6" w:space="0" w:color="auto"/>
              <w:right w:val="single" w:sz="6" w:space="0" w:color="auto"/>
            </w:tcBorders>
            <w:hideMark/>
          </w:tcPr>
          <w:p w14:paraId="1EDC5AA3" w14:textId="77777777" w:rsidR="002E06A9" w:rsidRDefault="002E06A9">
            <w:pPr>
              <w:keepNext/>
              <w:tabs>
                <w:tab w:val="left" w:pos="1304"/>
              </w:tabs>
              <w:textAlignment w:val="baseline"/>
              <w:rPr>
                <w:rFonts w:ascii="Segoe UI" w:hAnsi="Segoe UI" w:cs="Segoe UI"/>
                <w:sz w:val="18"/>
                <w:szCs w:val="18"/>
              </w:rPr>
            </w:pPr>
            <w:r>
              <w:rPr>
                <w:b/>
              </w:rPr>
              <w:t>Studie </w:t>
            </w:r>
            <w:r>
              <w:t> </w:t>
            </w:r>
          </w:p>
        </w:tc>
        <w:tc>
          <w:tcPr>
            <w:tcW w:w="3000" w:type="dxa"/>
            <w:tcBorders>
              <w:top w:val="single" w:sz="6" w:space="0" w:color="auto"/>
              <w:left w:val="single" w:sz="6" w:space="0" w:color="auto"/>
              <w:bottom w:val="single" w:sz="6" w:space="0" w:color="auto"/>
              <w:right w:val="single" w:sz="6" w:space="0" w:color="auto"/>
            </w:tcBorders>
            <w:hideMark/>
          </w:tcPr>
          <w:p w14:paraId="068DD7CA" w14:textId="77777777" w:rsidR="002E06A9" w:rsidRDefault="002E06A9">
            <w:pPr>
              <w:keepNext/>
              <w:tabs>
                <w:tab w:val="left" w:pos="1304"/>
              </w:tabs>
              <w:jc w:val="center"/>
              <w:textAlignment w:val="baseline"/>
              <w:rPr>
                <w:rFonts w:ascii="Segoe UI" w:hAnsi="Segoe UI" w:cs="Segoe UI"/>
                <w:sz w:val="18"/>
                <w:szCs w:val="18"/>
              </w:rPr>
            </w:pPr>
            <w:r>
              <w:rPr>
                <w:b/>
              </w:rPr>
              <w:t>Relfydess 50 enheder GL</w:t>
            </w:r>
          </w:p>
        </w:tc>
        <w:tc>
          <w:tcPr>
            <w:tcW w:w="2880" w:type="dxa"/>
            <w:tcBorders>
              <w:top w:val="single" w:sz="6" w:space="0" w:color="auto"/>
              <w:left w:val="single" w:sz="6" w:space="0" w:color="auto"/>
              <w:bottom w:val="single" w:sz="6" w:space="0" w:color="auto"/>
              <w:right w:val="single" w:sz="6" w:space="0" w:color="auto"/>
            </w:tcBorders>
            <w:hideMark/>
          </w:tcPr>
          <w:p w14:paraId="0A9C192F" w14:textId="77777777" w:rsidR="002E06A9" w:rsidRDefault="002E06A9">
            <w:pPr>
              <w:keepNext/>
              <w:tabs>
                <w:tab w:val="left" w:pos="1304"/>
              </w:tabs>
              <w:jc w:val="center"/>
              <w:textAlignment w:val="baseline"/>
              <w:rPr>
                <w:rFonts w:ascii="Segoe UI" w:hAnsi="Segoe UI" w:cs="Segoe UI"/>
                <w:sz w:val="18"/>
                <w:szCs w:val="18"/>
              </w:rPr>
            </w:pPr>
            <w:r>
              <w:rPr>
                <w:b/>
              </w:rPr>
              <w:t>Relfydess 50 enheder GL og 60 enheder LCL </w:t>
            </w:r>
          </w:p>
        </w:tc>
        <w:tc>
          <w:tcPr>
            <w:tcW w:w="960" w:type="dxa"/>
            <w:tcBorders>
              <w:top w:val="single" w:sz="6" w:space="0" w:color="auto"/>
              <w:left w:val="single" w:sz="6" w:space="0" w:color="auto"/>
              <w:bottom w:val="single" w:sz="6" w:space="0" w:color="auto"/>
              <w:right w:val="single" w:sz="6" w:space="0" w:color="auto"/>
            </w:tcBorders>
            <w:hideMark/>
          </w:tcPr>
          <w:p w14:paraId="217EC76A" w14:textId="77777777" w:rsidR="002E06A9" w:rsidRDefault="002E06A9">
            <w:pPr>
              <w:keepNext/>
              <w:tabs>
                <w:tab w:val="left" w:pos="1304"/>
              </w:tabs>
              <w:jc w:val="center"/>
              <w:textAlignment w:val="baseline"/>
              <w:rPr>
                <w:rFonts w:ascii="Segoe UI" w:hAnsi="Segoe UI" w:cs="Segoe UI"/>
                <w:sz w:val="18"/>
                <w:szCs w:val="18"/>
              </w:rPr>
            </w:pPr>
            <w:r>
              <w:rPr>
                <w:b/>
              </w:rPr>
              <w:t>Placebo </w:t>
            </w:r>
          </w:p>
        </w:tc>
      </w:tr>
      <w:tr w:rsidR="002E06A9" w14:paraId="5E3A87DD" w14:textId="77777777" w:rsidTr="002E06A9">
        <w:trPr>
          <w:trHeight w:val="15"/>
          <w:jc w:val="center"/>
        </w:trPr>
        <w:tc>
          <w:tcPr>
            <w:tcW w:w="1965" w:type="dxa"/>
            <w:tcBorders>
              <w:top w:val="single" w:sz="6" w:space="0" w:color="auto"/>
              <w:left w:val="single" w:sz="6" w:space="0" w:color="auto"/>
              <w:bottom w:val="single" w:sz="6" w:space="0" w:color="auto"/>
              <w:right w:val="single" w:sz="6" w:space="0" w:color="auto"/>
            </w:tcBorders>
            <w:hideMark/>
          </w:tcPr>
          <w:p w14:paraId="133BBD4C" w14:textId="77777777" w:rsidR="002E06A9" w:rsidRDefault="002E06A9">
            <w:pPr>
              <w:keepNext/>
              <w:tabs>
                <w:tab w:val="left" w:pos="1304"/>
              </w:tabs>
              <w:textAlignment w:val="baseline"/>
              <w:rPr>
                <w:rFonts w:ascii="Segoe UI" w:hAnsi="Segoe UI" w:cs="Segoe UI"/>
                <w:sz w:val="18"/>
                <w:szCs w:val="18"/>
              </w:rPr>
            </w:pPr>
            <w:r>
              <w:t>READY</w:t>
            </w:r>
            <w:r>
              <w:noBreakHyphen/>
              <w:t>1, kun GL </w:t>
            </w:r>
          </w:p>
        </w:tc>
        <w:tc>
          <w:tcPr>
            <w:tcW w:w="3000" w:type="dxa"/>
            <w:tcBorders>
              <w:top w:val="single" w:sz="6" w:space="0" w:color="auto"/>
              <w:left w:val="single" w:sz="6" w:space="0" w:color="auto"/>
              <w:bottom w:val="single" w:sz="6" w:space="0" w:color="auto"/>
              <w:right w:val="single" w:sz="6" w:space="0" w:color="auto"/>
            </w:tcBorders>
            <w:hideMark/>
          </w:tcPr>
          <w:p w14:paraId="75D9C481" w14:textId="77777777" w:rsidR="002E06A9" w:rsidRDefault="002E06A9">
            <w:pPr>
              <w:keepNext/>
              <w:tabs>
                <w:tab w:val="left" w:pos="1304"/>
              </w:tabs>
              <w:jc w:val="center"/>
              <w:textAlignment w:val="baseline"/>
              <w:rPr>
                <w:rFonts w:ascii="Segoe UI" w:hAnsi="Segoe UI" w:cs="Segoe UI"/>
                <w:sz w:val="18"/>
                <w:szCs w:val="18"/>
              </w:rPr>
            </w:pPr>
            <w:r>
              <w:t>96,3% </w:t>
            </w:r>
            <w:r>
              <w:br/>
              <w:t>N = 199</w:t>
            </w:r>
          </w:p>
        </w:tc>
        <w:tc>
          <w:tcPr>
            <w:tcW w:w="2880" w:type="dxa"/>
            <w:tcBorders>
              <w:top w:val="single" w:sz="6" w:space="0" w:color="auto"/>
              <w:left w:val="single" w:sz="6" w:space="0" w:color="auto"/>
              <w:bottom w:val="single" w:sz="6" w:space="0" w:color="auto"/>
              <w:right w:val="single" w:sz="6" w:space="0" w:color="auto"/>
            </w:tcBorders>
            <w:hideMark/>
          </w:tcPr>
          <w:p w14:paraId="3E547609" w14:textId="77777777" w:rsidR="002E06A9" w:rsidRDefault="002E06A9">
            <w:pPr>
              <w:keepNext/>
              <w:tabs>
                <w:tab w:val="left" w:pos="1304"/>
              </w:tabs>
              <w:jc w:val="center"/>
              <w:textAlignment w:val="baseline"/>
              <w:rPr>
                <w:rFonts w:ascii="Segoe UI" w:hAnsi="Segoe UI" w:cs="Segoe UI"/>
                <w:sz w:val="18"/>
                <w:szCs w:val="18"/>
              </w:rPr>
            </w:pPr>
            <w:r>
              <w:t>- </w:t>
            </w:r>
          </w:p>
        </w:tc>
        <w:tc>
          <w:tcPr>
            <w:tcW w:w="960" w:type="dxa"/>
            <w:tcBorders>
              <w:top w:val="single" w:sz="6" w:space="0" w:color="auto"/>
              <w:left w:val="single" w:sz="6" w:space="0" w:color="auto"/>
              <w:bottom w:val="single" w:sz="6" w:space="0" w:color="auto"/>
              <w:right w:val="single" w:sz="6" w:space="0" w:color="auto"/>
            </w:tcBorders>
            <w:hideMark/>
          </w:tcPr>
          <w:p w14:paraId="494103C5" w14:textId="77777777" w:rsidR="002E06A9" w:rsidRDefault="002E06A9">
            <w:pPr>
              <w:keepNext/>
              <w:tabs>
                <w:tab w:val="left" w:pos="1304"/>
              </w:tabs>
              <w:jc w:val="center"/>
              <w:textAlignment w:val="baseline"/>
              <w:rPr>
                <w:rFonts w:ascii="Segoe UI" w:hAnsi="Segoe UI" w:cs="Segoe UI"/>
                <w:sz w:val="18"/>
                <w:szCs w:val="18"/>
              </w:rPr>
            </w:pPr>
            <w:r>
              <w:t>4,5% </w:t>
            </w:r>
            <w:r>
              <w:br/>
              <w:t>N = 67 </w:t>
            </w:r>
          </w:p>
        </w:tc>
      </w:tr>
      <w:tr w:rsidR="002E06A9" w14:paraId="5032D87C" w14:textId="77777777" w:rsidTr="002E06A9">
        <w:trPr>
          <w:trHeight w:val="15"/>
          <w:jc w:val="center"/>
        </w:trPr>
        <w:tc>
          <w:tcPr>
            <w:tcW w:w="1965" w:type="dxa"/>
            <w:tcBorders>
              <w:top w:val="single" w:sz="6" w:space="0" w:color="auto"/>
              <w:left w:val="single" w:sz="6" w:space="0" w:color="auto"/>
              <w:bottom w:val="single" w:sz="6" w:space="0" w:color="auto"/>
              <w:right w:val="single" w:sz="6" w:space="0" w:color="auto"/>
            </w:tcBorders>
            <w:hideMark/>
          </w:tcPr>
          <w:p w14:paraId="067B0753" w14:textId="77777777" w:rsidR="002E06A9" w:rsidRDefault="002E06A9">
            <w:pPr>
              <w:tabs>
                <w:tab w:val="left" w:pos="1304"/>
              </w:tabs>
              <w:textAlignment w:val="baseline"/>
              <w:rPr>
                <w:rFonts w:ascii="Segoe UI" w:hAnsi="Segoe UI" w:cs="Segoe UI"/>
                <w:sz w:val="18"/>
                <w:szCs w:val="18"/>
              </w:rPr>
            </w:pPr>
            <w:r>
              <w:t>READY</w:t>
            </w:r>
            <w:r>
              <w:noBreakHyphen/>
              <w:t>3, LCL og GL  </w:t>
            </w:r>
          </w:p>
        </w:tc>
        <w:tc>
          <w:tcPr>
            <w:tcW w:w="3000" w:type="dxa"/>
            <w:tcBorders>
              <w:top w:val="single" w:sz="6" w:space="0" w:color="auto"/>
              <w:left w:val="single" w:sz="6" w:space="0" w:color="auto"/>
              <w:bottom w:val="single" w:sz="6" w:space="0" w:color="auto"/>
              <w:right w:val="single" w:sz="6" w:space="0" w:color="auto"/>
            </w:tcBorders>
            <w:hideMark/>
          </w:tcPr>
          <w:p w14:paraId="38D4AD0E" w14:textId="77777777" w:rsidR="002E06A9" w:rsidRDefault="002E06A9">
            <w:pPr>
              <w:keepNext/>
              <w:tabs>
                <w:tab w:val="left" w:pos="1304"/>
              </w:tabs>
              <w:jc w:val="center"/>
              <w:textAlignment w:val="baseline"/>
              <w:rPr>
                <w:rFonts w:ascii="Segoe UI" w:hAnsi="Segoe UI" w:cs="Segoe UI"/>
                <w:sz w:val="18"/>
                <w:szCs w:val="18"/>
              </w:rPr>
            </w:pPr>
            <w:r>
              <w:t>94,3%  </w:t>
            </w:r>
            <w:r>
              <w:br/>
              <w:t>N = 106</w:t>
            </w:r>
          </w:p>
        </w:tc>
        <w:tc>
          <w:tcPr>
            <w:tcW w:w="2880" w:type="dxa"/>
            <w:tcBorders>
              <w:top w:val="single" w:sz="6" w:space="0" w:color="auto"/>
              <w:left w:val="single" w:sz="6" w:space="0" w:color="auto"/>
              <w:bottom w:val="single" w:sz="6" w:space="0" w:color="auto"/>
              <w:right w:val="single" w:sz="6" w:space="0" w:color="auto"/>
            </w:tcBorders>
            <w:hideMark/>
          </w:tcPr>
          <w:p w14:paraId="51FFCAE0" w14:textId="77777777" w:rsidR="002E06A9" w:rsidRDefault="002E06A9">
            <w:pPr>
              <w:keepNext/>
              <w:tabs>
                <w:tab w:val="left" w:pos="1304"/>
              </w:tabs>
              <w:jc w:val="center"/>
              <w:textAlignment w:val="baseline"/>
              <w:rPr>
                <w:rFonts w:ascii="Segoe UI" w:hAnsi="Segoe UI" w:cs="Segoe UI"/>
                <w:sz w:val="18"/>
                <w:szCs w:val="18"/>
              </w:rPr>
            </w:pPr>
            <w:r>
              <w:t>96,3%  </w:t>
            </w:r>
            <w:r>
              <w:br/>
              <w:t>N = 108</w:t>
            </w:r>
          </w:p>
        </w:tc>
        <w:tc>
          <w:tcPr>
            <w:tcW w:w="960" w:type="dxa"/>
            <w:tcBorders>
              <w:top w:val="single" w:sz="6" w:space="0" w:color="auto"/>
              <w:left w:val="single" w:sz="6" w:space="0" w:color="auto"/>
              <w:bottom w:val="single" w:sz="6" w:space="0" w:color="auto"/>
              <w:right w:val="single" w:sz="6" w:space="0" w:color="auto"/>
            </w:tcBorders>
            <w:hideMark/>
          </w:tcPr>
          <w:p w14:paraId="5D16D694" w14:textId="77777777" w:rsidR="002E06A9" w:rsidRDefault="002E06A9">
            <w:pPr>
              <w:keepNext/>
              <w:tabs>
                <w:tab w:val="left" w:pos="1304"/>
              </w:tabs>
              <w:jc w:val="center"/>
              <w:textAlignment w:val="baseline"/>
              <w:rPr>
                <w:rFonts w:ascii="Segoe UI" w:hAnsi="Segoe UI" w:cs="Segoe UI"/>
                <w:sz w:val="18"/>
                <w:szCs w:val="18"/>
              </w:rPr>
            </w:pPr>
            <w:r>
              <w:t>1,8%</w:t>
            </w:r>
            <w:r>
              <w:br/>
              <w:t>N = 55</w:t>
            </w:r>
          </w:p>
        </w:tc>
      </w:tr>
    </w:tbl>
    <w:p w14:paraId="49A7FC64" w14:textId="5D6EC842" w:rsidR="002E06A9" w:rsidRDefault="002E06A9" w:rsidP="002E06A9">
      <w:pPr>
        <w:pStyle w:val="paragraph"/>
        <w:keepNext/>
        <w:spacing w:before="0" w:beforeAutospacing="0" w:after="0" w:afterAutospacing="0"/>
        <w:textAlignment w:val="baseline"/>
        <w:rPr>
          <w:rFonts w:ascii="Segoe UI" w:hAnsi="Segoe UI" w:cs="Segoe UI"/>
          <w:sz w:val="18"/>
          <w:szCs w:val="18"/>
        </w:rPr>
      </w:pPr>
      <w:r>
        <w:rPr>
          <w:rStyle w:val="normaltextrun"/>
          <w:sz w:val="17"/>
          <w:vertAlign w:val="superscript"/>
        </w:rPr>
        <w:t>a</w:t>
      </w:r>
      <w:r w:rsidR="0099377E">
        <w:rPr>
          <w:rStyle w:val="normaltextrun"/>
          <w:sz w:val="17"/>
          <w:vertAlign w:val="superscript"/>
        </w:rPr>
        <w:t xml:space="preserve"> </w:t>
      </w:r>
      <w:r>
        <w:rPr>
          <w:rStyle w:val="normaltextrun"/>
          <w:sz w:val="18"/>
        </w:rPr>
        <w:t>Opnåede en score på 0 (ingen) eller 1 (let) i sværhedsgraden af GL på GL</w:t>
      </w:r>
      <w:r>
        <w:rPr>
          <w:rStyle w:val="normaltextrun"/>
          <w:sz w:val="18"/>
        </w:rPr>
        <w:noBreakHyphen/>
        <w:t>ILA</w:t>
      </w:r>
      <w:r>
        <w:rPr>
          <w:rStyle w:val="eop"/>
          <w:sz w:val="18"/>
        </w:rPr>
        <w:t> </w:t>
      </w:r>
    </w:p>
    <w:p w14:paraId="4C8A5F05" w14:textId="1DF50FE0" w:rsidR="002E06A9" w:rsidRDefault="002E06A9" w:rsidP="002E06A9">
      <w:pPr>
        <w:pStyle w:val="paragraph"/>
        <w:spacing w:before="0" w:beforeAutospacing="0" w:after="0" w:afterAutospacing="0"/>
        <w:textAlignment w:val="baseline"/>
        <w:rPr>
          <w:rStyle w:val="normaltextrun"/>
        </w:rPr>
      </w:pPr>
      <w:r>
        <w:rPr>
          <w:rStyle w:val="normaltextrun"/>
          <w:sz w:val="14"/>
          <w:vertAlign w:val="superscript"/>
        </w:rPr>
        <w:t>b</w:t>
      </w:r>
      <w:r w:rsidR="0099377E">
        <w:rPr>
          <w:rStyle w:val="normaltextrun"/>
          <w:sz w:val="14"/>
          <w:vertAlign w:val="superscript"/>
        </w:rPr>
        <w:t xml:space="preserve"> </w:t>
      </w:r>
      <w:r>
        <w:rPr>
          <w:rStyle w:val="normaltextrun"/>
          <w:sz w:val="18"/>
        </w:rPr>
        <w:t>Primært effekt-endemål på dag 30; p &lt; 0,001</w:t>
      </w:r>
    </w:p>
    <w:p w14:paraId="736C22B9" w14:textId="61A54FD9" w:rsidR="002E06A9" w:rsidRDefault="002E06A9" w:rsidP="002E06A9">
      <w:pPr>
        <w:pStyle w:val="paragraph"/>
        <w:spacing w:before="0" w:beforeAutospacing="0" w:after="0" w:afterAutospacing="0"/>
        <w:textAlignment w:val="baseline"/>
        <w:rPr>
          <w:rFonts w:ascii="Segoe UI" w:hAnsi="Segoe UI" w:cs="Segoe UI"/>
        </w:rPr>
      </w:pPr>
      <w:r>
        <w:rPr>
          <w:rStyle w:val="normaltextrun"/>
          <w:sz w:val="22"/>
          <w:vertAlign w:val="superscript"/>
        </w:rPr>
        <w:t>c</w:t>
      </w:r>
      <w:r w:rsidR="0099377E">
        <w:rPr>
          <w:rStyle w:val="normaltextrun"/>
          <w:sz w:val="22"/>
          <w:vertAlign w:val="superscript"/>
        </w:rPr>
        <w:t xml:space="preserve"> </w:t>
      </w:r>
      <w:r>
        <w:rPr>
          <w:rStyle w:val="normaltextrun"/>
          <w:sz w:val="18"/>
        </w:rPr>
        <w:t>Den modificerede intention-to-treat-population (mITT-populationen) omfattede alle patienter, der var randomiseret og havde fået forsøgsproduktet, og som blev analyseret i henhold til randomiseringsplanen. Patienter med en vurdering (fotografisk og kategorimæssig skala) vurdering ved måned 1 via eksternt besøg var udelukket fra mITT-populationen.</w:t>
      </w:r>
      <w:r>
        <w:rPr>
          <w:rStyle w:val="eop"/>
          <w:sz w:val="18"/>
        </w:rPr>
        <w:t> </w:t>
      </w:r>
    </w:p>
    <w:p w14:paraId="167D003B" w14:textId="77777777" w:rsidR="002E06A9" w:rsidRDefault="002E06A9" w:rsidP="002E06A9">
      <w:pPr>
        <w:rPr>
          <w:sz w:val="22"/>
        </w:rPr>
      </w:pPr>
    </w:p>
    <w:p w14:paraId="547E95FF" w14:textId="77777777" w:rsidR="002E06A9" w:rsidRPr="002E06A9" w:rsidRDefault="002E06A9" w:rsidP="002E06A9">
      <w:pPr>
        <w:ind w:left="851"/>
        <w:rPr>
          <w:sz w:val="24"/>
          <w:szCs w:val="24"/>
        </w:rPr>
      </w:pPr>
      <w:r w:rsidRPr="002E06A9">
        <w:rPr>
          <w:sz w:val="24"/>
          <w:szCs w:val="24"/>
        </w:rPr>
        <w:t>Hos patienter i READY-1 var responset (0 eller 1 opnået på GL-ILA ved maksimal panderynken) statistisk signifikant større med Relfydess end med placebo fra dag 7 til og med 6 måneder frem (p &lt; 0,001) som vist i tabel 5.</w:t>
      </w:r>
    </w:p>
    <w:p w14:paraId="174D4B2E" w14:textId="77777777" w:rsidR="002E06A9" w:rsidRPr="002E06A9" w:rsidRDefault="002E06A9" w:rsidP="002E06A9">
      <w:pPr>
        <w:ind w:left="851"/>
        <w:rPr>
          <w:sz w:val="24"/>
          <w:szCs w:val="24"/>
        </w:rPr>
      </w:pPr>
    </w:p>
    <w:p w14:paraId="0B49DAA3" w14:textId="77777777" w:rsidR="002E06A9" w:rsidRDefault="002E06A9" w:rsidP="002E06A9">
      <w:pPr>
        <w:keepNext/>
        <w:keepLines/>
        <w:ind w:left="1080" w:hanging="1080"/>
        <w:rPr>
          <w:b/>
          <w:bCs/>
          <w:szCs w:val="22"/>
        </w:rPr>
      </w:pPr>
      <w:r>
        <w:rPr>
          <w:b/>
        </w:rPr>
        <w:t xml:space="preserve">Tabel 5: </w:t>
      </w:r>
      <w:r>
        <w:rPr>
          <w:b/>
        </w:rPr>
        <w:tab/>
        <w:t>READY-1, Investigator Live Assessment (ILA) af GL's sværhedsgrad – responderrater</w:t>
      </w:r>
      <w:r>
        <w:rPr>
          <w:b/>
          <w:vertAlign w:val="superscript"/>
        </w:rPr>
        <w:t>a</w:t>
      </w:r>
      <w:r>
        <w:rPr>
          <w:b/>
        </w:rPr>
        <w:t xml:space="preserve"> (%) efter injektion, ITT-population</w:t>
      </w:r>
      <w:r>
        <w:rPr>
          <w:b/>
          <w:vertAlign w:val="superscript"/>
        </w:rPr>
        <w:t>b</w:t>
      </w:r>
    </w:p>
    <w:tbl>
      <w:tblPr>
        <w:tblStyle w:val="Tabel-Gitter"/>
        <w:tblW w:w="5000" w:type="pct"/>
        <w:jc w:val="center"/>
        <w:tblInd w:w="0" w:type="dxa"/>
        <w:tblLook w:val="04A0" w:firstRow="1" w:lastRow="0" w:firstColumn="1" w:lastColumn="0" w:noHBand="0" w:noVBand="1"/>
      </w:tblPr>
      <w:tblGrid>
        <w:gridCol w:w="5174"/>
        <w:gridCol w:w="2287"/>
        <w:gridCol w:w="2167"/>
      </w:tblGrid>
      <w:tr w:rsidR="002E06A9" w14:paraId="3C17FFDC" w14:textId="77777777" w:rsidTr="002E06A9">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2B555829" w14:textId="77777777" w:rsidR="002E06A9" w:rsidRDefault="002E06A9">
            <w:pPr>
              <w:keepNext/>
              <w:keepLines/>
              <w:rPr>
                <w:b/>
                <w:bCs/>
                <w:szCs w:val="22"/>
              </w:rPr>
            </w:pPr>
            <w:r>
              <w:rPr>
                <w:b/>
                <w:color w:val="000000"/>
              </w:rPr>
              <w:t>Tidspunkt</w:t>
            </w:r>
            <w:r>
              <w:rPr>
                <w:b/>
                <w:color w:val="000000"/>
              </w:rPr>
              <w:br/>
              <w:t>Efter injektion</w:t>
            </w:r>
          </w:p>
        </w:tc>
        <w:tc>
          <w:tcPr>
            <w:tcW w:w="2287" w:type="dxa"/>
            <w:tcBorders>
              <w:top w:val="single" w:sz="4" w:space="0" w:color="auto"/>
              <w:left w:val="single" w:sz="4" w:space="0" w:color="auto"/>
              <w:bottom w:val="single" w:sz="4" w:space="0" w:color="auto"/>
              <w:right w:val="single" w:sz="4" w:space="0" w:color="auto"/>
            </w:tcBorders>
            <w:hideMark/>
          </w:tcPr>
          <w:p w14:paraId="0423F889" w14:textId="77777777" w:rsidR="002E06A9" w:rsidRDefault="002E06A9">
            <w:pPr>
              <w:keepNext/>
              <w:keepLines/>
              <w:jc w:val="center"/>
              <w:rPr>
                <w:b/>
                <w:bCs/>
                <w:szCs w:val="22"/>
              </w:rPr>
            </w:pPr>
            <w:r>
              <w:rPr>
                <w:b/>
                <w:color w:val="000000"/>
              </w:rPr>
              <w:t>Relfydess</w:t>
            </w:r>
            <w:r>
              <w:rPr>
                <w:b/>
                <w:color w:val="000000"/>
              </w:rPr>
              <w:br/>
              <w:t>(N=223)</w:t>
            </w:r>
          </w:p>
        </w:tc>
        <w:tc>
          <w:tcPr>
            <w:tcW w:w="2167" w:type="dxa"/>
            <w:tcBorders>
              <w:top w:val="single" w:sz="4" w:space="0" w:color="auto"/>
              <w:left w:val="single" w:sz="4" w:space="0" w:color="auto"/>
              <w:bottom w:val="single" w:sz="4" w:space="0" w:color="auto"/>
              <w:right w:val="single" w:sz="4" w:space="0" w:color="auto"/>
            </w:tcBorders>
            <w:hideMark/>
          </w:tcPr>
          <w:p w14:paraId="730258DD" w14:textId="77777777" w:rsidR="002E06A9" w:rsidRDefault="002E06A9">
            <w:pPr>
              <w:keepNext/>
              <w:keepLines/>
              <w:jc w:val="center"/>
              <w:rPr>
                <w:b/>
                <w:bCs/>
                <w:szCs w:val="22"/>
              </w:rPr>
            </w:pPr>
            <w:r>
              <w:rPr>
                <w:b/>
                <w:color w:val="000000"/>
              </w:rPr>
              <w:t>Placebo</w:t>
            </w:r>
            <w:r>
              <w:rPr>
                <w:b/>
                <w:color w:val="000000"/>
              </w:rPr>
              <w:br/>
              <w:t>(N=74)</w:t>
            </w:r>
          </w:p>
        </w:tc>
      </w:tr>
      <w:tr w:rsidR="002E06A9" w14:paraId="58B93497" w14:textId="77777777" w:rsidTr="002E06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F7236" w14:textId="77777777" w:rsidR="002E06A9" w:rsidRDefault="002E06A9">
            <w:pPr>
              <w:rPr>
                <w:b/>
                <w:bCs/>
                <w:sz w:val="22"/>
                <w:szCs w:val="22"/>
              </w:rPr>
            </w:pPr>
          </w:p>
        </w:tc>
        <w:tc>
          <w:tcPr>
            <w:tcW w:w="2287" w:type="dxa"/>
            <w:tcBorders>
              <w:top w:val="single" w:sz="4" w:space="0" w:color="auto"/>
              <w:left w:val="single" w:sz="4" w:space="0" w:color="auto"/>
              <w:bottom w:val="single" w:sz="4" w:space="0" w:color="auto"/>
              <w:right w:val="single" w:sz="4" w:space="0" w:color="auto"/>
            </w:tcBorders>
            <w:vAlign w:val="bottom"/>
            <w:hideMark/>
          </w:tcPr>
          <w:p w14:paraId="6E8D72E8" w14:textId="77777777" w:rsidR="002E06A9" w:rsidRDefault="002E06A9">
            <w:pPr>
              <w:keepNext/>
              <w:keepLines/>
              <w:jc w:val="center"/>
              <w:rPr>
                <w:b/>
                <w:bCs/>
                <w:szCs w:val="22"/>
              </w:rPr>
            </w:pPr>
            <w:r>
              <w:rPr>
                <w:b/>
                <w:color w:val="000000"/>
              </w:rPr>
              <w:t>GL-ILA</w:t>
            </w:r>
          </w:p>
        </w:tc>
        <w:tc>
          <w:tcPr>
            <w:tcW w:w="2167" w:type="dxa"/>
            <w:tcBorders>
              <w:top w:val="single" w:sz="4" w:space="0" w:color="auto"/>
              <w:left w:val="single" w:sz="4" w:space="0" w:color="auto"/>
              <w:bottom w:val="single" w:sz="4" w:space="0" w:color="auto"/>
              <w:right w:val="single" w:sz="4" w:space="0" w:color="auto"/>
            </w:tcBorders>
            <w:vAlign w:val="bottom"/>
            <w:hideMark/>
          </w:tcPr>
          <w:p w14:paraId="437E20B2" w14:textId="77777777" w:rsidR="002E06A9" w:rsidRDefault="002E06A9">
            <w:pPr>
              <w:keepNext/>
              <w:keepLines/>
              <w:jc w:val="center"/>
              <w:rPr>
                <w:b/>
                <w:bCs/>
                <w:szCs w:val="22"/>
              </w:rPr>
            </w:pPr>
            <w:r>
              <w:rPr>
                <w:b/>
                <w:color w:val="000000"/>
              </w:rPr>
              <w:t>GL-ILA</w:t>
            </w:r>
          </w:p>
        </w:tc>
      </w:tr>
      <w:tr w:rsidR="002E06A9" w14:paraId="14B8CE63"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54235C39" w14:textId="77777777" w:rsidR="002E06A9" w:rsidRDefault="002E06A9">
            <w:pPr>
              <w:keepNext/>
              <w:keepLines/>
              <w:rPr>
                <w:b/>
                <w:bCs/>
                <w:szCs w:val="22"/>
              </w:rPr>
            </w:pPr>
            <w:r>
              <w:rPr>
                <w:color w:val="000000"/>
              </w:rPr>
              <w:t>Dag 7</w:t>
            </w:r>
          </w:p>
        </w:tc>
        <w:tc>
          <w:tcPr>
            <w:tcW w:w="2287" w:type="dxa"/>
            <w:tcBorders>
              <w:top w:val="single" w:sz="4" w:space="0" w:color="auto"/>
              <w:left w:val="single" w:sz="4" w:space="0" w:color="auto"/>
              <w:bottom w:val="single" w:sz="4" w:space="0" w:color="auto"/>
              <w:right w:val="single" w:sz="4" w:space="0" w:color="auto"/>
            </w:tcBorders>
            <w:vAlign w:val="bottom"/>
            <w:hideMark/>
          </w:tcPr>
          <w:p w14:paraId="6B95C89A" w14:textId="77777777" w:rsidR="002E06A9" w:rsidRDefault="002E06A9">
            <w:pPr>
              <w:keepNext/>
              <w:keepLines/>
              <w:jc w:val="center"/>
              <w:rPr>
                <w:b/>
                <w:bCs/>
                <w:szCs w:val="22"/>
              </w:rPr>
            </w:pPr>
            <w:r>
              <w:rPr>
                <w:color w:val="000000"/>
              </w:rPr>
              <w:t>93,2%</w:t>
            </w:r>
          </w:p>
        </w:tc>
        <w:tc>
          <w:tcPr>
            <w:tcW w:w="2167" w:type="dxa"/>
            <w:tcBorders>
              <w:top w:val="single" w:sz="4" w:space="0" w:color="auto"/>
              <w:left w:val="single" w:sz="4" w:space="0" w:color="auto"/>
              <w:bottom w:val="single" w:sz="4" w:space="0" w:color="auto"/>
              <w:right w:val="single" w:sz="4" w:space="0" w:color="auto"/>
            </w:tcBorders>
            <w:vAlign w:val="bottom"/>
            <w:hideMark/>
          </w:tcPr>
          <w:p w14:paraId="6C3DAA3D" w14:textId="77777777" w:rsidR="002E06A9" w:rsidRDefault="002E06A9">
            <w:pPr>
              <w:keepNext/>
              <w:keepLines/>
              <w:jc w:val="center"/>
              <w:rPr>
                <w:b/>
                <w:bCs/>
                <w:szCs w:val="22"/>
              </w:rPr>
            </w:pPr>
            <w:r>
              <w:rPr>
                <w:color w:val="000000"/>
              </w:rPr>
              <w:t>4,3%</w:t>
            </w:r>
          </w:p>
        </w:tc>
      </w:tr>
      <w:tr w:rsidR="002E06A9" w14:paraId="5C56E5D2"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10D278EB" w14:textId="77777777" w:rsidR="002E06A9" w:rsidRDefault="002E06A9">
            <w:pPr>
              <w:keepNext/>
              <w:keepLines/>
              <w:rPr>
                <w:b/>
                <w:bCs/>
                <w:szCs w:val="22"/>
              </w:rPr>
            </w:pPr>
            <w:r>
              <w:rPr>
                <w:color w:val="000000"/>
              </w:rPr>
              <w:t>Dag 14</w:t>
            </w:r>
          </w:p>
        </w:tc>
        <w:tc>
          <w:tcPr>
            <w:tcW w:w="2287" w:type="dxa"/>
            <w:tcBorders>
              <w:top w:val="single" w:sz="4" w:space="0" w:color="auto"/>
              <w:left w:val="single" w:sz="4" w:space="0" w:color="auto"/>
              <w:bottom w:val="single" w:sz="4" w:space="0" w:color="auto"/>
              <w:right w:val="single" w:sz="4" w:space="0" w:color="auto"/>
            </w:tcBorders>
            <w:vAlign w:val="bottom"/>
            <w:hideMark/>
          </w:tcPr>
          <w:p w14:paraId="757597C0" w14:textId="77777777" w:rsidR="002E06A9" w:rsidRDefault="002E06A9">
            <w:pPr>
              <w:keepNext/>
              <w:keepLines/>
              <w:jc w:val="center"/>
              <w:rPr>
                <w:b/>
                <w:bCs/>
                <w:szCs w:val="22"/>
              </w:rPr>
            </w:pPr>
            <w:r>
              <w:rPr>
                <w:color w:val="000000"/>
              </w:rPr>
              <w:t>96,4%</w:t>
            </w:r>
          </w:p>
        </w:tc>
        <w:tc>
          <w:tcPr>
            <w:tcW w:w="2167" w:type="dxa"/>
            <w:tcBorders>
              <w:top w:val="single" w:sz="4" w:space="0" w:color="auto"/>
              <w:left w:val="single" w:sz="4" w:space="0" w:color="auto"/>
              <w:bottom w:val="single" w:sz="4" w:space="0" w:color="auto"/>
              <w:right w:val="single" w:sz="4" w:space="0" w:color="auto"/>
            </w:tcBorders>
            <w:vAlign w:val="bottom"/>
            <w:hideMark/>
          </w:tcPr>
          <w:p w14:paraId="3B4B8C6C" w14:textId="77777777" w:rsidR="002E06A9" w:rsidRDefault="002E06A9">
            <w:pPr>
              <w:keepNext/>
              <w:keepLines/>
              <w:jc w:val="center"/>
              <w:rPr>
                <w:b/>
                <w:bCs/>
                <w:szCs w:val="22"/>
              </w:rPr>
            </w:pPr>
            <w:r>
              <w:rPr>
                <w:color w:val="000000"/>
              </w:rPr>
              <w:t>6,3%</w:t>
            </w:r>
          </w:p>
        </w:tc>
      </w:tr>
      <w:tr w:rsidR="002E06A9" w14:paraId="2F9861E7"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0CBB9A49" w14:textId="77777777" w:rsidR="002E06A9" w:rsidRDefault="002E06A9">
            <w:pPr>
              <w:keepNext/>
              <w:keepLines/>
              <w:rPr>
                <w:b/>
                <w:bCs/>
                <w:szCs w:val="22"/>
              </w:rPr>
            </w:pPr>
            <w:r>
              <w:rPr>
                <w:color w:val="000000"/>
              </w:rPr>
              <w:t>Måned 1</w:t>
            </w:r>
          </w:p>
        </w:tc>
        <w:tc>
          <w:tcPr>
            <w:tcW w:w="2287" w:type="dxa"/>
            <w:tcBorders>
              <w:top w:val="single" w:sz="4" w:space="0" w:color="auto"/>
              <w:left w:val="single" w:sz="4" w:space="0" w:color="auto"/>
              <w:bottom w:val="single" w:sz="4" w:space="0" w:color="auto"/>
              <w:right w:val="single" w:sz="4" w:space="0" w:color="auto"/>
            </w:tcBorders>
            <w:vAlign w:val="bottom"/>
            <w:hideMark/>
          </w:tcPr>
          <w:p w14:paraId="141A92B4" w14:textId="77777777" w:rsidR="002E06A9" w:rsidRDefault="002E06A9">
            <w:pPr>
              <w:keepNext/>
              <w:keepLines/>
              <w:jc w:val="center"/>
              <w:rPr>
                <w:b/>
                <w:bCs/>
                <w:szCs w:val="22"/>
              </w:rPr>
            </w:pPr>
            <w:r>
              <w:rPr>
                <w:color w:val="000000"/>
              </w:rPr>
              <w:t>96,4%</w:t>
            </w:r>
          </w:p>
        </w:tc>
        <w:tc>
          <w:tcPr>
            <w:tcW w:w="2167" w:type="dxa"/>
            <w:tcBorders>
              <w:top w:val="single" w:sz="4" w:space="0" w:color="auto"/>
              <w:left w:val="single" w:sz="4" w:space="0" w:color="auto"/>
              <w:bottom w:val="single" w:sz="4" w:space="0" w:color="auto"/>
              <w:right w:val="single" w:sz="4" w:space="0" w:color="auto"/>
            </w:tcBorders>
            <w:vAlign w:val="bottom"/>
            <w:hideMark/>
          </w:tcPr>
          <w:p w14:paraId="5A7AAEFF" w14:textId="77777777" w:rsidR="002E06A9" w:rsidRDefault="002E06A9">
            <w:pPr>
              <w:keepNext/>
              <w:keepLines/>
              <w:jc w:val="center"/>
              <w:rPr>
                <w:b/>
                <w:bCs/>
                <w:szCs w:val="22"/>
              </w:rPr>
            </w:pPr>
            <w:r>
              <w:rPr>
                <w:color w:val="000000"/>
              </w:rPr>
              <w:t>4,7%</w:t>
            </w:r>
          </w:p>
        </w:tc>
      </w:tr>
      <w:tr w:rsidR="002E06A9" w14:paraId="3634D75A"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03F098AA" w14:textId="77777777" w:rsidR="002E06A9" w:rsidRDefault="002E06A9">
            <w:pPr>
              <w:rPr>
                <w:b/>
                <w:bCs/>
                <w:szCs w:val="22"/>
              </w:rPr>
            </w:pPr>
            <w:r>
              <w:rPr>
                <w:color w:val="000000"/>
              </w:rPr>
              <w:t>Måned 2</w:t>
            </w:r>
          </w:p>
        </w:tc>
        <w:tc>
          <w:tcPr>
            <w:tcW w:w="2287" w:type="dxa"/>
            <w:tcBorders>
              <w:top w:val="single" w:sz="4" w:space="0" w:color="auto"/>
              <w:left w:val="single" w:sz="4" w:space="0" w:color="auto"/>
              <w:bottom w:val="single" w:sz="4" w:space="0" w:color="auto"/>
              <w:right w:val="single" w:sz="4" w:space="0" w:color="auto"/>
            </w:tcBorders>
            <w:vAlign w:val="bottom"/>
            <w:hideMark/>
          </w:tcPr>
          <w:p w14:paraId="401D58A5" w14:textId="77777777" w:rsidR="002E06A9" w:rsidRDefault="002E06A9">
            <w:pPr>
              <w:jc w:val="center"/>
              <w:rPr>
                <w:b/>
                <w:bCs/>
                <w:szCs w:val="22"/>
              </w:rPr>
            </w:pPr>
            <w:r>
              <w:rPr>
                <w:color w:val="000000"/>
              </w:rPr>
              <w:t>92,9%</w:t>
            </w:r>
          </w:p>
        </w:tc>
        <w:tc>
          <w:tcPr>
            <w:tcW w:w="2167" w:type="dxa"/>
            <w:tcBorders>
              <w:top w:val="single" w:sz="4" w:space="0" w:color="auto"/>
              <w:left w:val="single" w:sz="4" w:space="0" w:color="auto"/>
              <w:bottom w:val="single" w:sz="4" w:space="0" w:color="auto"/>
              <w:right w:val="single" w:sz="4" w:space="0" w:color="auto"/>
            </w:tcBorders>
            <w:vAlign w:val="bottom"/>
            <w:hideMark/>
          </w:tcPr>
          <w:p w14:paraId="40DE9632" w14:textId="77777777" w:rsidR="002E06A9" w:rsidRDefault="002E06A9">
            <w:pPr>
              <w:jc w:val="center"/>
              <w:rPr>
                <w:b/>
                <w:bCs/>
                <w:szCs w:val="22"/>
              </w:rPr>
            </w:pPr>
            <w:r>
              <w:rPr>
                <w:color w:val="000000"/>
              </w:rPr>
              <w:t>8,9%</w:t>
            </w:r>
          </w:p>
        </w:tc>
      </w:tr>
      <w:tr w:rsidR="002E06A9" w14:paraId="73809127"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243673B6" w14:textId="77777777" w:rsidR="002E06A9" w:rsidRDefault="002E06A9">
            <w:pPr>
              <w:rPr>
                <w:b/>
                <w:bCs/>
                <w:szCs w:val="22"/>
              </w:rPr>
            </w:pPr>
            <w:r>
              <w:rPr>
                <w:color w:val="000000"/>
              </w:rPr>
              <w:t>Måned 3</w:t>
            </w:r>
          </w:p>
        </w:tc>
        <w:tc>
          <w:tcPr>
            <w:tcW w:w="2287" w:type="dxa"/>
            <w:tcBorders>
              <w:top w:val="single" w:sz="4" w:space="0" w:color="auto"/>
              <w:left w:val="single" w:sz="4" w:space="0" w:color="auto"/>
              <w:bottom w:val="single" w:sz="4" w:space="0" w:color="auto"/>
              <w:right w:val="single" w:sz="4" w:space="0" w:color="auto"/>
            </w:tcBorders>
            <w:vAlign w:val="bottom"/>
            <w:hideMark/>
          </w:tcPr>
          <w:p w14:paraId="5801C2B1" w14:textId="77777777" w:rsidR="002E06A9" w:rsidRDefault="002E06A9">
            <w:pPr>
              <w:jc w:val="center"/>
              <w:rPr>
                <w:b/>
                <w:bCs/>
                <w:szCs w:val="22"/>
              </w:rPr>
            </w:pPr>
            <w:r>
              <w:rPr>
                <w:color w:val="000000"/>
              </w:rPr>
              <w:t>73,7%</w:t>
            </w:r>
          </w:p>
        </w:tc>
        <w:tc>
          <w:tcPr>
            <w:tcW w:w="2167" w:type="dxa"/>
            <w:tcBorders>
              <w:top w:val="single" w:sz="4" w:space="0" w:color="auto"/>
              <w:left w:val="single" w:sz="4" w:space="0" w:color="auto"/>
              <w:bottom w:val="single" w:sz="4" w:space="0" w:color="auto"/>
              <w:right w:val="single" w:sz="4" w:space="0" w:color="auto"/>
            </w:tcBorders>
            <w:vAlign w:val="bottom"/>
            <w:hideMark/>
          </w:tcPr>
          <w:p w14:paraId="5696D545" w14:textId="77777777" w:rsidR="002E06A9" w:rsidRDefault="002E06A9">
            <w:pPr>
              <w:jc w:val="center"/>
              <w:rPr>
                <w:b/>
                <w:bCs/>
                <w:szCs w:val="22"/>
              </w:rPr>
            </w:pPr>
            <w:r>
              <w:rPr>
                <w:color w:val="000000"/>
              </w:rPr>
              <w:t>7,9%</w:t>
            </w:r>
          </w:p>
        </w:tc>
      </w:tr>
      <w:tr w:rsidR="002E06A9" w14:paraId="55B75B6A"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264D8440" w14:textId="77777777" w:rsidR="002E06A9" w:rsidRDefault="002E06A9">
            <w:pPr>
              <w:rPr>
                <w:b/>
                <w:bCs/>
                <w:szCs w:val="22"/>
              </w:rPr>
            </w:pPr>
            <w:r>
              <w:rPr>
                <w:color w:val="000000"/>
              </w:rPr>
              <w:t>Måned 4</w:t>
            </w:r>
          </w:p>
        </w:tc>
        <w:tc>
          <w:tcPr>
            <w:tcW w:w="2287" w:type="dxa"/>
            <w:tcBorders>
              <w:top w:val="single" w:sz="4" w:space="0" w:color="auto"/>
              <w:left w:val="single" w:sz="4" w:space="0" w:color="auto"/>
              <w:bottom w:val="single" w:sz="4" w:space="0" w:color="auto"/>
              <w:right w:val="single" w:sz="4" w:space="0" w:color="auto"/>
            </w:tcBorders>
            <w:vAlign w:val="bottom"/>
            <w:hideMark/>
          </w:tcPr>
          <w:p w14:paraId="06D74121" w14:textId="77777777" w:rsidR="002E06A9" w:rsidRDefault="002E06A9">
            <w:pPr>
              <w:jc w:val="center"/>
              <w:rPr>
                <w:b/>
                <w:bCs/>
                <w:szCs w:val="22"/>
              </w:rPr>
            </w:pPr>
            <w:r>
              <w:rPr>
                <w:color w:val="000000"/>
              </w:rPr>
              <w:t>53,7%</w:t>
            </w:r>
          </w:p>
        </w:tc>
        <w:tc>
          <w:tcPr>
            <w:tcW w:w="2167" w:type="dxa"/>
            <w:tcBorders>
              <w:top w:val="single" w:sz="4" w:space="0" w:color="auto"/>
              <w:left w:val="single" w:sz="4" w:space="0" w:color="auto"/>
              <w:bottom w:val="single" w:sz="4" w:space="0" w:color="auto"/>
              <w:right w:val="single" w:sz="4" w:space="0" w:color="auto"/>
            </w:tcBorders>
            <w:vAlign w:val="bottom"/>
            <w:hideMark/>
          </w:tcPr>
          <w:p w14:paraId="0AEA331B" w14:textId="77777777" w:rsidR="002E06A9" w:rsidRDefault="002E06A9">
            <w:pPr>
              <w:jc w:val="center"/>
              <w:rPr>
                <w:b/>
                <w:bCs/>
                <w:szCs w:val="22"/>
              </w:rPr>
            </w:pPr>
            <w:r>
              <w:rPr>
                <w:color w:val="000000"/>
              </w:rPr>
              <w:t>6,3%</w:t>
            </w:r>
          </w:p>
        </w:tc>
      </w:tr>
      <w:tr w:rsidR="002E06A9" w14:paraId="6B0C2D38"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763ACBB8" w14:textId="77777777" w:rsidR="002E06A9" w:rsidRDefault="002E06A9">
            <w:pPr>
              <w:rPr>
                <w:b/>
                <w:bCs/>
                <w:szCs w:val="22"/>
              </w:rPr>
            </w:pPr>
            <w:r>
              <w:rPr>
                <w:color w:val="000000"/>
              </w:rPr>
              <w:t>Måned 5</w:t>
            </w:r>
          </w:p>
        </w:tc>
        <w:tc>
          <w:tcPr>
            <w:tcW w:w="2287" w:type="dxa"/>
            <w:tcBorders>
              <w:top w:val="single" w:sz="4" w:space="0" w:color="auto"/>
              <w:left w:val="single" w:sz="4" w:space="0" w:color="auto"/>
              <w:bottom w:val="single" w:sz="4" w:space="0" w:color="auto"/>
              <w:right w:val="single" w:sz="4" w:space="0" w:color="auto"/>
            </w:tcBorders>
            <w:vAlign w:val="bottom"/>
            <w:hideMark/>
          </w:tcPr>
          <w:p w14:paraId="48A6465B" w14:textId="77777777" w:rsidR="002E06A9" w:rsidRDefault="002E06A9">
            <w:pPr>
              <w:jc w:val="center"/>
              <w:rPr>
                <w:b/>
                <w:bCs/>
                <w:szCs w:val="22"/>
              </w:rPr>
            </w:pPr>
            <w:r>
              <w:rPr>
                <w:color w:val="000000"/>
              </w:rPr>
              <w:t>39,7%</w:t>
            </w:r>
          </w:p>
        </w:tc>
        <w:tc>
          <w:tcPr>
            <w:tcW w:w="2167" w:type="dxa"/>
            <w:tcBorders>
              <w:top w:val="single" w:sz="4" w:space="0" w:color="auto"/>
              <w:left w:val="single" w:sz="4" w:space="0" w:color="auto"/>
              <w:bottom w:val="single" w:sz="4" w:space="0" w:color="auto"/>
              <w:right w:val="single" w:sz="4" w:space="0" w:color="auto"/>
            </w:tcBorders>
            <w:vAlign w:val="bottom"/>
            <w:hideMark/>
          </w:tcPr>
          <w:p w14:paraId="2DE5FC48" w14:textId="77777777" w:rsidR="002E06A9" w:rsidRDefault="002E06A9">
            <w:pPr>
              <w:jc w:val="center"/>
              <w:rPr>
                <w:b/>
                <w:bCs/>
                <w:szCs w:val="22"/>
              </w:rPr>
            </w:pPr>
            <w:r>
              <w:rPr>
                <w:color w:val="000000"/>
              </w:rPr>
              <w:t>6,3%</w:t>
            </w:r>
          </w:p>
        </w:tc>
      </w:tr>
      <w:tr w:rsidR="002E06A9" w14:paraId="4CFE601E"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vAlign w:val="bottom"/>
            <w:hideMark/>
          </w:tcPr>
          <w:p w14:paraId="4D2FC018" w14:textId="77777777" w:rsidR="002E06A9" w:rsidRDefault="002E06A9">
            <w:pPr>
              <w:rPr>
                <w:b/>
                <w:bCs/>
                <w:szCs w:val="22"/>
              </w:rPr>
            </w:pPr>
            <w:r>
              <w:rPr>
                <w:color w:val="000000"/>
              </w:rPr>
              <w:t>Måned 6</w:t>
            </w:r>
          </w:p>
        </w:tc>
        <w:tc>
          <w:tcPr>
            <w:tcW w:w="2287" w:type="dxa"/>
            <w:tcBorders>
              <w:top w:val="single" w:sz="4" w:space="0" w:color="auto"/>
              <w:left w:val="single" w:sz="4" w:space="0" w:color="auto"/>
              <w:bottom w:val="single" w:sz="4" w:space="0" w:color="auto"/>
              <w:right w:val="single" w:sz="4" w:space="0" w:color="auto"/>
            </w:tcBorders>
            <w:vAlign w:val="bottom"/>
            <w:hideMark/>
          </w:tcPr>
          <w:p w14:paraId="3BE93136" w14:textId="77777777" w:rsidR="002E06A9" w:rsidRDefault="002E06A9">
            <w:pPr>
              <w:jc w:val="center"/>
              <w:rPr>
                <w:b/>
                <w:bCs/>
                <w:szCs w:val="22"/>
              </w:rPr>
            </w:pPr>
            <w:r>
              <w:rPr>
                <w:color w:val="000000"/>
              </w:rPr>
              <w:t>23,6%</w:t>
            </w:r>
          </w:p>
        </w:tc>
        <w:tc>
          <w:tcPr>
            <w:tcW w:w="2167" w:type="dxa"/>
            <w:tcBorders>
              <w:top w:val="single" w:sz="4" w:space="0" w:color="auto"/>
              <w:left w:val="single" w:sz="4" w:space="0" w:color="auto"/>
              <w:bottom w:val="single" w:sz="4" w:space="0" w:color="auto"/>
              <w:right w:val="single" w:sz="4" w:space="0" w:color="auto"/>
            </w:tcBorders>
            <w:vAlign w:val="bottom"/>
            <w:hideMark/>
          </w:tcPr>
          <w:p w14:paraId="7C11ABF2" w14:textId="77777777" w:rsidR="002E06A9" w:rsidRDefault="002E06A9">
            <w:pPr>
              <w:jc w:val="center"/>
              <w:rPr>
                <w:b/>
                <w:bCs/>
                <w:szCs w:val="22"/>
              </w:rPr>
            </w:pPr>
            <w:r>
              <w:rPr>
                <w:color w:val="000000"/>
              </w:rPr>
              <w:t>1,5%</w:t>
            </w:r>
          </w:p>
        </w:tc>
      </w:tr>
    </w:tbl>
    <w:p w14:paraId="55BA4CD1" w14:textId="3877A943" w:rsidR="002E06A9" w:rsidRDefault="002E06A9" w:rsidP="002E06A9">
      <w:pPr>
        <w:rPr>
          <w:rFonts w:eastAsia="Calibri"/>
          <w:sz w:val="18"/>
          <w:szCs w:val="18"/>
        </w:rPr>
      </w:pPr>
      <w:r>
        <w:rPr>
          <w:vertAlign w:val="superscript"/>
        </w:rPr>
        <w:t>a</w:t>
      </w:r>
      <w:r w:rsidR="0099377E">
        <w:rPr>
          <w:vertAlign w:val="superscript"/>
        </w:rPr>
        <w:t xml:space="preserve"> </w:t>
      </w:r>
      <w:r>
        <w:rPr>
          <w:sz w:val="18"/>
        </w:rPr>
        <w:t>Defineret som en sværhedsgrad af GL på 2 (moderat) eller 3 (svær) ved baseline og på 0 (ingen) eller 1 (let) ved at givent besøg ifølge GL-ILA-skalaen</w:t>
      </w:r>
      <w:r>
        <w:rPr>
          <w:sz w:val="18"/>
        </w:rPr>
        <w:br/>
      </w:r>
      <w:r>
        <w:rPr>
          <w:vertAlign w:val="superscript"/>
        </w:rPr>
        <w:t>b</w:t>
      </w:r>
      <w:r w:rsidR="0099377E">
        <w:rPr>
          <w:vertAlign w:val="superscript"/>
        </w:rPr>
        <w:t xml:space="preserve"> </w:t>
      </w:r>
      <w:r>
        <w:rPr>
          <w:sz w:val="18"/>
        </w:rPr>
        <w:t>Intention-to-treat-populationen omfattede alle patienter, der var randomiseret og fik forsøgsproduktet, og som blev analyseret i henhold til randomiseringsplanen.</w:t>
      </w:r>
    </w:p>
    <w:p w14:paraId="6721D9AC" w14:textId="77777777" w:rsidR="002E06A9" w:rsidRPr="002E06A9" w:rsidRDefault="002E06A9" w:rsidP="002E06A9">
      <w:pPr>
        <w:pStyle w:val="Opstilling-punkttegn2"/>
        <w:numPr>
          <w:ilvl w:val="0"/>
          <w:numId w:val="0"/>
        </w:numPr>
        <w:tabs>
          <w:tab w:val="left" w:pos="1304"/>
        </w:tabs>
        <w:spacing w:after="0"/>
        <w:ind w:left="851"/>
        <w:rPr>
          <w:rFonts w:ascii="Times New Roman" w:hAnsi="Times New Roman"/>
          <w:szCs w:val="24"/>
          <w:lang w:val="sv-SE" w:eastAsia="en-US"/>
        </w:rPr>
      </w:pPr>
    </w:p>
    <w:p w14:paraId="18A87CF8" w14:textId="77777777" w:rsidR="002E06A9" w:rsidRPr="002E06A9" w:rsidRDefault="002E06A9" w:rsidP="002E06A9">
      <w:pPr>
        <w:pStyle w:val="Opstilling-punkttegn2"/>
        <w:numPr>
          <w:ilvl w:val="0"/>
          <w:numId w:val="0"/>
        </w:numPr>
        <w:tabs>
          <w:tab w:val="left" w:pos="1304"/>
        </w:tabs>
        <w:spacing w:after="0"/>
        <w:ind w:left="851"/>
        <w:rPr>
          <w:rFonts w:ascii="Times New Roman" w:hAnsi="Times New Roman"/>
          <w:i/>
          <w:szCs w:val="24"/>
        </w:rPr>
      </w:pPr>
      <w:r w:rsidRPr="002E06A9">
        <w:rPr>
          <w:rFonts w:ascii="Times New Roman" w:hAnsi="Times New Roman"/>
          <w:szCs w:val="24"/>
        </w:rPr>
        <w:t>Ved anvendelse i kombineret behandling med LCL i READY-3 var responset (0 eller 1 opnået på GL</w:t>
      </w:r>
      <w:r w:rsidRPr="002E06A9">
        <w:rPr>
          <w:rFonts w:ascii="Times New Roman" w:hAnsi="Times New Roman"/>
          <w:szCs w:val="24"/>
        </w:rPr>
        <w:noBreakHyphen/>
        <w:t>ILA ved maksimal panderynken) statistisk signifikant højere (nominel p &lt; 0,001) i Relfydess GL-/Relfydess LCL-gruppen end i placebo GL-/placebo LCL-gruppen i alle 6 måneder efter behandling.</w:t>
      </w:r>
    </w:p>
    <w:p w14:paraId="12CEF5A3" w14:textId="77777777" w:rsidR="002E06A9" w:rsidRPr="002E06A9" w:rsidRDefault="002E06A9" w:rsidP="002E06A9">
      <w:pPr>
        <w:pStyle w:val="Opstilling-punkttegn2"/>
        <w:numPr>
          <w:ilvl w:val="0"/>
          <w:numId w:val="0"/>
        </w:numPr>
        <w:tabs>
          <w:tab w:val="left" w:pos="1304"/>
        </w:tabs>
        <w:ind w:left="851"/>
        <w:rPr>
          <w:rFonts w:ascii="Times New Roman" w:hAnsi="Times New Roman"/>
          <w:b/>
          <w:bCs/>
          <w:i/>
          <w:szCs w:val="24"/>
          <w:lang w:val="sv-SE" w:eastAsia="en-US"/>
        </w:rPr>
      </w:pPr>
    </w:p>
    <w:p w14:paraId="28B222E4" w14:textId="77777777" w:rsidR="002E06A9" w:rsidRPr="002E06A9" w:rsidRDefault="002E06A9" w:rsidP="002E06A9">
      <w:pPr>
        <w:pStyle w:val="Opstilling-punkttegn2"/>
        <w:keepNext/>
        <w:numPr>
          <w:ilvl w:val="0"/>
          <w:numId w:val="0"/>
        </w:numPr>
        <w:tabs>
          <w:tab w:val="left" w:pos="1304"/>
        </w:tabs>
        <w:ind w:left="851"/>
        <w:rPr>
          <w:rFonts w:ascii="Times New Roman" w:hAnsi="Times New Roman"/>
          <w:b/>
          <w:bCs/>
          <w:i/>
          <w:szCs w:val="24"/>
        </w:rPr>
      </w:pPr>
      <w:r w:rsidRPr="002E06A9">
        <w:rPr>
          <w:rFonts w:ascii="Times New Roman" w:hAnsi="Times New Roman"/>
          <w:b/>
          <w:i/>
          <w:szCs w:val="24"/>
        </w:rPr>
        <w:t>Rynker i laterale canthus (READY</w:t>
      </w:r>
      <w:r w:rsidRPr="002E06A9">
        <w:rPr>
          <w:rFonts w:ascii="Times New Roman" w:hAnsi="Times New Roman"/>
          <w:b/>
          <w:i/>
          <w:szCs w:val="24"/>
        </w:rPr>
        <w:noBreakHyphen/>
        <w:t>2 og READY</w:t>
      </w:r>
      <w:r w:rsidRPr="002E06A9">
        <w:rPr>
          <w:rFonts w:ascii="Times New Roman" w:hAnsi="Times New Roman"/>
          <w:b/>
          <w:i/>
          <w:szCs w:val="24"/>
        </w:rPr>
        <w:noBreakHyphen/>
        <w:t>3)</w:t>
      </w:r>
    </w:p>
    <w:p w14:paraId="49064C19" w14:textId="77777777" w:rsidR="002E06A9" w:rsidRPr="002E06A9" w:rsidRDefault="002E06A9" w:rsidP="002E06A9">
      <w:pPr>
        <w:pStyle w:val="Opstilling-punkttegn2"/>
        <w:numPr>
          <w:ilvl w:val="0"/>
          <w:numId w:val="0"/>
        </w:numPr>
        <w:tabs>
          <w:tab w:val="left" w:pos="1304"/>
        </w:tabs>
        <w:ind w:left="851"/>
        <w:rPr>
          <w:rFonts w:ascii="Times New Roman" w:hAnsi="Times New Roman"/>
          <w:szCs w:val="24"/>
        </w:rPr>
      </w:pPr>
      <w:r w:rsidRPr="002E06A9">
        <w:rPr>
          <w:rFonts w:ascii="Times New Roman" w:hAnsi="Times New Roman"/>
          <w:szCs w:val="24"/>
        </w:rPr>
        <w:t>I to pivotale, dobbeltblinde, placebokontrollerede multicenterstudier i fase III blev 471 patienter behandlet i LCL i den anbefalede dosis på 60 enheder. I READY</w:t>
      </w:r>
      <w:r w:rsidRPr="002E06A9">
        <w:rPr>
          <w:rFonts w:ascii="Times New Roman" w:hAnsi="Times New Roman"/>
          <w:szCs w:val="24"/>
        </w:rPr>
        <w:noBreakHyphen/>
        <w:t xml:space="preserve">2 blev kun </w:t>
      </w:r>
      <w:r w:rsidRPr="002E06A9">
        <w:rPr>
          <w:rFonts w:ascii="Times New Roman" w:hAnsi="Times New Roman"/>
          <w:szCs w:val="24"/>
        </w:rPr>
        <w:lastRenderedPageBreak/>
        <w:t>behandling af LCL med Relfydess undersøgt. I READY</w:t>
      </w:r>
      <w:r w:rsidRPr="002E06A9">
        <w:rPr>
          <w:rFonts w:ascii="Times New Roman" w:hAnsi="Times New Roman"/>
          <w:szCs w:val="24"/>
        </w:rPr>
        <w:noBreakHyphen/>
        <w:t xml:space="preserve">3 blev kombineret behandling af GL og LCL undersøgt. </w:t>
      </w:r>
    </w:p>
    <w:p w14:paraId="11A22F4E" w14:textId="77777777" w:rsidR="002E06A9" w:rsidRPr="002E06A9" w:rsidRDefault="002E06A9" w:rsidP="002E06A9">
      <w:pPr>
        <w:ind w:left="851" w:right="-2"/>
        <w:rPr>
          <w:sz w:val="24"/>
          <w:szCs w:val="24"/>
        </w:rPr>
      </w:pPr>
      <w:r w:rsidRPr="002E06A9">
        <w:rPr>
          <w:sz w:val="24"/>
          <w:szCs w:val="24"/>
        </w:rPr>
        <w:t>Det primære effektmål var andelen af patienter, som var respondere, defineret som en opnået score på 0 eller 1 i sværhedsgraden af rynker i laterale canthus på LCL</w:t>
      </w:r>
      <w:r w:rsidRPr="002E06A9">
        <w:rPr>
          <w:sz w:val="24"/>
          <w:szCs w:val="24"/>
        </w:rPr>
        <w:noBreakHyphen/>
        <w:t>ILA 4</w:t>
      </w:r>
      <w:r w:rsidRPr="002E06A9">
        <w:rPr>
          <w:sz w:val="24"/>
          <w:szCs w:val="24"/>
        </w:rPr>
        <w:noBreakHyphen/>
        <w:t>Point Photographic Scale (LCL Investigator Live Assessment) ved maksimal smilen ved besøget i måned 1. Patienter med kraftig slaphed i huden i behandlingsområdet eller det periorbitale område var udelukket fra studiet. Andelen af respondere var statistisk signifikant større (p &lt; 0,001) i Relfydess-gruppen end i placebogruppen efter 1 måned (tabel 6).</w:t>
      </w:r>
    </w:p>
    <w:p w14:paraId="15FD7D1C" w14:textId="77777777" w:rsidR="002E06A9" w:rsidRDefault="002E06A9" w:rsidP="002E06A9"/>
    <w:p w14:paraId="38B5505F" w14:textId="77777777" w:rsidR="002E06A9" w:rsidRDefault="002E06A9" w:rsidP="002E06A9">
      <w:pPr>
        <w:keepNext/>
        <w:keepLines/>
        <w:ind w:left="1080" w:hanging="1080"/>
        <w:rPr>
          <w:b/>
          <w:bCs/>
          <w:szCs w:val="22"/>
        </w:rPr>
      </w:pPr>
      <w:r>
        <w:rPr>
          <w:b/>
        </w:rPr>
        <w:t>Tabel 6:</w:t>
      </w:r>
      <w:r>
        <w:rPr>
          <w:b/>
        </w:rPr>
        <w:tab/>
        <w:t>Investigators vurdering af behandlingen af rynker i laterale canthus</w:t>
      </w:r>
      <w:r>
        <w:rPr>
          <w:b/>
          <w:vertAlign w:val="superscript"/>
        </w:rPr>
        <w:t>a</w:t>
      </w:r>
      <w:r>
        <w:rPr>
          <w:b/>
        </w:rPr>
        <w:t xml:space="preserve"> (procentandel og antal patienter) i måned 1</w:t>
      </w:r>
      <w:r>
        <w:rPr>
          <w:b/>
          <w:vertAlign w:val="superscript"/>
        </w:rPr>
        <w:t>b</w:t>
      </w:r>
      <w:r>
        <w:rPr>
          <w:b/>
        </w:rPr>
        <w:t xml:space="preserve"> i mITT-populationen i de dobbeltblinde, placebokontrollerede kliniske studier</w:t>
      </w:r>
      <w:r>
        <w:rPr>
          <w:b/>
          <w:vertAlign w:val="superscript"/>
        </w:rPr>
        <w:t>c</w:t>
      </w:r>
      <w:r>
        <w:rPr>
          <w:b/>
        </w:rPr>
        <w:t>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3"/>
        <w:gridCol w:w="2392"/>
        <w:gridCol w:w="2392"/>
        <w:gridCol w:w="2445"/>
      </w:tblGrid>
      <w:tr w:rsidR="002E06A9" w14:paraId="1EFBAFAF" w14:textId="77777777" w:rsidTr="002E06A9">
        <w:trPr>
          <w:jc w:val="center"/>
        </w:trPr>
        <w:tc>
          <w:tcPr>
            <w:tcW w:w="2040" w:type="dxa"/>
            <w:tcBorders>
              <w:top w:val="single" w:sz="6" w:space="0" w:color="auto"/>
              <w:left w:val="single" w:sz="6" w:space="0" w:color="auto"/>
              <w:bottom w:val="single" w:sz="6" w:space="0" w:color="auto"/>
              <w:right w:val="single" w:sz="6" w:space="0" w:color="auto"/>
            </w:tcBorders>
            <w:hideMark/>
          </w:tcPr>
          <w:p w14:paraId="1ED92501" w14:textId="77777777" w:rsidR="002E06A9" w:rsidRDefault="002E06A9">
            <w:pPr>
              <w:tabs>
                <w:tab w:val="left" w:pos="1304"/>
              </w:tabs>
              <w:textAlignment w:val="baseline"/>
              <w:rPr>
                <w:rFonts w:ascii="Segoe UI" w:hAnsi="Segoe UI" w:cs="Segoe UI"/>
                <w:szCs w:val="22"/>
              </w:rPr>
            </w:pPr>
            <w:r>
              <w:rPr>
                <w:b/>
              </w:rPr>
              <w:t>Studie </w:t>
            </w:r>
            <w:r>
              <w:t> </w:t>
            </w:r>
          </w:p>
        </w:tc>
        <w:tc>
          <w:tcPr>
            <w:tcW w:w="2040" w:type="dxa"/>
            <w:tcBorders>
              <w:top w:val="single" w:sz="6" w:space="0" w:color="auto"/>
              <w:left w:val="single" w:sz="6" w:space="0" w:color="auto"/>
              <w:bottom w:val="single" w:sz="6" w:space="0" w:color="auto"/>
              <w:right w:val="single" w:sz="6" w:space="0" w:color="auto"/>
            </w:tcBorders>
            <w:hideMark/>
          </w:tcPr>
          <w:p w14:paraId="0B6D5EB3" w14:textId="77777777" w:rsidR="002E06A9" w:rsidRDefault="002E06A9">
            <w:pPr>
              <w:tabs>
                <w:tab w:val="left" w:pos="1304"/>
              </w:tabs>
              <w:jc w:val="center"/>
              <w:textAlignment w:val="baseline"/>
              <w:rPr>
                <w:rFonts w:ascii="Segoe UI" w:hAnsi="Segoe UI" w:cs="Segoe UI"/>
                <w:szCs w:val="22"/>
              </w:rPr>
            </w:pPr>
            <w:r>
              <w:rPr>
                <w:b/>
              </w:rPr>
              <w:t>Relfydess 60 enheder LCL </w:t>
            </w:r>
          </w:p>
        </w:tc>
        <w:tc>
          <w:tcPr>
            <w:tcW w:w="2040" w:type="dxa"/>
            <w:tcBorders>
              <w:top w:val="single" w:sz="6" w:space="0" w:color="auto"/>
              <w:left w:val="single" w:sz="6" w:space="0" w:color="auto"/>
              <w:bottom w:val="single" w:sz="6" w:space="0" w:color="auto"/>
              <w:right w:val="single" w:sz="6" w:space="0" w:color="auto"/>
            </w:tcBorders>
            <w:hideMark/>
          </w:tcPr>
          <w:p w14:paraId="7DD6A981" w14:textId="77777777" w:rsidR="002E06A9" w:rsidRDefault="002E06A9">
            <w:pPr>
              <w:tabs>
                <w:tab w:val="left" w:pos="1304"/>
              </w:tabs>
              <w:jc w:val="center"/>
              <w:textAlignment w:val="baseline"/>
              <w:rPr>
                <w:rFonts w:ascii="Segoe UI" w:hAnsi="Segoe UI" w:cs="Segoe UI"/>
                <w:szCs w:val="22"/>
              </w:rPr>
            </w:pPr>
            <w:r>
              <w:rPr>
                <w:b/>
              </w:rPr>
              <w:t>Relfydess 60 enheder LCL og 50 enheder GL </w:t>
            </w:r>
          </w:p>
        </w:tc>
        <w:tc>
          <w:tcPr>
            <w:tcW w:w="2085" w:type="dxa"/>
            <w:tcBorders>
              <w:top w:val="single" w:sz="6" w:space="0" w:color="auto"/>
              <w:left w:val="single" w:sz="6" w:space="0" w:color="auto"/>
              <w:bottom w:val="single" w:sz="6" w:space="0" w:color="auto"/>
              <w:right w:val="single" w:sz="6" w:space="0" w:color="auto"/>
            </w:tcBorders>
            <w:hideMark/>
          </w:tcPr>
          <w:p w14:paraId="2F31A7B6" w14:textId="77777777" w:rsidR="002E06A9" w:rsidRDefault="002E06A9">
            <w:pPr>
              <w:tabs>
                <w:tab w:val="left" w:pos="1304"/>
              </w:tabs>
              <w:jc w:val="center"/>
              <w:textAlignment w:val="baseline"/>
              <w:rPr>
                <w:rFonts w:ascii="Segoe UI" w:hAnsi="Segoe UI" w:cs="Segoe UI"/>
                <w:szCs w:val="22"/>
              </w:rPr>
            </w:pPr>
            <w:r>
              <w:rPr>
                <w:b/>
              </w:rPr>
              <w:t>Placebo </w:t>
            </w:r>
          </w:p>
        </w:tc>
      </w:tr>
      <w:tr w:rsidR="002E06A9" w14:paraId="2BA1A3E1" w14:textId="77777777" w:rsidTr="002E06A9">
        <w:trPr>
          <w:jc w:val="center"/>
        </w:trPr>
        <w:tc>
          <w:tcPr>
            <w:tcW w:w="2040" w:type="dxa"/>
            <w:tcBorders>
              <w:top w:val="single" w:sz="6" w:space="0" w:color="auto"/>
              <w:left w:val="single" w:sz="6" w:space="0" w:color="auto"/>
              <w:bottom w:val="single" w:sz="6" w:space="0" w:color="auto"/>
              <w:right w:val="single" w:sz="6" w:space="0" w:color="auto"/>
            </w:tcBorders>
            <w:hideMark/>
          </w:tcPr>
          <w:p w14:paraId="388F99C0" w14:textId="77777777" w:rsidR="002E06A9" w:rsidRDefault="002E06A9">
            <w:pPr>
              <w:tabs>
                <w:tab w:val="left" w:pos="1304"/>
              </w:tabs>
              <w:textAlignment w:val="baseline"/>
              <w:rPr>
                <w:rFonts w:ascii="Segoe UI" w:hAnsi="Segoe UI" w:cs="Segoe UI"/>
                <w:szCs w:val="22"/>
              </w:rPr>
            </w:pPr>
            <w:r>
              <w:t>READY</w:t>
            </w:r>
            <w:r>
              <w:noBreakHyphen/>
              <w:t>2, kun LCL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80A3808" w14:textId="77777777" w:rsidR="002E06A9" w:rsidRDefault="002E06A9">
            <w:pPr>
              <w:tabs>
                <w:tab w:val="left" w:pos="1304"/>
              </w:tabs>
              <w:jc w:val="center"/>
              <w:textAlignment w:val="baseline"/>
              <w:rPr>
                <w:rFonts w:ascii="Segoe UI" w:hAnsi="Segoe UI" w:cs="Segoe UI"/>
                <w:szCs w:val="22"/>
              </w:rPr>
            </w:pPr>
            <w:r>
              <w:t>87,2%  </w:t>
            </w:r>
            <w:r>
              <w:br/>
              <w:t>N = 204</w:t>
            </w:r>
          </w:p>
        </w:tc>
        <w:tc>
          <w:tcPr>
            <w:tcW w:w="2040" w:type="dxa"/>
            <w:tcBorders>
              <w:top w:val="single" w:sz="6" w:space="0" w:color="auto"/>
              <w:left w:val="single" w:sz="6" w:space="0" w:color="auto"/>
              <w:bottom w:val="single" w:sz="6" w:space="0" w:color="auto"/>
              <w:right w:val="single" w:sz="6" w:space="0" w:color="auto"/>
            </w:tcBorders>
            <w:vAlign w:val="center"/>
            <w:hideMark/>
          </w:tcPr>
          <w:p w14:paraId="3B149094" w14:textId="77777777" w:rsidR="002E06A9" w:rsidRDefault="002E06A9">
            <w:pPr>
              <w:tabs>
                <w:tab w:val="left" w:pos="1304"/>
              </w:tabs>
              <w:jc w:val="center"/>
              <w:textAlignment w:val="baseline"/>
              <w:rPr>
                <w:rFonts w:ascii="Segoe UI" w:hAnsi="Segoe UI" w:cs="Segoe UI"/>
                <w:szCs w:val="22"/>
              </w:rPr>
            </w:pPr>
            <w:r>
              <w:t>- </w:t>
            </w:r>
          </w:p>
        </w:tc>
        <w:tc>
          <w:tcPr>
            <w:tcW w:w="2085" w:type="dxa"/>
            <w:tcBorders>
              <w:top w:val="single" w:sz="6" w:space="0" w:color="auto"/>
              <w:left w:val="single" w:sz="6" w:space="0" w:color="auto"/>
              <w:bottom w:val="single" w:sz="6" w:space="0" w:color="auto"/>
              <w:right w:val="single" w:sz="6" w:space="0" w:color="auto"/>
            </w:tcBorders>
            <w:vAlign w:val="center"/>
            <w:hideMark/>
          </w:tcPr>
          <w:p w14:paraId="1EFB5968" w14:textId="77777777" w:rsidR="002E06A9" w:rsidRDefault="002E06A9">
            <w:pPr>
              <w:tabs>
                <w:tab w:val="left" w:pos="1304"/>
              </w:tabs>
              <w:jc w:val="center"/>
              <w:textAlignment w:val="baseline"/>
              <w:rPr>
                <w:rFonts w:ascii="Segoe UI" w:hAnsi="Segoe UI" w:cs="Segoe UI"/>
                <w:szCs w:val="22"/>
              </w:rPr>
            </w:pPr>
            <w:r>
              <w:t>11,9%  </w:t>
            </w:r>
            <w:r>
              <w:br/>
              <w:t>N = 69</w:t>
            </w:r>
          </w:p>
        </w:tc>
      </w:tr>
      <w:tr w:rsidR="002E06A9" w14:paraId="7B058A3C" w14:textId="77777777" w:rsidTr="002E06A9">
        <w:trPr>
          <w:jc w:val="center"/>
        </w:trPr>
        <w:tc>
          <w:tcPr>
            <w:tcW w:w="2040" w:type="dxa"/>
            <w:tcBorders>
              <w:top w:val="single" w:sz="6" w:space="0" w:color="auto"/>
              <w:left w:val="single" w:sz="6" w:space="0" w:color="auto"/>
              <w:bottom w:val="single" w:sz="6" w:space="0" w:color="auto"/>
              <w:right w:val="single" w:sz="6" w:space="0" w:color="auto"/>
            </w:tcBorders>
            <w:hideMark/>
          </w:tcPr>
          <w:p w14:paraId="7318B1F2" w14:textId="77777777" w:rsidR="002E06A9" w:rsidRDefault="002E06A9">
            <w:pPr>
              <w:tabs>
                <w:tab w:val="left" w:pos="1304"/>
              </w:tabs>
              <w:textAlignment w:val="baseline"/>
              <w:rPr>
                <w:rFonts w:ascii="Segoe UI" w:hAnsi="Segoe UI" w:cs="Segoe UI"/>
                <w:szCs w:val="22"/>
              </w:rPr>
            </w:pPr>
            <w:r>
              <w:t>READY</w:t>
            </w:r>
            <w:r>
              <w:noBreakHyphen/>
              <w:t>3, LCL og GL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156F8E7F" w14:textId="77777777" w:rsidR="002E06A9" w:rsidRDefault="002E06A9">
            <w:pPr>
              <w:tabs>
                <w:tab w:val="left" w:pos="1304"/>
              </w:tabs>
              <w:jc w:val="center"/>
              <w:textAlignment w:val="baseline"/>
              <w:rPr>
                <w:rFonts w:ascii="Segoe UI" w:hAnsi="Segoe UI" w:cs="Segoe UI"/>
                <w:szCs w:val="22"/>
              </w:rPr>
            </w:pPr>
            <w:r>
              <w:t>78,1% </w:t>
            </w:r>
            <w:r>
              <w:br/>
              <w:t>N = 117 </w:t>
            </w:r>
          </w:p>
        </w:tc>
        <w:tc>
          <w:tcPr>
            <w:tcW w:w="2040" w:type="dxa"/>
            <w:tcBorders>
              <w:top w:val="single" w:sz="6" w:space="0" w:color="auto"/>
              <w:left w:val="single" w:sz="6" w:space="0" w:color="auto"/>
              <w:bottom w:val="single" w:sz="6" w:space="0" w:color="auto"/>
              <w:right w:val="single" w:sz="6" w:space="0" w:color="auto"/>
            </w:tcBorders>
            <w:vAlign w:val="center"/>
            <w:hideMark/>
          </w:tcPr>
          <w:p w14:paraId="73BA6218" w14:textId="77777777" w:rsidR="002E06A9" w:rsidRDefault="002E06A9">
            <w:pPr>
              <w:tabs>
                <w:tab w:val="left" w:pos="1304"/>
              </w:tabs>
              <w:jc w:val="center"/>
              <w:textAlignment w:val="baseline"/>
              <w:rPr>
                <w:rFonts w:ascii="Segoe UI" w:hAnsi="Segoe UI" w:cs="Segoe UI"/>
                <w:szCs w:val="22"/>
              </w:rPr>
            </w:pPr>
            <w:r>
              <w:t>83,3%</w:t>
            </w:r>
            <w:r>
              <w:br/>
              <w:t>N = 108 </w:t>
            </w:r>
          </w:p>
        </w:tc>
        <w:tc>
          <w:tcPr>
            <w:tcW w:w="2085" w:type="dxa"/>
            <w:tcBorders>
              <w:top w:val="single" w:sz="6" w:space="0" w:color="auto"/>
              <w:left w:val="single" w:sz="6" w:space="0" w:color="auto"/>
              <w:bottom w:val="single" w:sz="6" w:space="0" w:color="auto"/>
              <w:right w:val="single" w:sz="6" w:space="0" w:color="auto"/>
            </w:tcBorders>
            <w:vAlign w:val="center"/>
            <w:hideMark/>
          </w:tcPr>
          <w:p w14:paraId="50522941" w14:textId="77777777" w:rsidR="002E06A9" w:rsidRDefault="002E06A9">
            <w:pPr>
              <w:tabs>
                <w:tab w:val="left" w:pos="1304"/>
              </w:tabs>
              <w:jc w:val="center"/>
              <w:textAlignment w:val="baseline"/>
              <w:rPr>
                <w:rFonts w:ascii="Segoe UI" w:hAnsi="Segoe UI" w:cs="Segoe UI"/>
                <w:szCs w:val="22"/>
              </w:rPr>
            </w:pPr>
            <w:r>
              <w:t>19,3%</w:t>
            </w:r>
            <w:r>
              <w:br/>
              <w:t>N = 55 </w:t>
            </w:r>
          </w:p>
        </w:tc>
      </w:tr>
    </w:tbl>
    <w:p w14:paraId="1E952805" w14:textId="0FA6AC04" w:rsidR="002E06A9" w:rsidRDefault="002E06A9" w:rsidP="002E06A9">
      <w:pPr>
        <w:pStyle w:val="paragraph"/>
        <w:spacing w:before="0" w:beforeAutospacing="0" w:after="0" w:afterAutospacing="0"/>
        <w:textAlignment w:val="baseline"/>
        <w:rPr>
          <w:rFonts w:ascii="Segoe UI" w:hAnsi="Segoe UI" w:cs="Segoe UI"/>
          <w:sz w:val="18"/>
          <w:szCs w:val="18"/>
        </w:rPr>
      </w:pPr>
      <w:r>
        <w:rPr>
          <w:rStyle w:val="normaltextrun"/>
          <w:sz w:val="18"/>
          <w:vertAlign w:val="superscript"/>
        </w:rPr>
        <w:t>a</w:t>
      </w:r>
      <w:r w:rsidR="0099377E">
        <w:rPr>
          <w:rStyle w:val="normaltextrun"/>
          <w:sz w:val="18"/>
          <w:vertAlign w:val="superscript"/>
        </w:rPr>
        <w:t xml:space="preserve"> </w:t>
      </w:r>
      <w:r>
        <w:rPr>
          <w:rStyle w:val="normaltextrun"/>
          <w:sz w:val="18"/>
        </w:rPr>
        <w:t>Opnåede en score på 0 (ingen) eller 1 (let) i sværhedsgraden af LCL på LCL</w:t>
      </w:r>
      <w:r>
        <w:rPr>
          <w:rStyle w:val="normaltextrun"/>
          <w:sz w:val="18"/>
        </w:rPr>
        <w:noBreakHyphen/>
        <w:t>ILA</w:t>
      </w:r>
      <w:r>
        <w:rPr>
          <w:rStyle w:val="eop"/>
          <w:sz w:val="18"/>
        </w:rPr>
        <w:t> </w:t>
      </w:r>
    </w:p>
    <w:p w14:paraId="5B2D03FC" w14:textId="0821C94F" w:rsidR="002E06A9" w:rsidRDefault="002E06A9" w:rsidP="002E06A9">
      <w:pPr>
        <w:pStyle w:val="paragraph"/>
        <w:spacing w:before="0" w:beforeAutospacing="0" w:after="0" w:afterAutospacing="0"/>
        <w:textAlignment w:val="baseline"/>
        <w:rPr>
          <w:rStyle w:val="normaltextrun"/>
        </w:rPr>
      </w:pPr>
      <w:r>
        <w:rPr>
          <w:rStyle w:val="normaltextrun"/>
          <w:sz w:val="18"/>
          <w:vertAlign w:val="superscript"/>
        </w:rPr>
        <w:t>b</w:t>
      </w:r>
      <w:r w:rsidR="0099377E">
        <w:rPr>
          <w:rStyle w:val="normaltextrun"/>
          <w:sz w:val="18"/>
          <w:vertAlign w:val="superscript"/>
        </w:rPr>
        <w:t xml:space="preserve"> </w:t>
      </w:r>
      <w:r>
        <w:rPr>
          <w:rStyle w:val="normaltextrun"/>
          <w:sz w:val="18"/>
        </w:rPr>
        <w:t>Primært effekt-endemål på dag 30; p &lt; 0,001</w:t>
      </w:r>
    </w:p>
    <w:p w14:paraId="68FEAEEA" w14:textId="1334837D" w:rsidR="002E06A9" w:rsidRDefault="002E06A9" w:rsidP="002E06A9">
      <w:pPr>
        <w:pStyle w:val="paragraph"/>
        <w:spacing w:before="0" w:beforeAutospacing="0" w:after="0" w:afterAutospacing="0"/>
        <w:textAlignment w:val="baseline"/>
        <w:rPr>
          <w:rFonts w:ascii="Segoe UI" w:hAnsi="Segoe UI" w:cs="Segoe UI"/>
          <w:sz w:val="16"/>
          <w:szCs w:val="16"/>
        </w:rPr>
      </w:pPr>
      <w:r>
        <w:rPr>
          <w:rStyle w:val="normaltextrun"/>
          <w:sz w:val="22"/>
          <w:vertAlign w:val="superscript"/>
        </w:rPr>
        <w:t>c</w:t>
      </w:r>
      <w:r w:rsidR="0099377E">
        <w:rPr>
          <w:rStyle w:val="normaltextrun"/>
          <w:sz w:val="22"/>
          <w:vertAlign w:val="superscript"/>
        </w:rPr>
        <w:t xml:space="preserve"> </w:t>
      </w:r>
      <w:r>
        <w:rPr>
          <w:rStyle w:val="normaltextrun"/>
          <w:sz w:val="18"/>
        </w:rPr>
        <w:t>Den modificerede intention-to-treat-population (mITT-populationen) omfattede alle patienter, der var randomiseret og havde fået forsøgsproduktet, og som blev analyseret i henhold til randomiseringsplanen. Patienter med en vurdering (fotografisk og kategorimæssig skala) vurdering ved måned 1 via eksternt besøg var udelukket fra mITT-populationen.</w:t>
      </w:r>
      <w:r>
        <w:rPr>
          <w:rStyle w:val="eop"/>
          <w:sz w:val="16"/>
        </w:rPr>
        <w:t> </w:t>
      </w:r>
    </w:p>
    <w:p w14:paraId="0D893515" w14:textId="77777777" w:rsidR="002E06A9" w:rsidRPr="002E06A9" w:rsidRDefault="002E06A9" w:rsidP="002E06A9">
      <w:pPr>
        <w:ind w:left="851"/>
        <w:rPr>
          <w:sz w:val="24"/>
          <w:szCs w:val="24"/>
        </w:rPr>
      </w:pPr>
    </w:p>
    <w:p w14:paraId="63C61396" w14:textId="77777777" w:rsidR="002E06A9" w:rsidRPr="002E06A9" w:rsidRDefault="002E06A9" w:rsidP="002E06A9">
      <w:pPr>
        <w:pStyle w:val="Bodytext0-12"/>
        <w:spacing w:after="0"/>
        <w:ind w:left="851"/>
        <w:jc w:val="left"/>
        <w:rPr>
          <w:color w:val="auto"/>
        </w:rPr>
      </w:pPr>
      <w:r w:rsidRPr="002E06A9">
        <w:t>Hos patienter i READY-2 var responset (0 eller 1 opnået på LCL-ILA ved maksimal smilen) statistisk signifikant større med Relfydess end med placebo fra dag 7 til og med 6 måneder frem (p &lt; 0,002) som vist i tabel 7.</w:t>
      </w:r>
    </w:p>
    <w:p w14:paraId="40EA3ABB" w14:textId="77777777" w:rsidR="002E06A9" w:rsidRPr="002E06A9" w:rsidRDefault="002E06A9" w:rsidP="002E06A9">
      <w:pPr>
        <w:pStyle w:val="Bodytext0-12"/>
        <w:spacing w:after="0"/>
        <w:ind w:left="851"/>
        <w:jc w:val="left"/>
        <w:rPr>
          <w:color w:val="auto"/>
        </w:rPr>
      </w:pPr>
    </w:p>
    <w:p w14:paraId="74DBFE95" w14:textId="77777777" w:rsidR="002E06A9" w:rsidRDefault="002E06A9" w:rsidP="002E06A9">
      <w:pPr>
        <w:keepNext/>
        <w:keepLines/>
        <w:ind w:left="1080" w:hanging="1080"/>
        <w:rPr>
          <w:b/>
          <w:bCs/>
          <w:sz w:val="22"/>
          <w:szCs w:val="22"/>
        </w:rPr>
      </w:pPr>
      <w:r>
        <w:rPr>
          <w:b/>
        </w:rPr>
        <w:t>Tabel 7:</w:t>
      </w:r>
      <w:r>
        <w:rPr>
          <w:b/>
        </w:rPr>
        <w:tab/>
        <w:t>READY-2, Investigator Live Assessment (ILA) af LCL's sværhedsgrad – responderrater</w:t>
      </w:r>
      <w:r>
        <w:rPr>
          <w:b/>
          <w:vertAlign w:val="superscript"/>
        </w:rPr>
        <w:t>a</w:t>
      </w:r>
      <w:r>
        <w:rPr>
          <w:b/>
        </w:rPr>
        <w:t xml:space="preserve"> (%) efter injektion, ITT-population</w:t>
      </w:r>
      <w:r>
        <w:rPr>
          <w:b/>
          <w:vertAlign w:val="superscript"/>
        </w:rPr>
        <w:t>b</w:t>
      </w:r>
    </w:p>
    <w:tbl>
      <w:tblPr>
        <w:tblStyle w:val="Tabel-Gitter"/>
        <w:tblW w:w="5000" w:type="pct"/>
        <w:jc w:val="center"/>
        <w:tblInd w:w="0" w:type="dxa"/>
        <w:tblLook w:val="04A0" w:firstRow="1" w:lastRow="0" w:firstColumn="1" w:lastColumn="0" w:noHBand="0" w:noVBand="1"/>
      </w:tblPr>
      <w:tblGrid>
        <w:gridCol w:w="5191"/>
        <w:gridCol w:w="2311"/>
        <w:gridCol w:w="2126"/>
      </w:tblGrid>
      <w:tr w:rsidR="002E06A9" w14:paraId="5475E167" w14:textId="77777777" w:rsidTr="002E06A9">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6C2947D"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Tidspunkt</w:t>
            </w:r>
          </w:p>
          <w:p w14:paraId="61C74AB6"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Efter injektion</w:t>
            </w:r>
          </w:p>
        </w:tc>
        <w:tc>
          <w:tcPr>
            <w:tcW w:w="2311" w:type="dxa"/>
            <w:tcBorders>
              <w:top w:val="single" w:sz="4" w:space="0" w:color="auto"/>
              <w:left w:val="single" w:sz="4" w:space="0" w:color="auto"/>
              <w:bottom w:val="single" w:sz="4" w:space="0" w:color="auto"/>
              <w:right w:val="single" w:sz="4" w:space="0" w:color="auto"/>
            </w:tcBorders>
            <w:hideMark/>
          </w:tcPr>
          <w:p w14:paraId="358A1703"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Relfydess</w:t>
            </w:r>
          </w:p>
          <w:p w14:paraId="0DA1A157"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(N=230)</w:t>
            </w:r>
          </w:p>
        </w:tc>
        <w:tc>
          <w:tcPr>
            <w:tcW w:w="2126" w:type="dxa"/>
            <w:tcBorders>
              <w:top w:val="single" w:sz="4" w:space="0" w:color="auto"/>
              <w:left w:val="single" w:sz="4" w:space="0" w:color="auto"/>
              <w:bottom w:val="single" w:sz="4" w:space="0" w:color="auto"/>
              <w:right w:val="single" w:sz="4" w:space="0" w:color="auto"/>
            </w:tcBorders>
            <w:hideMark/>
          </w:tcPr>
          <w:p w14:paraId="0CB73284"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Placebo</w:t>
            </w:r>
          </w:p>
          <w:p w14:paraId="6B19B65C"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(N=73)</w:t>
            </w:r>
          </w:p>
        </w:tc>
      </w:tr>
      <w:tr w:rsidR="002E06A9" w14:paraId="22A1F4B3" w14:textId="77777777" w:rsidTr="002E06A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52188" w14:textId="77777777" w:rsidR="002E06A9" w:rsidRDefault="002E06A9">
            <w:pPr>
              <w:rPr>
                <w:b/>
                <w:bCs/>
                <w:sz w:val="22"/>
                <w:szCs w:val="22"/>
                <w:lang w:eastAsia="en-CA"/>
              </w:rPr>
            </w:pPr>
          </w:p>
        </w:tc>
        <w:tc>
          <w:tcPr>
            <w:tcW w:w="2311" w:type="dxa"/>
            <w:tcBorders>
              <w:top w:val="single" w:sz="4" w:space="0" w:color="auto"/>
              <w:left w:val="single" w:sz="4" w:space="0" w:color="auto"/>
              <w:bottom w:val="single" w:sz="4" w:space="0" w:color="auto"/>
              <w:right w:val="single" w:sz="4" w:space="0" w:color="auto"/>
            </w:tcBorders>
            <w:hideMark/>
          </w:tcPr>
          <w:p w14:paraId="61F43492"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LCL-ILA</w:t>
            </w:r>
          </w:p>
        </w:tc>
        <w:tc>
          <w:tcPr>
            <w:tcW w:w="2126" w:type="dxa"/>
            <w:tcBorders>
              <w:top w:val="single" w:sz="4" w:space="0" w:color="auto"/>
              <w:left w:val="single" w:sz="4" w:space="0" w:color="auto"/>
              <w:bottom w:val="single" w:sz="4" w:space="0" w:color="auto"/>
              <w:right w:val="single" w:sz="4" w:space="0" w:color="auto"/>
            </w:tcBorders>
            <w:hideMark/>
          </w:tcPr>
          <w:p w14:paraId="7091C0E5" w14:textId="77777777" w:rsidR="002E06A9" w:rsidRDefault="002E06A9">
            <w:pPr>
              <w:pStyle w:val="Opstilling-punkttegn2"/>
              <w:numPr>
                <w:ilvl w:val="0"/>
                <w:numId w:val="0"/>
              </w:numPr>
              <w:tabs>
                <w:tab w:val="left" w:pos="1304"/>
              </w:tabs>
              <w:spacing w:after="0"/>
              <w:jc w:val="center"/>
              <w:rPr>
                <w:rFonts w:ascii="Times New Roman" w:hAnsi="Times New Roman"/>
                <w:b/>
                <w:bCs/>
                <w:sz w:val="22"/>
                <w:szCs w:val="22"/>
              </w:rPr>
            </w:pPr>
            <w:r>
              <w:rPr>
                <w:rFonts w:ascii="Times New Roman" w:hAnsi="Times New Roman"/>
                <w:b/>
                <w:sz w:val="22"/>
              </w:rPr>
              <w:t>LCL-ILA</w:t>
            </w:r>
          </w:p>
        </w:tc>
      </w:tr>
      <w:tr w:rsidR="002E06A9" w14:paraId="0821EED5"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3A3532E5"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Dag 7</w:t>
            </w:r>
          </w:p>
        </w:tc>
        <w:tc>
          <w:tcPr>
            <w:tcW w:w="2311" w:type="dxa"/>
            <w:tcBorders>
              <w:top w:val="single" w:sz="4" w:space="0" w:color="auto"/>
              <w:left w:val="single" w:sz="4" w:space="0" w:color="auto"/>
              <w:bottom w:val="single" w:sz="4" w:space="0" w:color="auto"/>
              <w:right w:val="single" w:sz="4" w:space="0" w:color="auto"/>
            </w:tcBorders>
            <w:hideMark/>
          </w:tcPr>
          <w:p w14:paraId="25EE5A0D"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82,5%</w:t>
            </w:r>
          </w:p>
        </w:tc>
        <w:tc>
          <w:tcPr>
            <w:tcW w:w="2126" w:type="dxa"/>
            <w:tcBorders>
              <w:top w:val="single" w:sz="4" w:space="0" w:color="auto"/>
              <w:left w:val="single" w:sz="4" w:space="0" w:color="auto"/>
              <w:bottom w:val="single" w:sz="4" w:space="0" w:color="auto"/>
              <w:right w:val="single" w:sz="4" w:space="0" w:color="auto"/>
            </w:tcBorders>
            <w:hideMark/>
          </w:tcPr>
          <w:p w14:paraId="44017CEA"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8,5%</w:t>
            </w:r>
          </w:p>
        </w:tc>
      </w:tr>
      <w:tr w:rsidR="002E06A9" w14:paraId="48C62060"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18D42258"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Dag 14</w:t>
            </w:r>
          </w:p>
        </w:tc>
        <w:tc>
          <w:tcPr>
            <w:tcW w:w="2311" w:type="dxa"/>
            <w:tcBorders>
              <w:top w:val="single" w:sz="4" w:space="0" w:color="auto"/>
              <w:left w:val="single" w:sz="4" w:space="0" w:color="auto"/>
              <w:bottom w:val="single" w:sz="4" w:space="0" w:color="auto"/>
              <w:right w:val="single" w:sz="4" w:space="0" w:color="auto"/>
            </w:tcBorders>
            <w:hideMark/>
          </w:tcPr>
          <w:p w14:paraId="1D364FF4"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89,7%</w:t>
            </w:r>
          </w:p>
        </w:tc>
        <w:tc>
          <w:tcPr>
            <w:tcW w:w="2126" w:type="dxa"/>
            <w:tcBorders>
              <w:top w:val="single" w:sz="4" w:space="0" w:color="auto"/>
              <w:left w:val="single" w:sz="4" w:space="0" w:color="auto"/>
              <w:bottom w:val="single" w:sz="4" w:space="0" w:color="auto"/>
              <w:right w:val="single" w:sz="4" w:space="0" w:color="auto"/>
            </w:tcBorders>
            <w:hideMark/>
          </w:tcPr>
          <w:p w14:paraId="47A61024"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11,4%</w:t>
            </w:r>
          </w:p>
        </w:tc>
      </w:tr>
      <w:tr w:rsidR="002E06A9" w14:paraId="1D50CE46"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73D4E0E8"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Måned 1</w:t>
            </w:r>
          </w:p>
        </w:tc>
        <w:tc>
          <w:tcPr>
            <w:tcW w:w="2311" w:type="dxa"/>
            <w:tcBorders>
              <w:top w:val="single" w:sz="4" w:space="0" w:color="auto"/>
              <w:left w:val="single" w:sz="4" w:space="0" w:color="auto"/>
              <w:bottom w:val="single" w:sz="4" w:space="0" w:color="auto"/>
              <w:right w:val="single" w:sz="4" w:space="0" w:color="auto"/>
            </w:tcBorders>
            <w:hideMark/>
          </w:tcPr>
          <w:p w14:paraId="48C522E9"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87,5%</w:t>
            </w:r>
          </w:p>
        </w:tc>
        <w:tc>
          <w:tcPr>
            <w:tcW w:w="2126" w:type="dxa"/>
            <w:tcBorders>
              <w:top w:val="single" w:sz="4" w:space="0" w:color="auto"/>
              <w:left w:val="single" w:sz="4" w:space="0" w:color="auto"/>
              <w:bottom w:val="single" w:sz="4" w:space="0" w:color="auto"/>
              <w:right w:val="single" w:sz="4" w:space="0" w:color="auto"/>
            </w:tcBorders>
            <w:hideMark/>
          </w:tcPr>
          <w:p w14:paraId="4DD91D95"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11,8%</w:t>
            </w:r>
          </w:p>
        </w:tc>
      </w:tr>
      <w:tr w:rsidR="002E06A9" w14:paraId="313D1AED"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4006118C"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Måned 2</w:t>
            </w:r>
          </w:p>
        </w:tc>
        <w:tc>
          <w:tcPr>
            <w:tcW w:w="2311" w:type="dxa"/>
            <w:tcBorders>
              <w:top w:val="single" w:sz="4" w:space="0" w:color="auto"/>
              <w:left w:val="single" w:sz="4" w:space="0" w:color="auto"/>
              <w:bottom w:val="single" w:sz="4" w:space="0" w:color="auto"/>
              <w:right w:val="single" w:sz="4" w:space="0" w:color="auto"/>
            </w:tcBorders>
            <w:hideMark/>
          </w:tcPr>
          <w:p w14:paraId="43DBF197"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76,3%</w:t>
            </w:r>
          </w:p>
        </w:tc>
        <w:tc>
          <w:tcPr>
            <w:tcW w:w="2126" w:type="dxa"/>
            <w:tcBorders>
              <w:top w:val="single" w:sz="4" w:space="0" w:color="auto"/>
              <w:left w:val="single" w:sz="4" w:space="0" w:color="auto"/>
              <w:bottom w:val="single" w:sz="4" w:space="0" w:color="auto"/>
              <w:right w:val="single" w:sz="4" w:space="0" w:color="auto"/>
            </w:tcBorders>
            <w:hideMark/>
          </w:tcPr>
          <w:p w14:paraId="67CFFD81"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14,3%</w:t>
            </w:r>
          </w:p>
        </w:tc>
      </w:tr>
      <w:tr w:rsidR="002E06A9" w14:paraId="35424185"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103EC081"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Måned 3</w:t>
            </w:r>
          </w:p>
        </w:tc>
        <w:tc>
          <w:tcPr>
            <w:tcW w:w="2311" w:type="dxa"/>
            <w:tcBorders>
              <w:top w:val="single" w:sz="4" w:space="0" w:color="auto"/>
              <w:left w:val="single" w:sz="4" w:space="0" w:color="auto"/>
              <w:bottom w:val="single" w:sz="4" w:space="0" w:color="auto"/>
              <w:right w:val="single" w:sz="4" w:space="0" w:color="auto"/>
            </w:tcBorders>
            <w:hideMark/>
          </w:tcPr>
          <w:p w14:paraId="526BD680"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59,8%</w:t>
            </w:r>
          </w:p>
        </w:tc>
        <w:tc>
          <w:tcPr>
            <w:tcW w:w="2126" w:type="dxa"/>
            <w:tcBorders>
              <w:top w:val="single" w:sz="4" w:space="0" w:color="auto"/>
              <w:left w:val="single" w:sz="4" w:space="0" w:color="auto"/>
              <w:bottom w:val="single" w:sz="4" w:space="0" w:color="auto"/>
              <w:right w:val="single" w:sz="4" w:space="0" w:color="auto"/>
            </w:tcBorders>
            <w:hideMark/>
          </w:tcPr>
          <w:p w14:paraId="0E10CAD7"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14,9%</w:t>
            </w:r>
          </w:p>
        </w:tc>
      </w:tr>
      <w:tr w:rsidR="002E06A9" w14:paraId="12A525F0"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49D8539F"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Måned 4</w:t>
            </w:r>
          </w:p>
        </w:tc>
        <w:tc>
          <w:tcPr>
            <w:tcW w:w="2311" w:type="dxa"/>
            <w:tcBorders>
              <w:top w:val="single" w:sz="4" w:space="0" w:color="auto"/>
              <w:left w:val="single" w:sz="4" w:space="0" w:color="auto"/>
              <w:bottom w:val="single" w:sz="4" w:space="0" w:color="auto"/>
              <w:right w:val="single" w:sz="4" w:space="0" w:color="auto"/>
            </w:tcBorders>
            <w:hideMark/>
          </w:tcPr>
          <w:p w14:paraId="0B0CDF78"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45,7%</w:t>
            </w:r>
          </w:p>
        </w:tc>
        <w:tc>
          <w:tcPr>
            <w:tcW w:w="2126" w:type="dxa"/>
            <w:tcBorders>
              <w:top w:val="single" w:sz="4" w:space="0" w:color="auto"/>
              <w:left w:val="single" w:sz="4" w:space="0" w:color="auto"/>
              <w:bottom w:val="single" w:sz="4" w:space="0" w:color="auto"/>
              <w:right w:val="single" w:sz="4" w:space="0" w:color="auto"/>
            </w:tcBorders>
            <w:hideMark/>
          </w:tcPr>
          <w:p w14:paraId="07E5B6DE"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10,9%</w:t>
            </w:r>
          </w:p>
        </w:tc>
      </w:tr>
      <w:tr w:rsidR="002E06A9" w14:paraId="0F93C1AF"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64AD2002"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Måned 5</w:t>
            </w:r>
          </w:p>
        </w:tc>
        <w:tc>
          <w:tcPr>
            <w:tcW w:w="2311" w:type="dxa"/>
            <w:tcBorders>
              <w:top w:val="single" w:sz="4" w:space="0" w:color="auto"/>
              <w:left w:val="single" w:sz="4" w:space="0" w:color="auto"/>
              <w:bottom w:val="single" w:sz="4" w:space="0" w:color="auto"/>
              <w:right w:val="single" w:sz="4" w:space="0" w:color="auto"/>
            </w:tcBorders>
            <w:hideMark/>
          </w:tcPr>
          <w:p w14:paraId="60B1D2ED"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32,1%</w:t>
            </w:r>
          </w:p>
        </w:tc>
        <w:tc>
          <w:tcPr>
            <w:tcW w:w="2126" w:type="dxa"/>
            <w:tcBorders>
              <w:top w:val="single" w:sz="4" w:space="0" w:color="auto"/>
              <w:left w:val="single" w:sz="4" w:space="0" w:color="auto"/>
              <w:bottom w:val="single" w:sz="4" w:space="0" w:color="auto"/>
              <w:right w:val="single" w:sz="4" w:space="0" w:color="auto"/>
            </w:tcBorders>
            <w:hideMark/>
          </w:tcPr>
          <w:p w14:paraId="20F5C503"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6,2%</w:t>
            </w:r>
          </w:p>
        </w:tc>
      </w:tr>
      <w:tr w:rsidR="002E06A9" w14:paraId="183A15E5" w14:textId="77777777" w:rsidTr="002E06A9">
        <w:trPr>
          <w:jc w:val="center"/>
        </w:trPr>
        <w:tc>
          <w:tcPr>
            <w:tcW w:w="0" w:type="auto"/>
            <w:tcBorders>
              <w:top w:val="single" w:sz="4" w:space="0" w:color="auto"/>
              <w:left w:val="single" w:sz="4" w:space="0" w:color="auto"/>
              <w:bottom w:val="single" w:sz="4" w:space="0" w:color="auto"/>
              <w:right w:val="single" w:sz="4" w:space="0" w:color="auto"/>
            </w:tcBorders>
            <w:hideMark/>
          </w:tcPr>
          <w:p w14:paraId="327A15E4" w14:textId="77777777" w:rsidR="002E06A9" w:rsidRDefault="002E06A9">
            <w:pPr>
              <w:pStyle w:val="Opstilling-punkttegn2"/>
              <w:numPr>
                <w:ilvl w:val="0"/>
                <w:numId w:val="0"/>
              </w:numPr>
              <w:tabs>
                <w:tab w:val="left" w:pos="1304"/>
              </w:tabs>
              <w:spacing w:after="0"/>
              <w:rPr>
                <w:rFonts w:ascii="Times New Roman" w:hAnsi="Times New Roman"/>
                <w:sz w:val="22"/>
                <w:szCs w:val="22"/>
              </w:rPr>
            </w:pPr>
            <w:r>
              <w:rPr>
                <w:rFonts w:ascii="Times New Roman" w:hAnsi="Times New Roman"/>
                <w:sz w:val="22"/>
              </w:rPr>
              <w:t>Måned 6</w:t>
            </w:r>
          </w:p>
        </w:tc>
        <w:tc>
          <w:tcPr>
            <w:tcW w:w="2311" w:type="dxa"/>
            <w:tcBorders>
              <w:top w:val="single" w:sz="4" w:space="0" w:color="auto"/>
              <w:left w:val="single" w:sz="4" w:space="0" w:color="auto"/>
              <w:bottom w:val="single" w:sz="4" w:space="0" w:color="auto"/>
              <w:right w:val="single" w:sz="4" w:space="0" w:color="auto"/>
            </w:tcBorders>
            <w:hideMark/>
          </w:tcPr>
          <w:p w14:paraId="10A691F7"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23,3%</w:t>
            </w:r>
          </w:p>
        </w:tc>
        <w:tc>
          <w:tcPr>
            <w:tcW w:w="2126" w:type="dxa"/>
            <w:tcBorders>
              <w:top w:val="single" w:sz="4" w:space="0" w:color="auto"/>
              <w:left w:val="single" w:sz="4" w:space="0" w:color="auto"/>
              <w:bottom w:val="single" w:sz="4" w:space="0" w:color="auto"/>
              <w:right w:val="single" w:sz="4" w:space="0" w:color="auto"/>
            </w:tcBorders>
            <w:hideMark/>
          </w:tcPr>
          <w:p w14:paraId="613A64CE" w14:textId="77777777" w:rsidR="002E06A9" w:rsidRDefault="002E06A9">
            <w:pPr>
              <w:pStyle w:val="Opstilling-punkttegn2"/>
              <w:numPr>
                <w:ilvl w:val="0"/>
                <w:numId w:val="0"/>
              </w:numPr>
              <w:tabs>
                <w:tab w:val="left" w:pos="1304"/>
              </w:tabs>
              <w:spacing w:after="0"/>
              <w:jc w:val="center"/>
              <w:rPr>
                <w:rFonts w:ascii="Times New Roman" w:hAnsi="Times New Roman"/>
                <w:sz w:val="22"/>
                <w:szCs w:val="22"/>
              </w:rPr>
            </w:pPr>
            <w:r>
              <w:rPr>
                <w:rFonts w:ascii="Times New Roman" w:hAnsi="Times New Roman"/>
                <w:sz w:val="22"/>
              </w:rPr>
              <w:t>7,2%</w:t>
            </w:r>
          </w:p>
        </w:tc>
      </w:tr>
    </w:tbl>
    <w:p w14:paraId="0766AA9E" w14:textId="06FF6A89" w:rsidR="002E06A9" w:rsidRDefault="002E06A9" w:rsidP="002E06A9">
      <w:pPr>
        <w:rPr>
          <w:rFonts w:eastAsia="Calibri"/>
          <w:sz w:val="18"/>
          <w:szCs w:val="18"/>
        </w:rPr>
      </w:pPr>
      <w:r>
        <w:rPr>
          <w:vertAlign w:val="superscript"/>
        </w:rPr>
        <w:t>a</w:t>
      </w:r>
      <w:r w:rsidR="0099377E">
        <w:rPr>
          <w:vertAlign w:val="superscript"/>
        </w:rPr>
        <w:t xml:space="preserve"> </w:t>
      </w:r>
      <w:r>
        <w:rPr>
          <w:sz w:val="18"/>
        </w:rPr>
        <w:t>Defineret som en sværhedsgrad af LCL på 2 (moderat) eller 3 (svær) ved baseline og på 0 (ingen) eller 1 (let) ved at givent besøg ifølge LCL-ILA-skalaen</w:t>
      </w:r>
      <w:r>
        <w:rPr>
          <w:sz w:val="18"/>
        </w:rPr>
        <w:br/>
      </w:r>
      <w:r>
        <w:rPr>
          <w:vertAlign w:val="superscript"/>
        </w:rPr>
        <w:t>b</w:t>
      </w:r>
      <w:r w:rsidR="0099377E">
        <w:rPr>
          <w:vertAlign w:val="superscript"/>
        </w:rPr>
        <w:t xml:space="preserve"> </w:t>
      </w:r>
      <w:r>
        <w:rPr>
          <w:sz w:val="18"/>
        </w:rPr>
        <w:t>Intention-to-treat-populationen omfattede alle patienter, der var randomiseret og fik forsøgsproduktet, og som blev analyseret i henhold til randomiseringsplanen.</w:t>
      </w:r>
    </w:p>
    <w:p w14:paraId="08AC1A43" w14:textId="77777777" w:rsidR="002E06A9" w:rsidRPr="002E06A9" w:rsidRDefault="002E06A9" w:rsidP="002E06A9">
      <w:pPr>
        <w:pStyle w:val="Opstilling-punkttegn2"/>
        <w:numPr>
          <w:ilvl w:val="0"/>
          <w:numId w:val="0"/>
        </w:numPr>
        <w:tabs>
          <w:tab w:val="left" w:pos="1304"/>
        </w:tabs>
        <w:spacing w:after="0"/>
        <w:ind w:left="851"/>
        <w:rPr>
          <w:rFonts w:ascii="Times New Roman" w:hAnsi="Times New Roman"/>
          <w:b/>
          <w:bCs/>
          <w:szCs w:val="24"/>
          <w:lang w:val="sv-SE"/>
        </w:rPr>
      </w:pPr>
    </w:p>
    <w:p w14:paraId="4D782BEB" w14:textId="77777777" w:rsidR="002E06A9" w:rsidRPr="002E06A9" w:rsidRDefault="002E06A9" w:rsidP="002E06A9">
      <w:pPr>
        <w:ind w:left="851"/>
        <w:rPr>
          <w:sz w:val="24"/>
          <w:szCs w:val="24"/>
        </w:rPr>
      </w:pPr>
      <w:r w:rsidRPr="002E06A9">
        <w:rPr>
          <w:sz w:val="24"/>
          <w:szCs w:val="24"/>
        </w:rPr>
        <w:t>Ved anvendelse i kombineret behandling med GL i READY-3 var responset (0 eller 1 opnået på LCL</w:t>
      </w:r>
      <w:r w:rsidRPr="002E06A9">
        <w:rPr>
          <w:sz w:val="24"/>
          <w:szCs w:val="24"/>
        </w:rPr>
        <w:noBreakHyphen/>
        <w:t>ILA ved maksimal smilen) statistisk signifikant højere (nominel p ≤ 0,007) i Relfydess GL-/Relfydess LCL-gruppen end i placebo GL-/placebo LCL-gruppen på alle tidspunkter efter behandling, undtagen måned 6.</w:t>
      </w:r>
    </w:p>
    <w:p w14:paraId="1639BD53" w14:textId="77777777" w:rsidR="002E06A9" w:rsidRPr="002E06A9" w:rsidRDefault="002E06A9" w:rsidP="002E06A9">
      <w:pPr>
        <w:pStyle w:val="paragraph"/>
        <w:shd w:val="clear" w:color="auto" w:fill="FFFFFF"/>
        <w:spacing w:before="0" w:beforeAutospacing="0" w:after="0" w:afterAutospacing="0"/>
        <w:ind w:left="851"/>
        <w:textAlignment w:val="baseline"/>
      </w:pPr>
    </w:p>
    <w:p w14:paraId="4020E2A8" w14:textId="77777777" w:rsidR="002E06A9" w:rsidRPr="002E06A9" w:rsidRDefault="002E06A9" w:rsidP="002E06A9">
      <w:pPr>
        <w:pStyle w:val="paragraph"/>
        <w:keepNext/>
        <w:shd w:val="clear" w:color="auto" w:fill="FFFFFF"/>
        <w:spacing w:before="0" w:beforeAutospacing="0" w:after="0" w:afterAutospacing="0"/>
        <w:ind w:left="851"/>
        <w:textAlignment w:val="baseline"/>
        <w:rPr>
          <w:b/>
          <w:bCs/>
          <w:i/>
        </w:rPr>
      </w:pPr>
      <w:r w:rsidRPr="002E06A9">
        <w:rPr>
          <w:b/>
          <w:i/>
        </w:rPr>
        <w:lastRenderedPageBreak/>
        <w:t>Patienternes tilfredshed og psykisk virkning</w:t>
      </w:r>
    </w:p>
    <w:p w14:paraId="5CA4B023" w14:textId="77777777" w:rsidR="002E06A9" w:rsidRPr="002E06A9" w:rsidRDefault="002E06A9" w:rsidP="002E06A9">
      <w:pPr>
        <w:numPr>
          <w:ilvl w:val="12"/>
          <w:numId w:val="0"/>
        </w:numPr>
        <w:ind w:left="851" w:right="-2"/>
        <w:rPr>
          <w:sz w:val="24"/>
          <w:szCs w:val="24"/>
        </w:rPr>
      </w:pPr>
      <w:r w:rsidRPr="002E06A9">
        <w:rPr>
          <w:sz w:val="24"/>
          <w:szCs w:val="24"/>
        </w:rPr>
        <w:t>Patienternes psykiske funktion blev registreret med anvendelse af FACE</w:t>
      </w:r>
      <w:r w:rsidRPr="002E06A9">
        <w:rPr>
          <w:sz w:val="24"/>
          <w:szCs w:val="24"/>
        </w:rPr>
        <w:noBreakHyphen/>
        <w:t>Q™-skalaen.</w:t>
      </w:r>
    </w:p>
    <w:p w14:paraId="35061E5C" w14:textId="77777777" w:rsidR="002E06A9" w:rsidRPr="002E06A9" w:rsidRDefault="002E06A9" w:rsidP="002E06A9">
      <w:pPr>
        <w:numPr>
          <w:ilvl w:val="12"/>
          <w:numId w:val="0"/>
        </w:numPr>
        <w:ind w:left="851" w:right="-2"/>
        <w:rPr>
          <w:sz w:val="24"/>
          <w:szCs w:val="24"/>
        </w:rPr>
      </w:pPr>
    </w:p>
    <w:p w14:paraId="46C77BA0" w14:textId="77777777" w:rsidR="002E06A9" w:rsidRPr="002E06A9" w:rsidRDefault="002E06A9" w:rsidP="002E06A9">
      <w:pPr>
        <w:numPr>
          <w:ilvl w:val="12"/>
          <w:numId w:val="0"/>
        </w:numPr>
        <w:ind w:left="851" w:right="-2"/>
        <w:rPr>
          <w:sz w:val="24"/>
          <w:szCs w:val="24"/>
        </w:rPr>
      </w:pPr>
      <w:r w:rsidRPr="002E06A9">
        <w:rPr>
          <w:sz w:val="24"/>
          <w:szCs w:val="24"/>
        </w:rPr>
        <w:t>FLTSQ-skalaen (Facial Line Treatment Satisfaction Questionnaire) blev brugt til at registrere patienternes tilfredshed med udseendet af GL og/eller LCL og til at registrere patienternes tilfredshed med behandlingen.</w:t>
      </w:r>
    </w:p>
    <w:p w14:paraId="6DDE788C" w14:textId="77777777" w:rsidR="002E06A9" w:rsidRPr="002E06A9" w:rsidRDefault="002E06A9" w:rsidP="002E06A9">
      <w:pPr>
        <w:numPr>
          <w:ilvl w:val="12"/>
          <w:numId w:val="0"/>
        </w:numPr>
        <w:ind w:left="851" w:right="-2"/>
        <w:rPr>
          <w:sz w:val="24"/>
          <w:szCs w:val="24"/>
        </w:rPr>
      </w:pPr>
    </w:p>
    <w:p w14:paraId="0AC38162" w14:textId="77777777" w:rsidR="002E06A9" w:rsidRPr="002E06A9" w:rsidRDefault="002E06A9" w:rsidP="002E06A9">
      <w:pPr>
        <w:numPr>
          <w:ilvl w:val="12"/>
          <w:numId w:val="0"/>
        </w:numPr>
        <w:ind w:left="851" w:right="-2"/>
        <w:rPr>
          <w:iCs/>
          <w:sz w:val="24"/>
          <w:szCs w:val="24"/>
        </w:rPr>
      </w:pPr>
      <w:r w:rsidRPr="002E06A9">
        <w:rPr>
          <w:sz w:val="24"/>
          <w:szCs w:val="24"/>
        </w:rPr>
        <w:t>Responser på FACE-Q™-skalaen and FLTSQ-skalaen viste, at de Relfydess-behandlede patienter havde forbedret psykisk funktion og var mere tilfredse med deres udseende og behandlingen end de placebobehandlede patienter på alle tidspunkter efter behandlingen. Ifølge FACE-Q™ og FLTSQ blev den positive psykiske funktion og patienternes tilfredshed oprethold i 6 måneder efter behandling.</w:t>
      </w:r>
    </w:p>
    <w:p w14:paraId="09473D15" w14:textId="77777777" w:rsidR="002E06A9" w:rsidRPr="002E06A9" w:rsidRDefault="002E06A9" w:rsidP="002E06A9">
      <w:pPr>
        <w:pStyle w:val="paragraph"/>
        <w:shd w:val="clear" w:color="auto" w:fill="FFFFFF"/>
        <w:spacing w:before="0" w:beforeAutospacing="0" w:after="0" w:afterAutospacing="0"/>
        <w:ind w:left="851"/>
        <w:textAlignment w:val="baseline"/>
        <w:rPr>
          <w:lang w:val="sv-SE"/>
        </w:rPr>
      </w:pPr>
    </w:p>
    <w:p w14:paraId="0CFF161D" w14:textId="77777777" w:rsidR="002E06A9" w:rsidRPr="002E06A9" w:rsidRDefault="002E06A9" w:rsidP="002E06A9">
      <w:pPr>
        <w:pStyle w:val="paragraph"/>
        <w:keepNext/>
        <w:shd w:val="clear" w:color="auto" w:fill="FFFFFF"/>
        <w:spacing w:before="0" w:beforeAutospacing="0" w:after="0" w:afterAutospacing="0"/>
        <w:ind w:left="851"/>
        <w:textAlignment w:val="baseline"/>
        <w:rPr>
          <w:rFonts w:ascii="Segoe UI" w:hAnsi="Segoe UI" w:cs="Segoe UI"/>
          <w:iCs/>
        </w:rPr>
      </w:pPr>
      <w:r w:rsidRPr="002E06A9">
        <w:rPr>
          <w:b/>
          <w:i/>
        </w:rPr>
        <w:t>Åbent studie (READY</w:t>
      </w:r>
      <w:r w:rsidRPr="002E06A9">
        <w:rPr>
          <w:b/>
          <w:i/>
        </w:rPr>
        <w:noBreakHyphen/>
        <w:t>4)</w:t>
      </w:r>
    </w:p>
    <w:p w14:paraId="6B3093E1" w14:textId="56421BD5" w:rsidR="002E06A9" w:rsidRDefault="002E06A9" w:rsidP="0099377E">
      <w:pPr>
        <w:pStyle w:val="paragraph"/>
        <w:shd w:val="clear" w:color="auto" w:fill="FFFFFF"/>
        <w:spacing w:before="0" w:beforeAutospacing="0" w:after="0" w:afterAutospacing="0"/>
        <w:ind w:left="851"/>
        <w:textAlignment w:val="baseline"/>
      </w:pPr>
      <w:r w:rsidRPr="002E06A9">
        <w:t>I det åbne fase III-multicenterstudie READY</w:t>
      </w:r>
      <w:r w:rsidRPr="002E06A9">
        <w:noBreakHyphen/>
        <w:t>4 blev Relfydess administreret med op til 110 enheder pr. behandling og op til 4 gentagne behandlinger for hver indikation (op til i alt 7 GL-behandlinger og/eller LCL-behandlinger over 52 uger). Responderraterne ved uge 4 blev ifølge investigator opretholdt over gentagne cyklusser i glabellarynker ved maksimal panderynken i undergruppen på 175 patienter, der fik 4 behandlingscyklusser (79,4 % i behandlingscyklus 1 og 80,0 % i behandlingscyklus 4). De tilsvarende responderrater hos 186 patienter, der fik 4 behandlingscyklusser af rynker i laterale canthus ved maksimal smilen var 64,5 % i behandlingscyklus 1 og 60,2 % i behandlingscyklus 4.</w:t>
      </w:r>
    </w:p>
    <w:p w14:paraId="4132927F" w14:textId="77777777" w:rsidR="0099377E" w:rsidRPr="002E06A9" w:rsidRDefault="0099377E" w:rsidP="0099377E">
      <w:pPr>
        <w:pStyle w:val="paragraph"/>
        <w:shd w:val="clear" w:color="auto" w:fill="FFFFFF"/>
        <w:spacing w:before="0" w:beforeAutospacing="0" w:after="0" w:afterAutospacing="0"/>
        <w:ind w:left="851"/>
        <w:textAlignment w:val="baseline"/>
      </w:pPr>
    </w:p>
    <w:p w14:paraId="18FE8357" w14:textId="77777777" w:rsidR="002E06A9" w:rsidRPr="002E06A9" w:rsidRDefault="002E06A9" w:rsidP="0099377E">
      <w:pPr>
        <w:pStyle w:val="paragraph"/>
        <w:shd w:val="clear" w:color="auto" w:fill="FFFFFF"/>
        <w:spacing w:before="0" w:beforeAutospacing="0" w:after="0" w:afterAutospacing="0"/>
        <w:ind w:left="851"/>
        <w:textAlignment w:val="baseline"/>
        <w:rPr>
          <w:u w:val="single"/>
        </w:rPr>
      </w:pPr>
      <w:r w:rsidRPr="002E06A9">
        <w:rPr>
          <w:u w:val="single"/>
        </w:rPr>
        <w:t>Pædiatrisk population</w:t>
      </w:r>
    </w:p>
    <w:p w14:paraId="770163E3" w14:textId="77777777" w:rsidR="002E06A9" w:rsidRPr="002E06A9" w:rsidRDefault="002E06A9" w:rsidP="0099377E">
      <w:pPr>
        <w:pStyle w:val="Styleparagraph11ptPatternClearWhite"/>
        <w:ind w:left="851"/>
        <w:rPr>
          <w:sz w:val="24"/>
          <w:szCs w:val="24"/>
        </w:rPr>
      </w:pPr>
      <w:r w:rsidRPr="002E06A9">
        <w:rPr>
          <w:sz w:val="24"/>
          <w:szCs w:val="24"/>
        </w:rPr>
        <w:t>Det Europæiske Lægemiddelagentur har dispenseret fra kravet om at fremlægge resultaterne af studier med Relfydess i alle undergrupper af den pædiatriske population ved behandling i form af midlertidig forbedring af udseendet af moderate til svære glabellarynker ved maksimal panderynken og rynker i laterale canthus ved maksimal smilen (se pkt. 4.2 for oplysninger om pædiatrisk anvendelse).</w:t>
      </w:r>
    </w:p>
    <w:p w14:paraId="6E8C00EE" w14:textId="77777777" w:rsidR="009260DE" w:rsidRPr="002E06A9" w:rsidRDefault="009260DE" w:rsidP="002E06A9">
      <w:pPr>
        <w:tabs>
          <w:tab w:val="left" w:pos="851"/>
        </w:tabs>
        <w:ind w:left="851"/>
        <w:rPr>
          <w:sz w:val="24"/>
          <w:szCs w:val="24"/>
        </w:rPr>
      </w:pPr>
    </w:p>
    <w:p w14:paraId="0C0C9FF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A7C2026" w14:textId="77777777" w:rsidR="00427ECD" w:rsidRPr="00427ECD" w:rsidRDefault="00427ECD" w:rsidP="00427ECD">
      <w:pPr>
        <w:tabs>
          <w:tab w:val="left" w:pos="851"/>
        </w:tabs>
        <w:ind w:left="851"/>
        <w:rPr>
          <w:iCs/>
          <w:sz w:val="24"/>
          <w:szCs w:val="24"/>
        </w:rPr>
      </w:pPr>
      <w:r w:rsidRPr="00427ECD">
        <w:rPr>
          <w:sz w:val="24"/>
          <w:szCs w:val="24"/>
        </w:rPr>
        <w:t>Relfydess forventes ikke at være til stede i perifert blod i målbare niveauer efter intramuskulær injektion i den anbefalede dosis. Der er derfor ikke udført farmakokinetiske studier.</w:t>
      </w:r>
    </w:p>
    <w:p w14:paraId="3346E7FD" w14:textId="77777777" w:rsidR="009260DE" w:rsidRPr="00C84483" w:rsidRDefault="009260DE" w:rsidP="009260DE">
      <w:pPr>
        <w:tabs>
          <w:tab w:val="left" w:pos="851"/>
        </w:tabs>
        <w:ind w:left="851"/>
        <w:rPr>
          <w:sz w:val="24"/>
          <w:szCs w:val="24"/>
        </w:rPr>
      </w:pPr>
    </w:p>
    <w:p w14:paraId="423E93E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65757B4" w14:textId="77777777" w:rsidR="00427ECD" w:rsidRPr="00427ECD" w:rsidRDefault="00427ECD" w:rsidP="00427ECD">
      <w:pPr>
        <w:tabs>
          <w:tab w:val="left" w:pos="851"/>
        </w:tabs>
        <w:ind w:left="851"/>
        <w:rPr>
          <w:sz w:val="24"/>
          <w:szCs w:val="24"/>
        </w:rPr>
      </w:pPr>
      <w:r w:rsidRPr="00427ECD">
        <w:rPr>
          <w:sz w:val="24"/>
          <w:szCs w:val="24"/>
        </w:rPr>
        <w:t>Studier af den akutte toksicitet, den kroniske toksicitet samt den lokale tolerance på injektionsstedet viste ingen usædvanlige uønskede lokale eller systemiske virkninger på klinisk relevante dosisniveauer.</w:t>
      </w:r>
    </w:p>
    <w:p w14:paraId="7FCC502E" w14:textId="77777777" w:rsidR="00427ECD" w:rsidRPr="00427ECD" w:rsidRDefault="00427ECD" w:rsidP="00427ECD">
      <w:pPr>
        <w:tabs>
          <w:tab w:val="left" w:pos="851"/>
        </w:tabs>
        <w:ind w:left="851"/>
        <w:rPr>
          <w:sz w:val="24"/>
          <w:szCs w:val="24"/>
        </w:rPr>
      </w:pPr>
      <w:r w:rsidRPr="00427ECD">
        <w:rPr>
          <w:sz w:val="24"/>
          <w:szCs w:val="24"/>
        </w:rPr>
        <w:t>Data fra studier tyder på, at botulinumtoksiner har en kort halveringstid i blod og begrænset diffusion i vævet, blandt andet på tværs af placenta. På dosisniveauer under klar parental toksicitet havde botulinumtoksin ingen uønskede virkninger på fertilitet eller reproduktionsfunktion hos kaniner. Daglig intramuskulær administration af botulinumtoksin til drægtige rotter eller kaniner i organogeneseperioden medførte nedsat fosterkropsvægt og nedsat ossifikation, især i højere doser forbundet med signifikant maternel toksicitet.</w:t>
      </w:r>
    </w:p>
    <w:p w14:paraId="0AD76CC5" w14:textId="77777777" w:rsidR="009260DE" w:rsidRPr="00C84483" w:rsidRDefault="009260DE" w:rsidP="009260DE">
      <w:pPr>
        <w:tabs>
          <w:tab w:val="left" w:pos="851"/>
        </w:tabs>
        <w:ind w:left="851"/>
        <w:rPr>
          <w:sz w:val="24"/>
          <w:szCs w:val="24"/>
        </w:rPr>
      </w:pPr>
    </w:p>
    <w:p w14:paraId="05747CD7" w14:textId="04651623" w:rsidR="00B171D8" w:rsidRDefault="00B171D8">
      <w:pPr>
        <w:rPr>
          <w:sz w:val="24"/>
          <w:szCs w:val="24"/>
        </w:rPr>
      </w:pPr>
      <w:r>
        <w:rPr>
          <w:sz w:val="24"/>
          <w:szCs w:val="24"/>
        </w:rPr>
        <w:br w:type="page"/>
      </w:r>
    </w:p>
    <w:p w14:paraId="350EEF4B" w14:textId="77777777" w:rsidR="009260DE" w:rsidRPr="00C84483" w:rsidRDefault="009260DE" w:rsidP="009260DE">
      <w:pPr>
        <w:tabs>
          <w:tab w:val="left" w:pos="851"/>
        </w:tabs>
        <w:ind w:left="851"/>
        <w:rPr>
          <w:sz w:val="24"/>
          <w:szCs w:val="24"/>
        </w:rPr>
      </w:pPr>
    </w:p>
    <w:p w14:paraId="60E5EB3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F7D9623" w14:textId="77777777" w:rsidR="009260DE" w:rsidRPr="00BA09F1" w:rsidRDefault="009260DE" w:rsidP="009260DE">
      <w:pPr>
        <w:tabs>
          <w:tab w:val="left" w:pos="851"/>
        </w:tabs>
        <w:ind w:left="851"/>
        <w:rPr>
          <w:sz w:val="24"/>
          <w:szCs w:val="24"/>
        </w:rPr>
      </w:pPr>
    </w:p>
    <w:p w14:paraId="3FF5B1E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0CB909B" w14:textId="77777777" w:rsidR="00C84422" w:rsidRPr="00C84422" w:rsidRDefault="00C84422" w:rsidP="00C84422">
      <w:pPr>
        <w:tabs>
          <w:tab w:val="left" w:pos="851"/>
        </w:tabs>
        <w:ind w:left="851"/>
        <w:rPr>
          <w:sz w:val="24"/>
          <w:szCs w:val="24"/>
        </w:rPr>
      </w:pPr>
      <w:r w:rsidRPr="00C84422">
        <w:rPr>
          <w:sz w:val="24"/>
          <w:szCs w:val="24"/>
        </w:rPr>
        <w:t>Dinatriumhydrogenphosphatdihydrat</w:t>
      </w:r>
    </w:p>
    <w:p w14:paraId="3C774175" w14:textId="77777777" w:rsidR="00C84422" w:rsidRPr="00C84422" w:rsidRDefault="00C84422" w:rsidP="00C84422">
      <w:pPr>
        <w:tabs>
          <w:tab w:val="left" w:pos="851"/>
        </w:tabs>
        <w:ind w:left="851"/>
        <w:rPr>
          <w:sz w:val="24"/>
          <w:szCs w:val="24"/>
        </w:rPr>
      </w:pPr>
      <w:r w:rsidRPr="00C84422">
        <w:rPr>
          <w:sz w:val="24"/>
          <w:szCs w:val="24"/>
        </w:rPr>
        <w:t>Natriumdihydrogenphosphatdihydrat</w:t>
      </w:r>
    </w:p>
    <w:p w14:paraId="4616F35B" w14:textId="77777777" w:rsidR="00C84422" w:rsidRPr="00C84422" w:rsidRDefault="00C84422" w:rsidP="00C84422">
      <w:pPr>
        <w:tabs>
          <w:tab w:val="left" w:pos="851"/>
        </w:tabs>
        <w:ind w:left="851"/>
        <w:rPr>
          <w:sz w:val="24"/>
          <w:szCs w:val="24"/>
        </w:rPr>
      </w:pPr>
      <w:r w:rsidRPr="00C84422">
        <w:rPr>
          <w:sz w:val="24"/>
          <w:szCs w:val="24"/>
        </w:rPr>
        <w:t>Kaliumchlorid</w:t>
      </w:r>
    </w:p>
    <w:p w14:paraId="7982B954" w14:textId="77777777" w:rsidR="00C84422" w:rsidRPr="00C84422" w:rsidRDefault="00C84422" w:rsidP="00C84422">
      <w:pPr>
        <w:tabs>
          <w:tab w:val="left" w:pos="851"/>
        </w:tabs>
        <w:ind w:left="851"/>
        <w:rPr>
          <w:sz w:val="24"/>
          <w:szCs w:val="24"/>
        </w:rPr>
      </w:pPr>
      <w:r w:rsidRPr="00C84422">
        <w:rPr>
          <w:sz w:val="24"/>
          <w:szCs w:val="24"/>
        </w:rPr>
        <w:t>Natriumchlorid</w:t>
      </w:r>
    </w:p>
    <w:p w14:paraId="270CD277" w14:textId="77777777" w:rsidR="00C84422" w:rsidRPr="00C84422" w:rsidRDefault="00C84422" w:rsidP="00C84422">
      <w:pPr>
        <w:tabs>
          <w:tab w:val="left" w:pos="851"/>
        </w:tabs>
        <w:ind w:left="851"/>
        <w:rPr>
          <w:sz w:val="24"/>
          <w:szCs w:val="24"/>
        </w:rPr>
      </w:pPr>
      <w:r w:rsidRPr="00C84422">
        <w:rPr>
          <w:sz w:val="24"/>
          <w:szCs w:val="24"/>
        </w:rPr>
        <w:t>Polysorbat 80</w:t>
      </w:r>
    </w:p>
    <w:p w14:paraId="31F2D7F4" w14:textId="77777777" w:rsidR="00C84422" w:rsidRPr="00C84422" w:rsidRDefault="00C84422" w:rsidP="00C84422">
      <w:pPr>
        <w:tabs>
          <w:tab w:val="left" w:pos="851"/>
        </w:tabs>
        <w:ind w:left="851"/>
        <w:rPr>
          <w:sz w:val="24"/>
          <w:szCs w:val="24"/>
        </w:rPr>
      </w:pPr>
      <w:r w:rsidRPr="00C84422">
        <w:rPr>
          <w:sz w:val="24"/>
          <w:szCs w:val="24"/>
        </w:rPr>
        <w:t>L</w:t>
      </w:r>
      <w:r w:rsidRPr="00C84422">
        <w:rPr>
          <w:sz w:val="24"/>
          <w:szCs w:val="24"/>
        </w:rPr>
        <w:noBreakHyphen/>
        <w:t>-tryptofan</w:t>
      </w:r>
    </w:p>
    <w:p w14:paraId="4C53725F" w14:textId="77777777" w:rsidR="00C84422" w:rsidRPr="00C84422" w:rsidRDefault="00C84422" w:rsidP="00C84422">
      <w:pPr>
        <w:tabs>
          <w:tab w:val="left" w:pos="851"/>
        </w:tabs>
        <w:ind w:left="851"/>
        <w:rPr>
          <w:sz w:val="24"/>
          <w:szCs w:val="24"/>
        </w:rPr>
      </w:pPr>
      <w:r w:rsidRPr="00C84422">
        <w:rPr>
          <w:sz w:val="24"/>
          <w:szCs w:val="24"/>
        </w:rPr>
        <w:t>Vand til injektionsvæsker</w:t>
      </w:r>
    </w:p>
    <w:p w14:paraId="32259276" w14:textId="77777777" w:rsidR="009260DE" w:rsidRPr="00C84483" w:rsidRDefault="009260DE" w:rsidP="009260DE">
      <w:pPr>
        <w:tabs>
          <w:tab w:val="left" w:pos="851"/>
        </w:tabs>
        <w:ind w:left="851"/>
        <w:rPr>
          <w:sz w:val="24"/>
          <w:szCs w:val="24"/>
        </w:rPr>
      </w:pPr>
    </w:p>
    <w:p w14:paraId="6670766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61ECA79" w14:textId="77777777" w:rsidR="00C84422" w:rsidRPr="00C84422" w:rsidRDefault="00C84422" w:rsidP="00C84422">
      <w:pPr>
        <w:tabs>
          <w:tab w:val="left" w:pos="851"/>
        </w:tabs>
        <w:ind w:left="851"/>
        <w:rPr>
          <w:sz w:val="24"/>
          <w:szCs w:val="24"/>
        </w:rPr>
      </w:pPr>
      <w:r w:rsidRPr="00C84422">
        <w:rPr>
          <w:sz w:val="24"/>
          <w:szCs w:val="24"/>
        </w:rPr>
        <w:t>Da der ikke foreligger studier af eventuelle uforligeligheder, må dette lægemiddel ikke blandes med andre lægemidler.</w:t>
      </w:r>
    </w:p>
    <w:p w14:paraId="0A9A0352" w14:textId="77777777" w:rsidR="009260DE" w:rsidRPr="00C84483" w:rsidRDefault="009260DE" w:rsidP="009260DE">
      <w:pPr>
        <w:tabs>
          <w:tab w:val="left" w:pos="851"/>
        </w:tabs>
        <w:ind w:left="851"/>
        <w:rPr>
          <w:sz w:val="24"/>
          <w:szCs w:val="24"/>
        </w:rPr>
      </w:pPr>
    </w:p>
    <w:p w14:paraId="517E147D"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743893D" w14:textId="60C67C2F" w:rsidR="00C84422" w:rsidRPr="00C84422" w:rsidRDefault="00C84422" w:rsidP="00C84422">
      <w:pPr>
        <w:tabs>
          <w:tab w:val="left" w:pos="851"/>
        </w:tabs>
        <w:ind w:left="851"/>
        <w:rPr>
          <w:sz w:val="24"/>
          <w:szCs w:val="24"/>
        </w:rPr>
      </w:pPr>
      <w:r w:rsidRPr="00C84422">
        <w:rPr>
          <w:sz w:val="24"/>
          <w:szCs w:val="24"/>
        </w:rPr>
        <w:t>18 måneder</w:t>
      </w:r>
      <w:r>
        <w:rPr>
          <w:sz w:val="24"/>
          <w:szCs w:val="24"/>
        </w:rPr>
        <w:t>.</w:t>
      </w:r>
    </w:p>
    <w:p w14:paraId="2457E7F0" w14:textId="77777777" w:rsidR="009260DE" w:rsidRPr="00C84483" w:rsidRDefault="009260DE" w:rsidP="009260DE">
      <w:pPr>
        <w:tabs>
          <w:tab w:val="left" w:pos="851"/>
        </w:tabs>
        <w:ind w:left="851"/>
        <w:rPr>
          <w:sz w:val="24"/>
          <w:szCs w:val="24"/>
        </w:rPr>
      </w:pPr>
    </w:p>
    <w:p w14:paraId="5B69B18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33A08A8" w14:textId="77777777" w:rsidR="00C84422" w:rsidRDefault="00C84422" w:rsidP="00C84422">
      <w:pPr>
        <w:tabs>
          <w:tab w:val="left" w:pos="851"/>
        </w:tabs>
        <w:ind w:left="851"/>
        <w:rPr>
          <w:sz w:val="24"/>
          <w:szCs w:val="24"/>
        </w:rPr>
      </w:pPr>
      <w:r w:rsidRPr="00C84422">
        <w:rPr>
          <w:sz w:val="24"/>
          <w:szCs w:val="24"/>
        </w:rPr>
        <w:t>Opbevares i køleskab (2 °C </w:t>
      </w:r>
      <w:r w:rsidRPr="00C84422">
        <w:rPr>
          <w:sz w:val="24"/>
          <w:szCs w:val="24"/>
        </w:rPr>
        <w:noBreakHyphen/>
        <w:t> 8 °C). Må ikke nedfryses.</w:t>
      </w:r>
    </w:p>
    <w:p w14:paraId="5766D87E" w14:textId="2F4E46DB" w:rsidR="00C84422" w:rsidRPr="00C84422" w:rsidRDefault="00C84422" w:rsidP="00C84422">
      <w:pPr>
        <w:tabs>
          <w:tab w:val="left" w:pos="851"/>
        </w:tabs>
        <w:ind w:left="851"/>
        <w:rPr>
          <w:sz w:val="24"/>
          <w:szCs w:val="24"/>
        </w:rPr>
      </w:pPr>
      <w:r w:rsidRPr="00C84422">
        <w:rPr>
          <w:sz w:val="24"/>
          <w:szCs w:val="24"/>
        </w:rPr>
        <w:t>Hætteglasse</w:t>
      </w:r>
      <w:r>
        <w:rPr>
          <w:sz w:val="24"/>
          <w:szCs w:val="24"/>
        </w:rPr>
        <w:t>t</w:t>
      </w:r>
      <w:r w:rsidRPr="00C84422">
        <w:rPr>
          <w:sz w:val="24"/>
          <w:szCs w:val="24"/>
        </w:rPr>
        <w:t xml:space="preserve"> skal opbevares i den ydre karton for at beskytte mod lys.</w:t>
      </w:r>
    </w:p>
    <w:p w14:paraId="10082FFD" w14:textId="77777777" w:rsidR="00C84422" w:rsidRDefault="00C84422" w:rsidP="00C84422">
      <w:pPr>
        <w:tabs>
          <w:tab w:val="left" w:pos="851"/>
        </w:tabs>
        <w:ind w:left="851"/>
        <w:rPr>
          <w:sz w:val="24"/>
          <w:szCs w:val="24"/>
        </w:rPr>
      </w:pPr>
    </w:p>
    <w:p w14:paraId="1F8C4765" w14:textId="046ACB5C" w:rsidR="00C84422" w:rsidRPr="00C84422" w:rsidRDefault="00C84422" w:rsidP="00C84422">
      <w:pPr>
        <w:tabs>
          <w:tab w:val="left" w:pos="851"/>
        </w:tabs>
        <w:ind w:left="851"/>
        <w:rPr>
          <w:sz w:val="24"/>
          <w:szCs w:val="24"/>
        </w:rPr>
      </w:pPr>
      <w:r w:rsidRPr="00C84422">
        <w:rPr>
          <w:sz w:val="24"/>
          <w:szCs w:val="24"/>
        </w:rPr>
        <w:t>Uåbnede hætteglas kan opbevares ved stuetemperatur ved 25 °C, beskyttet mod lys. Stabiliteten af Relfydess (uåbnet hætteglas) er påvist i op til 24 timer ved stuetemperatur.</w:t>
      </w:r>
    </w:p>
    <w:p w14:paraId="496170AD" w14:textId="77777777" w:rsidR="009260DE" w:rsidRPr="00C84483" w:rsidRDefault="009260DE" w:rsidP="009260DE">
      <w:pPr>
        <w:tabs>
          <w:tab w:val="left" w:pos="851"/>
        </w:tabs>
        <w:ind w:left="851"/>
        <w:rPr>
          <w:sz w:val="24"/>
          <w:szCs w:val="24"/>
        </w:rPr>
      </w:pPr>
    </w:p>
    <w:p w14:paraId="3A2C835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19664DA" w14:textId="77777777" w:rsidR="00C84422" w:rsidRDefault="00C84422" w:rsidP="00C84422">
      <w:pPr>
        <w:tabs>
          <w:tab w:val="left" w:pos="851"/>
        </w:tabs>
        <w:ind w:left="851"/>
        <w:rPr>
          <w:sz w:val="24"/>
          <w:szCs w:val="24"/>
          <w:u w:val="single"/>
        </w:rPr>
      </w:pPr>
    </w:p>
    <w:p w14:paraId="53AA8A40" w14:textId="36457496" w:rsidR="00C84422" w:rsidRPr="00C84422" w:rsidRDefault="00C84422" w:rsidP="00C84422">
      <w:pPr>
        <w:tabs>
          <w:tab w:val="left" w:pos="851"/>
        </w:tabs>
        <w:ind w:left="851"/>
        <w:rPr>
          <w:sz w:val="24"/>
          <w:szCs w:val="24"/>
          <w:u w:val="single"/>
        </w:rPr>
      </w:pPr>
      <w:r w:rsidRPr="00C84422">
        <w:rPr>
          <w:sz w:val="24"/>
          <w:szCs w:val="24"/>
          <w:u w:val="single"/>
        </w:rPr>
        <w:t>Emballage-/lukningstype</w:t>
      </w:r>
    </w:p>
    <w:p w14:paraId="50868AD9" w14:textId="77777777" w:rsidR="00C84422" w:rsidRPr="00C84422" w:rsidRDefault="00C84422" w:rsidP="00C84422">
      <w:pPr>
        <w:tabs>
          <w:tab w:val="left" w:pos="851"/>
        </w:tabs>
        <w:ind w:left="851"/>
        <w:rPr>
          <w:sz w:val="24"/>
          <w:szCs w:val="24"/>
        </w:rPr>
      </w:pPr>
      <w:r w:rsidRPr="00C84422">
        <w:rPr>
          <w:sz w:val="24"/>
          <w:szCs w:val="24"/>
        </w:rPr>
        <w:t>Type I-hætteglas med bromobutylprop og aluminiumsforsegling med vippelåg af polypropylen.</w:t>
      </w:r>
    </w:p>
    <w:p w14:paraId="54897941" w14:textId="77777777" w:rsidR="00C84422" w:rsidRPr="00C84422" w:rsidRDefault="00C84422" w:rsidP="00C84422">
      <w:pPr>
        <w:tabs>
          <w:tab w:val="left" w:pos="851"/>
        </w:tabs>
        <w:ind w:left="851"/>
        <w:rPr>
          <w:sz w:val="24"/>
          <w:szCs w:val="24"/>
        </w:rPr>
      </w:pPr>
    </w:p>
    <w:p w14:paraId="38FD84F6" w14:textId="77777777" w:rsidR="00C84422" w:rsidRPr="00C84422" w:rsidRDefault="00C84422" w:rsidP="00C84422">
      <w:pPr>
        <w:tabs>
          <w:tab w:val="left" w:pos="851"/>
        </w:tabs>
        <w:ind w:left="851"/>
        <w:rPr>
          <w:sz w:val="24"/>
          <w:szCs w:val="24"/>
          <w:u w:val="single"/>
        </w:rPr>
      </w:pPr>
      <w:r w:rsidRPr="00C84422">
        <w:rPr>
          <w:sz w:val="24"/>
          <w:szCs w:val="24"/>
          <w:u w:val="single"/>
        </w:rPr>
        <w:t>Emballageindhold</w:t>
      </w:r>
    </w:p>
    <w:p w14:paraId="70E29CBE" w14:textId="77777777" w:rsidR="00C84422" w:rsidRPr="00C84422" w:rsidRDefault="00C84422" w:rsidP="00C84422">
      <w:pPr>
        <w:tabs>
          <w:tab w:val="left" w:pos="851"/>
        </w:tabs>
        <w:ind w:left="851"/>
        <w:rPr>
          <w:sz w:val="24"/>
          <w:szCs w:val="24"/>
        </w:rPr>
      </w:pPr>
      <w:r w:rsidRPr="00C84422">
        <w:rPr>
          <w:sz w:val="24"/>
          <w:szCs w:val="24"/>
        </w:rPr>
        <w:t>Hvert hætteglas indeholder 150 enheder botulinumtoksin type A i 1,5 ml opløsning.</w:t>
      </w:r>
    </w:p>
    <w:p w14:paraId="40A41AE3" w14:textId="77777777" w:rsidR="00C84422" w:rsidRPr="00C84422" w:rsidRDefault="00C84422" w:rsidP="00C84422">
      <w:pPr>
        <w:tabs>
          <w:tab w:val="left" w:pos="851"/>
        </w:tabs>
        <w:ind w:left="851"/>
        <w:rPr>
          <w:sz w:val="24"/>
          <w:szCs w:val="24"/>
        </w:rPr>
      </w:pPr>
    </w:p>
    <w:p w14:paraId="72A845A9" w14:textId="77777777" w:rsidR="00C84422" w:rsidRPr="00C84422" w:rsidRDefault="00C84422" w:rsidP="00C84422">
      <w:pPr>
        <w:tabs>
          <w:tab w:val="left" w:pos="851"/>
        </w:tabs>
        <w:ind w:left="851"/>
        <w:rPr>
          <w:sz w:val="24"/>
          <w:szCs w:val="24"/>
        </w:rPr>
      </w:pPr>
      <w:r w:rsidRPr="00C84422">
        <w:rPr>
          <w:sz w:val="24"/>
          <w:szCs w:val="24"/>
          <w:u w:val="single"/>
        </w:rPr>
        <w:t>Pakningsstørrelser</w:t>
      </w:r>
    </w:p>
    <w:p w14:paraId="3C85645F" w14:textId="29F0B262" w:rsidR="00C84422" w:rsidRPr="00C84422" w:rsidRDefault="00C84422" w:rsidP="00C84422">
      <w:pPr>
        <w:tabs>
          <w:tab w:val="left" w:pos="851"/>
        </w:tabs>
        <w:ind w:left="851"/>
        <w:rPr>
          <w:sz w:val="24"/>
          <w:szCs w:val="24"/>
        </w:rPr>
      </w:pPr>
      <w:r w:rsidRPr="00C84422">
        <w:rPr>
          <w:sz w:val="24"/>
          <w:szCs w:val="24"/>
        </w:rPr>
        <w:t xml:space="preserve">1 </w:t>
      </w:r>
      <w:r>
        <w:rPr>
          <w:sz w:val="24"/>
          <w:szCs w:val="24"/>
        </w:rPr>
        <w:t>og</w:t>
      </w:r>
      <w:r w:rsidRPr="00C84422">
        <w:rPr>
          <w:sz w:val="24"/>
          <w:szCs w:val="24"/>
        </w:rPr>
        <w:t xml:space="preserve"> 10 hætteglas.</w:t>
      </w:r>
    </w:p>
    <w:p w14:paraId="646873A4" w14:textId="77777777" w:rsidR="00C84422" w:rsidRPr="00C84422" w:rsidRDefault="00C84422" w:rsidP="00C84422">
      <w:pPr>
        <w:tabs>
          <w:tab w:val="left" w:pos="851"/>
        </w:tabs>
        <w:ind w:left="851"/>
        <w:rPr>
          <w:sz w:val="24"/>
          <w:szCs w:val="24"/>
        </w:rPr>
      </w:pPr>
    </w:p>
    <w:p w14:paraId="16294055" w14:textId="77777777" w:rsidR="00C84422" w:rsidRPr="00C84422" w:rsidRDefault="00C84422" w:rsidP="00C84422">
      <w:pPr>
        <w:tabs>
          <w:tab w:val="left" w:pos="851"/>
        </w:tabs>
        <w:ind w:left="851"/>
        <w:rPr>
          <w:sz w:val="24"/>
          <w:szCs w:val="24"/>
        </w:rPr>
      </w:pPr>
      <w:r w:rsidRPr="00C84422">
        <w:rPr>
          <w:sz w:val="24"/>
          <w:szCs w:val="24"/>
        </w:rPr>
        <w:t>Ikke alle pakningsstørrelser er nødvendigvis markedsført.</w:t>
      </w:r>
    </w:p>
    <w:p w14:paraId="21E160CC" w14:textId="77777777" w:rsidR="009260DE" w:rsidRPr="00C84483" w:rsidRDefault="009260DE" w:rsidP="009260DE">
      <w:pPr>
        <w:tabs>
          <w:tab w:val="left" w:pos="851"/>
        </w:tabs>
        <w:ind w:left="851"/>
        <w:rPr>
          <w:sz w:val="24"/>
          <w:szCs w:val="24"/>
        </w:rPr>
      </w:pPr>
    </w:p>
    <w:p w14:paraId="5E4B489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9AA5BC2" w14:textId="77777777" w:rsidR="00CC34D9" w:rsidRPr="00CC34D9" w:rsidRDefault="00CC34D9" w:rsidP="00CC34D9">
      <w:pPr>
        <w:tabs>
          <w:tab w:val="left" w:pos="851"/>
        </w:tabs>
        <w:ind w:left="851"/>
        <w:rPr>
          <w:iCs/>
          <w:sz w:val="24"/>
          <w:szCs w:val="24"/>
        </w:rPr>
      </w:pPr>
      <w:r w:rsidRPr="00CC34D9">
        <w:rPr>
          <w:sz w:val="24"/>
          <w:szCs w:val="24"/>
        </w:rPr>
        <w:t>Umiddelbart efter behandling af patienten skal eventuel resterende Relfydess, som kan være i enten hætteglas eller sprøjte, inaktiveres med fortyndet natriumhypochlorit (0,1% NaOCl) eller en natriumhydroxid-opløsning (1 % NaOH).</w:t>
      </w:r>
    </w:p>
    <w:p w14:paraId="178F20DC" w14:textId="77777777" w:rsidR="00CC34D9" w:rsidRPr="00CC34D9" w:rsidRDefault="00CC34D9" w:rsidP="00CC34D9">
      <w:pPr>
        <w:tabs>
          <w:tab w:val="left" w:pos="851"/>
        </w:tabs>
        <w:ind w:left="851"/>
        <w:rPr>
          <w:sz w:val="24"/>
          <w:szCs w:val="24"/>
        </w:rPr>
      </w:pPr>
    </w:p>
    <w:p w14:paraId="68EC434E" w14:textId="77777777" w:rsidR="00CC34D9" w:rsidRPr="00CC34D9" w:rsidRDefault="00CC34D9" w:rsidP="00CC34D9">
      <w:pPr>
        <w:tabs>
          <w:tab w:val="left" w:pos="851"/>
        </w:tabs>
        <w:ind w:left="851"/>
        <w:rPr>
          <w:sz w:val="24"/>
          <w:szCs w:val="24"/>
        </w:rPr>
      </w:pPr>
      <w:r w:rsidRPr="00CC34D9">
        <w:rPr>
          <w:sz w:val="24"/>
          <w:szCs w:val="24"/>
        </w:rPr>
        <w:t>Ikke anvendt lægemiddel samt affald heraf skal bortskaffes i henhold til lokale retningslinjer.</w:t>
      </w:r>
    </w:p>
    <w:p w14:paraId="4ADEE7B2" w14:textId="18FEDB07" w:rsidR="00B171D8" w:rsidRDefault="00B171D8">
      <w:pPr>
        <w:rPr>
          <w:sz w:val="24"/>
          <w:szCs w:val="24"/>
        </w:rPr>
      </w:pPr>
      <w:r>
        <w:rPr>
          <w:sz w:val="24"/>
          <w:szCs w:val="24"/>
        </w:rPr>
        <w:br w:type="page"/>
      </w:r>
    </w:p>
    <w:p w14:paraId="042559AA" w14:textId="77777777" w:rsidR="00CC34D9" w:rsidRPr="00CC34D9" w:rsidRDefault="00CC34D9" w:rsidP="00CC34D9">
      <w:pPr>
        <w:tabs>
          <w:tab w:val="left" w:pos="851"/>
        </w:tabs>
        <w:ind w:left="851"/>
        <w:rPr>
          <w:sz w:val="24"/>
          <w:szCs w:val="24"/>
        </w:rPr>
      </w:pPr>
    </w:p>
    <w:p w14:paraId="646B61C4" w14:textId="77777777" w:rsidR="00CC34D9" w:rsidRPr="00CC34D9" w:rsidRDefault="00CC34D9" w:rsidP="00CC34D9">
      <w:pPr>
        <w:tabs>
          <w:tab w:val="left" w:pos="851"/>
        </w:tabs>
        <w:ind w:left="851"/>
        <w:rPr>
          <w:sz w:val="24"/>
          <w:szCs w:val="24"/>
        </w:rPr>
      </w:pPr>
      <w:r w:rsidRPr="00CC34D9">
        <w:rPr>
          <w:sz w:val="24"/>
          <w:szCs w:val="24"/>
        </w:rPr>
        <w:t>ANBEFALINGER I TILFÆLDE AF UHELD UNDER HÅNDTERING AF BOTULINUMTOKSIN</w:t>
      </w:r>
    </w:p>
    <w:p w14:paraId="06928EB3" w14:textId="77777777" w:rsidR="00CC34D9" w:rsidRPr="00CC34D9" w:rsidRDefault="00CC34D9" w:rsidP="00CC34D9">
      <w:pPr>
        <w:numPr>
          <w:ilvl w:val="0"/>
          <w:numId w:val="10"/>
        </w:numPr>
        <w:tabs>
          <w:tab w:val="left" w:pos="851"/>
        </w:tabs>
        <w:ind w:left="1134" w:hanging="283"/>
        <w:rPr>
          <w:sz w:val="24"/>
          <w:szCs w:val="24"/>
        </w:rPr>
      </w:pPr>
      <w:r w:rsidRPr="00CC34D9">
        <w:rPr>
          <w:sz w:val="24"/>
          <w:szCs w:val="24"/>
        </w:rPr>
        <w:t>Eventuelle spild af produktet skal tørre op med tørt, absorberende materiale. Materialet skal bortskaffes i overensstemmelse med lokale retningslinjer.</w:t>
      </w:r>
    </w:p>
    <w:p w14:paraId="3F790B1F" w14:textId="77777777" w:rsidR="00CC34D9" w:rsidRPr="00CC34D9" w:rsidRDefault="00CC34D9" w:rsidP="00CC34D9">
      <w:pPr>
        <w:numPr>
          <w:ilvl w:val="0"/>
          <w:numId w:val="10"/>
        </w:numPr>
        <w:tabs>
          <w:tab w:val="left" w:pos="851"/>
        </w:tabs>
        <w:ind w:left="1134" w:hanging="283"/>
        <w:rPr>
          <w:sz w:val="24"/>
          <w:szCs w:val="24"/>
        </w:rPr>
      </w:pPr>
      <w:r w:rsidRPr="00CC34D9">
        <w:rPr>
          <w:sz w:val="24"/>
          <w:szCs w:val="24"/>
        </w:rPr>
        <w:t>Kontaminerede overflader skal rengøres med fortyndet hypochlorit eller en natriumhydroxid-opløsning og derefter tørre.</w:t>
      </w:r>
    </w:p>
    <w:p w14:paraId="21AC708A" w14:textId="77777777" w:rsidR="00CC34D9" w:rsidRPr="00CC34D9" w:rsidRDefault="00CC34D9" w:rsidP="00CC34D9">
      <w:pPr>
        <w:numPr>
          <w:ilvl w:val="0"/>
          <w:numId w:val="10"/>
        </w:numPr>
        <w:tabs>
          <w:tab w:val="left" w:pos="851"/>
        </w:tabs>
        <w:ind w:left="1134" w:hanging="283"/>
        <w:rPr>
          <w:sz w:val="24"/>
          <w:szCs w:val="24"/>
        </w:rPr>
      </w:pPr>
      <w:r w:rsidRPr="00CC34D9">
        <w:rPr>
          <w:sz w:val="24"/>
          <w:szCs w:val="24"/>
        </w:rPr>
        <w:t>Følg ovenstående procedure, hvis et hætteglas er ødelagt. Glasskår samles forsigtigt op, og produktet tørres op. Pas på ikke at skære huden på glasskårene.</w:t>
      </w:r>
    </w:p>
    <w:p w14:paraId="6F663486" w14:textId="77777777" w:rsidR="00CC34D9" w:rsidRPr="00CC34D9" w:rsidRDefault="00CC34D9" w:rsidP="00CC34D9">
      <w:pPr>
        <w:numPr>
          <w:ilvl w:val="0"/>
          <w:numId w:val="10"/>
        </w:numPr>
        <w:tabs>
          <w:tab w:val="left" w:pos="851"/>
        </w:tabs>
        <w:ind w:left="1134" w:hanging="283"/>
        <w:rPr>
          <w:sz w:val="24"/>
          <w:szCs w:val="24"/>
        </w:rPr>
      </w:pPr>
      <w:r w:rsidRPr="00CC34D9">
        <w:rPr>
          <w:sz w:val="24"/>
          <w:szCs w:val="24"/>
        </w:rPr>
        <w:t>Afvask det ramte område med sæbe og vand, hvis produktet kommer i kontakt med hud.</w:t>
      </w:r>
    </w:p>
    <w:p w14:paraId="3EF9E314" w14:textId="77777777" w:rsidR="00CC34D9" w:rsidRPr="00CC34D9" w:rsidRDefault="00CC34D9" w:rsidP="00CC34D9">
      <w:pPr>
        <w:numPr>
          <w:ilvl w:val="0"/>
          <w:numId w:val="10"/>
        </w:numPr>
        <w:tabs>
          <w:tab w:val="left" w:pos="851"/>
        </w:tabs>
        <w:ind w:left="1134" w:hanging="283"/>
        <w:rPr>
          <w:sz w:val="24"/>
          <w:szCs w:val="24"/>
        </w:rPr>
      </w:pPr>
      <w:r w:rsidRPr="00CC34D9">
        <w:rPr>
          <w:sz w:val="24"/>
          <w:szCs w:val="24"/>
        </w:rPr>
        <w:t>Skyl grundigt med masser af vand eller en øjenskylleopløsning, hvis produktet kommer i kontakt med øjnene.</w:t>
      </w:r>
    </w:p>
    <w:p w14:paraId="13894D69" w14:textId="77777777" w:rsidR="00CC34D9" w:rsidRPr="00CC34D9" w:rsidRDefault="00CC34D9" w:rsidP="00CC34D9">
      <w:pPr>
        <w:numPr>
          <w:ilvl w:val="0"/>
          <w:numId w:val="10"/>
        </w:numPr>
        <w:tabs>
          <w:tab w:val="left" w:pos="851"/>
        </w:tabs>
        <w:ind w:left="1134" w:hanging="283"/>
        <w:rPr>
          <w:sz w:val="24"/>
          <w:szCs w:val="24"/>
        </w:rPr>
      </w:pPr>
      <w:r w:rsidRPr="00CC34D9">
        <w:rPr>
          <w:sz w:val="24"/>
          <w:szCs w:val="24"/>
        </w:rPr>
        <w:t>Skyl grundigt med masser af vand, og søg læge, hvis produktet kommer i kontakt med et sår eller ødelagt hud.</w:t>
      </w:r>
    </w:p>
    <w:p w14:paraId="156B7224" w14:textId="77777777" w:rsidR="00CC34D9" w:rsidRPr="00CC34D9" w:rsidRDefault="00CC34D9" w:rsidP="00CC34D9">
      <w:pPr>
        <w:tabs>
          <w:tab w:val="left" w:pos="851"/>
        </w:tabs>
        <w:ind w:left="851"/>
        <w:rPr>
          <w:sz w:val="24"/>
          <w:szCs w:val="24"/>
        </w:rPr>
      </w:pPr>
    </w:p>
    <w:p w14:paraId="56067D02" w14:textId="77777777" w:rsidR="00CC34D9" w:rsidRPr="00CC34D9" w:rsidRDefault="00CC34D9" w:rsidP="00CC34D9">
      <w:pPr>
        <w:tabs>
          <w:tab w:val="left" w:pos="851"/>
        </w:tabs>
        <w:ind w:left="851"/>
        <w:rPr>
          <w:sz w:val="24"/>
          <w:szCs w:val="24"/>
        </w:rPr>
      </w:pPr>
      <w:r w:rsidRPr="00CC34D9">
        <w:rPr>
          <w:sz w:val="24"/>
          <w:szCs w:val="24"/>
        </w:rPr>
        <w:t>Instruktionerne til håndtering og bortskaffelse skal følges nøje.</w:t>
      </w:r>
    </w:p>
    <w:p w14:paraId="7CF1F895" w14:textId="77777777" w:rsidR="009260DE" w:rsidRPr="00C84483" w:rsidRDefault="009260DE" w:rsidP="000730CA">
      <w:pPr>
        <w:tabs>
          <w:tab w:val="left" w:pos="851"/>
        </w:tabs>
        <w:ind w:left="851"/>
        <w:rPr>
          <w:sz w:val="24"/>
          <w:szCs w:val="24"/>
        </w:rPr>
      </w:pPr>
    </w:p>
    <w:p w14:paraId="69DA763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75BA5B2" w14:textId="77777777" w:rsidR="00CC34D9" w:rsidRPr="00C77051" w:rsidRDefault="00CC34D9" w:rsidP="00CC34D9">
      <w:pPr>
        <w:tabs>
          <w:tab w:val="left" w:pos="851"/>
        </w:tabs>
        <w:ind w:left="851"/>
        <w:rPr>
          <w:sz w:val="24"/>
          <w:szCs w:val="24"/>
        </w:rPr>
      </w:pPr>
      <w:r w:rsidRPr="00C77051">
        <w:rPr>
          <w:sz w:val="24"/>
          <w:szCs w:val="24"/>
        </w:rPr>
        <w:t>Ipsen Pharma</w:t>
      </w:r>
    </w:p>
    <w:p w14:paraId="31F04F0B" w14:textId="77777777" w:rsidR="00CC34D9" w:rsidRPr="00C77051" w:rsidRDefault="00CC34D9" w:rsidP="00CC34D9">
      <w:pPr>
        <w:tabs>
          <w:tab w:val="left" w:pos="851"/>
        </w:tabs>
        <w:ind w:left="851"/>
        <w:rPr>
          <w:sz w:val="24"/>
          <w:szCs w:val="24"/>
        </w:rPr>
      </w:pPr>
      <w:r w:rsidRPr="00C77051">
        <w:rPr>
          <w:sz w:val="24"/>
          <w:szCs w:val="24"/>
        </w:rPr>
        <w:t>65 quai Georges Gorse</w:t>
      </w:r>
    </w:p>
    <w:p w14:paraId="6B15275E" w14:textId="77777777" w:rsidR="00CC34D9" w:rsidRPr="00C77051" w:rsidRDefault="00CC34D9" w:rsidP="00CC34D9">
      <w:pPr>
        <w:tabs>
          <w:tab w:val="left" w:pos="851"/>
        </w:tabs>
        <w:ind w:left="851"/>
        <w:rPr>
          <w:sz w:val="24"/>
          <w:szCs w:val="24"/>
        </w:rPr>
      </w:pPr>
      <w:r w:rsidRPr="00C77051">
        <w:rPr>
          <w:sz w:val="24"/>
          <w:szCs w:val="24"/>
        </w:rPr>
        <w:t>92100 Boulogne-Billancourt</w:t>
      </w:r>
    </w:p>
    <w:p w14:paraId="25944134" w14:textId="77777777" w:rsidR="00CC34D9" w:rsidRPr="00CC34D9" w:rsidRDefault="00CC34D9" w:rsidP="00CC34D9">
      <w:pPr>
        <w:tabs>
          <w:tab w:val="left" w:pos="851"/>
        </w:tabs>
        <w:ind w:left="851"/>
        <w:rPr>
          <w:sz w:val="24"/>
          <w:szCs w:val="24"/>
        </w:rPr>
      </w:pPr>
      <w:r w:rsidRPr="00CC34D9">
        <w:rPr>
          <w:sz w:val="24"/>
          <w:szCs w:val="24"/>
        </w:rPr>
        <w:t>Frankrig</w:t>
      </w:r>
    </w:p>
    <w:p w14:paraId="43962BB3" w14:textId="77777777" w:rsidR="00CC34D9" w:rsidRPr="00CC34D9" w:rsidRDefault="00CC34D9" w:rsidP="00CC34D9">
      <w:pPr>
        <w:tabs>
          <w:tab w:val="left" w:pos="851"/>
        </w:tabs>
        <w:ind w:left="851"/>
        <w:rPr>
          <w:sz w:val="24"/>
          <w:szCs w:val="24"/>
        </w:rPr>
      </w:pPr>
    </w:p>
    <w:p w14:paraId="73175AA0" w14:textId="77777777" w:rsidR="00CC34D9" w:rsidRPr="00CC34D9" w:rsidRDefault="00CC34D9" w:rsidP="00CC34D9">
      <w:pPr>
        <w:tabs>
          <w:tab w:val="left" w:pos="851"/>
        </w:tabs>
        <w:ind w:left="851"/>
        <w:rPr>
          <w:b/>
          <w:sz w:val="24"/>
          <w:szCs w:val="24"/>
          <w:lang w:val="sv-SE"/>
        </w:rPr>
      </w:pPr>
      <w:r w:rsidRPr="00CC34D9">
        <w:rPr>
          <w:b/>
          <w:sz w:val="24"/>
          <w:szCs w:val="24"/>
          <w:lang w:val="sv-SE"/>
        </w:rPr>
        <w:t>Repræsentant</w:t>
      </w:r>
    </w:p>
    <w:p w14:paraId="61FC9BD7" w14:textId="77777777" w:rsidR="00CC34D9" w:rsidRPr="00CC34D9" w:rsidRDefault="00CC34D9" w:rsidP="00CC34D9">
      <w:pPr>
        <w:tabs>
          <w:tab w:val="left" w:pos="851"/>
        </w:tabs>
        <w:ind w:left="851"/>
        <w:rPr>
          <w:sz w:val="24"/>
          <w:szCs w:val="24"/>
          <w:lang w:val="sv-SE"/>
        </w:rPr>
      </w:pPr>
      <w:r w:rsidRPr="00CC34D9">
        <w:rPr>
          <w:sz w:val="24"/>
          <w:szCs w:val="24"/>
          <w:lang w:val="sv-SE"/>
        </w:rPr>
        <w:t>Galderma Nordic AB</w:t>
      </w:r>
    </w:p>
    <w:p w14:paraId="32F380B7" w14:textId="77777777" w:rsidR="00CC34D9" w:rsidRPr="00CC34D9" w:rsidRDefault="00CC34D9" w:rsidP="00CC34D9">
      <w:pPr>
        <w:tabs>
          <w:tab w:val="left" w:pos="851"/>
        </w:tabs>
        <w:ind w:left="851"/>
        <w:rPr>
          <w:sz w:val="24"/>
          <w:szCs w:val="24"/>
          <w:lang w:val="sv-SE"/>
        </w:rPr>
      </w:pPr>
      <w:r w:rsidRPr="00CC34D9">
        <w:rPr>
          <w:sz w:val="24"/>
          <w:szCs w:val="24"/>
          <w:lang w:val="sv-SE"/>
        </w:rPr>
        <w:t>Seminariegatan 21</w:t>
      </w:r>
    </w:p>
    <w:p w14:paraId="429DBEC0" w14:textId="77777777" w:rsidR="00CC34D9" w:rsidRPr="00CC34D9" w:rsidRDefault="00CC34D9" w:rsidP="00CC34D9">
      <w:pPr>
        <w:tabs>
          <w:tab w:val="left" w:pos="851"/>
        </w:tabs>
        <w:ind w:left="851"/>
        <w:rPr>
          <w:sz w:val="24"/>
          <w:szCs w:val="24"/>
          <w:lang w:val="sv-SE"/>
        </w:rPr>
      </w:pPr>
      <w:r w:rsidRPr="00CC34D9">
        <w:rPr>
          <w:sz w:val="24"/>
          <w:szCs w:val="24"/>
          <w:lang w:val="sv-SE"/>
        </w:rPr>
        <w:t>752 28 Uppsala</w:t>
      </w:r>
    </w:p>
    <w:p w14:paraId="38ABB686" w14:textId="77777777" w:rsidR="00CC34D9" w:rsidRPr="00CC34D9" w:rsidRDefault="00CC34D9" w:rsidP="00CC34D9">
      <w:pPr>
        <w:tabs>
          <w:tab w:val="left" w:pos="851"/>
        </w:tabs>
        <w:ind w:left="851"/>
        <w:rPr>
          <w:sz w:val="24"/>
          <w:szCs w:val="24"/>
        </w:rPr>
      </w:pPr>
      <w:r w:rsidRPr="00CC34D9">
        <w:rPr>
          <w:sz w:val="24"/>
          <w:szCs w:val="24"/>
        </w:rPr>
        <w:t>Sverige</w:t>
      </w:r>
    </w:p>
    <w:p w14:paraId="0D0AD60E" w14:textId="77777777" w:rsidR="009260DE" w:rsidRDefault="009260DE" w:rsidP="009260DE">
      <w:pPr>
        <w:tabs>
          <w:tab w:val="left" w:pos="851"/>
        </w:tabs>
        <w:ind w:left="851"/>
        <w:rPr>
          <w:sz w:val="24"/>
          <w:szCs w:val="24"/>
        </w:rPr>
      </w:pPr>
    </w:p>
    <w:p w14:paraId="440D63F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0C1B7E7" w14:textId="24CCD520" w:rsidR="009260DE" w:rsidRPr="00C84483" w:rsidRDefault="00CC34D9" w:rsidP="009260DE">
      <w:pPr>
        <w:tabs>
          <w:tab w:val="left" w:pos="851"/>
        </w:tabs>
        <w:ind w:left="851"/>
        <w:rPr>
          <w:sz w:val="24"/>
          <w:szCs w:val="24"/>
        </w:rPr>
      </w:pPr>
      <w:r>
        <w:rPr>
          <w:sz w:val="24"/>
          <w:szCs w:val="24"/>
        </w:rPr>
        <w:t>70007</w:t>
      </w:r>
    </w:p>
    <w:p w14:paraId="32B8EE56" w14:textId="77777777" w:rsidR="009260DE" w:rsidRPr="00C84483" w:rsidRDefault="009260DE" w:rsidP="009260DE">
      <w:pPr>
        <w:tabs>
          <w:tab w:val="left" w:pos="851"/>
        </w:tabs>
        <w:ind w:left="851"/>
        <w:jc w:val="both"/>
        <w:rPr>
          <w:sz w:val="24"/>
          <w:szCs w:val="24"/>
        </w:rPr>
      </w:pPr>
    </w:p>
    <w:p w14:paraId="7B9C35C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2C7F9A5" w14:textId="6AB36487" w:rsidR="009260DE" w:rsidRPr="00C84483" w:rsidRDefault="00C77051" w:rsidP="009260DE">
      <w:pPr>
        <w:tabs>
          <w:tab w:val="left" w:pos="851"/>
        </w:tabs>
        <w:ind w:left="851"/>
        <w:rPr>
          <w:sz w:val="24"/>
          <w:szCs w:val="24"/>
        </w:rPr>
      </w:pPr>
      <w:r>
        <w:rPr>
          <w:sz w:val="24"/>
          <w:szCs w:val="24"/>
        </w:rPr>
        <w:t>12. december 2024</w:t>
      </w:r>
    </w:p>
    <w:p w14:paraId="3CC10D94" w14:textId="77777777" w:rsidR="009260DE" w:rsidRPr="00C84483" w:rsidRDefault="009260DE" w:rsidP="009260DE">
      <w:pPr>
        <w:tabs>
          <w:tab w:val="left" w:pos="851"/>
        </w:tabs>
        <w:ind w:left="851"/>
        <w:rPr>
          <w:sz w:val="24"/>
          <w:szCs w:val="24"/>
        </w:rPr>
      </w:pPr>
    </w:p>
    <w:p w14:paraId="5532AA0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3B292E9" w14:textId="4C257EC8" w:rsidR="009260DE" w:rsidRPr="00C84483" w:rsidRDefault="00CC34D9" w:rsidP="009260DE">
      <w:pPr>
        <w:tabs>
          <w:tab w:val="left" w:pos="851"/>
        </w:tabs>
        <w:ind w:left="851"/>
        <w:rPr>
          <w:sz w:val="24"/>
          <w:szCs w:val="24"/>
        </w:rPr>
      </w:pPr>
      <w:r>
        <w:rPr>
          <w:sz w:val="24"/>
          <w:szCs w:val="24"/>
        </w:rPr>
        <w:t>-</w:t>
      </w:r>
      <w:bookmarkStart w:id="5" w:name="_GoBack"/>
      <w:bookmarkEnd w:id="5"/>
    </w:p>
    <w:sectPr w:rsidR="009260DE" w:rsidRPr="00C8448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BCA0" w14:textId="77777777" w:rsidR="00DD7475" w:rsidRDefault="00DD7475">
      <w:r>
        <w:separator/>
      </w:r>
    </w:p>
  </w:endnote>
  <w:endnote w:type="continuationSeparator" w:id="0">
    <w:p w14:paraId="6D06F319" w14:textId="77777777" w:rsidR="00DD7475" w:rsidRDefault="00DD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EB9AC" w14:textId="77777777" w:rsidR="000259B9" w:rsidRDefault="000259B9">
    <w:pPr>
      <w:pStyle w:val="Sidefod"/>
      <w:pBdr>
        <w:bottom w:val="single" w:sz="6" w:space="1" w:color="auto"/>
      </w:pBdr>
    </w:pPr>
  </w:p>
  <w:p w14:paraId="3125EE6D" w14:textId="77777777" w:rsidR="000259B9" w:rsidRDefault="000259B9" w:rsidP="00C42586">
    <w:pPr>
      <w:pStyle w:val="Sidefod"/>
      <w:tabs>
        <w:tab w:val="clear" w:pos="4819"/>
        <w:tab w:val="left" w:pos="8505"/>
      </w:tabs>
      <w:rPr>
        <w:i/>
        <w:sz w:val="18"/>
        <w:szCs w:val="18"/>
      </w:rPr>
    </w:pPr>
  </w:p>
  <w:p w14:paraId="173897A7" w14:textId="5F18BA7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A43C1">
      <w:rPr>
        <w:i/>
        <w:noProof/>
        <w:sz w:val="18"/>
        <w:szCs w:val="18"/>
      </w:rPr>
      <w:t>Relfydess, injektionsvæske, opløsning 100 enheder-ml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77E33" w14:textId="77777777" w:rsidR="00DD7475" w:rsidRDefault="00DD7475">
      <w:r>
        <w:separator/>
      </w:r>
    </w:p>
  </w:footnote>
  <w:footnote w:type="continuationSeparator" w:id="0">
    <w:p w14:paraId="2A5CE047" w14:textId="77777777" w:rsidR="00DD7475" w:rsidRDefault="00DD7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68B02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06785B81"/>
    <w:multiLevelType w:val="hybridMultilevel"/>
    <w:tmpl w:val="4BB02868"/>
    <w:lvl w:ilvl="0" w:tplc="0D1AECCC">
      <w:start w:val="1"/>
      <w:numFmt w:val="bullet"/>
      <w:lvlText w:val=""/>
      <w:lvlJc w:val="left"/>
      <w:pPr>
        <w:ind w:left="720" w:hanging="360"/>
      </w:pPr>
      <w:rPr>
        <w:rFonts w:ascii="Symbol" w:hAnsi="Symbol" w:hint="default"/>
      </w:rPr>
    </w:lvl>
    <w:lvl w:ilvl="1" w:tplc="DB3ACF9C">
      <w:start w:val="1"/>
      <w:numFmt w:val="bullet"/>
      <w:lvlText w:val="o"/>
      <w:lvlJc w:val="left"/>
      <w:pPr>
        <w:ind w:left="1440" w:hanging="360"/>
      </w:pPr>
      <w:rPr>
        <w:rFonts w:ascii="Courier New" w:hAnsi="Courier New" w:cs="Courier New" w:hint="default"/>
      </w:rPr>
    </w:lvl>
    <w:lvl w:ilvl="2" w:tplc="1D70D750">
      <w:start w:val="1"/>
      <w:numFmt w:val="bullet"/>
      <w:lvlText w:val=""/>
      <w:lvlJc w:val="left"/>
      <w:pPr>
        <w:ind w:left="2160" w:hanging="360"/>
      </w:pPr>
      <w:rPr>
        <w:rFonts w:ascii="Wingdings" w:hAnsi="Wingdings" w:hint="default"/>
      </w:rPr>
    </w:lvl>
    <w:lvl w:ilvl="3" w:tplc="A59E3D26">
      <w:start w:val="1"/>
      <w:numFmt w:val="bullet"/>
      <w:lvlText w:val=""/>
      <w:lvlJc w:val="left"/>
      <w:pPr>
        <w:ind w:left="2880" w:hanging="360"/>
      </w:pPr>
      <w:rPr>
        <w:rFonts w:ascii="Symbol" w:hAnsi="Symbol" w:hint="default"/>
      </w:rPr>
    </w:lvl>
    <w:lvl w:ilvl="4" w:tplc="6E4CE09E">
      <w:start w:val="1"/>
      <w:numFmt w:val="bullet"/>
      <w:lvlText w:val="o"/>
      <w:lvlJc w:val="left"/>
      <w:pPr>
        <w:ind w:left="3600" w:hanging="360"/>
      </w:pPr>
      <w:rPr>
        <w:rFonts w:ascii="Courier New" w:hAnsi="Courier New" w:cs="Courier New" w:hint="default"/>
      </w:rPr>
    </w:lvl>
    <w:lvl w:ilvl="5" w:tplc="996675D0">
      <w:start w:val="1"/>
      <w:numFmt w:val="bullet"/>
      <w:lvlText w:val=""/>
      <w:lvlJc w:val="left"/>
      <w:pPr>
        <w:ind w:left="4320" w:hanging="360"/>
      </w:pPr>
      <w:rPr>
        <w:rFonts w:ascii="Wingdings" w:hAnsi="Wingdings" w:hint="default"/>
      </w:rPr>
    </w:lvl>
    <w:lvl w:ilvl="6" w:tplc="1A22074E">
      <w:start w:val="1"/>
      <w:numFmt w:val="bullet"/>
      <w:lvlText w:val=""/>
      <w:lvlJc w:val="left"/>
      <w:pPr>
        <w:ind w:left="5040" w:hanging="360"/>
      </w:pPr>
      <w:rPr>
        <w:rFonts w:ascii="Symbol" w:hAnsi="Symbol" w:hint="default"/>
      </w:rPr>
    </w:lvl>
    <w:lvl w:ilvl="7" w:tplc="9DB8107C">
      <w:start w:val="1"/>
      <w:numFmt w:val="bullet"/>
      <w:lvlText w:val="o"/>
      <w:lvlJc w:val="left"/>
      <w:pPr>
        <w:ind w:left="5760" w:hanging="360"/>
      </w:pPr>
      <w:rPr>
        <w:rFonts w:ascii="Courier New" w:hAnsi="Courier New" w:cs="Courier New" w:hint="default"/>
      </w:rPr>
    </w:lvl>
    <w:lvl w:ilvl="8" w:tplc="A5DA0E1A">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227CD2"/>
    <w:multiLevelType w:val="hybridMultilevel"/>
    <w:tmpl w:val="B27CD74A"/>
    <w:lvl w:ilvl="0" w:tplc="6C9ABC62">
      <w:start w:val="1"/>
      <w:numFmt w:val="bullet"/>
      <w:lvlText w:val=""/>
      <w:lvlJc w:val="left"/>
      <w:pPr>
        <w:ind w:left="720" w:hanging="360"/>
      </w:pPr>
      <w:rPr>
        <w:rFonts w:ascii="Symbol" w:hAnsi="Symbol" w:hint="default"/>
      </w:rPr>
    </w:lvl>
    <w:lvl w:ilvl="1" w:tplc="AB14BAC6">
      <w:start w:val="1"/>
      <w:numFmt w:val="bullet"/>
      <w:lvlText w:val="o"/>
      <w:lvlJc w:val="left"/>
      <w:pPr>
        <w:ind w:left="1440" w:hanging="360"/>
      </w:pPr>
      <w:rPr>
        <w:rFonts w:ascii="Courier New" w:hAnsi="Courier New" w:cs="Courier New" w:hint="default"/>
      </w:rPr>
    </w:lvl>
    <w:lvl w:ilvl="2" w:tplc="F0601352">
      <w:start w:val="1"/>
      <w:numFmt w:val="bullet"/>
      <w:lvlText w:val=""/>
      <w:lvlJc w:val="left"/>
      <w:pPr>
        <w:ind w:left="2160" w:hanging="360"/>
      </w:pPr>
      <w:rPr>
        <w:rFonts w:ascii="Wingdings" w:hAnsi="Wingdings" w:hint="default"/>
      </w:rPr>
    </w:lvl>
    <w:lvl w:ilvl="3" w:tplc="706681D6">
      <w:start w:val="1"/>
      <w:numFmt w:val="bullet"/>
      <w:lvlText w:val=""/>
      <w:lvlJc w:val="left"/>
      <w:pPr>
        <w:ind w:left="2880" w:hanging="360"/>
      </w:pPr>
      <w:rPr>
        <w:rFonts w:ascii="Symbol" w:hAnsi="Symbol" w:hint="default"/>
      </w:rPr>
    </w:lvl>
    <w:lvl w:ilvl="4" w:tplc="6EFE91A2">
      <w:start w:val="1"/>
      <w:numFmt w:val="bullet"/>
      <w:lvlText w:val="o"/>
      <w:lvlJc w:val="left"/>
      <w:pPr>
        <w:ind w:left="3600" w:hanging="360"/>
      </w:pPr>
      <w:rPr>
        <w:rFonts w:ascii="Courier New" w:hAnsi="Courier New" w:cs="Courier New" w:hint="default"/>
      </w:rPr>
    </w:lvl>
    <w:lvl w:ilvl="5" w:tplc="6548E088">
      <w:start w:val="1"/>
      <w:numFmt w:val="bullet"/>
      <w:lvlText w:val=""/>
      <w:lvlJc w:val="left"/>
      <w:pPr>
        <w:ind w:left="4320" w:hanging="360"/>
      </w:pPr>
      <w:rPr>
        <w:rFonts w:ascii="Wingdings" w:hAnsi="Wingdings" w:hint="default"/>
      </w:rPr>
    </w:lvl>
    <w:lvl w:ilvl="6" w:tplc="718EC3D0">
      <w:start w:val="1"/>
      <w:numFmt w:val="bullet"/>
      <w:lvlText w:val=""/>
      <w:lvlJc w:val="left"/>
      <w:pPr>
        <w:ind w:left="5040" w:hanging="360"/>
      </w:pPr>
      <w:rPr>
        <w:rFonts w:ascii="Symbol" w:hAnsi="Symbol" w:hint="default"/>
      </w:rPr>
    </w:lvl>
    <w:lvl w:ilvl="7" w:tplc="7846A7E6">
      <w:start w:val="1"/>
      <w:numFmt w:val="bullet"/>
      <w:lvlText w:val="o"/>
      <w:lvlJc w:val="left"/>
      <w:pPr>
        <w:ind w:left="5760" w:hanging="360"/>
      </w:pPr>
      <w:rPr>
        <w:rFonts w:ascii="Courier New" w:hAnsi="Courier New" w:cs="Courier New" w:hint="default"/>
      </w:rPr>
    </w:lvl>
    <w:lvl w:ilvl="8" w:tplc="D3DC5380">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03263A8"/>
    <w:multiLevelType w:val="hybridMultilevel"/>
    <w:tmpl w:val="053E65BE"/>
    <w:lvl w:ilvl="0" w:tplc="F41EBD38">
      <w:start w:val="1"/>
      <w:numFmt w:val="bullet"/>
      <w:lvlText w:val=""/>
      <w:lvlJc w:val="left"/>
      <w:pPr>
        <w:ind w:left="720" w:hanging="360"/>
      </w:pPr>
      <w:rPr>
        <w:rFonts w:ascii="Symbol" w:hAnsi="Symbol" w:hint="default"/>
      </w:rPr>
    </w:lvl>
    <w:lvl w:ilvl="1" w:tplc="A3FCAD30">
      <w:start w:val="1"/>
      <w:numFmt w:val="bullet"/>
      <w:lvlText w:val="o"/>
      <w:lvlJc w:val="left"/>
      <w:pPr>
        <w:ind w:left="1440" w:hanging="360"/>
      </w:pPr>
      <w:rPr>
        <w:rFonts w:ascii="Courier New" w:hAnsi="Courier New" w:cs="Courier New" w:hint="default"/>
      </w:rPr>
    </w:lvl>
    <w:lvl w:ilvl="2" w:tplc="AEC8D16C">
      <w:start w:val="1"/>
      <w:numFmt w:val="bullet"/>
      <w:lvlText w:val=""/>
      <w:lvlJc w:val="left"/>
      <w:pPr>
        <w:ind w:left="2160" w:hanging="360"/>
      </w:pPr>
      <w:rPr>
        <w:rFonts w:ascii="Wingdings" w:hAnsi="Wingdings" w:hint="default"/>
      </w:rPr>
    </w:lvl>
    <w:lvl w:ilvl="3" w:tplc="AA7004D8">
      <w:start w:val="1"/>
      <w:numFmt w:val="bullet"/>
      <w:lvlText w:val=""/>
      <w:lvlJc w:val="left"/>
      <w:pPr>
        <w:ind w:left="2880" w:hanging="360"/>
      </w:pPr>
      <w:rPr>
        <w:rFonts w:ascii="Symbol" w:hAnsi="Symbol" w:hint="default"/>
      </w:rPr>
    </w:lvl>
    <w:lvl w:ilvl="4" w:tplc="1E4241A6">
      <w:start w:val="1"/>
      <w:numFmt w:val="bullet"/>
      <w:lvlText w:val="o"/>
      <w:lvlJc w:val="left"/>
      <w:pPr>
        <w:ind w:left="3600" w:hanging="360"/>
      </w:pPr>
      <w:rPr>
        <w:rFonts w:ascii="Courier New" w:hAnsi="Courier New" w:cs="Courier New" w:hint="default"/>
      </w:rPr>
    </w:lvl>
    <w:lvl w:ilvl="5" w:tplc="EED64130">
      <w:start w:val="1"/>
      <w:numFmt w:val="bullet"/>
      <w:lvlText w:val=""/>
      <w:lvlJc w:val="left"/>
      <w:pPr>
        <w:ind w:left="4320" w:hanging="360"/>
      </w:pPr>
      <w:rPr>
        <w:rFonts w:ascii="Wingdings" w:hAnsi="Wingdings" w:hint="default"/>
      </w:rPr>
    </w:lvl>
    <w:lvl w:ilvl="6" w:tplc="2236F560">
      <w:start w:val="1"/>
      <w:numFmt w:val="bullet"/>
      <w:lvlText w:val=""/>
      <w:lvlJc w:val="left"/>
      <w:pPr>
        <w:ind w:left="5040" w:hanging="360"/>
      </w:pPr>
      <w:rPr>
        <w:rFonts w:ascii="Symbol" w:hAnsi="Symbol" w:hint="default"/>
      </w:rPr>
    </w:lvl>
    <w:lvl w:ilvl="7" w:tplc="0FCAFD60">
      <w:start w:val="1"/>
      <w:numFmt w:val="bullet"/>
      <w:lvlText w:val="o"/>
      <w:lvlJc w:val="left"/>
      <w:pPr>
        <w:ind w:left="5760" w:hanging="360"/>
      </w:pPr>
      <w:rPr>
        <w:rFonts w:ascii="Courier New" w:hAnsi="Courier New" w:cs="Courier New" w:hint="default"/>
      </w:rPr>
    </w:lvl>
    <w:lvl w:ilvl="8" w:tplc="D020F9E2">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C335792"/>
    <w:multiLevelType w:val="hybridMultilevel"/>
    <w:tmpl w:val="A75C124A"/>
    <w:lvl w:ilvl="0" w:tplc="EF96E386">
      <w:start w:val="1"/>
      <w:numFmt w:val="bullet"/>
      <w:lvlText w:val=""/>
      <w:lvlJc w:val="left"/>
      <w:pPr>
        <w:ind w:left="720" w:hanging="360"/>
      </w:pPr>
      <w:rPr>
        <w:rFonts w:ascii="Symbol" w:hAnsi="Symbol" w:hint="default"/>
      </w:rPr>
    </w:lvl>
    <w:lvl w:ilvl="1" w:tplc="2D8CBF12">
      <w:start w:val="1"/>
      <w:numFmt w:val="bullet"/>
      <w:lvlText w:val="o"/>
      <w:lvlJc w:val="left"/>
      <w:pPr>
        <w:ind w:left="1440" w:hanging="360"/>
      </w:pPr>
      <w:rPr>
        <w:rFonts w:ascii="Courier New" w:hAnsi="Courier New" w:cs="Courier New" w:hint="default"/>
      </w:rPr>
    </w:lvl>
    <w:lvl w:ilvl="2" w:tplc="C1B27DA6">
      <w:start w:val="1"/>
      <w:numFmt w:val="bullet"/>
      <w:lvlText w:val=""/>
      <w:lvlJc w:val="left"/>
      <w:pPr>
        <w:ind w:left="2160" w:hanging="360"/>
      </w:pPr>
      <w:rPr>
        <w:rFonts w:ascii="Wingdings" w:hAnsi="Wingdings" w:hint="default"/>
      </w:rPr>
    </w:lvl>
    <w:lvl w:ilvl="3" w:tplc="C3BEC854">
      <w:start w:val="1"/>
      <w:numFmt w:val="bullet"/>
      <w:lvlText w:val=""/>
      <w:lvlJc w:val="left"/>
      <w:pPr>
        <w:ind w:left="2880" w:hanging="360"/>
      </w:pPr>
      <w:rPr>
        <w:rFonts w:ascii="Symbol" w:hAnsi="Symbol" w:hint="default"/>
      </w:rPr>
    </w:lvl>
    <w:lvl w:ilvl="4" w:tplc="D20460B4">
      <w:start w:val="1"/>
      <w:numFmt w:val="bullet"/>
      <w:lvlText w:val="o"/>
      <w:lvlJc w:val="left"/>
      <w:pPr>
        <w:ind w:left="3600" w:hanging="360"/>
      </w:pPr>
      <w:rPr>
        <w:rFonts w:ascii="Courier New" w:hAnsi="Courier New" w:cs="Courier New" w:hint="default"/>
      </w:rPr>
    </w:lvl>
    <w:lvl w:ilvl="5" w:tplc="51B86E3A">
      <w:start w:val="1"/>
      <w:numFmt w:val="bullet"/>
      <w:lvlText w:val=""/>
      <w:lvlJc w:val="left"/>
      <w:pPr>
        <w:ind w:left="4320" w:hanging="360"/>
      </w:pPr>
      <w:rPr>
        <w:rFonts w:ascii="Wingdings" w:hAnsi="Wingdings" w:hint="default"/>
      </w:rPr>
    </w:lvl>
    <w:lvl w:ilvl="6" w:tplc="26C6F410">
      <w:start w:val="1"/>
      <w:numFmt w:val="bullet"/>
      <w:lvlText w:val=""/>
      <w:lvlJc w:val="left"/>
      <w:pPr>
        <w:ind w:left="5040" w:hanging="360"/>
      </w:pPr>
      <w:rPr>
        <w:rFonts w:ascii="Symbol" w:hAnsi="Symbol" w:hint="default"/>
      </w:rPr>
    </w:lvl>
    <w:lvl w:ilvl="7" w:tplc="94B8FF14">
      <w:start w:val="1"/>
      <w:numFmt w:val="bullet"/>
      <w:lvlText w:val="o"/>
      <w:lvlJc w:val="left"/>
      <w:pPr>
        <w:ind w:left="5760" w:hanging="360"/>
      </w:pPr>
      <w:rPr>
        <w:rFonts w:ascii="Courier New" w:hAnsi="Courier New" w:cs="Courier New" w:hint="default"/>
      </w:rPr>
    </w:lvl>
    <w:lvl w:ilvl="8" w:tplc="5DF04644">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75"/>
    <w:rsid w:val="000259B9"/>
    <w:rsid w:val="00041491"/>
    <w:rsid w:val="000500B0"/>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E06A9"/>
    <w:rsid w:val="00323920"/>
    <w:rsid w:val="003A29AE"/>
    <w:rsid w:val="003A32D7"/>
    <w:rsid w:val="003B4074"/>
    <w:rsid w:val="003C769A"/>
    <w:rsid w:val="003D3A90"/>
    <w:rsid w:val="003E394E"/>
    <w:rsid w:val="003F1838"/>
    <w:rsid w:val="004251C1"/>
    <w:rsid w:val="00427ECD"/>
    <w:rsid w:val="0045746C"/>
    <w:rsid w:val="0049104B"/>
    <w:rsid w:val="004E3B12"/>
    <w:rsid w:val="004E7E6E"/>
    <w:rsid w:val="00532310"/>
    <w:rsid w:val="00565F0F"/>
    <w:rsid w:val="00594A86"/>
    <w:rsid w:val="00596D86"/>
    <w:rsid w:val="005B0517"/>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9377E"/>
    <w:rsid w:val="009C7BA3"/>
    <w:rsid w:val="009D1F5A"/>
    <w:rsid w:val="00A10294"/>
    <w:rsid w:val="00B003BF"/>
    <w:rsid w:val="00B171D8"/>
    <w:rsid w:val="00B3589A"/>
    <w:rsid w:val="00B373D7"/>
    <w:rsid w:val="00B55271"/>
    <w:rsid w:val="00BD7931"/>
    <w:rsid w:val="00BF6243"/>
    <w:rsid w:val="00C36276"/>
    <w:rsid w:val="00C42586"/>
    <w:rsid w:val="00C45F6B"/>
    <w:rsid w:val="00C60CCD"/>
    <w:rsid w:val="00C77051"/>
    <w:rsid w:val="00C84422"/>
    <w:rsid w:val="00C84483"/>
    <w:rsid w:val="00C95551"/>
    <w:rsid w:val="00CB20D7"/>
    <w:rsid w:val="00CC34D9"/>
    <w:rsid w:val="00D020B0"/>
    <w:rsid w:val="00D11748"/>
    <w:rsid w:val="00D237F6"/>
    <w:rsid w:val="00D34D98"/>
    <w:rsid w:val="00D366CF"/>
    <w:rsid w:val="00D93992"/>
    <w:rsid w:val="00DD7475"/>
    <w:rsid w:val="00E108AA"/>
    <w:rsid w:val="00E3749A"/>
    <w:rsid w:val="00E7437F"/>
    <w:rsid w:val="00E865B8"/>
    <w:rsid w:val="00EC0B9B"/>
    <w:rsid w:val="00ED5E9F"/>
    <w:rsid w:val="00F66D4F"/>
    <w:rsid w:val="00FA43C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863F8"/>
  <w15:chartTrackingRefBased/>
  <w15:docId w15:val="{8E1144AE-C691-4786-B3B3-B5F3023B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aliases w:val="Annotation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aliases w:val="Annotationtex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A43C1"/>
    <w:pPr>
      <w:tabs>
        <w:tab w:val="left" w:pos="567"/>
      </w:tabs>
      <w:spacing w:line="260" w:lineRule="exact"/>
      <w:ind w:left="720"/>
      <w:contextualSpacing/>
    </w:pPr>
    <w:rPr>
      <w:sz w:val="22"/>
    </w:rPr>
  </w:style>
  <w:style w:type="paragraph" w:customStyle="1" w:styleId="TableParagraph">
    <w:name w:val="Table Paragraph"/>
    <w:basedOn w:val="Normal"/>
    <w:uiPriority w:val="1"/>
    <w:qFormat/>
    <w:rsid w:val="00FA43C1"/>
    <w:pPr>
      <w:widowControl w:val="0"/>
      <w:autoSpaceDE w:val="0"/>
      <w:autoSpaceDN w:val="0"/>
    </w:pPr>
    <w:rPr>
      <w:rFonts w:ascii="Calibri" w:eastAsia="Calibri" w:hAnsi="Calibri" w:cs="Calibri"/>
      <w:sz w:val="22"/>
      <w:szCs w:val="22"/>
    </w:rPr>
  </w:style>
  <w:style w:type="paragraph" w:customStyle="1" w:styleId="paragraph">
    <w:name w:val="paragraph"/>
    <w:basedOn w:val="Normal"/>
    <w:rsid w:val="00FA43C1"/>
    <w:pPr>
      <w:spacing w:before="100" w:beforeAutospacing="1" w:after="100" w:afterAutospacing="1"/>
    </w:pPr>
    <w:rPr>
      <w:sz w:val="24"/>
      <w:szCs w:val="24"/>
    </w:rPr>
  </w:style>
  <w:style w:type="table" w:styleId="Tabel-Gitter">
    <w:name w:val="Table Grid"/>
    <w:basedOn w:val="Tabel-Normal"/>
    <w:rsid w:val="00FA43C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323920"/>
    <w:rPr>
      <w:color w:val="0000FF"/>
      <w:u w:val="single"/>
    </w:rPr>
  </w:style>
  <w:style w:type="paragraph" w:styleId="Opstilling-punkttegn2">
    <w:name w:val="List Bullet 2"/>
    <w:basedOn w:val="Normal"/>
    <w:semiHidden/>
    <w:unhideWhenUsed/>
    <w:rsid w:val="002E06A9"/>
    <w:pPr>
      <w:numPr>
        <w:numId w:val="9"/>
      </w:numPr>
      <w:spacing w:after="120"/>
      <w:contextualSpacing/>
    </w:pPr>
    <w:rPr>
      <w:rFonts w:ascii="Calibri" w:hAnsi="Calibri"/>
      <w:sz w:val="24"/>
      <w:lang w:eastAsia="en-CA"/>
    </w:rPr>
  </w:style>
  <w:style w:type="character" w:customStyle="1" w:styleId="Bodytext0-12Char">
    <w:name w:val="Body text 0-12 Char"/>
    <w:link w:val="Bodytext0-12"/>
    <w:locked/>
    <w:rsid w:val="002E06A9"/>
    <w:rPr>
      <w:color w:val="000000"/>
      <w:sz w:val="24"/>
      <w:szCs w:val="24"/>
      <w:lang w:eastAsia="en-US"/>
    </w:rPr>
  </w:style>
  <w:style w:type="paragraph" w:customStyle="1" w:styleId="Bodytext0-12">
    <w:name w:val="Body text 0-12"/>
    <w:basedOn w:val="Normal"/>
    <w:link w:val="Bodytext0-12Char"/>
    <w:qFormat/>
    <w:rsid w:val="002E06A9"/>
    <w:pPr>
      <w:suppressAutoHyphens/>
      <w:spacing w:after="240"/>
      <w:jc w:val="both"/>
    </w:pPr>
    <w:rPr>
      <w:color w:val="000000"/>
      <w:sz w:val="24"/>
      <w:szCs w:val="24"/>
    </w:rPr>
  </w:style>
  <w:style w:type="paragraph" w:customStyle="1" w:styleId="Styleparagraph11ptPatternClearWhite">
    <w:name w:val="Style paragraph + 11 pt Pattern: Clear (White)"/>
    <w:basedOn w:val="paragraph"/>
    <w:rsid w:val="002E06A9"/>
    <w:pPr>
      <w:shd w:val="clear" w:color="auto" w:fill="FFFFFF"/>
      <w:spacing w:before="0" w:beforeAutospacing="0" w:after="0" w:afterAutospacing="0"/>
    </w:pPr>
    <w:rPr>
      <w:sz w:val="22"/>
      <w:szCs w:val="20"/>
    </w:rPr>
  </w:style>
  <w:style w:type="character" w:customStyle="1" w:styleId="normaltextrun">
    <w:name w:val="normaltextrun"/>
    <w:basedOn w:val="Standardskrifttypeiafsnit"/>
    <w:rsid w:val="002E06A9"/>
  </w:style>
  <w:style w:type="character" w:customStyle="1" w:styleId="eop">
    <w:name w:val="eop"/>
    <w:basedOn w:val="Standardskrifttypeiafsnit"/>
    <w:rsid w:val="002E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3048">
      <w:bodyDiv w:val="1"/>
      <w:marLeft w:val="0"/>
      <w:marRight w:val="0"/>
      <w:marTop w:val="0"/>
      <w:marBottom w:val="0"/>
      <w:divBdr>
        <w:top w:val="none" w:sz="0" w:space="0" w:color="auto"/>
        <w:left w:val="none" w:sz="0" w:space="0" w:color="auto"/>
        <w:bottom w:val="none" w:sz="0" w:space="0" w:color="auto"/>
        <w:right w:val="none" w:sz="0" w:space="0" w:color="auto"/>
      </w:divBdr>
    </w:div>
    <w:div w:id="96101357">
      <w:bodyDiv w:val="1"/>
      <w:marLeft w:val="0"/>
      <w:marRight w:val="0"/>
      <w:marTop w:val="0"/>
      <w:marBottom w:val="0"/>
      <w:divBdr>
        <w:top w:val="none" w:sz="0" w:space="0" w:color="auto"/>
        <w:left w:val="none" w:sz="0" w:space="0" w:color="auto"/>
        <w:bottom w:val="none" w:sz="0" w:space="0" w:color="auto"/>
        <w:right w:val="none" w:sz="0" w:space="0" w:color="auto"/>
      </w:divBdr>
    </w:div>
    <w:div w:id="1406572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304893">
      <w:bodyDiv w:val="1"/>
      <w:marLeft w:val="0"/>
      <w:marRight w:val="0"/>
      <w:marTop w:val="0"/>
      <w:marBottom w:val="0"/>
      <w:divBdr>
        <w:top w:val="none" w:sz="0" w:space="0" w:color="auto"/>
        <w:left w:val="none" w:sz="0" w:space="0" w:color="auto"/>
        <w:bottom w:val="none" w:sz="0" w:space="0" w:color="auto"/>
        <w:right w:val="none" w:sz="0" w:space="0" w:color="auto"/>
      </w:divBdr>
    </w:div>
    <w:div w:id="192229836">
      <w:bodyDiv w:val="1"/>
      <w:marLeft w:val="0"/>
      <w:marRight w:val="0"/>
      <w:marTop w:val="0"/>
      <w:marBottom w:val="0"/>
      <w:divBdr>
        <w:top w:val="none" w:sz="0" w:space="0" w:color="auto"/>
        <w:left w:val="none" w:sz="0" w:space="0" w:color="auto"/>
        <w:bottom w:val="none" w:sz="0" w:space="0" w:color="auto"/>
        <w:right w:val="none" w:sz="0" w:space="0" w:color="auto"/>
      </w:divBdr>
    </w:div>
    <w:div w:id="195507514">
      <w:bodyDiv w:val="1"/>
      <w:marLeft w:val="0"/>
      <w:marRight w:val="0"/>
      <w:marTop w:val="0"/>
      <w:marBottom w:val="0"/>
      <w:divBdr>
        <w:top w:val="none" w:sz="0" w:space="0" w:color="auto"/>
        <w:left w:val="none" w:sz="0" w:space="0" w:color="auto"/>
        <w:bottom w:val="none" w:sz="0" w:space="0" w:color="auto"/>
        <w:right w:val="none" w:sz="0" w:space="0" w:color="auto"/>
      </w:divBdr>
    </w:div>
    <w:div w:id="247277203">
      <w:bodyDiv w:val="1"/>
      <w:marLeft w:val="0"/>
      <w:marRight w:val="0"/>
      <w:marTop w:val="0"/>
      <w:marBottom w:val="0"/>
      <w:divBdr>
        <w:top w:val="none" w:sz="0" w:space="0" w:color="auto"/>
        <w:left w:val="none" w:sz="0" w:space="0" w:color="auto"/>
        <w:bottom w:val="none" w:sz="0" w:space="0" w:color="auto"/>
        <w:right w:val="none" w:sz="0" w:space="0" w:color="auto"/>
      </w:divBdr>
    </w:div>
    <w:div w:id="254286750">
      <w:bodyDiv w:val="1"/>
      <w:marLeft w:val="0"/>
      <w:marRight w:val="0"/>
      <w:marTop w:val="0"/>
      <w:marBottom w:val="0"/>
      <w:divBdr>
        <w:top w:val="none" w:sz="0" w:space="0" w:color="auto"/>
        <w:left w:val="none" w:sz="0" w:space="0" w:color="auto"/>
        <w:bottom w:val="none" w:sz="0" w:space="0" w:color="auto"/>
        <w:right w:val="none" w:sz="0" w:space="0" w:color="auto"/>
      </w:divBdr>
    </w:div>
    <w:div w:id="343560947">
      <w:bodyDiv w:val="1"/>
      <w:marLeft w:val="0"/>
      <w:marRight w:val="0"/>
      <w:marTop w:val="0"/>
      <w:marBottom w:val="0"/>
      <w:divBdr>
        <w:top w:val="none" w:sz="0" w:space="0" w:color="auto"/>
        <w:left w:val="none" w:sz="0" w:space="0" w:color="auto"/>
        <w:bottom w:val="none" w:sz="0" w:space="0" w:color="auto"/>
        <w:right w:val="none" w:sz="0" w:space="0" w:color="auto"/>
      </w:divBdr>
    </w:div>
    <w:div w:id="364866361">
      <w:bodyDiv w:val="1"/>
      <w:marLeft w:val="0"/>
      <w:marRight w:val="0"/>
      <w:marTop w:val="0"/>
      <w:marBottom w:val="0"/>
      <w:divBdr>
        <w:top w:val="none" w:sz="0" w:space="0" w:color="auto"/>
        <w:left w:val="none" w:sz="0" w:space="0" w:color="auto"/>
        <w:bottom w:val="none" w:sz="0" w:space="0" w:color="auto"/>
        <w:right w:val="none" w:sz="0" w:space="0" w:color="auto"/>
      </w:divBdr>
    </w:div>
    <w:div w:id="435828246">
      <w:bodyDiv w:val="1"/>
      <w:marLeft w:val="0"/>
      <w:marRight w:val="0"/>
      <w:marTop w:val="0"/>
      <w:marBottom w:val="0"/>
      <w:divBdr>
        <w:top w:val="none" w:sz="0" w:space="0" w:color="auto"/>
        <w:left w:val="none" w:sz="0" w:space="0" w:color="auto"/>
        <w:bottom w:val="none" w:sz="0" w:space="0" w:color="auto"/>
        <w:right w:val="none" w:sz="0" w:space="0" w:color="auto"/>
      </w:divBdr>
    </w:div>
    <w:div w:id="481000710">
      <w:bodyDiv w:val="1"/>
      <w:marLeft w:val="0"/>
      <w:marRight w:val="0"/>
      <w:marTop w:val="0"/>
      <w:marBottom w:val="0"/>
      <w:divBdr>
        <w:top w:val="none" w:sz="0" w:space="0" w:color="auto"/>
        <w:left w:val="none" w:sz="0" w:space="0" w:color="auto"/>
        <w:bottom w:val="none" w:sz="0" w:space="0" w:color="auto"/>
        <w:right w:val="none" w:sz="0" w:space="0" w:color="auto"/>
      </w:divBdr>
    </w:div>
    <w:div w:id="501822871">
      <w:bodyDiv w:val="1"/>
      <w:marLeft w:val="0"/>
      <w:marRight w:val="0"/>
      <w:marTop w:val="0"/>
      <w:marBottom w:val="0"/>
      <w:divBdr>
        <w:top w:val="none" w:sz="0" w:space="0" w:color="auto"/>
        <w:left w:val="none" w:sz="0" w:space="0" w:color="auto"/>
        <w:bottom w:val="none" w:sz="0" w:space="0" w:color="auto"/>
        <w:right w:val="none" w:sz="0" w:space="0" w:color="auto"/>
      </w:divBdr>
    </w:div>
    <w:div w:id="519202613">
      <w:bodyDiv w:val="1"/>
      <w:marLeft w:val="0"/>
      <w:marRight w:val="0"/>
      <w:marTop w:val="0"/>
      <w:marBottom w:val="0"/>
      <w:divBdr>
        <w:top w:val="none" w:sz="0" w:space="0" w:color="auto"/>
        <w:left w:val="none" w:sz="0" w:space="0" w:color="auto"/>
        <w:bottom w:val="none" w:sz="0" w:space="0" w:color="auto"/>
        <w:right w:val="none" w:sz="0" w:space="0" w:color="auto"/>
      </w:divBdr>
    </w:div>
    <w:div w:id="579952236">
      <w:bodyDiv w:val="1"/>
      <w:marLeft w:val="0"/>
      <w:marRight w:val="0"/>
      <w:marTop w:val="0"/>
      <w:marBottom w:val="0"/>
      <w:divBdr>
        <w:top w:val="none" w:sz="0" w:space="0" w:color="auto"/>
        <w:left w:val="none" w:sz="0" w:space="0" w:color="auto"/>
        <w:bottom w:val="none" w:sz="0" w:space="0" w:color="auto"/>
        <w:right w:val="none" w:sz="0" w:space="0" w:color="auto"/>
      </w:divBdr>
    </w:div>
    <w:div w:id="606886910">
      <w:bodyDiv w:val="1"/>
      <w:marLeft w:val="0"/>
      <w:marRight w:val="0"/>
      <w:marTop w:val="0"/>
      <w:marBottom w:val="0"/>
      <w:divBdr>
        <w:top w:val="none" w:sz="0" w:space="0" w:color="auto"/>
        <w:left w:val="none" w:sz="0" w:space="0" w:color="auto"/>
        <w:bottom w:val="none" w:sz="0" w:space="0" w:color="auto"/>
        <w:right w:val="none" w:sz="0" w:space="0" w:color="auto"/>
      </w:divBdr>
    </w:div>
    <w:div w:id="611133775">
      <w:bodyDiv w:val="1"/>
      <w:marLeft w:val="0"/>
      <w:marRight w:val="0"/>
      <w:marTop w:val="0"/>
      <w:marBottom w:val="0"/>
      <w:divBdr>
        <w:top w:val="none" w:sz="0" w:space="0" w:color="auto"/>
        <w:left w:val="none" w:sz="0" w:space="0" w:color="auto"/>
        <w:bottom w:val="none" w:sz="0" w:space="0" w:color="auto"/>
        <w:right w:val="none" w:sz="0" w:space="0" w:color="auto"/>
      </w:divBdr>
    </w:div>
    <w:div w:id="622537490">
      <w:bodyDiv w:val="1"/>
      <w:marLeft w:val="0"/>
      <w:marRight w:val="0"/>
      <w:marTop w:val="0"/>
      <w:marBottom w:val="0"/>
      <w:divBdr>
        <w:top w:val="none" w:sz="0" w:space="0" w:color="auto"/>
        <w:left w:val="none" w:sz="0" w:space="0" w:color="auto"/>
        <w:bottom w:val="none" w:sz="0" w:space="0" w:color="auto"/>
        <w:right w:val="none" w:sz="0" w:space="0" w:color="auto"/>
      </w:divBdr>
    </w:div>
    <w:div w:id="630089104">
      <w:bodyDiv w:val="1"/>
      <w:marLeft w:val="0"/>
      <w:marRight w:val="0"/>
      <w:marTop w:val="0"/>
      <w:marBottom w:val="0"/>
      <w:divBdr>
        <w:top w:val="none" w:sz="0" w:space="0" w:color="auto"/>
        <w:left w:val="none" w:sz="0" w:space="0" w:color="auto"/>
        <w:bottom w:val="none" w:sz="0" w:space="0" w:color="auto"/>
        <w:right w:val="none" w:sz="0" w:space="0" w:color="auto"/>
      </w:divBdr>
    </w:div>
    <w:div w:id="666130481">
      <w:bodyDiv w:val="1"/>
      <w:marLeft w:val="0"/>
      <w:marRight w:val="0"/>
      <w:marTop w:val="0"/>
      <w:marBottom w:val="0"/>
      <w:divBdr>
        <w:top w:val="none" w:sz="0" w:space="0" w:color="auto"/>
        <w:left w:val="none" w:sz="0" w:space="0" w:color="auto"/>
        <w:bottom w:val="none" w:sz="0" w:space="0" w:color="auto"/>
        <w:right w:val="none" w:sz="0" w:space="0" w:color="auto"/>
      </w:divBdr>
    </w:div>
    <w:div w:id="680619387">
      <w:bodyDiv w:val="1"/>
      <w:marLeft w:val="0"/>
      <w:marRight w:val="0"/>
      <w:marTop w:val="0"/>
      <w:marBottom w:val="0"/>
      <w:divBdr>
        <w:top w:val="none" w:sz="0" w:space="0" w:color="auto"/>
        <w:left w:val="none" w:sz="0" w:space="0" w:color="auto"/>
        <w:bottom w:val="none" w:sz="0" w:space="0" w:color="auto"/>
        <w:right w:val="none" w:sz="0" w:space="0" w:color="auto"/>
      </w:divBdr>
    </w:div>
    <w:div w:id="734476112">
      <w:bodyDiv w:val="1"/>
      <w:marLeft w:val="0"/>
      <w:marRight w:val="0"/>
      <w:marTop w:val="0"/>
      <w:marBottom w:val="0"/>
      <w:divBdr>
        <w:top w:val="none" w:sz="0" w:space="0" w:color="auto"/>
        <w:left w:val="none" w:sz="0" w:space="0" w:color="auto"/>
        <w:bottom w:val="none" w:sz="0" w:space="0" w:color="auto"/>
        <w:right w:val="none" w:sz="0" w:space="0" w:color="auto"/>
      </w:divBdr>
    </w:div>
    <w:div w:id="738402997">
      <w:bodyDiv w:val="1"/>
      <w:marLeft w:val="0"/>
      <w:marRight w:val="0"/>
      <w:marTop w:val="0"/>
      <w:marBottom w:val="0"/>
      <w:divBdr>
        <w:top w:val="none" w:sz="0" w:space="0" w:color="auto"/>
        <w:left w:val="none" w:sz="0" w:space="0" w:color="auto"/>
        <w:bottom w:val="none" w:sz="0" w:space="0" w:color="auto"/>
        <w:right w:val="none" w:sz="0" w:space="0" w:color="auto"/>
      </w:divBdr>
    </w:div>
    <w:div w:id="866331978">
      <w:bodyDiv w:val="1"/>
      <w:marLeft w:val="0"/>
      <w:marRight w:val="0"/>
      <w:marTop w:val="0"/>
      <w:marBottom w:val="0"/>
      <w:divBdr>
        <w:top w:val="none" w:sz="0" w:space="0" w:color="auto"/>
        <w:left w:val="none" w:sz="0" w:space="0" w:color="auto"/>
        <w:bottom w:val="none" w:sz="0" w:space="0" w:color="auto"/>
        <w:right w:val="none" w:sz="0" w:space="0" w:color="auto"/>
      </w:divBdr>
    </w:div>
    <w:div w:id="969240256">
      <w:bodyDiv w:val="1"/>
      <w:marLeft w:val="0"/>
      <w:marRight w:val="0"/>
      <w:marTop w:val="0"/>
      <w:marBottom w:val="0"/>
      <w:divBdr>
        <w:top w:val="none" w:sz="0" w:space="0" w:color="auto"/>
        <w:left w:val="none" w:sz="0" w:space="0" w:color="auto"/>
        <w:bottom w:val="none" w:sz="0" w:space="0" w:color="auto"/>
        <w:right w:val="none" w:sz="0" w:space="0" w:color="auto"/>
      </w:divBdr>
    </w:div>
    <w:div w:id="1066075290">
      <w:bodyDiv w:val="1"/>
      <w:marLeft w:val="0"/>
      <w:marRight w:val="0"/>
      <w:marTop w:val="0"/>
      <w:marBottom w:val="0"/>
      <w:divBdr>
        <w:top w:val="none" w:sz="0" w:space="0" w:color="auto"/>
        <w:left w:val="none" w:sz="0" w:space="0" w:color="auto"/>
        <w:bottom w:val="none" w:sz="0" w:space="0" w:color="auto"/>
        <w:right w:val="none" w:sz="0" w:space="0" w:color="auto"/>
      </w:divBdr>
    </w:div>
    <w:div w:id="1085345766">
      <w:bodyDiv w:val="1"/>
      <w:marLeft w:val="0"/>
      <w:marRight w:val="0"/>
      <w:marTop w:val="0"/>
      <w:marBottom w:val="0"/>
      <w:divBdr>
        <w:top w:val="none" w:sz="0" w:space="0" w:color="auto"/>
        <w:left w:val="none" w:sz="0" w:space="0" w:color="auto"/>
        <w:bottom w:val="none" w:sz="0" w:space="0" w:color="auto"/>
        <w:right w:val="none" w:sz="0" w:space="0" w:color="auto"/>
      </w:divBdr>
    </w:div>
    <w:div w:id="1176115023">
      <w:bodyDiv w:val="1"/>
      <w:marLeft w:val="0"/>
      <w:marRight w:val="0"/>
      <w:marTop w:val="0"/>
      <w:marBottom w:val="0"/>
      <w:divBdr>
        <w:top w:val="none" w:sz="0" w:space="0" w:color="auto"/>
        <w:left w:val="none" w:sz="0" w:space="0" w:color="auto"/>
        <w:bottom w:val="none" w:sz="0" w:space="0" w:color="auto"/>
        <w:right w:val="none" w:sz="0" w:space="0" w:color="auto"/>
      </w:divBdr>
    </w:div>
    <w:div w:id="1331106406">
      <w:bodyDiv w:val="1"/>
      <w:marLeft w:val="0"/>
      <w:marRight w:val="0"/>
      <w:marTop w:val="0"/>
      <w:marBottom w:val="0"/>
      <w:divBdr>
        <w:top w:val="none" w:sz="0" w:space="0" w:color="auto"/>
        <w:left w:val="none" w:sz="0" w:space="0" w:color="auto"/>
        <w:bottom w:val="none" w:sz="0" w:space="0" w:color="auto"/>
        <w:right w:val="none" w:sz="0" w:space="0" w:color="auto"/>
      </w:divBdr>
    </w:div>
    <w:div w:id="1436822167">
      <w:bodyDiv w:val="1"/>
      <w:marLeft w:val="0"/>
      <w:marRight w:val="0"/>
      <w:marTop w:val="0"/>
      <w:marBottom w:val="0"/>
      <w:divBdr>
        <w:top w:val="none" w:sz="0" w:space="0" w:color="auto"/>
        <w:left w:val="none" w:sz="0" w:space="0" w:color="auto"/>
        <w:bottom w:val="none" w:sz="0" w:space="0" w:color="auto"/>
        <w:right w:val="none" w:sz="0" w:space="0" w:color="auto"/>
      </w:divBdr>
    </w:div>
    <w:div w:id="1482455031">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642422108">
      <w:bodyDiv w:val="1"/>
      <w:marLeft w:val="0"/>
      <w:marRight w:val="0"/>
      <w:marTop w:val="0"/>
      <w:marBottom w:val="0"/>
      <w:divBdr>
        <w:top w:val="none" w:sz="0" w:space="0" w:color="auto"/>
        <w:left w:val="none" w:sz="0" w:space="0" w:color="auto"/>
        <w:bottom w:val="none" w:sz="0" w:space="0" w:color="auto"/>
        <w:right w:val="none" w:sz="0" w:space="0" w:color="auto"/>
      </w:divBdr>
    </w:div>
    <w:div w:id="1748187815">
      <w:bodyDiv w:val="1"/>
      <w:marLeft w:val="0"/>
      <w:marRight w:val="0"/>
      <w:marTop w:val="0"/>
      <w:marBottom w:val="0"/>
      <w:divBdr>
        <w:top w:val="none" w:sz="0" w:space="0" w:color="auto"/>
        <w:left w:val="none" w:sz="0" w:space="0" w:color="auto"/>
        <w:bottom w:val="none" w:sz="0" w:space="0" w:color="auto"/>
        <w:right w:val="none" w:sz="0" w:space="0" w:color="auto"/>
      </w:divBdr>
    </w:div>
    <w:div w:id="1754281326">
      <w:bodyDiv w:val="1"/>
      <w:marLeft w:val="0"/>
      <w:marRight w:val="0"/>
      <w:marTop w:val="0"/>
      <w:marBottom w:val="0"/>
      <w:divBdr>
        <w:top w:val="none" w:sz="0" w:space="0" w:color="auto"/>
        <w:left w:val="none" w:sz="0" w:space="0" w:color="auto"/>
        <w:bottom w:val="none" w:sz="0" w:space="0" w:color="auto"/>
        <w:right w:val="none" w:sz="0" w:space="0" w:color="auto"/>
      </w:divBdr>
    </w:div>
    <w:div w:id="1879513271">
      <w:bodyDiv w:val="1"/>
      <w:marLeft w:val="0"/>
      <w:marRight w:val="0"/>
      <w:marTop w:val="0"/>
      <w:marBottom w:val="0"/>
      <w:divBdr>
        <w:top w:val="none" w:sz="0" w:space="0" w:color="auto"/>
        <w:left w:val="none" w:sz="0" w:space="0" w:color="auto"/>
        <w:bottom w:val="none" w:sz="0" w:space="0" w:color="auto"/>
        <w:right w:val="none" w:sz="0" w:space="0" w:color="auto"/>
      </w:divBdr>
    </w:div>
    <w:div w:id="1903827743">
      <w:bodyDiv w:val="1"/>
      <w:marLeft w:val="0"/>
      <w:marRight w:val="0"/>
      <w:marTop w:val="0"/>
      <w:marBottom w:val="0"/>
      <w:divBdr>
        <w:top w:val="none" w:sz="0" w:space="0" w:color="auto"/>
        <w:left w:val="none" w:sz="0" w:space="0" w:color="auto"/>
        <w:bottom w:val="none" w:sz="0" w:space="0" w:color="auto"/>
        <w:right w:val="none" w:sz="0" w:space="0" w:color="auto"/>
      </w:divBdr>
    </w:div>
    <w:div w:id="1948544179">
      <w:bodyDiv w:val="1"/>
      <w:marLeft w:val="0"/>
      <w:marRight w:val="0"/>
      <w:marTop w:val="0"/>
      <w:marBottom w:val="0"/>
      <w:divBdr>
        <w:top w:val="none" w:sz="0" w:space="0" w:color="auto"/>
        <w:left w:val="none" w:sz="0" w:space="0" w:color="auto"/>
        <w:bottom w:val="none" w:sz="0" w:space="0" w:color="auto"/>
        <w:right w:val="none" w:sz="0" w:space="0" w:color="auto"/>
      </w:divBdr>
    </w:div>
    <w:div w:id="1960411035">
      <w:bodyDiv w:val="1"/>
      <w:marLeft w:val="0"/>
      <w:marRight w:val="0"/>
      <w:marTop w:val="0"/>
      <w:marBottom w:val="0"/>
      <w:divBdr>
        <w:top w:val="none" w:sz="0" w:space="0" w:color="auto"/>
        <w:left w:val="none" w:sz="0" w:space="0" w:color="auto"/>
        <w:bottom w:val="none" w:sz="0" w:space="0" w:color="auto"/>
        <w:right w:val="none" w:sz="0" w:space="0" w:color="auto"/>
      </w:divBdr>
    </w:div>
    <w:div w:id="1984234390">
      <w:bodyDiv w:val="1"/>
      <w:marLeft w:val="0"/>
      <w:marRight w:val="0"/>
      <w:marTop w:val="0"/>
      <w:marBottom w:val="0"/>
      <w:divBdr>
        <w:top w:val="none" w:sz="0" w:space="0" w:color="auto"/>
        <w:left w:val="none" w:sz="0" w:space="0" w:color="auto"/>
        <w:bottom w:val="none" w:sz="0" w:space="0" w:color="auto"/>
        <w:right w:val="none" w:sz="0" w:space="0" w:color="auto"/>
      </w:divBdr>
    </w:div>
    <w:div w:id="20286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47</TotalTime>
  <Pages>14</Pages>
  <Words>4243</Words>
  <Characters>26844</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2023073921 mt</dc:description>
  <cp:lastModifiedBy>Hanne Thy Iversen</cp:lastModifiedBy>
  <cp:revision>13</cp:revision>
  <cp:lastPrinted>2012-08-22T08:53:00Z</cp:lastPrinted>
  <dcterms:created xsi:type="dcterms:W3CDTF">2024-12-11T14:30:00Z</dcterms:created>
  <dcterms:modified xsi:type="dcterms:W3CDTF">2024-12-12T10:06:00Z</dcterms:modified>
</cp:coreProperties>
</file>