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25DF1"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A57BF54" wp14:editId="0353BEB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33AAFFB" w14:textId="77777777" w:rsidR="009260DE" w:rsidRPr="00C84483" w:rsidRDefault="009260DE" w:rsidP="009260DE">
      <w:pPr>
        <w:pStyle w:val="Titel"/>
        <w:tabs>
          <w:tab w:val="right" w:pos="9356"/>
        </w:tabs>
        <w:jc w:val="left"/>
        <w:rPr>
          <w:b w:val="0"/>
          <w:szCs w:val="24"/>
          <w:lang w:eastAsia="en-US"/>
        </w:rPr>
      </w:pPr>
    </w:p>
    <w:p w14:paraId="0D7E0A53" w14:textId="05B983F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D5778">
        <w:rPr>
          <w:szCs w:val="24"/>
        </w:rPr>
        <w:t>6. september 2023</w:t>
      </w:r>
    </w:p>
    <w:p w14:paraId="375ED956" w14:textId="77777777" w:rsidR="009260DE" w:rsidRPr="00C84483" w:rsidRDefault="009260DE" w:rsidP="009260DE">
      <w:pPr>
        <w:pStyle w:val="Titel"/>
        <w:tabs>
          <w:tab w:val="left" w:pos="8222"/>
        </w:tabs>
        <w:jc w:val="left"/>
        <w:rPr>
          <w:b w:val="0"/>
          <w:szCs w:val="24"/>
        </w:rPr>
      </w:pPr>
    </w:p>
    <w:p w14:paraId="4CC48126" w14:textId="77777777" w:rsidR="009260DE" w:rsidRPr="00C84483" w:rsidRDefault="009260DE" w:rsidP="009260DE">
      <w:pPr>
        <w:pStyle w:val="Titel"/>
        <w:jc w:val="left"/>
        <w:rPr>
          <w:b w:val="0"/>
          <w:szCs w:val="24"/>
        </w:rPr>
      </w:pPr>
    </w:p>
    <w:p w14:paraId="299B5E88" w14:textId="77777777" w:rsidR="009260DE" w:rsidRPr="00C84483" w:rsidRDefault="009260DE" w:rsidP="009260DE">
      <w:pPr>
        <w:pStyle w:val="Titel"/>
        <w:jc w:val="left"/>
        <w:rPr>
          <w:b w:val="0"/>
          <w:szCs w:val="24"/>
        </w:rPr>
      </w:pPr>
    </w:p>
    <w:p w14:paraId="48864512" w14:textId="77777777" w:rsidR="009260DE" w:rsidRPr="00C84483" w:rsidRDefault="009260DE" w:rsidP="009260DE">
      <w:pPr>
        <w:jc w:val="center"/>
        <w:rPr>
          <w:b/>
          <w:sz w:val="24"/>
          <w:szCs w:val="24"/>
        </w:rPr>
      </w:pPr>
      <w:r w:rsidRPr="00C84483">
        <w:rPr>
          <w:b/>
          <w:sz w:val="24"/>
          <w:szCs w:val="24"/>
        </w:rPr>
        <w:t>PRODUKTRESUMÉ</w:t>
      </w:r>
    </w:p>
    <w:p w14:paraId="6214B02F" w14:textId="77777777" w:rsidR="009260DE" w:rsidRPr="00C84483" w:rsidRDefault="009260DE" w:rsidP="009260DE">
      <w:pPr>
        <w:jc w:val="center"/>
        <w:rPr>
          <w:b/>
          <w:sz w:val="24"/>
          <w:szCs w:val="24"/>
        </w:rPr>
      </w:pPr>
    </w:p>
    <w:p w14:paraId="4EB7E373" w14:textId="77777777" w:rsidR="009260DE" w:rsidRDefault="009260DE" w:rsidP="009260DE">
      <w:pPr>
        <w:jc w:val="center"/>
        <w:rPr>
          <w:b/>
          <w:sz w:val="24"/>
          <w:szCs w:val="24"/>
        </w:rPr>
      </w:pPr>
      <w:r w:rsidRPr="00C84483">
        <w:rPr>
          <w:b/>
          <w:sz w:val="24"/>
          <w:szCs w:val="24"/>
        </w:rPr>
        <w:t>for</w:t>
      </w:r>
    </w:p>
    <w:p w14:paraId="7F9D8D96" w14:textId="77777777" w:rsidR="000B058C" w:rsidRPr="00C84483" w:rsidRDefault="000B058C" w:rsidP="009260DE">
      <w:pPr>
        <w:jc w:val="center"/>
        <w:rPr>
          <w:b/>
          <w:sz w:val="24"/>
          <w:szCs w:val="24"/>
        </w:rPr>
      </w:pPr>
    </w:p>
    <w:p w14:paraId="5A4DB963" w14:textId="77777777" w:rsidR="009260DE" w:rsidRPr="00C84483" w:rsidRDefault="00A1062E" w:rsidP="009260DE">
      <w:pPr>
        <w:jc w:val="center"/>
        <w:rPr>
          <w:b/>
          <w:sz w:val="24"/>
          <w:szCs w:val="24"/>
        </w:rPr>
      </w:pPr>
      <w:r>
        <w:rPr>
          <w:b/>
          <w:sz w:val="24"/>
          <w:szCs w:val="24"/>
        </w:rPr>
        <w:t>Remifentanil "Orion", pulver til koncentrat til infusions-/injektionsvæske, opløsning</w:t>
      </w:r>
    </w:p>
    <w:p w14:paraId="72CDFB94" w14:textId="77777777" w:rsidR="009260DE" w:rsidRPr="00C84483" w:rsidRDefault="009260DE" w:rsidP="009260DE">
      <w:pPr>
        <w:jc w:val="both"/>
        <w:rPr>
          <w:sz w:val="24"/>
          <w:szCs w:val="24"/>
        </w:rPr>
      </w:pPr>
    </w:p>
    <w:p w14:paraId="63395D31" w14:textId="77777777" w:rsidR="009260DE" w:rsidRPr="00C84483" w:rsidRDefault="009260DE" w:rsidP="009260DE">
      <w:pPr>
        <w:jc w:val="both"/>
        <w:rPr>
          <w:sz w:val="24"/>
          <w:szCs w:val="24"/>
        </w:rPr>
      </w:pPr>
    </w:p>
    <w:p w14:paraId="2AB9078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762A102" w14:textId="762B8541" w:rsidR="009260DE" w:rsidRPr="00C84483" w:rsidRDefault="00043F85" w:rsidP="009260DE">
      <w:pPr>
        <w:tabs>
          <w:tab w:val="left" w:pos="851"/>
        </w:tabs>
        <w:ind w:left="851"/>
        <w:rPr>
          <w:sz w:val="24"/>
          <w:szCs w:val="24"/>
        </w:rPr>
      </w:pPr>
      <w:r>
        <w:rPr>
          <w:sz w:val="24"/>
          <w:szCs w:val="24"/>
        </w:rPr>
        <w:t>32987</w:t>
      </w:r>
    </w:p>
    <w:p w14:paraId="3DC790D5" w14:textId="77777777" w:rsidR="009260DE" w:rsidRPr="00C84483" w:rsidRDefault="009260DE" w:rsidP="009260DE">
      <w:pPr>
        <w:tabs>
          <w:tab w:val="left" w:pos="851"/>
        </w:tabs>
        <w:ind w:left="851"/>
        <w:rPr>
          <w:sz w:val="24"/>
          <w:szCs w:val="24"/>
        </w:rPr>
      </w:pPr>
    </w:p>
    <w:p w14:paraId="2C0C23A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8C19E0E" w14:textId="48408378" w:rsidR="009260DE" w:rsidRPr="00C84483" w:rsidRDefault="00043F85" w:rsidP="009260DE">
      <w:pPr>
        <w:tabs>
          <w:tab w:val="left" w:pos="851"/>
        </w:tabs>
        <w:ind w:left="851"/>
        <w:rPr>
          <w:sz w:val="24"/>
          <w:szCs w:val="24"/>
        </w:rPr>
      </w:pPr>
      <w:r>
        <w:rPr>
          <w:sz w:val="24"/>
          <w:szCs w:val="24"/>
        </w:rPr>
        <w:t>Remifentanil</w:t>
      </w:r>
      <w:r w:rsidR="009B49F4">
        <w:rPr>
          <w:sz w:val="24"/>
          <w:szCs w:val="24"/>
        </w:rPr>
        <w:t xml:space="preserve"> "Orion"</w:t>
      </w:r>
    </w:p>
    <w:p w14:paraId="66D962BD" w14:textId="77777777" w:rsidR="009260DE" w:rsidRPr="00C84483" w:rsidRDefault="009260DE" w:rsidP="009260DE">
      <w:pPr>
        <w:tabs>
          <w:tab w:val="left" w:pos="851"/>
        </w:tabs>
        <w:ind w:left="851"/>
        <w:rPr>
          <w:sz w:val="24"/>
          <w:szCs w:val="24"/>
        </w:rPr>
      </w:pPr>
    </w:p>
    <w:p w14:paraId="3CADDCD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9DC8C22" w14:textId="64F2B10D" w:rsidR="009B49F4" w:rsidRPr="009B49F4" w:rsidRDefault="009B49F4" w:rsidP="009B49F4">
      <w:pPr>
        <w:tabs>
          <w:tab w:val="left" w:pos="851"/>
        </w:tabs>
        <w:ind w:left="851"/>
        <w:rPr>
          <w:sz w:val="24"/>
          <w:szCs w:val="24"/>
        </w:rPr>
      </w:pPr>
      <w:r w:rsidRPr="009B49F4">
        <w:rPr>
          <w:sz w:val="24"/>
          <w:szCs w:val="24"/>
        </w:rPr>
        <w:t>Et hætteglas indeholder remifentanilhydrochlorid svarende til 1 mg</w:t>
      </w:r>
      <w:r>
        <w:rPr>
          <w:sz w:val="24"/>
          <w:szCs w:val="24"/>
        </w:rPr>
        <w:t xml:space="preserve">, </w:t>
      </w:r>
      <w:r w:rsidRPr="009B49F4">
        <w:rPr>
          <w:sz w:val="24"/>
          <w:szCs w:val="24"/>
        </w:rPr>
        <w:t>2 mg</w:t>
      </w:r>
      <w:r>
        <w:rPr>
          <w:sz w:val="24"/>
          <w:szCs w:val="24"/>
        </w:rPr>
        <w:t xml:space="preserve"> eller </w:t>
      </w:r>
      <w:r w:rsidRPr="009B49F4">
        <w:rPr>
          <w:sz w:val="24"/>
          <w:szCs w:val="24"/>
        </w:rPr>
        <w:t>5 mg remifentanil.</w:t>
      </w:r>
    </w:p>
    <w:p w14:paraId="4CF8EABD" w14:textId="77777777" w:rsidR="009B49F4" w:rsidRPr="009B49F4" w:rsidRDefault="009B49F4" w:rsidP="009B49F4">
      <w:pPr>
        <w:tabs>
          <w:tab w:val="left" w:pos="851"/>
        </w:tabs>
        <w:ind w:left="851"/>
        <w:rPr>
          <w:sz w:val="24"/>
          <w:szCs w:val="24"/>
        </w:rPr>
      </w:pPr>
    </w:p>
    <w:p w14:paraId="04522E34" w14:textId="77777777" w:rsidR="009B49F4" w:rsidRPr="009B49F4" w:rsidRDefault="009B49F4" w:rsidP="009B49F4">
      <w:pPr>
        <w:tabs>
          <w:tab w:val="left" w:pos="851"/>
        </w:tabs>
        <w:ind w:left="851"/>
        <w:rPr>
          <w:sz w:val="24"/>
          <w:szCs w:val="24"/>
        </w:rPr>
      </w:pPr>
      <w:r w:rsidRPr="009B49F4">
        <w:rPr>
          <w:sz w:val="24"/>
          <w:szCs w:val="24"/>
        </w:rPr>
        <w:t>Efter rekonstitution indeholder opløsningen 1 mg/ml, såfremt den tilberedes som anbefalet (se pkt. 6.6).</w:t>
      </w:r>
    </w:p>
    <w:p w14:paraId="5FC336B0" w14:textId="77777777" w:rsidR="009B49F4" w:rsidRPr="009B49F4" w:rsidRDefault="009B49F4" w:rsidP="009B49F4">
      <w:pPr>
        <w:tabs>
          <w:tab w:val="left" w:pos="851"/>
        </w:tabs>
        <w:ind w:left="851"/>
        <w:rPr>
          <w:sz w:val="24"/>
          <w:szCs w:val="24"/>
        </w:rPr>
      </w:pPr>
    </w:p>
    <w:p w14:paraId="5F15E7CF" w14:textId="77777777" w:rsidR="009B49F4" w:rsidRPr="009B49F4" w:rsidRDefault="009B49F4" w:rsidP="009B49F4">
      <w:pPr>
        <w:tabs>
          <w:tab w:val="left" w:pos="851"/>
        </w:tabs>
        <w:ind w:left="851"/>
        <w:rPr>
          <w:sz w:val="24"/>
          <w:szCs w:val="24"/>
        </w:rPr>
      </w:pPr>
      <w:r w:rsidRPr="009B49F4">
        <w:rPr>
          <w:sz w:val="24"/>
          <w:szCs w:val="24"/>
        </w:rPr>
        <w:t>Alle hjælpestoffer er anført under pkt. 6.1.</w:t>
      </w:r>
    </w:p>
    <w:p w14:paraId="3D492ACB" w14:textId="77777777" w:rsidR="009260DE" w:rsidRPr="00C84483" w:rsidRDefault="009260DE" w:rsidP="009260DE">
      <w:pPr>
        <w:tabs>
          <w:tab w:val="left" w:pos="851"/>
        </w:tabs>
        <w:ind w:left="851"/>
        <w:rPr>
          <w:sz w:val="24"/>
          <w:szCs w:val="24"/>
        </w:rPr>
      </w:pPr>
    </w:p>
    <w:p w14:paraId="3AFB789A"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55607D1" w14:textId="1DAE444D" w:rsidR="009B49F4" w:rsidRDefault="009B49F4" w:rsidP="009B49F4">
      <w:pPr>
        <w:tabs>
          <w:tab w:val="left" w:pos="851"/>
        </w:tabs>
        <w:ind w:left="851"/>
        <w:rPr>
          <w:sz w:val="24"/>
          <w:szCs w:val="24"/>
        </w:rPr>
      </w:pPr>
      <w:bookmarkStart w:id="1" w:name="_Hlk143763737"/>
      <w:r w:rsidRPr="009B49F4">
        <w:rPr>
          <w:sz w:val="24"/>
          <w:szCs w:val="24"/>
        </w:rPr>
        <w:t>Pulver til koncentrat til injektions- eller infusionsvæske, opløsning</w:t>
      </w:r>
    </w:p>
    <w:p w14:paraId="417EECCE" w14:textId="77777777" w:rsidR="009B49F4" w:rsidRPr="009B49F4" w:rsidRDefault="009B49F4" w:rsidP="009B49F4">
      <w:pPr>
        <w:tabs>
          <w:tab w:val="left" w:pos="851"/>
        </w:tabs>
        <w:ind w:left="851"/>
        <w:rPr>
          <w:sz w:val="24"/>
          <w:szCs w:val="24"/>
        </w:rPr>
      </w:pPr>
    </w:p>
    <w:p w14:paraId="1076B74B" w14:textId="77777777" w:rsidR="009B49F4" w:rsidRPr="009B49F4" w:rsidRDefault="009B49F4" w:rsidP="009B49F4">
      <w:pPr>
        <w:tabs>
          <w:tab w:val="left" w:pos="851"/>
        </w:tabs>
        <w:ind w:left="851"/>
        <w:rPr>
          <w:sz w:val="24"/>
          <w:szCs w:val="24"/>
        </w:rPr>
      </w:pPr>
      <w:r w:rsidRPr="009B49F4">
        <w:rPr>
          <w:sz w:val="24"/>
          <w:szCs w:val="24"/>
        </w:rPr>
        <w:t>Hvidt til råhvidt, frysetørret pulver.</w:t>
      </w:r>
      <w:bookmarkEnd w:id="1"/>
    </w:p>
    <w:p w14:paraId="48530584" w14:textId="77777777" w:rsidR="009260DE" w:rsidRPr="00C84483" w:rsidRDefault="009260DE" w:rsidP="009260DE">
      <w:pPr>
        <w:tabs>
          <w:tab w:val="left" w:pos="851"/>
        </w:tabs>
        <w:ind w:left="851"/>
        <w:rPr>
          <w:sz w:val="24"/>
          <w:szCs w:val="24"/>
        </w:rPr>
      </w:pPr>
    </w:p>
    <w:p w14:paraId="340768FA" w14:textId="77777777" w:rsidR="009260DE" w:rsidRPr="00C84483" w:rsidRDefault="009260DE" w:rsidP="009260DE">
      <w:pPr>
        <w:tabs>
          <w:tab w:val="left" w:pos="851"/>
        </w:tabs>
        <w:ind w:left="851"/>
        <w:rPr>
          <w:sz w:val="24"/>
          <w:szCs w:val="24"/>
        </w:rPr>
      </w:pPr>
    </w:p>
    <w:p w14:paraId="1B53185D"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DDA5D95" w14:textId="77777777" w:rsidR="009260DE" w:rsidRPr="00C84483" w:rsidRDefault="009260DE" w:rsidP="009260DE">
      <w:pPr>
        <w:tabs>
          <w:tab w:val="left" w:pos="851"/>
        </w:tabs>
        <w:ind w:left="851"/>
        <w:rPr>
          <w:b/>
          <w:sz w:val="24"/>
          <w:szCs w:val="24"/>
        </w:rPr>
      </w:pPr>
    </w:p>
    <w:p w14:paraId="1D450701"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E3E032A" w14:textId="7DC30E86" w:rsidR="009B49F4" w:rsidRPr="009B49F4" w:rsidRDefault="009B49F4" w:rsidP="009B49F4">
      <w:pPr>
        <w:tabs>
          <w:tab w:val="left" w:pos="851"/>
        </w:tabs>
        <w:ind w:left="851"/>
        <w:rPr>
          <w:sz w:val="24"/>
          <w:szCs w:val="24"/>
        </w:rPr>
      </w:pPr>
      <w:r w:rsidRPr="009B49F4">
        <w:rPr>
          <w:sz w:val="24"/>
          <w:szCs w:val="24"/>
        </w:rPr>
        <w:t xml:space="preserve">Remifentanil </w:t>
      </w:r>
      <w:r>
        <w:rPr>
          <w:sz w:val="24"/>
          <w:szCs w:val="24"/>
        </w:rPr>
        <w:t>"</w:t>
      </w:r>
      <w:r w:rsidRPr="009B49F4">
        <w:rPr>
          <w:sz w:val="24"/>
          <w:szCs w:val="24"/>
        </w:rPr>
        <w:t>Orion</w:t>
      </w:r>
      <w:r>
        <w:rPr>
          <w:sz w:val="24"/>
          <w:szCs w:val="24"/>
        </w:rPr>
        <w:t>"</w:t>
      </w:r>
      <w:r w:rsidRPr="009B49F4">
        <w:rPr>
          <w:sz w:val="24"/>
          <w:szCs w:val="24"/>
        </w:rPr>
        <w:t xml:space="preserve"> er indiceret som et analgetikum til brug ved indledning og/eller vedligeholdelse af generel anæstesi.</w:t>
      </w:r>
    </w:p>
    <w:p w14:paraId="1C0C289E" w14:textId="29F80097" w:rsidR="009B49F4" w:rsidRPr="009B49F4" w:rsidRDefault="009B49F4" w:rsidP="009B49F4">
      <w:pPr>
        <w:tabs>
          <w:tab w:val="left" w:pos="851"/>
        </w:tabs>
        <w:ind w:left="851"/>
        <w:rPr>
          <w:sz w:val="24"/>
          <w:szCs w:val="24"/>
        </w:rPr>
      </w:pPr>
      <w:r w:rsidRPr="009B49F4">
        <w:rPr>
          <w:sz w:val="24"/>
          <w:szCs w:val="24"/>
        </w:rPr>
        <w:t xml:space="preserve">Remifentanil </w:t>
      </w:r>
      <w:r>
        <w:rPr>
          <w:sz w:val="24"/>
          <w:szCs w:val="24"/>
        </w:rPr>
        <w:t>"</w:t>
      </w:r>
      <w:r w:rsidRPr="009B49F4">
        <w:rPr>
          <w:sz w:val="24"/>
          <w:szCs w:val="24"/>
        </w:rPr>
        <w:t>Orion</w:t>
      </w:r>
      <w:r>
        <w:rPr>
          <w:sz w:val="24"/>
          <w:szCs w:val="24"/>
        </w:rPr>
        <w:t>"</w:t>
      </w:r>
      <w:r w:rsidRPr="009B49F4">
        <w:rPr>
          <w:sz w:val="24"/>
          <w:szCs w:val="24"/>
        </w:rPr>
        <w:t xml:space="preserve"> er indiceret som analgetikum til mekanisk ventilerede patienter, der er i intensivbehandling, og er 18 år og derover.</w:t>
      </w:r>
    </w:p>
    <w:p w14:paraId="05341233" w14:textId="77777777" w:rsidR="009260DE" w:rsidRPr="00C84483" w:rsidRDefault="009260DE" w:rsidP="009260DE">
      <w:pPr>
        <w:tabs>
          <w:tab w:val="left" w:pos="851"/>
        </w:tabs>
        <w:ind w:left="851"/>
        <w:rPr>
          <w:sz w:val="24"/>
          <w:szCs w:val="24"/>
        </w:rPr>
      </w:pPr>
    </w:p>
    <w:p w14:paraId="39AAD9E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1D3FB98" w14:textId="77777777" w:rsidR="00807BD7" w:rsidRPr="00807BD7" w:rsidRDefault="00807BD7" w:rsidP="00807BD7">
      <w:pPr>
        <w:tabs>
          <w:tab w:val="left" w:pos="851"/>
        </w:tabs>
        <w:ind w:left="851"/>
        <w:rPr>
          <w:sz w:val="24"/>
          <w:szCs w:val="24"/>
        </w:rPr>
      </w:pPr>
      <w:r w:rsidRPr="00807BD7">
        <w:rPr>
          <w:sz w:val="24"/>
          <w:szCs w:val="24"/>
        </w:rPr>
        <w:t xml:space="preserve">Remifentanil "Orion" må kun administreres i omgivelser fuldt udstyret til overvågning og understøttelse af respiratorisk og kardiovaskulær funktion, og kun af personer med særlig træning i brugen af anæstetika og i genkendelse og behandling af de forventede bivirkninger ved potente opioider, herunder genoprettelse af respiratorisk og </w:t>
      </w:r>
      <w:r w:rsidRPr="00807BD7">
        <w:rPr>
          <w:sz w:val="24"/>
          <w:szCs w:val="24"/>
        </w:rPr>
        <w:lastRenderedPageBreak/>
        <w:t>kardiovaskulær funktion. Denne træning skal omfatte etablering og vedligeholdelse af frie luftveje og assisteret ventilation.</w:t>
      </w:r>
    </w:p>
    <w:p w14:paraId="7C67D4C6" w14:textId="77777777" w:rsidR="00807BD7" w:rsidRPr="00807BD7" w:rsidRDefault="00807BD7" w:rsidP="00807BD7">
      <w:pPr>
        <w:tabs>
          <w:tab w:val="left" w:pos="851"/>
        </w:tabs>
        <w:ind w:left="851"/>
        <w:rPr>
          <w:sz w:val="24"/>
          <w:szCs w:val="24"/>
        </w:rPr>
      </w:pPr>
    </w:p>
    <w:p w14:paraId="365AB8F9" w14:textId="77777777" w:rsidR="00807BD7" w:rsidRPr="00807BD7" w:rsidRDefault="00807BD7" w:rsidP="00807BD7">
      <w:pPr>
        <w:tabs>
          <w:tab w:val="left" w:pos="851"/>
        </w:tabs>
        <w:ind w:left="851"/>
        <w:rPr>
          <w:b/>
          <w:sz w:val="24"/>
          <w:szCs w:val="24"/>
        </w:rPr>
      </w:pPr>
      <w:r w:rsidRPr="00807BD7">
        <w:rPr>
          <w:b/>
          <w:sz w:val="24"/>
          <w:szCs w:val="24"/>
        </w:rPr>
        <w:t>Generel anæstesi</w:t>
      </w:r>
    </w:p>
    <w:p w14:paraId="5EE7A089" w14:textId="77777777" w:rsidR="00807BD7" w:rsidRPr="00807BD7" w:rsidRDefault="00807BD7" w:rsidP="00807BD7">
      <w:pPr>
        <w:tabs>
          <w:tab w:val="left" w:pos="851"/>
        </w:tabs>
        <w:ind w:left="851"/>
        <w:rPr>
          <w:sz w:val="24"/>
          <w:szCs w:val="24"/>
        </w:rPr>
      </w:pPr>
      <w:r w:rsidRPr="00807BD7">
        <w:rPr>
          <w:sz w:val="24"/>
          <w:szCs w:val="24"/>
        </w:rPr>
        <w:t>Administrationen of Remifentanil "Orion" skal doseres individuelt efter patientens respons.</w:t>
      </w:r>
    </w:p>
    <w:p w14:paraId="77069E14" w14:textId="77777777" w:rsidR="00807BD7" w:rsidRPr="00807BD7" w:rsidRDefault="00807BD7" w:rsidP="00807BD7">
      <w:pPr>
        <w:tabs>
          <w:tab w:val="left" w:pos="851"/>
        </w:tabs>
        <w:ind w:left="851"/>
        <w:rPr>
          <w:sz w:val="24"/>
          <w:szCs w:val="24"/>
        </w:rPr>
      </w:pPr>
    </w:p>
    <w:p w14:paraId="53EB5E33" w14:textId="77777777" w:rsidR="00807BD7" w:rsidRPr="00807BD7" w:rsidRDefault="00807BD7" w:rsidP="00807BD7">
      <w:pPr>
        <w:tabs>
          <w:tab w:val="left" w:pos="851"/>
        </w:tabs>
        <w:ind w:left="851"/>
        <w:rPr>
          <w:iCs/>
          <w:sz w:val="24"/>
          <w:szCs w:val="24"/>
          <w:u w:val="single"/>
        </w:rPr>
      </w:pPr>
      <w:r w:rsidRPr="00807BD7">
        <w:rPr>
          <w:iCs/>
          <w:sz w:val="24"/>
          <w:szCs w:val="24"/>
          <w:u w:val="single"/>
        </w:rPr>
        <w:t>Voksne</w:t>
      </w:r>
    </w:p>
    <w:p w14:paraId="0789AAF7" w14:textId="77777777" w:rsidR="00807BD7" w:rsidRPr="00807BD7" w:rsidRDefault="00807BD7" w:rsidP="00807BD7">
      <w:pPr>
        <w:tabs>
          <w:tab w:val="left" w:pos="851"/>
        </w:tabs>
        <w:ind w:left="851"/>
        <w:rPr>
          <w:i/>
          <w:iCs/>
          <w:sz w:val="24"/>
          <w:szCs w:val="24"/>
          <w:u w:val="single"/>
        </w:rPr>
      </w:pPr>
    </w:p>
    <w:p w14:paraId="47707071" w14:textId="77777777" w:rsidR="00807BD7" w:rsidRPr="00807BD7" w:rsidRDefault="00807BD7" w:rsidP="00807BD7">
      <w:pPr>
        <w:tabs>
          <w:tab w:val="left" w:pos="851"/>
        </w:tabs>
        <w:ind w:left="851"/>
        <w:rPr>
          <w:i/>
          <w:iCs/>
          <w:sz w:val="24"/>
          <w:szCs w:val="24"/>
          <w:u w:val="single"/>
        </w:rPr>
      </w:pPr>
      <w:r w:rsidRPr="00807BD7">
        <w:rPr>
          <w:i/>
          <w:iCs/>
          <w:sz w:val="24"/>
          <w:szCs w:val="24"/>
          <w:u w:val="single"/>
        </w:rPr>
        <w:t>Administration ved manuelt kontrolleret infusion (Manually-Controlled Infusion, MCI)</w:t>
      </w:r>
    </w:p>
    <w:p w14:paraId="3F96670F" w14:textId="77777777" w:rsidR="00807BD7" w:rsidRPr="00807BD7" w:rsidRDefault="00807BD7" w:rsidP="00807BD7">
      <w:pPr>
        <w:tabs>
          <w:tab w:val="left" w:pos="851"/>
        </w:tabs>
        <w:ind w:left="851"/>
        <w:rPr>
          <w:sz w:val="24"/>
          <w:szCs w:val="24"/>
        </w:rPr>
      </w:pPr>
    </w:p>
    <w:p w14:paraId="07FC7349" w14:textId="77777777" w:rsidR="00807BD7" w:rsidRPr="00807BD7" w:rsidRDefault="00807BD7" w:rsidP="00807BD7">
      <w:pPr>
        <w:tabs>
          <w:tab w:val="left" w:pos="851"/>
        </w:tabs>
        <w:ind w:left="851"/>
        <w:rPr>
          <w:sz w:val="24"/>
          <w:szCs w:val="24"/>
        </w:rPr>
      </w:pPr>
      <w:r w:rsidRPr="00807BD7">
        <w:rPr>
          <w:sz w:val="24"/>
          <w:szCs w:val="24"/>
        </w:rPr>
        <w:t>Tabel 1 opsummerer den initiale injektions-/infusionshastighed og dosisinterval:</w:t>
      </w:r>
    </w:p>
    <w:p w14:paraId="7ADF59E9" w14:textId="77777777" w:rsidR="00807BD7" w:rsidRPr="00807BD7" w:rsidRDefault="00807BD7" w:rsidP="00807BD7">
      <w:pPr>
        <w:tabs>
          <w:tab w:val="left" w:pos="851"/>
        </w:tabs>
        <w:ind w:left="851"/>
        <w:rPr>
          <w:sz w:val="24"/>
          <w:szCs w:val="24"/>
        </w:rPr>
      </w:pPr>
    </w:p>
    <w:p w14:paraId="658927CB" w14:textId="77777777" w:rsidR="00807BD7" w:rsidRPr="00807BD7" w:rsidRDefault="00807BD7" w:rsidP="00807BD7">
      <w:pPr>
        <w:tabs>
          <w:tab w:val="left" w:pos="851"/>
        </w:tabs>
        <w:ind w:left="851"/>
        <w:rPr>
          <w:sz w:val="24"/>
          <w:szCs w:val="24"/>
        </w:rPr>
      </w:pPr>
      <w:r w:rsidRPr="00807BD7">
        <w:rPr>
          <w:sz w:val="24"/>
          <w:szCs w:val="24"/>
        </w:rPr>
        <w:t>Tabel 1: Doseringsvejledning for voksne</w:t>
      </w:r>
    </w:p>
    <w:p w14:paraId="59C8832B" w14:textId="77777777" w:rsidR="00807BD7" w:rsidRPr="00807BD7" w:rsidRDefault="00807BD7" w:rsidP="00807BD7">
      <w:pPr>
        <w:tabs>
          <w:tab w:val="left" w:pos="851"/>
        </w:tabs>
        <w:ind w:left="851"/>
        <w:rPr>
          <w:sz w:val="24"/>
          <w:szCs w:val="24"/>
        </w:rPr>
      </w:pPr>
    </w:p>
    <w:tbl>
      <w:tblPr>
        <w:tblW w:w="9135"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5"/>
        <w:gridCol w:w="2214"/>
        <w:gridCol w:w="1985"/>
        <w:gridCol w:w="1901"/>
      </w:tblGrid>
      <w:tr w:rsidR="00807BD7" w:rsidRPr="00807BD7" w14:paraId="11345D7B" w14:textId="77777777" w:rsidTr="007D7CC5">
        <w:trPr>
          <w:trHeight w:val="1016"/>
        </w:trPr>
        <w:tc>
          <w:tcPr>
            <w:tcW w:w="3035" w:type="dxa"/>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7C5CDC16" w14:textId="77777777" w:rsidR="00807BD7" w:rsidRPr="00807BD7" w:rsidRDefault="00807BD7" w:rsidP="007D7CC5">
            <w:pPr>
              <w:ind w:left="81"/>
              <w:rPr>
                <w:sz w:val="24"/>
                <w:szCs w:val="24"/>
                <w:lang w:val="en-GB"/>
              </w:rPr>
            </w:pPr>
            <w:r w:rsidRPr="00807BD7">
              <w:rPr>
                <w:sz w:val="24"/>
                <w:szCs w:val="24"/>
                <w:lang w:val="en-GB"/>
              </w:rPr>
              <w:t>INDIKATION</w:t>
            </w:r>
          </w:p>
        </w:tc>
        <w:tc>
          <w:tcPr>
            <w:tcW w:w="2214" w:type="dxa"/>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11744589" w14:textId="77777777" w:rsidR="00807BD7" w:rsidRPr="00807BD7" w:rsidRDefault="00807BD7" w:rsidP="007D7CC5">
            <w:pPr>
              <w:ind w:left="24"/>
              <w:rPr>
                <w:sz w:val="24"/>
                <w:szCs w:val="24"/>
                <w:lang w:val="en-GB"/>
              </w:rPr>
            </w:pPr>
            <w:r w:rsidRPr="00807BD7">
              <w:rPr>
                <w:sz w:val="24"/>
                <w:szCs w:val="24"/>
                <w:lang w:val="en-GB"/>
              </w:rPr>
              <w:t>BOLUSINJEKTION</w:t>
            </w:r>
          </w:p>
          <w:p w14:paraId="349C50E4" w14:textId="77777777" w:rsidR="00807BD7" w:rsidRPr="00807BD7" w:rsidRDefault="00807BD7" w:rsidP="007D7CC5">
            <w:pPr>
              <w:ind w:left="24"/>
              <w:rPr>
                <w:sz w:val="24"/>
                <w:szCs w:val="24"/>
                <w:lang w:val="en-GB"/>
              </w:rPr>
            </w:pPr>
            <w:r w:rsidRPr="00807BD7">
              <w:rPr>
                <w:sz w:val="24"/>
                <w:szCs w:val="24"/>
                <w:lang w:val="en-GB"/>
              </w:rPr>
              <w:t>(µg/kg)</w:t>
            </w:r>
          </w:p>
        </w:tc>
        <w:tc>
          <w:tcPr>
            <w:tcW w:w="3886"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BD8168A" w14:textId="77777777" w:rsidR="00807BD7" w:rsidRPr="00807BD7" w:rsidRDefault="00807BD7" w:rsidP="007D7CC5">
            <w:pPr>
              <w:ind w:left="77"/>
              <w:rPr>
                <w:sz w:val="24"/>
                <w:szCs w:val="24"/>
              </w:rPr>
            </w:pPr>
            <w:r w:rsidRPr="00807BD7">
              <w:rPr>
                <w:sz w:val="24"/>
                <w:szCs w:val="24"/>
              </w:rPr>
              <w:t>KONTINUERLIG INFUSION</w:t>
            </w:r>
          </w:p>
          <w:p w14:paraId="5BE5928F" w14:textId="77777777" w:rsidR="00807BD7" w:rsidRPr="00807BD7" w:rsidRDefault="00807BD7" w:rsidP="007D7CC5">
            <w:pPr>
              <w:ind w:left="77"/>
              <w:rPr>
                <w:sz w:val="24"/>
                <w:szCs w:val="24"/>
              </w:rPr>
            </w:pPr>
            <w:r w:rsidRPr="00807BD7">
              <w:rPr>
                <w:sz w:val="24"/>
                <w:szCs w:val="24"/>
              </w:rPr>
              <w:t>(µg/kg/min)</w:t>
            </w:r>
          </w:p>
        </w:tc>
      </w:tr>
      <w:tr w:rsidR="00807BD7" w:rsidRPr="00807BD7" w14:paraId="3678CA7E" w14:textId="77777777" w:rsidTr="007D7CC5">
        <w:trPr>
          <w:trHeight w:val="305"/>
        </w:trPr>
        <w:tc>
          <w:tcPr>
            <w:tcW w:w="3035" w:type="dxa"/>
            <w:vMerge/>
            <w:tcBorders>
              <w:top w:val="single" w:sz="6" w:space="0" w:color="000000"/>
              <w:left w:val="single" w:sz="6" w:space="0" w:color="000000"/>
              <w:bottom w:val="single" w:sz="6" w:space="0" w:color="000000"/>
              <w:right w:val="single" w:sz="6" w:space="0" w:color="000000"/>
            </w:tcBorders>
            <w:vAlign w:val="center"/>
            <w:hideMark/>
          </w:tcPr>
          <w:p w14:paraId="20F2EFE2" w14:textId="77777777" w:rsidR="00807BD7" w:rsidRPr="00807BD7" w:rsidRDefault="00807BD7" w:rsidP="007D7CC5">
            <w:pPr>
              <w:ind w:left="81"/>
              <w:rPr>
                <w:sz w:val="24"/>
                <w:szCs w:val="24"/>
              </w:rPr>
            </w:pPr>
          </w:p>
        </w:tc>
        <w:tc>
          <w:tcPr>
            <w:tcW w:w="2214" w:type="dxa"/>
            <w:vMerge/>
            <w:tcBorders>
              <w:top w:val="single" w:sz="6" w:space="0" w:color="000000"/>
              <w:left w:val="single" w:sz="6" w:space="0" w:color="000000"/>
              <w:bottom w:val="single" w:sz="6" w:space="0" w:color="000000"/>
              <w:right w:val="single" w:sz="6" w:space="0" w:color="000000"/>
            </w:tcBorders>
            <w:vAlign w:val="center"/>
            <w:hideMark/>
          </w:tcPr>
          <w:p w14:paraId="22E96D6C" w14:textId="77777777" w:rsidR="00807BD7" w:rsidRPr="00807BD7" w:rsidRDefault="00807BD7" w:rsidP="007D7CC5">
            <w:pPr>
              <w:ind w:left="24"/>
              <w:rPr>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7017842D" w14:textId="77777777" w:rsidR="00807BD7" w:rsidRPr="00807BD7" w:rsidRDefault="00807BD7" w:rsidP="007D7CC5">
            <w:pPr>
              <w:ind w:left="77"/>
              <w:rPr>
                <w:sz w:val="24"/>
                <w:szCs w:val="24"/>
                <w:lang w:val="en-GB"/>
              </w:rPr>
            </w:pPr>
            <w:r w:rsidRPr="00807BD7">
              <w:rPr>
                <w:sz w:val="24"/>
                <w:szCs w:val="24"/>
                <w:lang w:val="en-GB"/>
              </w:rPr>
              <w:t>Initialhastighed</w:t>
            </w:r>
          </w:p>
        </w:tc>
        <w:tc>
          <w:tcPr>
            <w:tcW w:w="190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5136982D" w14:textId="77777777" w:rsidR="00807BD7" w:rsidRPr="00807BD7" w:rsidRDefault="00807BD7" w:rsidP="007D7CC5">
            <w:pPr>
              <w:ind w:left="77"/>
              <w:rPr>
                <w:sz w:val="24"/>
                <w:szCs w:val="24"/>
                <w:lang w:val="en-GB"/>
              </w:rPr>
            </w:pPr>
            <w:r w:rsidRPr="00807BD7">
              <w:rPr>
                <w:sz w:val="24"/>
                <w:szCs w:val="24"/>
                <w:lang w:val="en-GB"/>
              </w:rPr>
              <w:t>Interval</w:t>
            </w:r>
          </w:p>
        </w:tc>
      </w:tr>
      <w:tr w:rsidR="00807BD7" w:rsidRPr="00807BD7" w14:paraId="365C148E" w14:textId="77777777" w:rsidTr="007D7CC5">
        <w:trPr>
          <w:trHeight w:val="864"/>
        </w:trPr>
        <w:tc>
          <w:tcPr>
            <w:tcW w:w="3035" w:type="dxa"/>
            <w:tcBorders>
              <w:top w:val="single" w:sz="6" w:space="0" w:color="000000"/>
              <w:left w:val="single" w:sz="6" w:space="0" w:color="000000"/>
              <w:bottom w:val="nil"/>
              <w:right w:val="single" w:sz="6" w:space="0" w:color="000000"/>
            </w:tcBorders>
            <w:tcMar>
              <w:top w:w="57" w:type="dxa"/>
              <w:left w:w="57" w:type="dxa"/>
              <w:bottom w:w="57" w:type="dxa"/>
              <w:right w:w="57" w:type="dxa"/>
            </w:tcMar>
            <w:hideMark/>
          </w:tcPr>
          <w:p w14:paraId="52FD1CF0" w14:textId="77777777" w:rsidR="00807BD7" w:rsidRPr="00807BD7" w:rsidRDefault="00807BD7" w:rsidP="007D7CC5">
            <w:pPr>
              <w:ind w:left="81"/>
              <w:rPr>
                <w:sz w:val="24"/>
                <w:szCs w:val="24"/>
                <w:lang w:val="en-GB"/>
              </w:rPr>
            </w:pPr>
            <w:r w:rsidRPr="00807BD7">
              <w:rPr>
                <w:sz w:val="24"/>
                <w:szCs w:val="24"/>
                <w:lang w:val="en-GB"/>
              </w:rPr>
              <w:t>Indledning af anæstesi</w:t>
            </w:r>
          </w:p>
        </w:tc>
        <w:tc>
          <w:tcPr>
            <w:tcW w:w="2214" w:type="dxa"/>
            <w:tcBorders>
              <w:top w:val="single" w:sz="6" w:space="0" w:color="000000"/>
              <w:left w:val="single" w:sz="6" w:space="0" w:color="000000"/>
              <w:bottom w:val="nil"/>
              <w:right w:val="single" w:sz="6" w:space="0" w:color="000000"/>
            </w:tcBorders>
            <w:tcMar>
              <w:top w:w="57" w:type="dxa"/>
              <w:left w:w="57" w:type="dxa"/>
              <w:bottom w:w="57" w:type="dxa"/>
              <w:right w:w="57" w:type="dxa"/>
            </w:tcMar>
            <w:hideMark/>
          </w:tcPr>
          <w:p w14:paraId="534C02DF" w14:textId="77777777" w:rsidR="00807BD7" w:rsidRPr="00807BD7" w:rsidRDefault="00807BD7" w:rsidP="007D7CC5">
            <w:pPr>
              <w:ind w:left="24"/>
              <w:rPr>
                <w:sz w:val="24"/>
                <w:szCs w:val="24"/>
                <w:lang w:val="en-GB"/>
              </w:rPr>
            </w:pPr>
            <w:r w:rsidRPr="00807BD7">
              <w:rPr>
                <w:sz w:val="24"/>
                <w:szCs w:val="24"/>
                <w:lang w:val="en-GB"/>
              </w:rPr>
              <w:t>1 (administreret over mindst 30 sekunder)</w:t>
            </w:r>
          </w:p>
        </w:tc>
        <w:tc>
          <w:tcPr>
            <w:tcW w:w="1985" w:type="dxa"/>
            <w:tcBorders>
              <w:top w:val="single" w:sz="6" w:space="0" w:color="000000"/>
              <w:left w:val="single" w:sz="6" w:space="0" w:color="000000"/>
              <w:bottom w:val="nil"/>
              <w:right w:val="single" w:sz="6" w:space="0" w:color="000000"/>
            </w:tcBorders>
            <w:tcMar>
              <w:top w:w="57" w:type="dxa"/>
              <w:left w:w="57" w:type="dxa"/>
              <w:bottom w:w="57" w:type="dxa"/>
              <w:right w:w="57" w:type="dxa"/>
            </w:tcMar>
            <w:hideMark/>
          </w:tcPr>
          <w:p w14:paraId="2616FD21" w14:textId="77777777" w:rsidR="00807BD7" w:rsidRPr="00807BD7" w:rsidRDefault="00807BD7" w:rsidP="007D7CC5">
            <w:pPr>
              <w:ind w:left="77"/>
              <w:rPr>
                <w:sz w:val="24"/>
                <w:szCs w:val="24"/>
                <w:lang w:val="en-GB"/>
              </w:rPr>
            </w:pPr>
            <w:r w:rsidRPr="00807BD7">
              <w:rPr>
                <w:sz w:val="24"/>
                <w:szCs w:val="24"/>
                <w:lang w:val="en-GB"/>
              </w:rPr>
              <w:t>0,5 til 1</w:t>
            </w:r>
          </w:p>
        </w:tc>
        <w:tc>
          <w:tcPr>
            <w:tcW w:w="1901" w:type="dxa"/>
            <w:tcBorders>
              <w:top w:val="single" w:sz="6" w:space="0" w:color="000000"/>
              <w:left w:val="single" w:sz="6" w:space="0" w:color="000000"/>
              <w:bottom w:val="nil"/>
              <w:right w:val="single" w:sz="6" w:space="0" w:color="000000"/>
            </w:tcBorders>
            <w:tcMar>
              <w:top w:w="57" w:type="dxa"/>
              <w:left w:w="57" w:type="dxa"/>
              <w:bottom w:w="57" w:type="dxa"/>
              <w:right w:w="57" w:type="dxa"/>
            </w:tcMar>
            <w:hideMark/>
          </w:tcPr>
          <w:p w14:paraId="5AF9A5D7" w14:textId="77777777" w:rsidR="00807BD7" w:rsidRPr="00807BD7" w:rsidRDefault="00807BD7" w:rsidP="007D7CC5">
            <w:pPr>
              <w:ind w:left="77"/>
              <w:rPr>
                <w:sz w:val="24"/>
                <w:szCs w:val="24"/>
                <w:lang w:val="en-GB"/>
              </w:rPr>
            </w:pPr>
            <w:r w:rsidRPr="00807BD7">
              <w:rPr>
                <w:sz w:val="24"/>
                <w:szCs w:val="24"/>
                <w:lang w:val="en-GB"/>
              </w:rPr>
              <w:t>_</w:t>
            </w:r>
          </w:p>
        </w:tc>
      </w:tr>
      <w:tr w:rsidR="00807BD7" w:rsidRPr="00807BD7" w14:paraId="2B0FD20F" w14:textId="77777777" w:rsidTr="007D7CC5">
        <w:trPr>
          <w:trHeight w:val="596"/>
        </w:trPr>
        <w:tc>
          <w:tcPr>
            <w:tcW w:w="3035" w:type="dxa"/>
            <w:tcBorders>
              <w:top w:val="nil"/>
              <w:left w:val="single" w:sz="6" w:space="0" w:color="000000"/>
              <w:bottom w:val="nil"/>
              <w:right w:val="single" w:sz="6" w:space="0" w:color="000000"/>
            </w:tcBorders>
            <w:tcMar>
              <w:top w:w="57" w:type="dxa"/>
              <w:left w:w="57" w:type="dxa"/>
              <w:bottom w:w="57" w:type="dxa"/>
              <w:right w:w="57" w:type="dxa"/>
            </w:tcMar>
            <w:hideMark/>
          </w:tcPr>
          <w:p w14:paraId="058D5133" w14:textId="77777777" w:rsidR="00807BD7" w:rsidRPr="00807BD7" w:rsidRDefault="00807BD7" w:rsidP="007D7CC5">
            <w:pPr>
              <w:ind w:left="81"/>
              <w:rPr>
                <w:sz w:val="24"/>
                <w:szCs w:val="24"/>
              </w:rPr>
            </w:pPr>
            <w:r w:rsidRPr="00807BD7">
              <w:rPr>
                <w:sz w:val="24"/>
                <w:szCs w:val="24"/>
              </w:rPr>
              <w:t>Vedligeholdelse af anæstesi hos ventilerede patienter</w:t>
            </w:r>
          </w:p>
        </w:tc>
        <w:tc>
          <w:tcPr>
            <w:tcW w:w="2214" w:type="dxa"/>
            <w:tcBorders>
              <w:top w:val="nil"/>
              <w:left w:val="single" w:sz="6" w:space="0" w:color="000000"/>
              <w:bottom w:val="nil"/>
              <w:right w:val="single" w:sz="6" w:space="0" w:color="000000"/>
            </w:tcBorders>
            <w:tcMar>
              <w:top w:w="57" w:type="dxa"/>
              <w:left w:w="57" w:type="dxa"/>
              <w:bottom w:w="57" w:type="dxa"/>
              <w:right w:w="57" w:type="dxa"/>
            </w:tcMar>
          </w:tcPr>
          <w:p w14:paraId="1970BB31" w14:textId="77777777" w:rsidR="00807BD7" w:rsidRPr="00807BD7" w:rsidRDefault="00807BD7" w:rsidP="007D7CC5">
            <w:pPr>
              <w:ind w:left="24"/>
              <w:rPr>
                <w:sz w:val="24"/>
                <w:szCs w:val="24"/>
              </w:rPr>
            </w:pPr>
          </w:p>
        </w:tc>
        <w:tc>
          <w:tcPr>
            <w:tcW w:w="1985" w:type="dxa"/>
            <w:tcBorders>
              <w:top w:val="nil"/>
              <w:left w:val="single" w:sz="6" w:space="0" w:color="000000"/>
              <w:bottom w:val="nil"/>
              <w:right w:val="single" w:sz="6" w:space="0" w:color="000000"/>
            </w:tcBorders>
            <w:tcMar>
              <w:top w:w="57" w:type="dxa"/>
              <w:left w:w="57" w:type="dxa"/>
              <w:bottom w:w="57" w:type="dxa"/>
              <w:right w:w="57" w:type="dxa"/>
            </w:tcMar>
          </w:tcPr>
          <w:p w14:paraId="14C9F9FB" w14:textId="77777777" w:rsidR="00807BD7" w:rsidRPr="00807BD7" w:rsidRDefault="00807BD7" w:rsidP="007D7CC5">
            <w:pPr>
              <w:ind w:left="77"/>
              <w:rPr>
                <w:sz w:val="24"/>
                <w:szCs w:val="24"/>
              </w:rPr>
            </w:pPr>
          </w:p>
        </w:tc>
        <w:tc>
          <w:tcPr>
            <w:tcW w:w="1901" w:type="dxa"/>
            <w:tcBorders>
              <w:top w:val="nil"/>
              <w:left w:val="single" w:sz="6" w:space="0" w:color="000000"/>
              <w:bottom w:val="nil"/>
              <w:right w:val="single" w:sz="6" w:space="0" w:color="000000"/>
            </w:tcBorders>
            <w:tcMar>
              <w:top w:w="57" w:type="dxa"/>
              <w:left w:w="57" w:type="dxa"/>
              <w:bottom w:w="57" w:type="dxa"/>
              <w:right w:w="57" w:type="dxa"/>
            </w:tcMar>
          </w:tcPr>
          <w:p w14:paraId="2387C7FC" w14:textId="77777777" w:rsidR="00807BD7" w:rsidRPr="00807BD7" w:rsidRDefault="00807BD7" w:rsidP="007D7CC5">
            <w:pPr>
              <w:ind w:left="77"/>
              <w:rPr>
                <w:sz w:val="24"/>
                <w:szCs w:val="24"/>
              </w:rPr>
            </w:pPr>
          </w:p>
        </w:tc>
      </w:tr>
      <w:tr w:rsidR="00807BD7" w:rsidRPr="00807BD7" w14:paraId="38FEEA9D" w14:textId="77777777" w:rsidTr="007D7CC5">
        <w:trPr>
          <w:trHeight w:val="450"/>
        </w:trPr>
        <w:tc>
          <w:tcPr>
            <w:tcW w:w="3035" w:type="dxa"/>
            <w:tcBorders>
              <w:top w:val="nil"/>
              <w:left w:val="single" w:sz="6" w:space="0" w:color="000000"/>
              <w:bottom w:val="nil"/>
              <w:right w:val="single" w:sz="6" w:space="0" w:color="000000"/>
            </w:tcBorders>
            <w:tcMar>
              <w:top w:w="57" w:type="dxa"/>
              <w:left w:w="57" w:type="dxa"/>
              <w:bottom w:w="57" w:type="dxa"/>
              <w:right w:w="57" w:type="dxa"/>
            </w:tcMar>
            <w:hideMark/>
          </w:tcPr>
          <w:p w14:paraId="18FA562E" w14:textId="77777777" w:rsidR="00807BD7" w:rsidRPr="00807BD7" w:rsidRDefault="00807BD7" w:rsidP="007D7CC5">
            <w:pPr>
              <w:numPr>
                <w:ilvl w:val="0"/>
                <w:numId w:val="6"/>
              </w:numPr>
              <w:ind w:left="81"/>
              <w:rPr>
                <w:sz w:val="24"/>
                <w:szCs w:val="24"/>
                <w:lang w:val="en-GB"/>
              </w:rPr>
            </w:pPr>
            <w:r w:rsidRPr="00807BD7">
              <w:rPr>
                <w:sz w:val="24"/>
                <w:szCs w:val="24"/>
                <w:lang w:val="en-GB"/>
              </w:rPr>
              <w:t>Nitrogenoxid (66 %)</w:t>
            </w:r>
          </w:p>
        </w:tc>
        <w:tc>
          <w:tcPr>
            <w:tcW w:w="2214" w:type="dxa"/>
            <w:tcBorders>
              <w:top w:val="nil"/>
              <w:left w:val="single" w:sz="6" w:space="0" w:color="000000"/>
              <w:bottom w:val="nil"/>
              <w:right w:val="single" w:sz="6" w:space="0" w:color="000000"/>
            </w:tcBorders>
            <w:tcMar>
              <w:top w:w="57" w:type="dxa"/>
              <w:left w:w="57" w:type="dxa"/>
              <w:bottom w:w="57" w:type="dxa"/>
              <w:right w:w="57" w:type="dxa"/>
            </w:tcMar>
            <w:hideMark/>
          </w:tcPr>
          <w:p w14:paraId="56C8D630" w14:textId="77777777" w:rsidR="00807BD7" w:rsidRPr="00807BD7" w:rsidRDefault="00807BD7" w:rsidP="007D7CC5">
            <w:pPr>
              <w:ind w:left="24"/>
              <w:rPr>
                <w:sz w:val="24"/>
                <w:szCs w:val="24"/>
                <w:lang w:val="en-GB"/>
              </w:rPr>
            </w:pPr>
            <w:r w:rsidRPr="00807BD7">
              <w:rPr>
                <w:sz w:val="24"/>
                <w:szCs w:val="24"/>
                <w:lang w:val="en-GB"/>
              </w:rPr>
              <w:t>0,5 til 1</w:t>
            </w:r>
          </w:p>
        </w:tc>
        <w:tc>
          <w:tcPr>
            <w:tcW w:w="1985" w:type="dxa"/>
            <w:tcBorders>
              <w:top w:val="nil"/>
              <w:left w:val="single" w:sz="6" w:space="0" w:color="000000"/>
              <w:bottom w:val="nil"/>
              <w:right w:val="single" w:sz="6" w:space="0" w:color="000000"/>
            </w:tcBorders>
            <w:tcMar>
              <w:top w:w="57" w:type="dxa"/>
              <w:left w:w="57" w:type="dxa"/>
              <w:bottom w:w="57" w:type="dxa"/>
              <w:right w:w="57" w:type="dxa"/>
            </w:tcMar>
            <w:hideMark/>
          </w:tcPr>
          <w:p w14:paraId="71CDC11B" w14:textId="77777777" w:rsidR="00807BD7" w:rsidRPr="00807BD7" w:rsidRDefault="00807BD7" w:rsidP="007D7CC5">
            <w:pPr>
              <w:ind w:left="77"/>
              <w:rPr>
                <w:sz w:val="24"/>
                <w:szCs w:val="24"/>
                <w:lang w:val="en-GB"/>
              </w:rPr>
            </w:pPr>
            <w:r w:rsidRPr="00807BD7">
              <w:rPr>
                <w:sz w:val="24"/>
                <w:szCs w:val="24"/>
                <w:lang w:val="en-GB"/>
              </w:rPr>
              <w:t>0,4</w:t>
            </w:r>
          </w:p>
        </w:tc>
        <w:tc>
          <w:tcPr>
            <w:tcW w:w="1901" w:type="dxa"/>
            <w:tcBorders>
              <w:top w:val="nil"/>
              <w:left w:val="single" w:sz="6" w:space="0" w:color="000000"/>
              <w:bottom w:val="nil"/>
              <w:right w:val="single" w:sz="6" w:space="0" w:color="000000"/>
            </w:tcBorders>
            <w:tcMar>
              <w:top w:w="57" w:type="dxa"/>
              <w:left w:w="57" w:type="dxa"/>
              <w:bottom w:w="57" w:type="dxa"/>
              <w:right w:w="57" w:type="dxa"/>
            </w:tcMar>
            <w:hideMark/>
          </w:tcPr>
          <w:p w14:paraId="7D76288F" w14:textId="77777777" w:rsidR="00807BD7" w:rsidRPr="00807BD7" w:rsidRDefault="00807BD7" w:rsidP="007D7CC5">
            <w:pPr>
              <w:ind w:left="77"/>
              <w:rPr>
                <w:sz w:val="24"/>
                <w:szCs w:val="24"/>
                <w:lang w:val="en-GB"/>
              </w:rPr>
            </w:pPr>
            <w:r w:rsidRPr="00807BD7">
              <w:rPr>
                <w:sz w:val="24"/>
                <w:szCs w:val="24"/>
                <w:lang w:val="en-GB"/>
              </w:rPr>
              <w:t>0,1 til 2</w:t>
            </w:r>
          </w:p>
        </w:tc>
      </w:tr>
      <w:tr w:rsidR="00807BD7" w:rsidRPr="00807BD7" w14:paraId="0CC912E4" w14:textId="77777777" w:rsidTr="007D7CC5">
        <w:trPr>
          <w:trHeight w:val="600"/>
        </w:trPr>
        <w:tc>
          <w:tcPr>
            <w:tcW w:w="3035" w:type="dxa"/>
            <w:tcBorders>
              <w:top w:val="nil"/>
              <w:left w:val="single" w:sz="6" w:space="0" w:color="000000"/>
              <w:bottom w:val="nil"/>
              <w:right w:val="single" w:sz="6" w:space="0" w:color="000000"/>
            </w:tcBorders>
            <w:tcMar>
              <w:top w:w="57" w:type="dxa"/>
              <w:left w:w="57" w:type="dxa"/>
              <w:bottom w:w="57" w:type="dxa"/>
              <w:right w:w="57" w:type="dxa"/>
            </w:tcMar>
            <w:hideMark/>
          </w:tcPr>
          <w:p w14:paraId="267B5BD5" w14:textId="77777777" w:rsidR="00807BD7" w:rsidRPr="00807BD7" w:rsidRDefault="00807BD7" w:rsidP="007D7CC5">
            <w:pPr>
              <w:numPr>
                <w:ilvl w:val="0"/>
                <w:numId w:val="7"/>
              </w:numPr>
              <w:ind w:left="81"/>
              <w:rPr>
                <w:sz w:val="24"/>
                <w:szCs w:val="24"/>
                <w:lang w:val="en-GB"/>
              </w:rPr>
            </w:pPr>
            <w:r w:rsidRPr="00807BD7">
              <w:rPr>
                <w:sz w:val="24"/>
                <w:szCs w:val="24"/>
                <w:lang w:val="en-GB"/>
              </w:rPr>
              <w:t>Isofluran (initialdosis 0.5 MAC)</w:t>
            </w:r>
          </w:p>
        </w:tc>
        <w:tc>
          <w:tcPr>
            <w:tcW w:w="2214" w:type="dxa"/>
            <w:tcBorders>
              <w:top w:val="nil"/>
              <w:left w:val="single" w:sz="6" w:space="0" w:color="000000"/>
              <w:bottom w:val="nil"/>
              <w:right w:val="single" w:sz="6" w:space="0" w:color="000000"/>
            </w:tcBorders>
            <w:tcMar>
              <w:top w:w="57" w:type="dxa"/>
              <w:left w:w="57" w:type="dxa"/>
              <w:bottom w:w="57" w:type="dxa"/>
              <w:right w:w="57" w:type="dxa"/>
            </w:tcMar>
            <w:hideMark/>
          </w:tcPr>
          <w:p w14:paraId="657EC934" w14:textId="77777777" w:rsidR="00807BD7" w:rsidRPr="00807BD7" w:rsidRDefault="00807BD7" w:rsidP="007D7CC5">
            <w:pPr>
              <w:ind w:left="24"/>
              <w:rPr>
                <w:sz w:val="24"/>
                <w:szCs w:val="24"/>
                <w:lang w:val="en-GB"/>
              </w:rPr>
            </w:pPr>
            <w:r w:rsidRPr="00807BD7">
              <w:rPr>
                <w:sz w:val="24"/>
                <w:szCs w:val="24"/>
                <w:lang w:val="en-GB"/>
              </w:rPr>
              <w:t>0,5 til 1</w:t>
            </w:r>
          </w:p>
        </w:tc>
        <w:tc>
          <w:tcPr>
            <w:tcW w:w="1985" w:type="dxa"/>
            <w:tcBorders>
              <w:top w:val="nil"/>
              <w:left w:val="single" w:sz="6" w:space="0" w:color="000000"/>
              <w:bottom w:val="nil"/>
              <w:right w:val="single" w:sz="6" w:space="0" w:color="000000"/>
            </w:tcBorders>
            <w:tcMar>
              <w:top w:w="57" w:type="dxa"/>
              <w:left w:w="57" w:type="dxa"/>
              <w:bottom w:w="57" w:type="dxa"/>
              <w:right w:w="57" w:type="dxa"/>
            </w:tcMar>
            <w:hideMark/>
          </w:tcPr>
          <w:p w14:paraId="4BF9AD07" w14:textId="77777777" w:rsidR="00807BD7" w:rsidRPr="00807BD7" w:rsidRDefault="00807BD7" w:rsidP="007D7CC5">
            <w:pPr>
              <w:ind w:left="77"/>
              <w:rPr>
                <w:sz w:val="24"/>
                <w:szCs w:val="24"/>
                <w:lang w:val="en-GB"/>
              </w:rPr>
            </w:pPr>
            <w:r w:rsidRPr="00807BD7">
              <w:rPr>
                <w:sz w:val="24"/>
                <w:szCs w:val="24"/>
                <w:lang w:val="en-GB"/>
              </w:rPr>
              <w:t>0,25</w:t>
            </w:r>
          </w:p>
        </w:tc>
        <w:tc>
          <w:tcPr>
            <w:tcW w:w="1901" w:type="dxa"/>
            <w:tcBorders>
              <w:top w:val="nil"/>
              <w:left w:val="single" w:sz="6" w:space="0" w:color="000000"/>
              <w:bottom w:val="nil"/>
              <w:right w:val="single" w:sz="6" w:space="0" w:color="000000"/>
            </w:tcBorders>
            <w:tcMar>
              <w:top w:w="57" w:type="dxa"/>
              <w:left w:w="57" w:type="dxa"/>
              <w:bottom w:w="57" w:type="dxa"/>
              <w:right w:w="57" w:type="dxa"/>
            </w:tcMar>
            <w:hideMark/>
          </w:tcPr>
          <w:p w14:paraId="446FB6EA" w14:textId="77777777" w:rsidR="00807BD7" w:rsidRPr="00807BD7" w:rsidRDefault="00807BD7" w:rsidP="007D7CC5">
            <w:pPr>
              <w:ind w:left="77"/>
              <w:rPr>
                <w:sz w:val="24"/>
                <w:szCs w:val="24"/>
                <w:lang w:val="en-GB"/>
              </w:rPr>
            </w:pPr>
            <w:r w:rsidRPr="00807BD7">
              <w:rPr>
                <w:sz w:val="24"/>
                <w:szCs w:val="24"/>
                <w:lang w:val="en-GB"/>
              </w:rPr>
              <w:t>0,05 til 2</w:t>
            </w:r>
          </w:p>
        </w:tc>
      </w:tr>
      <w:tr w:rsidR="00807BD7" w:rsidRPr="00807BD7" w14:paraId="57FD875C" w14:textId="77777777" w:rsidTr="007D7CC5">
        <w:trPr>
          <w:trHeight w:val="595"/>
        </w:trPr>
        <w:tc>
          <w:tcPr>
            <w:tcW w:w="3035" w:type="dxa"/>
            <w:tcBorders>
              <w:top w:val="nil"/>
              <w:left w:val="single" w:sz="6" w:space="0" w:color="000000"/>
              <w:bottom w:val="single" w:sz="6" w:space="0" w:color="000000"/>
              <w:right w:val="single" w:sz="6" w:space="0" w:color="000000"/>
            </w:tcBorders>
            <w:tcMar>
              <w:top w:w="57" w:type="dxa"/>
              <w:left w:w="57" w:type="dxa"/>
              <w:bottom w:w="57" w:type="dxa"/>
              <w:right w:w="57" w:type="dxa"/>
            </w:tcMar>
            <w:hideMark/>
          </w:tcPr>
          <w:p w14:paraId="18E66D2D" w14:textId="77777777" w:rsidR="00807BD7" w:rsidRPr="00807BD7" w:rsidRDefault="00807BD7" w:rsidP="007D7CC5">
            <w:pPr>
              <w:numPr>
                <w:ilvl w:val="0"/>
                <w:numId w:val="8"/>
              </w:numPr>
              <w:ind w:left="81"/>
              <w:rPr>
                <w:sz w:val="24"/>
                <w:szCs w:val="24"/>
              </w:rPr>
            </w:pPr>
            <w:r w:rsidRPr="00807BD7">
              <w:rPr>
                <w:sz w:val="24"/>
                <w:szCs w:val="24"/>
              </w:rPr>
              <w:t>Propofol (initialdosis 100 µg/kg/min)</w:t>
            </w:r>
          </w:p>
        </w:tc>
        <w:tc>
          <w:tcPr>
            <w:tcW w:w="2214" w:type="dxa"/>
            <w:tcBorders>
              <w:top w:val="nil"/>
              <w:left w:val="single" w:sz="6" w:space="0" w:color="000000"/>
              <w:bottom w:val="single" w:sz="6" w:space="0" w:color="000000"/>
              <w:right w:val="single" w:sz="6" w:space="0" w:color="000000"/>
            </w:tcBorders>
            <w:tcMar>
              <w:top w:w="57" w:type="dxa"/>
              <w:left w:w="57" w:type="dxa"/>
              <w:bottom w:w="57" w:type="dxa"/>
              <w:right w:w="57" w:type="dxa"/>
            </w:tcMar>
            <w:hideMark/>
          </w:tcPr>
          <w:p w14:paraId="5AF7219A" w14:textId="77777777" w:rsidR="00807BD7" w:rsidRPr="00807BD7" w:rsidRDefault="00807BD7" w:rsidP="007D7CC5">
            <w:pPr>
              <w:ind w:left="24"/>
              <w:rPr>
                <w:sz w:val="24"/>
                <w:szCs w:val="24"/>
                <w:lang w:val="en-GB"/>
              </w:rPr>
            </w:pPr>
            <w:r w:rsidRPr="00807BD7">
              <w:rPr>
                <w:sz w:val="24"/>
                <w:szCs w:val="24"/>
                <w:lang w:val="en-GB"/>
              </w:rPr>
              <w:t>0,5 til 1</w:t>
            </w:r>
          </w:p>
        </w:tc>
        <w:tc>
          <w:tcPr>
            <w:tcW w:w="1985" w:type="dxa"/>
            <w:tcBorders>
              <w:top w:val="nil"/>
              <w:left w:val="single" w:sz="6" w:space="0" w:color="000000"/>
              <w:bottom w:val="single" w:sz="6" w:space="0" w:color="000000"/>
              <w:right w:val="single" w:sz="6" w:space="0" w:color="000000"/>
            </w:tcBorders>
            <w:tcMar>
              <w:top w:w="57" w:type="dxa"/>
              <w:left w:w="57" w:type="dxa"/>
              <w:bottom w:w="57" w:type="dxa"/>
              <w:right w:w="57" w:type="dxa"/>
            </w:tcMar>
            <w:hideMark/>
          </w:tcPr>
          <w:p w14:paraId="55D0EB02" w14:textId="77777777" w:rsidR="00807BD7" w:rsidRPr="00807BD7" w:rsidRDefault="00807BD7" w:rsidP="007D7CC5">
            <w:pPr>
              <w:ind w:left="77"/>
              <w:rPr>
                <w:sz w:val="24"/>
                <w:szCs w:val="24"/>
                <w:lang w:val="en-GB"/>
              </w:rPr>
            </w:pPr>
            <w:r w:rsidRPr="00807BD7">
              <w:rPr>
                <w:sz w:val="24"/>
                <w:szCs w:val="24"/>
                <w:lang w:val="en-GB"/>
              </w:rPr>
              <w:t>0,25</w:t>
            </w:r>
          </w:p>
        </w:tc>
        <w:tc>
          <w:tcPr>
            <w:tcW w:w="1901" w:type="dxa"/>
            <w:tcBorders>
              <w:top w:val="nil"/>
              <w:left w:val="single" w:sz="6" w:space="0" w:color="000000"/>
              <w:bottom w:val="single" w:sz="6" w:space="0" w:color="000000"/>
              <w:right w:val="single" w:sz="6" w:space="0" w:color="000000"/>
            </w:tcBorders>
            <w:tcMar>
              <w:top w:w="57" w:type="dxa"/>
              <w:left w:w="57" w:type="dxa"/>
              <w:bottom w:w="57" w:type="dxa"/>
              <w:right w:w="57" w:type="dxa"/>
            </w:tcMar>
            <w:hideMark/>
          </w:tcPr>
          <w:p w14:paraId="4AD4924E" w14:textId="77777777" w:rsidR="00807BD7" w:rsidRPr="00807BD7" w:rsidRDefault="00807BD7" w:rsidP="007D7CC5">
            <w:pPr>
              <w:ind w:left="77"/>
              <w:rPr>
                <w:sz w:val="24"/>
                <w:szCs w:val="24"/>
                <w:lang w:val="en-GB"/>
              </w:rPr>
            </w:pPr>
            <w:r w:rsidRPr="00807BD7">
              <w:rPr>
                <w:sz w:val="24"/>
                <w:szCs w:val="24"/>
                <w:lang w:val="en-GB"/>
              </w:rPr>
              <w:t>0,05 til 2</w:t>
            </w:r>
          </w:p>
        </w:tc>
      </w:tr>
    </w:tbl>
    <w:p w14:paraId="343ECA23" w14:textId="77777777" w:rsidR="00807BD7" w:rsidRPr="00807BD7" w:rsidRDefault="00807BD7" w:rsidP="00807BD7">
      <w:pPr>
        <w:tabs>
          <w:tab w:val="left" w:pos="851"/>
        </w:tabs>
        <w:ind w:left="851"/>
        <w:rPr>
          <w:sz w:val="24"/>
          <w:szCs w:val="24"/>
        </w:rPr>
      </w:pPr>
    </w:p>
    <w:p w14:paraId="67DD61E6" w14:textId="77777777" w:rsidR="00807BD7" w:rsidRPr="00807BD7" w:rsidRDefault="00807BD7" w:rsidP="00807BD7">
      <w:pPr>
        <w:tabs>
          <w:tab w:val="left" w:pos="851"/>
        </w:tabs>
        <w:ind w:left="851"/>
        <w:rPr>
          <w:sz w:val="24"/>
          <w:szCs w:val="24"/>
        </w:rPr>
      </w:pPr>
      <w:r w:rsidRPr="00807BD7">
        <w:rPr>
          <w:sz w:val="24"/>
          <w:szCs w:val="24"/>
        </w:rPr>
        <w:t>Når Remifentanil "Orion" administreres som en langsom bolusinjektion, skal det administreres over mindst 30 sekunder.</w:t>
      </w:r>
    </w:p>
    <w:p w14:paraId="3301B5CF" w14:textId="77777777" w:rsidR="00807BD7" w:rsidRPr="00807BD7" w:rsidRDefault="00807BD7" w:rsidP="00807BD7">
      <w:pPr>
        <w:tabs>
          <w:tab w:val="left" w:pos="851"/>
        </w:tabs>
        <w:ind w:left="851"/>
        <w:rPr>
          <w:sz w:val="24"/>
          <w:szCs w:val="24"/>
        </w:rPr>
      </w:pPr>
    </w:p>
    <w:p w14:paraId="63A88656" w14:textId="77777777" w:rsidR="00807BD7" w:rsidRPr="00807BD7" w:rsidRDefault="00807BD7" w:rsidP="00807BD7">
      <w:pPr>
        <w:tabs>
          <w:tab w:val="left" w:pos="851"/>
        </w:tabs>
        <w:ind w:left="851"/>
        <w:rPr>
          <w:sz w:val="24"/>
          <w:szCs w:val="24"/>
        </w:rPr>
      </w:pPr>
      <w:r w:rsidRPr="00807BD7">
        <w:rPr>
          <w:sz w:val="24"/>
          <w:szCs w:val="24"/>
        </w:rPr>
        <w:t>Remifentanil reducerer signifikant den nødvendige mængde hypnotikum, der kræves til vedligeholdelse af anæstesien, ved de anbefalede doser angivet ovenfor. Derfor bør isofluran og propofol administreres som anbefalet ovenfor, for at undgå en øget hæmodynamisk virkning, såsom hypotension og bradykardi (se afsnittet "Samtidig medicinering").</w:t>
      </w:r>
    </w:p>
    <w:p w14:paraId="53367DAA" w14:textId="77777777" w:rsidR="00807BD7" w:rsidRPr="00807BD7" w:rsidRDefault="00807BD7" w:rsidP="00807BD7">
      <w:pPr>
        <w:tabs>
          <w:tab w:val="left" w:pos="851"/>
        </w:tabs>
        <w:ind w:left="851"/>
        <w:rPr>
          <w:sz w:val="24"/>
          <w:szCs w:val="24"/>
        </w:rPr>
      </w:pPr>
    </w:p>
    <w:p w14:paraId="6C7FB63A" w14:textId="77777777" w:rsidR="00807BD7" w:rsidRPr="00807BD7" w:rsidRDefault="00807BD7" w:rsidP="00807BD7">
      <w:pPr>
        <w:tabs>
          <w:tab w:val="left" w:pos="851"/>
        </w:tabs>
        <w:ind w:left="851"/>
        <w:rPr>
          <w:sz w:val="24"/>
          <w:szCs w:val="24"/>
        </w:rPr>
      </w:pPr>
      <w:r w:rsidRPr="00807BD7">
        <w:rPr>
          <w:sz w:val="24"/>
          <w:szCs w:val="24"/>
        </w:rPr>
        <w:t>Der foreligger ingen oplysninger om doseringsanbefalinger ved samtidig brug af andre hypnotika end dem, der er anført i tabel 1 med remifentanil.</w:t>
      </w:r>
    </w:p>
    <w:p w14:paraId="7A7EB63E" w14:textId="77777777" w:rsidR="00807BD7" w:rsidRPr="00807BD7" w:rsidRDefault="00807BD7" w:rsidP="00807BD7">
      <w:pPr>
        <w:tabs>
          <w:tab w:val="left" w:pos="851"/>
        </w:tabs>
        <w:ind w:left="851"/>
        <w:rPr>
          <w:sz w:val="24"/>
          <w:szCs w:val="24"/>
        </w:rPr>
      </w:pPr>
    </w:p>
    <w:p w14:paraId="6CFCCFAE" w14:textId="77777777" w:rsidR="007D7CC5" w:rsidRDefault="00807BD7" w:rsidP="00807BD7">
      <w:pPr>
        <w:tabs>
          <w:tab w:val="left" w:pos="851"/>
        </w:tabs>
        <w:ind w:left="851"/>
        <w:rPr>
          <w:sz w:val="24"/>
          <w:szCs w:val="24"/>
          <w:u w:val="single"/>
        </w:rPr>
      </w:pPr>
      <w:r w:rsidRPr="00807BD7">
        <w:rPr>
          <w:sz w:val="24"/>
          <w:szCs w:val="24"/>
          <w:u w:val="single"/>
        </w:rPr>
        <w:t>Indledning af anæstesi</w:t>
      </w:r>
    </w:p>
    <w:p w14:paraId="6A226D5E" w14:textId="2FB5D017" w:rsidR="00807BD7" w:rsidRPr="00807BD7" w:rsidRDefault="00807BD7" w:rsidP="00807BD7">
      <w:pPr>
        <w:tabs>
          <w:tab w:val="left" w:pos="851"/>
        </w:tabs>
        <w:ind w:left="851"/>
        <w:rPr>
          <w:sz w:val="24"/>
          <w:szCs w:val="24"/>
        </w:rPr>
      </w:pPr>
      <w:r w:rsidRPr="00807BD7">
        <w:rPr>
          <w:sz w:val="24"/>
          <w:szCs w:val="24"/>
        </w:rPr>
        <w:t>Remifentanil "Orion" bør administreres med en standarddosis af et hypnotikum, såsom propofol, thiopental eller isofluran, ved indledningen af anæstesi. Administration af remifentanil efter et hypnotikum vil reducere forekomsten af muskelstivhed. Remifentanil "Orion" kan administreres med en infusionshastighed på 0,5</w:t>
      </w:r>
      <w:r w:rsidRPr="00807BD7">
        <w:rPr>
          <w:sz w:val="24"/>
          <w:szCs w:val="24"/>
        </w:rPr>
        <w:noBreakHyphen/>
        <w:t>1 µg/kg/min med eller uden en initial langsom bolusinjektion på 1 µg/kg administreret over mindst 30 sekunder. Hvis endotrakeal intubation vil finde sted mere end 8</w:t>
      </w:r>
      <w:r w:rsidRPr="00807BD7">
        <w:rPr>
          <w:sz w:val="24"/>
          <w:szCs w:val="24"/>
        </w:rPr>
        <w:noBreakHyphen/>
        <w:t>10 minutter efter infusionen med Remifentanil "Orion" er påbegyndt, er en bolusinjektion ikke nødvendig.</w:t>
      </w:r>
    </w:p>
    <w:p w14:paraId="45CAB14D" w14:textId="77777777" w:rsidR="00807BD7" w:rsidRPr="00807BD7" w:rsidRDefault="00807BD7" w:rsidP="00807BD7">
      <w:pPr>
        <w:tabs>
          <w:tab w:val="left" w:pos="851"/>
        </w:tabs>
        <w:ind w:left="851"/>
        <w:rPr>
          <w:sz w:val="24"/>
          <w:szCs w:val="24"/>
        </w:rPr>
      </w:pPr>
    </w:p>
    <w:p w14:paraId="07633862" w14:textId="77777777" w:rsidR="00BC652E" w:rsidRDefault="00807BD7" w:rsidP="00807BD7">
      <w:pPr>
        <w:tabs>
          <w:tab w:val="left" w:pos="851"/>
        </w:tabs>
        <w:ind w:left="851"/>
        <w:rPr>
          <w:sz w:val="24"/>
          <w:szCs w:val="24"/>
          <w:u w:val="single"/>
        </w:rPr>
      </w:pPr>
      <w:r w:rsidRPr="00807BD7">
        <w:rPr>
          <w:sz w:val="24"/>
          <w:szCs w:val="24"/>
          <w:u w:val="single"/>
        </w:rPr>
        <w:t>Vedligeholdelse af anæstesi hos ventilerede patienter</w:t>
      </w:r>
    </w:p>
    <w:p w14:paraId="0C009E02" w14:textId="5A6C7A81" w:rsidR="00807BD7" w:rsidRPr="00807BD7" w:rsidRDefault="00807BD7" w:rsidP="00807BD7">
      <w:pPr>
        <w:tabs>
          <w:tab w:val="left" w:pos="851"/>
        </w:tabs>
        <w:ind w:left="851"/>
        <w:rPr>
          <w:sz w:val="24"/>
          <w:szCs w:val="24"/>
        </w:rPr>
      </w:pPr>
      <w:r w:rsidRPr="00807BD7">
        <w:rPr>
          <w:sz w:val="24"/>
          <w:szCs w:val="24"/>
        </w:rPr>
        <w:t>Efter endotrakeal intubation bør infusionshastigheden af Remifentanil "Orion" nedsættes, som angivet i tabel 1, afhængigt af anæstesiteknik. På grund af Remifentanil "Orion"s hurtigt indsættende virkning og korte virkningsvarighed kan administrationshastigheden under anæstesi titreres opad med 25 % til 100 % ad gangen eller nedad med 25 % til 50 % ad gangen, hvert 2. til 5. minut, for at opnå det ønskede niveau af µ-opioid-respons. Som respons på overfladisk anæstesi kan supplerende, langsomme bolusinjektioner administreres hvert 2. til 5. minut.</w:t>
      </w:r>
    </w:p>
    <w:p w14:paraId="0EBA6DB3" w14:textId="77777777" w:rsidR="00807BD7" w:rsidRPr="00807BD7" w:rsidRDefault="00807BD7" w:rsidP="00807BD7">
      <w:pPr>
        <w:tabs>
          <w:tab w:val="left" w:pos="851"/>
        </w:tabs>
        <w:ind w:left="851"/>
        <w:rPr>
          <w:sz w:val="24"/>
          <w:szCs w:val="24"/>
        </w:rPr>
      </w:pPr>
    </w:p>
    <w:p w14:paraId="4D08D097" w14:textId="77777777" w:rsidR="00BC652E" w:rsidRDefault="00807BD7" w:rsidP="00807BD7">
      <w:pPr>
        <w:tabs>
          <w:tab w:val="left" w:pos="851"/>
        </w:tabs>
        <w:ind w:left="851"/>
        <w:rPr>
          <w:sz w:val="24"/>
          <w:szCs w:val="24"/>
          <w:u w:val="single"/>
        </w:rPr>
      </w:pPr>
      <w:r w:rsidRPr="00807BD7">
        <w:rPr>
          <w:sz w:val="24"/>
          <w:szCs w:val="24"/>
          <w:u w:val="single"/>
        </w:rPr>
        <w:t>Anæstesi til patienter i narkose med spontan vejrtrækning og sikret luftvejspassage (f.eks. larynx-anæstesimaske)</w:t>
      </w:r>
    </w:p>
    <w:p w14:paraId="210F1DA2" w14:textId="6D6B6B85" w:rsidR="00807BD7" w:rsidRPr="00807BD7" w:rsidRDefault="00807BD7" w:rsidP="00807BD7">
      <w:pPr>
        <w:tabs>
          <w:tab w:val="left" w:pos="851"/>
        </w:tabs>
        <w:ind w:left="851"/>
        <w:rPr>
          <w:sz w:val="24"/>
          <w:szCs w:val="24"/>
        </w:rPr>
      </w:pPr>
      <w:r w:rsidRPr="00807BD7">
        <w:rPr>
          <w:sz w:val="24"/>
          <w:szCs w:val="24"/>
        </w:rPr>
        <w:t>Hos patienter i narkose med spontan vejrtrækning og sikret luftvejspassage, er det sandsynligt, at der vil opstå respirationsdepression. Særlig opmærksomhed er nødvendig for at justere dosis til den enkelte patient, og understøttende ventilation kan blive nødvendig. Den anbefalede initiale infusionshastighed til supplerende analgesi hos patienter i narkose og  med spontan vejrtrækning er 0,04 µg/kg/min titreret efter effekt. Intervallet af undersøgte infusionshastigheder går fra 0,025 til 0,1 µg/kg/min.</w:t>
      </w:r>
    </w:p>
    <w:p w14:paraId="5BF08CC4" w14:textId="77777777" w:rsidR="00807BD7" w:rsidRPr="00807BD7" w:rsidRDefault="00807BD7" w:rsidP="00807BD7">
      <w:pPr>
        <w:tabs>
          <w:tab w:val="left" w:pos="851"/>
        </w:tabs>
        <w:ind w:left="851"/>
        <w:rPr>
          <w:sz w:val="24"/>
          <w:szCs w:val="24"/>
        </w:rPr>
      </w:pPr>
    </w:p>
    <w:p w14:paraId="36552EE5" w14:textId="77777777" w:rsidR="00807BD7" w:rsidRPr="00807BD7" w:rsidRDefault="00807BD7" w:rsidP="00807BD7">
      <w:pPr>
        <w:tabs>
          <w:tab w:val="left" w:pos="851"/>
        </w:tabs>
        <w:ind w:left="851"/>
        <w:rPr>
          <w:sz w:val="24"/>
          <w:szCs w:val="24"/>
        </w:rPr>
      </w:pPr>
      <w:r w:rsidRPr="00807BD7">
        <w:rPr>
          <w:sz w:val="24"/>
          <w:szCs w:val="24"/>
        </w:rPr>
        <w:t>Bolusinjektioner frarådes til patienter i narkose, som har spontan vejrtrækning.</w:t>
      </w:r>
    </w:p>
    <w:p w14:paraId="7CF4CC0C" w14:textId="77777777" w:rsidR="00807BD7" w:rsidRPr="00807BD7" w:rsidRDefault="00807BD7" w:rsidP="00807BD7">
      <w:pPr>
        <w:tabs>
          <w:tab w:val="left" w:pos="851"/>
        </w:tabs>
        <w:ind w:left="851"/>
        <w:rPr>
          <w:sz w:val="24"/>
          <w:szCs w:val="24"/>
        </w:rPr>
      </w:pPr>
    </w:p>
    <w:p w14:paraId="5644E5CA" w14:textId="77777777" w:rsidR="00807BD7" w:rsidRPr="00807BD7" w:rsidRDefault="00807BD7" w:rsidP="00807BD7">
      <w:pPr>
        <w:tabs>
          <w:tab w:val="left" w:pos="851"/>
        </w:tabs>
        <w:ind w:left="851"/>
        <w:rPr>
          <w:sz w:val="24"/>
          <w:szCs w:val="24"/>
        </w:rPr>
      </w:pPr>
      <w:r w:rsidRPr="00807BD7">
        <w:rPr>
          <w:sz w:val="24"/>
          <w:szCs w:val="24"/>
        </w:rPr>
        <w:t>Remifentanil "Orion" bør ikke anvendes som analgetikum under indgreb, hvor patienterne forbliver ved bevidsthed eller ikke får understøttende ventilation under indgrebet.</w:t>
      </w:r>
    </w:p>
    <w:p w14:paraId="2C3052EC" w14:textId="77777777" w:rsidR="00807BD7" w:rsidRPr="00807BD7" w:rsidRDefault="00807BD7" w:rsidP="00807BD7">
      <w:pPr>
        <w:tabs>
          <w:tab w:val="left" w:pos="851"/>
        </w:tabs>
        <w:ind w:left="851"/>
        <w:rPr>
          <w:sz w:val="24"/>
          <w:szCs w:val="24"/>
        </w:rPr>
      </w:pPr>
    </w:p>
    <w:p w14:paraId="0A17196A" w14:textId="77777777" w:rsidR="00BC652E" w:rsidRDefault="00807BD7" w:rsidP="00807BD7">
      <w:pPr>
        <w:tabs>
          <w:tab w:val="left" w:pos="851"/>
        </w:tabs>
        <w:ind w:left="851"/>
        <w:rPr>
          <w:sz w:val="24"/>
          <w:szCs w:val="24"/>
          <w:u w:val="single"/>
        </w:rPr>
      </w:pPr>
      <w:r w:rsidRPr="00807BD7">
        <w:rPr>
          <w:sz w:val="24"/>
          <w:szCs w:val="24"/>
          <w:u w:val="single"/>
        </w:rPr>
        <w:t>Samtidig medicinering</w:t>
      </w:r>
    </w:p>
    <w:p w14:paraId="54E9E7B9" w14:textId="5FC0FF82" w:rsidR="00807BD7" w:rsidRPr="00807BD7" w:rsidRDefault="00807BD7" w:rsidP="00807BD7">
      <w:pPr>
        <w:tabs>
          <w:tab w:val="left" w:pos="851"/>
        </w:tabs>
        <w:ind w:left="851"/>
        <w:rPr>
          <w:sz w:val="24"/>
          <w:szCs w:val="24"/>
        </w:rPr>
      </w:pPr>
      <w:r w:rsidRPr="00807BD7">
        <w:rPr>
          <w:sz w:val="24"/>
          <w:szCs w:val="24"/>
        </w:rPr>
        <w:t>Remifentanil nedsætter de nødvendige mængder eller doser af inhalationsanæstetika, hypnotika og benzodiazepiner, der er påkrævet ved anæstesi (se pkt. 4.5).</w:t>
      </w:r>
    </w:p>
    <w:p w14:paraId="2C6B82B1" w14:textId="77777777" w:rsidR="00807BD7" w:rsidRPr="00807BD7" w:rsidRDefault="00807BD7" w:rsidP="00807BD7">
      <w:pPr>
        <w:tabs>
          <w:tab w:val="left" w:pos="851"/>
        </w:tabs>
        <w:ind w:left="851"/>
        <w:rPr>
          <w:sz w:val="24"/>
          <w:szCs w:val="24"/>
        </w:rPr>
      </w:pPr>
    </w:p>
    <w:p w14:paraId="33819C04" w14:textId="77777777" w:rsidR="00807BD7" w:rsidRPr="00807BD7" w:rsidRDefault="00807BD7" w:rsidP="00807BD7">
      <w:pPr>
        <w:tabs>
          <w:tab w:val="left" w:pos="851"/>
        </w:tabs>
        <w:ind w:left="851"/>
        <w:rPr>
          <w:sz w:val="24"/>
          <w:szCs w:val="24"/>
        </w:rPr>
      </w:pPr>
      <w:r w:rsidRPr="00807BD7">
        <w:rPr>
          <w:sz w:val="24"/>
          <w:szCs w:val="24"/>
        </w:rPr>
        <w:t>For følgende stoffer brugt til anæstesi er dosis blevet reduceret med op til 75 % ved samtidig anvendelse af remifentanil: isofluran, thiopental, propofol, midazolam og temazepam.</w:t>
      </w:r>
    </w:p>
    <w:p w14:paraId="0E4B0585" w14:textId="77777777" w:rsidR="00807BD7" w:rsidRPr="00807BD7" w:rsidRDefault="00807BD7" w:rsidP="00807BD7">
      <w:pPr>
        <w:tabs>
          <w:tab w:val="left" w:pos="851"/>
        </w:tabs>
        <w:ind w:left="851"/>
        <w:rPr>
          <w:sz w:val="24"/>
          <w:szCs w:val="24"/>
        </w:rPr>
      </w:pPr>
    </w:p>
    <w:p w14:paraId="431A0AC8" w14:textId="77777777" w:rsidR="00BC652E" w:rsidRDefault="00807BD7" w:rsidP="00807BD7">
      <w:pPr>
        <w:tabs>
          <w:tab w:val="left" w:pos="851"/>
        </w:tabs>
        <w:ind w:left="851"/>
        <w:rPr>
          <w:sz w:val="24"/>
          <w:szCs w:val="24"/>
          <w:u w:val="single"/>
        </w:rPr>
      </w:pPr>
      <w:r w:rsidRPr="00807BD7">
        <w:rPr>
          <w:sz w:val="24"/>
          <w:szCs w:val="24"/>
          <w:u w:val="single"/>
        </w:rPr>
        <w:t>Vejledning for seponering/fortsættelse af behandling umiddelbart postoperativt</w:t>
      </w:r>
    </w:p>
    <w:p w14:paraId="6F1F7E67" w14:textId="7817C629" w:rsidR="00807BD7" w:rsidRPr="00807BD7" w:rsidRDefault="00807BD7" w:rsidP="00807BD7">
      <w:pPr>
        <w:tabs>
          <w:tab w:val="left" w:pos="851"/>
        </w:tabs>
        <w:ind w:left="851"/>
        <w:rPr>
          <w:sz w:val="24"/>
          <w:szCs w:val="24"/>
        </w:rPr>
      </w:pPr>
      <w:r w:rsidRPr="00807BD7">
        <w:rPr>
          <w:sz w:val="24"/>
          <w:szCs w:val="24"/>
        </w:rPr>
        <w:t>Da virkningen af Remifentanil "Orion" ophører meget hurtigt, vil der ikke være nogen opioidaktivitet tilbage 5</w:t>
      </w:r>
      <w:r w:rsidRPr="00807BD7">
        <w:rPr>
          <w:sz w:val="24"/>
          <w:szCs w:val="24"/>
        </w:rPr>
        <w:noBreakHyphen/>
        <w:t>10 minutter efter seponeringen. Til patienter, der gennemgår kirurgiske indgreb, hvor postoperative smerter må forventes, bør der gives analgetika før seponering af Remifentanil "Orion". Der skal afsættes tilstrækkelig tid til at nå den maksimale effekt af det længerevarende analgetikum. Valget af analgetikum bør tilpasses det kirurgiske indgreb og niveauet af den postoperative pleje for patienten.</w:t>
      </w:r>
    </w:p>
    <w:p w14:paraId="26413360" w14:textId="77777777" w:rsidR="00807BD7" w:rsidRPr="00807BD7" w:rsidRDefault="00807BD7" w:rsidP="00807BD7">
      <w:pPr>
        <w:tabs>
          <w:tab w:val="left" w:pos="851"/>
        </w:tabs>
        <w:ind w:left="851"/>
        <w:rPr>
          <w:sz w:val="24"/>
          <w:szCs w:val="24"/>
        </w:rPr>
      </w:pPr>
    </w:p>
    <w:p w14:paraId="2E5CAA64" w14:textId="77777777" w:rsidR="00807BD7" w:rsidRPr="00807BD7" w:rsidRDefault="00807BD7" w:rsidP="00807BD7">
      <w:pPr>
        <w:tabs>
          <w:tab w:val="left" w:pos="851"/>
        </w:tabs>
        <w:ind w:left="851"/>
        <w:rPr>
          <w:sz w:val="24"/>
          <w:szCs w:val="24"/>
        </w:rPr>
      </w:pPr>
      <w:r w:rsidRPr="00807BD7">
        <w:rPr>
          <w:sz w:val="24"/>
          <w:szCs w:val="24"/>
        </w:rPr>
        <w:t>Hvis der ikke er opnået effekt af et længerevarende analgetikum før operationens afslutning, kan det være nødvendigt at fortsætte behandlingen med Remifentanil "Orion" umiddelbart postoperativt, indtil der er nået maksimal effekt af det længerevarende analgetikum.</w:t>
      </w:r>
    </w:p>
    <w:p w14:paraId="340180DE" w14:textId="77777777" w:rsidR="00807BD7" w:rsidRPr="00807BD7" w:rsidRDefault="00807BD7" w:rsidP="00807BD7">
      <w:pPr>
        <w:tabs>
          <w:tab w:val="left" w:pos="851"/>
        </w:tabs>
        <w:ind w:left="851"/>
        <w:rPr>
          <w:sz w:val="24"/>
          <w:szCs w:val="24"/>
        </w:rPr>
      </w:pPr>
    </w:p>
    <w:p w14:paraId="38B98384" w14:textId="77777777" w:rsidR="00807BD7" w:rsidRPr="00807BD7" w:rsidRDefault="00807BD7" w:rsidP="00807BD7">
      <w:pPr>
        <w:tabs>
          <w:tab w:val="left" w:pos="851"/>
        </w:tabs>
        <w:ind w:left="851"/>
        <w:rPr>
          <w:sz w:val="24"/>
          <w:szCs w:val="24"/>
        </w:rPr>
      </w:pPr>
      <w:r w:rsidRPr="00807BD7">
        <w:rPr>
          <w:sz w:val="24"/>
          <w:szCs w:val="24"/>
        </w:rPr>
        <w:t>I afsnittet "Anvendelse til intensivbehandling" gives yderligere vejledning om mekanisk ventilerede patienter i intensivbehandling.</w:t>
      </w:r>
    </w:p>
    <w:p w14:paraId="3FF721A4" w14:textId="77777777" w:rsidR="00807BD7" w:rsidRPr="00807BD7" w:rsidRDefault="00807BD7" w:rsidP="00807BD7">
      <w:pPr>
        <w:tabs>
          <w:tab w:val="left" w:pos="851"/>
        </w:tabs>
        <w:ind w:left="851"/>
        <w:rPr>
          <w:sz w:val="24"/>
          <w:szCs w:val="24"/>
        </w:rPr>
      </w:pPr>
    </w:p>
    <w:p w14:paraId="06D25D62" w14:textId="77777777" w:rsidR="00807BD7" w:rsidRPr="00807BD7" w:rsidRDefault="00807BD7" w:rsidP="00807BD7">
      <w:pPr>
        <w:tabs>
          <w:tab w:val="left" w:pos="851"/>
        </w:tabs>
        <w:ind w:left="851"/>
        <w:rPr>
          <w:sz w:val="24"/>
          <w:szCs w:val="24"/>
        </w:rPr>
      </w:pPr>
      <w:r w:rsidRPr="00807BD7">
        <w:rPr>
          <w:sz w:val="24"/>
          <w:szCs w:val="24"/>
        </w:rPr>
        <w:t>Hos patienter, som trækker vejret spontant, bør Remifentanil "Orion"s initiale infusionshastighed nedsættes til 0,1 µg/kg/min. Infusionshastigheden kan derefter øges eller nedsættes med ikke over 0,025 µg/kg/min hvert 5. minut efter patientens analgesiniveau og respirationsfrekvens. Remifentanil "Orion" må kun anvendes i omgivelser med fuldt udstyr til overvågning og understøttelse af respiratorisk og kardiovaskulær funktion, og under nøje opsyn af personer med særlig træning i genkendelse og behandlingen af de respiratoriske virkninger ved potente opioider.</w:t>
      </w:r>
    </w:p>
    <w:p w14:paraId="4F55330C" w14:textId="77777777" w:rsidR="00807BD7" w:rsidRPr="00807BD7" w:rsidRDefault="00807BD7" w:rsidP="00807BD7">
      <w:pPr>
        <w:tabs>
          <w:tab w:val="left" w:pos="851"/>
        </w:tabs>
        <w:ind w:left="851"/>
        <w:rPr>
          <w:sz w:val="24"/>
          <w:szCs w:val="24"/>
        </w:rPr>
      </w:pPr>
    </w:p>
    <w:p w14:paraId="129420EA" w14:textId="77777777" w:rsidR="00807BD7" w:rsidRPr="00807BD7" w:rsidRDefault="00807BD7" w:rsidP="00807BD7">
      <w:pPr>
        <w:tabs>
          <w:tab w:val="left" w:pos="851"/>
        </w:tabs>
        <w:ind w:left="851"/>
        <w:rPr>
          <w:sz w:val="24"/>
          <w:szCs w:val="24"/>
        </w:rPr>
      </w:pPr>
      <w:r w:rsidRPr="00807BD7">
        <w:rPr>
          <w:sz w:val="24"/>
          <w:szCs w:val="24"/>
        </w:rPr>
        <w:t>Det anbefales ikke at give bolusinjektioner af Remifentanil "Orion" til behandling af postoperative smerter hos patienter, der trækker vejret spontant.</w:t>
      </w:r>
    </w:p>
    <w:p w14:paraId="57BF6468" w14:textId="77777777" w:rsidR="00807BD7" w:rsidRPr="00807BD7" w:rsidRDefault="00807BD7" w:rsidP="00807BD7">
      <w:pPr>
        <w:tabs>
          <w:tab w:val="left" w:pos="851"/>
        </w:tabs>
        <w:ind w:left="851"/>
        <w:rPr>
          <w:sz w:val="24"/>
          <w:szCs w:val="24"/>
        </w:rPr>
      </w:pPr>
    </w:p>
    <w:p w14:paraId="647BDAD9" w14:textId="77777777" w:rsidR="00807BD7" w:rsidRPr="00807BD7" w:rsidRDefault="00807BD7" w:rsidP="00807BD7">
      <w:pPr>
        <w:tabs>
          <w:tab w:val="left" w:pos="851"/>
        </w:tabs>
        <w:ind w:left="851"/>
        <w:rPr>
          <w:i/>
          <w:iCs/>
          <w:sz w:val="24"/>
          <w:szCs w:val="24"/>
          <w:u w:val="single"/>
        </w:rPr>
      </w:pPr>
      <w:r w:rsidRPr="00807BD7">
        <w:rPr>
          <w:i/>
          <w:iCs/>
          <w:sz w:val="24"/>
          <w:szCs w:val="24"/>
          <w:u w:val="single"/>
        </w:rPr>
        <w:t>Administration ved målkontrolleret infusion (Target Controlled Infusion, TCI)</w:t>
      </w:r>
    </w:p>
    <w:p w14:paraId="7E879457" w14:textId="77777777" w:rsidR="00807BD7" w:rsidRPr="00807BD7" w:rsidRDefault="00807BD7" w:rsidP="00807BD7">
      <w:pPr>
        <w:tabs>
          <w:tab w:val="left" w:pos="851"/>
        </w:tabs>
        <w:ind w:left="851"/>
        <w:rPr>
          <w:sz w:val="24"/>
          <w:szCs w:val="24"/>
        </w:rPr>
      </w:pPr>
    </w:p>
    <w:p w14:paraId="4E2F9326" w14:textId="77777777" w:rsidR="00BC652E" w:rsidRDefault="00807BD7" w:rsidP="00807BD7">
      <w:pPr>
        <w:tabs>
          <w:tab w:val="left" w:pos="851"/>
        </w:tabs>
        <w:ind w:left="851"/>
        <w:rPr>
          <w:sz w:val="24"/>
          <w:szCs w:val="24"/>
          <w:u w:val="single"/>
        </w:rPr>
      </w:pPr>
      <w:r w:rsidRPr="00807BD7">
        <w:rPr>
          <w:sz w:val="24"/>
          <w:szCs w:val="24"/>
          <w:u w:val="single"/>
        </w:rPr>
        <w:t>Indledning og vedligeholdelse af anæstesi hos ventilerede patienter</w:t>
      </w:r>
    </w:p>
    <w:p w14:paraId="3252C1D2" w14:textId="001F5C96" w:rsidR="00807BD7" w:rsidRPr="00807BD7" w:rsidRDefault="00807BD7" w:rsidP="00807BD7">
      <w:pPr>
        <w:tabs>
          <w:tab w:val="left" w:pos="851"/>
        </w:tabs>
        <w:ind w:left="851"/>
        <w:rPr>
          <w:sz w:val="24"/>
          <w:szCs w:val="24"/>
        </w:rPr>
      </w:pPr>
      <w:r w:rsidRPr="00807BD7">
        <w:rPr>
          <w:sz w:val="24"/>
          <w:szCs w:val="24"/>
        </w:rPr>
        <w:t>Under indledning og vedligeholdelse af anæstesi hos voksne ventilerede patienter bør Remifentanil "Orion" TCI anvendes sammen med et intravenøst eller inhaleret hypnotikum (se tabel 1 under afsnittet "Generel anæstesi"). Denne kombination er tilstrækkelig til at opnå anæstesi med henblik på operation, der som regel kan udføres ved koncentrationer af remifentanil på 3-8 ng/ml i blodet. Remifentanil "Orion" bør titreres til et individuelt patientrespons. Særligt stimulerende kirurgiske indgreb kan kræve målkoncentrationer på op til 15 ng/ml remifentanil i blodet.</w:t>
      </w:r>
    </w:p>
    <w:p w14:paraId="2BE264A4" w14:textId="77777777" w:rsidR="00807BD7" w:rsidRPr="00807BD7" w:rsidRDefault="00807BD7" w:rsidP="00807BD7">
      <w:pPr>
        <w:tabs>
          <w:tab w:val="left" w:pos="851"/>
        </w:tabs>
        <w:ind w:left="851"/>
        <w:rPr>
          <w:sz w:val="24"/>
          <w:szCs w:val="24"/>
          <w:u w:val="single"/>
        </w:rPr>
      </w:pPr>
    </w:p>
    <w:p w14:paraId="273BA8C5" w14:textId="77777777" w:rsidR="00807BD7" w:rsidRPr="00807BD7" w:rsidRDefault="00807BD7" w:rsidP="00807BD7">
      <w:pPr>
        <w:tabs>
          <w:tab w:val="left" w:pos="851"/>
        </w:tabs>
        <w:ind w:left="851"/>
        <w:rPr>
          <w:sz w:val="24"/>
          <w:szCs w:val="24"/>
        </w:rPr>
      </w:pPr>
      <w:r w:rsidRPr="00807BD7">
        <w:rPr>
          <w:sz w:val="24"/>
          <w:szCs w:val="24"/>
        </w:rPr>
        <w:t>Ved de anbefalede doseringer ovenfor, reducerer remifentanil væsentligt den nødvendige mængde hypnotika for at vedligeholde anæstesien. Derfor skal isofluran og propofol administreres som anbefalet ovenfor, så en øget hæmodynamisk virkning, såsom hypotension og bradykardi undgås (se tabel 1 afsnittet "Samtidig medicinering").</w:t>
      </w:r>
    </w:p>
    <w:p w14:paraId="36C64218" w14:textId="77777777" w:rsidR="00807BD7" w:rsidRPr="00807BD7" w:rsidRDefault="00807BD7" w:rsidP="00807BD7">
      <w:pPr>
        <w:tabs>
          <w:tab w:val="left" w:pos="851"/>
        </w:tabs>
        <w:ind w:left="851"/>
        <w:rPr>
          <w:sz w:val="24"/>
          <w:szCs w:val="24"/>
        </w:rPr>
      </w:pPr>
    </w:p>
    <w:p w14:paraId="6EE252DB" w14:textId="77777777" w:rsidR="00807BD7" w:rsidRPr="00807BD7" w:rsidRDefault="00807BD7" w:rsidP="00807BD7">
      <w:pPr>
        <w:tabs>
          <w:tab w:val="left" w:pos="851"/>
        </w:tabs>
        <w:ind w:left="851"/>
        <w:rPr>
          <w:sz w:val="24"/>
          <w:szCs w:val="24"/>
        </w:rPr>
      </w:pPr>
      <w:r w:rsidRPr="00807BD7">
        <w:rPr>
          <w:sz w:val="24"/>
          <w:szCs w:val="24"/>
        </w:rPr>
        <w:t>For oplysninger vedrørende koncentrationer af remifentanil i blodet ved manuelt kontrolleret infusion, se pkt. 6.6, tabel 11.</w:t>
      </w:r>
    </w:p>
    <w:p w14:paraId="7B9187FA" w14:textId="77777777" w:rsidR="00807BD7" w:rsidRPr="00807BD7" w:rsidRDefault="00807BD7" w:rsidP="00807BD7">
      <w:pPr>
        <w:tabs>
          <w:tab w:val="left" w:pos="851"/>
        </w:tabs>
        <w:ind w:left="851"/>
        <w:rPr>
          <w:sz w:val="24"/>
          <w:szCs w:val="24"/>
        </w:rPr>
      </w:pPr>
    </w:p>
    <w:p w14:paraId="191A7BBB" w14:textId="77777777" w:rsidR="00807BD7" w:rsidRPr="00807BD7" w:rsidRDefault="00807BD7" w:rsidP="00807BD7">
      <w:pPr>
        <w:tabs>
          <w:tab w:val="left" w:pos="851"/>
        </w:tabs>
        <w:ind w:left="851"/>
        <w:rPr>
          <w:sz w:val="24"/>
          <w:szCs w:val="24"/>
        </w:rPr>
      </w:pPr>
      <w:r w:rsidRPr="00807BD7">
        <w:rPr>
          <w:sz w:val="24"/>
          <w:szCs w:val="24"/>
        </w:rPr>
        <w:t>Da der ikke foreligger tilstrækkelige data, frarådes administration af Remifentanil "Orion" ved TCI til anæstesi med spontan vejrtrækning.</w:t>
      </w:r>
    </w:p>
    <w:p w14:paraId="28097CCB" w14:textId="77777777" w:rsidR="00807BD7" w:rsidRPr="00807BD7" w:rsidRDefault="00807BD7" w:rsidP="00807BD7">
      <w:pPr>
        <w:tabs>
          <w:tab w:val="left" w:pos="851"/>
        </w:tabs>
        <w:ind w:left="851"/>
        <w:rPr>
          <w:sz w:val="24"/>
          <w:szCs w:val="24"/>
        </w:rPr>
      </w:pPr>
    </w:p>
    <w:p w14:paraId="70C6A698" w14:textId="77777777" w:rsidR="00BC652E" w:rsidRDefault="00807BD7" w:rsidP="00807BD7">
      <w:pPr>
        <w:tabs>
          <w:tab w:val="left" w:pos="851"/>
        </w:tabs>
        <w:ind w:left="851"/>
        <w:rPr>
          <w:sz w:val="24"/>
          <w:szCs w:val="24"/>
          <w:u w:val="single"/>
        </w:rPr>
      </w:pPr>
      <w:r w:rsidRPr="00807BD7">
        <w:rPr>
          <w:sz w:val="24"/>
          <w:szCs w:val="24"/>
          <w:u w:val="single"/>
        </w:rPr>
        <w:t>Vejledning for seponering/fortsættelse af behandling umiddelbart postoperativt</w:t>
      </w:r>
    </w:p>
    <w:p w14:paraId="0F0532A5" w14:textId="6AD46229" w:rsidR="00807BD7" w:rsidRPr="00807BD7" w:rsidRDefault="00807BD7" w:rsidP="00807BD7">
      <w:pPr>
        <w:tabs>
          <w:tab w:val="left" w:pos="851"/>
        </w:tabs>
        <w:ind w:left="851"/>
        <w:rPr>
          <w:sz w:val="24"/>
          <w:szCs w:val="24"/>
          <w:u w:val="single"/>
        </w:rPr>
      </w:pPr>
      <w:r w:rsidRPr="00807BD7">
        <w:rPr>
          <w:sz w:val="24"/>
          <w:szCs w:val="24"/>
        </w:rPr>
        <w:t>Når TCI-infusionen afbrydes eller målkoncentrationen nedsættes efter operationen, vil spontan vejrtrækning sandsynligvis påbegyndes ved remifentanil-koncentrationer i området 1</w:t>
      </w:r>
      <w:r w:rsidRPr="00807BD7">
        <w:rPr>
          <w:sz w:val="24"/>
          <w:szCs w:val="24"/>
        </w:rPr>
        <w:noBreakHyphen/>
        <w:t>2 ng/ml. Som ved manuelt kontrolleret infusion bør postoperativ analgesi etableres inden operationens ophør med længerevarende analgetika (se afsnittet "Manuelt kontrolleret infusion" - "Vejledning for seponering").</w:t>
      </w:r>
    </w:p>
    <w:p w14:paraId="55748E93" w14:textId="77777777" w:rsidR="00807BD7" w:rsidRPr="00807BD7" w:rsidRDefault="00807BD7" w:rsidP="00807BD7">
      <w:pPr>
        <w:tabs>
          <w:tab w:val="left" w:pos="851"/>
        </w:tabs>
        <w:ind w:left="851"/>
        <w:rPr>
          <w:sz w:val="24"/>
          <w:szCs w:val="24"/>
        </w:rPr>
      </w:pPr>
    </w:p>
    <w:p w14:paraId="738E84CD" w14:textId="77777777" w:rsidR="00807BD7" w:rsidRPr="00807BD7" w:rsidRDefault="00807BD7" w:rsidP="00807BD7">
      <w:pPr>
        <w:tabs>
          <w:tab w:val="left" w:pos="851"/>
        </w:tabs>
        <w:ind w:left="851"/>
        <w:rPr>
          <w:sz w:val="24"/>
          <w:szCs w:val="24"/>
        </w:rPr>
      </w:pPr>
      <w:r w:rsidRPr="00807BD7">
        <w:rPr>
          <w:sz w:val="24"/>
          <w:szCs w:val="24"/>
        </w:rPr>
        <w:t>Da der ikke foreligger tilstrækkelige data, frarådes administration af Remifentanil "Orion" ved TCI til smertelindring efter operation.</w:t>
      </w:r>
    </w:p>
    <w:p w14:paraId="3D899FCA" w14:textId="77777777" w:rsidR="00807BD7" w:rsidRPr="00807BD7" w:rsidRDefault="00807BD7" w:rsidP="00807BD7">
      <w:pPr>
        <w:tabs>
          <w:tab w:val="left" w:pos="851"/>
        </w:tabs>
        <w:ind w:left="851"/>
        <w:rPr>
          <w:sz w:val="24"/>
          <w:szCs w:val="24"/>
        </w:rPr>
      </w:pPr>
    </w:p>
    <w:p w14:paraId="63C3D0D6" w14:textId="77777777" w:rsidR="00807BD7" w:rsidRPr="00BC652E" w:rsidRDefault="00807BD7" w:rsidP="00807BD7">
      <w:pPr>
        <w:tabs>
          <w:tab w:val="left" w:pos="851"/>
        </w:tabs>
        <w:ind w:left="851"/>
        <w:rPr>
          <w:iCs/>
          <w:sz w:val="24"/>
          <w:szCs w:val="24"/>
          <w:u w:val="single"/>
        </w:rPr>
      </w:pPr>
      <w:r w:rsidRPr="00BC652E">
        <w:rPr>
          <w:iCs/>
          <w:sz w:val="24"/>
          <w:szCs w:val="24"/>
          <w:u w:val="single"/>
        </w:rPr>
        <w:t>Pædiatriske patienter (1-12 år)</w:t>
      </w:r>
    </w:p>
    <w:p w14:paraId="3E5C49FF" w14:textId="77777777" w:rsidR="00807BD7" w:rsidRPr="00807BD7" w:rsidRDefault="00807BD7" w:rsidP="00807BD7">
      <w:pPr>
        <w:tabs>
          <w:tab w:val="left" w:pos="851"/>
        </w:tabs>
        <w:ind w:left="851"/>
        <w:rPr>
          <w:sz w:val="24"/>
          <w:szCs w:val="24"/>
        </w:rPr>
      </w:pPr>
      <w:r w:rsidRPr="00807BD7">
        <w:rPr>
          <w:sz w:val="24"/>
          <w:szCs w:val="24"/>
        </w:rPr>
        <w:t>Samtidig administration af remifentanil og et intravenøst anæstetikum til induktion af anæstesi er ikke undersøgt i detaljer og frarådes derfor.</w:t>
      </w:r>
    </w:p>
    <w:p w14:paraId="758F7FAB" w14:textId="77777777" w:rsidR="00807BD7" w:rsidRPr="00807BD7" w:rsidRDefault="00807BD7" w:rsidP="00807BD7">
      <w:pPr>
        <w:tabs>
          <w:tab w:val="left" w:pos="851"/>
        </w:tabs>
        <w:ind w:left="851"/>
        <w:rPr>
          <w:sz w:val="24"/>
          <w:szCs w:val="24"/>
        </w:rPr>
      </w:pPr>
    </w:p>
    <w:p w14:paraId="1D21C0A1" w14:textId="0B84BEF1" w:rsidR="00807BD7" w:rsidRPr="00807BD7" w:rsidRDefault="00807BD7" w:rsidP="00807BD7">
      <w:pPr>
        <w:tabs>
          <w:tab w:val="left" w:pos="851"/>
        </w:tabs>
        <w:ind w:left="851"/>
        <w:rPr>
          <w:sz w:val="24"/>
          <w:szCs w:val="24"/>
        </w:rPr>
      </w:pPr>
      <w:r w:rsidRPr="00807BD7">
        <w:rPr>
          <w:sz w:val="24"/>
          <w:szCs w:val="24"/>
        </w:rPr>
        <w:t>TCI er ikke undersøgt til pædiatriske patienter, og administration af Remifentanil "Orion" ved TCI frarådes derfor til disse patienter. Følgende doser af Remifentanil "Orion" anbefales til vedligeholdelse af anæstesi:</w:t>
      </w:r>
    </w:p>
    <w:p w14:paraId="32E79D8E" w14:textId="77777777" w:rsidR="00807BD7" w:rsidRPr="00807BD7" w:rsidRDefault="00807BD7" w:rsidP="00807BD7">
      <w:pPr>
        <w:tabs>
          <w:tab w:val="left" w:pos="851"/>
        </w:tabs>
        <w:ind w:left="851"/>
        <w:rPr>
          <w:sz w:val="24"/>
          <w:szCs w:val="24"/>
        </w:rPr>
      </w:pPr>
    </w:p>
    <w:p w14:paraId="7A942BD8" w14:textId="77777777" w:rsidR="00807BD7" w:rsidRPr="00807BD7" w:rsidRDefault="00807BD7" w:rsidP="00807BD7">
      <w:pPr>
        <w:tabs>
          <w:tab w:val="left" w:pos="851"/>
        </w:tabs>
        <w:ind w:left="851"/>
        <w:rPr>
          <w:sz w:val="24"/>
          <w:szCs w:val="24"/>
        </w:rPr>
      </w:pPr>
      <w:r w:rsidRPr="00807BD7">
        <w:rPr>
          <w:sz w:val="24"/>
          <w:szCs w:val="24"/>
        </w:rPr>
        <w:t>Tabel 2: Doseringsvejledning til pædiatriske patienter (1-12 år)</w:t>
      </w:r>
    </w:p>
    <w:p w14:paraId="216306D1" w14:textId="77777777" w:rsidR="00807BD7" w:rsidRPr="00807BD7" w:rsidRDefault="00807BD7" w:rsidP="00807BD7">
      <w:pPr>
        <w:tabs>
          <w:tab w:val="left" w:pos="851"/>
        </w:tabs>
        <w:ind w:left="851"/>
        <w:rPr>
          <w:sz w:val="24"/>
          <w:szCs w:val="24"/>
        </w:rPr>
      </w:pPr>
    </w:p>
    <w:tbl>
      <w:tblPr>
        <w:tblW w:w="944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3"/>
        <w:gridCol w:w="2267"/>
        <w:gridCol w:w="1701"/>
        <w:gridCol w:w="2075"/>
      </w:tblGrid>
      <w:tr w:rsidR="00807BD7" w:rsidRPr="00807BD7" w14:paraId="27452389" w14:textId="77777777" w:rsidTr="0092547E">
        <w:trPr>
          <w:trHeight w:val="762"/>
        </w:trPr>
        <w:tc>
          <w:tcPr>
            <w:tcW w:w="3403" w:type="dxa"/>
            <w:vMerge w:val="restar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hideMark/>
          </w:tcPr>
          <w:p w14:paraId="6F093173" w14:textId="77777777" w:rsidR="00807BD7" w:rsidRPr="00807BD7" w:rsidRDefault="00807BD7" w:rsidP="00280834">
            <w:pPr>
              <w:ind w:left="81"/>
              <w:rPr>
                <w:sz w:val="24"/>
                <w:szCs w:val="24"/>
                <w:lang w:val="en-GB"/>
              </w:rPr>
            </w:pPr>
            <w:r w:rsidRPr="00807BD7">
              <w:rPr>
                <w:sz w:val="24"/>
                <w:szCs w:val="24"/>
                <w:lang w:val="en-GB"/>
              </w:rPr>
              <w:t>SAMTIDIGT ANÆSTETIKUM*</w:t>
            </w:r>
          </w:p>
        </w:tc>
        <w:tc>
          <w:tcPr>
            <w:tcW w:w="2267" w:type="dxa"/>
            <w:vMerge w:val="restart"/>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hideMark/>
          </w:tcPr>
          <w:p w14:paraId="4EBB0B74" w14:textId="77777777" w:rsidR="00807BD7" w:rsidRPr="00807BD7" w:rsidRDefault="00807BD7" w:rsidP="00280834">
            <w:pPr>
              <w:rPr>
                <w:sz w:val="24"/>
                <w:szCs w:val="24"/>
                <w:lang w:val="en-GB"/>
              </w:rPr>
            </w:pPr>
            <w:r w:rsidRPr="00807BD7">
              <w:rPr>
                <w:sz w:val="24"/>
                <w:szCs w:val="24"/>
                <w:lang w:val="en-GB"/>
              </w:rPr>
              <w:t>BOLUSINJEKTION</w:t>
            </w:r>
          </w:p>
          <w:p w14:paraId="78B33296" w14:textId="77777777" w:rsidR="00807BD7" w:rsidRPr="00807BD7" w:rsidRDefault="00807BD7" w:rsidP="00280834">
            <w:pPr>
              <w:rPr>
                <w:sz w:val="24"/>
                <w:szCs w:val="24"/>
                <w:lang w:val="en-GB"/>
              </w:rPr>
            </w:pPr>
            <w:r w:rsidRPr="00807BD7">
              <w:rPr>
                <w:sz w:val="24"/>
                <w:szCs w:val="24"/>
                <w:lang w:val="en-GB"/>
              </w:rPr>
              <w:t>(µg/kg)</w:t>
            </w:r>
          </w:p>
        </w:tc>
        <w:tc>
          <w:tcPr>
            <w:tcW w:w="3776" w:type="dxa"/>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hideMark/>
          </w:tcPr>
          <w:p w14:paraId="0DA88F58" w14:textId="77777777" w:rsidR="00807BD7" w:rsidRPr="00807BD7" w:rsidRDefault="00807BD7" w:rsidP="00280834">
            <w:pPr>
              <w:ind w:left="91"/>
              <w:rPr>
                <w:sz w:val="24"/>
                <w:szCs w:val="24"/>
              </w:rPr>
            </w:pPr>
            <w:r w:rsidRPr="00807BD7">
              <w:rPr>
                <w:sz w:val="24"/>
                <w:szCs w:val="24"/>
              </w:rPr>
              <w:t>KONTINUERLIG INFUSION</w:t>
            </w:r>
          </w:p>
          <w:p w14:paraId="168FD759" w14:textId="77777777" w:rsidR="00807BD7" w:rsidRPr="00807BD7" w:rsidRDefault="00807BD7" w:rsidP="00280834">
            <w:pPr>
              <w:ind w:left="91"/>
              <w:rPr>
                <w:sz w:val="24"/>
                <w:szCs w:val="24"/>
              </w:rPr>
            </w:pPr>
            <w:r w:rsidRPr="00807BD7">
              <w:rPr>
                <w:sz w:val="24"/>
                <w:szCs w:val="24"/>
              </w:rPr>
              <w:t>(µg/kg/min)</w:t>
            </w:r>
          </w:p>
        </w:tc>
      </w:tr>
      <w:tr w:rsidR="00807BD7" w:rsidRPr="00807BD7" w14:paraId="444E9B62" w14:textId="77777777" w:rsidTr="0092547E">
        <w:trPr>
          <w:trHeight w:val="460"/>
        </w:trPr>
        <w:tc>
          <w:tcPr>
            <w:tcW w:w="3403" w:type="dxa"/>
            <w:vMerge/>
            <w:tcBorders>
              <w:top w:val="single" w:sz="4" w:space="0" w:color="000000"/>
              <w:left w:val="single" w:sz="4" w:space="0" w:color="000000"/>
              <w:bottom w:val="single" w:sz="4" w:space="0" w:color="000000"/>
              <w:right w:val="single" w:sz="6" w:space="0" w:color="000000"/>
            </w:tcBorders>
            <w:vAlign w:val="center"/>
            <w:hideMark/>
          </w:tcPr>
          <w:p w14:paraId="22710D12" w14:textId="77777777" w:rsidR="00807BD7" w:rsidRPr="00807BD7" w:rsidRDefault="00807BD7" w:rsidP="00280834">
            <w:pPr>
              <w:ind w:left="81"/>
              <w:rPr>
                <w:sz w:val="24"/>
                <w:szCs w:val="24"/>
              </w:rPr>
            </w:pPr>
          </w:p>
        </w:tc>
        <w:tc>
          <w:tcPr>
            <w:tcW w:w="2267" w:type="dxa"/>
            <w:vMerge/>
            <w:tcBorders>
              <w:top w:val="single" w:sz="4" w:space="0" w:color="000000"/>
              <w:left w:val="single" w:sz="6" w:space="0" w:color="000000"/>
              <w:bottom w:val="single" w:sz="4" w:space="0" w:color="000000"/>
              <w:right w:val="single" w:sz="6" w:space="0" w:color="000000"/>
            </w:tcBorders>
            <w:vAlign w:val="center"/>
            <w:hideMark/>
          </w:tcPr>
          <w:p w14:paraId="660F3E42" w14:textId="77777777" w:rsidR="00807BD7" w:rsidRPr="00807BD7" w:rsidRDefault="00807BD7" w:rsidP="00280834">
            <w:pPr>
              <w:rPr>
                <w:sz w:val="24"/>
                <w:szCs w:val="24"/>
              </w:rPr>
            </w:pPr>
          </w:p>
        </w:tc>
        <w:tc>
          <w:tcPr>
            <w:tcW w:w="1701"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hideMark/>
          </w:tcPr>
          <w:p w14:paraId="71D45832" w14:textId="77777777" w:rsidR="00807BD7" w:rsidRPr="00807BD7" w:rsidRDefault="00807BD7" w:rsidP="00280834">
            <w:pPr>
              <w:ind w:left="91"/>
              <w:rPr>
                <w:sz w:val="24"/>
                <w:szCs w:val="24"/>
                <w:lang w:val="en-GB"/>
              </w:rPr>
            </w:pPr>
            <w:r w:rsidRPr="00807BD7">
              <w:rPr>
                <w:sz w:val="24"/>
                <w:szCs w:val="24"/>
                <w:lang w:val="en-GB"/>
              </w:rPr>
              <w:t>Initialhastighed</w:t>
            </w:r>
          </w:p>
        </w:tc>
        <w:tc>
          <w:tcPr>
            <w:tcW w:w="2074" w:type="dxa"/>
            <w:tcBorders>
              <w:top w:val="single" w:sz="4" w:space="0" w:color="000000"/>
              <w:left w:val="single" w:sz="6" w:space="0" w:color="000000"/>
              <w:bottom w:val="single" w:sz="4" w:space="0" w:color="000000"/>
              <w:right w:val="single" w:sz="6" w:space="0" w:color="000000"/>
            </w:tcBorders>
            <w:tcMar>
              <w:top w:w="57" w:type="dxa"/>
              <w:left w:w="57" w:type="dxa"/>
              <w:bottom w:w="57" w:type="dxa"/>
              <w:right w:w="57" w:type="dxa"/>
            </w:tcMar>
            <w:hideMark/>
          </w:tcPr>
          <w:p w14:paraId="7A48576B" w14:textId="77777777" w:rsidR="00807BD7" w:rsidRPr="00807BD7" w:rsidRDefault="00807BD7" w:rsidP="00280834">
            <w:pPr>
              <w:ind w:left="91"/>
              <w:rPr>
                <w:sz w:val="24"/>
                <w:szCs w:val="24"/>
                <w:lang w:val="en-GB"/>
              </w:rPr>
            </w:pPr>
            <w:r w:rsidRPr="00807BD7">
              <w:rPr>
                <w:sz w:val="24"/>
                <w:szCs w:val="24"/>
                <w:lang w:val="en-GB"/>
              </w:rPr>
              <w:t>Typiske vedligeholdelses-hastigheder</w:t>
            </w:r>
          </w:p>
        </w:tc>
      </w:tr>
      <w:tr w:rsidR="00807BD7" w:rsidRPr="00807BD7" w14:paraId="6ADC54D0" w14:textId="77777777" w:rsidTr="0092547E">
        <w:trPr>
          <w:trHeight w:val="455"/>
        </w:trPr>
        <w:tc>
          <w:tcPr>
            <w:tcW w:w="3403" w:type="dxa"/>
            <w:tcBorders>
              <w:top w:val="single" w:sz="4" w:space="0" w:color="000000"/>
              <w:left w:val="single" w:sz="6" w:space="0" w:color="000000"/>
              <w:bottom w:val="nil"/>
              <w:right w:val="single" w:sz="6" w:space="0" w:color="000000"/>
            </w:tcBorders>
            <w:tcMar>
              <w:top w:w="57" w:type="dxa"/>
              <w:left w:w="57" w:type="dxa"/>
              <w:bottom w:w="57" w:type="dxa"/>
              <w:right w:w="57" w:type="dxa"/>
            </w:tcMar>
            <w:hideMark/>
          </w:tcPr>
          <w:p w14:paraId="16ABCDA7" w14:textId="77777777" w:rsidR="00807BD7" w:rsidRPr="00807BD7" w:rsidRDefault="00807BD7" w:rsidP="00280834">
            <w:pPr>
              <w:ind w:left="81"/>
              <w:rPr>
                <w:sz w:val="24"/>
                <w:szCs w:val="24"/>
                <w:lang w:val="en-GB"/>
              </w:rPr>
            </w:pPr>
            <w:r w:rsidRPr="00807BD7">
              <w:rPr>
                <w:sz w:val="24"/>
                <w:szCs w:val="24"/>
                <w:lang w:val="en-GB"/>
              </w:rPr>
              <w:t>Halothan (initialdosis 0,3 MAC)</w:t>
            </w:r>
          </w:p>
        </w:tc>
        <w:tc>
          <w:tcPr>
            <w:tcW w:w="2267" w:type="dxa"/>
            <w:tcBorders>
              <w:top w:val="single" w:sz="4" w:space="0" w:color="000000"/>
              <w:left w:val="single" w:sz="6" w:space="0" w:color="000000"/>
              <w:bottom w:val="nil"/>
              <w:right w:val="single" w:sz="6" w:space="0" w:color="000000"/>
            </w:tcBorders>
            <w:tcMar>
              <w:top w:w="57" w:type="dxa"/>
              <w:left w:w="57" w:type="dxa"/>
              <w:bottom w:w="57" w:type="dxa"/>
              <w:right w:w="57" w:type="dxa"/>
            </w:tcMar>
            <w:hideMark/>
          </w:tcPr>
          <w:p w14:paraId="57FD4B58" w14:textId="77777777" w:rsidR="00807BD7" w:rsidRPr="00807BD7" w:rsidRDefault="00807BD7" w:rsidP="00280834">
            <w:pPr>
              <w:rPr>
                <w:sz w:val="24"/>
                <w:szCs w:val="24"/>
                <w:lang w:val="en-GB"/>
              </w:rPr>
            </w:pPr>
            <w:r w:rsidRPr="00807BD7">
              <w:rPr>
                <w:sz w:val="24"/>
                <w:szCs w:val="24"/>
                <w:lang w:val="en-GB"/>
              </w:rPr>
              <w:t>1</w:t>
            </w:r>
          </w:p>
        </w:tc>
        <w:tc>
          <w:tcPr>
            <w:tcW w:w="1701" w:type="dxa"/>
            <w:tcBorders>
              <w:top w:val="single" w:sz="4" w:space="0" w:color="000000"/>
              <w:left w:val="single" w:sz="6" w:space="0" w:color="000000"/>
              <w:bottom w:val="nil"/>
              <w:right w:val="single" w:sz="6" w:space="0" w:color="000000"/>
            </w:tcBorders>
            <w:tcMar>
              <w:top w:w="57" w:type="dxa"/>
              <w:left w:w="57" w:type="dxa"/>
              <w:bottom w:w="57" w:type="dxa"/>
              <w:right w:w="57" w:type="dxa"/>
            </w:tcMar>
            <w:hideMark/>
          </w:tcPr>
          <w:p w14:paraId="2B405A58" w14:textId="77777777" w:rsidR="00807BD7" w:rsidRPr="00807BD7" w:rsidRDefault="00807BD7" w:rsidP="00280834">
            <w:pPr>
              <w:ind w:left="91"/>
              <w:rPr>
                <w:sz w:val="24"/>
                <w:szCs w:val="24"/>
                <w:lang w:val="en-GB"/>
              </w:rPr>
            </w:pPr>
            <w:r w:rsidRPr="00807BD7">
              <w:rPr>
                <w:sz w:val="24"/>
                <w:szCs w:val="24"/>
                <w:lang w:val="en-GB"/>
              </w:rPr>
              <w:t>0,25</w:t>
            </w:r>
          </w:p>
        </w:tc>
        <w:tc>
          <w:tcPr>
            <w:tcW w:w="2074" w:type="dxa"/>
            <w:tcBorders>
              <w:top w:val="single" w:sz="4" w:space="0" w:color="000000"/>
              <w:left w:val="single" w:sz="6" w:space="0" w:color="000000"/>
              <w:bottom w:val="nil"/>
              <w:right w:val="single" w:sz="6" w:space="0" w:color="000000"/>
            </w:tcBorders>
            <w:tcMar>
              <w:top w:w="57" w:type="dxa"/>
              <w:left w:w="57" w:type="dxa"/>
              <w:bottom w:w="57" w:type="dxa"/>
              <w:right w:w="57" w:type="dxa"/>
            </w:tcMar>
            <w:hideMark/>
          </w:tcPr>
          <w:p w14:paraId="5ED6A09B" w14:textId="77777777" w:rsidR="00807BD7" w:rsidRPr="00807BD7" w:rsidRDefault="00807BD7" w:rsidP="00280834">
            <w:pPr>
              <w:ind w:left="91"/>
              <w:rPr>
                <w:sz w:val="24"/>
                <w:szCs w:val="24"/>
                <w:lang w:val="en-GB"/>
              </w:rPr>
            </w:pPr>
            <w:r w:rsidRPr="00807BD7">
              <w:rPr>
                <w:sz w:val="24"/>
                <w:szCs w:val="24"/>
                <w:lang w:val="en-GB"/>
              </w:rPr>
              <w:t>0,05 til 1,3</w:t>
            </w:r>
          </w:p>
        </w:tc>
      </w:tr>
      <w:tr w:rsidR="00807BD7" w:rsidRPr="00807BD7" w14:paraId="6E1AB7CC" w14:textId="77777777" w:rsidTr="0092547E">
        <w:trPr>
          <w:trHeight w:val="430"/>
        </w:trPr>
        <w:tc>
          <w:tcPr>
            <w:tcW w:w="3403" w:type="dxa"/>
            <w:tcBorders>
              <w:top w:val="nil"/>
              <w:left w:val="single" w:sz="6" w:space="0" w:color="000000"/>
              <w:bottom w:val="nil"/>
              <w:right w:val="single" w:sz="6" w:space="0" w:color="000000"/>
            </w:tcBorders>
            <w:tcMar>
              <w:top w:w="57" w:type="dxa"/>
              <w:left w:w="57" w:type="dxa"/>
              <w:bottom w:w="57" w:type="dxa"/>
              <w:right w:w="57" w:type="dxa"/>
            </w:tcMar>
            <w:hideMark/>
          </w:tcPr>
          <w:p w14:paraId="21AEAF18" w14:textId="77777777" w:rsidR="00807BD7" w:rsidRPr="00807BD7" w:rsidRDefault="00807BD7" w:rsidP="00280834">
            <w:pPr>
              <w:ind w:left="81"/>
              <w:rPr>
                <w:sz w:val="24"/>
                <w:szCs w:val="24"/>
                <w:lang w:val="en-GB"/>
              </w:rPr>
            </w:pPr>
            <w:r w:rsidRPr="00807BD7">
              <w:rPr>
                <w:sz w:val="24"/>
                <w:szCs w:val="24"/>
                <w:lang w:val="en-GB"/>
              </w:rPr>
              <w:t>Sevofluran (initialdosis 0,3 MAC)</w:t>
            </w:r>
          </w:p>
        </w:tc>
        <w:tc>
          <w:tcPr>
            <w:tcW w:w="2267" w:type="dxa"/>
            <w:tcBorders>
              <w:top w:val="nil"/>
              <w:left w:val="single" w:sz="6" w:space="0" w:color="000000"/>
              <w:bottom w:val="nil"/>
              <w:right w:val="single" w:sz="6" w:space="0" w:color="000000"/>
            </w:tcBorders>
            <w:tcMar>
              <w:top w:w="57" w:type="dxa"/>
              <w:left w:w="57" w:type="dxa"/>
              <w:bottom w:w="57" w:type="dxa"/>
              <w:right w:w="57" w:type="dxa"/>
            </w:tcMar>
            <w:hideMark/>
          </w:tcPr>
          <w:p w14:paraId="457FE530" w14:textId="77777777" w:rsidR="00807BD7" w:rsidRPr="00807BD7" w:rsidRDefault="00807BD7" w:rsidP="00280834">
            <w:pPr>
              <w:rPr>
                <w:sz w:val="24"/>
                <w:szCs w:val="24"/>
                <w:lang w:val="en-GB"/>
              </w:rPr>
            </w:pPr>
            <w:r w:rsidRPr="00807BD7">
              <w:rPr>
                <w:sz w:val="24"/>
                <w:szCs w:val="24"/>
                <w:lang w:val="en-GB"/>
              </w:rPr>
              <w:t>1</w:t>
            </w:r>
          </w:p>
        </w:tc>
        <w:tc>
          <w:tcPr>
            <w:tcW w:w="1701" w:type="dxa"/>
            <w:tcBorders>
              <w:top w:val="nil"/>
              <w:left w:val="single" w:sz="6" w:space="0" w:color="000000"/>
              <w:bottom w:val="nil"/>
              <w:right w:val="single" w:sz="6" w:space="0" w:color="000000"/>
            </w:tcBorders>
            <w:tcMar>
              <w:top w:w="57" w:type="dxa"/>
              <w:left w:w="57" w:type="dxa"/>
              <w:bottom w:w="57" w:type="dxa"/>
              <w:right w:w="57" w:type="dxa"/>
            </w:tcMar>
            <w:hideMark/>
          </w:tcPr>
          <w:p w14:paraId="5688487D" w14:textId="77777777" w:rsidR="00807BD7" w:rsidRPr="00807BD7" w:rsidRDefault="00807BD7" w:rsidP="00280834">
            <w:pPr>
              <w:ind w:left="91"/>
              <w:rPr>
                <w:sz w:val="24"/>
                <w:szCs w:val="24"/>
                <w:lang w:val="en-GB"/>
              </w:rPr>
            </w:pPr>
            <w:r w:rsidRPr="00807BD7">
              <w:rPr>
                <w:sz w:val="24"/>
                <w:szCs w:val="24"/>
                <w:lang w:val="en-GB"/>
              </w:rPr>
              <w:t>0,25</w:t>
            </w:r>
          </w:p>
        </w:tc>
        <w:tc>
          <w:tcPr>
            <w:tcW w:w="2074" w:type="dxa"/>
            <w:tcBorders>
              <w:top w:val="nil"/>
              <w:left w:val="single" w:sz="6" w:space="0" w:color="000000"/>
              <w:bottom w:val="nil"/>
              <w:right w:val="single" w:sz="6" w:space="0" w:color="000000"/>
            </w:tcBorders>
            <w:tcMar>
              <w:top w:w="57" w:type="dxa"/>
              <w:left w:w="57" w:type="dxa"/>
              <w:bottom w:w="57" w:type="dxa"/>
              <w:right w:w="57" w:type="dxa"/>
            </w:tcMar>
            <w:hideMark/>
          </w:tcPr>
          <w:p w14:paraId="4551CC62" w14:textId="77777777" w:rsidR="00807BD7" w:rsidRPr="00807BD7" w:rsidRDefault="00807BD7" w:rsidP="00280834">
            <w:pPr>
              <w:ind w:left="91"/>
              <w:rPr>
                <w:sz w:val="24"/>
                <w:szCs w:val="24"/>
                <w:lang w:val="en-GB"/>
              </w:rPr>
            </w:pPr>
            <w:r w:rsidRPr="00807BD7">
              <w:rPr>
                <w:sz w:val="24"/>
                <w:szCs w:val="24"/>
                <w:lang w:val="en-GB"/>
              </w:rPr>
              <w:t>0,05 til 0,9</w:t>
            </w:r>
          </w:p>
        </w:tc>
      </w:tr>
      <w:tr w:rsidR="00807BD7" w:rsidRPr="00807BD7" w14:paraId="4E7E72E6" w14:textId="77777777" w:rsidTr="0092547E">
        <w:trPr>
          <w:trHeight w:val="325"/>
        </w:trPr>
        <w:tc>
          <w:tcPr>
            <w:tcW w:w="3403" w:type="dxa"/>
            <w:tcBorders>
              <w:top w:val="nil"/>
              <w:left w:val="single" w:sz="4" w:space="0" w:color="000000"/>
              <w:bottom w:val="single" w:sz="4" w:space="0" w:color="000000"/>
              <w:right w:val="single" w:sz="4" w:space="0" w:color="000000"/>
            </w:tcBorders>
            <w:tcMar>
              <w:top w:w="57" w:type="dxa"/>
              <w:left w:w="57" w:type="dxa"/>
              <w:bottom w:w="57" w:type="dxa"/>
              <w:right w:w="57" w:type="dxa"/>
            </w:tcMar>
            <w:hideMark/>
          </w:tcPr>
          <w:p w14:paraId="1209F20A" w14:textId="77777777" w:rsidR="00807BD7" w:rsidRPr="00807BD7" w:rsidRDefault="00807BD7" w:rsidP="00280834">
            <w:pPr>
              <w:ind w:left="81"/>
              <w:rPr>
                <w:sz w:val="24"/>
                <w:szCs w:val="24"/>
                <w:lang w:val="en-GB"/>
              </w:rPr>
            </w:pPr>
            <w:r w:rsidRPr="00807BD7">
              <w:rPr>
                <w:sz w:val="24"/>
                <w:szCs w:val="24"/>
                <w:lang w:val="en-GB"/>
              </w:rPr>
              <w:t>Isofluran (initialdosis 0,5 MAC)</w:t>
            </w:r>
          </w:p>
        </w:tc>
        <w:tc>
          <w:tcPr>
            <w:tcW w:w="2267" w:type="dxa"/>
            <w:tcBorders>
              <w:top w:val="nil"/>
              <w:left w:val="single" w:sz="4" w:space="0" w:color="000000"/>
              <w:bottom w:val="single" w:sz="4" w:space="0" w:color="000000"/>
              <w:right w:val="single" w:sz="4" w:space="0" w:color="000000"/>
            </w:tcBorders>
            <w:tcMar>
              <w:top w:w="57" w:type="dxa"/>
              <w:left w:w="57" w:type="dxa"/>
              <w:bottom w:w="57" w:type="dxa"/>
              <w:right w:w="57" w:type="dxa"/>
            </w:tcMar>
            <w:hideMark/>
          </w:tcPr>
          <w:p w14:paraId="229736E3" w14:textId="77777777" w:rsidR="00807BD7" w:rsidRPr="00807BD7" w:rsidRDefault="00807BD7" w:rsidP="00280834">
            <w:pPr>
              <w:rPr>
                <w:sz w:val="24"/>
                <w:szCs w:val="24"/>
                <w:lang w:val="en-GB"/>
              </w:rPr>
            </w:pPr>
            <w:r w:rsidRPr="00807BD7">
              <w:rPr>
                <w:sz w:val="24"/>
                <w:szCs w:val="24"/>
                <w:lang w:val="en-GB"/>
              </w:rPr>
              <w:t>1</w:t>
            </w:r>
          </w:p>
        </w:tc>
        <w:tc>
          <w:tcPr>
            <w:tcW w:w="1701" w:type="dxa"/>
            <w:tcBorders>
              <w:top w:val="nil"/>
              <w:left w:val="single" w:sz="4" w:space="0" w:color="000000"/>
              <w:bottom w:val="single" w:sz="4" w:space="0" w:color="000000"/>
              <w:right w:val="single" w:sz="4" w:space="0" w:color="000000"/>
            </w:tcBorders>
            <w:tcMar>
              <w:top w:w="57" w:type="dxa"/>
              <w:left w:w="57" w:type="dxa"/>
              <w:bottom w:w="57" w:type="dxa"/>
              <w:right w:w="57" w:type="dxa"/>
            </w:tcMar>
            <w:hideMark/>
          </w:tcPr>
          <w:p w14:paraId="1E21605C" w14:textId="77777777" w:rsidR="00807BD7" w:rsidRPr="00807BD7" w:rsidRDefault="00807BD7" w:rsidP="00280834">
            <w:pPr>
              <w:ind w:left="91"/>
              <w:rPr>
                <w:sz w:val="24"/>
                <w:szCs w:val="24"/>
                <w:lang w:val="en-GB"/>
              </w:rPr>
            </w:pPr>
            <w:r w:rsidRPr="00807BD7">
              <w:rPr>
                <w:sz w:val="24"/>
                <w:szCs w:val="24"/>
                <w:lang w:val="en-GB"/>
              </w:rPr>
              <w:t>0,25</w:t>
            </w:r>
          </w:p>
        </w:tc>
        <w:tc>
          <w:tcPr>
            <w:tcW w:w="2074" w:type="dxa"/>
            <w:tcBorders>
              <w:top w:val="nil"/>
              <w:left w:val="single" w:sz="4" w:space="0" w:color="000000"/>
              <w:bottom w:val="single" w:sz="4" w:space="0" w:color="000000"/>
              <w:right w:val="single" w:sz="4" w:space="0" w:color="000000"/>
            </w:tcBorders>
            <w:tcMar>
              <w:top w:w="57" w:type="dxa"/>
              <w:left w:w="57" w:type="dxa"/>
              <w:bottom w:w="57" w:type="dxa"/>
              <w:right w:w="57" w:type="dxa"/>
            </w:tcMar>
            <w:hideMark/>
          </w:tcPr>
          <w:p w14:paraId="017A5E40" w14:textId="77777777" w:rsidR="00807BD7" w:rsidRPr="00807BD7" w:rsidRDefault="00807BD7" w:rsidP="00280834">
            <w:pPr>
              <w:ind w:left="91"/>
              <w:rPr>
                <w:sz w:val="24"/>
                <w:szCs w:val="24"/>
                <w:lang w:val="en-GB"/>
              </w:rPr>
            </w:pPr>
            <w:r w:rsidRPr="00807BD7">
              <w:rPr>
                <w:sz w:val="24"/>
                <w:szCs w:val="24"/>
                <w:lang w:val="en-GB"/>
              </w:rPr>
              <w:t>0,06 til 0,9</w:t>
            </w:r>
          </w:p>
        </w:tc>
      </w:tr>
    </w:tbl>
    <w:p w14:paraId="640ABD7E" w14:textId="77777777" w:rsidR="00807BD7" w:rsidRPr="00807BD7" w:rsidRDefault="00807BD7" w:rsidP="00807BD7">
      <w:pPr>
        <w:tabs>
          <w:tab w:val="left" w:pos="851"/>
        </w:tabs>
        <w:ind w:left="851"/>
        <w:rPr>
          <w:sz w:val="24"/>
          <w:szCs w:val="24"/>
        </w:rPr>
      </w:pPr>
      <w:r w:rsidRPr="00807BD7">
        <w:rPr>
          <w:sz w:val="24"/>
          <w:szCs w:val="24"/>
        </w:rPr>
        <w:t>* samtidig administration med nitrogenoxid/oxygen i forholdet 2:1</w:t>
      </w:r>
    </w:p>
    <w:p w14:paraId="0B146B36" w14:textId="77777777" w:rsidR="00807BD7" w:rsidRPr="00807BD7" w:rsidRDefault="00807BD7" w:rsidP="00807BD7">
      <w:pPr>
        <w:tabs>
          <w:tab w:val="left" w:pos="851"/>
        </w:tabs>
        <w:ind w:left="851"/>
        <w:rPr>
          <w:sz w:val="24"/>
          <w:szCs w:val="24"/>
        </w:rPr>
      </w:pPr>
    </w:p>
    <w:p w14:paraId="2961A154" w14:textId="77777777" w:rsidR="00807BD7" w:rsidRPr="00807BD7" w:rsidRDefault="00807BD7" w:rsidP="00807BD7">
      <w:pPr>
        <w:tabs>
          <w:tab w:val="left" w:pos="851"/>
        </w:tabs>
        <w:ind w:left="851"/>
        <w:rPr>
          <w:sz w:val="24"/>
          <w:szCs w:val="24"/>
        </w:rPr>
      </w:pPr>
      <w:r w:rsidRPr="00807BD7">
        <w:rPr>
          <w:sz w:val="24"/>
          <w:szCs w:val="24"/>
        </w:rPr>
        <w:t>Remifentanil "Orion" skal administreres over mindst 30 sekunder, når det administreres som bolusinjektion. Kirurgi bør tidligst påbegyndes 5 minutter efter Remifentanil "Orion"-infusionens start, hvis der ikke samtidig er administreret en bolusdosis. Ved administration af nitrogenoxid (70 %) og Remifentanil "Orion" alene bør den typiske vedligeholdelseshastighed være mellem 0,4 og 3 µg/kg/min, og selvom specifikke studier mangler, antyder data hos voksne, at 0,4 µg/kg/min er en passende initialhastighed. Pædiatriske patienter skal overvåges og dosis titreres, så dybden af analgesien er relevant for det kirurgiske indgreb.</w:t>
      </w:r>
    </w:p>
    <w:p w14:paraId="2176DB86" w14:textId="77777777" w:rsidR="00807BD7" w:rsidRPr="00807BD7" w:rsidRDefault="00807BD7" w:rsidP="00807BD7">
      <w:pPr>
        <w:tabs>
          <w:tab w:val="left" w:pos="851"/>
        </w:tabs>
        <w:ind w:left="851"/>
        <w:rPr>
          <w:sz w:val="24"/>
          <w:szCs w:val="24"/>
        </w:rPr>
      </w:pPr>
    </w:p>
    <w:p w14:paraId="1EF61F7E" w14:textId="77777777" w:rsidR="0092547E" w:rsidRDefault="00807BD7" w:rsidP="00807BD7">
      <w:pPr>
        <w:tabs>
          <w:tab w:val="left" w:pos="851"/>
        </w:tabs>
        <w:ind w:left="851"/>
        <w:rPr>
          <w:sz w:val="24"/>
          <w:szCs w:val="24"/>
          <w:u w:val="single"/>
        </w:rPr>
      </w:pPr>
      <w:r w:rsidRPr="00807BD7">
        <w:rPr>
          <w:sz w:val="24"/>
          <w:szCs w:val="24"/>
          <w:u w:val="single"/>
        </w:rPr>
        <w:t>Samtidig medicinering</w:t>
      </w:r>
    </w:p>
    <w:p w14:paraId="67D06C82" w14:textId="68D06D18" w:rsidR="00807BD7" w:rsidRPr="00807BD7" w:rsidRDefault="00807BD7" w:rsidP="00807BD7">
      <w:pPr>
        <w:tabs>
          <w:tab w:val="left" w:pos="851"/>
        </w:tabs>
        <w:ind w:left="851"/>
        <w:rPr>
          <w:sz w:val="24"/>
          <w:szCs w:val="24"/>
        </w:rPr>
      </w:pPr>
      <w:r w:rsidRPr="00807BD7">
        <w:rPr>
          <w:sz w:val="24"/>
          <w:szCs w:val="24"/>
        </w:rPr>
        <w:t>Ved de anbefalede doser ovenfor reducerer remifentanil den nødvendige mængde hypnotikum til vedligeholdelse af anæstesien betydeligt. Derfor bør isofluran, halothan og sevofluran administreres som anbefalet ovenfor, for at undgå en øget hæmodynamisk virkning, såsom hypotension og bradykardi. Der foreligger ingen tilgængelige data vedrørende doseringsanbefalinger for samtidig brug af andre hypnotika, end dem der er anført i tabellen, med remifentanil (se afsnittet "Voksne" - "Samtidig medicinering").</w:t>
      </w:r>
    </w:p>
    <w:p w14:paraId="41DFA658" w14:textId="77777777" w:rsidR="00807BD7" w:rsidRPr="00807BD7" w:rsidRDefault="00807BD7" w:rsidP="00807BD7">
      <w:pPr>
        <w:tabs>
          <w:tab w:val="left" w:pos="851"/>
        </w:tabs>
        <w:ind w:left="851"/>
        <w:rPr>
          <w:sz w:val="24"/>
          <w:szCs w:val="24"/>
        </w:rPr>
      </w:pPr>
    </w:p>
    <w:p w14:paraId="3BFD661F" w14:textId="77777777" w:rsidR="00807BD7" w:rsidRPr="00807BD7" w:rsidRDefault="00807BD7" w:rsidP="00807BD7">
      <w:pPr>
        <w:tabs>
          <w:tab w:val="left" w:pos="851"/>
        </w:tabs>
        <w:ind w:left="851"/>
        <w:rPr>
          <w:i/>
          <w:iCs/>
          <w:sz w:val="24"/>
          <w:szCs w:val="24"/>
          <w:u w:val="single"/>
        </w:rPr>
      </w:pPr>
      <w:r w:rsidRPr="00807BD7">
        <w:rPr>
          <w:i/>
          <w:iCs/>
          <w:sz w:val="24"/>
          <w:szCs w:val="24"/>
          <w:u w:val="single"/>
        </w:rPr>
        <w:t>Vejledning for behandling af patienter umiddelbart postoperativt</w:t>
      </w:r>
    </w:p>
    <w:p w14:paraId="0343792D" w14:textId="77777777" w:rsidR="00807BD7" w:rsidRPr="00807BD7" w:rsidRDefault="00807BD7" w:rsidP="00807BD7">
      <w:pPr>
        <w:tabs>
          <w:tab w:val="left" w:pos="851"/>
        </w:tabs>
        <w:ind w:left="851"/>
        <w:rPr>
          <w:sz w:val="24"/>
          <w:szCs w:val="24"/>
        </w:rPr>
      </w:pPr>
    </w:p>
    <w:p w14:paraId="6A5A0F98" w14:textId="77777777" w:rsidR="0092547E" w:rsidRDefault="00807BD7" w:rsidP="00807BD7">
      <w:pPr>
        <w:tabs>
          <w:tab w:val="left" w:pos="851"/>
        </w:tabs>
        <w:ind w:left="851"/>
        <w:rPr>
          <w:sz w:val="24"/>
          <w:szCs w:val="24"/>
          <w:u w:val="single"/>
        </w:rPr>
      </w:pPr>
      <w:r w:rsidRPr="00807BD7">
        <w:rPr>
          <w:sz w:val="24"/>
          <w:szCs w:val="24"/>
          <w:u w:val="single"/>
        </w:rPr>
        <w:t>Etablering af alternativ analgesi før seponering af Remifentanil "Orion"</w:t>
      </w:r>
    </w:p>
    <w:p w14:paraId="4E8C5284" w14:textId="522B8354" w:rsidR="00807BD7" w:rsidRPr="00807BD7" w:rsidRDefault="00807BD7" w:rsidP="00807BD7">
      <w:pPr>
        <w:tabs>
          <w:tab w:val="left" w:pos="851"/>
        </w:tabs>
        <w:ind w:left="851"/>
        <w:rPr>
          <w:sz w:val="24"/>
          <w:szCs w:val="24"/>
        </w:rPr>
      </w:pPr>
      <w:r w:rsidRPr="00807BD7">
        <w:rPr>
          <w:sz w:val="24"/>
          <w:szCs w:val="24"/>
        </w:rPr>
        <w:t>Da Remifentanil "Orion"s virkning ophører meget hurtigt, er der ingen residualaktivitet 5-10 minutter efter seponering. Til patienter, der gennemgår kirurgiske indgreb, hvor postoperative smerter må forventes, bør der gives analgetika før seponering af Remifentanil "Orion". Der skal afsættes tilstrækkelig tid til at opnå den maksimale terapeutiske virkning af det længerevarende analgetikum. Valget af analgetikum/analgetika, dosis og tidspunkt for administration skal planlægges i forvejen og tilpasses individuelt, så det er relevant for patientens kirurgiske indgreb og niveauet af den forventede postoperative pleje (se pkt. 4.4).</w:t>
      </w:r>
    </w:p>
    <w:p w14:paraId="7846815F" w14:textId="77777777" w:rsidR="00807BD7" w:rsidRPr="00807BD7" w:rsidRDefault="00807BD7" w:rsidP="00807BD7">
      <w:pPr>
        <w:tabs>
          <w:tab w:val="left" w:pos="851"/>
        </w:tabs>
        <w:ind w:left="851"/>
        <w:rPr>
          <w:sz w:val="24"/>
          <w:szCs w:val="24"/>
        </w:rPr>
      </w:pPr>
    </w:p>
    <w:p w14:paraId="43DE0E2D" w14:textId="77777777" w:rsidR="00807BD7" w:rsidRPr="0092547E" w:rsidRDefault="00807BD7" w:rsidP="00807BD7">
      <w:pPr>
        <w:tabs>
          <w:tab w:val="left" w:pos="851"/>
        </w:tabs>
        <w:ind w:left="851"/>
        <w:rPr>
          <w:iCs/>
          <w:sz w:val="24"/>
          <w:szCs w:val="24"/>
          <w:u w:val="single"/>
        </w:rPr>
      </w:pPr>
      <w:r w:rsidRPr="0092547E">
        <w:rPr>
          <w:iCs/>
          <w:sz w:val="24"/>
          <w:szCs w:val="24"/>
          <w:u w:val="single"/>
        </w:rPr>
        <w:t>Nyfødte/spædbørn (under 1 år)</w:t>
      </w:r>
    </w:p>
    <w:p w14:paraId="04630545" w14:textId="77777777" w:rsidR="00807BD7" w:rsidRPr="00807BD7" w:rsidRDefault="00807BD7" w:rsidP="00807BD7">
      <w:pPr>
        <w:tabs>
          <w:tab w:val="left" w:pos="851"/>
        </w:tabs>
        <w:ind w:left="851"/>
        <w:rPr>
          <w:sz w:val="24"/>
          <w:szCs w:val="24"/>
        </w:rPr>
      </w:pPr>
      <w:r w:rsidRPr="00807BD7">
        <w:rPr>
          <w:sz w:val="24"/>
          <w:szCs w:val="24"/>
        </w:rPr>
        <w:t>Der er begrænset klinisk erfaring med remifentanil til nyfødte og spædbørn (under 1 år; se pkt. 5.1). Den farmakologiske profil af remifentanil hos nyfødte/spædbørn (under 1 år) er, efter korrektion for legemsvægtsforskelle, sammenlignelig med profilen hos voksne (se pkt. 5.2). Da der dog er utilstrækkelige kliniske data, frarådes administration af Remifentanil "Orion" til denne aldersgruppe.</w:t>
      </w:r>
    </w:p>
    <w:p w14:paraId="65CDDED6" w14:textId="77777777" w:rsidR="00807BD7" w:rsidRPr="00807BD7" w:rsidRDefault="00807BD7" w:rsidP="00807BD7">
      <w:pPr>
        <w:tabs>
          <w:tab w:val="left" w:pos="851"/>
        </w:tabs>
        <w:ind w:left="851"/>
        <w:rPr>
          <w:sz w:val="24"/>
          <w:szCs w:val="24"/>
        </w:rPr>
      </w:pPr>
    </w:p>
    <w:p w14:paraId="25EAAF7B" w14:textId="77777777" w:rsidR="00807BD7" w:rsidRPr="00807BD7" w:rsidRDefault="00807BD7" w:rsidP="00807BD7">
      <w:pPr>
        <w:tabs>
          <w:tab w:val="left" w:pos="851"/>
        </w:tabs>
        <w:ind w:left="851"/>
        <w:rPr>
          <w:sz w:val="24"/>
          <w:szCs w:val="24"/>
        </w:rPr>
      </w:pPr>
      <w:r w:rsidRPr="00807BD7">
        <w:rPr>
          <w:sz w:val="24"/>
          <w:szCs w:val="24"/>
        </w:rPr>
        <w:t>Anvendelse til total intravenøs anæstesi (TIVA): Der er begrænset klinisk erfaring med remifentanil til TIVA hos spædbørn (se pkt. 5.1). Der er dog utilstrækkelige kliniske data til at fastsætte dosisanbefalinger.</w:t>
      </w:r>
    </w:p>
    <w:p w14:paraId="375ABF33" w14:textId="77777777" w:rsidR="00807BD7" w:rsidRPr="00807BD7" w:rsidRDefault="00807BD7" w:rsidP="00807BD7">
      <w:pPr>
        <w:tabs>
          <w:tab w:val="left" w:pos="851"/>
        </w:tabs>
        <w:ind w:left="851"/>
        <w:rPr>
          <w:sz w:val="24"/>
          <w:szCs w:val="24"/>
        </w:rPr>
      </w:pPr>
    </w:p>
    <w:p w14:paraId="2F65E63D" w14:textId="77777777" w:rsidR="00807BD7" w:rsidRPr="0092547E" w:rsidRDefault="00807BD7" w:rsidP="00807BD7">
      <w:pPr>
        <w:tabs>
          <w:tab w:val="left" w:pos="851"/>
        </w:tabs>
        <w:ind w:left="851"/>
        <w:rPr>
          <w:b/>
          <w:sz w:val="24"/>
          <w:szCs w:val="24"/>
        </w:rPr>
      </w:pPr>
      <w:r w:rsidRPr="0092547E">
        <w:rPr>
          <w:b/>
          <w:sz w:val="24"/>
          <w:szCs w:val="24"/>
        </w:rPr>
        <w:t>Hjerteanæstesi</w:t>
      </w:r>
    </w:p>
    <w:p w14:paraId="733E7C69" w14:textId="77777777" w:rsidR="00807BD7" w:rsidRPr="00807BD7" w:rsidRDefault="00807BD7" w:rsidP="00807BD7">
      <w:pPr>
        <w:tabs>
          <w:tab w:val="left" w:pos="851"/>
        </w:tabs>
        <w:ind w:left="851"/>
        <w:rPr>
          <w:sz w:val="24"/>
          <w:szCs w:val="24"/>
        </w:rPr>
      </w:pPr>
    </w:p>
    <w:p w14:paraId="3F37C892" w14:textId="77777777" w:rsidR="00807BD7" w:rsidRPr="00807BD7" w:rsidRDefault="00807BD7" w:rsidP="00807BD7">
      <w:pPr>
        <w:tabs>
          <w:tab w:val="left" w:pos="851"/>
        </w:tabs>
        <w:ind w:left="851"/>
        <w:rPr>
          <w:i/>
          <w:iCs/>
          <w:sz w:val="24"/>
          <w:szCs w:val="24"/>
        </w:rPr>
      </w:pPr>
      <w:r w:rsidRPr="00807BD7">
        <w:rPr>
          <w:i/>
          <w:iCs/>
          <w:sz w:val="24"/>
          <w:szCs w:val="24"/>
        </w:rPr>
        <w:t>Administration ved manuel kontrolleret infusion (Manually-Controlled Infusion, MCI)</w:t>
      </w:r>
    </w:p>
    <w:p w14:paraId="5A166FC4" w14:textId="77777777" w:rsidR="00807BD7" w:rsidRPr="00807BD7" w:rsidRDefault="00807BD7" w:rsidP="00807BD7">
      <w:pPr>
        <w:tabs>
          <w:tab w:val="left" w:pos="851"/>
        </w:tabs>
        <w:ind w:left="851"/>
        <w:rPr>
          <w:sz w:val="24"/>
          <w:szCs w:val="24"/>
        </w:rPr>
      </w:pPr>
    </w:p>
    <w:p w14:paraId="29CA8D2B" w14:textId="77777777" w:rsidR="00807BD7" w:rsidRPr="00807BD7" w:rsidRDefault="00807BD7" w:rsidP="00807BD7">
      <w:pPr>
        <w:tabs>
          <w:tab w:val="left" w:pos="851"/>
        </w:tabs>
        <w:ind w:left="851"/>
        <w:rPr>
          <w:sz w:val="24"/>
          <w:szCs w:val="24"/>
        </w:rPr>
      </w:pPr>
      <w:r w:rsidRPr="00807BD7">
        <w:rPr>
          <w:sz w:val="24"/>
          <w:szCs w:val="24"/>
        </w:rPr>
        <w:t>Tabel 3: Doseringsvejledning for hjerteanæstesi</w:t>
      </w:r>
    </w:p>
    <w:p w14:paraId="5A9671BA" w14:textId="77777777" w:rsidR="00807BD7" w:rsidRPr="00807BD7" w:rsidRDefault="00807BD7" w:rsidP="00807BD7">
      <w:pPr>
        <w:tabs>
          <w:tab w:val="left" w:pos="851"/>
        </w:tabs>
        <w:ind w:left="851"/>
        <w:rPr>
          <w:sz w:val="24"/>
          <w:szCs w:val="24"/>
        </w:rPr>
      </w:pPr>
    </w:p>
    <w:tbl>
      <w:tblPr>
        <w:tblW w:w="8788"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7"/>
        <w:gridCol w:w="2266"/>
        <w:gridCol w:w="1843"/>
        <w:gridCol w:w="1842"/>
      </w:tblGrid>
      <w:tr w:rsidR="00807BD7" w:rsidRPr="00807BD7" w14:paraId="77303127" w14:textId="77777777" w:rsidTr="0092547E">
        <w:trPr>
          <w:trHeight w:val="762"/>
        </w:trPr>
        <w:tc>
          <w:tcPr>
            <w:tcW w:w="2837" w:type="dxa"/>
            <w:vMerge w:val="restart"/>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hideMark/>
          </w:tcPr>
          <w:p w14:paraId="5895D4DF" w14:textId="77777777" w:rsidR="00807BD7" w:rsidRPr="00807BD7" w:rsidRDefault="00807BD7" w:rsidP="0092547E">
            <w:pPr>
              <w:ind w:left="81"/>
              <w:rPr>
                <w:sz w:val="24"/>
                <w:szCs w:val="24"/>
                <w:lang w:val="en-GB"/>
              </w:rPr>
            </w:pPr>
            <w:r w:rsidRPr="00807BD7">
              <w:rPr>
                <w:sz w:val="24"/>
                <w:szCs w:val="24"/>
                <w:lang w:val="en-GB"/>
              </w:rPr>
              <w:t>INDIKATION</w:t>
            </w:r>
          </w:p>
        </w:tc>
        <w:tc>
          <w:tcPr>
            <w:tcW w:w="2266" w:type="dxa"/>
            <w:vMerge w:val="restart"/>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hideMark/>
          </w:tcPr>
          <w:p w14:paraId="071442DC" w14:textId="77777777" w:rsidR="00807BD7" w:rsidRPr="00807BD7" w:rsidRDefault="00807BD7" w:rsidP="0092547E">
            <w:pPr>
              <w:ind w:left="83"/>
              <w:rPr>
                <w:sz w:val="24"/>
                <w:szCs w:val="24"/>
                <w:lang w:val="en-GB"/>
              </w:rPr>
            </w:pPr>
            <w:r w:rsidRPr="00807BD7">
              <w:rPr>
                <w:sz w:val="24"/>
                <w:szCs w:val="24"/>
                <w:lang w:val="en-GB"/>
              </w:rPr>
              <w:t>BOLUSINJEKTION</w:t>
            </w:r>
          </w:p>
          <w:p w14:paraId="2F55AF37" w14:textId="77777777" w:rsidR="00807BD7" w:rsidRPr="00807BD7" w:rsidRDefault="00807BD7" w:rsidP="0092547E">
            <w:pPr>
              <w:ind w:left="83"/>
              <w:rPr>
                <w:sz w:val="24"/>
                <w:szCs w:val="24"/>
                <w:lang w:val="en-GB"/>
              </w:rPr>
            </w:pPr>
            <w:r w:rsidRPr="00807BD7">
              <w:rPr>
                <w:sz w:val="24"/>
                <w:szCs w:val="24"/>
                <w:lang w:val="en-GB"/>
              </w:rPr>
              <w:t>(µg/kg)</w:t>
            </w:r>
          </w:p>
        </w:tc>
        <w:tc>
          <w:tcPr>
            <w:tcW w:w="3685"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52F9ACA" w14:textId="77777777" w:rsidR="00807BD7" w:rsidRPr="00807BD7" w:rsidRDefault="00807BD7" w:rsidP="003D4F3C">
            <w:pPr>
              <w:ind w:left="82"/>
              <w:rPr>
                <w:sz w:val="24"/>
                <w:szCs w:val="24"/>
              </w:rPr>
            </w:pPr>
            <w:r w:rsidRPr="00807BD7">
              <w:rPr>
                <w:sz w:val="24"/>
                <w:szCs w:val="24"/>
              </w:rPr>
              <w:t>KONTINUERLIG INFUSION</w:t>
            </w:r>
          </w:p>
          <w:p w14:paraId="0E51E7A4" w14:textId="77777777" w:rsidR="00807BD7" w:rsidRPr="00807BD7" w:rsidRDefault="00807BD7" w:rsidP="003D4F3C">
            <w:pPr>
              <w:ind w:left="82"/>
              <w:rPr>
                <w:sz w:val="24"/>
                <w:szCs w:val="24"/>
              </w:rPr>
            </w:pPr>
            <w:r w:rsidRPr="00807BD7">
              <w:rPr>
                <w:sz w:val="24"/>
                <w:szCs w:val="24"/>
              </w:rPr>
              <w:t>(µg/kg/min)</w:t>
            </w:r>
          </w:p>
        </w:tc>
      </w:tr>
      <w:tr w:rsidR="00807BD7" w:rsidRPr="00807BD7" w14:paraId="4F13D13C" w14:textId="77777777" w:rsidTr="0092547E">
        <w:trPr>
          <w:trHeight w:val="423"/>
        </w:trPr>
        <w:tc>
          <w:tcPr>
            <w:tcW w:w="2837" w:type="dxa"/>
            <w:vMerge/>
            <w:tcBorders>
              <w:top w:val="single" w:sz="6" w:space="0" w:color="000000"/>
              <w:left w:val="single" w:sz="6" w:space="0" w:color="000000"/>
              <w:bottom w:val="single" w:sz="4" w:space="0" w:color="000000"/>
              <w:right w:val="single" w:sz="6" w:space="0" w:color="000000"/>
            </w:tcBorders>
            <w:vAlign w:val="center"/>
            <w:hideMark/>
          </w:tcPr>
          <w:p w14:paraId="0EDA9650" w14:textId="77777777" w:rsidR="00807BD7" w:rsidRPr="00807BD7" w:rsidRDefault="00807BD7" w:rsidP="0092547E">
            <w:pPr>
              <w:ind w:left="81"/>
              <w:rPr>
                <w:sz w:val="24"/>
                <w:szCs w:val="24"/>
              </w:rPr>
            </w:pPr>
          </w:p>
        </w:tc>
        <w:tc>
          <w:tcPr>
            <w:tcW w:w="2266" w:type="dxa"/>
            <w:vMerge/>
            <w:tcBorders>
              <w:top w:val="single" w:sz="6" w:space="0" w:color="000000"/>
              <w:left w:val="single" w:sz="6" w:space="0" w:color="000000"/>
              <w:bottom w:val="single" w:sz="4" w:space="0" w:color="000000"/>
              <w:right w:val="single" w:sz="6" w:space="0" w:color="000000"/>
            </w:tcBorders>
            <w:vAlign w:val="center"/>
            <w:hideMark/>
          </w:tcPr>
          <w:p w14:paraId="72C53953" w14:textId="77777777" w:rsidR="00807BD7" w:rsidRPr="00807BD7" w:rsidRDefault="00807BD7" w:rsidP="0092547E">
            <w:pPr>
              <w:ind w:left="83"/>
              <w:rPr>
                <w:sz w:val="24"/>
                <w:szCs w:val="24"/>
              </w:rPr>
            </w:pPr>
          </w:p>
        </w:tc>
        <w:tc>
          <w:tcPr>
            <w:tcW w:w="1843"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hideMark/>
          </w:tcPr>
          <w:p w14:paraId="1335232F" w14:textId="77777777" w:rsidR="00807BD7" w:rsidRPr="00807BD7" w:rsidRDefault="00807BD7" w:rsidP="003D4F3C">
            <w:pPr>
              <w:ind w:left="82"/>
              <w:rPr>
                <w:sz w:val="24"/>
                <w:szCs w:val="24"/>
                <w:lang w:val="en-GB"/>
              </w:rPr>
            </w:pPr>
            <w:r w:rsidRPr="00807BD7">
              <w:rPr>
                <w:sz w:val="24"/>
                <w:szCs w:val="24"/>
                <w:lang w:val="en-GB"/>
              </w:rPr>
              <w:t>Initialhastighed</w:t>
            </w:r>
          </w:p>
        </w:tc>
        <w:tc>
          <w:tcPr>
            <w:tcW w:w="1842" w:type="dxa"/>
            <w:tcBorders>
              <w:top w:val="single" w:sz="6" w:space="0" w:color="000000"/>
              <w:left w:val="single" w:sz="6" w:space="0" w:color="000000"/>
              <w:bottom w:val="single" w:sz="4" w:space="0" w:color="000000"/>
              <w:right w:val="single" w:sz="6" w:space="0" w:color="000000"/>
            </w:tcBorders>
            <w:tcMar>
              <w:top w:w="57" w:type="dxa"/>
              <w:left w:w="57" w:type="dxa"/>
              <w:bottom w:w="57" w:type="dxa"/>
              <w:right w:w="57" w:type="dxa"/>
            </w:tcMar>
            <w:hideMark/>
          </w:tcPr>
          <w:p w14:paraId="789389A1" w14:textId="77777777" w:rsidR="00807BD7" w:rsidRPr="00807BD7" w:rsidRDefault="00807BD7" w:rsidP="003D4F3C">
            <w:pPr>
              <w:tabs>
                <w:tab w:val="left" w:pos="851"/>
              </w:tabs>
              <w:ind w:left="82"/>
              <w:rPr>
                <w:sz w:val="24"/>
                <w:szCs w:val="24"/>
                <w:lang w:val="en-GB"/>
              </w:rPr>
            </w:pPr>
            <w:r w:rsidRPr="00807BD7">
              <w:rPr>
                <w:sz w:val="24"/>
                <w:szCs w:val="24"/>
                <w:lang w:val="en-GB"/>
              </w:rPr>
              <w:t>Typiske infusions-hastigheder</w:t>
            </w:r>
          </w:p>
        </w:tc>
      </w:tr>
      <w:tr w:rsidR="00807BD7" w:rsidRPr="00807BD7" w14:paraId="16F7EB27" w14:textId="77777777" w:rsidTr="0092547E">
        <w:trPr>
          <w:trHeight w:val="578"/>
        </w:trPr>
        <w:tc>
          <w:tcPr>
            <w:tcW w:w="2837" w:type="dxa"/>
            <w:tcBorders>
              <w:top w:val="single" w:sz="4" w:space="0" w:color="000000"/>
              <w:left w:val="single" w:sz="6" w:space="0" w:color="000000"/>
              <w:bottom w:val="nil"/>
              <w:right w:val="single" w:sz="6" w:space="0" w:color="000000"/>
            </w:tcBorders>
            <w:tcMar>
              <w:top w:w="57" w:type="dxa"/>
              <w:left w:w="57" w:type="dxa"/>
              <w:bottom w:w="57" w:type="dxa"/>
              <w:right w:w="57" w:type="dxa"/>
            </w:tcMar>
            <w:hideMark/>
          </w:tcPr>
          <w:p w14:paraId="464ECC6E" w14:textId="77777777" w:rsidR="00807BD7" w:rsidRPr="00807BD7" w:rsidRDefault="00807BD7" w:rsidP="0092547E">
            <w:pPr>
              <w:ind w:left="81"/>
              <w:rPr>
                <w:sz w:val="24"/>
                <w:szCs w:val="24"/>
                <w:lang w:val="en-GB"/>
              </w:rPr>
            </w:pPr>
            <w:r w:rsidRPr="00807BD7">
              <w:rPr>
                <w:sz w:val="24"/>
                <w:szCs w:val="24"/>
                <w:lang w:val="en-GB"/>
              </w:rPr>
              <w:t>Intubation</w:t>
            </w:r>
          </w:p>
        </w:tc>
        <w:tc>
          <w:tcPr>
            <w:tcW w:w="2266" w:type="dxa"/>
            <w:tcBorders>
              <w:top w:val="single" w:sz="4" w:space="0" w:color="000000"/>
              <w:left w:val="single" w:sz="6" w:space="0" w:color="000000"/>
              <w:bottom w:val="nil"/>
              <w:right w:val="single" w:sz="6" w:space="0" w:color="000000"/>
            </w:tcBorders>
            <w:tcMar>
              <w:top w:w="57" w:type="dxa"/>
              <w:left w:w="57" w:type="dxa"/>
              <w:bottom w:w="57" w:type="dxa"/>
              <w:right w:w="57" w:type="dxa"/>
            </w:tcMar>
            <w:hideMark/>
          </w:tcPr>
          <w:p w14:paraId="58056570" w14:textId="77777777" w:rsidR="00807BD7" w:rsidRPr="00807BD7" w:rsidRDefault="00807BD7" w:rsidP="0092547E">
            <w:pPr>
              <w:ind w:left="83"/>
              <w:rPr>
                <w:sz w:val="24"/>
                <w:szCs w:val="24"/>
                <w:lang w:val="en-GB"/>
              </w:rPr>
            </w:pPr>
            <w:r w:rsidRPr="00807BD7">
              <w:rPr>
                <w:sz w:val="24"/>
                <w:szCs w:val="24"/>
                <w:lang w:val="en-GB"/>
              </w:rPr>
              <w:t>Frarådes</w:t>
            </w:r>
          </w:p>
        </w:tc>
        <w:tc>
          <w:tcPr>
            <w:tcW w:w="1843" w:type="dxa"/>
            <w:tcBorders>
              <w:top w:val="single" w:sz="4" w:space="0" w:color="000000"/>
              <w:left w:val="single" w:sz="6" w:space="0" w:color="000000"/>
              <w:bottom w:val="nil"/>
              <w:right w:val="single" w:sz="6" w:space="0" w:color="000000"/>
            </w:tcBorders>
            <w:tcMar>
              <w:top w:w="57" w:type="dxa"/>
              <w:left w:w="57" w:type="dxa"/>
              <w:bottom w:w="57" w:type="dxa"/>
              <w:right w:w="57" w:type="dxa"/>
            </w:tcMar>
            <w:hideMark/>
          </w:tcPr>
          <w:p w14:paraId="62114C7B" w14:textId="77777777" w:rsidR="00807BD7" w:rsidRPr="00807BD7" w:rsidRDefault="00807BD7" w:rsidP="003D4F3C">
            <w:pPr>
              <w:ind w:left="82"/>
              <w:rPr>
                <w:sz w:val="24"/>
                <w:szCs w:val="24"/>
                <w:lang w:val="en-GB"/>
              </w:rPr>
            </w:pPr>
            <w:r w:rsidRPr="00807BD7">
              <w:rPr>
                <w:sz w:val="24"/>
                <w:szCs w:val="24"/>
                <w:lang w:val="en-GB"/>
              </w:rPr>
              <w:t>1</w:t>
            </w:r>
          </w:p>
        </w:tc>
        <w:tc>
          <w:tcPr>
            <w:tcW w:w="1842" w:type="dxa"/>
            <w:tcBorders>
              <w:top w:val="single" w:sz="4" w:space="0" w:color="000000"/>
              <w:left w:val="single" w:sz="6" w:space="0" w:color="000000"/>
              <w:bottom w:val="nil"/>
              <w:right w:val="single" w:sz="6" w:space="0" w:color="000000"/>
            </w:tcBorders>
            <w:tcMar>
              <w:top w:w="57" w:type="dxa"/>
              <w:left w:w="57" w:type="dxa"/>
              <w:bottom w:w="57" w:type="dxa"/>
              <w:right w:w="57" w:type="dxa"/>
            </w:tcMar>
            <w:hideMark/>
          </w:tcPr>
          <w:p w14:paraId="4CAFFFDF" w14:textId="77777777" w:rsidR="00807BD7" w:rsidRPr="00807BD7" w:rsidRDefault="00807BD7" w:rsidP="003D4F3C">
            <w:pPr>
              <w:tabs>
                <w:tab w:val="left" w:pos="851"/>
              </w:tabs>
              <w:ind w:left="82"/>
              <w:rPr>
                <w:sz w:val="24"/>
                <w:szCs w:val="24"/>
                <w:lang w:val="en-GB"/>
              </w:rPr>
            </w:pPr>
            <w:r w:rsidRPr="00807BD7">
              <w:rPr>
                <w:sz w:val="24"/>
                <w:szCs w:val="24"/>
                <w:lang w:val="en-GB"/>
              </w:rPr>
              <w:t>_</w:t>
            </w:r>
          </w:p>
        </w:tc>
      </w:tr>
      <w:tr w:rsidR="00807BD7" w:rsidRPr="00807BD7" w14:paraId="0D989F47" w14:textId="77777777" w:rsidTr="0092547E">
        <w:trPr>
          <w:trHeight w:val="1732"/>
        </w:trPr>
        <w:tc>
          <w:tcPr>
            <w:tcW w:w="2837" w:type="dxa"/>
            <w:tcBorders>
              <w:top w:val="nil"/>
              <w:left w:val="single" w:sz="4" w:space="0" w:color="000000"/>
              <w:bottom w:val="nil"/>
              <w:right w:val="single" w:sz="6" w:space="0" w:color="000000"/>
            </w:tcBorders>
            <w:tcMar>
              <w:top w:w="57" w:type="dxa"/>
              <w:left w:w="57" w:type="dxa"/>
              <w:bottom w:w="57" w:type="dxa"/>
              <w:right w:w="57" w:type="dxa"/>
            </w:tcMar>
          </w:tcPr>
          <w:p w14:paraId="4004E22D" w14:textId="77777777" w:rsidR="00807BD7" w:rsidRPr="00807BD7" w:rsidRDefault="00807BD7" w:rsidP="0092547E">
            <w:pPr>
              <w:ind w:left="81"/>
              <w:rPr>
                <w:sz w:val="24"/>
                <w:szCs w:val="24"/>
              </w:rPr>
            </w:pPr>
            <w:r w:rsidRPr="00807BD7">
              <w:rPr>
                <w:sz w:val="24"/>
                <w:szCs w:val="24"/>
              </w:rPr>
              <w:t>Vedligeholdelse af anæstesi</w:t>
            </w:r>
          </w:p>
          <w:p w14:paraId="1665BC3B" w14:textId="77777777" w:rsidR="00807BD7" w:rsidRPr="00807BD7" w:rsidRDefault="00807BD7" w:rsidP="0092547E">
            <w:pPr>
              <w:ind w:left="81"/>
              <w:rPr>
                <w:sz w:val="24"/>
                <w:szCs w:val="24"/>
              </w:rPr>
            </w:pPr>
            <w:r w:rsidRPr="00807BD7">
              <w:rPr>
                <w:sz w:val="24"/>
                <w:szCs w:val="24"/>
              </w:rPr>
              <w:t>Isofluran (initialdosis 0,4 MAC)</w:t>
            </w:r>
          </w:p>
          <w:p w14:paraId="57F2DBC7" w14:textId="77777777" w:rsidR="00807BD7" w:rsidRPr="00807BD7" w:rsidRDefault="00807BD7" w:rsidP="0092547E">
            <w:pPr>
              <w:ind w:left="81"/>
              <w:rPr>
                <w:sz w:val="24"/>
                <w:szCs w:val="24"/>
              </w:rPr>
            </w:pPr>
          </w:p>
          <w:p w14:paraId="1AE651EA" w14:textId="77777777" w:rsidR="00807BD7" w:rsidRPr="00807BD7" w:rsidRDefault="00807BD7" w:rsidP="0092547E">
            <w:pPr>
              <w:ind w:left="81"/>
              <w:rPr>
                <w:sz w:val="24"/>
                <w:szCs w:val="24"/>
              </w:rPr>
            </w:pPr>
            <w:r w:rsidRPr="00807BD7">
              <w:rPr>
                <w:sz w:val="24"/>
                <w:szCs w:val="24"/>
              </w:rPr>
              <w:t>Propofol (initialdosis 50 µg/kg/min)</w:t>
            </w:r>
          </w:p>
        </w:tc>
        <w:tc>
          <w:tcPr>
            <w:tcW w:w="2266" w:type="dxa"/>
            <w:tcBorders>
              <w:top w:val="nil"/>
              <w:left w:val="single" w:sz="6" w:space="0" w:color="000000"/>
              <w:bottom w:val="nil"/>
              <w:right w:val="single" w:sz="6" w:space="0" w:color="000000"/>
            </w:tcBorders>
            <w:tcMar>
              <w:top w:w="57" w:type="dxa"/>
              <w:left w:w="57" w:type="dxa"/>
              <w:bottom w:w="57" w:type="dxa"/>
              <w:right w:w="57" w:type="dxa"/>
            </w:tcMar>
          </w:tcPr>
          <w:p w14:paraId="10E131B6" w14:textId="77777777" w:rsidR="00807BD7" w:rsidRPr="00807BD7" w:rsidRDefault="00807BD7" w:rsidP="0092547E">
            <w:pPr>
              <w:ind w:left="83"/>
              <w:rPr>
                <w:sz w:val="24"/>
                <w:szCs w:val="24"/>
              </w:rPr>
            </w:pPr>
          </w:p>
          <w:p w14:paraId="2A3CD355" w14:textId="77777777" w:rsidR="00807BD7" w:rsidRPr="00807BD7" w:rsidRDefault="00807BD7" w:rsidP="0092547E">
            <w:pPr>
              <w:ind w:left="83"/>
              <w:rPr>
                <w:sz w:val="24"/>
                <w:szCs w:val="24"/>
              </w:rPr>
            </w:pPr>
          </w:p>
          <w:p w14:paraId="7A8430E7" w14:textId="77777777" w:rsidR="00807BD7" w:rsidRPr="00807BD7" w:rsidRDefault="00807BD7" w:rsidP="0092547E">
            <w:pPr>
              <w:ind w:left="83"/>
              <w:rPr>
                <w:sz w:val="24"/>
                <w:szCs w:val="24"/>
                <w:lang w:val="en-GB"/>
              </w:rPr>
            </w:pPr>
            <w:r w:rsidRPr="00807BD7">
              <w:rPr>
                <w:sz w:val="24"/>
                <w:szCs w:val="24"/>
                <w:lang w:val="en-GB"/>
              </w:rPr>
              <w:t>0,5 til 1</w:t>
            </w:r>
          </w:p>
          <w:p w14:paraId="3C5503A2" w14:textId="77777777" w:rsidR="00807BD7" w:rsidRPr="00807BD7" w:rsidRDefault="00807BD7" w:rsidP="0092547E">
            <w:pPr>
              <w:ind w:left="83"/>
              <w:rPr>
                <w:sz w:val="24"/>
                <w:szCs w:val="24"/>
                <w:lang w:val="en-GB"/>
              </w:rPr>
            </w:pPr>
          </w:p>
          <w:p w14:paraId="24791F1E" w14:textId="77777777" w:rsidR="00807BD7" w:rsidRPr="00807BD7" w:rsidRDefault="00807BD7" w:rsidP="0092547E">
            <w:pPr>
              <w:ind w:left="83"/>
              <w:rPr>
                <w:sz w:val="24"/>
                <w:szCs w:val="24"/>
                <w:lang w:val="en-GB"/>
              </w:rPr>
            </w:pPr>
          </w:p>
          <w:p w14:paraId="55AB7D64" w14:textId="77777777" w:rsidR="00807BD7" w:rsidRPr="00807BD7" w:rsidRDefault="00807BD7" w:rsidP="0092547E">
            <w:pPr>
              <w:ind w:left="83"/>
              <w:rPr>
                <w:sz w:val="24"/>
                <w:szCs w:val="24"/>
                <w:lang w:val="en-GB"/>
              </w:rPr>
            </w:pPr>
            <w:r w:rsidRPr="00807BD7">
              <w:rPr>
                <w:sz w:val="24"/>
                <w:szCs w:val="24"/>
                <w:lang w:val="en-GB"/>
              </w:rPr>
              <w:t>0,5 til 1</w:t>
            </w:r>
          </w:p>
        </w:tc>
        <w:tc>
          <w:tcPr>
            <w:tcW w:w="1843" w:type="dxa"/>
            <w:tcBorders>
              <w:top w:val="nil"/>
              <w:left w:val="single" w:sz="6" w:space="0" w:color="000000"/>
              <w:bottom w:val="nil"/>
              <w:right w:val="single" w:sz="6" w:space="0" w:color="000000"/>
            </w:tcBorders>
            <w:tcMar>
              <w:top w:w="57" w:type="dxa"/>
              <w:left w:w="57" w:type="dxa"/>
              <w:bottom w:w="57" w:type="dxa"/>
              <w:right w:w="57" w:type="dxa"/>
            </w:tcMar>
          </w:tcPr>
          <w:p w14:paraId="2EF647B6" w14:textId="77777777" w:rsidR="00807BD7" w:rsidRPr="00807BD7" w:rsidRDefault="00807BD7" w:rsidP="003D4F3C">
            <w:pPr>
              <w:ind w:left="82"/>
              <w:rPr>
                <w:sz w:val="24"/>
                <w:szCs w:val="24"/>
                <w:lang w:val="en-GB"/>
              </w:rPr>
            </w:pPr>
          </w:p>
          <w:p w14:paraId="3929D78D" w14:textId="77777777" w:rsidR="00807BD7" w:rsidRPr="00807BD7" w:rsidRDefault="00807BD7" w:rsidP="003D4F3C">
            <w:pPr>
              <w:ind w:left="82"/>
              <w:rPr>
                <w:sz w:val="24"/>
                <w:szCs w:val="24"/>
                <w:lang w:val="en-GB"/>
              </w:rPr>
            </w:pPr>
          </w:p>
          <w:p w14:paraId="153F0C2D" w14:textId="77777777" w:rsidR="00807BD7" w:rsidRPr="00807BD7" w:rsidRDefault="00807BD7" w:rsidP="003D4F3C">
            <w:pPr>
              <w:ind w:left="82"/>
              <w:rPr>
                <w:sz w:val="24"/>
                <w:szCs w:val="24"/>
                <w:lang w:val="en-GB"/>
              </w:rPr>
            </w:pPr>
            <w:r w:rsidRPr="00807BD7">
              <w:rPr>
                <w:sz w:val="24"/>
                <w:szCs w:val="24"/>
                <w:lang w:val="en-GB"/>
              </w:rPr>
              <w:t>1</w:t>
            </w:r>
          </w:p>
          <w:p w14:paraId="2EC2C68F" w14:textId="77777777" w:rsidR="00807BD7" w:rsidRPr="00807BD7" w:rsidRDefault="00807BD7" w:rsidP="003D4F3C">
            <w:pPr>
              <w:ind w:left="82"/>
              <w:rPr>
                <w:sz w:val="24"/>
                <w:szCs w:val="24"/>
                <w:lang w:val="en-GB"/>
              </w:rPr>
            </w:pPr>
          </w:p>
          <w:p w14:paraId="014815DF" w14:textId="77777777" w:rsidR="00807BD7" w:rsidRPr="00807BD7" w:rsidRDefault="00807BD7" w:rsidP="003D4F3C">
            <w:pPr>
              <w:ind w:left="82"/>
              <w:rPr>
                <w:sz w:val="24"/>
                <w:szCs w:val="24"/>
                <w:lang w:val="en-GB"/>
              </w:rPr>
            </w:pPr>
          </w:p>
          <w:p w14:paraId="457BCF26" w14:textId="77777777" w:rsidR="00807BD7" w:rsidRPr="00807BD7" w:rsidRDefault="00807BD7" w:rsidP="003D4F3C">
            <w:pPr>
              <w:ind w:left="82"/>
              <w:rPr>
                <w:sz w:val="24"/>
                <w:szCs w:val="24"/>
                <w:lang w:val="en-GB"/>
              </w:rPr>
            </w:pPr>
            <w:r w:rsidRPr="00807BD7">
              <w:rPr>
                <w:sz w:val="24"/>
                <w:szCs w:val="24"/>
                <w:lang w:val="en-GB"/>
              </w:rPr>
              <w:t>1</w:t>
            </w:r>
          </w:p>
        </w:tc>
        <w:tc>
          <w:tcPr>
            <w:tcW w:w="1842" w:type="dxa"/>
            <w:tcBorders>
              <w:top w:val="nil"/>
              <w:left w:val="single" w:sz="6" w:space="0" w:color="000000"/>
              <w:bottom w:val="nil"/>
              <w:right w:val="single" w:sz="4" w:space="0" w:color="000000"/>
            </w:tcBorders>
            <w:tcMar>
              <w:top w:w="57" w:type="dxa"/>
              <w:left w:w="57" w:type="dxa"/>
              <w:bottom w:w="57" w:type="dxa"/>
              <w:right w:w="57" w:type="dxa"/>
            </w:tcMar>
          </w:tcPr>
          <w:p w14:paraId="39C6B50E" w14:textId="77777777" w:rsidR="00807BD7" w:rsidRPr="00807BD7" w:rsidRDefault="00807BD7" w:rsidP="003D4F3C">
            <w:pPr>
              <w:tabs>
                <w:tab w:val="left" w:pos="851"/>
              </w:tabs>
              <w:ind w:left="82"/>
              <w:rPr>
                <w:sz w:val="24"/>
                <w:szCs w:val="24"/>
                <w:lang w:val="en-GB"/>
              </w:rPr>
            </w:pPr>
          </w:p>
          <w:p w14:paraId="171CADA2" w14:textId="77777777" w:rsidR="00807BD7" w:rsidRPr="00807BD7" w:rsidRDefault="00807BD7" w:rsidP="003D4F3C">
            <w:pPr>
              <w:tabs>
                <w:tab w:val="left" w:pos="851"/>
              </w:tabs>
              <w:ind w:left="82"/>
              <w:rPr>
                <w:sz w:val="24"/>
                <w:szCs w:val="24"/>
                <w:lang w:val="en-GB"/>
              </w:rPr>
            </w:pPr>
          </w:p>
          <w:p w14:paraId="423DE7A2" w14:textId="77777777" w:rsidR="00807BD7" w:rsidRPr="00807BD7" w:rsidRDefault="00807BD7" w:rsidP="003D4F3C">
            <w:pPr>
              <w:tabs>
                <w:tab w:val="left" w:pos="851"/>
              </w:tabs>
              <w:ind w:left="82"/>
              <w:rPr>
                <w:sz w:val="24"/>
                <w:szCs w:val="24"/>
                <w:lang w:val="en-GB"/>
              </w:rPr>
            </w:pPr>
            <w:r w:rsidRPr="00807BD7">
              <w:rPr>
                <w:sz w:val="24"/>
                <w:szCs w:val="24"/>
                <w:lang w:val="en-GB"/>
              </w:rPr>
              <w:t>0,003 til 4</w:t>
            </w:r>
          </w:p>
          <w:p w14:paraId="5BEC0C24" w14:textId="77777777" w:rsidR="00807BD7" w:rsidRPr="00807BD7" w:rsidRDefault="00807BD7" w:rsidP="003D4F3C">
            <w:pPr>
              <w:tabs>
                <w:tab w:val="left" w:pos="851"/>
              </w:tabs>
              <w:ind w:left="82"/>
              <w:rPr>
                <w:sz w:val="24"/>
                <w:szCs w:val="24"/>
                <w:lang w:val="en-GB"/>
              </w:rPr>
            </w:pPr>
          </w:p>
          <w:p w14:paraId="099A9633" w14:textId="77777777" w:rsidR="00807BD7" w:rsidRPr="00807BD7" w:rsidRDefault="00807BD7" w:rsidP="003D4F3C">
            <w:pPr>
              <w:tabs>
                <w:tab w:val="left" w:pos="851"/>
              </w:tabs>
              <w:ind w:left="82"/>
              <w:rPr>
                <w:sz w:val="24"/>
                <w:szCs w:val="24"/>
                <w:lang w:val="en-GB"/>
              </w:rPr>
            </w:pPr>
          </w:p>
          <w:p w14:paraId="0A80E332" w14:textId="77777777" w:rsidR="00807BD7" w:rsidRPr="00807BD7" w:rsidRDefault="00807BD7" w:rsidP="003D4F3C">
            <w:pPr>
              <w:tabs>
                <w:tab w:val="left" w:pos="851"/>
              </w:tabs>
              <w:ind w:left="82"/>
              <w:rPr>
                <w:sz w:val="24"/>
                <w:szCs w:val="24"/>
                <w:lang w:val="en-GB"/>
              </w:rPr>
            </w:pPr>
            <w:r w:rsidRPr="00807BD7">
              <w:rPr>
                <w:sz w:val="24"/>
                <w:szCs w:val="24"/>
                <w:lang w:val="en-GB"/>
              </w:rPr>
              <w:t>0,01 til 4,3</w:t>
            </w:r>
          </w:p>
        </w:tc>
      </w:tr>
      <w:tr w:rsidR="00807BD7" w:rsidRPr="00807BD7" w14:paraId="679D5EFB" w14:textId="77777777" w:rsidTr="0092547E">
        <w:trPr>
          <w:trHeight w:val="536"/>
        </w:trPr>
        <w:tc>
          <w:tcPr>
            <w:tcW w:w="2837" w:type="dxa"/>
            <w:tcBorders>
              <w:top w:val="nil"/>
              <w:left w:val="single" w:sz="4" w:space="0" w:color="000000"/>
              <w:bottom w:val="single" w:sz="4" w:space="0" w:color="000000"/>
              <w:right w:val="single" w:sz="6" w:space="0" w:color="000000"/>
            </w:tcBorders>
            <w:tcMar>
              <w:top w:w="57" w:type="dxa"/>
              <w:left w:w="57" w:type="dxa"/>
              <w:bottom w:w="57" w:type="dxa"/>
              <w:right w:w="57" w:type="dxa"/>
            </w:tcMar>
            <w:hideMark/>
          </w:tcPr>
          <w:p w14:paraId="33231D6B" w14:textId="77777777" w:rsidR="00807BD7" w:rsidRPr="00807BD7" w:rsidRDefault="00807BD7" w:rsidP="0092547E">
            <w:pPr>
              <w:ind w:left="81"/>
              <w:rPr>
                <w:sz w:val="24"/>
                <w:szCs w:val="24"/>
              </w:rPr>
            </w:pPr>
            <w:r w:rsidRPr="00807BD7">
              <w:rPr>
                <w:sz w:val="24"/>
                <w:szCs w:val="24"/>
              </w:rPr>
              <w:t>Fortsættelse af postoperativ analgesi før ekstubering</w:t>
            </w:r>
          </w:p>
        </w:tc>
        <w:tc>
          <w:tcPr>
            <w:tcW w:w="2266" w:type="dxa"/>
            <w:tcBorders>
              <w:top w:val="nil"/>
              <w:left w:val="single" w:sz="6" w:space="0" w:color="000000"/>
              <w:bottom w:val="single" w:sz="4" w:space="0" w:color="000000"/>
              <w:right w:val="single" w:sz="6" w:space="0" w:color="000000"/>
            </w:tcBorders>
            <w:tcMar>
              <w:top w:w="57" w:type="dxa"/>
              <w:left w:w="57" w:type="dxa"/>
              <w:bottom w:w="57" w:type="dxa"/>
              <w:right w:w="57" w:type="dxa"/>
            </w:tcMar>
          </w:tcPr>
          <w:p w14:paraId="652C554E" w14:textId="77777777" w:rsidR="00807BD7" w:rsidRPr="00807BD7" w:rsidRDefault="00807BD7" w:rsidP="0092547E">
            <w:pPr>
              <w:ind w:left="83"/>
              <w:rPr>
                <w:sz w:val="24"/>
                <w:szCs w:val="24"/>
              </w:rPr>
            </w:pPr>
          </w:p>
          <w:p w14:paraId="70D17D74" w14:textId="77777777" w:rsidR="00807BD7" w:rsidRPr="00807BD7" w:rsidRDefault="00807BD7" w:rsidP="0092547E">
            <w:pPr>
              <w:ind w:left="83"/>
              <w:rPr>
                <w:sz w:val="24"/>
                <w:szCs w:val="24"/>
                <w:lang w:val="en-GB"/>
              </w:rPr>
            </w:pPr>
            <w:r w:rsidRPr="00807BD7">
              <w:rPr>
                <w:sz w:val="24"/>
                <w:szCs w:val="24"/>
                <w:lang w:val="en-GB"/>
              </w:rPr>
              <w:t>Frarådes</w:t>
            </w:r>
          </w:p>
        </w:tc>
        <w:tc>
          <w:tcPr>
            <w:tcW w:w="1843" w:type="dxa"/>
            <w:tcBorders>
              <w:top w:val="nil"/>
              <w:left w:val="single" w:sz="6" w:space="0" w:color="000000"/>
              <w:bottom w:val="single" w:sz="4" w:space="0" w:color="000000"/>
              <w:right w:val="single" w:sz="6" w:space="0" w:color="000000"/>
            </w:tcBorders>
            <w:tcMar>
              <w:top w:w="57" w:type="dxa"/>
              <w:left w:w="57" w:type="dxa"/>
              <w:bottom w:w="57" w:type="dxa"/>
              <w:right w:w="57" w:type="dxa"/>
            </w:tcMar>
          </w:tcPr>
          <w:p w14:paraId="2FC6CF77" w14:textId="77777777" w:rsidR="00807BD7" w:rsidRPr="00807BD7" w:rsidRDefault="00807BD7" w:rsidP="003D4F3C">
            <w:pPr>
              <w:ind w:left="82"/>
              <w:rPr>
                <w:sz w:val="24"/>
                <w:szCs w:val="24"/>
                <w:lang w:val="en-GB"/>
              </w:rPr>
            </w:pPr>
          </w:p>
          <w:p w14:paraId="7911D9AD" w14:textId="77777777" w:rsidR="00807BD7" w:rsidRPr="00807BD7" w:rsidRDefault="00807BD7" w:rsidP="003D4F3C">
            <w:pPr>
              <w:ind w:left="82"/>
              <w:rPr>
                <w:sz w:val="24"/>
                <w:szCs w:val="24"/>
                <w:lang w:val="en-GB"/>
              </w:rPr>
            </w:pPr>
            <w:r w:rsidRPr="00807BD7">
              <w:rPr>
                <w:sz w:val="24"/>
                <w:szCs w:val="24"/>
                <w:lang w:val="en-GB"/>
              </w:rPr>
              <w:t>1</w:t>
            </w:r>
          </w:p>
        </w:tc>
        <w:tc>
          <w:tcPr>
            <w:tcW w:w="1842" w:type="dxa"/>
            <w:tcBorders>
              <w:top w:val="nil"/>
              <w:left w:val="single" w:sz="6" w:space="0" w:color="000000"/>
              <w:bottom w:val="single" w:sz="4" w:space="0" w:color="000000"/>
              <w:right w:val="single" w:sz="4" w:space="0" w:color="000000"/>
            </w:tcBorders>
            <w:tcMar>
              <w:top w:w="57" w:type="dxa"/>
              <w:left w:w="57" w:type="dxa"/>
              <w:bottom w:w="57" w:type="dxa"/>
              <w:right w:w="57" w:type="dxa"/>
            </w:tcMar>
          </w:tcPr>
          <w:p w14:paraId="3CD8ACB2" w14:textId="77777777" w:rsidR="00807BD7" w:rsidRPr="00807BD7" w:rsidRDefault="00807BD7" w:rsidP="003D4F3C">
            <w:pPr>
              <w:tabs>
                <w:tab w:val="left" w:pos="851"/>
              </w:tabs>
              <w:ind w:left="82"/>
              <w:rPr>
                <w:sz w:val="24"/>
                <w:szCs w:val="24"/>
                <w:lang w:val="en-GB"/>
              </w:rPr>
            </w:pPr>
          </w:p>
          <w:p w14:paraId="5F660367" w14:textId="77777777" w:rsidR="00807BD7" w:rsidRPr="00807BD7" w:rsidRDefault="00807BD7" w:rsidP="003D4F3C">
            <w:pPr>
              <w:tabs>
                <w:tab w:val="left" w:pos="851"/>
              </w:tabs>
              <w:ind w:left="82"/>
              <w:rPr>
                <w:sz w:val="24"/>
                <w:szCs w:val="24"/>
                <w:lang w:val="en-GB"/>
              </w:rPr>
            </w:pPr>
            <w:r w:rsidRPr="00807BD7">
              <w:rPr>
                <w:sz w:val="24"/>
                <w:szCs w:val="24"/>
                <w:lang w:val="en-GB"/>
              </w:rPr>
              <w:t>0 til 1</w:t>
            </w:r>
          </w:p>
        </w:tc>
      </w:tr>
    </w:tbl>
    <w:p w14:paraId="1B51B7D9" w14:textId="77777777" w:rsidR="00807BD7" w:rsidRPr="00807BD7" w:rsidRDefault="00807BD7" w:rsidP="00807BD7">
      <w:pPr>
        <w:tabs>
          <w:tab w:val="left" w:pos="851"/>
        </w:tabs>
        <w:ind w:left="851"/>
        <w:rPr>
          <w:sz w:val="24"/>
          <w:szCs w:val="24"/>
        </w:rPr>
      </w:pPr>
    </w:p>
    <w:p w14:paraId="11F06DD3" w14:textId="77777777" w:rsidR="003D4F3C" w:rsidRDefault="00807BD7" w:rsidP="00807BD7">
      <w:pPr>
        <w:tabs>
          <w:tab w:val="left" w:pos="851"/>
        </w:tabs>
        <w:ind w:left="851"/>
        <w:rPr>
          <w:sz w:val="24"/>
          <w:szCs w:val="24"/>
          <w:u w:val="single"/>
        </w:rPr>
      </w:pPr>
      <w:r w:rsidRPr="00807BD7">
        <w:rPr>
          <w:sz w:val="24"/>
          <w:szCs w:val="24"/>
          <w:u w:val="single"/>
        </w:rPr>
        <w:t>Indledningsperiode af anæstesi</w:t>
      </w:r>
    </w:p>
    <w:p w14:paraId="2906D28E" w14:textId="7250699C" w:rsidR="00807BD7" w:rsidRPr="00807BD7" w:rsidRDefault="00807BD7" w:rsidP="00807BD7">
      <w:pPr>
        <w:tabs>
          <w:tab w:val="left" w:pos="851"/>
        </w:tabs>
        <w:ind w:left="851"/>
        <w:rPr>
          <w:sz w:val="24"/>
          <w:szCs w:val="24"/>
        </w:rPr>
      </w:pPr>
      <w:r w:rsidRPr="00807BD7">
        <w:rPr>
          <w:sz w:val="24"/>
          <w:szCs w:val="24"/>
        </w:rPr>
        <w:t>Efter administration af hypnotikum for at opnå bevidstløshed, skal Remifentanil "Orion" administreres med en initial infusionshastighed på 1 µg/kg/min. Det frarådes at administrere bolusinjektioner af Remifentanil "Orion" under indledning til patienter, der skal gennemgå hjertekirurgi. Endotrakeal intubation bør tidligst finde sted 5 minutter efter infusionen er påbegyndt.</w:t>
      </w:r>
    </w:p>
    <w:p w14:paraId="05C85972" w14:textId="77777777" w:rsidR="00807BD7" w:rsidRPr="00807BD7" w:rsidRDefault="00807BD7" w:rsidP="00807BD7">
      <w:pPr>
        <w:tabs>
          <w:tab w:val="left" w:pos="851"/>
        </w:tabs>
        <w:ind w:left="851"/>
        <w:rPr>
          <w:sz w:val="24"/>
          <w:szCs w:val="24"/>
        </w:rPr>
      </w:pPr>
    </w:p>
    <w:p w14:paraId="6E794D9A" w14:textId="77777777" w:rsidR="003D4F3C" w:rsidRDefault="00807BD7" w:rsidP="00807BD7">
      <w:pPr>
        <w:tabs>
          <w:tab w:val="left" w:pos="851"/>
        </w:tabs>
        <w:ind w:left="851"/>
        <w:rPr>
          <w:iCs/>
          <w:sz w:val="24"/>
          <w:szCs w:val="24"/>
          <w:u w:val="single"/>
        </w:rPr>
      </w:pPr>
      <w:r w:rsidRPr="00807BD7">
        <w:rPr>
          <w:iCs/>
          <w:sz w:val="24"/>
          <w:szCs w:val="24"/>
          <w:u w:val="single"/>
        </w:rPr>
        <w:t>Vedligeholdelsesperiode af anæstesi</w:t>
      </w:r>
    </w:p>
    <w:p w14:paraId="721C254E" w14:textId="29F31BAC" w:rsidR="00807BD7" w:rsidRPr="00807BD7" w:rsidRDefault="00807BD7" w:rsidP="00807BD7">
      <w:pPr>
        <w:tabs>
          <w:tab w:val="left" w:pos="851"/>
        </w:tabs>
        <w:ind w:left="851"/>
        <w:rPr>
          <w:i/>
          <w:sz w:val="24"/>
          <w:szCs w:val="24"/>
        </w:rPr>
      </w:pPr>
      <w:r w:rsidRPr="00807BD7">
        <w:rPr>
          <w:iCs/>
          <w:sz w:val="24"/>
          <w:szCs w:val="24"/>
        </w:rPr>
        <w:t>Efter</w:t>
      </w:r>
      <w:r w:rsidRPr="00807BD7">
        <w:rPr>
          <w:sz w:val="24"/>
          <w:szCs w:val="24"/>
        </w:rPr>
        <w:t xml:space="preserve"> endotrakeal intubation bør infusionshastigheden af Remifentanil "Orion" titreres efter patientens behov. Supplerende langsomme bolusdoser kan også administreres efter behov. Højrisiko-hjertepatienter, såsom patienter med ringe ventrikelfunktion eller patienter, der gennemgår hjerteklapkirurgi, bør maksimalt få administreret en bolusdosis på 0,5 µg/kg. Disse doseringsanbefalinger gælder også under hypotermisk kardiopulmonær bypass (se pkt. 5.2 "</w:t>
      </w:r>
      <w:r w:rsidRPr="00807BD7">
        <w:rPr>
          <w:iCs/>
          <w:sz w:val="24"/>
          <w:szCs w:val="24"/>
        </w:rPr>
        <w:t>Hjerteanæstesi").</w:t>
      </w:r>
    </w:p>
    <w:p w14:paraId="3CD018B2" w14:textId="4B315CF2" w:rsidR="003D4F3C" w:rsidRDefault="003D4F3C">
      <w:pPr>
        <w:rPr>
          <w:sz w:val="24"/>
          <w:szCs w:val="24"/>
        </w:rPr>
      </w:pPr>
      <w:r>
        <w:rPr>
          <w:sz w:val="24"/>
          <w:szCs w:val="24"/>
        </w:rPr>
        <w:br w:type="page"/>
      </w:r>
    </w:p>
    <w:p w14:paraId="3FC791D8" w14:textId="77777777" w:rsidR="00807BD7" w:rsidRPr="00807BD7" w:rsidRDefault="00807BD7" w:rsidP="00807BD7">
      <w:pPr>
        <w:tabs>
          <w:tab w:val="left" w:pos="851"/>
        </w:tabs>
        <w:ind w:left="851"/>
        <w:rPr>
          <w:sz w:val="24"/>
          <w:szCs w:val="24"/>
        </w:rPr>
      </w:pPr>
    </w:p>
    <w:p w14:paraId="62680269" w14:textId="77777777" w:rsidR="003D4F3C" w:rsidRDefault="00807BD7" w:rsidP="00807BD7">
      <w:pPr>
        <w:tabs>
          <w:tab w:val="left" w:pos="851"/>
        </w:tabs>
        <w:ind w:left="851"/>
        <w:rPr>
          <w:sz w:val="24"/>
          <w:szCs w:val="24"/>
          <w:u w:val="single"/>
        </w:rPr>
      </w:pPr>
      <w:r w:rsidRPr="00807BD7">
        <w:rPr>
          <w:sz w:val="24"/>
          <w:szCs w:val="24"/>
          <w:u w:val="single"/>
        </w:rPr>
        <w:t>Samtidig medicinering</w:t>
      </w:r>
    </w:p>
    <w:p w14:paraId="16504C25" w14:textId="36C944FA" w:rsidR="00807BD7" w:rsidRPr="00807BD7" w:rsidRDefault="00807BD7" w:rsidP="00807BD7">
      <w:pPr>
        <w:tabs>
          <w:tab w:val="left" w:pos="851"/>
        </w:tabs>
        <w:ind w:left="851"/>
        <w:rPr>
          <w:sz w:val="24"/>
          <w:szCs w:val="24"/>
        </w:rPr>
      </w:pPr>
      <w:r w:rsidRPr="00807BD7">
        <w:rPr>
          <w:sz w:val="24"/>
          <w:szCs w:val="24"/>
        </w:rPr>
        <w:t>Ved de anbefalede doser ovenfor reducerer remifentanil den nødvendige mængde af hypnotikum til vedligeholdelse af anæstesien betydeligt. Derfor bør isofluran og propofol administreres som anbefalet ovenfor, for at undgå en øget hæmodynamisk virkning, såsom hypotension og bradykardi. Der er ingen tilgængelige data vedrørende doseringsanbefalinger for samtidig brug af andre typer hypnotika, end dem der er anført i tabellen, med remifentanil (se afsnittet "Voksne" - "Samtidig medicinering").</w:t>
      </w:r>
    </w:p>
    <w:p w14:paraId="2185D500" w14:textId="77777777" w:rsidR="00807BD7" w:rsidRPr="00807BD7" w:rsidRDefault="00807BD7" w:rsidP="00807BD7">
      <w:pPr>
        <w:tabs>
          <w:tab w:val="left" w:pos="851"/>
        </w:tabs>
        <w:ind w:left="851"/>
        <w:rPr>
          <w:sz w:val="24"/>
          <w:szCs w:val="24"/>
        </w:rPr>
      </w:pPr>
    </w:p>
    <w:p w14:paraId="26492543" w14:textId="77777777" w:rsidR="00807BD7" w:rsidRPr="00807BD7" w:rsidRDefault="00807BD7" w:rsidP="00807BD7">
      <w:pPr>
        <w:tabs>
          <w:tab w:val="left" w:pos="851"/>
        </w:tabs>
        <w:ind w:left="851"/>
        <w:rPr>
          <w:i/>
          <w:iCs/>
          <w:sz w:val="24"/>
          <w:szCs w:val="24"/>
          <w:u w:val="single"/>
        </w:rPr>
      </w:pPr>
      <w:r w:rsidRPr="00807BD7">
        <w:rPr>
          <w:i/>
          <w:iCs/>
          <w:sz w:val="24"/>
          <w:szCs w:val="24"/>
          <w:u w:val="single"/>
        </w:rPr>
        <w:t>Vejledning for behandling af patienter postoperativt</w:t>
      </w:r>
    </w:p>
    <w:p w14:paraId="5F274106" w14:textId="77777777" w:rsidR="00807BD7" w:rsidRPr="00807BD7" w:rsidRDefault="00807BD7" w:rsidP="00807BD7">
      <w:pPr>
        <w:tabs>
          <w:tab w:val="left" w:pos="851"/>
        </w:tabs>
        <w:ind w:left="851"/>
        <w:rPr>
          <w:sz w:val="24"/>
          <w:szCs w:val="24"/>
        </w:rPr>
      </w:pPr>
    </w:p>
    <w:p w14:paraId="7723481D" w14:textId="77777777" w:rsidR="003D4F3C" w:rsidRDefault="00807BD7" w:rsidP="00807BD7">
      <w:pPr>
        <w:tabs>
          <w:tab w:val="left" w:pos="851"/>
        </w:tabs>
        <w:ind w:left="851"/>
        <w:rPr>
          <w:sz w:val="24"/>
          <w:szCs w:val="24"/>
          <w:u w:val="single"/>
        </w:rPr>
      </w:pPr>
      <w:r w:rsidRPr="00807BD7">
        <w:rPr>
          <w:sz w:val="24"/>
          <w:szCs w:val="24"/>
          <w:u w:val="single"/>
        </w:rPr>
        <w:t>Fortsættelse af postoperativ analgesi med Remifentanil "Orion" før ekstubering</w:t>
      </w:r>
    </w:p>
    <w:p w14:paraId="7FF65A2B" w14:textId="72F68A44" w:rsidR="00807BD7" w:rsidRPr="00807BD7" w:rsidRDefault="00807BD7" w:rsidP="00807BD7">
      <w:pPr>
        <w:tabs>
          <w:tab w:val="left" w:pos="851"/>
        </w:tabs>
        <w:ind w:left="851"/>
        <w:rPr>
          <w:sz w:val="24"/>
          <w:szCs w:val="24"/>
        </w:rPr>
      </w:pPr>
      <w:r w:rsidRPr="00807BD7">
        <w:rPr>
          <w:sz w:val="24"/>
          <w:szCs w:val="24"/>
        </w:rPr>
        <w:t>Ved overflytning af patienten til det postoperative overvågningsafsnit anbefales det, at infusionen af Remifentanil "Orion" fortsættes ved samme hastighed som ved afslutningen af operationen. Ved ankomst til overvågningsafsnittet bør niveauet af analgesi og sedation hos patienten omhyggeligt overvåges, og infusionshastigheden af Remifentanil "Orion" skal justeres, så den svarer til den enkelte patients behov (se desuden afsnittet "Anvendelse til intensivbehandling" for yderligere information om behandling af intensivpatienter).</w:t>
      </w:r>
    </w:p>
    <w:p w14:paraId="28EE1F68" w14:textId="77777777" w:rsidR="00807BD7" w:rsidRPr="00807BD7" w:rsidRDefault="00807BD7" w:rsidP="00807BD7">
      <w:pPr>
        <w:tabs>
          <w:tab w:val="left" w:pos="851"/>
        </w:tabs>
        <w:ind w:left="851"/>
        <w:rPr>
          <w:sz w:val="24"/>
          <w:szCs w:val="24"/>
        </w:rPr>
      </w:pPr>
    </w:p>
    <w:p w14:paraId="629FEB0F" w14:textId="77777777" w:rsidR="003D4F3C" w:rsidRDefault="00807BD7" w:rsidP="00807BD7">
      <w:pPr>
        <w:tabs>
          <w:tab w:val="left" w:pos="851"/>
        </w:tabs>
        <w:ind w:left="851"/>
        <w:rPr>
          <w:sz w:val="24"/>
          <w:szCs w:val="24"/>
          <w:u w:val="single"/>
        </w:rPr>
      </w:pPr>
      <w:r w:rsidRPr="00807BD7">
        <w:rPr>
          <w:sz w:val="24"/>
          <w:szCs w:val="24"/>
          <w:u w:val="single"/>
        </w:rPr>
        <w:t>Etablering af alternativ analgesi før seponering af Remifentanil "Orion"</w:t>
      </w:r>
    </w:p>
    <w:p w14:paraId="52378EF4" w14:textId="0B3746B3" w:rsidR="00807BD7" w:rsidRPr="00807BD7" w:rsidRDefault="00807BD7" w:rsidP="00807BD7">
      <w:pPr>
        <w:tabs>
          <w:tab w:val="left" w:pos="851"/>
        </w:tabs>
        <w:ind w:left="851"/>
        <w:rPr>
          <w:sz w:val="24"/>
          <w:szCs w:val="24"/>
        </w:rPr>
      </w:pPr>
      <w:r w:rsidRPr="00807BD7">
        <w:rPr>
          <w:sz w:val="24"/>
          <w:szCs w:val="24"/>
        </w:rPr>
        <w:t>Da Remifentanil "Orion"s virkning ophører meget hurtigt, er der ingen residual opioidaktivitet 5-10 minutter efter seponering. Før seponering af Remifentanil "Orion" skal patienten have analgetika og sedativa tilstrækkelig tid i forvejen for at opnå den terapeutiske virkning af disse stoffer. Det anbefales derfor, at valg af stof(fer), dosis og tidspunkt for administration planlægges, før patienten trappes ud af respirator.</w:t>
      </w:r>
    </w:p>
    <w:p w14:paraId="38740CFE" w14:textId="77777777" w:rsidR="00807BD7" w:rsidRPr="00807BD7" w:rsidRDefault="00807BD7" w:rsidP="00807BD7">
      <w:pPr>
        <w:tabs>
          <w:tab w:val="left" w:pos="851"/>
        </w:tabs>
        <w:ind w:left="851"/>
        <w:rPr>
          <w:sz w:val="24"/>
          <w:szCs w:val="24"/>
        </w:rPr>
      </w:pPr>
    </w:p>
    <w:p w14:paraId="25C0D286" w14:textId="77777777" w:rsidR="003D4F3C" w:rsidRDefault="00807BD7" w:rsidP="00807BD7">
      <w:pPr>
        <w:tabs>
          <w:tab w:val="left" w:pos="851"/>
        </w:tabs>
        <w:ind w:left="851"/>
        <w:rPr>
          <w:sz w:val="24"/>
          <w:szCs w:val="24"/>
          <w:u w:val="single"/>
        </w:rPr>
      </w:pPr>
      <w:r w:rsidRPr="00807BD7">
        <w:rPr>
          <w:sz w:val="24"/>
          <w:szCs w:val="24"/>
          <w:u w:val="single"/>
        </w:rPr>
        <w:t>Vejledning ved seponering af Remifentanil "Orion"</w:t>
      </w:r>
    </w:p>
    <w:p w14:paraId="57234AC2" w14:textId="2D155093" w:rsidR="00807BD7" w:rsidRPr="00807BD7" w:rsidRDefault="00807BD7" w:rsidP="00807BD7">
      <w:pPr>
        <w:tabs>
          <w:tab w:val="left" w:pos="851"/>
        </w:tabs>
        <w:ind w:left="851"/>
        <w:rPr>
          <w:sz w:val="24"/>
          <w:szCs w:val="24"/>
        </w:rPr>
      </w:pPr>
      <w:r w:rsidRPr="00807BD7">
        <w:rPr>
          <w:sz w:val="24"/>
          <w:szCs w:val="24"/>
        </w:rPr>
        <w:t>Da Remifentanil "Orions" virkning ophører meget hurtigt, er der indberettet hypertension, kulderystelser og smerter hos hjertepatienter umiddelbart efter seponering af Remifentanil "Orion" (se pkt. 4.8). For at begrænse risikoen for at disse symptomer forekommer, skal tilstrækkelig alternativ analgesi etableres (som beskrevet ovenfor), før infusionen af Remifentanil "Orion" seponeres. Infusionshastigheden bør reduceres med 25 % ad gangen i intervaller på mindst 10 minutter, indtil infusionen stoppes.</w:t>
      </w:r>
    </w:p>
    <w:p w14:paraId="7FF7D02F" w14:textId="77777777" w:rsidR="00807BD7" w:rsidRPr="00807BD7" w:rsidRDefault="00807BD7" w:rsidP="00807BD7">
      <w:pPr>
        <w:tabs>
          <w:tab w:val="left" w:pos="851"/>
        </w:tabs>
        <w:ind w:left="851"/>
        <w:rPr>
          <w:sz w:val="24"/>
          <w:szCs w:val="24"/>
        </w:rPr>
      </w:pPr>
    </w:p>
    <w:p w14:paraId="60FAA7DD" w14:textId="77777777" w:rsidR="00807BD7" w:rsidRPr="00807BD7" w:rsidRDefault="00807BD7" w:rsidP="00807BD7">
      <w:pPr>
        <w:tabs>
          <w:tab w:val="left" w:pos="851"/>
        </w:tabs>
        <w:ind w:left="851"/>
        <w:rPr>
          <w:sz w:val="24"/>
          <w:szCs w:val="24"/>
        </w:rPr>
      </w:pPr>
      <w:r w:rsidRPr="00807BD7">
        <w:rPr>
          <w:sz w:val="24"/>
          <w:szCs w:val="24"/>
        </w:rPr>
        <w:t>Ved udtrapning af respiratoren bør infusionen af Remifentanil "Orion" ikke øges, og der bør kun titreres nedad, suppleret med alternative analgetika efter behov. Det anbefales, at hæmodynamiske ændringer, såsom hypertension og takykardi, behandles med alternative stoffer efter behov.</w:t>
      </w:r>
    </w:p>
    <w:p w14:paraId="0B06AED1" w14:textId="77777777" w:rsidR="00807BD7" w:rsidRPr="00807BD7" w:rsidRDefault="00807BD7" w:rsidP="00807BD7">
      <w:pPr>
        <w:tabs>
          <w:tab w:val="left" w:pos="851"/>
        </w:tabs>
        <w:ind w:left="851"/>
        <w:rPr>
          <w:sz w:val="24"/>
          <w:szCs w:val="24"/>
        </w:rPr>
      </w:pPr>
    </w:p>
    <w:p w14:paraId="1A6D4020" w14:textId="77777777" w:rsidR="00807BD7" w:rsidRPr="00807BD7" w:rsidRDefault="00807BD7" w:rsidP="00807BD7">
      <w:pPr>
        <w:tabs>
          <w:tab w:val="left" w:pos="851"/>
        </w:tabs>
        <w:ind w:left="851"/>
        <w:rPr>
          <w:sz w:val="24"/>
          <w:szCs w:val="24"/>
        </w:rPr>
      </w:pPr>
      <w:r w:rsidRPr="00807BD7">
        <w:rPr>
          <w:sz w:val="24"/>
          <w:szCs w:val="24"/>
        </w:rPr>
        <w:t>Når andre opioider administreres som en del af behandlingsregimet ved overgang til alternativ analgesi, skal patienten overvåges nøje. Fordelen ved at give tilstrækkelig postoperativ analgesi skal altid afvejes mod den potentielle risiko for respirationsdepression med disse stoffer.</w:t>
      </w:r>
    </w:p>
    <w:p w14:paraId="6C41C7F1" w14:textId="77777777" w:rsidR="00807BD7" w:rsidRPr="00807BD7" w:rsidRDefault="00807BD7" w:rsidP="00807BD7">
      <w:pPr>
        <w:tabs>
          <w:tab w:val="left" w:pos="851"/>
        </w:tabs>
        <w:ind w:left="851"/>
        <w:rPr>
          <w:sz w:val="24"/>
          <w:szCs w:val="24"/>
        </w:rPr>
      </w:pPr>
    </w:p>
    <w:p w14:paraId="32A04ADC" w14:textId="77777777" w:rsidR="00807BD7" w:rsidRPr="00807BD7" w:rsidRDefault="00807BD7" w:rsidP="00807BD7">
      <w:pPr>
        <w:tabs>
          <w:tab w:val="left" w:pos="851"/>
        </w:tabs>
        <w:ind w:left="851"/>
        <w:rPr>
          <w:i/>
          <w:iCs/>
          <w:sz w:val="24"/>
          <w:szCs w:val="24"/>
        </w:rPr>
      </w:pPr>
      <w:r w:rsidRPr="00807BD7">
        <w:rPr>
          <w:i/>
          <w:iCs/>
          <w:sz w:val="24"/>
          <w:szCs w:val="24"/>
        </w:rPr>
        <w:t>Administration ved målkontrolleret infusion (Target Controlled Infusion, TCI)</w:t>
      </w:r>
    </w:p>
    <w:p w14:paraId="4A649963" w14:textId="77777777" w:rsidR="00807BD7" w:rsidRPr="00807BD7" w:rsidRDefault="00807BD7" w:rsidP="00807BD7">
      <w:pPr>
        <w:tabs>
          <w:tab w:val="left" w:pos="851"/>
        </w:tabs>
        <w:ind w:left="851"/>
        <w:rPr>
          <w:sz w:val="24"/>
          <w:szCs w:val="24"/>
        </w:rPr>
      </w:pPr>
    </w:p>
    <w:p w14:paraId="0D1326E7" w14:textId="77777777" w:rsidR="003D4F3C" w:rsidRDefault="00807BD7" w:rsidP="00807BD7">
      <w:pPr>
        <w:tabs>
          <w:tab w:val="left" w:pos="851"/>
        </w:tabs>
        <w:ind w:left="851"/>
        <w:rPr>
          <w:sz w:val="24"/>
          <w:szCs w:val="24"/>
          <w:u w:val="single"/>
        </w:rPr>
      </w:pPr>
      <w:r w:rsidRPr="00807BD7">
        <w:rPr>
          <w:sz w:val="24"/>
          <w:szCs w:val="24"/>
          <w:u w:val="single"/>
        </w:rPr>
        <w:t>Indledning og vedligeholdelse af anæstesi</w:t>
      </w:r>
    </w:p>
    <w:p w14:paraId="105D3F0A" w14:textId="454BEEC0" w:rsidR="00807BD7" w:rsidRPr="00807BD7" w:rsidRDefault="00807BD7" w:rsidP="00807BD7">
      <w:pPr>
        <w:tabs>
          <w:tab w:val="left" w:pos="851"/>
        </w:tabs>
        <w:ind w:left="851"/>
        <w:rPr>
          <w:sz w:val="24"/>
          <w:szCs w:val="24"/>
        </w:rPr>
      </w:pPr>
      <w:r w:rsidRPr="00807BD7">
        <w:rPr>
          <w:sz w:val="24"/>
          <w:szCs w:val="24"/>
        </w:rPr>
        <w:t>Under indledning og vedligeholdelse af anæstesi hos voksne ventilerede patienter bør Remifentanil "Orion" TCI anvendes sammen med et intravenøst eller inhaleret hypnotikum (se tabel 3). Denne kombination giver sædvanligvis en tilstrækkelig analgesi til hjertekirurgi dog ved en højere målkoncentration af remifentanil i blodet end ved almindelig kirurgi. Koncentrationer i blod op til 20 ng/ml har været anvendt i kliniske studier efter titrering af remifentanil til individuelt patientrespons. Ved de anbefalede doseringer ovenfor reducerer remifentanil den nødvendig mængde af hypnotikum for at vedligeholde anæstesien betydeligt. Derfor bør isofluran og propofol administreres som anbefalet, så en øget hæmodynamisk virkning, såsom hypotension og bradykardi, undgås (se tabel 3 og afsnittet "Samtidig medicinering").</w:t>
      </w:r>
    </w:p>
    <w:p w14:paraId="64480E77" w14:textId="77777777" w:rsidR="00807BD7" w:rsidRPr="00807BD7" w:rsidRDefault="00807BD7" w:rsidP="00807BD7">
      <w:pPr>
        <w:tabs>
          <w:tab w:val="left" w:pos="851"/>
        </w:tabs>
        <w:ind w:left="851"/>
        <w:rPr>
          <w:sz w:val="24"/>
          <w:szCs w:val="24"/>
        </w:rPr>
      </w:pPr>
    </w:p>
    <w:p w14:paraId="3B5FCF09" w14:textId="77777777" w:rsidR="00807BD7" w:rsidRPr="00807BD7" w:rsidRDefault="00807BD7" w:rsidP="00807BD7">
      <w:pPr>
        <w:tabs>
          <w:tab w:val="left" w:pos="851"/>
        </w:tabs>
        <w:ind w:left="851"/>
        <w:rPr>
          <w:sz w:val="24"/>
          <w:szCs w:val="24"/>
        </w:rPr>
      </w:pPr>
      <w:r w:rsidRPr="00807BD7">
        <w:rPr>
          <w:sz w:val="24"/>
          <w:szCs w:val="24"/>
        </w:rPr>
        <w:t>For oplysninger vedrørende koncentrationer af remifentanil i blodet ved manuelt kontrolleret infusion, se pkt. 6.6, tabel 11.</w:t>
      </w:r>
    </w:p>
    <w:p w14:paraId="65966402" w14:textId="77777777" w:rsidR="00807BD7" w:rsidRPr="00807BD7" w:rsidRDefault="00807BD7" w:rsidP="00807BD7">
      <w:pPr>
        <w:tabs>
          <w:tab w:val="left" w:pos="851"/>
        </w:tabs>
        <w:ind w:left="851"/>
        <w:rPr>
          <w:sz w:val="24"/>
          <w:szCs w:val="24"/>
        </w:rPr>
      </w:pPr>
    </w:p>
    <w:p w14:paraId="109F3477" w14:textId="77777777" w:rsidR="003D4F3C" w:rsidRDefault="00807BD7" w:rsidP="00807BD7">
      <w:pPr>
        <w:tabs>
          <w:tab w:val="left" w:pos="851"/>
        </w:tabs>
        <w:ind w:left="851"/>
        <w:rPr>
          <w:sz w:val="24"/>
          <w:szCs w:val="24"/>
          <w:u w:val="single"/>
        </w:rPr>
      </w:pPr>
      <w:r w:rsidRPr="00807BD7">
        <w:rPr>
          <w:sz w:val="24"/>
          <w:szCs w:val="24"/>
          <w:u w:val="single"/>
        </w:rPr>
        <w:t>Vejledning for seponering/fortsættelse af behandling umiddelbart postoperativt</w:t>
      </w:r>
    </w:p>
    <w:p w14:paraId="55879577" w14:textId="182CFAD3" w:rsidR="00807BD7" w:rsidRPr="00807BD7" w:rsidRDefault="00807BD7" w:rsidP="00807BD7">
      <w:pPr>
        <w:tabs>
          <w:tab w:val="left" w:pos="851"/>
        </w:tabs>
        <w:ind w:left="851"/>
        <w:rPr>
          <w:sz w:val="24"/>
          <w:szCs w:val="24"/>
          <w:u w:val="single"/>
        </w:rPr>
      </w:pPr>
      <w:r w:rsidRPr="00807BD7">
        <w:rPr>
          <w:sz w:val="24"/>
          <w:szCs w:val="24"/>
        </w:rPr>
        <w:t>Når TCI-infusionen afbrydes eller målkoncentrationen nedsættes efter operationen, vil spontan vejrtrækning sandsynligvis påbegyndes ved remifentanil-koncentrationer i området 1</w:t>
      </w:r>
      <w:r w:rsidRPr="00807BD7">
        <w:rPr>
          <w:sz w:val="24"/>
          <w:szCs w:val="24"/>
        </w:rPr>
        <w:noBreakHyphen/>
        <w:t>2 ng/ml. Som ved manuelt kontrolleret infusion bør postoperativ analgesi etableres inden operationens ophør med længerevarende analgetika (se afsnittet "Manuelt kontrolleret infusion" - "Vejledning for seponering").</w:t>
      </w:r>
    </w:p>
    <w:p w14:paraId="4D7DCFEB" w14:textId="77777777" w:rsidR="00807BD7" w:rsidRPr="00807BD7" w:rsidRDefault="00807BD7" w:rsidP="00807BD7">
      <w:pPr>
        <w:tabs>
          <w:tab w:val="left" w:pos="851"/>
        </w:tabs>
        <w:ind w:left="851"/>
        <w:rPr>
          <w:sz w:val="24"/>
          <w:szCs w:val="24"/>
        </w:rPr>
      </w:pPr>
    </w:p>
    <w:p w14:paraId="6E9E5478" w14:textId="77777777" w:rsidR="00807BD7" w:rsidRPr="00807BD7" w:rsidRDefault="00807BD7" w:rsidP="00807BD7">
      <w:pPr>
        <w:tabs>
          <w:tab w:val="left" w:pos="851"/>
        </w:tabs>
        <w:ind w:left="851"/>
        <w:rPr>
          <w:sz w:val="24"/>
          <w:szCs w:val="24"/>
        </w:rPr>
      </w:pPr>
      <w:r w:rsidRPr="00807BD7">
        <w:rPr>
          <w:sz w:val="24"/>
          <w:szCs w:val="24"/>
        </w:rPr>
        <w:t>Da der ikke foreligger tilstrækkelige data, frarådes administration af Remifentanil "Orion" ved TCI til smertelindring efter operation.</w:t>
      </w:r>
    </w:p>
    <w:p w14:paraId="4B1B613A" w14:textId="77777777" w:rsidR="00807BD7" w:rsidRPr="00807BD7" w:rsidRDefault="00807BD7" w:rsidP="00807BD7">
      <w:pPr>
        <w:tabs>
          <w:tab w:val="left" w:pos="851"/>
        </w:tabs>
        <w:ind w:left="851"/>
        <w:rPr>
          <w:sz w:val="24"/>
          <w:szCs w:val="24"/>
        </w:rPr>
      </w:pPr>
    </w:p>
    <w:p w14:paraId="746DBB9E" w14:textId="77777777" w:rsidR="00807BD7" w:rsidRPr="003D4F3C" w:rsidRDefault="00807BD7" w:rsidP="00807BD7">
      <w:pPr>
        <w:tabs>
          <w:tab w:val="left" w:pos="851"/>
        </w:tabs>
        <w:ind w:left="851"/>
        <w:rPr>
          <w:iCs/>
          <w:sz w:val="24"/>
          <w:szCs w:val="24"/>
          <w:u w:val="single"/>
        </w:rPr>
      </w:pPr>
      <w:r w:rsidRPr="003D4F3C">
        <w:rPr>
          <w:iCs/>
          <w:sz w:val="24"/>
          <w:szCs w:val="24"/>
          <w:u w:val="single"/>
        </w:rPr>
        <w:t>Pædiatriske patienter (1-12 år)</w:t>
      </w:r>
    </w:p>
    <w:p w14:paraId="5B58B1E5" w14:textId="77777777" w:rsidR="00807BD7" w:rsidRPr="00807BD7" w:rsidRDefault="00807BD7" w:rsidP="00807BD7">
      <w:pPr>
        <w:tabs>
          <w:tab w:val="left" w:pos="851"/>
        </w:tabs>
        <w:ind w:left="851"/>
        <w:rPr>
          <w:sz w:val="24"/>
          <w:szCs w:val="24"/>
        </w:rPr>
      </w:pPr>
      <w:r w:rsidRPr="00807BD7">
        <w:rPr>
          <w:sz w:val="24"/>
          <w:szCs w:val="24"/>
        </w:rPr>
        <w:t>Der er utilstrækkelige kliniske data til at fastsætte dosisanbefalinger til brug under hjertekirurgi.</w:t>
      </w:r>
    </w:p>
    <w:p w14:paraId="74AD89A3" w14:textId="77777777" w:rsidR="00807BD7" w:rsidRPr="00807BD7" w:rsidRDefault="00807BD7" w:rsidP="00807BD7">
      <w:pPr>
        <w:tabs>
          <w:tab w:val="left" w:pos="851"/>
        </w:tabs>
        <w:ind w:left="851"/>
        <w:rPr>
          <w:sz w:val="24"/>
          <w:szCs w:val="24"/>
        </w:rPr>
      </w:pPr>
    </w:p>
    <w:p w14:paraId="40861E30" w14:textId="77777777" w:rsidR="00807BD7" w:rsidRPr="003D4F3C" w:rsidRDefault="00807BD7" w:rsidP="00807BD7">
      <w:pPr>
        <w:tabs>
          <w:tab w:val="left" w:pos="851"/>
        </w:tabs>
        <w:ind w:left="851"/>
        <w:rPr>
          <w:b/>
          <w:bCs/>
          <w:iCs/>
          <w:sz w:val="24"/>
          <w:szCs w:val="24"/>
        </w:rPr>
      </w:pPr>
      <w:r w:rsidRPr="003D4F3C">
        <w:rPr>
          <w:b/>
          <w:bCs/>
          <w:iCs/>
          <w:sz w:val="24"/>
          <w:szCs w:val="24"/>
        </w:rPr>
        <w:t>Anvendelse til intensivbehandling</w:t>
      </w:r>
    </w:p>
    <w:p w14:paraId="7440E788" w14:textId="77777777" w:rsidR="00807BD7" w:rsidRPr="00807BD7" w:rsidRDefault="00807BD7" w:rsidP="00807BD7">
      <w:pPr>
        <w:tabs>
          <w:tab w:val="left" w:pos="851"/>
        </w:tabs>
        <w:ind w:left="851"/>
        <w:rPr>
          <w:bCs/>
          <w:iCs/>
          <w:sz w:val="24"/>
          <w:szCs w:val="24"/>
        </w:rPr>
      </w:pPr>
    </w:p>
    <w:p w14:paraId="78FF5346" w14:textId="77777777" w:rsidR="00807BD7" w:rsidRPr="0097340F" w:rsidRDefault="00807BD7" w:rsidP="00807BD7">
      <w:pPr>
        <w:tabs>
          <w:tab w:val="left" w:pos="851"/>
        </w:tabs>
        <w:ind w:left="851"/>
        <w:rPr>
          <w:bCs/>
          <w:sz w:val="24"/>
          <w:szCs w:val="24"/>
          <w:u w:val="single"/>
        </w:rPr>
      </w:pPr>
      <w:r w:rsidRPr="0097340F">
        <w:rPr>
          <w:bCs/>
          <w:sz w:val="24"/>
          <w:szCs w:val="24"/>
          <w:u w:val="single"/>
        </w:rPr>
        <w:t>Voksne</w:t>
      </w:r>
    </w:p>
    <w:p w14:paraId="5CB5AFB3" w14:textId="77777777" w:rsidR="00807BD7" w:rsidRPr="00807BD7" w:rsidRDefault="00807BD7" w:rsidP="00807BD7">
      <w:pPr>
        <w:tabs>
          <w:tab w:val="left" w:pos="851"/>
        </w:tabs>
        <w:ind w:left="851"/>
        <w:rPr>
          <w:sz w:val="24"/>
          <w:szCs w:val="24"/>
        </w:rPr>
      </w:pPr>
      <w:r w:rsidRPr="00807BD7">
        <w:rPr>
          <w:sz w:val="24"/>
          <w:szCs w:val="24"/>
        </w:rPr>
        <w:t>Remifentanil "Orion" kan anvendes til at give analgesi til mekanisk ventilerede patienter i intensivbehandling. Sedativa bør administreres ved behov.</w:t>
      </w:r>
    </w:p>
    <w:p w14:paraId="41225CA4" w14:textId="77777777" w:rsidR="00807BD7" w:rsidRPr="00807BD7" w:rsidRDefault="00807BD7" w:rsidP="00807BD7">
      <w:pPr>
        <w:tabs>
          <w:tab w:val="left" w:pos="851"/>
        </w:tabs>
        <w:ind w:left="851"/>
        <w:rPr>
          <w:sz w:val="24"/>
          <w:szCs w:val="24"/>
        </w:rPr>
      </w:pPr>
    </w:p>
    <w:p w14:paraId="5E48C7A8" w14:textId="77777777" w:rsidR="00807BD7" w:rsidRPr="00807BD7" w:rsidRDefault="00807BD7" w:rsidP="00807BD7">
      <w:pPr>
        <w:tabs>
          <w:tab w:val="left" w:pos="851"/>
        </w:tabs>
        <w:ind w:left="851"/>
        <w:rPr>
          <w:sz w:val="24"/>
          <w:szCs w:val="24"/>
        </w:rPr>
      </w:pPr>
      <w:r w:rsidRPr="00807BD7">
        <w:rPr>
          <w:sz w:val="24"/>
          <w:szCs w:val="24"/>
        </w:rPr>
        <w:t>Sikkerheden og virkningen af remifentanil er undersøgt hos mekanisk ventilerede patienter i intensivbehandling op til 3 dage i velkontrollerede kliniske studier (se afsnittet "</w:t>
      </w:r>
      <w:r w:rsidRPr="00807BD7">
        <w:rPr>
          <w:iCs/>
          <w:sz w:val="24"/>
          <w:szCs w:val="24"/>
        </w:rPr>
        <w:t xml:space="preserve">Patienter med nedsat nyrefunktion i intensivbehandling" </w:t>
      </w:r>
      <w:r w:rsidRPr="00807BD7">
        <w:rPr>
          <w:sz w:val="24"/>
          <w:szCs w:val="24"/>
        </w:rPr>
        <w:t>og pkt. 4.4 og 5.2). Da der kun foreligger sporadiske rapporter vedrørende længere behandling udover 3 dage, kan evidens for sikkerhed og virkning for længere behandling ikke anses for at være fastlagt. Derfor frarådes behandling med Remifentanil "Orion" i mere end 3 dage.</w:t>
      </w:r>
    </w:p>
    <w:p w14:paraId="29206E32" w14:textId="77777777" w:rsidR="00807BD7" w:rsidRPr="00807BD7" w:rsidRDefault="00807BD7" w:rsidP="00807BD7">
      <w:pPr>
        <w:tabs>
          <w:tab w:val="left" w:pos="851"/>
        </w:tabs>
        <w:ind w:left="851"/>
        <w:rPr>
          <w:sz w:val="24"/>
          <w:szCs w:val="24"/>
        </w:rPr>
      </w:pPr>
    </w:p>
    <w:p w14:paraId="5C3038CC" w14:textId="77777777" w:rsidR="00807BD7" w:rsidRPr="00807BD7" w:rsidRDefault="00807BD7" w:rsidP="00807BD7">
      <w:pPr>
        <w:tabs>
          <w:tab w:val="left" w:pos="851"/>
        </w:tabs>
        <w:ind w:left="851"/>
        <w:rPr>
          <w:sz w:val="24"/>
          <w:szCs w:val="24"/>
        </w:rPr>
      </w:pPr>
      <w:r w:rsidRPr="00807BD7">
        <w:rPr>
          <w:sz w:val="24"/>
          <w:szCs w:val="24"/>
        </w:rPr>
        <w:t>Remifentanil "Orion" ved TCI er ikke undersøgt hos patienter i intensivbehandling, og administration af Remifentanil "Orion" ved TCI frarådes derfor til disse patienter.</w:t>
      </w:r>
    </w:p>
    <w:p w14:paraId="40FFD2A2" w14:textId="77777777" w:rsidR="00807BD7" w:rsidRPr="00807BD7" w:rsidRDefault="00807BD7" w:rsidP="00807BD7">
      <w:pPr>
        <w:tabs>
          <w:tab w:val="left" w:pos="851"/>
        </w:tabs>
        <w:ind w:left="851"/>
        <w:rPr>
          <w:sz w:val="24"/>
          <w:szCs w:val="24"/>
        </w:rPr>
      </w:pPr>
    </w:p>
    <w:p w14:paraId="3140799A" w14:textId="77777777" w:rsidR="00807BD7" w:rsidRPr="00807BD7" w:rsidRDefault="00807BD7" w:rsidP="00807BD7">
      <w:pPr>
        <w:tabs>
          <w:tab w:val="left" w:pos="851"/>
        </w:tabs>
        <w:ind w:left="851"/>
        <w:rPr>
          <w:sz w:val="24"/>
          <w:szCs w:val="24"/>
        </w:rPr>
      </w:pPr>
      <w:r w:rsidRPr="00807BD7">
        <w:rPr>
          <w:sz w:val="24"/>
          <w:szCs w:val="24"/>
        </w:rPr>
        <w:t>Til voksne anbefales det, at Remifentanil "Orion" påbegyndes med en infusionshastighed på 0,1 µg/kg/min (6 µg/kg/time) til 0,15 µg/kg/min (9 µg/kg/time). For at opnå det ønskede niveau af analgesi bør infusionshastigheden øges gradvist i trin på 0,025 µg/kg/min (1,5 µg/kg/time). Der bør gå mindst 5 minutter mellem dosisjusteringer. Patienten bør jævnligt evalueres med henblik på justering af Remifentanil "Orion"s infusionshastighed. Hvis der er nået en infusionshastighed på 0,2 µg/kg/min (12 µg/kg/time), og der er behov for sedation, anbefales påbegyndelse af dosering af et passende sedativum (se nedenfor). Dosis af sedativum bør titreres således, at det ønskede niveau af sedation opnås. Hvis yderligere analgetika er nødvendig, kan infusionshastigheden af Remifentanil "Orion" øges i trin på 0,025 µg/kg/min (1,5 µg/kg/time).</w:t>
      </w:r>
    </w:p>
    <w:p w14:paraId="1185E03D" w14:textId="77777777" w:rsidR="00807BD7" w:rsidRPr="00807BD7" w:rsidRDefault="00807BD7" w:rsidP="00807BD7">
      <w:pPr>
        <w:tabs>
          <w:tab w:val="left" w:pos="851"/>
        </w:tabs>
        <w:ind w:left="851"/>
        <w:rPr>
          <w:sz w:val="24"/>
          <w:szCs w:val="24"/>
        </w:rPr>
      </w:pPr>
    </w:p>
    <w:p w14:paraId="57F84F16" w14:textId="77777777" w:rsidR="00807BD7" w:rsidRPr="00807BD7" w:rsidRDefault="00807BD7" w:rsidP="00807BD7">
      <w:pPr>
        <w:tabs>
          <w:tab w:val="left" w:pos="851"/>
        </w:tabs>
        <w:ind w:left="851"/>
        <w:rPr>
          <w:sz w:val="24"/>
          <w:szCs w:val="24"/>
        </w:rPr>
      </w:pPr>
      <w:r w:rsidRPr="00807BD7">
        <w:rPr>
          <w:sz w:val="24"/>
          <w:szCs w:val="24"/>
        </w:rPr>
        <w:t>Tabel 4 opsummerer den initiale infusionshastighed og det typiske doseringsinterval for analgesi hos de enkelte patienter:</w:t>
      </w:r>
    </w:p>
    <w:p w14:paraId="6BFEF168" w14:textId="77777777" w:rsidR="00807BD7" w:rsidRPr="00807BD7" w:rsidRDefault="00807BD7" w:rsidP="00807BD7">
      <w:pPr>
        <w:tabs>
          <w:tab w:val="left" w:pos="851"/>
        </w:tabs>
        <w:ind w:left="851"/>
        <w:rPr>
          <w:sz w:val="24"/>
          <w:szCs w:val="24"/>
        </w:rPr>
      </w:pPr>
    </w:p>
    <w:p w14:paraId="2E800AA2" w14:textId="77777777" w:rsidR="00807BD7" w:rsidRPr="00807BD7" w:rsidRDefault="00807BD7" w:rsidP="00807BD7">
      <w:pPr>
        <w:tabs>
          <w:tab w:val="left" w:pos="851"/>
        </w:tabs>
        <w:ind w:left="851"/>
        <w:rPr>
          <w:bCs/>
          <w:sz w:val="24"/>
          <w:szCs w:val="24"/>
        </w:rPr>
      </w:pPr>
      <w:r w:rsidRPr="00807BD7">
        <w:rPr>
          <w:bCs/>
          <w:sz w:val="24"/>
          <w:szCs w:val="24"/>
        </w:rPr>
        <w:t>Tabel 4: Doseringsvejledning for anvendelse af Remifentanil "Orion" til intensivbehandling</w:t>
      </w:r>
    </w:p>
    <w:p w14:paraId="0124B967" w14:textId="77777777" w:rsidR="00807BD7" w:rsidRPr="00807BD7" w:rsidRDefault="00807BD7" w:rsidP="00807BD7">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8"/>
        <w:gridCol w:w="4051"/>
      </w:tblGrid>
      <w:tr w:rsidR="00807BD7" w:rsidRPr="00807BD7" w14:paraId="3EEB8387" w14:textId="77777777" w:rsidTr="0011730E">
        <w:trPr>
          <w:trHeight w:val="641"/>
        </w:trPr>
        <w:tc>
          <w:tcPr>
            <w:tcW w:w="8479"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8E96202" w14:textId="77777777" w:rsidR="00807BD7" w:rsidRPr="00807BD7" w:rsidRDefault="00807BD7" w:rsidP="0011730E">
            <w:pPr>
              <w:ind w:left="81"/>
              <w:rPr>
                <w:sz w:val="24"/>
                <w:szCs w:val="24"/>
              </w:rPr>
            </w:pPr>
            <w:r w:rsidRPr="00807BD7">
              <w:rPr>
                <w:sz w:val="24"/>
                <w:szCs w:val="24"/>
              </w:rPr>
              <w:t>KONTINUERLIG INFUSION</w:t>
            </w:r>
          </w:p>
          <w:p w14:paraId="2C61CC68" w14:textId="77777777" w:rsidR="00807BD7" w:rsidRPr="00807BD7" w:rsidRDefault="00807BD7" w:rsidP="0011730E">
            <w:pPr>
              <w:ind w:left="81"/>
              <w:rPr>
                <w:sz w:val="24"/>
                <w:szCs w:val="24"/>
              </w:rPr>
            </w:pPr>
            <w:r w:rsidRPr="00807BD7">
              <w:rPr>
                <w:sz w:val="24"/>
                <w:szCs w:val="24"/>
              </w:rPr>
              <w:t>µg/kg/min (µg/kg/time)</w:t>
            </w:r>
          </w:p>
        </w:tc>
      </w:tr>
      <w:tr w:rsidR="00807BD7" w:rsidRPr="00807BD7" w14:paraId="39B657E2" w14:textId="77777777" w:rsidTr="0011730E">
        <w:trPr>
          <w:trHeight w:val="298"/>
        </w:trPr>
        <w:tc>
          <w:tcPr>
            <w:tcW w:w="4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C21B266" w14:textId="77777777" w:rsidR="00807BD7" w:rsidRPr="00807BD7" w:rsidRDefault="00807BD7" w:rsidP="0011730E">
            <w:pPr>
              <w:ind w:left="81"/>
              <w:rPr>
                <w:sz w:val="24"/>
                <w:szCs w:val="24"/>
                <w:lang w:val="en-GB"/>
              </w:rPr>
            </w:pPr>
            <w:r w:rsidRPr="00807BD7">
              <w:rPr>
                <w:sz w:val="24"/>
                <w:szCs w:val="24"/>
                <w:lang w:val="en-GB"/>
              </w:rPr>
              <w:t>Initialhastighed</w:t>
            </w:r>
          </w:p>
        </w:tc>
        <w:tc>
          <w:tcPr>
            <w:tcW w:w="40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3C5E385" w14:textId="77777777" w:rsidR="00807BD7" w:rsidRPr="00807BD7" w:rsidRDefault="00807BD7" w:rsidP="0011730E">
            <w:pPr>
              <w:ind w:left="81"/>
              <w:rPr>
                <w:sz w:val="24"/>
                <w:szCs w:val="24"/>
                <w:lang w:val="en-GB"/>
              </w:rPr>
            </w:pPr>
            <w:r w:rsidRPr="00807BD7">
              <w:rPr>
                <w:sz w:val="24"/>
                <w:szCs w:val="24"/>
                <w:lang w:val="en-GB"/>
              </w:rPr>
              <w:t>Interval</w:t>
            </w:r>
          </w:p>
        </w:tc>
      </w:tr>
      <w:tr w:rsidR="00807BD7" w:rsidRPr="00807BD7" w14:paraId="066B1A4C" w14:textId="77777777" w:rsidTr="0011730E">
        <w:trPr>
          <w:trHeight w:val="491"/>
        </w:trPr>
        <w:tc>
          <w:tcPr>
            <w:tcW w:w="44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23564887" w14:textId="77777777" w:rsidR="00807BD7" w:rsidRPr="00807BD7" w:rsidRDefault="00807BD7" w:rsidP="0011730E">
            <w:pPr>
              <w:ind w:left="81"/>
              <w:rPr>
                <w:sz w:val="24"/>
                <w:szCs w:val="24"/>
                <w:lang w:val="en-GB"/>
              </w:rPr>
            </w:pPr>
            <w:r w:rsidRPr="00807BD7">
              <w:rPr>
                <w:sz w:val="24"/>
                <w:szCs w:val="24"/>
                <w:lang w:val="en-GB"/>
              </w:rPr>
              <w:t>0,1(6) til 0,15 (9)</w:t>
            </w:r>
          </w:p>
        </w:tc>
        <w:tc>
          <w:tcPr>
            <w:tcW w:w="40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40292B33" w14:textId="77777777" w:rsidR="00807BD7" w:rsidRPr="00807BD7" w:rsidRDefault="00807BD7" w:rsidP="0011730E">
            <w:pPr>
              <w:ind w:left="81"/>
              <w:rPr>
                <w:sz w:val="24"/>
                <w:szCs w:val="24"/>
                <w:lang w:val="en-GB"/>
              </w:rPr>
            </w:pPr>
            <w:r w:rsidRPr="00807BD7">
              <w:rPr>
                <w:sz w:val="24"/>
                <w:szCs w:val="24"/>
                <w:lang w:val="en-GB"/>
              </w:rPr>
              <w:t>0,006 (0,38) til 0,74 (44,6)</w:t>
            </w:r>
          </w:p>
        </w:tc>
      </w:tr>
    </w:tbl>
    <w:p w14:paraId="55DC961F" w14:textId="77777777" w:rsidR="00807BD7" w:rsidRPr="00807BD7" w:rsidRDefault="00807BD7" w:rsidP="00807BD7">
      <w:pPr>
        <w:tabs>
          <w:tab w:val="left" w:pos="851"/>
        </w:tabs>
        <w:ind w:left="851"/>
        <w:rPr>
          <w:sz w:val="24"/>
          <w:szCs w:val="24"/>
        </w:rPr>
      </w:pPr>
    </w:p>
    <w:p w14:paraId="0A780C2A" w14:textId="77777777" w:rsidR="00807BD7" w:rsidRPr="00807BD7" w:rsidRDefault="00807BD7" w:rsidP="00807BD7">
      <w:pPr>
        <w:tabs>
          <w:tab w:val="left" w:pos="851"/>
        </w:tabs>
        <w:ind w:left="851"/>
        <w:rPr>
          <w:sz w:val="24"/>
          <w:szCs w:val="24"/>
        </w:rPr>
      </w:pPr>
      <w:r w:rsidRPr="00807BD7">
        <w:rPr>
          <w:sz w:val="24"/>
          <w:szCs w:val="24"/>
        </w:rPr>
        <w:t>Bolusdoser af Remifentanil "Orion" frarådes ved intensivbehandling.</w:t>
      </w:r>
    </w:p>
    <w:p w14:paraId="3A776620" w14:textId="77777777" w:rsidR="00807BD7" w:rsidRPr="00807BD7" w:rsidRDefault="00807BD7" w:rsidP="00807BD7">
      <w:pPr>
        <w:tabs>
          <w:tab w:val="left" w:pos="851"/>
        </w:tabs>
        <w:ind w:left="851"/>
        <w:rPr>
          <w:sz w:val="24"/>
          <w:szCs w:val="24"/>
        </w:rPr>
      </w:pPr>
    </w:p>
    <w:p w14:paraId="11959C50" w14:textId="77777777" w:rsidR="00807BD7" w:rsidRPr="00807BD7" w:rsidRDefault="00807BD7" w:rsidP="00807BD7">
      <w:pPr>
        <w:tabs>
          <w:tab w:val="left" w:pos="851"/>
        </w:tabs>
        <w:ind w:left="851"/>
        <w:rPr>
          <w:sz w:val="24"/>
          <w:szCs w:val="24"/>
        </w:rPr>
      </w:pPr>
      <w:r w:rsidRPr="00807BD7">
        <w:rPr>
          <w:sz w:val="24"/>
          <w:szCs w:val="24"/>
        </w:rPr>
        <w:t>Anvendelsen af Remifentanil "Orion" vil reducere dosisbehovet af eventuelle samtidige sedativa. Tabel 5 viser de typiske initialdoser af sedativa, hvis de er nødvendige.</w:t>
      </w:r>
    </w:p>
    <w:p w14:paraId="339A75DD" w14:textId="77777777" w:rsidR="00807BD7" w:rsidRPr="00807BD7" w:rsidRDefault="00807BD7" w:rsidP="00807BD7">
      <w:pPr>
        <w:tabs>
          <w:tab w:val="left" w:pos="851"/>
        </w:tabs>
        <w:ind w:left="851"/>
        <w:rPr>
          <w:sz w:val="24"/>
          <w:szCs w:val="24"/>
        </w:rPr>
      </w:pPr>
    </w:p>
    <w:p w14:paraId="47A88018" w14:textId="77777777" w:rsidR="00807BD7" w:rsidRPr="00807BD7" w:rsidRDefault="00807BD7" w:rsidP="00807BD7">
      <w:pPr>
        <w:tabs>
          <w:tab w:val="left" w:pos="851"/>
        </w:tabs>
        <w:ind w:left="851"/>
        <w:rPr>
          <w:sz w:val="24"/>
          <w:szCs w:val="24"/>
        </w:rPr>
      </w:pPr>
      <w:r w:rsidRPr="00807BD7">
        <w:rPr>
          <w:sz w:val="24"/>
          <w:szCs w:val="24"/>
        </w:rPr>
        <w:t>Tabel 5: Anbefalet initialdosis af andre sedativa, om nødvendigt:</w:t>
      </w:r>
    </w:p>
    <w:p w14:paraId="2646E645" w14:textId="77777777" w:rsidR="00807BD7" w:rsidRPr="00807BD7" w:rsidRDefault="00807BD7" w:rsidP="00807BD7">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2"/>
        <w:gridCol w:w="2842"/>
        <w:gridCol w:w="2840"/>
      </w:tblGrid>
      <w:tr w:rsidR="00807BD7" w:rsidRPr="00807BD7" w14:paraId="2E2DE5EE" w14:textId="77777777" w:rsidTr="00283F3F">
        <w:trPr>
          <w:trHeight w:val="354"/>
        </w:trPr>
        <w:tc>
          <w:tcPr>
            <w:tcW w:w="28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8FCBED6" w14:textId="77777777" w:rsidR="00807BD7" w:rsidRPr="00807BD7" w:rsidRDefault="00807BD7" w:rsidP="00283F3F">
            <w:pPr>
              <w:ind w:left="81"/>
              <w:rPr>
                <w:sz w:val="24"/>
                <w:szCs w:val="24"/>
                <w:lang w:val="en-GB"/>
              </w:rPr>
            </w:pPr>
            <w:r w:rsidRPr="00807BD7">
              <w:rPr>
                <w:sz w:val="24"/>
                <w:szCs w:val="24"/>
                <w:lang w:val="en-GB"/>
              </w:rPr>
              <w:t>Sedativa</w:t>
            </w:r>
          </w:p>
        </w:tc>
        <w:tc>
          <w:tcPr>
            <w:tcW w:w="28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6331BC15" w14:textId="77777777" w:rsidR="00807BD7" w:rsidRPr="00807BD7" w:rsidRDefault="00807BD7" w:rsidP="00283F3F">
            <w:pPr>
              <w:ind w:left="83"/>
              <w:rPr>
                <w:sz w:val="24"/>
                <w:szCs w:val="24"/>
                <w:lang w:val="en-GB"/>
              </w:rPr>
            </w:pPr>
            <w:r w:rsidRPr="00807BD7">
              <w:rPr>
                <w:sz w:val="24"/>
                <w:szCs w:val="24"/>
                <w:lang w:val="en-GB"/>
              </w:rPr>
              <w:t>Bolus (mg/kg)</w:t>
            </w:r>
          </w:p>
        </w:tc>
        <w:tc>
          <w:tcPr>
            <w:tcW w:w="2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06094F25" w14:textId="77777777" w:rsidR="00807BD7" w:rsidRPr="00807BD7" w:rsidRDefault="00807BD7" w:rsidP="00283F3F">
            <w:pPr>
              <w:ind w:left="74"/>
              <w:rPr>
                <w:sz w:val="24"/>
                <w:szCs w:val="24"/>
                <w:lang w:val="en-GB"/>
              </w:rPr>
            </w:pPr>
            <w:r w:rsidRPr="00807BD7">
              <w:rPr>
                <w:sz w:val="24"/>
                <w:szCs w:val="24"/>
                <w:lang w:val="en-GB"/>
              </w:rPr>
              <w:t>Infusion (mg/kg/time)</w:t>
            </w:r>
          </w:p>
        </w:tc>
      </w:tr>
      <w:tr w:rsidR="00807BD7" w:rsidRPr="00807BD7" w14:paraId="52F43725" w14:textId="77777777" w:rsidTr="00283F3F">
        <w:trPr>
          <w:trHeight w:val="873"/>
        </w:trPr>
        <w:tc>
          <w:tcPr>
            <w:tcW w:w="28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DAAABC" w14:textId="77777777" w:rsidR="00807BD7" w:rsidRPr="00807BD7" w:rsidRDefault="00807BD7" w:rsidP="00283F3F">
            <w:pPr>
              <w:ind w:left="81"/>
              <w:rPr>
                <w:sz w:val="24"/>
                <w:szCs w:val="24"/>
                <w:lang w:val="en-GB"/>
              </w:rPr>
            </w:pPr>
            <w:r w:rsidRPr="00807BD7">
              <w:rPr>
                <w:sz w:val="24"/>
                <w:szCs w:val="24"/>
                <w:lang w:val="en-GB"/>
              </w:rPr>
              <w:t>Propofol</w:t>
            </w:r>
          </w:p>
          <w:p w14:paraId="2CD4CEE2" w14:textId="77777777" w:rsidR="00807BD7" w:rsidRPr="00807BD7" w:rsidRDefault="00807BD7" w:rsidP="00283F3F">
            <w:pPr>
              <w:ind w:left="81"/>
              <w:rPr>
                <w:sz w:val="24"/>
                <w:szCs w:val="24"/>
                <w:lang w:val="en-GB"/>
              </w:rPr>
            </w:pPr>
          </w:p>
          <w:p w14:paraId="7B116CBE" w14:textId="77777777" w:rsidR="00807BD7" w:rsidRPr="00807BD7" w:rsidRDefault="00807BD7" w:rsidP="00283F3F">
            <w:pPr>
              <w:ind w:left="81"/>
              <w:rPr>
                <w:sz w:val="24"/>
                <w:szCs w:val="24"/>
                <w:lang w:val="en-GB"/>
              </w:rPr>
            </w:pPr>
            <w:r w:rsidRPr="00807BD7">
              <w:rPr>
                <w:sz w:val="24"/>
                <w:szCs w:val="24"/>
                <w:lang w:val="en-GB"/>
              </w:rPr>
              <w:t>Midazolam</w:t>
            </w:r>
          </w:p>
        </w:tc>
        <w:tc>
          <w:tcPr>
            <w:tcW w:w="284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85C183" w14:textId="77777777" w:rsidR="00807BD7" w:rsidRPr="00807BD7" w:rsidRDefault="00807BD7" w:rsidP="00283F3F">
            <w:pPr>
              <w:ind w:left="83"/>
              <w:rPr>
                <w:sz w:val="24"/>
                <w:szCs w:val="24"/>
                <w:lang w:val="en-GB"/>
              </w:rPr>
            </w:pPr>
            <w:r w:rsidRPr="00807BD7">
              <w:rPr>
                <w:sz w:val="24"/>
                <w:szCs w:val="24"/>
                <w:lang w:val="en-GB"/>
              </w:rPr>
              <w:t>Op til 0,5</w:t>
            </w:r>
          </w:p>
          <w:p w14:paraId="345DAE9C" w14:textId="77777777" w:rsidR="00807BD7" w:rsidRPr="00807BD7" w:rsidRDefault="00807BD7" w:rsidP="00283F3F">
            <w:pPr>
              <w:ind w:left="83"/>
              <w:rPr>
                <w:sz w:val="24"/>
                <w:szCs w:val="24"/>
                <w:lang w:val="en-GB"/>
              </w:rPr>
            </w:pPr>
          </w:p>
          <w:p w14:paraId="09005F5B" w14:textId="77777777" w:rsidR="00807BD7" w:rsidRPr="00807BD7" w:rsidRDefault="00807BD7" w:rsidP="00283F3F">
            <w:pPr>
              <w:ind w:left="83"/>
              <w:rPr>
                <w:sz w:val="24"/>
                <w:szCs w:val="24"/>
                <w:lang w:val="en-GB"/>
              </w:rPr>
            </w:pPr>
            <w:r w:rsidRPr="00807BD7">
              <w:rPr>
                <w:sz w:val="24"/>
                <w:szCs w:val="24"/>
                <w:lang w:val="en-GB"/>
              </w:rPr>
              <w:t>Op til 0,03</w:t>
            </w:r>
          </w:p>
        </w:tc>
        <w:tc>
          <w:tcPr>
            <w:tcW w:w="284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E56E0E0" w14:textId="77777777" w:rsidR="00807BD7" w:rsidRPr="00807BD7" w:rsidRDefault="00807BD7" w:rsidP="00283F3F">
            <w:pPr>
              <w:ind w:left="74"/>
              <w:rPr>
                <w:sz w:val="24"/>
                <w:szCs w:val="24"/>
                <w:lang w:val="en-GB"/>
              </w:rPr>
            </w:pPr>
            <w:r w:rsidRPr="00807BD7">
              <w:rPr>
                <w:sz w:val="24"/>
                <w:szCs w:val="24"/>
                <w:lang w:val="en-GB"/>
              </w:rPr>
              <w:t>0,5</w:t>
            </w:r>
          </w:p>
          <w:p w14:paraId="15FDE1C5" w14:textId="77777777" w:rsidR="00807BD7" w:rsidRPr="00807BD7" w:rsidRDefault="00807BD7" w:rsidP="00283F3F">
            <w:pPr>
              <w:ind w:left="74"/>
              <w:rPr>
                <w:sz w:val="24"/>
                <w:szCs w:val="24"/>
                <w:lang w:val="en-GB"/>
              </w:rPr>
            </w:pPr>
          </w:p>
          <w:p w14:paraId="47CB07BA" w14:textId="77777777" w:rsidR="00807BD7" w:rsidRPr="00807BD7" w:rsidRDefault="00807BD7" w:rsidP="00283F3F">
            <w:pPr>
              <w:ind w:left="74"/>
              <w:rPr>
                <w:sz w:val="24"/>
                <w:szCs w:val="24"/>
                <w:lang w:val="en-GB"/>
              </w:rPr>
            </w:pPr>
            <w:r w:rsidRPr="00807BD7">
              <w:rPr>
                <w:sz w:val="24"/>
                <w:szCs w:val="24"/>
                <w:lang w:val="en-GB"/>
              </w:rPr>
              <w:t>0,03</w:t>
            </w:r>
          </w:p>
        </w:tc>
      </w:tr>
    </w:tbl>
    <w:p w14:paraId="7DF478B4" w14:textId="77777777" w:rsidR="00807BD7" w:rsidRPr="00807BD7" w:rsidRDefault="00807BD7" w:rsidP="00807BD7">
      <w:pPr>
        <w:tabs>
          <w:tab w:val="left" w:pos="851"/>
        </w:tabs>
        <w:ind w:left="851"/>
        <w:rPr>
          <w:sz w:val="24"/>
          <w:szCs w:val="24"/>
        </w:rPr>
      </w:pPr>
    </w:p>
    <w:p w14:paraId="26C791AB" w14:textId="77777777" w:rsidR="00807BD7" w:rsidRPr="00807BD7" w:rsidRDefault="00807BD7" w:rsidP="00807BD7">
      <w:pPr>
        <w:tabs>
          <w:tab w:val="left" w:pos="851"/>
        </w:tabs>
        <w:ind w:left="851"/>
        <w:rPr>
          <w:sz w:val="24"/>
          <w:szCs w:val="24"/>
        </w:rPr>
      </w:pPr>
      <w:r w:rsidRPr="00807BD7">
        <w:rPr>
          <w:sz w:val="24"/>
          <w:szCs w:val="24"/>
        </w:rPr>
        <w:t>For at kunne titrere de enkelte lægemiddelstoffer individuelt, må sedativa ikke klargøres som én blanding i den samme infusionspose.</w:t>
      </w:r>
    </w:p>
    <w:p w14:paraId="512C25C3" w14:textId="77777777" w:rsidR="00807BD7" w:rsidRPr="00807BD7" w:rsidRDefault="00807BD7" w:rsidP="00807BD7">
      <w:pPr>
        <w:tabs>
          <w:tab w:val="left" w:pos="851"/>
        </w:tabs>
        <w:ind w:left="851"/>
        <w:rPr>
          <w:sz w:val="24"/>
          <w:szCs w:val="24"/>
        </w:rPr>
      </w:pPr>
    </w:p>
    <w:p w14:paraId="699EA4BF" w14:textId="77777777" w:rsidR="00283F3F" w:rsidRDefault="00807BD7" w:rsidP="00807BD7">
      <w:pPr>
        <w:tabs>
          <w:tab w:val="left" w:pos="851"/>
        </w:tabs>
        <w:ind w:left="851"/>
        <w:rPr>
          <w:sz w:val="24"/>
          <w:szCs w:val="24"/>
          <w:u w:val="single"/>
        </w:rPr>
      </w:pPr>
      <w:r w:rsidRPr="00807BD7">
        <w:rPr>
          <w:sz w:val="24"/>
          <w:szCs w:val="24"/>
          <w:u w:val="single"/>
        </w:rPr>
        <w:t>Supplerende analgesi til ventilerede patienter, der gennemgår stimulerende indgreb</w:t>
      </w:r>
    </w:p>
    <w:p w14:paraId="25B17F1C" w14:textId="3D0AFD27" w:rsidR="00807BD7" w:rsidRPr="00807BD7" w:rsidRDefault="00807BD7" w:rsidP="00807BD7">
      <w:pPr>
        <w:tabs>
          <w:tab w:val="left" w:pos="851"/>
        </w:tabs>
        <w:ind w:left="851"/>
        <w:rPr>
          <w:sz w:val="24"/>
          <w:szCs w:val="24"/>
        </w:rPr>
      </w:pPr>
      <w:r w:rsidRPr="00807BD7">
        <w:rPr>
          <w:sz w:val="24"/>
          <w:szCs w:val="24"/>
        </w:rPr>
        <w:t>Det kan være nødvendigt at øge infusionshastigheden af Remifentanil "Orion" for at give yderligere analgesidækning hos ventilerede patienter, der gennemgår stimulerende og/eller smertevoldende indgreb, såsom endotrakealsugning, sårforbinding eller fysioterapi. En infusionshastighed af Remifentanil "Orion" på mindst 0,1 µg/kg/min (6 µg/kg/time) anbefales fra mindst 5 minutter før start af det stimulerende indgreb. Flere dosisjusteringer med stigninger på 25-50 % hver 2. til 5. minut kan foretages, hvis der forventes at være yderligere behov for analgesi, eller som respons på et sådant behov. En gennemsnitlig infusionshastighed på 0,25 µg/kg/min (15 µg/kg/time) med maksimalt 0,74 µg/kg/min (44 µg/kg/time) er blevet administreret for at give supplerende analgesi i forbindelse med stimulerende indgreb.</w:t>
      </w:r>
    </w:p>
    <w:p w14:paraId="256623C6" w14:textId="77777777" w:rsidR="00807BD7" w:rsidRPr="00807BD7" w:rsidRDefault="00807BD7" w:rsidP="00807BD7">
      <w:pPr>
        <w:tabs>
          <w:tab w:val="left" w:pos="851"/>
        </w:tabs>
        <w:ind w:left="851"/>
        <w:rPr>
          <w:sz w:val="24"/>
          <w:szCs w:val="24"/>
        </w:rPr>
      </w:pPr>
    </w:p>
    <w:p w14:paraId="1A1C074D" w14:textId="77777777" w:rsidR="00283F3F" w:rsidRDefault="00807BD7" w:rsidP="00807BD7">
      <w:pPr>
        <w:tabs>
          <w:tab w:val="left" w:pos="851"/>
        </w:tabs>
        <w:ind w:left="851"/>
        <w:rPr>
          <w:sz w:val="24"/>
          <w:szCs w:val="24"/>
          <w:u w:val="single"/>
        </w:rPr>
      </w:pPr>
      <w:r w:rsidRPr="00807BD7">
        <w:rPr>
          <w:sz w:val="24"/>
          <w:szCs w:val="24"/>
          <w:u w:val="single"/>
        </w:rPr>
        <w:t>Etablering af alternativ analgesi før seponering af Remifentanil "Orion"</w:t>
      </w:r>
    </w:p>
    <w:p w14:paraId="5A772B29" w14:textId="56C68CFF" w:rsidR="00807BD7" w:rsidRPr="00807BD7" w:rsidRDefault="00807BD7" w:rsidP="00807BD7">
      <w:pPr>
        <w:tabs>
          <w:tab w:val="left" w:pos="851"/>
        </w:tabs>
        <w:ind w:left="851"/>
        <w:rPr>
          <w:sz w:val="24"/>
          <w:szCs w:val="24"/>
        </w:rPr>
      </w:pPr>
      <w:r w:rsidRPr="00807BD7">
        <w:rPr>
          <w:sz w:val="24"/>
          <w:szCs w:val="24"/>
        </w:rPr>
        <w:t>Da virkningen af Remifentanil "Orion" ophører meget hurtigt, vil der ikke være residual opioidaktivitet tilbage 5</w:t>
      </w:r>
      <w:r w:rsidRPr="00807BD7">
        <w:rPr>
          <w:sz w:val="24"/>
          <w:szCs w:val="24"/>
        </w:rPr>
        <w:noBreakHyphen/>
        <w:t>10 minutter efter seponeringen, uanset infusionsvarigheden. Efter administration af Remifentanil "Orion" bør muligheden for udvikling af tolerans og hyperalgesi overvejes. Derfor bør der inden seponering af Remifentanil "Orion" administreres alternative analgetika og sedativa til patienterne for at undgå hyperalgesi og samtidige hæmodynamiske ændringer. Disse stoffer bør administreres tilstrækkelig tid i forvejen for at få etableret de terapeutiske virkninger af disse stoffer. Mulighederne for analgesi omfatter bl.a. langtidsvirkende oral behandling, intravenøs behandling eller regional analgesi, der varetages af sygeplejersken eller patienten selv. Behandlingen bør altid titreres til den enkelte patients behov efterhånden som infusionen af Remifentanil "Orion" reduceres. Det anbefales derfor, at valg af stof(fer), dosis og tidspunktet for administration planlægges inden seponering af Remifentanil "Orion".</w:t>
      </w:r>
    </w:p>
    <w:p w14:paraId="28BFA1A2" w14:textId="77777777" w:rsidR="00807BD7" w:rsidRPr="00807BD7" w:rsidRDefault="00807BD7" w:rsidP="00807BD7">
      <w:pPr>
        <w:tabs>
          <w:tab w:val="left" w:pos="851"/>
        </w:tabs>
        <w:ind w:left="851"/>
        <w:rPr>
          <w:sz w:val="24"/>
          <w:szCs w:val="24"/>
        </w:rPr>
      </w:pPr>
    </w:p>
    <w:p w14:paraId="5AA8803E" w14:textId="77777777" w:rsidR="00807BD7" w:rsidRPr="00807BD7" w:rsidRDefault="00807BD7" w:rsidP="00807BD7">
      <w:pPr>
        <w:tabs>
          <w:tab w:val="left" w:pos="851"/>
        </w:tabs>
        <w:ind w:left="851"/>
        <w:rPr>
          <w:sz w:val="24"/>
          <w:szCs w:val="24"/>
        </w:rPr>
      </w:pPr>
      <w:r w:rsidRPr="00807BD7">
        <w:rPr>
          <w:sz w:val="24"/>
          <w:szCs w:val="24"/>
        </w:rPr>
        <w:t>Længerevarende administration af µ-opioid-agonister kan inducere toleransudvikling.</w:t>
      </w:r>
    </w:p>
    <w:p w14:paraId="0D4CB3CD" w14:textId="77777777" w:rsidR="00807BD7" w:rsidRPr="00807BD7" w:rsidRDefault="00807BD7" w:rsidP="00807BD7">
      <w:pPr>
        <w:tabs>
          <w:tab w:val="left" w:pos="851"/>
        </w:tabs>
        <w:ind w:left="851"/>
        <w:rPr>
          <w:sz w:val="24"/>
          <w:szCs w:val="24"/>
        </w:rPr>
      </w:pPr>
    </w:p>
    <w:p w14:paraId="2E72A28D" w14:textId="77777777" w:rsidR="00283F3F" w:rsidRDefault="00807BD7" w:rsidP="00807BD7">
      <w:pPr>
        <w:tabs>
          <w:tab w:val="left" w:pos="851"/>
        </w:tabs>
        <w:ind w:left="851"/>
        <w:rPr>
          <w:sz w:val="24"/>
          <w:szCs w:val="24"/>
          <w:u w:val="single"/>
        </w:rPr>
      </w:pPr>
      <w:r w:rsidRPr="00807BD7">
        <w:rPr>
          <w:sz w:val="24"/>
          <w:szCs w:val="24"/>
          <w:u w:val="single"/>
        </w:rPr>
        <w:t>Vejledning for ekstubering og seponering af Remifentanil "Orion"</w:t>
      </w:r>
    </w:p>
    <w:p w14:paraId="529A7AD1" w14:textId="66BE5292" w:rsidR="00807BD7" w:rsidRPr="00807BD7" w:rsidRDefault="00807BD7" w:rsidP="00807BD7">
      <w:pPr>
        <w:tabs>
          <w:tab w:val="left" w:pos="851"/>
        </w:tabs>
        <w:ind w:left="851"/>
        <w:rPr>
          <w:sz w:val="24"/>
          <w:szCs w:val="24"/>
        </w:rPr>
      </w:pPr>
      <w:r w:rsidRPr="00807BD7">
        <w:rPr>
          <w:sz w:val="24"/>
          <w:szCs w:val="24"/>
        </w:rPr>
        <w:t>For at sikre den bedst mulige opvågning fra et Remifentanil "Orion"-baseret regime anbefales det, at infusionshastigheden justeres trinvist til en hastighed på 0,1 µg/kg/min (6 µg/kg/time) over en periode på op til 1 time før ekstubering.</w:t>
      </w:r>
    </w:p>
    <w:p w14:paraId="0B667860" w14:textId="77777777" w:rsidR="00807BD7" w:rsidRPr="00807BD7" w:rsidRDefault="00807BD7" w:rsidP="00807BD7">
      <w:pPr>
        <w:tabs>
          <w:tab w:val="left" w:pos="851"/>
        </w:tabs>
        <w:ind w:left="851"/>
        <w:rPr>
          <w:sz w:val="24"/>
          <w:szCs w:val="24"/>
        </w:rPr>
      </w:pPr>
    </w:p>
    <w:p w14:paraId="7524A32F" w14:textId="77777777" w:rsidR="00807BD7" w:rsidRPr="00807BD7" w:rsidRDefault="00807BD7" w:rsidP="00807BD7">
      <w:pPr>
        <w:tabs>
          <w:tab w:val="left" w:pos="851"/>
        </w:tabs>
        <w:ind w:left="851"/>
        <w:rPr>
          <w:sz w:val="24"/>
          <w:szCs w:val="24"/>
        </w:rPr>
      </w:pPr>
      <w:r w:rsidRPr="00807BD7">
        <w:rPr>
          <w:sz w:val="24"/>
          <w:szCs w:val="24"/>
        </w:rPr>
        <w:t>Efter ekstubering bør infusionshastigheden reduceres i trin på 25 % i intervaller på mindst 10 minutter, inden infusionen seponeres. Ved udtrapning af respiratoren bør Remifentanil "Orion"-infusionen ikke øges, og der bør kun titreres nedad, om nødvendigt suppleret med alternativ analgesi.</w:t>
      </w:r>
    </w:p>
    <w:p w14:paraId="199537A4" w14:textId="77777777" w:rsidR="00807BD7" w:rsidRPr="00807BD7" w:rsidRDefault="00807BD7" w:rsidP="00807BD7">
      <w:pPr>
        <w:tabs>
          <w:tab w:val="left" w:pos="851"/>
        </w:tabs>
        <w:ind w:left="851"/>
        <w:rPr>
          <w:sz w:val="24"/>
          <w:szCs w:val="24"/>
        </w:rPr>
      </w:pPr>
    </w:p>
    <w:p w14:paraId="0C8441E8" w14:textId="77777777" w:rsidR="00807BD7" w:rsidRPr="00807BD7" w:rsidRDefault="00807BD7" w:rsidP="00807BD7">
      <w:pPr>
        <w:tabs>
          <w:tab w:val="left" w:pos="851"/>
        </w:tabs>
        <w:ind w:left="851"/>
        <w:rPr>
          <w:sz w:val="24"/>
          <w:szCs w:val="24"/>
        </w:rPr>
      </w:pPr>
      <w:r w:rsidRPr="00807BD7">
        <w:rPr>
          <w:sz w:val="24"/>
          <w:szCs w:val="24"/>
        </w:rPr>
        <w:t>Efter seponering af Remifentanil "Orion" skal i.v.-kanylen fjernes eller renses for at undgå efterfølgende, utilsigtet administration.</w:t>
      </w:r>
    </w:p>
    <w:p w14:paraId="48E12504" w14:textId="77777777" w:rsidR="00807BD7" w:rsidRPr="00807BD7" w:rsidRDefault="00807BD7" w:rsidP="00807BD7">
      <w:pPr>
        <w:tabs>
          <w:tab w:val="left" w:pos="851"/>
        </w:tabs>
        <w:ind w:left="851"/>
        <w:rPr>
          <w:sz w:val="24"/>
          <w:szCs w:val="24"/>
        </w:rPr>
      </w:pPr>
    </w:p>
    <w:p w14:paraId="0055EC17" w14:textId="77777777" w:rsidR="00807BD7" w:rsidRPr="00807BD7" w:rsidRDefault="00807BD7" w:rsidP="00807BD7">
      <w:pPr>
        <w:tabs>
          <w:tab w:val="left" w:pos="851"/>
        </w:tabs>
        <w:ind w:left="851"/>
        <w:rPr>
          <w:sz w:val="24"/>
          <w:szCs w:val="24"/>
        </w:rPr>
      </w:pPr>
      <w:r w:rsidRPr="00807BD7">
        <w:rPr>
          <w:sz w:val="24"/>
          <w:szCs w:val="24"/>
        </w:rPr>
        <w:t>Når andre opioider administreres som en del af behandlingsregimet ved overgang til alternativ analgesi, skal patienten overvåges nøje. Fordelen ved at give tilstrækkelig analgesi skal altid afvejes mod den potentielle risiko for respirationsdepression med disse stoffer.</w:t>
      </w:r>
    </w:p>
    <w:p w14:paraId="7B4ED577" w14:textId="77777777" w:rsidR="00807BD7" w:rsidRPr="00807BD7" w:rsidRDefault="00807BD7" w:rsidP="00807BD7">
      <w:pPr>
        <w:tabs>
          <w:tab w:val="left" w:pos="851"/>
        </w:tabs>
        <w:ind w:left="851"/>
        <w:rPr>
          <w:sz w:val="24"/>
          <w:szCs w:val="24"/>
        </w:rPr>
      </w:pPr>
    </w:p>
    <w:p w14:paraId="1A602F65" w14:textId="77777777" w:rsidR="00807BD7" w:rsidRPr="00807BD7" w:rsidRDefault="00807BD7" w:rsidP="00807BD7">
      <w:pPr>
        <w:tabs>
          <w:tab w:val="left" w:pos="851"/>
        </w:tabs>
        <w:ind w:left="851"/>
        <w:rPr>
          <w:i/>
          <w:iCs/>
          <w:sz w:val="24"/>
          <w:szCs w:val="24"/>
        </w:rPr>
      </w:pPr>
      <w:r w:rsidRPr="00807BD7">
        <w:rPr>
          <w:i/>
          <w:iCs/>
          <w:sz w:val="24"/>
          <w:szCs w:val="24"/>
        </w:rPr>
        <w:t>Pædiatriske patienter i intensivbehandling</w:t>
      </w:r>
    </w:p>
    <w:p w14:paraId="5FB02258" w14:textId="77777777" w:rsidR="00807BD7" w:rsidRPr="00807BD7" w:rsidRDefault="00807BD7" w:rsidP="00807BD7">
      <w:pPr>
        <w:tabs>
          <w:tab w:val="left" w:pos="851"/>
        </w:tabs>
        <w:ind w:left="851"/>
        <w:rPr>
          <w:sz w:val="24"/>
          <w:szCs w:val="24"/>
        </w:rPr>
      </w:pPr>
      <w:r w:rsidRPr="00807BD7">
        <w:rPr>
          <w:sz w:val="24"/>
          <w:szCs w:val="24"/>
        </w:rPr>
        <w:t>Der er ingen tilgængelige data om brug til pædiatriske patienter.</w:t>
      </w:r>
    </w:p>
    <w:p w14:paraId="0322659C" w14:textId="77777777" w:rsidR="00807BD7" w:rsidRPr="00807BD7" w:rsidRDefault="00807BD7" w:rsidP="00807BD7">
      <w:pPr>
        <w:tabs>
          <w:tab w:val="left" w:pos="851"/>
        </w:tabs>
        <w:ind w:left="851"/>
        <w:rPr>
          <w:sz w:val="24"/>
          <w:szCs w:val="24"/>
        </w:rPr>
      </w:pPr>
    </w:p>
    <w:p w14:paraId="59A0CAC4" w14:textId="77777777" w:rsidR="00807BD7" w:rsidRPr="00807BD7" w:rsidRDefault="00807BD7" w:rsidP="00807BD7">
      <w:pPr>
        <w:tabs>
          <w:tab w:val="left" w:pos="851"/>
        </w:tabs>
        <w:ind w:left="851"/>
        <w:rPr>
          <w:i/>
          <w:iCs/>
          <w:sz w:val="24"/>
          <w:szCs w:val="24"/>
        </w:rPr>
      </w:pPr>
      <w:r w:rsidRPr="00807BD7">
        <w:rPr>
          <w:i/>
          <w:iCs/>
          <w:sz w:val="24"/>
          <w:szCs w:val="24"/>
        </w:rPr>
        <w:t>Patienter med nedsat nyrefunktion i intensivbehandling</w:t>
      </w:r>
    </w:p>
    <w:p w14:paraId="0A978284" w14:textId="77777777" w:rsidR="00807BD7" w:rsidRPr="00807BD7" w:rsidRDefault="00807BD7" w:rsidP="00807BD7">
      <w:pPr>
        <w:tabs>
          <w:tab w:val="left" w:pos="851"/>
        </w:tabs>
        <w:ind w:left="851"/>
        <w:rPr>
          <w:sz w:val="24"/>
          <w:szCs w:val="24"/>
        </w:rPr>
      </w:pPr>
      <w:r w:rsidRPr="00807BD7">
        <w:rPr>
          <w:sz w:val="24"/>
          <w:szCs w:val="24"/>
        </w:rPr>
        <w:t>Dosisjustering er ikke nødvendig i forhold til den doseringsvejledning, der er givet ovenfor. Dette gælder både patienter med nedsat nyrefunktion samt patienter i nyreerstatningsbehandling. Hos patienter med nedsat nyrefunktion er udskillelse af carboxylsyremetabolitten dog nedsat (se pkt. 5.2).</w:t>
      </w:r>
    </w:p>
    <w:p w14:paraId="7176BCD8" w14:textId="77777777" w:rsidR="00807BD7" w:rsidRPr="00807BD7" w:rsidRDefault="00807BD7" w:rsidP="00807BD7">
      <w:pPr>
        <w:tabs>
          <w:tab w:val="left" w:pos="851"/>
        </w:tabs>
        <w:ind w:left="851"/>
        <w:rPr>
          <w:sz w:val="24"/>
          <w:szCs w:val="24"/>
        </w:rPr>
      </w:pPr>
    </w:p>
    <w:p w14:paraId="7337A1D4" w14:textId="77777777" w:rsidR="00807BD7" w:rsidRPr="00807BD7" w:rsidRDefault="00807BD7" w:rsidP="00807BD7">
      <w:pPr>
        <w:tabs>
          <w:tab w:val="left" w:pos="851"/>
        </w:tabs>
        <w:ind w:left="851"/>
        <w:rPr>
          <w:sz w:val="24"/>
          <w:szCs w:val="24"/>
          <w:u w:val="single"/>
        </w:rPr>
      </w:pPr>
      <w:r w:rsidRPr="00807BD7">
        <w:rPr>
          <w:sz w:val="24"/>
          <w:szCs w:val="24"/>
          <w:u w:val="single"/>
        </w:rPr>
        <w:t>Specielle patientpopulationer</w:t>
      </w:r>
    </w:p>
    <w:p w14:paraId="3848297E" w14:textId="77777777" w:rsidR="00807BD7" w:rsidRPr="00807BD7" w:rsidRDefault="00807BD7" w:rsidP="00807BD7">
      <w:pPr>
        <w:tabs>
          <w:tab w:val="left" w:pos="851"/>
        </w:tabs>
        <w:ind w:left="851"/>
        <w:rPr>
          <w:sz w:val="24"/>
          <w:szCs w:val="24"/>
        </w:rPr>
      </w:pPr>
    </w:p>
    <w:p w14:paraId="436C9AC5" w14:textId="77777777" w:rsidR="00807BD7" w:rsidRPr="00807BD7" w:rsidRDefault="00807BD7" w:rsidP="00807BD7">
      <w:pPr>
        <w:tabs>
          <w:tab w:val="left" w:pos="851"/>
        </w:tabs>
        <w:ind w:left="851"/>
        <w:rPr>
          <w:i/>
          <w:iCs/>
          <w:sz w:val="24"/>
          <w:szCs w:val="24"/>
        </w:rPr>
      </w:pPr>
      <w:r w:rsidRPr="00807BD7">
        <w:rPr>
          <w:i/>
          <w:iCs/>
          <w:sz w:val="24"/>
          <w:szCs w:val="24"/>
        </w:rPr>
        <w:t>Ældre (over 65 år)</w:t>
      </w:r>
    </w:p>
    <w:p w14:paraId="387A42CC" w14:textId="77777777" w:rsidR="00807BD7" w:rsidRPr="00807BD7" w:rsidRDefault="00807BD7" w:rsidP="00807BD7">
      <w:pPr>
        <w:tabs>
          <w:tab w:val="left" w:pos="851"/>
        </w:tabs>
        <w:ind w:left="851"/>
        <w:rPr>
          <w:sz w:val="24"/>
          <w:szCs w:val="24"/>
        </w:rPr>
      </w:pPr>
    </w:p>
    <w:p w14:paraId="7D335BD9" w14:textId="77777777" w:rsidR="009D6F6E" w:rsidRDefault="00807BD7" w:rsidP="00807BD7">
      <w:pPr>
        <w:tabs>
          <w:tab w:val="left" w:pos="851"/>
        </w:tabs>
        <w:ind w:left="851"/>
        <w:rPr>
          <w:sz w:val="24"/>
          <w:szCs w:val="24"/>
          <w:u w:val="single"/>
        </w:rPr>
      </w:pPr>
      <w:r w:rsidRPr="00807BD7">
        <w:rPr>
          <w:sz w:val="24"/>
          <w:szCs w:val="24"/>
          <w:u w:val="single"/>
        </w:rPr>
        <w:t>Generel anæstesi</w:t>
      </w:r>
    </w:p>
    <w:p w14:paraId="45614DAC" w14:textId="7E6ED6CC" w:rsidR="00807BD7" w:rsidRPr="00807BD7" w:rsidRDefault="00807BD7" w:rsidP="00807BD7">
      <w:pPr>
        <w:tabs>
          <w:tab w:val="left" w:pos="851"/>
        </w:tabs>
        <w:ind w:left="851"/>
        <w:rPr>
          <w:sz w:val="24"/>
          <w:szCs w:val="24"/>
        </w:rPr>
      </w:pPr>
      <w:r w:rsidRPr="00807BD7">
        <w:rPr>
          <w:sz w:val="24"/>
          <w:szCs w:val="24"/>
        </w:rPr>
        <w:t>Den initiale startdosis af remifentanil, der administreres til ældre over 65 år, bør være halvdelen af den anbefalede voksendosis. Derefter skal dosis titreres efter det individuelle patientbehov, idet der er set øget følsomhed for remifentanils farmakodynamiske virkninger hos denne patientpopulation. Dosisjusteringen gælder i alle anæstesiens faser, herunder induktion, vedligeholdelse og umiddelbar postoperativ analgesi.</w:t>
      </w:r>
    </w:p>
    <w:p w14:paraId="40ED96DA" w14:textId="77777777" w:rsidR="00807BD7" w:rsidRPr="00807BD7" w:rsidRDefault="00807BD7" w:rsidP="00807BD7">
      <w:pPr>
        <w:tabs>
          <w:tab w:val="left" w:pos="851"/>
        </w:tabs>
        <w:ind w:left="851"/>
        <w:rPr>
          <w:sz w:val="24"/>
          <w:szCs w:val="24"/>
        </w:rPr>
      </w:pPr>
    </w:p>
    <w:p w14:paraId="75C0FB17" w14:textId="77777777" w:rsidR="00807BD7" w:rsidRPr="00807BD7" w:rsidRDefault="00807BD7" w:rsidP="00807BD7">
      <w:pPr>
        <w:tabs>
          <w:tab w:val="left" w:pos="851"/>
        </w:tabs>
        <w:ind w:left="851"/>
        <w:rPr>
          <w:sz w:val="24"/>
          <w:szCs w:val="24"/>
        </w:rPr>
      </w:pPr>
      <w:r w:rsidRPr="00807BD7">
        <w:rPr>
          <w:sz w:val="24"/>
          <w:szCs w:val="24"/>
        </w:rPr>
        <w:t>Følsomheden for remifentanil er større hos ældre patienter. Når der administreres Remifentanil "Orion" ved TCI bør den initiale målkoncentration for denne population derfor være 1,5</w:t>
      </w:r>
      <w:r w:rsidRPr="00807BD7">
        <w:rPr>
          <w:sz w:val="24"/>
          <w:szCs w:val="24"/>
        </w:rPr>
        <w:noBreakHyphen/>
        <w:t>4 ng/ml med efterfølgende titrering til respons.</w:t>
      </w:r>
    </w:p>
    <w:p w14:paraId="076D8FA7" w14:textId="77777777" w:rsidR="00807BD7" w:rsidRPr="00807BD7" w:rsidRDefault="00807BD7" w:rsidP="00807BD7">
      <w:pPr>
        <w:tabs>
          <w:tab w:val="left" w:pos="851"/>
        </w:tabs>
        <w:ind w:left="851"/>
        <w:rPr>
          <w:sz w:val="24"/>
          <w:szCs w:val="24"/>
        </w:rPr>
      </w:pPr>
    </w:p>
    <w:p w14:paraId="1CDD58EE" w14:textId="77777777" w:rsidR="009D6F6E" w:rsidRDefault="00807BD7" w:rsidP="00807BD7">
      <w:pPr>
        <w:tabs>
          <w:tab w:val="left" w:pos="851"/>
        </w:tabs>
        <w:ind w:left="851"/>
        <w:rPr>
          <w:sz w:val="24"/>
          <w:szCs w:val="24"/>
        </w:rPr>
      </w:pPr>
      <w:r w:rsidRPr="00807BD7">
        <w:rPr>
          <w:sz w:val="24"/>
          <w:szCs w:val="24"/>
          <w:u w:val="single"/>
        </w:rPr>
        <w:t>Hjerteanæstesi</w:t>
      </w:r>
    </w:p>
    <w:p w14:paraId="112CBB88" w14:textId="3B0DD627" w:rsidR="00807BD7" w:rsidRPr="00807BD7" w:rsidRDefault="00807BD7" w:rsidP="00807BD7">
      <w:pPr>
        <w:tabs>
          <w:tab w:val="left" w:pos="851"/>
        </w:tabs>
        <w:ind w:left="851"/>
        <w:rPr>
          <w:sz w:val="24"/>
          <w:szCs w:val="24"/>
        </w:rPr>
      </w:pPr>
      <w:r w:rsidRPr="00807BD7">
        <w:rPr>
          <w:sz w:val="24"/>
          <w:szCs w:val="24"/>
        </w:rPr>
        <w:t>Dosisreduktion af den initiale dosis er ikke nødvendig (se afsnittet "Hjerteanæstesi").</w:t>
      </w:r>
    </w:p>
    <w:p w14:paraId="7C231D48" w14:textId="77777777" w:rsidR="00807BD7" w:rsidRPr="00807BD7" w:rsidRDefault="00807BD7" w:rsidP="00807BD7">
      <w:pPr>
        <w:tabs>
          <w:tab w:val="left" w:pos="851"/>
        </w:tabs>
        <w:ind w:left="851"/>
        <w:rPr>
          <w:sz w:val="24"/>
          <w:szCs w:val="24"/>
        </w:rPr>
      </w:pPr>
    </w:p>
    <w:p w14:paraId="00ED508E" w14:textId="77777777" w:rsidR="009D6F6E" w:rsidRDefault="00807BD7" w:rsidP="00807BD7">
      <w:pPr>
        <w:tabs>
          <w:tab w:val="left" w:pos="851"/>
        </w:tabs>
        <w:ind w:left="851"/>
        <w:rPr>
          <w:sz w:val="24"/>
          <w:szCs w:val="24"/>
          <w:u w:val="single"/>
        </w:rPr>
      </w:pPr>
      <w:r w:rsidRPr="00807BD7">
        <w:rPr>
          <w:sz w:val="24"/>
          <w:szCs w:val="24"/>
          <w:u w:val="single"/>
        </w:rPr>
        <w:t>Intensivbehandling</w:t>
      </w:r>
    </w:p>
    <w:p w14:paraId="6A273AEE" w14:textId="57D77D43" w:rsidR="00807BD7" w:rsidRPr="00807BD7" w:rsidRDefault="00807BD7" w:rsidP="00807BD7">
      <w:pPr>
        <w:tabs>
          <w:tab w:val="left" w:pos="851"/>
        </w:tabs>
        <w:ind w:left="851"/>
        <w:rPr>
          <w:sz w:val="24"/>
          <w:szCs w:val="24"/>
        </w:rPr>
      </w:pPr>
      <w:r w:rsidRPr="00807BD7">
        <w:rPr>
          <w:sz w:val="24"/>
          <w:szCs w:val="24"/>
        </w:rPr>
        <w:t>Dosisreduktion af den initiale dosis er ikke nødvendig (se afsnittet "Anvendelse til intensivbehandling").</w:t>
      </w:r>
    </w:p>
    <w:p w14:paraId="7E0CAC53" w14:textId="77777777" w:rsidR="00807BD7" w:rsidRPr="00807BD7" w:rsidRDefault="00807BD7" w:rsidP="00807BD7">
      <w:pPr>
        <w:tabs>
          <w:tab w:val="left" w:pos="851"/>
        </w:tabs>
        <w:ind w:left="851"/>
        <w:rPr>
          <w:sz w:val="24"/>
          <w:szCs w:val="24"/>
        </w:rPr>
      </w:pPr>
    </w:p>
    <w:p w14:paraId="473BF39F" w14:textId="77777777" w:rsidR="00807BD7" w:rsidRPr="00807BD7" w:rsidRDefault="00807BD7" w:rsidP="00807BD7">
      <w:pPr>
        <w:tabs>
          <w:tab w:val="left" w:pos="851"/>
        </w:tabs>
        <w:ind w:left="851"/>
        <w:rPr>
          <w:i/>
          <w:iCs/>
          <w:sz w:val="24"/>
          <w:szCs w:val="24"/>
        </w:rPr>
      </w:pPr>
      <w:r w:rsidRPr="00807BD7">
        <w:rPr>
          <w:i/>
          <w:iCs/>
          <w:sz w:val="24"/>
          <w:szCs w:val="24"/>
        </w:rPr>
        <w:t>Overvægtige patienter</w:t>
      </w:r>
    </w:p>
    <w:p w14:paraId="68F36EB7" w14:textId="77777777" w:rsidR="00807BD7" w:rsidRPr="00807BD7" w:rsidRDefault="00807BD7" w:rsidP="00807BD7">
      <w:pPr>
        <w:tabs>
          <w:tab w:val="left" w:pos="851"/>
        </w:tabs>
        <w:ind w:left="851"/>
        <w:rPr>
          <w:sz w:val="24"/>
          <w:szCs w:val="24"/>
        </w:rPr>
      </w:pPr>
      <w:r w:rsidRPr="00807BD7">
        <w:rPr>
          <w:sz w:val="24"/>
          <w:szCs w:val="24"/>
        </w:rPr>
        <w:t>Ved manuelt kontrolleret infusion anbefales det for overvægtige patienter, at doseringen af Remifentanil "Orion" reduceres og baseres på idealvægt, da udskillelse og fordelingsvolumen af remifentanil er bedre korreleret til idealvægt end til faktisk vægt.</w:t>
      </w:r>
    </w:p>
    <w:p w14:paraId="5DEB550B" w14:textId="77777777" w:rsidR="00807BD7" w:rsidRPr="00807BD7" w:rsidRDefault="00807BD7" w:rsidP="00807BD7">
      <w:pPr>
        <w:tabs>
          <w:tab w:val="left" w:pos="851"/>
        </w:tabs>
        <w:ind w:left="851"/>
        <w:rPr>
          <w:sz w:val="24"/>
          <w:szCs w:val="24"/>
        </w:rPr>
      </w:pPr>
    </w:p>
    <w:p w14:paraId="282A7CC9" w14:textId="77777777" w:rsidR="00807BD7" w:rsidRPr="00807BD7" w:rsidRDefault="00807BD7" w:rsidP="00807BD7">
      <w:pPr>
        <w:tabs>
          <w:tab w:val="left" w:pos="851"/>
        </w:tabs>
        <w:ind w:left="851"/>
        <w:rPr>
          <w:sz w:val="24"/>
          <w:szCs w:val="24"/>
        </w:rPr>
      </w:pPr>
      <w:r w:rsidRPr="00807BD7">
        <w:rPr>
          <w:sz w:val="24"/>
          <w:szCs w:val="24"/>
        </w:rPr>
        <w:t>For kvindelige patienter med legemsvægtsindeks (</w:t>
      </w:r>
      <w:r w:rsidRPr="00807BD7">
        <w:rPr>
          <w:i/>
          <w:iCs/>
          <w:sz w:val="24"/>
          <w:szCs w:val="24"/>
        </w:rPr>
        <w:t>body mass index</w:t>
      </w:r>
      <w:r w:rsidRPr="00807BD7">
        <w:rPr>
          <w:sz w:val="24"/>
          <w:szCs w:val="24"/>
        </w:rPr>
        <w:t>, BMI) over 35 kg/m</w:t>
      </w:r>
      <w:r w:rsidRPr="00807BD7">
        <w:rPr>
          <w:sz w:val="24"/>
          <w:szCs w:val="24"/>
          <w:vertAlign w:val="superscript"/>
        </w:rPr>
        <w:t>2</w:t>
      </w:r>
      <w:r w:rsidRPr="00807BD7">
        <w:rPr>
          <w:sz w:val="24"/>
          <w:szCs w:val="24"/>
        </w:rPr>
        <w:t>, og mandlige patienter med BMI over 40 kg/m</w:t>
      </w:r>
      <w:r w:rsidRPr="00807BD7">
        <w:rPr>
          <w:sz w:val="24"/>
          <w:szCs w:val="24"/>
          <w:vertAlign w:val="superscript"/>
        </w:rPr>
        <w:t>2</w:t>
      </w:r>
      <w:r w:rsidRPr="00807BD7">
        <w:rPr>
          <w:sz w:val="24"/>
          <w:szCs w:val="24"/>
        </w:rPr>
        <w:t xml:space="preserve"> er det sandsynligt, at beregningen af fedtfri legemsvægt (</w:t>
      </w:r>
      <w:r w:rsidRPr="00807BD7">
        <w:rPr>
          <w:i/>
          <w:iCs/>
          <w:sz w:val="24"/>
          <w:szCs w:val="24"/>
        </w:rPr>
        <w:t>lean body mass</w:t>
      </w:r>
      <w:r w:rsidRPr="00807BD7">
        <w:rPr>
          <w:sz w:val="24"/>
          <w:szCs w:val="24"/>
        </w:rPr>
        <w:t>, LBM) ved anvendelse af Mintos model, undervurderes. For at undgå underdosering hos disse patienter bør remifentanil TCI titreres omhyggeligt til individuelt respons.</w:t>
      </w:r>
    </w:p>
    <w:p w14:paraId="0101F32E" w14:textId="77777777" w:rsidR="00807BD7" w:rsidRPr="00807BD7" w:rsidRDefault="00807BD7" w:rsidP="00807BD7">
      <w:pPr>
        <w:tabs>
          <w:tab w:val="left" w:pos="851"/>
        </w:tabs>
        <w:ind w:left="851"/>
        <w:rPr>
          <w:sz w:val="24"/>
          <w:szCs w:val="24"/>
        </w:rPr>
      </w:pPr>
    </w:p>
    <w:p w14:paraId="42DADC1D" w14:textId="77777777" w:rsidR="00807BD7" w:rsidRPr="00807BD7" w:rsidRDefault="00807BD7" w:rsidP="00807BD7">
      <w:pPr>
        <w:tabs>
          <w:tab w:val="left" w:pos="851"/>
        </w:tabs>
        <w:ind w:left="851"/>
        <w:rPr>
          <w:i/>
          <w:iCs/>
          <w:sz w:val="24"/>
          <w:szCs w:val="24"/>
        </w:rPr>
      </w:pPr>
      <w:r w:rsidRPr="00807BD7">
        <w:rPr>
          <w:i/>
          <w:iCs/>
          <w:sz w:val="24"/>
          <w:szCs w:val="24"/>
        </w:rPr>
        <w:t>Nedsat nyrefunktion</w:t>
      </w:r>
    </w:p>
    <w:p w14:paraId="35FD4F82" w14:textId="77777777" w:rsidR="00807BD7" w:rsidRPr="00807BD7" w:rsidRDefault="00807BD7" w:rsidP="00807BD7">
      <w:pPr>
        <w:tabs>
          <w:tab w:val="left" w:pos="851"/>
        </w:tabs>
        <w:ind w:left="851"/>
        <w:rPr>
          <w:sz w:val="24"/>
          <w:szCs w:val="24"/>
        </w:rPr>
      </w:pPr>
      <w:r w:rsidRPr="00807BD7">
        <w:rPr>
          <w:sz w:val="24"/>
          <w:szCs w:val="24"/>
        </w:rPr>
        <w:t>På baggrund af undersøgelser udført til dato er dosisjustering ikke nødvendig hos patienter med nedsat nyrefunktion. Dette gælder også for patienter i intensivbehandling. Dog udviser disse patienter  reduceret udskillelse af carboxylsyremetabolitten.</w:t>
      </w:r>
    </w:p>
    <w:p w14:paraId="51E00B70" w14:textId="77777777" w:rsidR="00807BD7" w:rsidRPr="00807BD7" w:rsidRDefault="00807BD7" w:rsidP="00807BD7">
      <w:pPr>
        <w:tabs>
          <w:tab w:val="left" w:pos="851"/>
        </w:tabs>
        <w:ind w:left="851"/>
        <w:rPr>
          <w:sz w:val="24"/>
          <w:szCs w:val="24"/>
        </w:rPr>
      </w:pPr>
    </w:p>
    <w:p w14:paraId="1B23A008" w14:textId="77777777" w:rsidR="00807BD7" w:rsidRPr="00807BD7" w:rsidRDefault="00807BD7" w:rsidP="00807BD7">
      <w:pPr>
        <w:tabs>
          <w:tab w:val="left" w:pos="851"/>
        </w:tabs>
        <w:ind w:left="851"/>
        <w:rPr>
          <w:i/>
          <w:iCs/>
          <w:sz w:val="24"/>
          <w:szCs w:val="24"/>
        </w:rPr>
      </w:pPr>
      <w:r w:rsidRPr="00807BD7">
        <w:rPr>
          <w:i/>
          <w:iCs/>
          <w:sz w:val="24"/>
          <w:szCs w:val="24"/>
        </w:rPr>
        <w:t>Nedsat leverfunktion</w:t>
      </w:r>
    </w:p>
    <w:p w14:paraId="7C47C50E" w14:textId="77777777" w:rsidR="00807BD7" w:rsidRPr="00807BD7" w:rsidRDefault="00807BD7" w:rsidP="00807BD7">
      <w:pPr>
        <w:tabs>
          <w:tab w:val="left" w:pos="851"/>
        </w:tabs>
        <w:ind w:left="851"/>
        <w:rPr>
          <w:sz w:val="24"/>
          <w:szCs w:val="24"/>
        </w:rPr>
      </w:pPr>
      <w:r w:rsidRPr="00807BD7">
        <w:rPr>
          <w:sz w:val="24"/>
          <w:szCs w:val="24"/>
        </w:rPr>
        <w:t>Studier udført hos et begrænset antal patienter med nedsat leverfunktion har ikke ført til særlige doseringsanbefalinger. Patienter med svært nedsat leverfunktion kan imidlertid være en anelse mere følsomme for remifentanils respirationsdeprimerende virkning (se pkt. 4.4). Disse patienter skal overvåges nøje, og dosis af remifentanil titreres efter individuelt patientbehov.</w:t>
      </w:r>
    </w:p>
    <w:p w14:paraId="685F972E" w14:textId="77777777" w:rsidR="00807BD7" w:rsidRPr="00807BD7" w:rsidRDefault="00807BD7" w:rsidP="00807BD7">
      <w:pPr>
        <w:tabs>
          <w:tab w:val="left" w:pos="851"/>
        </w:tabs>
        <w:ind w:left="851"/>
        <w:rPr>
          <w:sz w:val="24"/>
          <w:szCs w:val="24"/>
        </w:rPr>
      </w:pPr>
    </w:p>
    <w:p w14:paraId="3637AB89" w14:textId="77777777" w:rsidR="00807BD7" w:rsidRPr="00807BD7" w:rsidRDefault="00807BD7" w:rsidP="00807BD7">
      <w:pPr>
        <w:tabs>
          <w:tab w:val="left" w:pos="851"/>
        </w:tabs>
        <w:ind w:left="851"/>
        <w:rPr>
          <w:i/>
          <w:iCs/>
          <w:sz w:val="24"/>
          <w:szCs w:val="24"/>
        </w:rPr>
      </w:pPr>
      <w:r w:rsidRPr="00807BD7">
        <w:rPr>
          <w:i/>
          <w:iCs/>
          <w:sz w:val="24"/>
          <w:szCs w:val="24"/>
        </w:rPr>
        <w:t>Neurokirurgi</w:t>
      </w:r>
    </w:p>
    <w:p w14:paraId="270F7B58" w14:textId="77777777" w:rsidR="00807BD7" w:rsidRPr="00807BD7" w:rsidRDefault="00807BD7" w:rsidP="00807BD7">
      <w:pPr>
        <w:tabs>
          <w:tab w:val="left" w:pos="851"/>
        </w:tabs>
        <w:ind w:left="851"/>
        <w:rPr>
          <w:sz w:val="24"/>
          <w:szCs w:val="24"/>
        </w:rPr>
      </w:pPr>
      <w:r w:rsidRPr="00807BD7">
        <w:rPr>
          <w:sz w:val="24"/>
          <w:szCs w:val="24"/>
        </w:rPr>
        <w:t>Den begrænsede kliniske erfaring hos patienter, der gennemgår neurokirurgi, tyder ikke på, at særlig doseringsanbefaling er påkrævet.</w:t>
      </w:r>
    </w:p>
    <w:p w14:paraId="17FB9405" w14:textId="77777777" w:rsidR="00807BD7" w:rsidRPr="00807BD7" w:rsidRDefault="00807BD7" w:rsidP="00807BD7">
      <w:pPr>
        <w:tabs>
          <w:tab w:val="left" w:pos="851"/>
        </w:tabs>
        <w:ind w:left="851"/>
        <w:rPr>
          <w:sz w:val="24"/>
          <w:szCs w:val="24"/>
        </w:rPr>
      </w:pPr>
    </w:p>
    <w:p w14:paraId="296A4E5F" w14:textId="77777777" w:rsidR="00807BD7" w:rsidRPr="00807BD7" w:rsidRDefault="00807BD7" w:rsidP="00807BD7">
      <w:pPr>
        <w:tabs>
          <w:tab w:val="left" w:pos="851"/>
        </w:tabs>
        <w:ind w:left="851"/>
        <w:rPr>
          <w:i/>
          <w:iCs/>
          <w:sz w:val="24"/>
          <w:szCs w:val="24"/>
        </w:rPr>
      </w:pPr>
      <w:r w:rsidRPr="00807BD7">
        <w:rPr>
          <w:i/>
          <w:iCs/>
          <w:sz w:val="24"/>
          <w:szCs w:val="24"/>
        </w:rPr>
        <w:t>ASA III/IV-patienter</w:t>
      </w:r>
    </w:p>
    <w:p w14:paraId="6E4D6215" w14:textId="77777777" w:rsidR="00807BD7" w:rsidRPr="00807BD7" w:rsidRDefault="00807BD7" w:rsidP="00807BD7">
      <w:pPr>
        <w:tabs>
          <w:tab w:val="left" w:pos="851"/>
        </w:tabs>
        <w:ind w:left="851"/>
        <w:rPr>
          <w:sz w:val="24"/>
          <w:szCs w:val="24"/>
        </w:rPr>
      </w:pPr>
    </w:p>
    <w:p w14:paraId="14DCEB02" w14:textId="77777777" w:rsidR="009D6F6E" w:rsidRDefault="00807BD7" w:rsidP="00807BD7">
      <w:pPr>
        <w:tabs>
          <w:tab w:val="left" w:pos="851"/>
        </w:tabs>
        <w:ind w:left="851"/>
        <w:rPr>
          <w:sz w:val="24"/>
          <w:szCs w:val="24"/>
          <w:u w:val="single"/>
        </w:rPr>
      </w:pPr>
      <w:r w:rsidRPr="00807BD7">
        <w:rPr>
          <w:sz w:val="24"/>
          <w:szCs w:val="24"/>
          <w:u w:val="single"/>
        </w:rPr>
        <w:t>Generel anæstesi</w:t>
      </w:r>
    </w:p>
    <w:p w14:paraId="29B8BC16" w14:textId="186FD221" w:rsidR="00807BD7" w:rsidRPr="00807BD7" w:rsidRDefault="00807BD7" w:rsidP="00807BD7">
      <w:pPr>
        <w:tabs>
          <w:tab w:val="left" w:pos="851"/>
        </w:tabs>
        <w:ind w:left="851"/>
        <w:rPr>
          <w:sz w:val="24"/>
          <w:szCs w:val="24"/>
        </w:rPr>
      </w:pPr>
      <w:r w:rsidRPr="00807BD7">
        <w:rPr>
          <w:sz w:val="24"/>
          <w:szCs w:val="24"/>
        </w:rPr>
        <w:t>Da de hæmodynamiske virkninger af potente opioider kan forventes at være mere udtalte hos ASA III/IV-patienter, bør der udvises forsigtighed ved administration af Remifentanil "Orion" til denne population. Derfor anbefales initial dosisreduktion og efterfølgende titrering til virkning. Der er utilstrækkelige data hos pædiatriske patienter til at fastsætte dosisanbefalinger.</w:t>
      </w:r>
    </w:p>
    <w:p w14:paraId="2F146698" w14:textId="77777777" w:rsidR="00807BD7" w:rsidRPr="00807BD7" w:rsidRDefault="00807BD7" w:rsidP="00807BD7">
      <w:pPr>
        <w:tabs>
          <w:tab w:val="left" w:pos="851"/>
        </w:tabs>
        <w:ind w:left="851"/>
        <w:rPr>
          <w:sz w:val="24"/>
          <w:szCs w:val="24"/>
        </w:rPr>
      </w:pPr>
    </w:p>
    <w:p w14:paraId="3CB09D73" w14:textId="77777777" w:rsidR="00807BD7" w:rsidRPr="00807BD7" w:rsidRDefault="00807BD7" w:rsidP="00807BD7">
      <w:pPr>
        <w:tabs>
          <w:tab w:val="left" w:pos="851"/>
        </w:tabs>
        <w:ind w:left="851"/>
        <w:rPr>
          <w:sz w:val="24"/>
          <w:szCs w:val="24"/>
        </w:rPr>
      </w:pPr>
      <w:r w:rsidRPr="00807BD7">
        <w:rPr>
          <w:sz w:val="24"/>
          <w:szCs w:val="24"/>
        </w:rPr>
        <w:t>Ved TCI bør der anvendes en lavere initial målkoncentration på 1,5</w:t>
      </w:r>
      <w:r w:rsidRPr="00807BD7">
        <w:rPr>
          <w:sz w:val="24"/>
          <w:szCs w:val="24"/>
        </w:rPr>
        <w:noBreakHyphen/>
        <w:t>4 ng/ml til ASA III- og IV-patienter med efterfølgende titrering til respons.</w:t>
      </w:r>
    </w:p>
    <w:p w14:paraId="5E952283" w14:textId="77777777" w:rsidR="00807BD7" w:rsidRPr="00807BD7" w:rsidRDefault="00807BD7" w:rsidP="00807BD7">
      <w:pPr>
        <w:tabs>
          <w:tab w:val="left" w:pos="851"/>
        </w:tabs>
        <w:ind w:left="851"/>
        <w:rPr>
          <w:sz w:val="24"/>
          <w:szCs w:val="24"/>
        </w:rPr>
      </w:pPr>
    </w:p>
    <w:p w14:paraId="550C1154" w14:textId="77777777" w:rsidR="009D6F6E" w:rsidRDefault="00807BD7" w:rsidP="00807BD7">
      <w:pPr>
        <w:tabs>
          <w:tab w:val="left" w:pos="851"/>
        </w:tabs>
        <w:ind w:left="851"/>
        <w:rPr>
          <w:sz w:val="24"/>
          <w:szCs w:val="24"/>
          <w:u w:val="single"/>
        </w:rPr>
      </w:pPr>
      <w:r w:rsidRPr="00807BD7">
        <w:rPr>
          <w:sz w:val="24"/>
          <w:szCs w:val="24"/>
          <w:u w:val="single"/>
        </w:rPr>
        <w:t>Hjerteanæstesi</w:t>
      </w:r>
    </w:p>
    <w:p w14:paraId="1A59DE59" w14:textId="486B3CE6" w:rsidR="00807BD7" w:rsidRPr="00807BD7" w:rsidRDefault="00807BD7" w:rsidP="00807BD7">
      <w:pPr>
        <w:tabs>
          <w:tab w:val="left" w:pos="851"/>
        </w:tabs>
        <w:ind w:left="851"/>
        <w:rPr>
          <w:sz w:val="24"/>
          <w:szCs w:val="24"/>
        </w:rPr>
      </w:pPr>
      <w:r w:rsidRPr="00807BD7">
        <w:rPr>
          <w:sz w:val="24"/>
          <w:szCs w:val="24"/>
        </w:rPr>
        <w:t>Dosisreduktion af den initiale dosis er ikke nødvendig (se afsnittet "Hjerteanæstesi").</w:t>
      </w:r>
    </w:p>
    <w:p w14:paraId="04B3BF3F" w14:textId="77777777" w:rsidR="00807BD7" w:rsidRPr="00807BD7" w:rsidRDefault="00807BD7" w:rsidP="00807BD7">
      <w:pPr>
        <w:tabs>
          <w:tab w:val="left" w:pos="851"/>
        </w:tabs>
        <w:ind w:left="851"/>
        <w:rPr>
          <w:sz w:val="24"/>
          <w:szCs w:val="24"/>
        </w:rPr>
      </w:pPr>
    </w:p>
    <w:p w14:paraId="7EBC8F3A" w14:textId="77777777" w:rsidR="00807BD7" w:rsidRPr="009D6F6E" w:rsidRDefault="00807BD7" w:rsidP="00807BD7">
      <w:pPr>
        <w:tabs>
          <w:tab w:val="left" w:pos="851"/>
        </w:tabs>
        <w:ind w:left="851"/>
        <w:rPr>
          <w:b/>
          <w:sz w:val="24"/>
          <w:szCs w:val="24"/>
        </w:rPr>
      </w:pPr>
      <w:r w:rsidRPr="009D6F6E">
        <w:rPr>
          <w:b/>
          <w:sz w:val="24"/>
          <w:szCs w:val="24"/>
        </w:rPr>
        <w:t>Administration</w:t>
      </w:r>
    </w:p>
    <w:p w14:paraId="120EEC7E" w14:textId="77777777" w:rsidR="00807BD7" w:rsidRPr="00807BD7" w:rsidRDefault="00807BD7" w:rsidP="00807BD7">
      <w:pPr>
        <w:tabs>
          <w:tab w:val="left" w:pos="851"/>
        </w:tabs>
        <w:ind w:left="851"/>
        <w:rPr>
          <w:sz w:val="24"/>
          <w:szCs w:val="24"/>
        </w:rPr>
      </w:pPr>
      <w:r w:rsidRPr="00807BD7">
        <w:rPr>
          <w:sz w:val="24"/>
          <w:szCs w:val="24"/>
        </w:rPr>
        <w:t>Remifentanil "Orion" er kun beregnet til intravenøs anvendelse og må ikke administreres som en epidural eller intratekal injektion (se pkt. 4.3).</w:t>
      </w:r>
    </w:p>
    <w:p w14:paraId="61934D93" w14:textId="77777777" w:rsidR="00807BD7" w:rsidRPr="00807BD7" w:rsidRDefault="00807BD7" w:rsidP="00807BD7">
      <w:pPr>
        <w:tabs>
          <w:tab w:val="left" w:pos="851"/>
        </w:tabs>
        <w:ind w:left="851"/>
        <w:rPr>
          <w:sz w:val="24"/>
          <w:szCs w:val="24"/>
        </w:rPr>
      </w:pPr>
    </w:p>
    <w:p w14:paraId="6B13FC42" w14:textId="77777777" w:rsidR="00807BD7" w:rsidRPr="00807BD7" w:rsidRDefault="00807BD7" w:rsidP="00807BD7">
      <w:pPr>
        <w:tabs>
          <w:tab w:val="left" w:pos="851"/>
        </w:tabs>
        <w:ind w:left="851"/>
        <w:rPr>
          <w:sz w:val="24"/>
          <w:szCs w:val="24"/>
        </w:rPr>
      </w:pPr>
      <w:r w:rsidRPr="00807BD7">
        <w:rPr>
          <w:sz w:val="24"/>
          <w:szCs w:val="24"/>
        </w:rPr>
        <w:t>Kontinuerlig infusion af Remifentanil "Orion" skal administreres via kalibreret infusionsudstyr i en i.v.-slange med høj gennemstrømningshastighed eller via en selvstændig i.v.-slange. Denne infusionsslange skal tilsluttes direkte til den venøse kanyle, eller tæt på den, og den skal primes for at minimere det potentielle "døde rum" (se pkt. 6.6).</w:t>
      </w:r>
    </w:p>
    <w:p w14:paraId="78C1537A" w14:textId="77777777" w:rsidR="00807BD7" w:rsidRPr="00807BD7" w:rsidRDefault="00807BD7" w:rsidP="00807BD7">
      <w:pPr>
        <w:tabs>
          <w:tab w:val="left" w:pos="851"/>
        </w:tabs>
        <w:ind w:left="851"/>
        <w:rPr>
          <w:sz w:val="24"/>
          <w:szCs w:val="24"/>
        </w:rPr>
      </w:pPr>
    </w:p>
    <w:p w14:paraId="2BAC77EB" w14:textId="77777777" w:rsidR="00807BD7" w:rsidRPr="00807BD7" w:rsidRDefault="00807BD7" w:rsidP="00807BD7">
      <w:pPr>
        <w:tabs>
          <w:tab w:val="left" w:pos="851"/>
        </w:tabs>
        <w:ind w:left="851"/>
        <w:rPr>
          <w:sz w:val="24"/>
          <w:szCs w:val="24"/>
        </w:rPr>
      </w:pPr>
      <w:r w:rsidRPr="00807BD7">
        <w:rPr>
          <w:sz w:val="24"/>
          <w:szCs w:val="24"/>
        </w:rPr>
        <w:t>Der skal udvises forsigtighed for at undgå, at infusionsslangen tillukkes eller kobles fra infusionsslangen, og slangerne skal gennemskylles tilstrækkeligt efter brug for at fjerne rester af Remifentanil "Orion" (se pkt. 4.4). i.v.-slangerne/infusionssystemerne skal fjernes efter brug for at undgå utilsigtet administration.</w:t>
      </w:r>
    </w:p>
    <w:p w14:paraId="12812AF2" w14:textId="77777777" w:rsidR="00807BD7" w:rsidRPr="00807BD7" w:rsidRDefault="00807BD7" w:rsidP="00807BD7">
      <w:pPr>
        <w:tabs>
          <w:tab w:val="left" w:pos="851"/>
        </w:tabs>
        <w:ind w:left="851"/>
        <w:rPr>
          <w:sz w:val="24"/>
          <w:szCs w:val="24"/>
        </w:rPr>
      </w:pPr>
    </w:p>
    <w:p w14:paraId="00593EB7" w14:textId="77777777" w:rsidR="00807BD7" w:rsidRPr="00807BD7" w:rsidRDefault="00807BD7" w:rsidP="00807BD7">
      <w:pPr>
        <w:tabs>
          <w:tab w:val="left" w:pos="851"/>
        </w:tabs>
        <w:ind w:left="851"/>
        <w:rPr>
          <w:sz w:val="24"/>
          <w:szCs w:val="24"/>
        </w:rPr>
      </w:pPr>
      <w:bookmarkStart w:id="2" w:name="_Hlk143755809"/>
      <w:r w:rsidRPr="00807BD7">
        <w:rPr>
          <w:sz w:val="24"/>
          <w:szCs w:val="24"/>
        </w:rPr>
        <w:t>Remifentanil "Orion</w:t>
      </w:r>
      <w:bookmarkEnd w:id="2"/>
      <w:r w:rsidRPr="00807BD7">
        <w:rPr>
          <w:sz w:val="24"/>
          <w:szCs w:val="24"/>
        </w:rPr>
        <w:t>" kan også administreres ved målkontrolleret infusion (TCI) ved hjælp af godkendt infusionsudstyr, som har indbygget den farmakokinetiske Minto model med kovariater for alder og fedtfri legemsvægt (LBM) (Anesthesiology 1997; 86: 10–23).</w:t>
      </w:r>
    </w:p>
    <w:p w14:paraId="7AC799D1" w14:textId="77777777" w:rsidR="00807BD7" w:rsidRPr="00807BD7" w:rsidRDefault="00807BD7" w:rsidP="00807BD7">
      <w:pPr>
        <w:tabs>
          <w:tab w:val="left" w:pos="851"/>
        </w:tabs>
        <w:ind w:left="851"/>
        <w:rPr>
          <w:sz w:val="24"/>
          <w:szCs w:val="24"/>
        </w:rPr>
      </w:pPr>
    </w:p>
    <w:p w14:paraId="5664CEA1" w14:textId="77777777" w:rsidR="00807BD7" w:rsidRPr="009441E9" w:rsidRDefault="00807BD7" w:rsidP="00807BD7">
      <w:pPr>
        <w:tabs>
          <w:tab w:val="left" w:pos="851"/>
        </w:tabs>
        <w:ind w:left="851"/>
        <w:rPr>
          <w:sz w:val="24"/>
          <w:szCs w:val="24"/>
          <w:u w:val="single"/>
        </w:rPr>
      </w:pPr>
      <w:r w:rsidRPr="009441E9">
        <w:rPr>
          <w:sz w:val="24"/>
          <w:szCs w:val="24"/>
          <w:u w:val="single"/>
        </w:rPr>
        <w:t>Fortynding:</w:t>
      </w:r>
    </w:p>
    <w:p w14:paraId="7457C755" w14:textId="77777777" w:rsidR="00807BD7" w:rsidRPr="00807BD7" w:rsidRDefault="00807BD7" w:rsidP="00807BD7">
      <w:pPr>
        <w:tabs>
          <w:tab w:val="left" w:pos="851"/>
        </w:tabs>
        <w:ind w:left="851"/>
        <w:rPr>
          <w:sz w:val="24"/>
          <w:szCs w:val="24"/>
        </w:rPr>
      </w:pPr>
      <w:r w:rsidRPr="00807BD7">
        <w:rPr>
          <w:sz w:val="24"/>
          <w:szCs w:val="24"/>
        </w:rPr>
        <w:t>Remifentanil "Orion" kan fortyndes yderligere efter rekonstitution. For instruktioner om fortynding af lægemidlet før administration, se pkt. 6.6.</w:t>
      </w:r>
    </w:p>
    <w:p w14:paraId="668707B4" w14:textId="77777777" w:rsidR="00807BD7" w:rsidRPr="00807BD7" w:rsidRDefault="00807BD7" w:rsidP="00807BD7">
      <w:pPr>
        <w:tabs>
          <w:tab w:val="left" w:pos="851"/>
        </w:tabs>
        <w:ind w:left="851"/>
        <w:rPr>
          <w:sz w:val="24"/>
          <w:szCs w:val="24"/>
        </w:rPr>
      </w:pPr>
    </w:p>
    <w:p w14:paraId="653F8018" w14:textId="77777777" w:rsidR="00807BD7" w:rsidRPr="00807BD7" w:rsidRDefault="00807BD7" w:rsidP="00807BD7">
      <w:pPr>
        <w:tabs>
          <w:tab w:val="left" w:pos="851"/>
        </w:tabs>
        <w:ind w:left="851"/>
        <w:rPr>
          <w:sz w:val="24"/>
          <w:szCs w:val="24"/>
        </w:rPr>
      </w:pPr>
      <w:r w:rsidRPr="00807BD7">
        <w:rPr>
          <w:sz w:val="24"/>
          <w:szCs w:val="24"/>
        </w:rPr>
        <w:t>Ved manuelt kontrolleret infusion kan Remifentanil "Orion" fortyndes til koncentrationer på 20</w:t>
      </w:r>
      <w:r w:rsidRPr="00807BD7">
        <w:rPr>
          <w:sz w:val="24"/>
          <w:szCs w:val="24"/>
        </w:rPr>
        <w:noBreakHyphen/>
        <w:t>250 µg/ml (50 µg/ml er den anbefalede fortynding til voksne, og 20</w:t>
      </w:r>
      <w:r w:rsidRPr="00807BD7">
        <w:rPr>
          <w:sz w:val="24"/>
          <w:szCs w:val="24"/>
        </w:rPr>
        <w:noBreakHyphen/>
        <w:t>25 µg/ml til pædiatriske patienter i alderen 1 år og derover).</w:t>
      </w:r>
    </w:p>
    <w:p w14:paraId="502214A6" w14:textId="77777777" w:rsidR="00807BD7" w:rsidRPr="00807BD7" w:rsidRDefault="00807BD7" w:rsidP="00807BD7">
      <w:pPr>
        <w:tabs>
          <w:tab w:val="left" w:pos="851"/>
        </w:tabs>
        <w:ind w:left="851"/>
        <w:rPr>
          <w:sz w:val="24"/>
          <w:szCs w:val="24"/>
        </w:rPr>
      </w:pPr>
    </w:p>
    <w:p w14:paraId="467F0EC7" w14:textId="77777777" w:rsidR="00807BD7" w:rsidRPr="00807BD7" w:rsidRDefault="00807BD7" w:rsidP="00807BD7">
      <w:pPr>
        <w:tabs>
          <w:tab w:val="left" w:pos="851"/>
        </w:tabs>
        <w:ind w:left="851"/>
        <w:rPr>
          <w:sz w:val="24"/>
          <w:szCs w:val="24"/>
        </w:rPr>
      </w:pPr>
      <w:r w:rsidRPr="00807BD7">
        <w:rPr>
          <w:sz w:val="24"/>
          <w:szCs w:val="24"/>
        </w:rPr>
        <w:t>Til TCI er den anbefalede fortynding af Remifentanil "Orion" 20</w:t>
      </w:r>
      <w:r w:rsidRPr="00807BD7">
        <w:rPr>
          <w:sz w:val="24"/>
          <w:szCs w:val="24"/>
        </w:rPr>
        <w:noBreakHyphen/>
        <w:t>50 µg/ml.</w:t>
      </w:r>
    </w:p>
    <w:p w14:paraId="63E51077" w14:textId="77777777" w:rsidR="009260DE" w:rsidRPr="00C84483" w:rsidRDefault="009260DE" w:rsidP="009260DE">
      <w:pPr>
        <w:tabs>
          <w:tab w:val="left" w:pos="851"/>
        </w:tabs>
        <w:ind w:left="851"/>
        <w:rPr>
          <w:sz w:val="24"/>
          <w:szCs w:val="24"/>
        </w:rPr>
      </w:pPr>
    </w:p>
    <w:p w14:paraId="65B597B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D898ACD" w14:textId="77777777" w:rsidR="00CB321F" w:rsidRPr="00CB321F" w:rsidRDefault="00CB321F" w:rsidP="00CB321F">
      <w:pPr>
        <w:tabs>
          <w:tab w:val="left" w:pos="851"/>
        </w:tabs>
        <w:ind w:left="851"/>
        <w:rPr>
          <w:sz w:val="24"/>
          <w:szCs w:val="24"/>
        </w:rPr>
      </w:pPr>
      <w:r w:rsidRPr="00CB321F">
        <w:rPr>
          <w:sz w:val="24"/>
          <w:szCs w:val="24"/>
        </w:rPr>
        <w:t>Remifentanil "Orion" er kontraindiceret til epidural og intratekal brug på grund af indholdet af glycin i formuleringen (se pkt. 5.3).</w:t>
      </w:r>
    </w:p>
    <w:p w14:paraId="009ED309" w14:textId="77777777" w:rsidR="00CB321F" w:rsidRPr="00CB321F" w:rsidRDefault="00CB321F" w:rsidP="00CB321F">
      <w:pPr>
        <w:tabs>
          <w:tab w:val="left" w:pos="851"/>
        </w:tabs>
        <w:ind w:left="851"/>
        <w:rPr>
          <w:sz w:val="24"/>
          <w:szCs w:val="24"/>
        </w:rPr>
      </w:pPr>
    </w:p>
    <w:p w14:paraId="6812BDB5" w14:textId="77777777" w:rsidR="00CB321F" w:rsidRPr="00CB321F" w:rsidRDefault="00CB321F" w:rsidP="00CB321F">
      <w:pPr>
        <w:tabs>
          <w:tab w:val="left" w:pos="851"/>
        </w:tabs>
        <w:ind w:left="851"/>
        <w:rPr>
          <w:sz w:val="24"/>
          <w:szCs w:val="24"/>
        </w:rPr>
      </w:pPr>
      <w:r w:rsidRPr="00CB321F">
        <w:rPr>
          <w:sz w:val="24"/>
          <w:szCs w:val="24"/>
        </w:rPr>
        <w:t>Remifentanil "Orion" er kontraindiceret til patienter med overfølsomhed over for det aktive stof, andre fentanylanaloger eller over for et eller flere af hjælpestofferne anført i pkt. 6.1.</w:t>
      </w:r>
    </w:p>
    <w:p w14:paraId="3204C6DC" w14:textId="77777777" w:rsidR="00CB321F" w:rsidRPr="00CB321F" w:rsidRDefault="00CB321F" w:rsidP="00CB321F">
      <w:pPr>
        <w:tabs>
          <w:tab w:val="left" w:pos="851"/>
        </w:tabs>
        <w:ind w:left="851"/>
        <w:rPr>
          <w:sz w:val="24"/>
          <w:szCs w:val="24"/>
        </w:rPr>
      </w:pPr>
    </w:p>
    <w:p w14:paraId="7C4DBFC2" w14:textId="77777777" w:rsidR="00CB321F" w:rsidRPr="00CB321F" w:rsidRDefault="00CB321F" w:rsidP="00CB321F">
      <w:pPr>
        <w:tabs>
          <w:tab w:val="left" w:pos="851"/>
        </w:tabs>
        <w:ind w:left="851"/>
        <w:rPr>
          <w:sz w:val="24"/>
          <w:szCs w:val="24"/>
        </w:rPr>
      </w:pPr>
      <w:r w:rsidRPr="00CB321F">
        <w:rPr>
          <w:sz w:val="24"/>
          <w:szCs w:val="24"/>
        </w:rPr>
        <w:t>Remifentanil "Orion" er kontraindiceret som eneste stof ved anæstesiindledning.</w:t>
      </w:r>
    </w:p>
    <w:p w14:paraId="1111B20A" w14:textId="77777777" w:rsidR="009260DE" w:rsidRPr="00C84483" w:rsidRDefault="009260DE" w:rsidP="009260DE">
      <w:pPr>
        <w:tabs>
          <w:tab w:val="left" w:pos="851"/>
        </w:tabs>
        <w:ind w:left="851"/>
        <w:rPr>
          <w:sz w:val="24"/>
          <w:szCs w:val="24"/>
        </w:rPr>
      </w:pPr>
    </w:p>
    <w:p w14:paraId="6EE7D9A9"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BFE22B6" w14:textId="77777777" w:rsidR="002556F1" w:rsidRPr="002556F1" w:rsidRDefault="002556F1" w:rsidP="002556F1">
      <w:pPr>
        <w:tabs>
          <w:tab w:val="left" w:pos="851"/>
        </w:tabs>
        <w:ind w:left="851"/>
        <w:rPr>
          <w:sz w:val="24"/>
          <w:szCs w:val="24"/>
        </w:rPr>
      </w:pPr>
      <w:r w:rsidRPr="002556F1">
        <w:rPr>
          <w:sz w:val="24"/>
          <w:szCs w:val="24"/>
        </w:rPr>
        <w:t>Remifentanil "Orion" må kun administreres i omgivelser fuldt udstyret til overvågning og understøttelse af respiratorisk og kardiovaskulær funktion, og kun af personer med særlig træning i brugen af anæstetika og i genkendelse og behandling af de forventede bivirkninger ved potente opioider, herunder genoprettelse af respiratorisk og kardiovaskulær funktion. Denne træning skal omfatte etablering og vedligeholdelse af frie luftveje og assisteret ventilation. Da mekanisk ventilerede patienter på intensivafdeling ikke er blevet tilstrækkeligt undersøgt i længere end 3 dage, er der ikke fastlagt evidens for sikkerhed og virkning ved længere behandling. Derfor frarådes brugen af Remifentanil "Orion" til mekanisk ventilerede patienter i mere end 3 dage.</w:t>
      </w:r>
    </w:p>
    <w:p w14:paraId="7F86571C" w14:textId="77777777" w:rsidR="002556F1" w:rsidRPr="002556F1" w:rsidRDefault="002556F1" w:rsidP="002556F1">
      <w:pPr>
        <w:tabs>
          <w:tab w:val="left" w:pos="851"/>
        </w:tabs>
        <w:ind w:left="851"/>
        <w:rPr>
          <w:sz w:val="24"/>
          <w:szCs w:val="24"/>
        </w:rPr>
      </w:pPr>
    </w:p>
    <w:p w14:paraId="5FC8D9D0" w14:textId="77777777" w:rsidR="002556F1" w:rsidRPr="002556F1" w:rsidRDefault="002556F1" w:rsidP="002556F1">
      <w:pPr>
        <w:tabs>
          <w:tab w:val="left" w:pos="851"/>
        </w:tabs>
        <w:ind w:left="851"/>
        <w:rPr>
          <w:sz w:val="24"/>
          <w:szCs w:val="24"/>
        </w:rPr>
      </w:pPr>
      <w:r w:rsidRPr="002556F1">
        <w:rPr>
          <w:sz w:val="24"/>
          <w:szCs w:val="24"/>
        </w:rPr>
        <w:t>Remifentanil bør ikke anvendes som analgetikum under indgreb, hvor patienterne forbliver ved bevidsthed eller ikke får understøttende ventilation under indgrebet.</w:t>
      </w:r>
    </w:p>
    <w:p w14:paraId="3758D828" w14:textId="77777777" w:rsidR="002556F1" w:rsidRPr="002556F1" w:rsidRDefault="002556F1" w:rsidP="002556F1">
      <w:pPr>
        <w:tabs>
          <w:tab w:val="left" w:pos="851"/>
        </w:tabs>
        <w:ind w:left="851"/>
        <w:rPr>
          <w:sz w:val="24"/>
          <w:szCs w:val="24"/>
        </w:rPr>
      </w:pPr>
    </w:p>
    <w:p w14:paraId="666936F8" w14:textId="77777777" w:rsidR="002556F1" w:rsidRPr="002556F1" w:rsidRDefault="002556F1" w:rsidP="002556F1">
      <w:pPr>
        <w:tabs>
          <w:tab w:val="left" w:pos="851"/>
        </w:tabs>
        <w:ind w:left="851"/>
        <w:rPr>
          <w:sz w:val="24"/>
          <w:szCs w:val="24"/>
        </w:rPr>
      </w:pPr>
      <w:r w:rsidRPr="002556F1">
        <w:rPr>
          <w:sz w:val="24"/>
          <w:szCs w:val="24"/>
        </w:rPr>
        <w:t>Patienter med kendt overfølsomhed over for opioider af en anden klasse kan udvise en overfølsomhedsreaktion efter administration af Remifentanil "Orion". Der bør udvises forsigtighed, inden Remifentanil "Orion" administreres til disse patienter (se pkt. 4.3).</w:t>
      </w:r>
    </w:p>
    <w:p w14:paraId="6D6EAA06" w14:textId="77777777" w:rsidR="002556F1" w:rsidRPr="002556F1" w:rsidRDefault="002556F1" w:rsidP="002556F1">
      <w:pPr>
        <w:tabs>
          <w:tab w:val="left" w:pos="851"/>
        </w:tabs>
        <w:ind w:left="851"/>
        <w:rPr>
          <w:sz w:val="24"/>
          <w:szCs w:val="24"/>
        </w:rPr>
      </w:pPr>
    </w:p>
    <w:p w14:paraId="497D9187" w14:textId="77777777" w:rsidR="002556F1" w:rsidRPr="002556F1" w:rsidRDefault="002556F1" w:rsidP="002556F1">
      <w:pPr>
        <w:tabs>
          <w:tab w:val="left" w:pos="851"/>
        </w:tabs>
        <w:ind w:left="851"/>
        <w:rPr>
          <w:sz w:val="24"/>
          <w:szCs w:val="24"/>
          <w:u w:val="single"/>
        </w:rPr>
      </w:pPr>
      <w:r w:rsidRPr="002556F1">
        <w:rPr>
          <w:sz w:val="24"/>
          <w:szCs w:val="24"/>
          <w:u w:val="single"/>
        </w:rPr>
        <w:t>Hurtigt ophør af virkning/overgang til alternativ analgesi</w:t>
      </w:r>
    </w:p>
    <w:p w14:paraId="780DB2E8" w14:textId="77777777" w:rsidR="002556F1" w:rsidRPr="002556F1" w:rsidRDefault="002556F1" w:rsidP="002556F1">
      <w:pPr>
        <w:tabs>
          <w:tab w:val="left" w:pos="851"/>
        </w:tabs>
        <w:ind w:left="851"/>
        <w:rPr>
          <w:sz w:val="24"/>
          <w:szCs w:val="24"/>
        </w:rPr>
      </w:pPr>
      <w:r w:rsidRPr="002556F1">
        <w:rPr>
          <w:sz w:val="24"/>
          <w:szCs w:val="24"/>
        </w:rPr>
        <w:t>Da virkningen af Remifentanil "Orion" ophører meget hurtigt, vil der ikke være residual opioidaktivitet tilbage 5</w:t>
      </w:r>
      <w:r w:rsidRPr="002556F1">
        <w:rPr>
          <w:sz w:val="24"/>
          <w:szCs w:val="24"/>
        </w:rPr>
        <w:noBreakHyphen/>
        <w:t>10 minutter efter seponeringen af Remifentanil "Orion". Til patienter, der gennemgår kirurgiske indgreb, hvor postoperative smerter må forventes, bør der gives analgetika før seponering af Remifentanil "Orion". Muligheden for udvikling af tolerans, hyperalgesi og samtidige hæmodynamiske ændringer bør overvejes ved anvendelse på intensivafdeling. Inden seponering af Remifentanil "Orion" bør der administreres alternative analgetika og sedativa til patienterne i tilstrækkelig tid i forvejen for at få etableret de terapeutiske virkninger af disse stoffer, og undgå hyperalgesi og samtidige hæmodynamiske ændringer. Valget af stoffer, dosis og tidspunkt for administration skal planlægges i forvejen og tilpasses individuelt, så det er relevant for patientens kirurgiske indgreb og niveauet af den forventede postoperative pleje. Når andre opioider administreres som en del af behandlingsregimet ved overgang til alternativ analgesi, skal fordelen ved at give tilstrækkelig postoperativ analgesi altid afvejes mod den potentielle risiko for respirationsdepression med disse stoffer.</w:t>
      </w:r>
    </w:p>
    <w:p w14:paraId="40955B9A" w14:textId="77777777" w:rsidR="002556F1" w:rsidRPr="002556F1" w:rsidRDefault="002556F1" w:rsidP="002556F1">
      <w:pPr>
        <w:tabs>
          <w:tab w:val="left" w:pos="851"/>
        </w:tabs>
        <w:ind w:left="851"/>
        <w:rPr>
          <w:sz w:val="24"/>
          <w:szCs w:val="24"/>
        </w:rPr>
      </w:pPr>
    </w:p>
    <w:p w14:paraId="3CE7FD62" w14:textId="77777777" w:rsidR="002556F1" w:rsidRPr="002556F1" w:rsidRDefault="002556F1" w:rsidP="002556F1">
      <w:pPr>
        <w:tabs>
          <w:tab w:val="left" w:pos="851"/>
        </w:tabs>
        <w:ind w:left="851"/>
        <w:rPr>
          <w:bCs/>
          <w:sz w:val="24"/>
          <w:szCs w:val="24"/>
          <w:u w:val="single"/>
        </w:rPr>
      </w:pPr>
      <w:bookmarkStart w:id="3" w:name="_Hlk514143967"/>
      <w:r w:rsidRPr="002556F1">
        <w:rPr>
          <w:bCs/>
          <w:sz w:val="24"/>
          <w:szCs w:val="24"/>
          <w:u w:val="single"/>
        </w:rPr>
        <w:t>Risiko ved samtidig brug af sedativa, såsom benzodiazepiner eller beslægtede lægemidler</w:t>
      </w:r>
    </w:p>
    <w:p w14:paraId="66C4BAD0" w14:textId="77777777" w:rsidR="002556F1" w:rsidRPr="002556F1" w:rsidRDefault="002556F1" w:rsidP="002556F1">
      <w:pPr>
        <w:tabs>
          <w:tab w:val="left" w:pos="851"/>
        </w:tabs>
        <w:ind w:left="851"/>
        <w:rPr>
          <w:sz w:val="24"/>
          <w:szCs w:val="24"/>
        </w:rPr>
      </w:pPr>
      <w:r w:rsidRPr="002556F1">
        <w:rPr>
          <w:sz w:val="24"/>
          <w:szCs w:val="24"/>
        </w:rPr>
        <w:t>Samtidig brug af Remifentanil "Orion" og sedativa, såsom benzodiazepiner eller beslægtede lægemidler, kan resultere i sedation, respirationsdepression, koma og død. På grund af disse risici bør samtidig ordination af disse sedativa forbeholdes patienter, hos hvem der ikke er andre behandlingsmuligheder. Hvis der tages beslutning om at ordinere Remifentanil "Orion" samtidig med sedativa, bør den laveste effektive dosis anvendes, og behandlingsvarigheden bør være så kort som mulig.</w:t>
      </w:r>
    </w:p>
    <w:p w14:paraId="243FB526" w14:textId="77777777" w:rsidR="002556F1" w:rsidRPr="002556F1" w:rsidRDefault="002556F1" w:rsidP="002556F1">
      <w:pPr>
        <w:tabs>
          <w:tab w:val="left" w:pos="851"/>
        </w:tabs>
        <w:ind w:left="851"/>
        <w:rPr>
          <w:sz w:val="24"/>
          <w:szCs w:val="24"/>
        </w:rPr>
      </w:pPr>
    </w:p>
    <w:p w14:paraId="3B1548C0" w14:textId="77777777" w:rsidR="002556F1" w:rsidRPr="002556F1" w:rsidRDefault="002556F1" w:rsidP="002556F1">
      <w:pPr>
        <w:tabs>
          <w:tab w:val="left" w:pos="851"/>
        </w:tabs>
        <w:ind w:left="851"/>
        <w:rPr>
          <w:sz w:val="24"/>
          <w:szCs w:val="24"/>
        </w:rPr>
      </w:pPr>
      <w:r w:rsidRPr="002556F1">
        <w:rPr>
          <w:sz w:val="24"/>
          <w:szCs w:val="24"/>
        </w:rPr>
        <w:t>Patienterne bør følges tæt for tegn og symptomer på respirationsdepression og sedation. I den forbindelse anbefales det på det kraftigste, at patienterne og deres omsorgspersoner gøres opmærksomme på disse symptomer (se pkt. 4.5).</w:t>
      </w:r>
      <w:bookmarkEnd w:id="3"/>
    </w:p>
    <w:p w14:paraId="3A94AE57" w14:textId="77777777" w:rsidR="002556F1" w:rsidRPr="002556F1" w:rsidRDefault="002556F1" w:rsidP="002556F1">
      <w:pPr>
        <w:tabs>
          <w:tab w:val="left" w:pos="851"/>
        </w:tabs>
        <w:ind w:left="851"/>
        <w:rPr>
          <w:sz w:val="24"/>
          <w:szCs w:val="24"/>
        </w:rPr>
      </w:pPr>
    </w:p>
    <w:p w14:paraId="74F1091B" w14:textId="77777777" w:rsidR="002556F1" w:rsidRPr="002556F1" w:rsidRDefault="002556F1" w:rsidP="002556F1">
      <w:pPr>
        <w:tabs>
          <w:tab w:val="left" w:pos="851"/>
        </w:tabs>
        <w:ind w:left="851"/>
        <w:rPr>
          <w:sz w:val="24"/>
          <w:szCs w:val="24"/>
          <w:u w:val="single"/>
        </w:rPr>
      </w:pPr>
      <w:r w:rsidRPr="002556F1">
        <w:rPr>
          <w:sz w:val="24"/>
          <w:szCs w:val="24"/>
          <w:u w:val="single"/>
        </w:rPr>
        <w:t>Seponering af behandling og abstinenssyndrom</w:t>
      </w:r>
    </w:p>
    <w:p w14:paraId="75028537" w14:textId="77777777" w:rsidR="002556F1" w:rsidRPr="002556F1" w:rsidRDefault="002556F1" w:rsidP="002556F1">
      <w:pPr>
        <w:tabs>
          <w:tab w:val="left" w:pos="851"/>
        </w:tabs>
        <w:ind w:left="851"/>
        <w:rPr>
          <w:sz w:val="24"/>
          <w:szCs w:val="24"/>
        </w:rPr>
      </w:pPr>
      <w:r w:rsidRPr="002556F1">
        <w:rPr>
          <w:sz w:val="24"/>
          <w:szCs w:val="24"/>
        </w:rPr>
        <w:t>Gentagen administration med korte intervaller i længere perioder kan føre til udvikling af abstinenssyndrom efter behandlingsophør. Symptomer efter seponering af remifentanil, herunder takykardi, hypertension og agitation, er blevet indberettet med en lav hyppighed ved pludseligt ophør, især efter forlænget administration i mere end 3 dage. I tilfælde med indberetning af sådanne symptomer har genindførelse og aftrapning af infusionen været fordelagtig. Anvendelse af Remifentanil "Orion" til mekanisk ventilerede patienter på intensivafdeling frarådes, hvis behandlingsvarigheden er på mere end 3 dage.</w:t>
      </w:r>
    </w:p>
    <w:p w14:paraId="7CBD7E9F" w14:textId="77777777" w:rsidR="002556F1" w:rsidRPr="002556F1" w:rsidRDefault="002556F1" w:rsidP="002556F1">
      <w:pPr>
        <w:tabs>
          <w:tab w:val="left" w:pos="851"/>
        </w:tabs>
        <w:ind w:left="851"/>
        <w:rPr>
          <w:sz w:val="24"/>
          <w:szCs w:val="24"/>
        </w:rPr>
      </w:pPr>
    </w:p>
    <w:p w14:paraId="0CAF8C7B" w14:textId="0779A172" w:rsidR="002556F1" w:rsidRPr="002556F1" w:rsidRDefault="002556F1" w:rsidP="002556F1">
      <w:pPr>
        <w:tabs>
          <w:tab w:val="left" w:pos="851"/>
        </w:tabs>
        <w:ind w:left="851"/>
        <w:rPr>
          <w:sz w:val="24"/>
          <w:szCs w:val="24"/>
          <w:u w:val="single"/>
        </w:rPr>
      </w:pPr>
      <w:r w:rsidRPr="002556F1">
        <w:rPr>
          <w:sz w:val="24"/>
          <w:szCs w:val="24"/>
          <w:u w:val="single"/>
        </w:rPr>
        <w:t xml:space="preserve">Muskelstivhed </w:t>
      </w:r>
      <w:r>
        <w:rPr>
          <w:sz w:val="24"/>
          <w:szCs w:val="24"/>
          <w:u w:val="single"/>
        </w:rPr>
        <w:t>-</w:t>
      </w:r>
      <w:r w:rsidRPr="002556F1">
        <w:rPr>
          <w:sz w:val="24"/>
          <w:szCs w:val="24"/>
          <w:u w:val="single"/>
        </w:rPr>
        <w:t xml:space="preserve"> forebyggelse og behandling</w:t>
      </w:r>
    </w:p>
    <w:p w14:paraId="1929365D" w14:textId="77777777" w:rsidR="002556F1" w:rsidRPr="002556F1" w:rsidRDefault="002556F1" w:rsidP="002556F1">
      <w:pPr>
        <w:tabs>
          <w:tab w:val="left" w:pos="851"/>
        </w:tabs>
        <w:ind w:left="851"/>
        <w:rPr>
          <w:sz w:val="24"/>
          <w:szCs w:val="24"/>
        </w:rPr>
      </w:pPr>
      <w:r w:rsidRPr="002556F1">
        <w:rPr>
          <w:sz w:val="24"/>
          <w:szCs w:val="24"/>
        </w:rPr>
        <w:t>Muskelstivhed kan opstå ved de anbefalede doser. Som med andre opioider er forekomsten af muskelstivhed relateret til dosis og administrationshastighed. Derfor skal bolusinjektioner administreres langsomt over mindst 30 sekunder.</w:t>
      </w:r>
    </w:p>
    <w:p w14:paraId="5D173AD1" w14:textId="77777777" w:rsidR="002556F1" w:rsidRPr="002556F1" w:rsidRDefault="002556F1" w:rsidP="002556F1">
      <w:pPr>
        <w:tabs>
          <w:tab w:val="left" w:pos="851"/>
        </w:tabs>
        <w:ind w:left="851"/>
        <w:rPr>
          <w:sz w:val="24"/>
          <w:szCs w:val="24"/>
        </w:rPr>
      </w:pPr>
    </w:p>
    <w:p w14:paraId="5F384422" w14:textId="77777777" w:rsidR="002556F1" w:rsidRPr="002556F1" w:rsidRDefault="002556F1" w:rsidP="002556F1">
      <w:pPr>
        <w:tabs>
          <w:tab w:val="left" w:pos="851"/>
        </w:tabs>
        <w:ind w:left="851"/>
        <w:rPr>
          <w:sz w:val="24"/>
          <w:szCs w:val="24"/>
        </w:rPr>
      </w:pPr>
      <w:r w:rsidRPr="002556F1">
        <w:rPr>
          <w:sz w:val="24"/>
          <w:szCs w:val="24"/>
        </w:rPr>
        <w:t>Remifentanil-induceret muskelstivhed skal behandles i henhold til patientens kliniske tilstand med passende støtteforanstaltninger. Udtalt muskelstivhed under indledning af anæstesien bør behandles ved administration af et neuromuskulært blokerende stof og/eller ekstra hypnotika. Muskelstivhed observeret under anvendelse af remifentanil som analgetikum kan behandles ved at standse eller nedsætte administrationshastigheden af remifentanil. Muskelstivheden ophører inden for minutter efter, at remifentanil-infusionen er seponeret. Alternativt kan der administreres en opioid-antagonist; dette kan imidlertid enten ophæve eller svække den analgetiske virkning af remifentanil.</w:t>
      </w:r>
    </w:p>
    <w:p w14:paraId="0C9AAEE3" w14:textId="77777777" w:rsidR="002556F1" w:rsidRPr="002556F1" w:rsidRDefault="002556F1" w:rsidP="002556F1">
      <w:pPr>
        <w:tabs>
          <w:tab w:val="left" w:pos="851"/>
        </w:tabs>
        <w:ind w:left="851"/>
        <w:rPr>
          <w:sz w:val="24"/>
          <w:szCs w:val="24"/>
        </w:rPr>
      </w:pPr>
    </w:p>
    <w:p w14:paraId="2533E879" w14:textId="299CF28C" w:rsidR="002556F1" w:rsidRPr="002556F1" w:rsidRDefault="002556F1" w:rsidP="002556F1">
      <w:pPr>
        <w:tabs>
          <w:tab w:val="left" w:pos="851"/>
        </w:tabs>
        <w:ind w:left="851"/>
        <w:rPr>
          <w:sz w:val="24"/>
          <w:szCs w:val="24"/>
          <w:u w:val="single"/>
        </w:rPr>
      </w:pPr>
      <w:r w:rsidRPr="002556F1">
        <w:rPr>
          <w:sz w:val="24"/>
          <w:szCs w:val="24"/>
          <w:u w:val="single"/>
        </w:rPr>
        <w:t xml:space="preserve">Respirationsdepression </w:t>
      </w:r>
      <w:r>
        <w:rPr>
          <w:sz w:val="24"/>
          <w:szCs w:val="24"/>
          <w:u w:val="single"/>
        </w:rPr>
        <w:t>-</w:t>
      </w:r>
      <w:r w:rsidRPr="002556F1">
        <w:rPr>
          <w:sz w:val="24"/>
          <w:szCs w:val="24"/>
          <w:u w:val="single"/>
        </w:rPr>
        <w:t xml:space="preserve"> forebyggelse og behandling</w:t>
      </w:r>
    </w:p>
    <w:p w14:paraId="2C001A14" w14:textId="77777777" w:rsidR="002556F1" w:rsidRPr="002556F1" w:rsidRDefault="002556F1" w:rsidP="002556F1">
      <w:pPr>
        <w:tabs>
          <w:tab w:val="left" w:pos="851"/>
        </w:tabs>
        <w:ind w:left="851"/>
        <w:rPr>
          <w:sz w:val="24"/>
          <w:szCs w:val="24"/>
        </w:rPr>
      </w:pPr>
      <w:r w:rsidRPr="002556F1">
        <w:rPr>
          <w:sz w:val="24"/>
          <w:szCs w:val="24"/>
        </w:rPr>
        <w:t>Som med alle potente opioider ledsages dyb analgesi af udtalt respirationsdepression. Derfor må remifentanil kun anvendes steder, hvor der er tilgængelige faciliteter til at overvåge og behandle respirationsdepression. Der bør udvises særlig forsigtighed hos patienter med respiratorisk dysfunktion og med svært nedsat leverfunktion. Disse patienter kan være lidt mere følsomme over for remifentanils respirationsdeprimerende virkning. Begyndende respirationsdepression skal behandles på passende vis, herunder ved nedsættelse af infusionshastigheden med 50 %, eller midlertidig seponering af infusionen. I modsætning til andre fentanylanaloger er det ikke vist, at remifentanil selv efter langvarig administration forårsager tilbagevendende respirationsdepression. Ved tilstedeværelse af konfunderende faktorer (f.eks. utilsigtet administration af bolusdoser (se afsnittet nedenfor) og samtidig administration af langtidsvirkende opioider), er forekomst af respirationsdepression op til 50 minutter efter seponering af infusionen imidlertid blevet indberettet. Da der er mange faktorer, der kan påvirke den postoperative opvågning, er det vigtigt at sikre fuld bevidsthed og tilstrækkelig spontan vejrtrækning, før patienten flyttes fra opvågningsstuen.</w:t>
      </w:r>
    </w:p>
    <w:p w14:paraId="1AF54A82" w14:textId="77777777" w:rsidR="002556F1" w:rsidRPr="002556F1" w:rsidRDefault="002556F1" w:rsidP="002556F1">
      <w:pPr>
        <w:tabs>
          <w:tab w:val="left" w:pos="851"/>
        </w:tabs>
        <w:ind w:left="851"/>
        <w:rPr>
          <w:sz w:val="24"/>
          <w:szCs w:val="24"/>
        </w:rPr>
      </w:pPr>
    </w:p>
    <w:p w14:paraId="4F381D84" w14:textId="77777777" w:rsidR="002556F1" w:rsidRPr="002556F1" w:rsidRDefault="002556F1" w:rsidP="002556F1">
      <w:pPr>
        <w:tabs>
          <w:tab w:val="left" w:pos="851"/>
        </w:tabs>
        <w:ind w:left="851"/>
        <w:rPr>
          <w:sz w:val="24"/>
          <w:szCs w:val="24"/>
          <w:u w:val="single"/>
        </w:rPr>
      </w:pPr>
      <w:r w:rsidRPr="002556F1">
        <w:rPr>
          <w:sz w:val="24"/>
          <w:szCs w:val="24"/>
          <w:u w:val="single"/>
        </w:rPr>
        <w:t>Kardiovaskulære virkninger</w:t>
      </w:r>
    </w:p>
    <w:p w14:paraId="10834982" w14:textId="77777777" w:rsidR="002556F1" w:rsidRPr="002556F1" w:rsidRDefault="002556F1" w:rsidP="002556F1">
      <w:pPr>
        <w:tabs>
          <w:tab w:val="left" w:pos="851"/>
        </w:tabs>
        <w:ind w:left="851"/>
        <w:rPr>
          <w:sz w:val="24"/>
          <w:szCs w:val="24"/>
        </w:rPr>
      </w:pPr>
      <w:r w:rsidRPr="002556F1">
        <w:rPr>
          <w:sz w:val="24"/>
          <w:szCs w:val="24"/>
        </w:rPr>
        <w:t>Risikoen for kardiovaskulære virkninger, såsom hypotension og bradykardi, der i sjældne tilfælde kan føre til asystoler/hjertestop (se pkt. 4.5 og 4.8), kan reduceres ved at nedsætte infusionshastigheden af Remifentanil "Orion" eller dosis af andre samtidige anæstetika eller ved, efter behov, at anvende infusionsvæsker, vasopressorer eller antikolinergika.</w:t>
      </w:r>
    </w:p>
    <w:p w14:paraId="17A7C1CB" w14:textId="77777777" w:rsidR="002556F1" w:rsidRPr="002556F1" w:rsidRDefault="002556F1" w:rsidP="002556F1">
      <w:pPr>
        <w:tabs>
          <w:tab w:val="left" w:pos="851"/>
        </w:tabs>
        <w:ind w:left="851"/>
        <w:rPr>
          <w:sz w:val="24"/>
          <w:szCs w:val="24"/>
        </w:rPr>
      </w:pPr>
    </w:p>
    <w:p w14:paraId="19C239C0" w14:textId="77777777" w:rsidR="002556F1" w:rsidRPr="002556F1" w:rsidRDefault="002556F1" w:rsidP="002556F1">
      <w:pPr>
        <w:tabs>
          <w:tab w:val="left" w:pos="851"/>
        </w:tabs>
        <w:ind w:left="851"/>
        <w:rPr>
          <w:sz w:val="24"/>
          <w:szCs w:val="24"/>
        </w:rPr>
      </w:pPr>
      <w:r w:rsidRPr="002556F1">
        <w:rPr>
          <w:sz w:val="24"/>
          <w:szCs w:val="24"/>
        </w:rPr>
        <w:t>Svækkede, hypovolæmiske, hypotensive og ældre patienter kan være mere følsomme for remifentanils kardiovaskulære virkninger.</w:t>
      </w:r>
    </w:p>
    <w:p w14:paraId="4B2E4CA5" w14:textId="77777777" w:rsidR="002556F1" w:rsidRPr="002556F1" w:rsidRDefault="002556F1" w:rsidP="002556F1">
      <w:pPr>
        <w:tabs>
          <w:tab w:val="left" w:pos="851"/>
        </w:tabs>
        <w:ind w:left="851"/>
        <w:rPr>
          <w:sz w:val="24"/>
          <w:szCs w:val="24"/>
        </w:rPr>
      </w:pPr>
    </w:p>
    <w:p w14:paraId="4A3F443C" w14:textId="77777777" w:rsidR="002556F1" w:rsidRPr="002556F1" w:rsidRDefault="002556F1" w:rsidP="002556F1">
      <w:pPr>
        <w:tabs>
          <w:tab w:val="left" w:pos="851"/>
        </w:tabs>
        <w:ind w:left="851"/>
        <w:rPr>
          <w:sz w:val="24"/>
          <w:szCs w:val="24"/>
          <w:u w:val="single"/>
        </w:rPr>
      </w:pPr>
      <w:r w:rsidRPr="002556F1">
        <w:rPr>
          <w:sz w:val="24"/>
          <w:szCs w:val="24"/>
          <w:u w:val="single"/>
        </w:rPr>
        <w:t>Utilsigtet administration</w:t>
      </w:r>
    </w:p>
    <w:p w14:paraId="6F06A50E" w14:textId="77777777" w:rsidR="002556F1" w:rsidRPr="002556F1" w:rsidRDefault="002556F1" w:rsidP="002556F1">
      <w:pPr>
        <w:tabs>
          <w:tab w:val="left" w:pos="851"/>
        </w:tabs>
        <w:ind w:left="851"/>
        <w:rPr>
          <w:sz w:val="24"/>
          <w:szCs w:val="24"/>
        </w:rPr>
      </w:pPr>
      <w:r w:rsidRPr="002556F1">
        <w:rPr>
          <w:sz w:val="24"/>
          <w:szCs w:val="24"/>
        </w:rPr>
        <w:t>Der kan være en tilstrækkelig mængde remifentanil tilbage i det "døde rum" i i.v.-slanger og/eller kanyler til at forårsage respirationsdepression, apnø og/eller muskelstivhed ved gennemskylning af slangerne med infusionsvæsker eller andre lægemidler. Dette kan undgås ved at administrere Remifentanil "Orion" i en i.v.-slange med en høj gennemstrømningshastighed eller via en selvstændig i.v.-slange, som fjernes, når Remifentanil "Orion" seponeres.</w:t>
      </w:r>
    </w:p>
    <w:p w14:paraId="6CF6F202" w14:textId="77777777" w:rsidR="002556F1" w:rsidRPr="002556F1" w:rsidRDefault="002556F1" w:rsidP="002556F1">
      <w:pPr>
        <w:tabs>
          <w:tab w:val="left" w:pos="851"/>
        </w:tabs>
        <w:ind w:left="851"/>
        <w:rPr>
          <w:sz w:val="24"/>
          <w:szCs w:val="24"/>
        </w:rPr>
      </w:pPr>
    </w:p>
    <w:p w14:paraId="58AF3488" w14:textId="77777777" w:rsidR="002556F1" w:rsidRPr="002556F1" w:rsidRDefault="002556F1" w:rsidP="002556F1">
      <w:pPr>
        <w:tabs>
          <w:tab w:val="left" w:pos="851"/>
        </w:tabs>
        <w:ind w:left="851"/>
        <w:rPr>
          <w:sz w:val="24"/>
          <w:szCs w:val="24"/>
          <w:u w:val="single"/>
        </w:rPr>
      </w:pPr>
      <w:r w:rsidRPr="002556F1">
        <w:rPr>
          <w:sz w:val="24"/>
          <w:szCs w:val="24"/>
          <w:u w:val="single"/>
        </w:rPr>
        <w:t>Nyfødte/spædbørn</w:t>
      </w:r>
    </w:p>
    <w:p w14:paraId="2BBC071D" w14:textId="77777777" w:rsidR="002556F1" w:rsidRPr="002556F1" w:rsidRDefault="002556F1" w:rsidP="002556F1">
      <w:pPr>
        <w:tabs>
          <w:tab w:val="left" w:pos="851"/>
        </w:tabs>
        <w:ind w:left="851"/>
        <w:rPr>
          <w:sz w:val="24"/>
          <w:szCs w:val="24"/>
        </w:rPr>
      </w:pPr>
      <w:r w:rsidRPr="002556F1">
        <w:rPr>
          <w:sz w:val="24"/>
          <w:szCs w:val="24"/>
        </w:rPr>
        <w:t>Der er begrænsede tilgængelige data for anvendelsen til nyfødte/spædbørn under 1 år (se pkt. 4.2 "Nyfødte/spædbørn (under 1 år)" og 5.1).</w:t>
      </w:r>
    </w:p>
    <w:p w14:paraId="6769A1A6" w14:textId="77777777" w:rsidR="002556F1" w:rsidRPr="002556F1" w:rsidRDefault="002556F1" w:rsidP="002556F1">
      <w:pPr>
        <w:tabs>
          <w:tab w:val="left" w:pos="851"/>
        </w:tabs>
        <w:ind w:left="851"/>
        <w:rPr>
          <w:sz w:val="24"/>
          <w:szCs w:val="24"/>
        </w:rPr>
      </w:pPr>
    </w:p>
    <w:p w14:paraId="5A6B4D65" w14:textId="77777777" w:rsidR="002556F1" w:rsidRPr="002556F1" w:rsidRDefault="002556F1" w:rsidP="002556F1">
      <w:pPr>
        <w:tabs>
          <w:tab w:val="left" w:pos="851"/>
        </w:tabs>
        <w:ind w:left="851"/>
        <w:rPr>
          <w:sz w:val="24"/>
          <w:szCs w:val="24"/>
          <w:u w:val="single"/>
        </w:rPr>
      </w:pPr>
      <w:r w:rsidRPr="002556F1">
        <w:rPr>
          <w:sz w:val="24"/>
          <w:szCs w:val="24"/>
          <w:u w:val="single"/>
        </w:rPr>
        <w:t>Tolerans og opioidbrugsforstyrrelse (misbrug og afhængighed)</w:t>
      </w:r>
    </w:p>
    <w:p w14:paraId="49050374" w14:textId="77777777" w:rsidR="002556F1" w:rsidRPr="002556F1" w:rsidRDefault="002556F1" w:rsidP="002556F1">
      <w:pPr>
        <w:tabs>
          <w:tab w:val="left" w:pos="851"/>
        </w:tabs>
        <w:ind w:left="851"/>
        <w:rPr>
          <w:sz w:val="24"/>
          <w:szCs w:val="24"/>
        </w:rPr>
      </w:pPr>
      <w:r w:rsidRPr="002556F1">
        <w:rPr>
          <w:sz w:val="24"/>
          <w:szCs w:val="24"/>
        </w:rPr>
        <w:t>Tolerans, fysisk og psykologisk afhængighed og opioidbrugsforstyrrelse (</w:t>
      </w:r>
      <w:r w:rsidRPr="002556F1">
        <w:rPr>
          <w:i/>
          <w:iCs/>
          <w:sz w:val="24"/>
          <w:szCs w:val="24"/>
        </w:rPr>
        <w:t>opioid use disorder</w:t>
      </w:r>
      <w:r w:rsidRPr="002556F1">
        <w:rPr>
          <w:sz w:val="24"/>
          <w:szCs w:val="24"/>
        </w:rPr>
        <w:t>, OUD) kan udvikles ved gentagen administration af opioider. Misbrug eller forsætligt misbrug af opioider kan føre til overdosering og/eller døden. Risikoen for at udvikle OUD er forhøjet hos patienter med en personlig eller en familiær anamnese (forældre eller søskende) med stofbrugsforstyrrelser (herunder alkoholbrugsforstyrrelse) hos aktuelle tobaksbrugere eller hos patienter med en personlig anamnese med andre psykiske lidelser (f.eks. svær depression, angst og personlighedsforstyrrelser).</w:t>
      </w:r>
    </w:p>
    <w:p w14:paraId="4ECE4542" w14:textId="77777777" w:rsidR="009260DE" w:rsidRPr="00C84483" w:rsidRDefault="009260DE" w:rsidP="009260DE">
      <w:pPr>
        <w:tabs>
          <w:tab w:val="left" w:pos="851"/>
        </w:tabs>
        <w:ind w:left="851"/>
        <w:rPr>
          <w:sz w:val="24"/>
          <w:szCs w:val="24"/>
        </w:rPr>
      </w:pPr>
    </w:p>
    <w:p w14:paraId="5A43E01F"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59D5834" w14:textId="77777777" w:rsidR="004D718A" w:rsidRPr="004D718A" w:rsidRDefault="004D718A" w:rsidP="004D718A">
      <w:pPr>
        <w:tabs>
          <w:tab w:val="left" w:pos="851"/>
        </w:tabs>
        <w:ind w:left="851"/>
        <w:rPr>
          <w:sz w:val="24"/>
          <w:szCs w:val="24"/>
        </w:rPr>
      </w:pPr>
      <w:r w:rsidRPr="004D718A">
        <w:rPr>
          <w:sz w:val="24"/>
          <w:szCs w:val="24"/>
        </w:rPr>
        <w:t>Remifentanil metaboliseres ikke af plasmakolinesterase. Derfor forventes ingen interaktioner med lægemidler, der metaboliseres via dette enzym.</w:t>
      </w:r>
    </w:p>
    <w:p w14:paraId="204D7FA9" w14:textId="77777777" w:rsidR="004D718A" w:rsidRPr="004D718A" w:rsidRDefault="004D718A" w:rsidP="004D718A">
      <w:pPr>
        <w:tabs>
          <w:tab w:val="left" w:pos="851"/>
        </w:tabs>
        <w:ind w:left="851"/>
        <w:rPr>
          <w:sz w:val="24"/>
          <w:szCs w:val="24"/>
        </w:rPr>
      </w:pPr>
    </w:p>
    <w:p w14:paraId="582735C8" w14:textId="77777777" w:rsidR="004D718A" w:rsidRPr="004D718A" w:rsidRDefault="004D718A" w:rsidP="004D718A">
      <w:pPr>
        <w:tabs>
          <w:tab w:val="left" w:pos="851"/>
        </w:tabs>
        <w:ind w:left="851"/>
        <w:rPr>
          <w:sz w:val="24"/>
          <w:szCs w:val="24"/>
        </w:rPr>
      </w:pPr>
      <w:r w:rsidRPr="004D718A">
        <w:rPr>
          <w:sz w:val="24"/>
          <w:szCs w:val="24"/>
        </w:rPr>
        <w:t>Hvad enten remifentanil gives ved manuel kontrolleret infusion eller ved TCI, nedsætter remifentanil i lighed med andre opioider doserne af inhalations- eller intravenøse anæstetika og benzodiazepiner nødvendige til anæstesi (se pkt. 4.2). Hvis doserne af samtidigt administrerede CNS-deprimerende lægemidler ikke nedsættes, kan patienterne opleve en øget forekomst af bivirkninger forbundet med disse lægemidler.</w:t>
      </w:r>
    </w:p>
    <w:p w14:paraId="73472D1E" w14:textId="77777777" w:rsidR="004D718A" w:rsidRPr="004D718A" w:rsidRDefault="004D718A" w:rsidP="004D718A">
      <w:pPr>
        <w:tabs>
          <w:tab w:val="left" w:pos="851"/>
        </w:tabs>
        <w:ind w:left="851"/>
        <w:rPr>
          <w:sz w:val="24"/>
          <w:szCs w:val="24"/>
        </w:rPr>
      </w:pPr>
    </w:p>
    <w:p w14:paraId="0C9AD495" w14:textId="77777777" w:rsidR="004D718A" w:rsidRPr="004D718A" w:rsidRDefault="004D718A" w:rsidP="004D718A">
      <w:pPr>
        <w:tabs>
          <w:tab w:val="left" w:pos="851"/>
        </w:tabs>
        <w:ind w:left="851"/>
        <w:rPr>
          <w:sz w:val="24"/>
          <w:szCs w:val="24"/>
        </w:rPr>
      </w:pPr>
      <w:r w:rsidRPr="004D718A">
        <w:rPr>
          <w:bCs/>
          <w:sz w:val="24"/>
          <w:szCs w:val="24"/>
        </w:rPr>
        <w:t xml:space="preserve">Sedativa, såsom benzodiazepiner eller beslægtede lægemidler: </w:t>
      </w:r>
      <w:r w:rsidRPr="004D718A">
        <w:rPr>
          <w:sz w:val="24"/>
          <w:szCs w:val="24"/>
        </w:rPr>
        <w:t>Samtidig administration af opioider og sedativa, såsom benzodiazepiner eller beslægtede lægemidler, kan øge risikoen for sedation, respirationsdepression, koma og død på grund af den additive CNS-deprimerende virkning. Dosen og varigheden af samtidig brug bør begrænses (se pkt. 4.4.). Samtidig anvendelse af opioider og gabapentinoider (gabapentin og pregabalin) øger risikoen for en opioid-overdosis, respirationsdepression og død.</w:t>
      </w:r>
    </w:p>
    <w:p w14:paraId="2ADA1532" w14:textId="77777777" w:rsidR="004D718A" w:rsidRPr="004D718A" w:rsidRDefault="004D718A" w:rsidP="004D718A">
      <w:pPr>
        <w:tabs>
          <w:tab w:val="left" w:pos="851"/>
        </w:tabs>
        <w:ind w:left="851"/>
        <w:rPr>
          <w:sz w:val="24"/>
          <w:szCs w:val="24"/>
        </w:rPr>
      </w:pPr>
    </w:p>
    <w:p w14:paraId="0B6BFA6E" w14:textId="77777777" w:rsidR="004D718A" w:rsidRPr="004D718A" w:rsidRDefault="004D718A" w:rsidP="004D718A">
      <w:pPr>
        <w:tabs>
          <w:tab w:val="left" w:pos="851"/>
        </w:tabs>
        <w:ind w:left="851"/>
        <w:rPr>
          <w:sz w:val="24"/>
          <w:szCs w:val="24"/>
        </w:rPr>
      </w:pPr>
      <w:r w:rsidRPr="004D718A">
        <w:rPr>
          <w:sz w:val="24"/>
          <w:szCs w:val="24"/>
        </w:rPr>
        <w:t>Samtidig administration af remifentanil med serotonerge lægemidler, såsom selektive serotonin-genoptagshæmmere (</w:t>
      </w:r>
      <w:r w:rsidRPr="004D718A">
        <w:rPr>
          <w:i/>
          <w:iCs/>
          <w:sz w:val="24"/>
          <w:szCs w:val="24"/>
        </w:rPr>
        <w:t>selective serotonin reuptake inhibitors</w:t>
      </w:r>
      <w:r w:rsidRPr="004D718A">
        <w:rPr>
          <w:sz w:val="24"/>
          <w:szCs w:val="24"/>
        </w:rPr>
        <w:t>, SSRI’ere), serotonin-noradrenalin-genoptagshæmmere (</w:t>
      </w:r>
      <w:r w:rsidRPr="004D718A">
        <w:rPr>
          <w:i/>
          <w:iCs/>
          <w:sz w:val="24"/>
          <w:szCs w:val="24"/>
        </w:rPr>
        <w:t>serotonin norepinephrine reuptake inhibitors</w:t>
      </w:r>
      <w:r w:rsidRPr="004D718A">
        <w:rPr>
          <w:sz w:val="24"/>
          <w:szCs w:val="24"/>
        </w:rPr>
        <w:t>, SNRI’ere) eller monoaminoxidasehæmmere (MAO-hæmmere) kan forhøje risikoen for serotonergt syndrom, en muligt livstruende tilstand. Der bør udvises forsigtighed ved samtidig anvendelse af MAO-hæmmere. Irreversible MAO-hæmmere skal seponeres mindst 2 uger før anvendelse af remifentanil.</w:t>
      </w:r>
    </w:p>
    <w:p w14:paraId="48730A94" w14:textId="77777777" w:rsidR="004D718A" w:rsidRPr="004D718A" w:rsidRDefault="004D718A" w:rsidP="004D718A">
      <w:pPr>
        <w:tabs>
          <w:tab w:val="left" w:pos="851"/>
        </w:tabs>
        <w:ind w:left="851"/>
        <w:rPr>
          <w:sz w:val="24"/>
          <w:szCs w:val="24"/>
        </w:rPr>
      </w:pPr>
    </w:p>
    <w:p w14:paraId="0069A796" w14:textId="77777777" w:rsidR="004D718A" w:rsidRPr="004D718A" w:rsidRDefault="004D718A" w:rsidP="004D718A">
      <w:pPr>
        <w:tabs>
          <w:tab w:val="left" w:pos="851"/>
        </w:tabs>
        <w:ind w:left="851"/>
        <w:rPr>
          <w:sz w:val="24"/>
          <w:szCs w:val="24"/>
        </w:rPr>
      </w:pPr>
      <w:r w:rsidRPr="004D718A">
        <w:rPr>
          <w:sz w:val="24"/>
          <w:szCs w:val="24"/>
        </w:rPr>
        <w:t>De kardiovaskulære virkninger af Remifentanil "Orion" (hypotension og bradykardi – se pkt. 4.4 og 4.8) kan forværres hos patienter, der samtidig får lægemidler med hæmmende virkning på hjertet, såsom betablokkere og calciumkanalblokerende lægemidler.</w:t>
      </w:r>
    </w:p>
    <w:p w14:paraId="293AC8B7" w14:textId="77777777" w:rsidR="009260DE" w:rsidRPr="00C84483" w:rsidRDefault="009260DE" w:rsidP="004D718A">
      <w:pPr>
        <w:tabs>
          <w:tab w:val="left" w:pos="851"/>
        </w:tabs>
        <w:rPr>
          <w:sz w:val="24"/>
          <w:szCs w:val="24"/>
        </w:rPr>
      </w:pPr>
    </w:p>
    <w:p w14:paraId="4F32EC8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4E84959" w14:textId="77777777" w:rsidR="004D718A" w:rsidRPr="004D718A" w:rsidRDefault="004D718A" w:rsidP="004D718A">
      <w:pPr>
        <w:tabs>
          <w:tab w:val="left" w:pos="851"/>
        </w:tabs>
        <w:ind w:left="851"/>
        <w:rPr>
          <w:sz w:val="24"/>
          <w:szCs w:val="24"/>
        </w:rPr>
      </w:pPr>
    </w:p>
    <w:p w14:paraId="7E529745" w14:textId="77777777" w:rsidR="004D718A" w:rsidRPr="004D718A" w:rsidRDefault="004D718A" w:rsidP="004D718A">
      <w:pPr>
        <w:tabs>
          <w:tab w:val="left" w:pos="851"/>
        </w:tabs>
        <w:ind w:left="851"/>
        <w:rPr>
          <w:sz w:val="24"/>
          <w:szCs w:val="24"/>
          <w:u w:val="single"/>
        </w:rPr>
      </w:pPr>
      <w:r w:rsidRPr="004D718A">
        <w:rPr>
          <w:sz w:val="24"/>
          <w:szCs w:val="24"/>
          <w:u w:val="single"/>
        </w:rPr>
        <w:t>Graviditet</w:t>
      </w:r>
    </w:p>
    <w:p w14:paraId="3C9B3E1F" w14:textId="77777777" w:rsidR="004D718A" w:rsidRPr="004D718A" w:rsidRDefault="004D718A" w:rsidP="004D718A">
      <w:pPr>
        <w:tabs>
          <w:tab w:val="left" w:pos="851"/>
        </w:tabs>
        <w:ind w:left="851"/>
        <w:rPr>
          <w:sz w:val="24"/>
          <w:szCs w:val="24"/>
        </w:rPr>
      </w:pPr>
      <w:r w:rsidRPr="004D718A">
        <w:rPr>
          <w:sz w:val="24"/>
          <w:szCs w:val="24"/>
        </w:rPr>
        <w:t>Der er ingen tilstrækkelige og velkontrollerede studier hos gravide. Remifentanil "Orion" bør kun anvendes under graviditeten, hvis den potentielle fordel ved behandling opvejer den potentielle risiko for fosteret.</w:t>
      </w:r>
    </w:p>
    <w:p w14:paraId="2AAB046E" w14:textId="77777777" w:rsidR="004D718A" w:rsidRPr="004D718A" w:rsidRDefault="004D718A" w:rsidP="004D718A">
      <w:pPr>
        <w:tabs>
          <w:tab w:val="left" w:pos="851"/>
        </w:tabs>
        <w:ind w:left="851"/>
        <w:rPr>
          <w:sz w:val="24"/>
          <w:szCs w:val="24"/>
        </w:rPr>
      </w:pPr>
    </w:p>
    <w:p w14:paraId="7DD5A947" w14:textId="77777777" w:rsidR="004D718A" w:rsidRPr="004D718A" w:rsidRDefault="004D718A" w:rsidP="004D718A">
      <w:pPr>
        <w:tabs>
          <w:tab w:val="left" w:pos="851"/>
        </w:tabs>
        <w:ind w:left="851"/>
        <w:rPr>
          <w:sz w:val="24"/>
          <w:szCs w:val="24"/>
          <w:u w:val="single"/>
        </w:rPr>
      </w:pPr>
      <w:r w:rsidRPr="004D718A">
        <w:rPr>
          <w:sz w:val="24"/>
          <w:szCs w:val="24"/>
          <w:u w:val="single"/>
        </w:rPr>
        <w:t>Amning</w:t>
      </w:r>
    </w:p>
    <w:p w14:paraId="163FD349" w14:textId="77777777" w:rsidR="004D718A" w:rsidRPr="004D718A" w:rsidRDefault="004D718A" w:rsidP="004D718A">
      <w:pPr>
        <w:tabs>
          <w:tab w:val="left" w:pos="851"/>
        </w:tabs>
        <w:ind w:left="851"/>
        <w:rPr>
          <w:sz w:val="24"/>
          <w:szCs w:val="24"/>
        </w:rPr>
      </w:pPr>
      <w:r w:rsidRPr="004D718A">
        <w:rPr>
          <w:sz w:val="24"/>
          <w:szCs w:val="24"/>
        </w:rPr>
        <w:t>Det vides ikke, om remifentanil udskilles i modermælk hos mennesker. Men da fentanylanaloger udskilles i modermælk hos mennesker, og der blev fundet remifentanil-beslægtet materiale i rottemælk efter dosering med remifentanil, bør ammende mødre tilrådes at ophøre med amning i 24 timer efter administration af remifentanil.</w:t>
      </w:r>
    </w:p>
    <w:p w14:paraId="29995C9B" w14:textId="77777777" w:rsidR="004D718A" w:rsidRPr="004D718A" w:rsidRDefault="004D718A" w:rsidP="004D718A">
      <w:pPr>
        <w:tabs>
          <w:tab w:val="left" w:pos="851"/>
        </w:tabs>
        <w:ind w:left="851"/>
        <w:rPr>
          <w:sz w:val="24"/>
          <w:szCs w:val="24"/>
        </w:rPr>
      </w:pPr>
    </w:p>
    <w:p w14:paraId="7B826BEA" w14:textId="77777777" w:rsidR="004D718A" w:rsidRPr="004D718A" w:rsidRDefault="004D718A" w:rsidP="004D718A">
      <w:pPr>
        <w:tabs>
          <w:tab w:val="left" w:pos="851"/>
        </w:tabs>
        <w:ind w:left="851"/>
        <w:rPr>
          <w:sz w:val="24"/>
          <w:szCs w:val="24"/>
          <w:u w:val="single"/>
        </w:rPr>
      </w:pPr>
      <w:r w:rsidRPr="004D718A">
        <w:rPr>
          <w:sz w:val="24"/>
          <w:szCs w:val="24"/>
          <w:u w:val="single"/>
        </w:rPr>
        <w:t>Veer og fødsel</w:t>
      </w:r>
    </w:p>
    <w:p w14:paraId="33FD8A3B" w14:textId="77777777" w:rsidR="004D718A" w:rsidRPr="004D718A" w:rsidRDefault="004D718A" w:rsidP="004D718A">
      <w:pPr>
        <w:tabs>
          <w:tab w:val="left" w:pos="851"/>
        </w:tabs>
        <w:ind w:left="851"/>
        <w:rPr>
          <w:sz w:val="24"/>
          <w:szCs w:val="24"/>
        </w:rPr>
      </w:pPr>
      <w:r w:rsidRPr="004D718A">
        <w:rPr>
          <w:sz w:val="24"/>
          <w:szCs w:val="24"/>
        </w:rPr>
        <w:t>Der er ikke tilstrækkelige data til at anbefale brug af remifentanil i forbindelse med veer og kejsersnit. Det er kendt, at remifentanil passerer placentabarrieren, og fentanylanaloger kan medføre respirationsdepression hos barnet. Hvis remifentanil alligevel administreres, skal patienten og det nyfødte barn overvåges for tegn på for kraftig sedation eller respirationsdepression (se pkt. 4.4).</w:t>
      </w:r>
    </w:p>
    <w:p w14:paraId="315847E2" w14:textId="77777777" w:rsidR="009260DE" w:rsidRPr="00C84483" w:rsidRDefault="009260DE" w:rsidP="009260DE">
      <w:pPr>
        <w:tabs>
          <w:tab w:val="left" w:pos="851"/>
        </w:tabs>
        <w:ind w:left="851"/>
        <w:rPr>
          <w:sz w:val="24"/>
          <w:szCs w:val="24"/>
        </w:rPr>
      </w:pPr>
    </w:p>
    <w:p w14:paraId="22CA6E6A"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AFA8CA8" w14:textId="6FE191F0" w:rsidR="009260DE" w:rsidRDefault="00077D1D" w:rsidP="009260DE">
      <w:pPr>
        <w:tabs>
          <w:tab w:val="left" w:pos="851"/>
        </w:tabs>
        <w:ind w:left="851"/>
        <w:rPr>
          <w:sz w:val="24"/>
          <w:szCs w:val="24"/>
        </w:rPr>
      </w:pPr>
      <w:r>
        <w:rPr>
          <w:sz w:val="24"/>
          <w:szCs w:val="24"/>
        </w:rPr>
        <w:t>M</w:t>
      </w:r>
      <w:r w:rsidR="00A55EC8">
        <w:rPr>
          <w:sz w:val="24"/>
          <w:szCs w:val="24"/>
        </w:rPr>
        <w:t>ærkning.</w:t>
      </w:r>
    </w:p>
    <w:p w14:paraId="0017A549" w14:textId="77777777" w:rsidR="00077D1D" w:rsidRPr="00077D1D" w:rsidRDefault="00077D1D" w:rsidP="00077D1D">
      <w:pPr>
        <w:tabs>
          <w:tab w:val="left" w:pos="851"/>
        </w:tabs>
        <w:ind w:left="851"/>
        <w:rPr>
          <w:sz w:val="24"/>
          <w:szCs w:val="24"/>
        </w:rPr>
      </w:pPr>
      <w:r w:rsidRPr="00077D1D">
        <w:rPr>
          <w:sz w:val="24"/>
          <w:szCs w:val="24"/>
        </w:rPr>
        <w:t>Patienten må ikke føre motorkøretøj eller betjene maskiner efter anæstesi med remifentanil. Lægen bør afgøre, hvornår disse aktiviteter kan genoptages. Det tilrådes, at patienten ledsages hjem, og at alkoholiske drikke undgås.</w:t>
      </w:r>
    </w:p>
    <w:p w14:paraId="08F2F30F" w14:textId="77777777" w:rsidR="009260DE" w:rsidRPr="00C84483" w:rsidRDefault="009260DE" w:rsidP="009260DE">
      <w:pPr>
        <w:tabs>
          <w:tab w:val="left" w:pos="851"/>
        </w:tabs>
        <w:ind w:left="851"/>
        <w:rPr>
          <w:sz w:val="24"/>
          <w:szCs w:val="24"/>
        </w:rPr>
      </w:pPr>
    </w:p>
    <w:p w14:paraId="6B633AB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72458F9" w14:textId="77777777" w:rsidR="00077D1D" w:rsidRPr="00077D1D" w:rsidRDefault="00077D1D" w:rsidP="00077D1D">
      <w:pPr>
        <w:tabs>
          <w:tab w:val="left" w:pos="851"/>
        </w:tabs>
        <w:ind w:left="851"/>
        <w:rPr>
          <w:sz w:val="24"/>
          <w:szCs w:val="24"/>
        </w:rPr>
      </w:pPr>
      <w:r w:rsidRPr="00077D1D">
        <w:rPr>
          <w:sz w:val="24"/>
          <w:szCs w:val="24"/>
        </w:rPr>
        <w:t>De hyppigste bivirkninger forbundet med remifentanil er direkte følger af farmakologiske virkninger af en µ-opioid-agonist. Disse bivirkninger ophører i løbet af minutter ved seponering af administrationen eller nedsættelse af administrationshastigheden af remifentanil. Nedenstående hyppigheder defineres som meget almindelig (≥ 1/10), almindelig (≥ 1/100 til &lt; 1/10), ikke almindelig (≥ 1/1.000 til &lt; 1/100), sjælden (≥ 1/10.000 til &lt; 1/1.000) og meget sjælden (&lt; 1/10.000), ikke kendt (kan ikke estimeres ud fra forhåndenværende data).</w:t>
      </w:r>
    </w:p>
    <w:p w14:paraId="08760FDE" w14:textId="77777777" w:rsidR="00077D1D" w:rsidRPr="00077D1D" w:rsidRDefault="00077D1D" w:rsidP="00077D1D">
      <w:pPr>
        <w:tabs>
          <w:tab w:val="left" w:pos="851"/>
        </w:tabs>
        <w:ind w:left="851"/>
        <w:rPr>
          <w:sz w:val="24"/>
          <w:szCs w:val="24"/>
        </w:rPr>
      </w:pPr>
    </w:p>
    <w:tbl>
      <w:tblPr>
        <w:tblStyle w:val="Tabel-Gitter"/>
        <w:tblW w:w="9061" w:type="dxa"/>
        <w:tblInd w:w="846" w:type="dxa"/>
        <w:tblLook w:val="04A0" w:firstRow="1" w:lastRow="0" w:firstColumn="1" w:lastColumn="0" w:noHBand="0" w:noVBand="1"/>
      </w:tblPr>
      <w:tblGrid>
        <w:gridCol w:w="2972"/>
        <w:gridCol w:w="6089"/>
      </w:tblGrid>
      <w:tr w:rsidR="00077D1D" w:rsidRPr="00077D1D" w14:paraId="4CF1D571" w14:textId="77777777" w:rsidTr="00AA6E75">
        <w:tc>
          <w:tcPr>
            <w:tcW w:w="906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4B6F19" w14:textId="77777777" w:rsidR="00077D1D" w:rsidRPr="00077D1D" w:rsidRDefault="00077D1D" w:rsidP="00AA6E75">
            <w:pPr>
              <w:ind w:left="85"/>
              <w:rPr>
                <w:b/>
                <w:bCs/>
                <w:sz w:val="24"/>
                <w:szCs w:val="24"/>
              </w:rPr>
            </w:pPr>
            <w:r w:rsidRPr="00077D1D">
              <w:rPr>
                <w:b/>
                <w:bCs/>
                <w:sz w:val="24"/>
                <w:szCs w:val="24"/>
              </w:rPr>
              <w:t>Immunsystemet</w:t>
            </w:r>
          </w:p>
        </w:tc>
      </w:tr>
      <w:tr w:rsidR="00077D1D" w:rsidRPr="00077D1D" w14:paraId="7D4D3A73"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963533" w14:textId="77777777" w:rsidR="00077D1D" w:rsidRPr="00077D1D" w:rsidRDefault="00077D1D" w:rsidP="00AA6E75">
            <w:pPr>
              <w:ind w:left="85"/>
              <w:rPr>
                <w:sz w:val="24"/>
                <w:szCs w:val="24"/>
              </w:rPr>
            </w:pPr>
            <w:r w:rsidRPr="00077D1D">
              <w:rPr>
                <w:sz w:val="24"/>
                <w:szCs w:val="24"/>
              </w:rPr>
              <w:t>Sjælden:</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83EDF9" w14:textId="77777777" w:rsidR="00077D1D" w:rsidRPr="00077D1D" w:rsidRDefault="00077D1D" w:rsidP="00AA6E75">
            <w:pPr>
              <w:ind w:left="85"/>
              <w:rPr>
                <w:sz w:val="24"/>
                <w:szCs w:val="24"/>
                <w:lang w:val="da-DK"/>
              </w:rPr>
            </w:pPr>
            <w:r w:rsidRPr="00077D1D">
              <w:rPr>
                <w:sz w:val="24"/>
                <w:szCs w:val="24"/>
                <w:lang w:val="da-DK"/>
              </w:rPr>
              <w:t>Overfølsomhedsreaktioner, herunder anafylaksi er blevet indberettet hos patienter, som fik remifentanil i forbindelse med et eller flere anæstetika.</w:t>
            </w:r>
          </w:p>
        </w:tc>
      </w:tr>
      <w:tr w:rsidR="00077D1D" w:rsidRPr="00077D1D" w14:paraId="1F6CB073" w14:textId="77777777" w:rsidTr="00AA6E75">
        <w:tc>
          <w:tcPr>
            <w:tcW w:w="906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6C85B8B" w14:textId="77777777" w:rsidR="00077D1D" w:rsidRPr="00077D1D" w:rsidRDefault="00077D1D" w:rsidP="00AA6E75">
            <w:pPr>
              <w:ind w:left="85"/>
              <w:rPr>
                <w:b/>
                <w:bCs/>
                <w:sz w:val="24"/>
                <w:szCs w:val="24"/>
              </w:rPr>
            </w:pPr>
            <w:r w:rsidRPr="00077D1D">
              <w:rPr>
                <w:b/>
                <w:bCs/>
                <w:sz w:val="24"/>
                <w:szCs w:val="24"/>
              </w:rPr>
              <w:t>Psykiske forstyrrelser</w:t>
            </w:r>
          </w:p>
        </w:tc>
      </w:tr>
      <w:tr w:rsidR="00077D1D" w:rsidRPr="00077D1D" w14:paraId="45D43B67"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B9F429" w14:textId="77777777" w:rsidR="00077D1D" w:rsidRPr="00077D1D" w:rsidRDefault="00077D1D" w:rsidP="00AA6E75">
            <w:pPr>
              <w:ind w:left="85"/>
              <w:rPr>
                <w:sz w:val="24"/>
                <w:szCs w:val="24"/>
              </w:rPr>
            </w:pPr>
            <w:r w:rsidRPr="00077D1D">
              <w:rPr>
                <w:sz w:val="24"/>
                <w:szCs w:val="24"/>
              </w:rPr>
              <w:t>Ikke kendt:</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3D88E35" w14:textId="77777777" w:rsidR="00077D1D" w:rsidRPr="00077D1D" w:rsidRDefault="00077D1D" w:rsidP="00AA6E75">
            <w:pPr>
              <w:ind w:left="85"/>
              <w:rPr>
                <w:sz w:val="24"/>
                <w:szCs w:val="24"/>
              </w:rPr>
            </w:pPr>
            <w:r w:rsidRPr="00077D1D">
              <w:rPr>
                <w:sz w:val="24"/>
                <w:szCs w:val="24"/>
              </w:rPr>
              <w:t>Lægemiddelafhængighed, abstinenssyndrom</w:t>
            </w:r>
          </w:p>
        </w:tc>
      </w:tr>
      <w:tr w:rsidR="00077D1D" w:rsidRPr="00077D1D" w14:paraId="31D171B7" w14:textId="77777777" w:rsidTr="00AA6E75">
        <w:tc>
          <w:tcPr>
            <w:tcW w:w="906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F7C870" w14:textId="77777777" w:rsidR="00077D1D" w:rsidRPr="00077D1D" w:rsidRDefault="00077D1D" w:rsidP="00AA6E75">
            <w:pPr>
              <w:ind w:left="85"/>
              <w:rPr>
                <w:b/>
                <w:bCs/>
                <w:sz w:val="24"/>
                <w:szCs w:val="24"/>
              </w:rPr>
            </w:pPr>
            <w:r w:rsidRPr="00077D1D">
              <w:rPr>
                <w:b/>
                <w:bCs/>
                <w:sz w:val="24"/>
                <w:szCs w:val="24"/>
              </w:rPr>
              <w:t>Nervesystemet</w:t>
            </w:r>
          </w:p>
        </w:tc>
      </w:tr>
      <w:tr w:rsidR="00077D1D" w:rsidRPr="00077D1D" w14:paraId="2C36D611"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B044B3A" w14:textId="77777777" w:rsidR="00077D1D" w:rsidRPr="00077D1D" w:rsidRDefault="00077D1D" w:rsidP="00AA6E75">
            <w:pPr>
              <w:ind w:left="85"/>
              <w:rPr>
                <w:sz w:val="24"/>
                <w:szCs w:val="24"/>
              </w:rPr>
            </w:pPr>
            <w:r w:rsidRPr="00077D1D">
              <w:rPr>
                <w:sz w:val="24"/>
                <w:szCs w:val="24"/>
              </w:rPr>
              <w:t>Meget almindelig:</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C6D06D" w14:textId="77777777" w:rsidR="00077D1D" w:rsidRPr="00077D1D" w:rsidRDefault="00077D1D" w:rsidP="00AA6E75">
            <w:pPr>
              <w:ind w:left="85"/>
              <w:rPr>
                <w:sz w:val="24"/>
                <w:szCs w:val="24"/>
              </w:rPr>
            </w:pPr>
            <w:r w:rsidRPr="00077D1D">
              <w:rPr>
                <w:sz w:val="24"/>
                <w:szCs w:val="24"/>
              </w:rPr>
              <w:t>Stivhed i skeletmuskulaturen</w:t>
            </w:r>
          </w:p>
        </w:tc>
      </w:tr>
      <w:tr w:rsidR="00077D1D" w:rsidRPr="00077D1D" w14:paraId="546B7FEA"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EBF1661" w14:textId="77777777" w:rsidR="00077D1D" w:rsidRPr="00077D1D" w:rsidRDefault="00077D1D" w:rsidP="00AA6E75">
            <w:pPr>
              <w:ind w:left="85"/>
              <w:rPr>
                <w:sz w:val="24"/>
                <w:szCs w:val="24"/>
              </w:rPr>
            </w:pPr>
            <w:r w:rsidRPr="00077D1D">
              <w:rPr>
                <w:sz w:val="24"/>
                <w:szCs w:val="24"/>
              </w:rPr>
              <w:t>Sjælden:</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CA56AA" w14:textId="77777777" w:rsidR="00077D1D" w:rsidRPr="00077D1D" w:rsidRDefault="00077D1D" w:rsidP="00AA6E75">
            <w:pPr>
              <w:ind w:left="85"/>
              <w:rPr>
                <w:sz w:val="24"/>
                <w:szCs w:val="24"/>
                <w:lang w:val="da-DK"/>
              </w:rPr>
            </w:pPr>
            <w:r w:rsidRPr="00077D1D">
              <w:rPr>
                <w:sz w:val="24"/>
                <w:szCs w:val="24"/>
                <w:lang w:val="da-DK"/>
              </w:rPr>
              <w:t>Sedation (under opvågning efter general anæstesi)</w:t>
            </w:r>
          </w:p>
        </w:tc>
      </w:tr>
      <w:tr w:rsidR="00077D1D" w:rsidRPr="00077D1D" w14:paraId="28C7ABBD"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170AC7" w14:textId="77777777" w:rsidR="00077D1D" w:rsidRPr="00077D1D" w:rsidRDefault="00077D1D" w:rsidP="00AA6E75">
            <w:pPr>
              <w:ind w:left="85"/>
              <w:rPr>
                <w:sz w:val="24"/>
                <w:szCs w:val="24"/>
              </w:rPr>
            </w:pPr>
            <w:r w:rsidRPr="00077D1D">
              <w:rPr>
                <w:sz w:val="24"/>
                <w:szCs w:val="24"/>
              </w:rPr>
              <w:t>Ikke kendt:</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0534CE" w14:textId="77777777" w:rsidR="00077D1D" w:rsidRPr="00077D1D" w:rsidRDefault="00077D1D" w:rsidP="00AA6E75">
            <w:pPr>
              <w:ind w:left="85"/>
              <w:rPr>
                <w:sz w:val="24"/>
                <w:szCs w:val="24"/>
              </w:rPr>
            </w:pPr>
            <w:r w:rsidRPr="00077D1D">
              <w:rPr>
                <w:sz w:val="24"/>
                <w:szCs w:val="24"/>
              </w:rPr>
              <w:t>Krampeanfald</w:t>
            </w:r>
          </w:p>
        </w:tc>
      </w:tr>
      <w:tr w:rsidR="00077D1D" w:rsidRPr="00077D1D" w14:paraId="14966DBB" w14:textId="77777777" w:rsidTr="00AA6E75">
        <w:tc>
          <w:tcPr>
            <w:tcW w:w="906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143087" w14:textId="77777777" w:rsidR="00077D1D" w:rsidRPr="00077D1D" w:rsidRDefault="00077D1D" w:rsidP="00AA6E75">
            <w:pPr>
              <w:ind w:left="85"/>
              <w:rPr>
                <w:b/>
                <w:bCs/>
                <w:sz w:val="24"/>
                <w:szCs w:val="24"/>
              </w:rPr>
            </w:pPr>
            <w:r w:rsidRPr="00077D1D">
              <w:rPr>
                <w:b/>
                <w:bCs/>
                <w:sz w:val="24"/>
                <w:szCs w:val="24"/>
              </w:rPr>
              <w:t>Hjerte</w:t>
            </w:r>
          </w:p>
        </w:tc>
      </w:tr>
      <w:tr w:rsidR="00077D1D" w:rsidRPr="00077D1D" w14:paraId="7817955B"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9FC6BBC" w14:textId="77777777" w:rsidR="00077D1D" w:rsidRPr="00077D1D" w:rsidRDefault="00077D1D" w:rsidP="00AA6E75">
            <w:pPr>
              <w:ind w:left="85"/>
              <w:rPr>
                <w:sz w:val="24"/>
                <w:szCs w:val="24"/>
              </w:rPr>
            </w:pPr>
            <w:r w:rsidRPr="00077D1D">
              <w:rPr>
                <w:sz w:val="24"/>
                <w:szCs w:val="24"/>
              </w:rPr>
              <w:t>Almindelig:</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BDEC1B" w14:textId="77777777" w:rsidR="00077D1D" w:rsidRPr="00077D1D" w:rsidRDefault="00077D1D" w:rsidP="00AA6E75">
            <w:pPr>
              <w:ind w:left="85"/>
              <w:rPr>
                <w:sz w:val="24"/>
                <w:szCs w:val="24"/>
              </w:rPr>
            </w:pPr>
            <w:r w:rsidRPr="00077D1D">
              <w:rPr>
                <w:sz w:val="24"/>
                <w:szCs w:val="24"/>
              </w:rPr>
              <w:t>Bradykardi</w:t>
            </w:r>
          </w:p>
        </w:tc>
      </w:tr>
      <w:tr w:rsidR="00077D1D" w:rsidRPr="00077D1D" w14:paraId="0BE17255"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C9C430" w14:textId="77777777" w:rsidR="00077D1D" w:rsidRPr="00077D1D" w:rsidRDefault="00077D1D" w:rsidP="00AA6E75">
            <w:pPr>
              <w:ind w:left="85"/>
              <w:rPr>
                <w:sz w:val="24"/>
                <w:szCs w:val="24"/>
              </w:rPr>
            </w:pPr>
            <w:r w:rsidRPr="00077D1D">
              <w:rPr>
                <w:sz w:val="24"/>
                <w:szCs w:val="24"/>
              </w:rPr>
              <w:t>Sjælden:</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678304A" w14:textId="77777777" w:rsidR="00077D1D" w:rsidRPr="00077D1D" w:rsidRDefault="00077D1D" w:rsidP="00AA6E75">
            <w:pPr>
              <w:ind w:left="85"/>
              <w:rPr>
                <w:sz w:val="24"/>
                <w:szCs w:val="24"/>
                <w:lang w:val="da-DK"/>
              </w:rPr>
            </w:pPr>
            <w:r w:rsidRPr="00077D1D">
              <w:rPr>
                <w:sz w:val="24"/>
                <w:szCs w:val="24"/>
                <w:lang w:val="da-DK"/>
              </w:rPr>
              <w:t>Asystoli/hjertestop som regel efter forudgående bradykardi hos patienter, som fik remifentanil i kombination med andre anæstetika.</w:t>
            </w:r>
          </w:p>
        </w:tc>
      </w:tr>
      <w:tr w:rsidR="00077D1D" w:rsidRPr="00077D1D" w14:paraId="10AD46DE"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EBEC7C" w14:textId="77777777" w:rsidR="00077D1D" w:rsidRPr="00077D1D" w:rsidRDefault="00077D1D" w:rsidP="00AA6E75">
            <w:pPr>
              <w:ind w:left="85"/>
              <w:rPr>
                <w:sz w:val="24"/>
                <w:szCs w:val="24"/>
              </w:rPr>
            </w:pPr>
            <w:r w:rsidRPr="00077D1D">
              <w:rPr>
                <w:sz w:val="24"/>
                <w:szCs w:val="24"/>
              </w:rPr>
              <w:t>Ikke kendt:</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DC4770" w14:textId="77777777" w:rsidR="00077D1D" w:rsidRPr="00077D1D" w:rsidRDefault="00077D1D" w:rsidP="00AA6E75">
            <w:pPr>
              <w:ind w:left="85"/>
              <w:rPr>
                <w:sz w:val="24"/>
                <w:szCs w:val="24"/>
              </w:rPr>
            </w:pPr>
            <w:r w:rsidRPr="00077D1D">
              <w:rPr>
                <w:sz w:val="24"/>
                <w:szCs w:val="24"/>
              </w:rPr>
              <w:t>Atrioventrikulært blok, arytmi</w:t>
            </w:r>
          </w:p>
        </w:tc>
      </w:tr>
      <w:tr w:rsidR="00077D1D" w:rsidRPr="00077D1D" w14:paraId="0CA7C74B" w14:textId="77777777" w:rsidTr="00AA6E75">
        <w:tc>
          <w:tcPr>
            <w:tcW w:w="906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846872" w14:textId="77777777" w:rsidR="00077D1D" w:rsidRPr="00077D1D" w:rsidRDefault="00077D1D" w:rsidP="00AA6E75">
            <w:pPr>
              <w:ind w:left="85"/>
              <w:rPr>
                <w:b/>
                <w:bCs/>
                <w:sz w:val="24"/>
                <w:szCs w:val="24"/>
              </w:rPr>
            </w:pPr>
            <w:r w:rsidRPr="00077D1D">
              <w:rPr>
                <w:b/>
                <w:bCs/>
                <w:sz w:val="24"/>
                <w:szCs w:val="24"/>
              </w:rPr>
              <w:t>Vaskulære sygdomme</w:t>
            </w:r>
          </w:p>
        </w:tc>
      </w:tr>
      <w:tr w:rsidR="00077D1D" w:rsidRPr="00077D1D" w14:paraId="74FCA342"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952E9D" w14:textId="77777777" w:rsidR="00077D1D" w:rsidRPr="00077D1D" w:rsidRDefault="00077D1D" w:rsidP="00AA6E75">
            <w:pPr>
              <w:ind w:left="85"/>
              <w:rPr>
                <w:sz w:val="24"/>
                <w:szCs w:val="24"/>
              </w:rPr>
            </w:pPr>
            <w:r w:rsidRPr="00077D1D">
              <w:rPr>
                <w:sz w:val="24"/>
                <w:szCs w:val="24"/>
              </w:rPr>
              <w:t>Meget almindelig:</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529F083" w14:textId="77777777" w:rsidR="00077D1D" w:rsidRPr="00077D1D" w:rsidRDefault="00077D1D" w:rsidP="00AA6E75">
            <w:pPr>
              <w:ind w:left="85"/>
              <w:rPr>
                <w:sz w:val="24"/>
                <w:szCs w:val="24"/>
              </w:rPr>
            </w:pPr>
            <w:r w:rsidRPr="00077D1D">
              <w:rPr>
                <w:sz w:val="24"/>
                <w:szCs w:val="24"/>
              </w:rPr>
              <w:t>Hypotension</w:t>
            </w:r>
          </w:p>
        </w:tc>
      </w:tr>
      <w:tr w:rsidR="00077D1D" w:rsidRPr="00077D1D" w14:paraId="11393E85"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101ABB" w14:textId="77777777" w:rsidR="00077D1D" w:rsidRPr="00077D1D" w:rsidRDefault="00077D1D" w:rsidP="00AA6E75">
            <w:pPr>
              <w:ind w:left="85"/>
              <w:rPr>
                <w:sz w:val="24"/>
                <w:szCs w:val="24"/>
              </w:rPr>
            </w:pPr>
            <w:r w:rsidRPr="00077D1D">
              <w:rPr>
                <w:sz w:val="24"/>
                <w:szCs w:val="24"/>
              </w:rPr>
              <w:t>Almindelig:</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DE463C" w14:textId="77777777" w:rsidR="00077D1D" w:rsidRPr="00077D1D" w:rsidRDefault="00077D1D" w:rsidP="00AA6E75">
            <w:pPr>
              <w:ind w:left="85"/>
              <w:rPr>
                <w:sz w:val="24"/>
                <w:szCs w:val="24"/>
              </w:rPr>
            </w:pPr>
            <w:r w:rsidRPr="00077D1D">
              <w:rPr>
                <w:sz w:val="24"/>
                <w:szCs w:val="24"/>
              </w:rPr>
              <w:t>Postoperativ hypertension</w:t>
            </w:r>
          </w:p>
        </w:tc>
      </w:tr>
      <w:tr w:rsidR="00077D1D" w:rsidRPr="00077D1D" w14:paraId="5BB1453D" w14:textId="77777777" w:rsidTr="00AA6E75">
        <w:tc>
          <w:tcPr>
            <w:tcW w:w="906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203C2C" w14:textId="77777777" w:rsidR="00077D1D" w:rsidRPr="00077D1D" w:rsidRDefault="00077D1D" w:rsidP="00AA6E75">
            <w:pPr>
              <w:ind w:left="85"/>
              <w:rPr>
                <w:b/>
                <w:bCs/>
                <w:sz w:val="24"/>
                <w:szCs w:val="24"/>
              </w:rPr>
            </w:pPr>
            <w:r w:rsidRPr="00077D1D">
              <w:rPr>
                <w:b/>
                <w:bCs/>
                <w:sz w:val="24"/>
                <w:szCs w:val="24"/>
              </w:rPr>
              <w:t>Luftveje, thorax og mediastinum</w:t>
            </w:r>
          </w:p>
        </w:tc>
      </w:tr>
      <w:tr w:rsidR="00077D1D" w:rsidRPr="00077D1D" w14:paraId="385C4CCC"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ABA2C86" w14:textId="77777777" w:rsidR="00077D1D" w:rsidRPr="00077D1D" w:rsidRDefault="00077D1D" w:rsidP="00AA6E75">
            <w:pPr>
              <w:ind w:left="85"/>
              <w:rPr>
                <w:sz w:val="24"/>
                <w:szCs w:val="24"/>
              </w:rPr>
            </w:pPr>
            <w:r w:rsidRPr="00077D1D">
              <w:rPr>
                <w:sz w:val="24"/>
                <w:szCs w:val="24"/>
              </w:rPr>
              <w:t>Almindelig:</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4AD1B8" w14:textId="77777777" w:rsidR="00077D1D" w:rsidRPr="00077D1D" w:rsidRDefault="00077D1D" w:rsidP="00AA6E75">
            <w:pPr>
              <w:ind w:left="85"/>
              <w:rPr>
                <w:sz w:val="24"/>
                <w:szCs w:val="24"/>
              </w:rPr>
            </w:pPr>
            <w:r w:rsidRPr="00077D1D">
              <w:rPr>
                <w:sz w:val="24"/>
                <w:szCs w:val="24"/>
              </w:rPr>
              <w:t>Akut respirationsdepression, apnø, hoste</w:t>
            </w:r>
          </w:p>
        </w:tc>
      </w:tr>
      <w:tr w:rsidR="00077D1D" w:rsidRPr="00077D1D" w14:paraId="7E02D124"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FAF67D" w14:textId="77777777" w:rsidR="00077D1D" w:rsidRPr="00077D1D" w:rsidRDefault="00077D1D" w:rsidP="00AA6E75">
            <w:pPr>
              <w:ind w:left="85"/>
              <w:rPr>
                <w:sz w:val="24"/>
                <w:szCs w:val="24"/>
              </w:rPr>
            </w:pPr>
            <w:r w:rsidRPr="00077D1D">
              <w:rPr>
                <w:sz w:val="24"/>
                <w:szCs w:val="24"/>
              </w:rPr>
              <w:t>Ikke almindelig:</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CF0516" w14:textId="77777777" w:rsidR="00077D1D" w:rsidRPr="00077D1D" w:rsidRDefault="00077D1D" w:rsidP="00AA6E75">
            <w:pPr>
              <w:ind w:left="85"/>
              <w:rPr>
                <w:sz w:val="24"/>
                <w:szCs w:val="24"/>
              </w:rPr>
            </w:pPr>
            <w:r w:rsidRPr="00077D1D">
              <w:rPr>
                <w:sz w:val="24"/>
                <w:szCs w:val="24"/>
              </w:rPr>
              <w:t>Hypoksi</w:t>
            </w:r>
          </w:p>
        </w:tc>
      </w:tr>
      <w:tr w:rsidR="00077D1D" w:rsidRPr="00077D1D" w14:paraId="1BF4A31D" w14:textId="77777777" w:rsidTr="00AA6E75">
        <w:tc>
          <w:tcPr>
            <w:tcW w:w="906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1E3C1B" w14:textId="77777777" w:rsidR="00077D1D" w:rsidRPr="00077D1D" w:rsidRDefault="00077D1D" w:rsidP="00AA6E75">
            <w:pPr>
              <w:ind w:left="85"/>
              <w:rPr>
                <w:b/>
                <w:bCs/>
                <w:sz w:val="24"/>
                <w:szCs w:val="24"/>
              </w:rPr>
            </w:pPr>
            <w:r w:rsidRPr="00077D1D">
              <w:rPr>
                <w:b/>
                <w:bCs/>
                <w:sz w:val="24"/>
                <w:szCs w:val="24"/>
              </w:rPr>
              <w:t>Mave-tarm-kanalen</w:t>
            </w:r>
          </w:p>
        </w:tc>
      </w:tr>
      <w:tr w:rsidR="00077D1D" w:rsidRPr="00077D1D" w14:paraId="40BB9C82"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225812" w14:textId="77777777" w:rsidR="00077D1D" w:rsidRPr="00077D1D" w:rsidRDefault="00077D1D" w:rsidP="00AA6E75">
            <w:pPr>
              <w:ind w:left="85"/>
              <w:rPr>
                <w:sz w:val="24"/>
                <w:szCs w:val="24"/>
              </w:rPr>
            </w:pPr>
            <w:r w:rsidRPr="00077D1D">
              <w:rPr>
                <w:sz w:val="24"/>
                <w:szCs w:val="24"/>
              </w:rPr>
              <w:t>Meget almindelig:</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99576C" w14:textId="77777777" w:rsidR="00077D1D" w:rsidRPr="00077D1D" w:rsidRDefault="00077D1D" w:rsidP="00AA6E75">
            <w:pPr>
              <w:ind w:left="85"/>
              <w:rPr>
                <w:sz w:val="24"/>
                <w:szCs w:val="24"/>
              </w:rPr>
            </w:pPr>
            <w:r w:rsidRPr="00077D1D">
              <w:rPr>
                <w:sz w:val="24"/>
                <w:szCs w:val="24"/>
              </w:rPr>
              <w:t>Kvalme, opkastning</w:t>
            </w:r>
          </w:p>
        </w:tc>
      </w:tr>
      <w:tr w:rsidR="00077D1D" w:rsidRPr="00077D1D" w14:paraId="0493A37F"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86FEBA2" w14:textId="77777777" w:rsidR="00077D1D" w:rsidRPr="00077D1D" w:rsidRDefault="00077D1D" w:rsidP="00AA6E75">
            <w:pPr>
              <w:ind w:left="85"/>
              <w:rPr>
                <w:sz w:val="24"/>
                <w:szCs w:val="24"/>
              </w:rPr>
            </w:pPr>
            <w:r w:rsidRPr="00077D1D">
              <w:rPr>
                <w:sz w:val="24"/>
                <w:szCs w:val="24"/>
              </w:rPr>
              <w:t>Ikke almindelig:</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8AF9FD5" w14:textId="77777777" w:rsidR="00077D1D" w:rsidRPr="00077D1D" w:rsidRDefault="00077D1D" w:rsidP="00AA6E75">
            <w:pPr>
              <w:ind w:left="85"/>
              <w:rPr>
                <w:sz w:val="24"/>
                <w:szCs w:val="24"/>
              </w:rPr>
            </w:pPr>
            <w:r w:rsidRPr="00077D1D">
              <w:rPr>
                <w:sz w:val="24"/>
                <w:szCs w:val="24"/>
              </w:rPr>
              <w:t>Forstoppelse</w:t>
            </w:r>
          </w:p>
        </w:tc>
      </w:tr>
      <w:tr w:rsidR="00077D1D" w:rsidRPr="00077D1D" w14:paraId="5F2548EA" w14:textId="77777777" w:rsidTr="00AA6E75">
        <w:tc>
          <w:tcPr>
            <w:tcW w:w="906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EF3EF04" w14:textId="77777777" w:rsidR="00077D1D" w:rsidRPr="00077D1D" w:rsidRDefault="00077D1D" w:rsidP="00AA6E75">
            <w:pPr>
              <w:ind w:left="85"/>
              <w:rPr>
                <w:b/>
                <w:bCs/>
                <w:sz w:val="24"/>
                <w:szCs w:val="24"/>
              </w:rPr>
            </w:pPr>
            <w:r w:rsidRPr="00077D1D">
              <w:rPr>
                <w:b/>
                <w:bCs/>
                <w:sz w:val="24"/>
                <w:szCs w:val="24"/>
              </w:rPr>
              <w:t>Hud og subkutane væv</w:t>
            </w:r>
          </w:p>
        </w:tc>
      </w:tr>
      <w:tr w:rsidR="00077D1D" w:rsidRPr="00077D1D" w14:paraId="38122A2A"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6B1864" w14:textId="77777777" w:rsidR="00077D1D" w:rsidRPr="00077D1D" w:rsidRDefault="00077D1D" w:rsidP="00AA6E75">
            <w:pPr>
              <w:ind w:left="85"/>
              <w:rPr>
                <w:sz w:val="24"/>
                <w:szCs w:val="24"/>
              </w:rPr>
            </w:pPr>
            <w:r w:rsidRPr="00077D1D">
              <w:rPr>
                <w:sz w:val="24"/>
                <w:szCs w:val="24"/>
              </w:rPr>
              <w:t>Almindelig:</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B9396F0" w14:textId="77777777" w:rsidR="00077D1D" w:rsidRPr="00077D1D" w:rsidRDefault="00077D1D" w:rsidP="00AA6E75">
            <w:pPr>
              <w:ind w:left="85"/>
              <w:rPr>
                <w:sz w:val="24"/>
                <w:szCs w:val="24"/>
              </w:rPr>
            </w:pPr>
            <w:r w:rsidRPr="00077D1D">
              <w:rPr>
                <w:sz w:val="24"/>
                <w:szCs w:val="24"/>
              </w:rPr>
              <w:t>Pruritus</w:t>
            </w:r>
          </w:p>
        </w:tc>
      </w:tr>
      <w:tr w:rsidR="00077D1D" w:rsidRPr="00077D1D" w14:paraId="0A72422B" w14:textId="77777777" w:rsidTr="00AA6E75">
        <w:tc>
          <w:tcPr>
            <w:tcW w:w="9061"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E850D8" w14:textId="77777777" w:rsidR="00077D1D" w:rsidRPr="00077D1D" w:rsidRDefault="00077D1D" w:rsidP="00AA6E75">
            <w:pPr>
              <w:ind w:left="85"/>
              <w:rPr>
                <w:b/>
                <w:bCs/>
                <w:sz w:val="24"/>
                <w:szCs w:val="24"/>
                <w:lang w:val="da-DK"/>
              </w:rPr>
            </w:pPr>
            <w:r w:rsidRPr="00077D1D">
              <w:rPr>
                <w:b/>
                <w:bCs/>
                <w:sz w:val="24"/>
                <w:szCs w:val="24"/>
                <w:lang w:val="da-DK"/>
              </w:rPr>
              <w:t>Almene symptomer og reaktioner på administrationsstedet</w:t>
            </w:r>
          </w:p>
        </w:tc>
      </w:tr>
      <w:tr w:rsidR="00077D1D" w:rsidRPr="00077D1D" w14:paraId="1191AC85"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611AF9" w14:textId="77777777" w:rsidR="00077D1D" w:rsidRPr="00077D1D" w:rsidRDefault="00077D1D" w:rsidP="00AA6E75">
            <w:pPr>
              <w:ind w:left="85"/>
              <w:rPr>
                <w:sz w:val="24"/>
                <w:szCs w:val="24"/>
              </w:rPr>
            </w:pPr>
            <w:r w:rsidRPr="00077D1D">
              <w:rPr>
                <w:sz w:val="24"/>
                <w:szCs w:val="24"/>
              </w:rPr>
              <w:t>Almindelig:</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54BADF" w14:textId="77777777" w:rsidR="00077D1D" w:rsidRPr="00077D1D" w:rsidRDefault="00077D1D" w:rsidP="00AA6E75">
            <w:pPr>
              <w:ind w:left="85"/>
              <w:rPr>
                <w:sz w:val="24"/>
                <w:szCs w:val="24"/>
              </w:rPr>
            </w:pPr>
            <w:r w:rsidRPr="00077D1D">
              <w:rPr>
                <w:sz w:val="24"/>
                <w:szCs w:val="24"/>
              </w:rPr>
              <w:t>Postoperativ skælven</w:t>
            </w:r>
          </w:p>
        </w:tc>
      </w:tr>
      <w:tr w:rsidR="00077D1D" w:rsidRPr="00077D1D" w14:paraId="2421BB4C"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9423F0" w14:textId="77777777" w:rsidR="00077D1D" w:rsidRPr="00077D1D" w:rsidRDefault="00077D1D" w:rsidP="00AA6E75">
            <w:pPr>
              <w:ind w:left="85"/>
              <w:rPr>
                <w:sz w:val="24"/>
                <w:szCs w:val="24"/>
              </w:rPr>
            </w:pPr>
            <w:r w:rsidRPr="00077D1D">
              <w:rPr>
                <w:sz w:val="24"/>
                <w:szCs w:val="24"/>
              </w:rPr>
              <w:t>Ikke almindelig:</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A337BCF" w14:textId="77777777" w:rsidR="00077D1D" w:rsidRPr="00077D1D" w:rsidRDefault="00077D1D" w:rsidP="00AA6E75">
            <w:pPr>
              <w:ind w:left="85"/>
              <w:rPr>
                <w:sz w:val="24"/>
                <w:szCs w:val="24"/>
              </w:rPr>
            </w:pPr>
            <w:r w:rsidRPr="00077D1D">
              <w:rPr>
                <w:sz w:val="24"/>
                <w:szCs w:val="24"/>
              </w:rPr>
              <w:t>Postoperative smerter</w:t>
            </w:r>
          </w:p>
        </w:tc>
      </w:tr>
      <w:tr w:rsidR="00077D1D" w:rsidRPr="00077D1D" w14:paraId="025E7629" w14:textId="77777777" w:rsidTr="00AA6E75">
        <w:tc>
          <w:tcPr>
            <w:tcW w:w="297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1B1944" w14:textId="77777777" w:rsidR="00077D1D" w:rsidRPr="00077D1D" w:rsidRDefault="00077D1D" w:rsidP="00AA6E75">
            <w:pPr>
              <w:ind w:left="85"/>
              <w:rPr>
                <w:sz w:val="24"/>
                <w:szCs w:val="24"/>
              </w:rPr>
            </w:pPr>
            <w:r w:rsidRPr="00077D1D">
              <w:rPr>
                <w:sz w:val="24"/>
                <w:szCs w:val="24"/>
              </w:rPr>
              <w:t>Ikke kendt:</w:t>
            </w:r>
          </w:p>
        </w:tc>
        <w:tc>
          <w:tcPr>
            <w:tcW w:w="608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3A52A8E" w14:textId="77777777" w:rsidR="00077D1D" w:rsidRPr="00077D1D" w:rsidRDefault="00077D1D" w:rsidP="00AA6E75">
            <w:pPr>
              <w:ind w:left="85"/>
              <w:rPr>
                <w:sz w:val="24"/>
                <w:szCs w:val="24"/>
              </w:rPr>
            </w:pPr>
            <w:r w:rsidRPr="00077D1D">
              <w:rPr>
                <w:sz w:val="24"/>
                <w:szCs w:val="24"/>
              </w:rPr>
              <w:t>Lægemiddeltolerans</w:t>
            </w:r>
          </w:p>
        </w:tc>
      </w:tr>
    </w:tbl>
    <w:p w14:paraId="7CE7BDEF" w14:textId="77777777" w:rsidR="00077D1D" w:rsidRPr="00077D1D" w:rsidRDefault="00077D1D" w:rsidP="00077D1D">
      <w:pPr>
        <w:tabs>
          <w:tab w:val="left" w:pos="851"/>
        </w:tabs>
        <w:ind w:left="851"/>
        <w:rPr>
          <w:sz w:val="24"/>
          <w:szCs w:val="24"/>
        </w:rPr>
      </w:pPr>
    </w:p>
    <w:p w14:paraId="616E7F1F" w14:textId="77777777" w:rsidR="00077D1D" w:rsidRPr="00077D1D" w:rsidRDefault="00077D1D" w:rsidP="00077D1D">
      <w:pPr>
        <w:tabs>
          <w:tab w:val="left" w:pos="851"/>
        </w:tabs>
        <w:ind w:left="851"/>
        <w:rPr>
          <w:sz w:val="24"/>
          <w:szCs w:val="24"/>
          <w:u w:val="single"/>
        </w:rPr>
      </w:pPr>
      <w:r w:rsidRPr="00077D1D">
        <w:rPr>
          <w:sz w:val="24"/>
          <w:szCs w:val="24"/>
          <w:u w:val="single"/>
        </w:rPr>
        <w:t>Seponering af behandling</w:t>
      </w:r>
    </w:p>
    <w:p w14:paraId="6209203B" w14:textId="77777777" w:rsidR="00077D1D" w:rsidRPr="00077D1D" w:rsidRDefault="00077D1D" w:rsidP="00077D1D">
      <w:pPr>
        <w:tabs>
          <w:tab w:val="left" w:pos="851"/>
        </w:tabs>
        <w:ind w:left="851"/>
        <w:rPr>
          <w:sz w:val="24"/>
          <w:szCs w:val="24"/>
        </w:rPr>
      </w:pPr>
      <w:r w:rsidRPr="00077D1D">
        <w:rPr>
          <w:sz w:val="24"/>
          <w:szCs w:val="24"/>
        </w:rPr>
        <w:t>Efter seponering af remifentanil, er symptomer som takykardi, hypertension og agitation blevet indberettet med en lav hyppighed ved pludseligt ophør, især efter forlænget administration i mere end 3 dage (se pkt. 4.4).</w:t>
      </w:r>
    </w:p>
    <w:p w14:paraId="13265FF6" w14:textId="77777777" w:rsidR="00077D1D" w:rsidRPr="00077D1D" w:rsidRDefault="00077D1D" w:rsidP="00077D1D">
      <w:pPr>
        <w:tabs>
          <w:tab w:val="left" w:pos="851"/>
        </w:tabs>
        <w:ind w:left="851"/>
        <w:rPr>
          <w:i/>
          <w:sz w:val="24"/>
          <w:szCs w:val="24"/>
        </w:rPr>
      </w:pPr>
    </w:p>
    <w:p w14:paraId="423C22C1" w14:textId="77777777" w:rsidR="00077D1D" w:rsidRPr="00077D1D" w:rsidRDefault="00077D1D" w:rsidP="00077D1D">
      <w:pPr>
        <w:tabs>
          <w:tab w:val="left" w:pos="851"/>
        </w:tabs>
        <w:ind w:left="851"/>
        <w:rPr>
          <w:sz w:val="24"/>
          <w:szCs w:val="24"/>
          <w:u w:val="single"/>
        </w:rPr>
      </w:pPr>
      <w:r w:rsidRPr="00077D1D">
        <w:rPr>
          <w:sz w:val="24"/>
          <w:szCs w:val="24"/>
          <w:u w:val="single"/>
        </w:rPr>
        <w:t>Indberetning af formodede bivirkninger</w:t>
      </w:r>
    </w:p>
    <w:p w14:paraId="180E1D68" w14:textId="77777777" w:rsidR="00077D1D" w:rsidRPr="00077D1D" w:rsidRDefault="00077D1D" w:rsidP="00077D1D">
      <w:pPr>
        <w:tabs>
          <w:tab w:val="left" w:pos="851"/>
        </w:tabs>
        <w:ind w:left="851"/>
        <w:rPr>
          <w:sz w:val="24"/>
          <w:szCs w:val="24"/>
        </w:rPr>
      </w:pPr>
      <w:r w:rsidRPr="00077D1D">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08AE9B5" w14:textId="77777777" w:rsidR="00077D1D" w:rsidRPr="00077D1D" w:rsidRDefault="00077D1D" w:rsidP="00077D1D">
      <w:pPr>
        <w:tabs>
          <w:tab w:val="left" w:pos="851"/>
        </w:tabs>
        <w:ind w:left="851"/>
        <w:rPr>
          <w:sz w:val="24"/>
          <w:szCs w:val="24"/>
        </w:rPr>
      </w:pPr>
    </w:p>
    <w:p w14:paraId="1C34B72C" w14:textId="77777777" w:rsidR="00077D1D" w:rsidRPr="00077D1D" w:rsidRDefault="00077D1D" w:rsidP="00077D1D">
      <w:pPr>
        <w:tabs>
          <w:tab w:val="left" w:pos="851"/>
        </w:tabs>
        <w:ind w:left="851"/>
        <w:rPr>
          <w:sz w:val="24"/>
          <w:szCs w:val="24"/>
        </w:rPr>
      </w:pPr>
      <w:r w:rsidRPr="00077D1D">
        <w:rPr>
          <w:sz w:val="24"/>
          <w:szCs w:val="24"/>
        </w:rPr>
        <w:t>Lægemiddelstyrelsen</w:t>
      </w:r>
    </w:p>
    <w:p w14:paraId="2D63D48C" w14:textId="77777777" w:rsidR="00077D1D" w:rsidRPr="00077D1D" w:rsidRDefault="00077D1D" w:rsidP="00077D1D">
      <w:pPr>
        <w:tabs>
          <w:tab w:val="left" w:pos="851"/>
        </w:tabs>
        <w:ind w:left="851"/>
        <w:rPr>
          <w:sz w:val="24"/>
          <w:szCs w:val="24"/>
        </w:rPr>
      </w:pPr>
      <w:r w:rsidRPr="00077D1D">
        <w:rPr>
          <w:sz w:val="24"/>
          <w:szCs w:val="24"/>
        </w:rPr>
        <w:t>Axel Heides Gade 1</w:t>
      </w:r>
    </w:p>
    <w:p w14:paraId="69DDD639" w14:textId="77777777" w:rsidR="00077D1D" w:rsidRPr="00077D1D" w:rsidRDefault="00077D1D" w:rsidP="00077D1D">
      <w:pPr>
        <w:tabs>
          <w:tab w:val="left" w:pos="851"/>
        </w:tabs>
        <w:ind w:left="851"/>
        <w:rPr>
          <w:sz w:val="24"/>
          <w:szCs w:val="24"/>
        </w:rPr>
      </w:pPr>
      <w:r w:rsidRPr="00077D1D">
        <w:rPr>
          <w:sz w:val="24"/>
          <w:szCs w:val="24"/>
        </w:rPr>
        <w:t>DK-2300 København S</w:t>
      </w:r>
    </w:p>
    <w:p w14:paraId="7E7040F7" w14:textId="27025ED2" w:rsidR="00077D1D" w:rsidRPr="00077D1D" w:rsidRDefault="00077D1D" w:rsidP="00077D1D">
      <w:pPr>
        <w:tabs>
          <w:tab w:val="left" w:pos="851"/>
        </w:tabs>
        <w:ind w:left="851"/>
        <w:rPr>
          <w:sz w:val="24"/>
          <w:szCs w:val="24"/>
        </w:rPr>
      </w:pPr>
      <w:r w:rsidRPr="00077D1D">
        <w:rPr>
          <w:sz w:val="24"/>
          <w:szCs w:val="24"/>
        </w:rPr>
        <w:t>Websted: www.meldenbivirkning.dk</w:t>
      </w:r>
    </w:p>
    <w:p w14:paraId="7E5A8DD3" w14:textId="77777777" w:rsidR="009260DE" w:rsidRPr="00A10294" w:rsidRDefault="009260DE" w:rsidP="00A10294">
      <w:pPr>
        <w:tabs>
          <w:tab w:val="left" w:pos="851"/>
        </w:tabs>
        <w:ind w:left="851"/>
        <w:rPr>
          <w:sz w:val="24"/>
          <w:szCs w:val="24"/>
        </w:rPr>
      </w:pPr>
    </w:p>
    <w:p w14:paraId="72FFD754"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56E0F37" w14:textId="77777777" w:rsidR="0058243E" w:rsidRPr="0058243E" w:rsidRDefault="0058243E" w:rsidP="0058243E">
      <w:pPr>
        <w:tabs>
          <w:tab w:val="left" w:pos="851"/>
        </w:tabs>
        <w:ind w:left="851"/>
        <w:rPr>
          <w:sz w:val="24"/>
          <w:szCs w:val="24"/>
        </w:rPr>
      </w:pPr>
      <w:r w:rsidRPr="0058243E">
        <w:rPr>
          <w:sz w:val="24"/>
          <w:szCs w:val="24"/>
        </w:rPr>
        <w:t xml:space="preserve">Som for alle potente opioid-analgetika vil overdosering manifestere sig som farmakologisk forudsigelige følger af remifentanils virkning. På grund af Remifentanil "Orions" meget korte virkningsvarighed begrænses de mulige skadelige virkninger af overdosering til tiden umiddelbart efter administration af lægemidlet. Der er hurtigt respons på seponering af lægemidlet, og </w:t>
      </w:r>
      <w:r w:rsidRPr="0058243E">
        <w:rPr>
          <w:i/>
          <w:iCs/>
          <w:sz w:val="24"/>
          <w:szCs w:val="24"/>
        </w:rPr>
        <w:t>baseline</w:t>
      </w:r>
      <w:r w:rsidRPr="0058243E">
        <w:rPr>
          <w:sz w:val="24"/>
          <w:szCs w:val="24"/>
        </w:rPr>
        <w:t>-værdierne nås inden for 10 minutter.</w:t>
      </w:r>
    </w:p>
    <w:p w14:paraId="1A4A9B02" w14:textId="77777777" w:rsidR="0058243E" w:rsidRPr="0058243E" w:rsidRDefault="0058243E" w:rsidP="0058243E">
      <w:pPr>
        <w:tabs>
          <w:tab w:val="left" w:pos="851"/>
        </w:tabs>
        <w:ind w:left="851"/>
        <w:rPr>
          <w:sz w:val="24"/>
          <w:szCs w:val="24"/>
        </w:rPr>
      </w:pPr>
    </w:p>
    <w:p w14:paraId="3B29501A" w14:textId="77777777" w:rsidR="0058243E" w:rsidRPr="0058243E" w:rsidRDefault="0058243E" w:rsidP="0058243E">
      <w:pPr>
        <w:tabs>
          <w:tab w:val="left" w:pos="851"/>
        </w:tabs>
        <w:ind w:left="851"/>
        <w:rPr>
          <w:sz w:val="24"/>
          <w:szCs w:val="24"/>
        </w:rPr>
      </w:pPr>
      <w:r w:rsidRPr="0058243E">
        <w:rPr>
          <w:sz w:val="24"/>
          <w:szCs w:val="24"/>
        </w:rPr>
        <w:t>I tilfælde af overdosering eller mistanke om overdosering gøres følgende: Afbryd administrationen af Remifentanil "Orion", oprethold frie luftveje, påbegynd assisteret eller kontrolleret ventilation med oxygen og oprethold tilstrækkelig kardiovaskulær funktion. Hvis respirationsdepression er forbundet med muskelstivhed, kan det være nødvendigt at give en neuromuskulær blokker for at lette assisteret eller kontrolleret ventilation. Til behandling af hypotension kan infusionsvæsker, vasopressorer og anden understøttende behandling anvendes.</w:t>
      </w:r>
    </w:p>
    <w:p w14:paraId="3AF2CE03" w14:textId="77777777" w:rsidR="0058243E" w:rsidRPr="0058243E" w:rsidRDefault="0058243E" w:rsidP="0058243E">
      <w:pPr>
        <w:tabs>
          <w:tab w:val="left" w:pos="851"/>
        </w:tabs>
        <w:ind w:left="851"/>
        <w:rPr>
          <w:sz w:val="24"/>
          <w:szCs w:val="24"/>
        </w:rPr>
      </w:pPr>
    </w:p>
    <w:p w14:paraId="0FD61765" w14:textId="77777777" w:rsidR="0058243E" w:rsidRPr="0058243E" w:rsidRDefault="0058243E" w:rsidP="0058243E">
      <w:pPr>
        <w:tabs>
          <w:tab w:val="left" w:pos="851"/>
        </w:tabs>
        <w:ind w:left="851"/>
        <w:rPr>
          <w:sz w:val="24"/>
          <w:szCs w:val="24"/>
        </w:rPr>
      </w:pPr>
      <w:r w:rsidRPr="0058243E">
        <w:rPr>
          <w:sz w:val="24"/>
          <w:szCs w:val="24"/>
        </w:rPr>
        <w:t>Ved behandling af svær respirationsdepression og muskelstivhed kan der gives en opioid-antagonist, såsom naloxon, intravenøst som en specifik antidot. Det er usandsynligt, at varigheden af respirationsdepression efter overdosering med Remifentanil "Orion" vil vare længere end virkningsvarigheden af opioid-antagonisten.</w:t>
      </w:r>
    </w:p>
    <w:p w14:paraId="5289D1AA" w14:textId="77777777" w:rsidR="009260DE" w:rsidRPr="00C84483" w:rsidRDefault="009260DE" w:rsidP="009260DE">
      <w:pPr>
        <w:tabs>
          <w:tab w:val="left" w:pos="851"/>
        </w:tabs>
        <w:ind w:left="851"/>
        <w:rPr>
          <w:sz w:val="24"/>
          <w:szCs w:val="24"/>
        </w:rPr>
      </w:pPr>
    </w:p>
    <w:p w14:paraId="0C3D3955"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3CD2BCD" w14:textId="0BE08A01" w:rsidR="009260DE" w:rsidRPr="00C84483" w:rsidRDefault="0058243E" w:rsidP="009260DE">
      <w:pPr>
        <w:tabs>
          <w:tab w:val="left" w:pos="851"/>
        </w:tabs>
        <w:ind w:left="851"/>
        <w:rPr>
          <w:sz w:val="24"/>
          <w:szCs w:val="24"/>
        </w:rPr>
      </w:pPr>
      <w:r>
        <w:rPr>
          <w:sz w:val="24"/>
          <w:szCs w:val="24"/>
        </w:rPr>
        <w:t>A§4 (kopieringspligtigt</w:t>
      </w:r>
      <w:r w:rsidR="005F289B">
        <w:rPr>
          <w:sz w:val="24"/>
          <w:szCs w:val="24"/>
        </w:rPr>
        <w:t>)</w:t>
      </w:r>
    </w:p>
    <w:p w14:paraId="11161A9D" w14:textId="77777777" w:rsidR="009260DE" w:rsidRPr="00C84483" w:rsidRDefault="009260DE" w:rsidP="009260DE">
      <w:pPr>
        <w:tabs>
          <w:tab w:val="left" w:pos="851"/>
        </w:tabs>
        <w:ind w:left="851"/>
        <w:rPr>
          <w:sz w:val="24"/>
          <w:szCs w:val="24"/>
        </w:rPr>
      </w:pPr>
    </w:p>
    <w:p w14:paraId="1807A2EC" w14:textId="77777777" w:rsidR="009260DE" w:rsidRPr="00C84483" w:rsidRDefault="009260DE" w:rsidP="009260DE">
      <w:pPr>
        <w:tabs>
          <w:tab w:val="left" w:pos="851"/>
        </w:tabs>
        <w:ind w:left="851"/>
        <w:rPr>
          <w:sz w:val="24"/>
          <w:szCs w:val="24"/>
        </w:rPr>
      </w:pPr>
    </w:p>
    <w:p w14:paraId="7801FFD0"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FBFC4B9" w14:textId="77777777" w:rsidR="009260DE" w:rsidRPr="00C84483" w:rsidRDefault="009260DE" w:rsidP="009260DE">
      <w:pPr>
        <w:tabs>
          <w:tab w:val="left" w:pos="851"/>
        </w:tabs>
        <w:ind w:left="851"/>
        <w:rPr>
          <w:sz w:val="24"/>
          <w:szCs w:val="24"/>
        </w:rPr>
      </w:pPr>
    </w:p>
    <w:p w14:paraId="7AEAD84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8BC0BD3" w14:textId="160418BF" w:rsidR="005F289B" w:rsidRPr="005F289B" w:rsidRDefault="005F289B" w:rsidP="005F289B">
      <w:pPr>
        <w:suppressAutoHyphens/>
        <w:ind w:left="851"/>
        <w:rPr>
          <w:sz w:val="24"/>
          <w:szCs w:val="24"/>
        </w:rPr>
      </w:pPr>
      <w:r w:rsidRPr="005F289B">
        <w:rPr>
          <w:sz w:val="24"/>
          <w:szCs w:val="24"/>
        </w:rPr>
        <w:t>Farmakoterapeutisk klassifikation: Anæstetika, opioid-anæstetika, ATC-kode: N01AH06</w:t>
      </w:r>
      <w:r w:rsidR="00B814CA">
        <w:rPr>
          <w:sz w:val="24"/>
          <w:szCs w:val="24"/>
        </w:rPr>
        <w:t>.</w:t>
      </w:r>
    </w:p>
    <w:p w14:paraId="011E59F9" w14:textId="77777777" w:rsidR="005F289B" w:rsidRPr="005F289B" w:rsidRDefault="005F289B" w:rsidP="005F289B">
      <w:pPr>
        <w:suppressAutoHyphens/>
        <w:ind w:left="851"/>
        <w:rPr>
          <w:sz w:val="24"/>
          <w:szCs w:val="24"/>
        </w:rPr>
      </w:pPr>
    </w:p>
    <w:p w14:paraId="046E6167" w14:textId="77777777" w:rsidR="005F289B" w:rsidRPr="005F289B" w:rsidRDefault="005F289B" w:rsidP="005F289B">
      <w:pPr>
        <w:suppressAutoHyphens/>
        <w:ind w:left="851"/>
        <w:rPr>
          <w:sz w:val="24"/>
          <w:szCs w:val="24"/>
          <w:u w:val="single"/>
        </w:rPr>
      </w:pPr>
      <w:r w:rsidRPr="005F289B">
        <w:rPr>
          <w:sz w:val="24"/>
          <w:szCs w:val="24"/>
          <w:u w:val="single"/>
        </w:rPr>
        <w:t>Virkningsmekanisme</w:t>
      </w:r>
    </w:p>
    <w:p w14:paraId="7A869CAA" w14:textId="77777777" w:rsidR="005F289B" w:rsidRPr="005F289B" w:rsidRDefault="005F289B" w:rsidP="005F289B">
      <w:pPr>
        <w:suppressAutoHyphens/>
        <w:ind w:left="851"/>
        <w:rPr>
          <w:sz w:val="24"/>
          <w:szCs w:val="24"/>
        </w:rPr>
      </w:pPr>
      <w:r w:rsidRPr="005F289B">
        <w:rPr>
          <w:sz w:val="24"/>
          <w:szCs w:val="24"/>
        </w:rPr>
        <w:t>Remifentanil er en selektiv µ-opioid-agonist med hurtigt indsættende virkning og meget kort virkningsvarighed. Remifentanils µ-opioid-virkning antagoniseres af narkotiske antagonister, såsom naloxon.</w:t>
      </w:r>
    </w:p>
    <w:p w14:paraId="19352558" w14:textId="77777777" w:rsidR="005F289B" w:rsidRPr="005F289B" w:rsidRDefault="005F289B" w:rsidP="005F289B">
      <w:pPr>
        <w:suppressAutoHyphens/>
        <w:ind w:left="851"/>
        <w:rPr>
          <w:sz w:val="24"/>
          <w:szCs w:val="24"/>
        </w:rPr>
      </w:pPr>
    </w:p>
    <w:p w14:paraId="26E66920" w14:textId="77777777" w:rsidR="005F289B" w:rsidRPr="005F289B" w:rsidRDefault="005F289B" w:rsidP="005F289B">
      <w:pPr>
        <w:suppressAutoHyphens/>
        <w:ind w:left="851"/>
        <w:rPr>
          <w:sz w:val="24"/>
          <w:szCs w:val="24"/>
          <w:u w:val="single"/>
        </w:rPr>
      </w:pPr>
      <w:r w:rsidRPr="005F289B">
        <w:rPr>
          <w:sz w:val="24"/>
          <w:szCs w:val="24"/>
          <w:u w:val="single"/>
        </w:rPr>
        <w:t>Farmakodynamisk virkning</w:t>
      </w:r>
    </w:p>
    <w:p w14:paraId="0BFD2E35" w14:textId="77777777" w:rsidR="005F289B" w:rsidRPr="005F289B" w:rsidRDefault="005F289B" w:rsidP="005F289B">
      <w:pPr>
        <w:suppressAutoHyphens/>
        <w:ind w:left="851"/>
        <w:rPr>
          <w:sz w:val="24"/>
          <w:szCs w:val="24"/>
        </w:rPr>
      </w:pPr>
      <w:r w:rsidRPr="005F289B">
        <w:rPr>
          <w:sz w:val="24"/>
          <w:szCs w:val="24"/>
        </w:rPr>
        <w:t>Histaminprøver hos patienter og raske frivillige har ikke vist stigninger i histamin-niveauet efter administration af bolusdoser af remifentanil på op til 30 µg/kg.</w:t>
      </w:r>
    </w:p>
    <w:p w14:paraId="0AE269DE" w14:textId="77777777" w:rsidR="005F289B" w:rsidRPr="005F289B" w:rsidRDefault="005F289B" w:rsidP="005F289B">
      <w:pPr>
        <w:suppressAutoHyphens/>
        <w:ind w:left="851"/>
        <w:rPr>
          <w:sz w:val="24"/>
          <w:szCs w:val="24"/>
        </w:rPr>
      </w:pPr>
    </w:p>
    <w:p w14:paraId="2B042F7C" w14:textId="36361700" w:rsidR="005F289B" w:rsidRPr="005F289B" w:rsidRDefault="005F289B" w:rsidP="005F289B">
      <w:pPr>
        <w:suppressAutoHyphens/>
        <w:ind w:left="851"/>
        <w:rPr>
          <w:sz w:val="24"/>
          <w:szCs w:val="24"/>
          <w:u w:val="single"/>
        </w:rPr>
      </w:pPr>
      <w:r w:rsidRPr="005F289B">
        <w:rPr>
          <w:sz w:val="24"/>
          <w:szCs w:val="24"/>
          <w:u w:val="single"/>
        </w:rPr>
        <w:t>Nyfødte/spædbørn (under 1 år)</w:t>
      </w:r>
    </w:p>
    <w:p w14:paraId="09D36237" w14:textId="77777777" w:rsidR="005F289B" w:rsidRPr="005F289B" w:rsidRDefault="005F289B" w:rsidP="005F289B">
      <w:pPr>
        <w:suppressAutoHyphens/>
        <w:ind w:left="851"/>
        <w:rPr>
          <w:sz w:val="24"/>
          <w:szCs w:val="24"/>
        </w:rPr>
      </w:pPr>
      <w:r w:rsidRPr="005F289B">
        <w:rPr>
          <w:sz w:val="24"/>
          <w:szCs w:val="24"/>
        </w:rPr>
        <w:t>I et randomiseret (med forholdet 2:1, remifentanil:halothan), åbent, multicenterstudie med parallelle grupper med 60 nyfødte og spædbørn ≤ 8 uger (gennemsnit 5,5 uger) med ASA fysisk status på I-II, som fik foretaget pyloromyotomi, blev virkningen og sikkerheden af remifentanil (givet som 0,4 µg/kg/min initial, kontinuerlig infusion, samt supplerende doser eller ændringer i infusionshastigheden efter behov) sammenlignet med halothan (givet som 0,4 % med supplerende stigninger efter behov). Vedligeholdelse af anæstesi blev opnået ved yderligere administration af 70 % nitrogenoxid (N</w:t>
      </w:r>
      <w:r w:rsidRPr="005F289B">
        <w:rPr>
          <w:sz w:val="24"/>
          <w:szCs w:val="24"/>
          <w:vertAlign w:val="subscript"/>
        </w:rPr>
        <w:t>2</w:t>
      </w:r>
      <w:r w:rsidRPr="005F289B">
        <w:rPr>
          <w:sz w:val="24"/>
          <w:szCs w:val="24"/>
        </w:rPr>
        <w:t>O) og 30 % oxygen. Opvågningstiderne var bedre i remifentanil-gruppen i forhold til halothan-gruppen (ikke signifikant).</w:t>
      </w:r>
    </w:p>
    <w:p w14:paraId="0D6B8EE8" w14:textId="77777777" w:rsidR="005F289B" w:rsidRPr="005F289B" w:rsidRDefault="005F289B" w:rsidP="005F289B">
      <w:pPr>
        <w:suppressAutoHyphens/>
        <w:ind w:left="851"/>
        <w:rPr>
          <w:sz w:val="24"/>
          <w:szCs w:val="24"/>
        </w:rPr>
      </w:pPr>
    </w:p>
    <w:p w14:paraId="72561339" w14:textId="77777777" w:rsidR="005F289B" w:rsidRPr="005F289B" w:rsidRDefault="005F289B" w:rsidP="005F289B">
      <w:pPr>
        <w:suppressAutoHyphens/>
        <w:ind w:left="851"/>
        <w:rPr>
          <w:sz w:val="24"/>
          <w:szCs w:val="24"/>
        </w:rPr>
      </w:pPr>
      <w:r w:rsidRPr="005F289B">
        <w:rPr>
          <w:sz w:val="24"/>
          <w:szCs w:val="24"/>
        </w:rPr>
        <w:t>Anvendelse af total intravenøs anæstesi (TIVA) - børn fra 6 måneder til 16 år</w:t>
      </w:r>
    </w:p>
    <w:p w14:paraId="6B2C73B5" w14:textId="77777777" w:rsidR="005F289B" w:rsidRPr="005F289B" w:rsidRDefault="005F289B" w:rsidP="005F289B">
      <w:pPr>
        <w:suppressAutoHyphens/>
        <w:ind w:left="851"/>
        <w:rPr>
          <w:sz w:val="24"/>
          <w:szCs w:val="24"/>
        </w:rPr>
      </w:pPr>
    </w:p>
    <w:p w14:paraId="235FC64A" w14:textId="77777777" w:rsidR="005F289B" w:rsidRPr="005F289B" w:rsidRDefault="005F289B" w:rsidP="005F289B">
      <w:pPr>
        <w:suppressAutoHyphens/>
        <w:ind w:left="851"/>
        <w:rPr>
          <w:sz w:val="24"/>
          <w:szCs w:val="24"/>
        </w:rPr>
      </w:pPr>
      <w:r w:rsidRPr="005F289B">
        <w:rPr>
          <w:sz w:val="24"/>
          <w:szCs w:val="24"/>
        </w:rPr>
        <w:t>TIVA med remifentanil ved pædiatrisk kirurgi blev sammenlignet med inhalationsanæstesi i 3 randomiserede, åbne studier. Resultaterne er opsummeret i nedenstående tabel.</w:t>
      </w:r>
    </w:p>
    <w:p w14:paraId="2C46CF23" w14:textId="77777777" w:rsidR="005F289B" w:rsidRDefault="005F289B" w:rsidP="005F289B">
      <w:pPr>
        <w:suppressAutoHyphens/>
      </w:pPr>
    </w:p>
    <w:tbl>
      <w:tblPr>
        <w:tblW w:w="927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993"/>
        <w:gridCol w:w="4279"/>
        <w:gridCol w:w="1732"/>
      </w:tblGrid>
      <w:tr w:rsidR="005F289B" w14:paraId="5B44C964" w14:textId="77777777" w:rsidTr="00B814CA">
        <w:trPr>
          <w:trHeight w:val="1040"/>
        </w:trPr>
        <w:tc>
          <w:tcPr>
            <w:tcW w:w="2266" w:type="dxa"/>
            <w:tcBorders>
              <w:top w:val="nil"/>
              <w:left w:val="nil"/>
              <w:bottom w:val="single" w:sz="4" w:space="0" w:color="000000"/>
              <w:right w:val="single" w:sz="4" w:space="0" w:color="000000"/>
            </w:tcBorders>
            <w:tcMar>
              <w:top w:w="0" w:type="dxa"/>
              <w:left w:w="57" w:type="dxa"/>
              <w:bottom w:w="0" w:type="dxa"/>
              <w:right w:w="57" w:type="dxa"/>
            </w:tcMar>
            <w:hideMark/>
          </w:tcPr>
          <w:p w14:paraId="33854BC8" w14:textId="77777777" w:rsidR="005F289B" w:rsidRDefault="005F289B">
            <w:pPr>
              <w:suppressAutoHyphens/>
              <w:rPr>
                <w:b/>
                <w:lang w:val="en-GB"/>
              </w:rPr>
            </w:pPr>
            <w:r>
              <w:rPr>
                <w:b/>
                <w:lang w:val="en-GB"/>
              </w:rPr>
              <w:t>Kirurgisk indgreb</w:t>
            </w:r>
          </w:p>
        </w:tc>
        <w:tc>
          <w:tcPr>
            <w:tcW w:w="993" w:type="dxa"/>
            <w:tcBorders>
              <w:top w:val="nil"/>
              <w:left w:val="single" w:sz="4" w:space="0" w:color="000000"/>
              <w:bottom w:val="single" w:sz="4" w:space="0" w:color="000000"/>
              <w:right w:val="single" w:sz="4" w:space="0" w:color="000000"/>
            </w:tcBorders>
            <w:tcMar>
              <w:top w:w="0" w:type="dxa"/>
              <w:left w:w="57" w:type="dxa"/>
              <w:bottom w:w="0" w:type="dxa"/>
              <w:right w:w="57" w:type="dxa"/>
            </w:tcMar>
            <w:hideMark/>
          </w:tcPr>
          <w:p w14:paraId="1BB8F7DF" w14:textId="77777777" w:rsidR="005F289B" w:rsidRDefault="005F289B">
            <w:pPr>
              <w:suppressAutoHyphens/>
              <w:rPr>
                <w:b/>
                <w:lang w:val="en-GB"/>
              </w:rPr>
            </w:pPr>
            <w:r>
              <w:rPr>
                <w:b/>
                <w:lang w:val="en-GB"/>
              </w:rPr>
              <w:t>Alder (år), (N)</w:t>
            </w:r>
          </w:p>
        </w:tc>
        <w:tc>
          <w:tcPr>
            <w:tcW w:w="4279" w:type="dxa"/>
            <w:tcBorders>
              <w:top w:val="nil"/>
              <w:left w:val="single" w:sz="4" w:space="0" w:color="000000"/>
              <w:bottom w:val="single" w:sz="4" w:space="0" w:color="000000"/>
              <w:right w:val="single" w:sz="4" w:space="0" w:color="000000"/>
            </w:tcBorders>
            <w:tcMar>
              <w:top w:w="0" w:type="dxa"/>
              <w:left w:w="57" w:type="dxa"/>
              <w:bottom w:w="0" w:type="dxa"/>
              <w:right w:w="57" w:type="dxa"/>
            </w:tcMar>
            <w:hideMark/>
          </w:tcPr>
          <w:p w14:paraId="2209F30A" w14:textId="77777777" w:rsidR="005F289B" w:rsidRDefault="005F289B">
            <w:pPr>
              <w:suppressAutoHyphens/>
              <w:rPr>
                <w:b/>
                <w:lang w:val="en-GB"/>
              </w:rPr>
            </w:pPr>
            <w:r>
              <w:rPr>
                <w:b/>
                <w:lang w:val="en-GB"/>
              </w:rPr>
              <w:t>Studiebetingelser (vedligeholdelse)</w:t>
            </w:r>
          </w:p>
        </w:tc>
        <w:tc>
          <w:tcPr>
            <w:tcW w:w="1732" w:type="dxa"/>
            <w:tcBorders>
              <w:top w:val="nil"/>
              <w:left w:val="single" w:sz="4" w:space="0" w:color="000000"/>
              <w:bottom w:val="single" w:sz="4" w:space="0" w:color="000000"/>
              <w:right w:val="nil"/>
            </w:tcBorders>
            <w:tcMar>
              <w:top w:w="0" w:type="dxa"/>
              <w:left w:w="57" w:type="dxa"/>
              <w:bottom w:w="0" w:type="dxa"/>
              <w:right w:w="57" w:type="dxa"/>
            </w:tcMar>
          </w:tcPr>
          <w:p w14:paraId="72BD95FB" w14:textId="77777777" w:rsidR="005F289B" w:rsidRDefault="005F289B">
            <w:pPr>
              <w:suppressAutoHyphens/>
              <w:rPr>
                <w:b/>
                <w:lang w:val="en-GB"/>
              </w:rPr>
            </w:pPr>
            <w:r>
              <w:rPr>
                <w:b/>
                <w:lang w:val="en-GB"/>
              </w:rPr>
              <w:t>Ekstubering (min)</w:t>
            </w:r>
          </w:p>
          <w:p w14:paraId="6E2FA5BB" w14:textId="77777777" w:rsidR="005F289B" w:rsidRDefault="005F289B">
            <w:pPr>
              <w:suppressAutoHyphens/>
              <w:rPr>
                <w:b/>
                <w:lang w:val="en-GB"/>
              </w:rPr>
            </w:pPr>
          </w:p>
          <w:p w14:paraId="34F5F856" w14:textId="77777777" w:rsidR="005F289B" w:rsidRDefault="005F289B">
            <w:pPr>
              <w:suppressAutoHyphens/>
              <w:rPr>
                <w:b/>
                <w:lang w:val="en-GB"/>
              </w:rPr>
            </w:pPr>
            <w:r>
              <w:rPr>
                <w:b/>
                <w:lang w:val="en-GB"/>
              </w:rPr>
              <w:t>(gennemsnit (SD))</w:t>
            </w:r>
          </w:p>
        </w:tc>
      </w:tr>
      <w:tr w:rsidR="005F289B" w14:paraId="1B492D87" w14:textId="77777777" w:rsidTr="00B814CA">
        <w:trPr>
          <w:trHeight w:val="746"/>
        </w:trPr>
        <w:tc>
          <w:tcPr>
            <w:tcW w:w="2266" w:type="dxa"/>
            <w:vMerge w:val="restart"/>
            <w:tcBorders>
              <w:top w:val="single" w:sz="4" w:space="0" w:color="000000"/>
              <w:left w:val="nil"/>
              <w:bottom w:val="single" w:sz="4" w:space="0" w:color="000000"/>
              <w:right w:val="single" w:sz="4" w:space="0" w:color="000000"/>
            </w:tcBorders>
            <w:tcMar>
              <w:top w:w="0" w:type="dxa"/>
              <w:left w:w="57" w:type="dxa"/>
              <w:bottom w:w="0" w:type="dxa"/>
              <w:right w:w="57" w:type="dxa"/>
            </w:tcMar>
            <w:hideMark/>
          </w:tcPr>
          <w:p w14:paraId="78EEEC79" w14:textId="77777777" w:rsidR="005F289B" w:rsidRDefault="005F289B">
            <w:pPr>
              <w:suppressAutoHyphens/>
              <w:rPr>
                <w:lang w:val="en-GB"/>
              </w:rPr>
            </w:pPr>
            <w:r>
              <w:rPr>
                <w:lang w:val="en-GB"/>
              </w:rPr>
              <w:t>Nedre abdominalt/urologisk kirurgi</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0F2D46C" w14:textId="77777777" w:rsidR="005F289B" w:rsidRDefault="005F289B">
            <w:pPr>
              <w:suppressAutoHyphens/>
              <w:rPr>
                <w:lang w:val="en-GB"/>
              </w:rPr>
            </w:pPr>
            <w:r>
              <w:rPr>
                <w:lang w:val="en-GB"/>
              </w:rPr>
              <w:t>0,5–16</w:t>
            </w:r>
          </w:p>
          <w:p w14:paraId="7ECBED73" w14:textId="77777777" w:rsidR="005F289B" w:rsidRDefault="005F289B">
            <w:pPr>
              <w:suppressAutoHyphens/>
              <w:rPr>
                <w:lang w:val="en-GB"/>
              </w:rPr>
            </w:pPr>
            <w:r>
              <w:rPr>
                <w:lang w:val="en-GB"/>
              </w:rPr>
              <w:t>(120)</w:t>
            </w:r>
          </w:p>
        </w:tc>
        <w:tc>
          <w:tcPr>
            <w:tcW w:w="42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0615A26" w14:textId="77777777" w:rsidR="005F289B" w:rsidRDefault="005F289B">
            <w:pPr>
              <w:suppressAutoHyphens/>
              <w:rPr>
                <w:lang w:val="en-US"/>
              </w:rPr>
            </w:pPr>
            <w:r>
              <w:rPr>
                <w:lang w:val="en-US"/>
              </w:rPr>
              <w:t xml:space="preserve">TIVA: propofol (5–10 mg/kg/time) + </w:t>
            </w:r>
          </w:p>
          <w:p w14:paraId="61CC5578" w14:textId="77777777" w:rsidR="005F289B" w:rsidRDefault="005F289B">
            <w:pPr>
              <w:suppressAutoHyphens/>
              <w:rPr>
                <w:lang w:val="en-GB"/>
              </w:rPr>
            </w:pPr>
            <w:r>
              <w:rPr>
                <w:lang w:val="en-GB"/>
              </w:rPr>
              <w:t>remifentanil (0,125–1,0 µg/kg/min)</w:t>
            </w:r>
          </w:p>
        </w:tc>
        <w:tc>
          <w:tcPr>
            <w:tcW w:w="1732" w:type="dxa"/>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76F7CB8F" w14:textId="77777777" w:rsidR="005F289B" w:rsidRDefault="005F289B">
            <w:pPr>
              <w:suppressAutoHyphens/>
              <w:rPr>
                <w:lang w:val="en-GB"/>
              </w:rPr>
            </w:pPr>
            <w:r>
              <w:rPr>
                <w:lang w:val="en-GB"/>
              </w:rPr>
              <w:t>11,8 (4,2)</w:t>
            </w:r>
          </w:p>
        </w:tc>
      </w:tr>
      <w:tr w:rsidR="005F289B" w14:paraId="3A888EF1" w14:textId="77777777" w:rsidTr="00B814CA">
        <w:trPr>
          <w:trHeight w:val="997"/>
        </w:trPr>
        <w:tc>
          <w:tcPr>
            <w:tcW w:w="2266" w:type="dxa"/>
            <w:vMerge/>
            <w:tcBorders>
              <w:top w:val="single" w:sz="4" w:space="0" w:color="000000"/>
              <w:left w:val="nil"/>
              <w:bottom w:val="single" w:sz="4" w:space="0" w:color="000000"/>
              <w:right w:val="single" w:sz="4" w:space="0" w:color="000000"/>
            </w:tcBorders>
            <w:vAlign w:val="center"/>
            <w:hideMark/>
          </w:tcPr>
          <w:p w14:paraId="61646231" w14:textId="77777777" w:rsidR="005F289B" w:rsidRDefault="005F289B">
            <w:pPr>
              <w:rPr>
                <w:sz w:val="22"/>
                <w:lang w:val="en-G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6317DCF2" w14:textId="77777777" w:rsidR="005F289B" w:rsidRDefault="005F289B">
            <w:pPr>
              <w:rPr>
                <w:sz w:val="22"/>
                <w:lang w:val="en-GB"/>
              </w:rPr>
            </w:pPr>
          </w:p>
        </w:tc>
        <w:tc>
          <w:tcPr>
            <w:tcW w:w="42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842661" w14:textId="77777777" w:rsidR="005F289B" w:rsidRPr="005F289B" w:rsidRDefault="005F289B">
            <w:pPr>
              <w:suppressAutoHyphens/>
            </w:pPr>
            <w:r w:rsidRPr="005F289B">
              <w:t>Inhalationsanæstesi:</w:t>
            </w:r>
          </w:p>
          <w:p w14:paraId="59C11162" w14:textId="77777777" w:rsidR="005F289B" w:rsidRPr="005F289B" w:rsidRDefault="005F289B">
            <w:pPr>
              <w:suppressAutoHyphens/>
            </w:pPr>
            <w:r w:rsidRPr="005F289B">
              <w:t>sevofluran (1,0–1,5 MAC) og remifentanil (0,125–1,0 µg/kg/min)</w:t>
            </w:r>
          </w:p>
        </w:tc>
        <w:tc>
          <w:tcPr>
            <w:tcW w:w="1732" w:type="dxa"/>
            <w:tcBorders>
              <w:top w:val="single" w:sz="4" w:space="0" w:color="000000"/>
              <w:left w:val="single" w:sz="4" w:space="0" w:color="000000"/>
              <w:bottom w:val="single" w:sz="4" w:space="0" w:color="000000"/>
              <w:right w:val="nil"/>
            </w:tcBorders>
            <w:tcMar>
              <w:top w:w="0" w:type="dxa"/>
              <w:left w:w="57" w:type="dxa"/>
              <w:bottom w:w="0" w:type="dxa"/>
              <w:right w:w="57" w:type="dxa"/>
            </w:tcMar>
          </w:tcPr>
          <w:p w14:paraId="5EC4B4A4" w14:textId="77777777" w:rsidR="005F289B" w:rsidRDefault="005F289B">
            <w:pPr>
              <w:suppressAutoHyphens/>
              <w:rPr>
                <w:lang w:val="en-GB"/>
              </w:rPr>
            </w:pPr>
            <w:r>
              <w:rPr>
                <w:lang w:val="en-GB"/>
              </w:rPr>
              <w:t>15.0 (5.6)</w:t>
            </w:r>
          </w:p>
          <w:p w14:paraId="3B52E1D4" w14:textId="77777777" w:rsidR="005F289B" w:rsidRDefault="005F289B">
            <w:pPr>
              <w:suppressAutoHyphens/>
              <w:rPr>
                <w:lang w:val="en-GB"/>
              </w:rPr>
            </w:pPr>
          </w:p>
          <w:p w14:paraId="75AE4B38" w14:textId="77777777" w:rsidR="005F289B" w:rsidRDefault="005F289B">
            <w:pPr>
              <w:suppressAutoHyphens/>
              <w:rPr>
                <w:lang w:val="en-GB"/>
              </w:rPr>
            </w:pPr>
            <w:r>
              <w:rPr>
                <w:lang w:val="en-GB"/>
              </w:rPr>
              <w:t>(p &lt; 0.05)</w:t>
            </w:r>
          </w:p>
        </w:tc>
      </w:tr>
      <w:tr w:rsidR="005F289B" w14:paraId="65135A3D" w14:textId="77777777" w:rsidTr="00B814CA">
        <w:trPr>
          <w:trHeight w:val="746"/>
        </w:trPr>
        <w:tc>
          <w:tcPr>
            <w:tcW w:w="2266" w:type="dxa"/>
            <w:vMerge w:val="restart"/>
            <w:tcBorders>
              <w:top w:val="single" w:sz="4" w:space="0" w:color="000000"/>
              <w:left w:val="nil"/>
              <w:bottom w:val="single" w:sz="4" w:space="0" w:color="000000"/>
              <w:right w:val="single" w:sz="4" w:space="0" w:color="000000"/>
            </w:tcBorders>
            <w:tcMar>
              <w:top w:w="0" w:type="dxa"/>
              <w:left w:w="57" w:type="dxa"/>
              <w:bottom w:w="0" w:type="dxa"/>
              <w:right w:w="57" w:type="dxa"/>
            </w:tcMar>
            <w:hideMark/>
          </w:tcPr>
          <w:p w14:paraId="23E08719" w14:textId="77777777" w:rsidR="005F289B" w:rsidRDefault="005F289B">
            <w:pPr>
              <w:suppressAutoHyphens/>
              <w:rPr>
                <w:lang w:val="en-GB"/>
              </w:rPr>
            </w:pPr>
            <w:r>
              <w:rPr>
                <w:lang w:val="en-GB"/>
              </w:rPr>
              <w:t>ENT-surgery</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7AB91DC" w14:textId="77777777" w:rsidR="005F289B" w:rsidRDefault="005F289B">
            <w:pPr>
              <w:suppressAutoHyphens/>
              <w:rPr>
                <w:lang w:val="en-GB"/>
              </w:rPr>
            </w:pPr>
            <w:r>
              <w:rPr>
                <w:lang w:val="en-GB"/>
              </w:rPr>
              <w:t>4–11</w:t>
            </w:r>
          </w:p>
          <w:p w14:paraId="0C07A594" w14:textId="77777777" w:rsidR="005F289B" w:rsidRDefault="005F289B">
            <w:pPr>
              <w:suppressAutoHyphens/>
              <w:rPr>
                <w:lang w:val="en-GB"/>
              </w:rPr>
            </w:pPr>
          </w:p>
          <w:p w14:paraId="1C67CD99" w14:textId="77777777" w:rsidR="005F289B" w:rsidRDefault="005F289B">
            <w:pPr>
              <w:suppressAutoHyphens/>
              <w:rPr>
                <w:lang w:val="en-GB"/>
              </w:rPr>
            </w:pPr>
            <w:r>
              <w:rPr>
                <w:lang w:val="en-GB"/>
              </w:rPr>
              <w:t>(50)</w:t>
            </w:r>
          </w:p>
        </w:tc>
        <w:tc>
          <w:tcPr>
            <w:tcW w:w="42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5472E36" w14:textId="77777777" w:rsidR="005F289B" w:rsidRDefault="005F289B">
            <w:pPr>
              <w:suppressAutoHyphens/>
              <w:rPr>
                <w:lang w:val="en-GB"/>
              </w:rPr>
            </w:pPr>
            <w:r>
              <w:rPr>
                <w:lang w:val="en-GB"/>
              </w:rPr>
              <w:t>TIVA: propofol (3 mg/kg/time) + remifentanil (0,5 µg/kg/min)</w:t>
            </w:r>
          </w:p>
        </w:tc>
        <w:tc>
          <w:tcPr>
            <w:tcW w:w="1732" w:type="dxa"/>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26C4C056" w14:textId="77777777" w:rsidR="005F289B" w:rsidRDefault="005F289B">
            <w:pPr>
              <w:suppressAutoHyphens/>
              <w:rPr>
                <w:lang w:val="en-GB"/>
              </w:rPr>
            </w:pPr>
            <w:r>
              <w:rPr>
                <w:lang w:val="en-GB"/>
              </w:rPr>
              <w:t>11 (3.7)</w:t>
            </w:r>
          </w:p>
        </w:tc>
      </w:tr>
      <w:tr w:rsidR="005F289B" w14:paraId="0B05BFC6" w14:textId="77777777" w:rsidTr="00B814CA">
        <w:trPr>
          <w:trHeight w:val="708"/>
        </w:trPr>
        <w:tc>
          <w:tcPr>
            <w:tcW w:w="2266" w:type="dxa"/>
            <w:vMerge/>
            <w:tcBorders>
              <w:top w:val="single" w:sz="4" w:space="0" w:color="000000"/>
              <w:left w:val="nil"/>
              <w:bottom w:val="single" w:sz="4" w:space="0" w:color="000000"/>
              <w:right w:val="single" w:sz="4" w:space="0" w:color="000000"/>
            </w:tcBorders>
            <w:vAlign w:val="center"/>
            <w:hideMark/>
          </w:tcPr>
          <w:p w14:paraId="3279BC70" w14:textId="77777777" w:rsidR="005F289B" w:rsidRDefault="005F289B">
            <w:pPr>
              <w:rPr>
                <w:sz w:val="22"/>
                <w:lang w:val="en-GB"/>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033EEC35" w14:textId="77777777" w:rsidR="005F289B" w:rsidRDefault="005F289B">
            <w:pPr>
              <w:rPr>
                <w:sz w:val="22"/>
                <w:lang w:val="en-GB"/>
              </w:rPr>
            </w:pPr>
          </w:p>
        </w:tc>
        <w:tc>
          <w:tcPr>
            <w:tcW w:w="42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FF866BA" w14:textId="77777777" w:rsidR="005F289B" w:rsidRPr="005F289B" w:rsidRDefault="005F289B">
            <w:pPr>
              <w:suppressAutoHyphens/>
            </w:pPr>
            <w:r w:rsidRPr="005F289B">
              <w:t>Inhalationsanæstesi: desfluran (1,3 MAC) og N</w:t>
            </w:r>
            <w:r w:rsidRPr="005F289B">
              <w:rPr>
                <w:vertAlign w:val="subscript"/>
              </w:rPr>
              <w:t>2</w:t>
            </w:r>
            <w:r w:rsidRPr="005F289B">
              <w:t>O-blanding</w:t>
            </w:r>
          </w:p>
        </w:tc>
        <w:tc>
          <w:tcPr>
            <w:tcW w:w="1732" w:type="dxa"/>
            <w:tcBorders>
              <w:top w:val="single" w:sz="4" w:space="0" w:color="000000"/>
              <w:left w:val="single" w:sz="4" w:space="0" w:color="000000"/>
              <w:bottom w:val="single" w:sz="4" w:space="0" w:color="000000"/>
              <w:right w:val="nil"/>
            </w:tcBorders>
            <w:tcMar>
              <w:top w:w="0" w:type="dxa"/>
              <w:left w:w="57" w:type="dxa"/>
              <w:bottom w:w="0" w:type="dxa"/>
              <w:right w:w="57" w:type="dxa"/>
            </w:tcMar>
            <w:hideMark/>
          </w:tcPr>
          <w:p w14:paraId="1789AD44" w14:textId="77777777" w:rsidR="005F289B" w:rsidRDefault="005F289B">
            <w:pPr>
              <w:suppressAutoHyphens/>
              <w:rPr>
                <w:lang w:val="en-GB"/>
              </w:rPr>
            </w:pPr>
            <w:r>
              <w:rPr>
                <w:lang w:val="en-GB"/>
              </w:rPr>
              <w:t>9,4 (2,9)</w:t>
            </w:r>
          </w:p>
          <w:p w14:paraId="17C8BCF5" w14:textId="77777777" w:rsidR="005F289B" w:rsidRDefault="005F289B">
            <w:pPr>
              <w:suppressAutoHyphens/>
              <w:rPr>
                <w:lang w:val="en-GB"/>
              </w:rPr>
            </w:pPr>
            <w:r>
              <w:rPr>
                <w:lang w:val="en-GB"/>
              </w:rPr>
              <w:t>Ikke signifikant</w:t>
            </w:r>
          </w:p>
        </w:tc>
      </w:tr>
      <w:tr w:rsidR="005F289B" w14:paraId="5770B454" w14:textId="77777777" w:rsidTr="00B814CA">
        <w:trPr>
          <w:trHeight w:val="746"/>
        </w:trPr>
        <w:tc>
          <w:tcPr>
            <w:tcW w:w="2266" w:type="dxa"/>
            <w:tcBorders>
              <w:top w:val="single" w:sz="4" w:space="0" w:color="000000"/>
              <w:left w:val="nil"/>
              <w:bottom w:val="single" w:sz="4" w:space="0" w:color="000000"/>
              <w:right w:val="single" w:sz="4" w:space="0" w:color="000000"/>
            </w:tcBorders>
            <w:tcMar>
              <w:top w:w="0" w:type="dxa"/>
              <w:left w:w="57" w:type="dxa"/>
              <w:bottom w:w="0" w:type="dxa"/>
              <w:right w:w="57" w:type="dxa"/>
            </w:tcMar>
            <w:hideMark/>
          </w:tcPr>
          <w:p w14:paraId="769ACE51" w14:textId="77777777" w:rsidR="005F289B" w:rsidRPr="005F289B" w:rsidRDefault="005F289B">
            <w:pPr>
              <w:suppressAutoHyphens/>
            </w:pPr>
            <w:r w:rsidRPr="005F289B">
              <w:t>Generel eller øre-næse-hals-kirurgi</w:t>
            </w:r>
          </w:p>
        </w:tc>
        <w:tc>
          <w:tcPr>
            <w:tcW w:w="9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BE9ECE4" w14:textId="77777777" w:rsidR="005F289B" w:rsidRDefault="005F289B">
            <w:pPr>
              <w:suppressAutoHyphens/>
              <w:rPr>
                <w:lang w:val="en-GB"/>
              </w:rPr>
            </w:pPr>
            <w:r>
              <w:rPr>
                <w:lang w:val="en-GB"/>
              </w:rPr>
              <w:t>2–12</w:t>
            </w:r>
          </w:p>
          <w:p w14:paraId="4831BD38" w14:textId="77777777" w:rsidR="005F289B" w:rsidRDefault="005F289B">
            <w:pPr>
              <w:suppressAutoHyphens/>
              <w:rPr>
                <w:lang w:val="en-GB"/>
              </w:rPr>
            </w:pPr>
            <w:r>
              <w:rPr>
                <w:lang w:val="en-GB"/>
              </w:rPr>
              <w:t>(153)</w:t>
            </w:r>
          </w:p>
        </w:tc>
        <w:tc>
          <w:tcPr>
            <w:tcW w:w="427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734F7BE" w14:textId="77777777" w:rsidR="005F289B" w:rsidRPr="005F289B" w:rsidRDefault="005F289B">
            <w:pPr>
              <w:suppressAutoHyphens/>
            </w:pPr>
            <w:r w:rsidRPr="005F289B">
              <w:t>TIVA: remifentanil (0,2–0,5 µg/kg/min) +</w:t>
            </w:r>
          </w:p>
          <w:p w14:paraId="06110B2B" w14:textId="77777777" w:rsidR="005F289B" w:rsidRDefault="005F289B">
            <w:pPr>
              <w:suppressAutoHyphens/>
              <w:rPr>
                <w:lang w:val="en-GB"/>
              </w:rPr>
            </w:pPr>
            <w:r>
              <w:rPr>
                <w:lang w:val="en-GB"/>
              </w:rPr>
              <w:t>propofol (100–200 µg/kg/min)</w:t>
            </w:r>
          </w:p>
        </w:tc>
        <w:tc>
          <w:tcPr>
            <w:tcW w:w="1732" w:type="dxa"/>
            <w:vMerge w:val="restart"/>
            <w:tcBorders>
              <w:top w:val="single" w:sz="4" w:space="0" w:color="000000"/>
              <w:left w:val="single" w:sz="4" w:space="0" w:color="000000"/>
              <w:bottom w:val="nil"/>
              <w:right w:val="nil"/>
            </w:tcBorders>
            <w:tcMar>
              <w:top w:w="0" w:type="dxa"/>
              <w:left w:w="57" w:type="dxa"/>
              <w:bottom w:w="0" w:type="dxa"/>
              <w:right w:w="57" w:type="dxa"/>
            </w:tcMar>
            <w:hideMark/>
          </w:tcPr>
          <w:p w14:paraId="56E62D9D" w14:textId="77777777" w:rsidR="005F289B" w:rsidRPr="005F289B" w:rsidRDefault="005F289B">
            <w:pPr>
              <w:suppressAutoHyphens/>
            </w:pPr>
            <w:r w:rsidRPr="005F289B">
              <w:t>Sammenlignelige ekstuberingstider (baseret på begrænsede data)</w:t>
            </w:r>
          </w:p>
        </w:tc>
      </w:tr>
      <w:tr w:rsidR="005F289B" w14:paraId="61E9324D" w14:textId="77777777" w:rsidTr="00B814CA">
        <w:trPr>
          <w:trHeight w:val="746"/>
        </w:trPr>
        <w:tc>
          <w:tcPr>
            <w:tcW w:w="2266" w:type="dxa"/>
            <w:tcBorders>
              <w:top w:val="single" w:sz="4" w:space="0" w:color="000000"/>
              <w:left w:val="nil"/>
              <w:bottom w:val="nil"/>
              <w:right w:val="single" w:sz="4" w:space="0" w:color="000000"/>
            </w:tcBorders>
            <w:tcMar>
              <w:top w:w="0" w:type="dxa"/>
              <w:left w:w="57" w:type="dxa"/>
              <w:bottom w:w="0" w:type="dxa"/>
              <w:right w:w="57" w:type="dxa"/>
            </w:tcMar>
          </w:tcPr>
          <w:p w14:paraId="19C2E19F" w14:textId="77777777" w:rsidR="005F289B" w:rsidRPr="005F289B" w:rsidRDefault="005F289B">
            <w:pPr>
              <w:suppressAutoHyphens/>
            </w:pPr>
          </w:p>
        </w:tc>
        <w:tc>
          <w:tcPr>
            <w:tcW w:w="993" w:type="dxa"/>
            <w:tcBorders>
              <w:top w:val="single" w:sz="4" w:space="0" w:color="000000"/>
              <w:left w:val="single" w:sz="4" w:space="0" w:color="000000"/>
              <w:bottom w:val="nil"/>
              <w:right w:val="single" w:sz="4" w:space="0" w:color="000000"/>
            </w:tcBorders>
            <w:tcMar>
              <w:top w:w="0" w:type="dxa"/>
              <w:left w:w="57" w:type="dxa"/>
              <w:bottom w:w="0" w:type="dxa"/>
              <w:right w:w="57" w:type="dxa"/>
            </w:tcMar>
          </w:tcPr>
          <w:p w14:paraId="645641D6" w14:textId="77777777" w:rsidR="005F289B" w:rsidRPr="005F289B" w:rsidRDefault="005F289B">
            <w:pPr>
              <w:suppressAutoHyphens/>
            </w:pPr>
          </w:p>
        </w:tc>
        <w:tc>
          <w:tcPr>
            <w:tcW w:w="4279" w:type="dxa"/>
            <w:tcBorders>
              <w:top w:val="single" w:sz="4" w:space="0" w:color="000000"/>
              <w:left w:val="single" w:sz="4" w:space="0" w:color="000000"/>
              <w:bottom w:val="nil"/>
              <w:right w:val="single" w:sz="4" w:space="0" w:color="000000"/>
            </w:tcBorders>
            <w:tcMar>
              <w:top w:w="0" w:type="dxa"/>
              <w:left w:w="57" w:type="dxa"/>
              <w:bottom w:w="0" w:type="dxa"/>
              <w:right w:w="57" w:type="dxa"/>
            </w:tcMar>
            <w:hideMark/>
          </w:tcPr>
          <w:p w14:paraId="5C28ADF8" w14:textId="77777777" w:rsidR="005F289B" w:rsidRPr="005F289B" w:rsidRDefault="005F289B">
            <w:pPr>
              <w:suppressAutoHyphens/>
            </w:pPr>
            <w:r w:rsidRPr="005F289B">
              <w:t>Inhalationsanæstesi: sevofluran (1–1,5 MAC) + N</w:t>
            </w:r>
            <w:r w:rsidRPr="005F289B">
              <w:rPr>
                <w:vertAlign w:val="subscript"/>
              </w:rPr>
              <w:t>2</w:t>
            </w:r>
            <w:r w:rsidRPr="005F289B">
              <w:t>O-blanding</w:t>
            </w:r>
          </w:p>
        </w:tc>
        <w:tc>
          <w:tcPr>
            <w:tcW w:w="1732" w:type="dxa"/>
            <w:vMerge/>
            <w:tcBorders>
              <w:top w:val="single" w:sz="4" w:space="0" w:color="000000"/>
              <w:left w:val="single" w:sz="4" w:space="0" w:color="000000"/>
              <w:bottom w:val="nil"/>
              <w:right w:val="nil"/>
            </w:tcBorders>
            <w:vAlign w:val="center"/>
            <w:hideMark/>
          </w:tcPr>
          <w:p w14:paraId="1FA6ED45" w14:textId="77777777" w:rsidR="005F289B" w:rsidRPr="005F289B" w:rsidRDefault="005F289B">
            <w:pPr>
              <w:rPr>
                <w:sz w:val="22"/>
              </w:rPr>
            </w:pPr>
          </w:p>
        </w:tc>
      </w:tr>
    </w:tbl>
    <w:p w14:paraId="4A3BA3B1" w14:textId="77777777" w:rsidR="005F289B" w:rsidRPr="00B814CA" w:rsidRDefault="005F289B" w:rsidP="005F289B">
      <w:pPr>
        <w:suppressAutoHyphens/>
        <w:rPr>
          <w:sz w:val="24"/>
          <w:szCs w:val="24"/>
        </w:rPr>
      </w:pPr>
    </w:p>
    <w:p w14:paraId="6D039078" w14:textId="77777777" w:rsidR="005F289B" w:rsidRPr="00B814CA" w:rsidRDefault="005F289B" w:rsidP="005F289B">
      <w:pPr>
        <w:suppressAutoHyphens/>
        <w:ind w:left="851"/>
        <w:rPr>
          <w:sz w:val="24"/>
          <w:szCs w:val="24"/>
        </w:rPr>
      </w:pPr>
      <w:r w:rsidRPr="00B814CA">
        <w:rPr>
          <w:sz w:val="24"/>
          <w:szCs w:val="24"/>
        </w:rPr>
        <w:t xml:space="preserve">I studiet med nedre abdominal/urologisk kirurgi, hvor remifentanil/propofol blev sammenlignet med remifentanil/sevofluran, forekom hypotension signifikant hyppigere med remifentanil/sevofluran, og bradykardi forekom signifikant hyppigere med remifentanil/propofol. I studiet med øre-næse-hals-kirurgi, hvor remifentanil/propofol blev sammenlignet med desfluran/dinitrogenoxid, sås en signifikant højere hjertefrekvens i desfluran/nitrogenoxid-gruppen, sammenlignet med remifentanil/propofol og med </w:t>
      </w:r>
      <w:r w:rsidRPr="00B814CA">
        <w:rPr>
          <w:i/>
          <w:iCs/>
          <w:sz w:val="24"/>
          <w:szCs w:val="24"/>
        </w:rPr>
        <w:t>baseline</w:t>
      </w:r>
      <w:r w:rsidRPr="00B814CA">
        <w:rPr>
          <w:sz w:val="24"/>
          <w:szCs w:val="24"/>
        </w:rPr>
        <w:t>-værdier.</w:t>
      </w:r>
    </w:p>
    <w:p w14:paraId="3CCA3D43" w14:textId="77777777" w:rsidR="005F289B" w:rsidRPr="00B814CA" w:rsidRDefault="005F289B" w:rsidP="005F289B">
      <w:pPr>
        <w:suppressAutoHyphens/>
        <w:ind w:left="851"/>
        <w:rPr>
          <w:sz w:val="24"/>
          <w:szCs w:val="24"/>
        </w:rPr>
      </w:pPr>
    </w:p>
    <w:p w14:paraId="2C01D73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FCC4732" w14:textId="77777777" w:rsidR="00B814CA" w:rsidRPr="00B814CA" w:rsidRDefault="00B814CA" w:rsidP="00B814CA">
      <w:pPr>
        <w:tabs>
          <w:tab w:val="left" w:pos="851"/>
        </w:tabs>
        <w:ind w:left="851"/>
        <w:rPr>
          <w:sz w:val="24"/>
          <w:szCs w:val="24"/>
        </w:rPr>
      </w:pPr>
    </w:p>
    <w:p w14:paraId="5AD44ACA" w14:textId="77777777" w:rsidR="00B814CA" w:rsidRPr="00B814CA" w:rsidRDefault="00B814CA" w:rsidP="00B814CA">
      <w:pPr>
        <w:tabs>
          <w:tab w:val="left" w:pos="851"/>
        </w:tabs>
        <w:ind w:left="851"/>
        <w:rPr>
          <w:sz w:val="24"/>
          <w:szCs w:val="24"/>
          <w:u w:val="single"/>
        </w:rPr>
      </w:pPr>
      <w:r w:rsidRPr="00B814CA">
        <w:rPr>
          <w:sz w:val="24"/>
          <w:szCs w:val="24"/>
          <w:u w:val="single"/>
        </w:rPr>
        <w:t>Elimination</w:t>
      </w:r>
    </w:p>
    <w:p w14:paraId="230E2958" w14:textId="77777777" w:rsidR="00B814CA" w:rsidRPr="00B814CA" w:rsidRDefault="00B814CA" w:rsidP="00B814CA">
      <w:pPr>
        <w:tabs>
          <w:tab w:val="left" w:pos="851"/>
        </w:tabs>
        <w:ind w:left="851"/>
        <w:rPr>
          <w:sz w:val="24"/>
          <w:szCs w:val="24"/>
        </w:rPr>
      </w:pPr>
      <w:r w:rsidRPr="00B814CA">
        <w:rPr>
          <w:sz w:val="24"/>
          <w:szCs w:val="24"/>
        </w:rPr>
        <w:t>Den effektive halveringstid er 3</w:t>
      </w:r>
      <w:r w:rsidRPr="00B814CA">
        <w:rPr>
          <w:sz w:val="24"/>
          <w:szCs w:val="24"/>
        </w:rPr>
        <w:noBreakHyphen/>
        <w:t xml:space="preserve">10 minutter efter administration af de anbefalede doser af remifentanil. Hos unge raske voksne er den gennemsnitlige clearance af remifentanil 40 ml/min/kg, det centrale fordelingsvolumen er 100 ml/kg og </w:t>
      </w:r>
      <w:r w:rsidRPr="00B814CA">
        <w:rPr>
          <w:i/>
          <w:iCs/>
          <w:sz w:val="24"/>
          <w:szCs w:val="24"/>
        </w:rPr>
        <w:t>steady state</w:t>
      </w:r>
      <w:r w:rsidRPr="00B814CA">
        <w:rPr>
          <w:sz w:val="24"/>
          <w:szCs w:val="24"/>
        </w:rPr>
        <w:t>-fordelingsvolumenet er 350 ml/kg.</w:t>
      </w:r>
    </w:p>
    <w:p w14:paraId="7154E211" w14:textId="77777777" w:rsidR="00B814CA" w:rsidRPr="00B814CA" w:rsidRDefault="00B814CA" w:rsidP="00B814CA">
      <w:pPr>
        <w:tabs>
          <w:tab w:val="left" w:pos="851"/>
        </w:tabs>
        <w:ind w:left="851"/>
        <w:rPr>
          <w:sz w:val="24"/>
          <w:szCs w:val="24"/>
        </w:rPr>
      </w:pPr>
    </w:p>
    <w:p w14:paraId="6071A2DB" w14:textId="77777777" w:rsidR="00B814CA" w:rsidRPr="00B814CA" w:rsidRDefault="00B814CA" w:rsidP="00B814CA">
      <w:pPr>
        <w:tabs>
          <w:tab w:val="left" w:pos="851"/>
        </w:tabs>
        <w:ind w:left="851"/>
        <w:rPr>
          <w:sz w:val="24"/>
          <w:szCs w:val="24"/>
          <w:u w:val="single"/>
        </w:rPr>
      </w:pPr>
      <w:r w:rsidRPr="00B814CA">
        <w:rPr>
          <w:sz w:val="24"/>
          <w:szCs w:val="24"/>
          <w:u w:val="single"/>
        </w:rPr>
        <w:t>Absorption</w:t>
      </w:r>
    </w:p>
    <w:p w14:paraId="3F575B2C" w14:textId="77777777" w:rsidR="00B814CA" w:rsidRPr="00B814CA" w:rsidRDefault="00B814CA" w:rsidP="00B814CA">
      <w:pPr>
        <w:tabs>
          <w:tab w:val="left" w:pos="851"/>
        </w:tabs>
        <w:ind w:left="851"/>
        <w:rPr>
          <w:sz w:val="24"/>
          <w:szCs w:val="24"/>
        </w:rPr>
      </w:pPr>
      <w:r w:rsidRPr="00B814CA">
        <w:rPr>
          <w:sz w:val="24"/>
          <w:szCs w:val="24"/>
        </w:rPr>
        <w:t>Blodkoncentrationen af remifentanil er proportional med den administrerede dosis i hele det anbefalede doseringsinterval. For hver øgning i infusionshastigheden på 0,1 µg/kg/min vil blodkoncentrationen af remifentanil stige med 2,5 ng/ml. Ca. 70 % remifentanil bindes til plasmaproteiner.</w:t>
      </w:r>
    </w:p>
    <w:p w14:paraId="155189F8" w14:textId="77777777" w:rsidR="00B814CA" w:rsidRPr="00B814CA" w:rsidRDefault="00B814CA" w:rsidP="00B814CA">
      <w:pPr>
        <w:tabs>
          <w:tab w:val="left" w:pos="851"/>
        </w:tabs>
        <w:ind w:left="851"/>
        <w:rPr>
          <w:sz w:val="24"/>
          <w:szCs w:val="24"/>
        </w:rPr>
      </w:pPr>
    </w:p>
    <w:p w14:paraId="7426B78C" w14:textId="77777777" w:rsidR="00B814CA" w:rsidRPr="00B814CA" w:rsidRDefault="00B814CA" w:rsidP="00B814CA">
      <w:pPr>
        <w:tabs>
          <w:tab w:val="left" w:pos="851"/>
        </w:tabs>
        <w:ind w:left="851"/>
        <w:rPr>
          <w:sz w:val="24"/>
          <w:szCs w:val="24"/>
          <w:u w:val="single"/>
        </w:rPr>
      </w:pPr>
      <w:r w:rsidRPr="00B814CA">
        <w:rPr>
          <w:sz w:val="24"/>
          <w:szCs w:val="24"/>
          <w:u w:val="single"/>
        </w:rPr>
        <w:t>Biotransformation</w:t>
      </w:r>
    </w:p>
    <w:p w14:paraId="5021CD0B" w14:textId="77777777" w:rsidR="00B814CA" w:rsidRPr="00B814CA" w:rsidRDefault="00B814CA" w:rsidP="00B814CA">
      <w:pPr>
        <w:tabs>
          <w:tab w:val="left" w:pos="851"/>
        </w:tabs>
        <w:ind w:left="851"/>
        <w:rPr>
          <w:sz w:val="24"/>
          <w:szCs w:val="24"/>
        </w:rPr>
      </w:pPr>
      <w:r w:rsidRPr="00B814CA">
        <w:rPr>
          <w:sz w:val="24"/>
          <w:szCs w:val="24"/>
        </w:rPr>
        <w:t>Remifentanil er et esterase-metaboliseret opioid, der er følsomt for nedbrydning af uspecifikke blod- og vævsesteraser. Metabolismen af remifentanil resulterer i dannelse af en carboxylsyremetabolit, der er 1/4.600 gange så potent som remifentanil hos hunde. Hos mennesker tyder studier på at al farmakologisk aktivitet er forbundet med moderstoffet. Aktiviteten af denne metabolit er derfor uden klinisk betydning. Halveringstiden af metabolitten er 2 timer hos raske voksne. Hos patienter med normal nyrefunktion elimineres 95 % af remifentanils primære metabolit via nyrerne inden for ca. 7</w:t>
      </w:r>
      <w:r w:rsidRPr="00B814CA">
        <w:rPr>
          <w:sz w:val="24"/>
          <w:szCs w:val="24"/>
        </w:rPr>
        <w:noBreakHyphen/>
        <w:t>10 timer. Remifentanil er ikke substrat for plasmakolinesterase.</w:t>
      </w:r>
    </w:p>
    <w:p w14:paraId="3BC3F0F8" w14:textId="77777777" w:rsidR="00B814CA" w:rsidRPr="00B814CA" w:rsidRDefault="00B814CA" w:rsidP="00B814CA">
      <w:pPr>
        <w:tabs>
          <w:tab w:val="left" w:pos="851"/>
        </w:tabs>
        <w:ind w:left="851"/>
        <w:rPr>
          <w:sz w:val="24"/>
          <w:szCs w:val="24"/>
        </w:rPr>
      </w:pPr>
    </w:p>
    <w:p w14:paraId="670028FE" w14:textId="77777777" w:rsidR="00B814CA" w:rsidRPr="00B814CA" w:rsidRDefault="00B814CA" w:rsidP="00B814CA">
      <w:pPr>
        <w:tabs>
          <w:tab w:val="left" w:pos="851"/>
        </w:tabs>
        <w:ind w:left="851"/>
        <w:rPr>
          <w:sz w:val="24"/>
          <w:szCs w:val="24"/>
          <w:u w:val="single"/>
        </w:rPr>
      </w:pPr>
      <w:r w:rsidRPr="00B814CA">
        <w:rPr>
          <w:sz w:val="24"/>
          <w:szCs w:val="24"/>
          <w:u w:val="single"/>
        </w:rPr>
        <w:t>Passage via placenta og til mælk</w:t>
      </w:r>
    </w:p>
    <w:p w14:paraId="617D627D" w14:textId="77777777" w:rsidR="00B814CA" w:rsidRPr="00B814CA" w:rsidRDefault="00B814CA" w:rsidP="00B814CA">
      <w:pPr>
        <w:tabs>
          <w:tab w:val="left" w:pos="851"/>
        </w:tabs>
        <w:ind w:left="851"/>
        <w:rPr>
          <w:sz w:val="24"/>
          <w:szCs w:val="24"/>
        </w:rPr>
      </w:pPr>
      <w:r w:rsidRPr="00B814CA">
        <w:rPr>
          <w:sz w:val="24"/>
          <w:szCs w:val="24"/>
        </w:rPr>
        <w:t>Studier af passage over placenta hos rotter og kaniner viser, at afkommet udsættes for remifentanil og/eller metabolitter heraf under vækst og udvikling. Remifentanil-beslægtet materiale går over i mælken hos diegivende rotter. I et klinisk studie hos mennesker var koncentrationen af remifentanil i fosterblod ca. 50 % af koncentrationen i moderens blod. Arterie-vene-forholdet af remifentanil-koncentrationen hos fosteret var ca. 30 %, hvilket indikerer, at remifentanil metaboliseres hos nyfødte.</w:t>
      </w:r>
    </w:p>
    <w:p w14:paraId="223839AB" w14:textId="77777777" w:rsidR="00B814CA" w:rsidRPr="00B814CA" w:rsidRDefault="00B814CA" w:rsidP="00B814CA">
      <w:pPr>
        <w:tabs>
          <w:tab w:val="left" w:pos="851"/>
        </w:tabs>
        <w:ind w:left="851"/>
        <w:rPr>
          <w:sz w:val="24"/>
          <w:szCs w:val="24"/>
        </w:rPr>
      </w:pPr>
    </w:p>
    <w:p w14:paraId="620909F2" w14:textId="77777777" w:rsidR="00B814CA" w:rsidRPr="00B814CA" w:rsidRDefault="00B814CA" w:rsidP="00B814CA">
      <w:pPr>
        <w:tabs>
          <w:tab w:val="left" w:pos="851"/>
        </w:tabs>
        <w:ind w:left="851"/>
        <w:rPr>
          <w:sz w:val="24"/>
          <w:szCs w:val="24"/>
          <w:u w:val="single"/>
        </w:rPr>
      </w:pPr>
      <w:r w:rsidRPr="00B814CA">
        <w:rPr>
          <w:sz w:val="24"/>
          <w:szCs w:val="24"/>
          <w:u w:val="single"/>
        </w:rPr>
        <w:t>Hjerteanæstesi</w:t>
      </w:r>
    </w:p>
    <w:p w14:paraId="225FB409" w14:textId="77777777" w:rsidR="00B814CA" w:rsidRPr="00B814CA" w:rsidRDefault="00B814CA" w:rsidP="00B814CA">
      <w:pPr>
        <w:tabs>
          <w:tab w:val="left" w:pos="851"/>
        </w:tabs>
        <w:ind w:left="851"/>
        <w:rPr>
          <w:sz w:val="24"/>
          <w:szCs w:val="24"/>
        </w:rPr>
      </w:pPr>
      <w:r w:rsidRPr="00B814CA">
        <w:rPr>
          <w:sz w:val="24"/>
          <w:szCs w:val="24"/>
        </w:rPr>
        <w:t>Clearance af remifentanil er reduceret med ca. 20 % under hypotermisk (28 °C) kardiopulmonær bypass. Fald i legemstemperatur nedsætter eliminationsclearance med 3 % pr. grad celsius.</w:t>
      </w:r>
    </w:p>
    <w:p w14:paraId="4C8A923D" w14:textId="77777777" w:rsidR="00B814CA" w:rsidRPr="00B814CA" w:rsidRDefault="00B814CA" w:rsidP="00B814CA">
      <w:pPr>
        <w:tabs>
          <w:tab w:val="left" w:pos="851"/>
        </w:tabs>
        <w:ind w:left="851"/>
        <w:rPr>
          <w:sz w:val="24"/>
          <w:szCs w:val="24"/>
        </w:rPr>
      </w:pPr>
    </w:p>
    <w:p w14:paraId="7B19073F" w14:textId="77777777" w:rsidR="00B814CA" w:rsidRPr="00B814CA" w:rsidRDefault="00B814CA" w:rsidP="00B814CA">
      <w:pPr>
        <w:tabs>
          <w:tab w:val="left" w:pos="851"/>
        </w:tabs>
        <w:ind w:left="851"/>
        <w:rPr>
          <w:sz w:val="24"/>
          <w:szCs w:val="24"/>
          <w:u w:val="single"/>
        </w:rPr>
      </w:pPr>
      <w:r w:rsidRPr="00B814CA">
        <w:rPr>
          <w:sz w:val="24"/>
          <w:szCs w:val="24"/>
          <w:u w:val="single"/>
        </w:rPr>
        <w:t>Nedsat nyrefunktion</w:t>
      </w:r>
    </w:p>
    <w:p w14:paraId="20A3B1F8" w14:textId="77777777" w:rsidR="00B814CA" w:rsidRPr="00B814CA" w:rsidRDefault="00B814CA" w:rsidP="00B814CA">
      <w:pPr>
        <w:tabs>
          <w:tab w:val="left" w:pos="851"/>
        </w:tabs>
        <w:ind w:left="851"/>
        <w:rPr>
          <w:sz w:val="24"/>
          <w:szCs w:val="24"/>
        </w:rPr>
      </w:pPr>
      <w:r w:rsidRPr="00B814CA">
        <w:rPr>
          <w:sz w:val="24"/>
          <w:szCs w:val="24"/>
        </w:rPr>
        <w:t>Den hurtige genopretning fra remifentanil-baseret sedation og analgesi er upåvirket af nyrestatus.</w:t>
      </w:r>
    </w:p>
    <w:p w14:paraId="42EF4193" w14:textId="77777777" w:rsidR="00B814CA" w:rsidRPr="00B814CA" w:rsidRDefault="00B814CA" w:rsidP="00B814CA">
      <w:pPr>
        <w:tabs>
          <w:tab w:val="left" w:pos="851"/>
        </w:tabs>
        <w:ind w:left="851"/>
        <w:rPr>
          <w:sz w:val="24"/>
          <w:szCs w:val="24"/>
        </w:rPr>
      </w:pPr>
    </w:p>
    <w:p w14:paraId="6FB36D01" w14:textId="77777777" w:rsidR="00B814CA" w:rsidRPr="00B814CA" w:rsidRDefault="00B814CA" w:rsidP="00B814CA">
      <w:pPr>
        <w:tabs>
          <w:tab w:val="left" w:pos="851"/>
        </w:tabs>
        <w:ind w:left="851"/>
        <w:rPr>
          <w:sz w:val="24"/>
          <w:szCs w:val="24"/>
        </w:rPr>
      </w:pPr>
      <w:r w:rsidRPr="00B814CA">
        <w:rPr>
          <w:sz w:val="24"/>
          <w:szCs w:val="24"/>
        </w:rPr>
        <w:t>Remifentanils farmakokinetik ændres ikke signifikant hos patienter med varierende grader af nedsat nyrefunktion, selv ikke efter administration i op til 3 dage på intensivafdeling.</w:t>
      </w:r>
    </w:p>
    <w:p w14:paraId="5169BFF1" w14:textId="77777777" w:rsidR="00B814CA" w:rsidRPr="00B814CA" w:rsidRDefault="00B814CA" w:rsidP="00B814CA">
      <w:pPr>
        <w:tabs>
          <w:tab w:val="left" w:pos="851"/>
        </w:tabs>
        <w:ind w:left="851"/>
        <w:rPr>
          <w:sz w:val="24"/>
          <w:szCs w:val="24"/>
        </w:rPr>
      </w:pPr>
    </w:p>
    <w:p w14:paraId="60F54EB3" w14:textId="77777777" w:rsidR="00B814CA" w:rsidRPr="00B814CA" w:rsidRDefault="00B814CA" w:rsidP="00B814CA">
      <w:pPr>
        <w:tabs>
          <w:tab w:val="left" w:pos="851"/>
        </w:tabs>
        <w:ind w:left="851"/>
        <w:rPr>
          <w:sz w:val="24"/>
          <w:szCs w:val="24"/>
        </w:rPr>
      </w:pPr>
      <w:r w:rsidRPr="00B814CA">
        <w:rPr>
          <w:sz w:val="24"/>
          <w:szCs w:val="24"/>
        </w:rPr>
        <w:t xml:space="preserve">Hos patienter med nedsat nyrefunktion er clearance af carboxylsyremetabolitten nedsat. Hos nogle intensive patienter med moderat/svært nedsat nyrefunktion, kan koncentrationen af carboxylsyremetabolitten være omkring 250 gange større end koncentrationen af remifentanil ved </w:t>
      </w:r>
      <w:r w:rsidRPr="00B814CA">
        <w:rPr>
          <w:i/>
          <w:iCs/>
          <w:sz w:val="24"/>
          <w:szCs w:val="24"/>
        </w:rPr>
        <w:t>steady state</w:t>
      </w:r>
      <w:r w:rsidRPr="00B814CA">
        <w:rPr>
          <w:sz w:val="24"/>
          <w:szCs w:val="24"/>
        </w:rPr>
        <w:t>. Klinisk tilgængelige data viser, at akkumulation af metabolitten ikke forårsager kliniske relevante µ-opioid-virkninger, selv ikke efter administration af remifentanil-infusion i op til 3 dage til disse patienter. Der er utilstrækkelige data om sikkerheden og den farmakokinetiske profil af metabolitten ved infusion af remifentanil i mere end 3 dage.</w:t>
      </w:r>
    </w:p>
    <w:p w14:paraId="3DD9142D" w14:textId="77777777" w:rsidR="00B814CA" w:rsidRPr="00B814CA" w:rsidRDefault="00B814CA" w:rsidP="00B814CA">
      <w:pPr>
        <w:tabs>
          <w:tab w:val="left" w:pos="851"/>
        </w:tabs>
        <w:ind w:left="851"/>
        <w:rPr>
          <w:sz w:val="24"/>
          <w:szCs w:val="24"/>
        </w:rPr>
      </w:pPr>
    </w:p>
    <w:p w14:paraId="4BE7D272" w14:textId="77777777" w:rsidR="00B814CA" w:rsidRPr="00B814CA" w:rsidRDefault="00B814CA" w:rsidP="00B814CA">
      <w:pPr>
        <w:tabs>
          <w:tab w:val="left" w:pos="851"/>
        </w:tabs>
        <w:ind w:left="851"/>
        <w:rPr>
          <w:sz w:val="24"/>
          <w:szCs w:val="24"/>
        </w:rPr>
      </w:pPr>
      <w:r w:rsidRPr="00B814CA">
        <w:rPr>
          <w:sz w:val="24"/>
          <w:szCs w:val="24"/>
        </w:rPr>
        <w:t>Der er ikke evidens for, at remifentanil udskilles under nyreerstatningsbehandling.</w:t>
      </w:r>
    </w:p>
    <w:p w14:paraId="17813FED" w14:textId="77777777" w:rsidR="00B814CA" w:rsidRPr="00B814CA" w:rsidRDefault="00B814CA" w:rsidP="00B814CA">
      <w:pPr>
        <w:tabs>
          <w:tab w:val="left" w:pos="851"/>
        </w:tabs>
        <w:ind w:left="851"/>
        <w:rPr>
          <w:sz w:val="24"/>
          <w:szCs w:val="24"/>
        </w:rPr>
      </w:pPr>
    </w:p>
    <w:p w14:paraId="547E18C6" w14:textId="77777777" w:rsidR="00B814CA" w:rsidRPr="00B814CA" w:rsidRDefault="00B814CA" w:rsidP="00B814CA">
      <w:pPr>
        <w:tabs>
          <w:tab w:val="left" w:pos="851"/>
        </w:tabs>
        <w:ind w:left="851"/>
        <w:rPr>
          <w:sz w:val="24"/>
          <w:szCs w:val="24"/>
        </w:rPr>
      </w:pPr>
      <w:r w:rsidRPr="00B814CA">
        <w:rPr>
          <w:sz w:val="24"/>
          <w:szCs w:val="24"/>
        </w:rPr>
        <w:t>Mindst 30 % af carboxylsyremetabolitten udskilles ved hæmodialyse.</w:t>
      </w:r>
    </w:p>
    <w:p w14:paraId="04894E2F" w14:textId="77777777" w:rsidR="00B814CA" w:rsidRPr="00B814CA" w:rsidRDefault="00B814CA" w:rsidP="00B814CA">
      <w:pPr>
        <w:tabs>
          <w:tab w:val="left" w:pos="851"/>
        </w:tabs>
        <w:ind w:left="851"/>
        <w:rPr>
          <w:sz w:val="24"/>
          <w:szCs w:val="24"/>
        </w:rPr>
      </w:pPr>
    </w:p>
    <w:p w14:paraId="228903EB" w14:textId="77777777" w:rsidR="00B814CA" w:rsidRPr="00B814CA" w:rsidRDefault="00B814CA" w:rsidP="00B814CA">
      <w:pPr>
        <w:tabs>
          <w:tab w:val="left" w:pos="851"/>
        </w:tabs>
        <w:ind w:left="851"/>
        <w:rPr>
          <w:sz w:val="24"/>
          <w:szCs w:val="24"/>
          <w:u w:val="single"/>
        </w:rPr>
      </w:pPr>
      <w:r w:rsidRPr="00B814CA">
        <w:rPr>
          <w:sz w:val="24"/>
          <w:szCs w:val="24"/>
          <w:u w:val="single"/>
        </w:rPr>
        <w:t>Nedsat leverfunktion</w:t>
      </w:r>
    </w:p>
    <w:p w14:paraId="1CC4F4DB" w14:textId="77777777" w:rsidR="00B814CA" w:rsidRPr="00B814CA" w:rsidRDefault="00B814CA" w:rsidP="00B814CA">
      <w:pPr>
        <w:tabs>
          <w:tab w:val="left" w:pos="851"/>
        </w:tabs>
        <w:ind w:left="851"/>
        <w:rPr>
          <w:sz w:val="24"/>
          <w:szCs w:val="24"/>
        </w:rPr>
      </w:pPr>
      <w:r w:rsidRPr="00B814CA">
        <w:rPr>
          <w:sz w:val="24"/>
          <w:szCs w:val="24"/>
        </w:rPr>
        <w:t>Remifentanils farmakokinetik er uændret hos patienter med svært nedsat leverfunktion, der afventer levertransplantation, eller under den leverløse fase af en levertransplantations-operation. Patienter med svært nedsat leverfunktion kan være en anelse mere følsomme over for respirationsdepression i forbindelse med remifentanil. Disse patienter skal nøje overvåges, og dosis af remifentanil skal titreres efter den enkelte patients behov.</w:t>
      </w:r>
    </w:p>
    <w:p w14:paraId="4AF23D6A" w14:textId="77777777" w:rsidR="00B814CA" w:rsidRPr="00B814CA" w:rsidRDefault="00B814CA" w:rsidP="00B814CA">
      <w:pPr>
        <w:tabs>
          <w:tab w:val="left" w:pos="851"/>
        </w:tabs>
        <w:ind w:left="851"/>
        <w:rPr>
          <w:sz w:val="24"/>
          <w:szCs w:val="24"/>
        </w:rPr>
      </w:pPr>
    </w:p>
    <w:p w14:paraId="4A2AECC4" w14:textId="77777777" w:rsidR="00B814CA" w:rsidRPr="00B814CA" w:rsidRDefault="00B814CA" w:rsidP="00B814CA">
      <w:pPr>
        <w:tabs>
          <w:tab w:val="left" w:pos="851"/>
        </w:tabs>
        <w:ind w:left="851"/>
        <w:rPr>
          <w:sz w:val="24"/>
          <w:szCs w:val="24"/>
          <w:u w:val="single"/>
        </w:rPr>
      </w:pPr>
      <w:r w:rsidRPr="00B814CA">
        <w:rPr>
          <w:sz w:val="24"/>
          <w:szCs w:val="24"/>
          <w:u w:val="single"/>
        </w:rPr>
        <w:t>Pædiatriske patienter</w:t>
      </w:r>
    </w:p>
    <w:p w14:paraId="3C7747EE" w14:textId="77777777" w:rsidR="00B814CA" w:rsidRPr="00B814CA" w:rsidRDefault="00B814CA" w:rsidP="00B814CA">
      <w:pPr>
        <w:tabs>
          <w:tab w:val="left" w:pos="851"/>
        </w:tabs>
        <w:ind w:left="851"/>
        <w:rPr>
          <w:sz w:val="24"/>
          <w:szCs w:val="24"/>
        </w:rPr>
      </w:pPr>
      <w:r w:rsidRPr="00B814CA">
        <w:rPr>
          <w:sz w:val="24"/>
          <w:szCs w:val="24"/>
        </w:rPr>
        <w:t xml:space="preserve">Den gennemsnitlige clearance og </w:t>
      </w:r>
      <w:r w:rsidRPr="00B814CA">
        <w:rPr>
          <w:i/>
          <w:iCs/>
          <w:sz w:val="24"/>
          <w:szCs w:val="24"/>
        </w:rPr>
        <w:t>steady state</w:t>
      </w:r>
      <w:r w:rsidRPr="00B814CA">
        <w:rPr>
          <w:sz w:val="24"/>
          <w:szCs w:val="24"/>
        </w:rPr>
        <w:t>-fordelingsvolumenet af remifentanil er forøget hos yngre børn, og falder til værdier hos unge, raske voksne ved 17-årsalderen. Eliminationshalveringstiden for remifentanil hos nyfødte er ikke signifikant forskellig fra unge raske voksne. Ændringerne i den analgetiske virkning efter ændringer i infusionshastigheden af remifentanil, forventes at være hurtig og svare til det der ses hos unge raske voksne. Farmakokinetikken af carboxylsyremetabolitten hos pædiatriske patienter fra 2-17 år svarer til farmakokinetikken for voksne efter korrektion for legemsvægtforskelle.</w:t>
      </w:r>
    </w:p>
    <w:p w14:paraId="470F426A" w14:textId="77777777" w:rsidR="00B814CA" w:rsidRPr="00B814CA" w:rsidRDefault="00B814CA" w:rsidP="00B814CA">
      <w:pPr>
        <w:tabs>
          <w:tab w:val="left" w:pos="851"/>
        </w:tabs>
        <w:ind w:left="851"/>
        <w:rPr>
          <w:sz w:val="24"/>
          <w:szCs w:val="24"/>
        </w:rPr>
      </w:pPr>
    </w:p>
    <w:p w14:paraId="2F73A4E4" w14:textId="77777777" w:rsidR="00B814CA" w:rsidRPr="00B814CA" w:rsidRDefault="00B814CA" w:rsidP="00B814CA">
      <w:pPr>
        <w:tabs>
          <w:tab w:val="left" w:pos="851"/>
        </w:tabs>
        <w:ind w:left="851"/>
        <w:rPr>
          <w:sz w:val="24"/>
          <w:szCs w:val="24"/>
          <w:u w:val="single"/>
        </w:rPr>
      </w:pPr>
      <w:r w:rsidRPr="00B814CA">
        <w:rPr>
          <w:sz w:val="24"/>
          <w:szCs w:val="24"/>
          <w:u w:val="single"/>
        </w:rPr>
        <w:t>Ældre</w:t>
      </w:r>
    </w:p>
    <w:p w14:paraId="709F0D3A" w14:textId="77777777" w:rsidR="00B814CA" w:rsidRPr="00B814CA" w:rsidRDefault="00B814CA" w:rsidP="00B814CA">
      <w:pPr>
        <w:tabs>
          <w:tab w:val="left" w:pos="851"/>
        </w:tabs>
        <w:ind w:left="851"/>
        <w:rPr>
          <w:sz w:val="24"/>
          <w:szCs w:val="24"/>
        </w:rPr>
      </w:pPr>
      <w:r w:rsidRPr="00B814CA">
        <w:rPr>
          <w:sz w:val="24"/>
          <w:szCs w:val="24"/>
        </w:rPr>
        <w:t>Sammenlignet med unge patienter er clearance af remifentanil en anelse nedsat hos ældre (&gt; 65 år). Den farmakodynamiske aktivitet af remifentanil stiger med stigende alder. Hos ældre er EC</w:t>
      </w:r>
      <w:r w:rsidRPr="00B814CA">
        <w:rPr>
          <w:sz w:val="24"/>
          <w:szCs w:val="24"/>
          <w:vertAlign w:val="subscript"/>
        </w:rPr>
        <w:t>50</w:t>
      </w:r>
      <w:r w:rsidRPr="00B814CA">
        <w:rPr>
          <w:sz w:val="24"/>
          <w:szCs w:val="24"/>
        </w:rPr>
        <w:t xml:space="preserve"> af remifentanil for dannelse af deltabølger på et elektroencefalogram (EEG) 50 % lavere end hos unge patienter. Derfor bør den initiale dosis af remifentanil reduceres med 50 % hos ældre patienter, og derefter omhyggeligt titreres til at imødekomme den enkelte patients behov.</w:t>
      </w:r>
    </w:p>
    <w:p w14:paraId="7ED84F2A" w14:textId="77777777" w:rsidR="009260DE" w:rsidRPr="00C84483" w:rsidRDefault="009260DE" w:rsidP="009260DE">
      <w:pPr>
        <w:tabs>
          <w:tab w:val="left" w:pos="851"/>
        </w:tabs>
        <w:ind w:left="851"/>
        <w:rPr>
          <w:sz w:val="24"/>
          <w:szCs w:val="24"/>
        </w:rPr>
      </w:pPr>
    </w:p>
    <w:p w14:paraId="4B61F63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3143BF2" w14:textId="77777777" w:rsidR="009C494B" w:rsidRPr="009C494B" w:rsidRDefault="009C494B" w:rsidP="009C494B">
      <w:pPr>
        <w:tabs>
          <w:tab w:val="left" w:pos="851"/>
        </w:tabs>
        <w:ind w:left="851"/>
        <w:rPr>
          <w:sz w:val="24"/>
          <w:szCs w:val="24"/>
        </w:rPr>
      </w:pPr>
      <w:r w:rsidRPr="009C494B">
        <w:rPr>
          <w:sz w:val="24"/>
          <w:szCs w:val="24"/>
        </w:rPr>
        <w:t>I lighed med visse andre fentanylanaloger øger remifentanil varigheden af aktionspotentialet (APD) i Purkinjefibre isoleret fra hunde. Der var ingen effekt ved koncentrationer på 0,1 mikromolær (38 ng/ml). Effekten ses ved koncentrationer på 1 mikromolær (377 ng/ml) og er statistisk signifikant ved koncentrationer på 10 mikromolær (3.770 ng/ml). Disse koncentrationer er henholdsvis 12 og 119 gange de højeste sandsynlige frie koncentrationer (eller henholdsvis 3 og 36 gange de højeste sandsynlige koncentrationer i fuldblod) efter den maksimalt anbefalede terapeutiske dosis.</w:t>
      </w:r>
    </w:p>
    <w:p w14:paraId="2A4C8DBB" w14:textId="77777777" w:rsidR="009C494B" w:rsidRPr="009C494B" w:rsidRDefault="009C494B" w:rsidP="009C494B">
      <w:pPr>
        <w:tabs>
          <w:tab w:val="left" w:pos="851"/>
        </w:tabs>
        <w:ind w:left="851"/>
        <w:rPr>
          <w:sz w:val="24"/>
          <w:szCs w:val="24"/>
        </w:rPr>
      </w:pPr>
    </w:p>
    <w:p w14:paraId="55E5F81A" w14:textId="77777777" w:rsidR="009C494B" w:rsidRPr="009C494B" w:rsidRDefault="009C494B" w:rsidP="009C494B">
      <w:pPr>
        <w:tabs>
          <w:tab w:val="left" w:pos="851"/>
        </w:tabs>
        <w:ind w:left="851"/>
        <w:rPr>
          <w:sz w:val="24"/>
          <w:szCs w:val="24"/>
          <w:u w:val="single"/>
        </w:rPr>
      </w:pPr>
      <w:r w:rsidRPr="009C494B">
        <w:rPr>
          <w:sz w:val="24"/>
          <w:szCs w:val="24"/>
          <w:u w:val="single"/>
        </w:rPr>
        <w:t>Akut toksicitet</w:t>
      </w:r>
    </w:p>
    <w:p w14:paraId="3195D602" w14:textId="77777777" w:rsidR="009C494B" w:rsidRPr="009C494B" w:rsidRDefault="009C494B" w:rsidP="009C494B">
      <w:pPr>
        <w:tabs>
          <w:tab w:val="left" w:pos="851"/>
        </w:tabs>
        <w:ind w:left="851"/>
        <w:rPr>
          <w:sz w:val="24"/>
          <w:szCs w:val="24"/>
        </w:rPr>
      </w:pPr>
      <w:r w:rsidRPr="009C494B">
        <w:rPr>
          <w:sz w:val="24"/>
          <w:szCs w:val="24"/>
        </w:rPr>
        <w:t>De forventede tegn på µ-opioid-forgiftning sås hos ikke-ventilerede mus, rotter og hunde efter store intravenøse engangsbolusdoser af remifentanil. I disse studier overlevede den mest følsomme art, hanrotter, administration af 5 mg/kg. Hos hunde sås hypoksi-inducerede hjernemikroblødninger, der var reversible inden for 14 dage efter doseringen.</w:t>
      </w:r>
    </w:p>
    <w:p w14:paraId="5C3FCF22" w14:textId="77777777" w:rsidR="009C494B" w:rsidRPr="009C494B" w:rsidRDefault="009C494B" w:rsidP="009C494B">
      <w:pPr>
        <w:tabs>
          <w:tab w:val="left" w:pos="851"/>
        </w:tabs>
        <w:ind w:left="851"/>
        <w:rPr>
          <w:sz w:val="24"/>
          <w:szCs w:val="24"/>
        </w:rPr>
      </w:pPr>
    </w:p>
    <w:p w14:paraId="16FA4556" w14:textId="77777777" w:rsidR="009C494B" w:rsidRPr="009C494B" w:rsidRDefault="009C494B" w:rsidP="009C494B">
      <w:pPr>
        <w:tabs>
          <w:tab w:val="left" w:pos="851"/>
        </w:tabs>
        <w:ind w:left="851"/>
        <w:rPr>
          <w:sz w:val="24"/>
          <w:szCs w:val="24"/>
          <w:u w:val="single"/>
        </w:rPr>
      </w:pPr>
      <w:r w:rsidRPr="009C494B">
        <w:rPr>
          <w:sz w:val="24"/>
          <w:szCs w:val="24"/>
          <w:u w:val="single"/>
        </w:rPr>
        <w:t>Toksicitet efter gentagne doser</w:t>
      </w:r>
    </w:p>
    <w:p w14:paraId="0E3F6072" w14:textId="77777777" w:rsidR="009C494B" w:rsidRPr="009C494B" w:rsidRDefault="009C494B" w:rsidP="009C494B">
      <w:pPr>
        <w:tabs>
          <w:tab w:val="left" w:pos="851"/>
        </w:tabs>
        <w:ind w:left="851"/>
        <w:rPr>
          <w:sz w:val="24"/>
          <w:szCs w:val="24"/>
        </w:rPr>
      </w:pPr>
      <w:r w:rsidRPr="009C494B">
        <w:rPr>
          <w:sz w:val="24"/>
          <w:szCs w:val="24"/>
        </w:rPr>
        <w:t>Bolusdoser af remifentanil administreret til ikke-ventilerede rotter og hunde resulterede i respirationsdepression i alle doseringsgrupper og i reversible hjernemikroblødninger hos hunde. Efterfølgende undersøgelser viste, at mikroblødningerne skyldtes hypoksi og ikke specifikt kunne tilskrives remifentanil. Hjernemikroblødninger sås ikke i infusionsstudier hos ikke-ventilerede rotter og hunde, fordi disse studier blev udført med doser, der ikke forårsagede svær respirationsdepression.</w:t>
      </w:r>
    </w:p>
    <w:p w14:paraId="3063A48C" w14:textId="77777777" w:rsidR="009C494B" w:rsidRPr="009C494B" w:rsidRDefault="009C494B" w:rsidP="009C494B">
      <w:pPr>
        <w:tabs>
          <w:tab w:val="left" w:pos="851"/>
        </w:tabs>
        <w:ind w:left="851"/>
        <w:rPr>
          <w:sz w:val="24"/>
          <w:szCs w:val="24"/>
        </w:rPr>
      </w:pPr>
    </w:p>
    <w:p w14:paraId="79AC4BFF" w14:textId="77777777" w:rsidR="009C494B" w:rsidRPr="009C494B" w:rsidRDefault="009C494B" w:rsidP="009C494B">
      <w:pPr>
        <w:tabs>
          <w:tab w:val="left" w:pos="851"/>
        </w:tabs>
        <w:ind w:left="851"/>
        <w:rPr>
          <w:sz w:val="24"/>
          <w:szCs w:val="24"/>
        </w:rPr>
      </w:pPr>
      <w:r w:rsidRPr="009C494B">
        <w:rPr>
          <w:sz w:val="24"/>
          <w:szCs w:val="24"/>
        </w:rPr>
        <w:t>Det kan udledes af non-kliniske studier, at respirationsdepression og de hermed forbundne sequelae er den mest sandsynlige årsag til potentielt alvorlige bivirkninger hos mennesker.</w:t>
      </w:r>
    </w:p>
    <w:p w14:paraId="61EC7E3B" w14:textId="77777777" w:rsidR="009C494B" w:rsidRPr="009C494B" w:rsidRDefault="009C494B" w:rsidP="009C494B">
      <w:pPr>
        <w:tabs>
          <w:tab w:val="left" w:pos="851"/>
        </w:tabs>
        <w:ind w:left="851"/>
        <w:rPr>
          <w:sz w:val="24"/>
          <w:szCs w:val="24"/>
        </w:rPr>
      </w:pPr>
    </w:p>
    <w:p w14:paraId="48B37C5E" w14:textId="77777777" w:rsidR="009C494B" w:rsidRPr="009C494B" w:rsidRDefault="009C494B" w:rsidP="009C494B">
      <w:pPr>
        <w:tabs>
          <w:tab w:val="left" w:pos="851"/>
        </w:tabs>
        <w:ind w:left="851"/>
        <w:rPr>
          <w:sz w:val="24"/>
          <w:szCs w:val="24"/>
        </w:rPr>
      </w:pPr>
      <w:r w:rsidRPr="009C494B">
        <w:rPr>
          <w:sz w:val="24"/>
          <w:szCs w:val="24"/>
        </w:rPr>
        <w:t>Hos hunde gav intratekal administration af glycin-formuleringen alene (dvs. uden remifentanil) anledning til agitation, smerte samt manglende koordination og dysfunktion af bagben. Disse virkninger tilskrives hjælpestoffet glycin. På grund af blods bedre bufferegenskaber, den hurtigere fortynding og den lave glycin-koncentration i remifentanil-formuleringen, har disse fund ingen klinisk relevans ved intravenøs administration af remifentanil.</w:t>
      </w:r>
    </w:p>
    <w:p w14:paraId="28B7014F" w14:textId="77777777" w:rsidR="009C494B" w:rsidRPr="009C494B" w:rsidRDefault="009C494B" w:rsidP="009C494B">
      <w:pPr>
        <w:tabs>
          <w:tab w:val="left" w:pos="851"/>
        </w:tabs>
        <w:ind w:left="851"/>
        <w:rPr>
          <w:sz w:val="24"/>
          <w:szCs w:val="24"/>
        </w:rPr>
      </w:pPr>
    </w:p>
    <w:p w14:paraId="0FBA0167" w14:textId="77777777" w:rsidR="009C494B" w:rsidRPr="009C494B" w:rsidRDefault="009C494B" w:rsidP="009C494B">
      <w:pPr>
        <w:tabs>
          <w:tab w:val="left" w:pos="851"/>
        </w:tabs>
        <w:ind w:left="851"/>
        <w:rPr>
          <w:sz w:val="24"/>
          <w:szCs w:val="24"/>
          <w:u w:val="single"/>
        </w:rPr>
      </w:pPr>
      <w:r w:rsidRPr="009C494B">
        <w:rPr>
          <w:sz w:val="24"/>
          <w:szCs w:val="24"/>
          <w:u w:val="single"/>
        </w:rPr>
        <w:t>Reproduktionsstudier</w:t>
      </w:r>
    </w:p>
    <w:p w14:paraId="0E4F0DF1" w14:textId="77777777" w:rsidR="009C494B" w:rsidRPr="009C494B" w:rsidRDefault="009C494B" w:rsidP="009C494B">
      <w:pPr>
        <w:tabs>
          <w:tab w:val="left" w:pos="851"/>
        </w:tabs>
        <w:ind w:left="851"/>
        <w:rPr>
          <w:sz w:val="24"/>
          <w:szCs w:val="24"/>
        </w:rPr>
      </w:pPr>
      <w:r w:rsidRPr="009C494B">
        <w:rPr>
          <w:sz w:val="24"/>
          <w:szCs w:val="24"/>
        </w:rPr>
        <w:t>Remifentanil nedsatte fertiliteten hos hanrotter ved daglig injektion i mindst 70 dage. En dosis uden virkning blev ikke fundet. Fertiliteten hos hunrotter blev ikke påvirket. Der blev ikke set teratogene virkninger hos rotter eller kaniner. Administration af remifentanil hos rotter gennem den sidste del af drægtighedsperioden og under diegivningen havde ingen signifikant indvirkning på overlevelse, udvikling og reproduktionsevne hos F</w:t>
      </w:r>
      <w:r w:rsidRPr="009C494B">
        <w:rPr>
          <w:sz w:val="24"/>
          <w:szCs w:val="24"/>
          <w:vertAlign w:val="subscript"/>
        </w:rPr>
        <w:t>1</w:t>
      </w:r>
      <w:r w:rsidRPr="009C494B">
        <w:rPr>
          <w:sz w:val="24"/>
          <w:szCs w:val="24"/>
        </w:rPr>
        <w:t>-generationen.</w:t>
      </w:r>
    </w:p>
    <w:p w14:paraId="09D68E87" w14:textId="77777777" w:rsidR="009C494B" w:rsidRPr="009C494B" w:rsidRDefault="009C494B" w:rsidP="009C494B">
      <w:pPr>
        <w:tabs>
          <w:tab w:val="left" w:pos="851"/>
        </w:tabs>
        <w:ind w:left="851"/>
        <w:rPr>
          <w:sz w:val="24"/>
          <w:szCs w:val="24"/>
        </w:rPr>
      </w:pPr>
    </w:p>
    <w:p w14:paraId="07267876" w14:textId="77777777" w:rsidR="009C494B" w:rsidRPr="009C494B" w:rsidRDefault="009C494B" w:rsidP="009C494B">
      <w:pPr>
        <w:tabs>
          <w:tab w:val="left" w:pos="851"/>
        </w:tabs>
        <w:ind w:left="851"/>
        <w:rPr>
          <w:sz w:val="24"/>
          <w:szCs w:val="24"/>
          <w:u w:val="single"/>
        </w:rPr>
      </w:pPr>
      <w:r w:rsidRPr="009C494B">
        <w:rPr>
          <w:sz w:val="24"/>
          <w:szCs w:val="24"/>
          <w:u w:val="single"/>
        </w:rPr>
        <w:t>Genotoksicitet</w:t>
      </w:r>
    </w:p>
    <w:p w14:paraId="00DB31E8" w14:textId="77777777" w:rsidR="009C494B" w:rsidRPr="009C494B" w:rsidRDefault="009C494B" w:rsidP="009C494B">
      <w:pPr>
        <w:tabs>
          <w:tab w:val="left" w:pos="851"/>
        </w:tabs>
        <w:ind w:left="851"/>
        <w:rPr>
          <w:sz w:val="24"/>
          <w:szCs w:val="24"/>
        </w:rPr>
      </w:pPr>
      <w:r w:rsidRPr="009C494B">
        <w:rPr>
          <w:sz w:val="24"/>
          <w:szCs w:val="24"/>
        </w:rPr>
        <w:t xml:space="preserve">Remifentanil gav ikke anledning til positive fund i en række genotoksicitetsstudier </w:t>
      </w:r>
      <w:r w:rsidRPr="009C494B">
        <w:rPr>
          <w:i/>
          <w:iCs/>
          <w:sz w:val="24"/>
          <w:szCs w:val="24"/>
        </w:rPr>
        <w:t>in vitro</w:t>
      </w:r>
      <w:r w:rsidRPr="009C494B">
        <w:rPr>
          <w:sz w:val="24"/>
          <w:szCs w:val="24"/>
        </w:rPr>
        <w:t xml:space="preserve"> og </w:t>
      </w:r>
      <w:r w:rsidRPr="009C494B">
        <w:rPr>
          <w:i/>
          <w:iCs/>
          <w:sz w:val="24"/>
          <w:szCs w:val="24"/>
        </w:rPr>
        <w:t>in vivo</w:t>
      </w:r>
      <w:r w:rsidRPr="009C494B">
        <w:rPr>
          <w:sz w:val="24"/>
          <w:szCs w:val="24"/>
        </w:rPr>
        <w:t>, bortset fra muselymfomtesten</w:t>
      </w:r>
      <w:r w:rsidRPr="009C494B">
        <w:rPr>
          <w:i/>
          <w:iCs/>
          <w:sz w:val="24"/>
          <w:szCs w:val="24"/>
        </w:rPr>
        <w:t xml:space="preserve"> in vitro</w:t>
      </w:r>
      <w:r w:rsidRPr="009C494B">
        <w:rPr>
          <w:sz w:val="24"/>
          <w:szCs w:val="24"/>
        </w:rPr>
        <w:t xml:space="preserve">, der faldt positivt ud ved metabolisk aktivering. Da muselymfom-TK-resultaterne ikke blev bekræftet i yderligere prøver </w:t>
      </w:r>
      <w:r w:rsidRPr="009C494B">
        <w:rPr>
          <w:i/>
          <w:iCs/>
          <w:sz w:val="24"/>
          <w:szCs w:val="24"/>
        </w:rPr>
        <w:t>in vitro</w:t>
      </w:r>
      <w:r w:rsidRPr="009C494B">
        <w:rPr>
          <w:sz w:val="24"/>
          <w:szCs w:val="24"/>
        </w:rPr>
        <w:t xml:space="preserve"> og </w:t>
      </w:r>
      <w:r w:rsidRPr="009C494B">
        <w:rPr>
          <w:i/>
          <w:iCs/>
          <w:sz w:val="24"/>
          <w:szCs w:val="24"/>
        </w:rPr>
        <w:t>in vivo</w:t>
      </w:r>
      <w:r w:rsidRPr="009C494B">
        <w:rPr>
          <w:sz w:val="24"/>
          <w:szCs w:val="24"/>
        </w:rPr>
        <w:t>, betragtes behandling med remifentanil ikke at udgøre en genotoksisk risiko for patienter.</w:t>
      </w:r>
    </w:p>
    <w:p w14:paraId="7416498D" w14:textId="77777777" w:rsidR="009C494B" w:rsidRPr="009C494B" w:rsidRDefault="009C494B" w:rsidP="009C494B">
      <w:pPr>
        <w:tabs>
          <w:tab w:val="left" w:pos="851"/>
        </w:tabs>
        <w:ind w:left="851"/>
        <w:rPr>
          <w:sz w:val="24"/>
          <w:szCs w:val="24"/>
        </w:rPr>
      </w:pPr>
    </w:p>
    <w:p w14:paraId="16108FE0" w14:textId="77777777" w:rsidR="009C494B" w:rsidRPr="009C494B" w:rsidRDefault="009C494B" w:rsidP="009C494B">
      <w:pPr>
        <w:tabs>
          <w:tab w:val="left" w:pos="851"/>
        </w:tabs>
        <w:ind w:left="851"/>
        <w:rPr>
          <w:sz w:val="24"/>
          <w:szCs w:val="24"/>
          <w:u w:val="single"/>
        </w:rPr>
      </w:pPr>
      <w:r w:rsidRPr="009C494B">
        <w:rPr>
          <w:sz w:val="24"/>
          <w:szCs w:val="24"/>
          <w:u w:val="single"/>
        </w:rPr>
        <w:t>Karcinogenicitet</w:t>
      </w:r>
    </w:p>
    <w:p w14:paraId="1908DC74" w14:textId="77777777" w:rsidR="009C494B" w:rsidRPr="009C494B" w:rsidRDefault="009C494B" w:rsidP="009C494B">
      <w:pPr>
        <w:tabs>
          <w:tab w:val="left" w:pos="851"/>
        </w:tabs>
        <w:ind w:left="851"/>
        <w:rPr>
          <w:sz w:val="24"/>
          <w:szCs w:val="24"/>
        </w:rPr>
      </w:pPr>
      <w:r w:rsidRPr="009C494B">
        <w:rPr>
          <w:sz w:val="24"/>
          <w:szCs w:val="24"/>
        </w:rPr>
        <w:t>Der blev ikke udført langvarige karcinogenicitetsstudier.</w:t>
      </w:r>
    </w:p>
    <w:p w14:paraId="246DD56C" w14:textId="77777777" w:rsidR="009260DE" w:rsidRPr="00C84483" w:rsidRDefault="009260DE" w:rsidP="009260DE">
      <w:pPr>
        <w:tabs>
          <w:tab w:val="left" w:pos="851"/>
        </w:tabs>
        <w:ind w:left="851"/>
        <w:rPr>
          <w:sz w:val="24"/>
          <w:szCs w:val="24"/>
        </w:rPr>
      </w:pPr>
    </w:p>
    <w:p w14:paraId="24A1577E" w14:textId="77777777" w:rsidR="009260DE" w:rsidRPr="00C84483" w:rsidRDefault="009260DE" w:rsidP="009260DE">
      <w:pPr>
        <w:tabs>
          <w:tab w:val="left" w:pos="851"/>
        </w:tabs>
        <w:ind w:left="851"/>
        <w:rPr>
          <w:sz w:val="24"/>
          <w:szCs w:val="24"/>
        </w:rPr>
      </w:pPr>
    </w:p>
    <w:p w14:paraId="5CA64CA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2D747E8" w14:textId="77777777" w:rsidR="009260DE" w:rsidRPr="00BA09F1" w:rsidRDefault="009260DE" w:rsidP="009260DE">
      <w:pPr>
        <w:tabs>
          <w:tab w:val="left" w:pos="851"/>
        </w:tabs>
        <w:ind w:left="851"/>
        <w:rPr>
          <w:sz w:val="24"/>
          <w:szCs w:val="24"/>
        </w:rPr>
      </w:pPr>
    </w:p>
    <w:p w14:paraId="47EE73A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44FCF75" w14:textId="77777777" w:rsidR="000C1AAE" w:rsidRPr="000C1AAE" w:rsidRDefault="000C1AAE" w:rsidP="000C1AAE">
      <w:pPr>
        <w:tabs>
          <w:tab w:val="left" w:pos="851"/>
        </w:tabs>
        <w:ind w:left="851"/>
        <w:rPr>
          <w:sz w:val="24"/>
          <w:szCs w:val="24"/>
        </w:rPr>
      </w:pPr>
      <w:r w:rsidRPr="000C1AAE">
        <w:rPr>
          <w:sz w:val="24"/>
          <w:szCs w:val="24"/>
        </w:rPr>
        <w:t>Glycin</w:t>
      </w:r>
    </w:p>
    <w:p w14:paraId="54D681DC" w14:textId="77777777" w:rsidR="000C1AAE" w:rsidRPr="000C1AAE" w:rsidRDefault="000C1AAE" w:rsidP="000C1AAE">
      <w:pPr>
        <w:tabs>
          <w:tab w:val="left" w:pos="851"/>
        </w:tabs>
        <w:ind w:left="851"/>
        <w:rPr>
          <w:sz w:val="24"/>
          <w:szCs w:val="24"/>
        </w:rPr>
      </w:pPr>
      <w:r w:rsidRPr="000C1AAE">
        <w:rPr>
          <w:sz w:val="24"/>
          <w:szCs w:val="24"/>
        </w:rPr>
        <w:t>Saltsyre (til pH-justering)</w:t>
      </w:r>
    </w:p>
    <w:p w14:paraId="4440C444" w14:textId="77777777" w:rsidR="000C1AAE" w:rsidRPr="000C1AAE" w:rsidRDefault="000C1AAE" w:rsidP="000C1AAE">
      <w:pPr>
        <w:tabs>
          <w:tab w:val="left" w:pos="851"/>
        </w:tabs>
        <w:ind w:left="851"/>
        <w:rPr>
          <w:sz w:val="24"/>
          <w:szCs w:val="24"/>
        </w:rPr>
      </w:pPr>
      <w:r w:rsidRPr="000C1AAE">
        <w:rPr>
          <w:sz w:val="24"/>
          <w:szCs w:val="24"/>
        </w:rPr>
        <w:t>Vand til injektionsvæsker</w:t>
      </w:r>
    </w:p>
    <w:p w14:paraId="198A4BCD" w14:textId="77777777" w:rsidR="009260DE" w:rsidRPr="00C84483" w:rsidRDefault="009260DE" w:rsidP="009260DE">
      <w:pPr>
        <w:tabs>
          <w:tab w:val="left" w:pos="851"/>
        </w:tabs>
        <w:ind w:left="851"/>
        <w:rPr>
          <w:sz w:val="24"/>
          <w:szCs w:val="24"/>
        </w:rPr>
      </w:pPr>
    </w:p>
    <w:p w14:paraId="698AADC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B66016F" w14:textId="77777777" w:rsidR="000C1AAE" w:rsidRPr="000C1AAE" w:rsidRDefault="000C1AAE" w:rsidP="000C1AAE">
      <w:pPr>
        <w:tabs>
          <w:tab w:val="left" w:pos="851"/>
        </w:tabs>
        <w:ind w:left="851"/>
        <w:rPr>
          <w:sz w:val="24"/>
          <w:szCs w:val="24"/>
        </w:rPr>
      </w:pPr>
      <w:r w:rsidRPr="000C1AAE">
        <w:rPr>
          <w:sz w:val="24"/>
          <w:szCs w:val="24"/>
        </w:rPr>
        <w:t>Remifentanil "Orion" bør kun rekonstitueres eller fortyndes med de anbefalede infusionsvæsker (se pkt. 6.6).</w:t>
      </w:r>
    </w:p>
    <w:p w14:paraId="0351D772" w14:textId="77777777" w:rsidR="000C1AAE" w:rsidRPr="000C1AAE" w:rsidRDefault="000C1AAE" w:rsidP="000C1AAE">
      <w:pPr>
        <w:tabs>
          <w:tab w:val="left" w:pos="851"/>
        </w:tabs>
        <w:ind w:left="851"/>
        <w:rPr>
          <w:sz w:val="24"/>
          <w:szCs w:val="24"/>
        </w:rPr>
      </w:pPr>
    </w:p>
    <w:p w14:paraId="75C2E067" w14:textId="77777777" w:rsidR="000C1AAE" w:rsidRPr="000C1AAE" w:rsidRDefault="000C1AAE" w:rsidP="000C1AAE">
      <w:pPr>
        <w:tabs>
          <w:tab w:val="left" w:pos="851"/>
        </w:tabs>
        <w:ind w:left="851"/>
        <w:rPr>
          <w:sz w:val="24"/>
          <w:szCs w:val="24"/>
        </w:rPr>
      </w:pPr>
      <w:r w:rsidRPr="000C1AAE">
        <w:rPr>
          <w:sz w:val="24"/>
          <w:szCs w:val="24"/>
        </w:rPr>
        <w:t>Remifentanil "Orion" bør ikke rekonstitueres, fortyndes eller blandes med Ringerlactat injektionsvæske, opløsning eller Ringerlactat og glucose 5 % injektionsvæske, opløsning.</w:t>
      </w:r>
    </w:p>
    <w:p w14:paraId="5027C984" w14:textId="77777777" w:rsidR="000C1AAE" w:rsidRPr="000C1AAE" w:rsidRDefault="000C1AAE" w:rsidP="000C1AAE">
      <w:pPr>
        <w:tabs>
          <w:tab w:val="left" w:pos="851"/>
        </w:tabs>
        <w:ind w:left="851"/>
        <w:rPr>
          <w:sz w:val="24"/>
          <w:szCs w:val="24"/>
        </w:rPr>
      </w:pPr>
    </w:p>
    <w:p w14:paraId="216AAA17" w14:textId="77777777" w:rsidR="000C1AAE" w:rsidRPr="000C1AAE" w:rsidRDefault="000C1AAE" w:rsidP="000C1AAE">
      <w:pPr>
        <w:tabs>
          <w:tab w:val="left" w:pos="851"/>
        </w:tabs>
        <w:ind w:left="851"/>
        <w:rPr>
          <w:sz w:val="24"/>
          <w:szCs w:val="24"/>
        </w:rPr>
      </w:pPr>
      <w:r w:rsidRPr="000C1AAE">
        <w:rPr>
          <w:sz w:val="24"/>
          <w:szCs w:val="24"/>
        </w:rPr>
        <w:t>Remifentanil "Orion" bør ikke blandes med propofol i samme infusionspose inden administration.</w:t>
      </w:r>
    </w:p>
    <w:p w14:paraId="140C05BB" w14:textId="77777777" w:rsidR="000C1AAE" w:rsidRPr="000C1AAE" w:rsidRDefault="000C1AAE" w:rsidP="000C1AAE">
      <w:pPr>
        <w:tabs>
          <w:tab w:val="left" w:pos="851"/>
        </w:tabs>
        <w:ind w:left="851"/>
        <w:rPr>
          <w:sz w:val="24"/>
          <w:szCs w:val="24"/>
        </w:rPr>
      </w:pPr>
    </w:p>
    <w:p w14:paraId="2C449474" w14:textId="77777777" w:rsidR="000C1AAE" w:rsidRPr="000C1AAE" w:rsidRDefault="000C1AAE" w:rsidP="000C1AAE">
      <w:pPr>
        <w:tabs>
          <w:tab w:val="left" w:pos="851"/>
        </w:tabs>
        <w:ind w:left="851"/>
        <w:rPr>
          <w:sz w:val="24"/>
          <w:szCs w:val="24"/>
        </w:rPr>
      </w:pPr>
      <w:r w:rsidRPr="000C1AAE">
        <w:rPr>
          <w:sz w:val="24"/>
          <w:szCs w:val="24"/>
        </w:rPr>
        <w:t>Det frarådes at administrere Remifentanil "Orion" via samme intravenøse adgang som blod/serum/plasma, idet uspecifikke esteraser i blodprodukter kan medføre hydrolyse af remifentanil til den inaktive metabolit.</w:t>
      </w:r>
    </w:p>
    <w:p w14:paraId="5DFFDE7C" w14:textId="77777777" w:rsidR="000C1AAE" w:rsidRPr="000C1AAE" w:rsidRDefault="000C1AAE" w:rsidP="000C1AAE">
      <w:pPr>
        <w:tabs>
          <w:tab w:val="left" w:pos="851"/>
        </w:tabs>
        <w:ind w:left="851"/>
        <w:rPr>
          <w:sz w:val="24"/>
          <w:szCs w:val="24"/>
        </w:rPr>
      </w:pPr>
    </w:p>
    <w:p w14:paraId="3C072BAA" w14:textId="77777777" w:rsidR="000C1AAE" w:rsidRPr="000C1AAE" w:rsidRDefault="000C1AAE" w:rsidP="000C1AAE">
      <w:pPr>
        <w:tabs>
          <w:tab w:val="left" w:pos="851"/>
        </w:tabs>
        <w:ind w:left="851"/>
        <w:rPr>
          <w:sz w:val="24"/>
          <w:szCs w:val="24"/>
        </w:rPr>
      </w:pPr>
      <w:r w:rsidRPr="000C1AAE">
        <w:rPr>
          <w:sz w:val="24"/>
          <w:szCs w:val="24"/>
        </w:rPr>
        <w:t>Remifentanil "Orion" bør ikke blandes med andre lægemidler før administration.</w:t>
      </w:r>
    </w:p>
    <w:p w14:paraId="3CAAE483" w14:textId="77777777" w:rsidR="009260DE" w:rsidRPr="00C84483" w:rsidRDefault="009260DE" w:rsidP="009260DE">
      <w:pPr>
        <w:tabs>
          <w:tab w:val="left" w:pos="851"/>
        </w:tabs>
        <w:ind w:left="851"/>
        <w:rPr>
          <w:sz w:val="24"/>
          <w:szCs w:val="24"/>
        </w:rPr>
      </w:pPr>
    </w:p>
    <w:p w14:paraId="030D520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1905BE3" w14:textId="77777777" w:rsidR="00C440A6" w:rsidRPr="00C440A6" w:rsidRDefault="00C440A6" w:rsidP="00C440A6">
      <w:pPr>
        <w:tabs>
          <w:tab w:val="left" w:pos="851"/>
        </w:tabs>
        <w:ind w:left="851"/>
        <w:rPr>
          <w:sz w:val="24"/>
          <w:szCs w:val="24"/>
        </w:rPr>
      </w:pPr>
    </w:p>
    <w:p w14:paraId="1A21C18C" w14:textId="1BB45A76" w:rsidR="00C440A6" w:rsidRPr="00C440A6" w:rsidRDefault="00C440A6" w:rsidP="00C440A6">
      <w:pPr>
        <w:tabs>
          <w:tab w:val="left" w:pos="851"/>
        </w:tabs>
        <w:ind w:left="851"/>
        <w:rPr>
          <w:sz w:val="24"/>
          <w:szCs w:val="24"/>
          <w:u w:val="single"/>
        </w:rPr>
      </w:pPr>
      <w:r w:rsidRPr="00C440A6">
        <w:rPr>
          <w:sz w:val="24"/>
          <w:szCs w:val="24"/>
          <w:u w:val="single"/>
        </w:rPr>
        <w:t>Hætteglas</w:t>
      </w:r>
    </w:p>
    <w:p w14:paraId="1C0AE68A" w14:textId="16BB5F3D" w:rsidR="00C440A6" w:rsidRPr="00C440A6" w:rsidRDefault="00C440A6" w:rsidP="00C440A6">
      <w:pPr>
        <w:tabs>
          <w:tab w:val="left" w:pos="851"/>
        </w:tabs>
        <w:ind w:left="851"/>
        <w:rPr>
          <w:sz w:val="24"/>
          <w:szCs w:val="24"/>
        </w:rPr>
      </w:pPr>
      <w:r w:rsidRPr="00C440A6">
        <w:rPr>
          <w:sz w:val="24"/>
          <w:szCs w:val="24"/>
        </w:rPr>
        <w:t>1 mg hætteglas: 18 måneder</w:t>
      </w:r>
      <w:r>
        <w:rPr>
          <w:sz w:val="24"/>
          <w:szCs w:val="24"/>
        </w:rPr>
        <w:t>.</w:t>
      </w:r>
    </w:p>
    <w:p w14:paraId="693AF078" w14:textId="2D415398" w:rsidR="00C440A6" w:rsidRPr="00C440A6" w:rsidRDefault="00C440A6" w:rsidP="00C440A6">
      <w:pPr>
        <w:tabs>
          <w:tab w:val="left" w:pos="851"/>
        </w:tabs>
        <w:ind w:left="851"/>
        <w:rPr>
          <w:sz w:val="24"/>
          <w:szCs w:val="24"/>
        </w:rPr>
      </w:pPr>
      <w:r w:rsidRPr="00C440A6">
        <w:rPr>
          <w:sz w:val="24"/>
          <w:szCs w:val="24"/>
        </w:rPr>
        <w:t>2 mg hætteglas: 2 år</w:t>
      </w:r>
      <w:r>
        <w:rPr>
          <w:sz w:val="24"/>
          <w:szCs w:val="24"/>
        </w:rPr>
        <w:t>.</w:t>
      </w:r>
    </w:p>
    <w:p w14:paraId="152813DC" w14:textId="3E30BD0B" w:rsidR="00C440A6" w:rsidRPr="00C440A6" w:rsidRDefault="00C440A6" w:rsidP="00C440A6">
      <w:pPr>
        <w:tabs>
          <w:tab w:val="left" w:pos="851"/>
        </w:tabs>
        <w:ind w:left="851"/>
        <w:rPr>
          <w:sz w:val="24"/>
          <w:szCs w:val="24"/>
        </w:rPr>
      </w:pPr>
      <w:r w:rsidRPr="00C440A6">
        <w:rPr>
          <w:sz w:val="24"/>
          <w:szCs w:val="24"/>
        </w:rPr>
        <w:t>5 mg hætteglas: 3 år</w:t>
      </w:r>
      <w:r>
        <w:rPr>
          <w:sz w:val="24"/>
          <w:szCs w:val="24"/>
        </w:rPr>
        <w:t>.</w:t>
      </w:r>
    </w:p>
    <w:p w14:paraId="3D8E9C10" w14:textId="77777777" w:rsidR="00C440A6" w:rsidRPr="00C440A6" w:rsidRDefault="00C440A6" w:rsidP="00C440A6">
      <w:pPr>
        <w:tabs>
          <w:tab w:val="left" w:pos="851"/>
        </w:tabs>
        <w:ind w:left="851"/>
        <w:rPr>
          <w:sz w:val="24"/>
          <w:szCs w:val="24"/>
        </w:rPr>
      </w:pPr>
    </w:p>
    <w:p w14:paraId="367028DB" w14:textId="08BE82FA" w:rsidR="00C440A6" w:rsidRPr="00C440A6" w:rsidRDefault="00C440A6" w:rsidP="00C440A6">
      <w:pPr>
        <w:tabs>
          <w:tab w:val="left" w:pos="851"/>
        </w:tabs>
        <w:ind w:left="851"/>
        <w:rPr>
          <w:sz w:val="24"/>
          <w:szCs w:val="24"/>
        </w:rPr>
      </w:pPr>
      <w:r w:rsidRPr="00C440A6">
        <w:rPr>
          <w:sz w:val="24"/>
          <w:szCs w:val="24"/>
          <w:u w:val="single"/>
        </w:rPr>
        <w:t>Rekonstitueret opløsning</w:t>
      </w:r>
    </w:p>
    <w:p w14:paraId="07DC31C1" w14:textId="77777777" w:rsidR="00C440A6" w:rsidRPr="00C440A6" w:rsidRDefault="00C440A6" w:rsidP="00C440A6">
      <w:pPr>
        <w:tabs>
          <w:tab w:val="left" w:pos="851"/>
        </w:tabs>
        <w:ind w:left="851"/>
        <w:rPr>
          <w:sz w:val="24"/>
          <w:szCs w:val="24"/>
        </w:rPr>
      </w:pPr>
      <w:r w:rsidRPr="00C440A6">
        <w:rPr>
          <w:sz w:val="24"/>
          <w:szCs w:val="24"/>
        </w:rPr>
        <w:t>Kemisk og fysisk stabilitet under brug af den rekonstituerede opløsning er blevet påvist i 24 timer ved 25 °C. Ud fra et mikrobiologisk synspunkt bør produktet anvendes med det samme. Hvis det ikke anvendes med det samme, er opbevaringstider og -betingelser før anvendelse brugerens ansvar og vil normalt ikke være længere end 24 timer ved 2 til 8 °C, medmindre rekonstitutionen er blevet udført under kontrollerede og validerede aseptiske forhold.</w:t>
      </w:r>
    </w:p>
    <w:p w14:paraId="256D6493" w14:textId="77777777" w:rsidR="00C440A6" w:rsidRPr="00C440A6" w:rsidRDefault="00C440A6" w:rsidP="00C440A6">
      <w:pPr>
        <w:tabs>
          <w:tab w:val="left" w:pos="851"/>
        </w:tabs>
        <w:ind w:left="851"/>
        <w:rPr>
          <w:sz w:val="24"/>
          <w:szCs w:val="24"/>
        </w:rPr>
      </w:pPr>
    </w:p>
    <w:p w14:paraId="62250821" w14:textId="703E07BA" w:rsidR="00C440A6" w:rsidRPr="00C440A6" w:rsidRDefault="00C440A6" w:rsidP="00C440A6">
      <w:pPr>
        <w:tabs>
          <w:tab w:val="left" w:pos="851"/>
        </w:tabs>
        <w:ind w:left="851"/>
        <w:rPr>
          <w:sz w:val="24"/>
          <w:szCs w:val="24"/>
        </w:rPr>
      </w:pPr>
      <w:r w:rsidRPr="00C440A6">
        <w:rPr>
          <w:sz w:val="24"/>
          <w:szCs w:val="24"/>
          <w:u w:val="single"/>
        </w:rPr>
        <w:t>Fortyndet opløsning</w:t>
      </w:r>
    </w:p>
    <w:p w14:paraId="41B5CD01" w14:textId="77777777" w:rsidR="00C440A6" w:rsidRPr="00C440A6" w:rsidRDefault="00C440A6" w:rsidP="00C440A6">
      <w:pPr>
        <w:tabs>
          <w:tab w:val="left" w:pos="851"/>
        </w:tabs>
        <w:ind w:left="851"/>
        <w:rPr>
          <w:sz w:val="24"/>
          <w:szCs w:val="24"/>
        </w:rPr>
      </w:pPr>
      <w:r w:rsidRPr="00C440A6">
        <w:rPr>
          <w:sz w:val="24"/>
          <w:szCs w:val="24"/>
        </w:rPr>
        <w:t>Alle fortyndede opløsninger af Remifentanil "Orion" injektions- og infusionsvæske bør anvendes med det samme. Eventuel ubrugt fortyndet opløsning skal kasseres.</w:t>
      </w:r>
    </w:p>
    <w:p w14:paraId="0B9E9A6C" w14:textId="77777777" w:rsidR="009260DE" w:rsidRPr="00C84483" w:rsidRDefault="009260DE" w:rsidP="009260DE">
      <w:pPr>
        <w:tabs>
          <w:tab w:val="left" w:pos="851"/>
        </w:tabs>
        <w:ind w:left="851"/>
        <w:rPr>
          <w:sz w:val="24"/>
          <w:szCs w:val="24"/>
        </w:rPr>
      </w:pPr>
    </w:p>
    <w:p w14:paraId="5E96C6D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F26AAC4" w14:textId="77777777" w:rsidR="00C440A6" w:rsidRPr="00C440A6" w:rsidRDefault="00C440A6" w:rsidP="00C440A6">
      <w:pPr>
        <w:tabs>
          <w:tab w:val="left" w:pos="851"/>
        </w:tabs>
        <w:ind w:left="851"/>
        <w:rPr>
          <w:sz w:val="24"/>
          <w:szCs w:val="24"/>
        </w:rPr>
      </w:pPr>
      <w:r w:rsidRPr="00C440A6">
        <w:rPr>
          <w:sz w:val="24"/>
          <w:szCs w:val="24"/>
        </w:rPr>
        <w:t>Opbevares ved temperaturer under 25 °C.</w:t>
      </w:r>
    </w:p>
    <w:p w14:paraId="7971E130" w14:textId="77777777" w:rsidR="00C440A6" w:rsidRPr="00C440A6" w:rsidRDefault="00C440A6" w:rsidP="00C440A6">
      <w:pPr>
        <w:tabs>
          <w:tab w:val="left" w:pos="851"/>
        </w:tabs>
        <w:ind w:left="851"/>
        <w:rPr>
          <w:sz w:val="24"/>
          <w:szCs w:val="24"/>
        </w:rPr>
      </w:pPr>
    </w:p>
    <w:p w14:paraId="20D8F34A" w14:textId="77777777" w:rsidR="00C440A6" w:rsidRPr="00C440A6" w:rsidRDefault="00C440A6" w:rsidP="00C440A6">
      <w:pPr>
        <w:tabs>
          <w:tab w:val="left" w:pos="851"/>
        </w:tabs>
        <w:ind w:left="851"/>
        <w:rPr>
          <w:sz w:val="24"/>
          <w:szCs w:val="24"/>
        </w:rPr>
      </w:pPr>
      <w:r w:rsidRPr="00C440A6">
        <w:rPr>
          <w:sz w:val="24"/>
          <w:szCs w:val="24"/>
        </w:rPr>
        <w:t>Opbevaringsforhold efter rekonstitution og fortynding af lægemidlet, se pkt. 6.3.</w:t>
      </w:r>
    </w:p>
    <w:p w14:paraId="06336801" w14:textId="77777777" w:rsidR="009260DE" w:rsidRPr="00C84483" w:rsidRDefault="009260DE" w:rsidP="009260DE">
      <w:pPr>
        <w:tabs>
          <w:tab w:val="left" w:pos="851"/>
        </w:tabs>
        <w:ind w:left="851"/>
        <w:rPr>
          <w:sz w:val="24"/>
          <w:szCs w:val="24"/>
        </w:rPr>
      </w:pPr>
    </w:p>
    <w:p w14:paraId="7D299DA4"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2329D16" w14:textId="75D568E3" w:rsidR="00C440A6" w:rsidRPr="00C440A6" w:rsidRDefault="0064746E" w:rsidP="00C440A6">
      <w:pPr>
        <w:tabs>
          <w:tab w:val="left" w:pos="851"/>
        </w:tabs>
        <w:ind w:left="851"/>
        <w:rPr>
          <w:sz w:val="24"/>
          <w:szCs w:val="24"/>
        </w:rPr>
      </w:pPr>
      <w:r>
        <w:rPr>
          <w:sz w:val="24"/>
          <w:szCs w:val="24"/>
        </w:rPr>
        <w:t>K</w:t>
      </w:r>
      <w:r w:rsidR="00C440A6" w:rsidRPr="00C440A6">
        <w:rPr>
          <w:sz w:val="24"/>
          <w:szCs w:val="24"/>
        </w:rPr>
        <w:t>lart hætteglas med chlorbutylgummiprop og aluminiumsforsegling</w:t>
      </w:r>
      <w:r>
        <w:rPr>
          <w:sz w:val="24"/>
          <w:szCs w:val="24"/>
        </w:rPr>
        <w:t>.</w:t>
      </w:r>
    </w:p>
    <w:p w14:paraId="5AC111D5" w14:textId="7A030A46" w:rsidR="00C440A6" w:rsidRDefault="00C440A6" w:rsidP="00C440A6">
      <w:pPr>
        <w:tabs>
          <w:tab w:val="left" w:pos="851"/>
        </w:tabs>
        <w:ind w:left="851"/>
        <w:rPr>
          <w:sz w:val="24"/>
          <w:szCs w:val="24"/>
        </w:rPr>
      </w:pPr>
    </w:p>
    <w:p w14:paraId="61AE094D" w14:textId="04144614" w:rsidR="006D55E5" w:rsidRPr="006D55E5" w:rsidRDefault="006D55E5" w:rsidP="00C440A6">
      <w:pPr>
        <w:tabs>
          <w:tab w:val="left" w:pos="851"/>
        </w:tabs>
        <w:ind w:left="851"/>
        <w:rPr>
          <w:sz w:val="24"/>
          <w:szCs w:val="24"/>
          <w:u w:val="single"/>
        </w:rPr>
      </w:pPr>
      <w:r w:rsidRPr="006D55E5">
        <w:rPr>
          <w:sz w:val="24"/>
          <w:szCs w:val="24"/>
          <w:u w:val="single"/>
        </w:rPr>
        <w:t>Pakningsstørrelser</w:t>
      </w:r>
    </w:p>
    <w:p w14:paraId="3BD6051A" w14:textId="005CD2E9" w:rsidR="00C440A6" w:rsidRPr="00C440A6" w:rsidRDefault="00C440A6" w:rsidP="00C440A6">
      <w:pPr>
        <w:tabs>
          <w:tab w:val="left" w:pos="851"/>
        </w:tabs>
        <w:ind w:left="851"/>
        <w:rPr>
          <w:sz w:val="24"/>
          <w:szCs w:val="24"/>
        </w:rPr>
      </w:pPr>
      <w:r w:rsidRPr="00C440A6">
        <w:rPr>
          <w:sz w:val="24"/>
          <w:szCs w:val="24"/>
        </w:rPr>
        <w:t>1 mg frysetørret pulver i 2 ml hætteglas i kartoner med 5</w:t>
      </w:r>
      <w:r w:rsidR="0064746E">
        <w:rPr>
          <w:sz w:val="24"/>
          <w:szCs w:val="24"/>
        </w:rPr>
        <w:t>.</w:t>
      </w:r>
    </w:p>
    <w:p w14:paraId="1C8E7F6E" w14:textId="0413D8B0" w:rsidR="00C440A6" w:rsidRPr="00C440A6" w:rsidRDefault="00C440A6" w:rsidP="00C440A6">
      <w:pPr>
        <w:tabs>
          <w:tab w:val="left" w:pos="851"/>
        </w:tabs>
        <w:ind w:left="851"/>
        <w:rPr>
          <w:sz w:val="24"/>
          <w:szCs w:val="24"/>
        </w:rPr>
      </w:pPr>
      <w:r w:rsidRPr="00C440A6">
        <w:rPr>
          <w:sz w:val="24"/>
          <w:szCs w:val="24"/>
        </w:rPr>
        <w:t>2 mg frysetørret pulver i 2 ml hætteglas i kartoner med 5</w:t>
      </w:r>
      <w:r w:rsidR="0064746E">
        <w:rPr>
          <w:sz w:val="24"/>
          <w:szCs w:val="24"/>
        </w:rPr>
        <w:t>.</w:t>
      </w:r>
    </w:p>
    <w:p w14:paraId="21BB4F4B" w14:textId="086C9994" w:rsidR="00C440A6" w:rsidRPr="00C440A6" w:rsidRDefault="00C440A6" w:rsidP="00C440A6">
      <w:pPr>
        <w:tabs>
          <w:tab w:val="left" w:pos="851"/>
        </w:tabs>
        <w:ind w:left="851"/>
        <w:rPr>
          <w:sz w:val="24"/>
          <w:szCs w:val="24"/>
        </w:rPr>
      </w:pPr>
      <w:r w:rsidRPr="00C440A6">
        <w:rPr>
          <w:sz w:val="24"/>
          <w:szCs w:val="24"/>
        </w:rPr>
        <w:t>5 mg frysetørret pulver i 10 ml hætteglas i kartoner med 5</w:t>
      </w:r>
      <w:r w:rsidR="0064746E">
        <w:rPr>
          <w:sz w:val="24"/>
          <w:szCs w:val="24"/>
        </w:rPr>
        <w:t>.</w:t>
      </w:r>
    </w:p>
    <w:p w14:paraId="29DDA9CB" w14:textId="77777777" w:rsidR="00C440A6" w:rsidRPr="00C440A6" w:rsidRDefault="00C440A6" w:rsidP="00C440A6">
      <w:pPr>
        <w:tabs>
          <w:tab w:val="left" w:pos="851"/>
        </w:tabs>
        <w:ind w:left="851"/>
        <w:rPr>
          <w:sz w:val="24"/>
          <w:szCs w:val="24"/>
        </w:rPr>
      </w:pPr>
    </w:p>
    <w:p w14:paraId="37C79768" w14:textId="77777777" w:rsidR="00C440A6" w:rsidRPr="00C440A6" w:rsidRDefault="00C440A6" w:rsidP="00C440A6">
      <w:pPr>
        <w:tabs>
          <w:tab w:val="left" w:pos="851"/>
        </w:tabs>
        <w:ind w:left="851"/>
        <w:rPr>
          <w:sz w:val="24"/>
          <w:szCs w:val="24"/>
        </w:rPr>
      </w:pPr>
      <w:r w:rsidRPr="00C440A6">
        <w:rPr>
          <w:sz w:val="24"/>
          <w:szCs w:val="24"/>
        </w:rPr>
        <w:t>Ikke alle pakningsstørrelser er nødvendigvis markedsført.</w:t>
      </w:r>
    </w:p>
    <w:p w14:paraId="2B022FF5" w14:textId="77777777" w:rsidR="009260DE" w:rsidRPr="00C84483" w:rsidRDefault="009260DE" w:rsidP="009260DE">
      <w:pPr>
        <w:tabs>
          <w:tab w:val="left" w:pos="851"/>
        </w:tabs>
        <w:ind w:left="851"/>
        <w:rPr>
          <w:sz w:val="24"/>
          <w:szCs w:val="24"/>
        </w:rPr>
      </w:pPr>
    </w:p>
    <w:p w14:paraId="0DF69130"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22F42A4" w14:textId="77777777" w:rsidR="00486A3E" w:rsidRPr="00486A3E" w:rsidRDefault="00486A3E" w:rsidP="00486A3E">
      <w:pPr>
        <w:ind w:left="851"/>
        <w:rPr>
          <w:sz w:val="24"/>
          <w:szCs w:val="24"/>
        </w:rPr>
      </w:pPr>
      <w:r w:rsidRPr="00486A3E">
        <w:rPr>
          <w:sz w:val="24"/>
          <w:szCs w:val="24"/>
        </w:rPr>
        <w:t>Remifentanil "Orion" tilberedes til intravenøs anvendelse ved at tilsætte henholdsvis 1, 2 eller 5 ml fortyndingsvæske for at få en rekonstitueret opløsning med en koncentration på 1 mg/ml remifentanil. Den rekonstituerede opløsning er klar, farveløs og stort set fri for partikler. Efter rekonstitution skal produktet inspiceres visuelt (hvor det er muligt i forhold til emballagen) for at sikre, at det ikke indeholder partikler, er misfarvet og at emballagen ikke er beskadiget. Hvis sådanne defekter observeres, skal opløsningen kasseres. Det rekonstituerede produkt er kun til engangsbrug. Ikke anvendt lægemiddel samt affald heraf skal bortskaffes i henhold til lokale retningslinjer.</w:t>
      </w:r>
    </w:p>
    <w:p w14:paraId="0A1C4FD1" w14:textId="77777777" w:rsidR="00486A3E" w:rsidRPr="00486A3E" w:rsidRDefault="00486A3E" w:rsidP="00486A3E">
      <w:pPr>
        <w:ind w:left="851"/>
        <w:rPr>
          <w:sz w:val="24"/>
          <w:szCs w:val="24"/>
        </w:rPr>
      </w:pPr>
    </w:p>
    <w:p w14:paraId="7B2ECE47" w14:textId="77777777" w:rsidR="00486A3E" w:rsidRPr="00486A3E" w:rsidRDefault="00486A3E" w:rsidP="00486A3E">
      <w:pPr>
        <w:ind w:left="851"/>
        <w:rPr>
          <w:sz w:val="24"/>
          <w:szCs w:val="24"/>
        </w:rPr>
      </w:pPr>
      <w:r w:rsidRPr="00486A3E">
        <w:rPr>
          <w:sz w:val="24"/>
          <w:szCs w:val="24"/>
        </w:rPr>
        <w:t>Remifentanil "Orion" bør ikke administreres ved manuelt kontrolleret infusion uden yderligere fortynding til koncentrationer på 20</w:t>
      </w:r>
      <w:r w:rsidRPr="00486A3E">
        <w:rPr>
          <w:sz w:val="24"/>
          <w:szCs w:val="24"/>
        </w:rPr>
        <w:noBreakHyphen/>
        <w:t>250 µg/ml (50 µg/ml er den anbefalede fortynding til voksne og 20</w:t>
      </w:r>
      <w:r w:rsidRPr="00486A3E">
        <w:rPr>
          <w:sz w:val="24"/>
          <w:szCs w:val="24"/>
        </w:rPr>
        <w:noBreakHyphen/>
        <w:t>25 µg/ml er den anbefalede fortynding til pædiatriske patienter på 1 år og derover).</w:t>
      </w:r>
    </w:p>
    <w:p w14:paraId="4DAC7353" w14:textId="77777777" w:rsidR="00486A3E" w:rsidRPr="00486A3E" w:rsidRDefault="00486A3E" w:rsidP="00486A3E">
      <w:pPr>
        <w:ind w:left="851"/>
        <w:rPr>
          <w:sz w:val="24"/>
          <w:szCs w:val="24"/>
        </w:rPr>
      </w:pPr>
    </w:p>
    <w:p w14:paraId="6BD128F7" w14:textId="77777777" w:rsidR="00486A3E" w:rsidRPr="00486A3E" w:rsidRDefault="00486A3E" w:rsidP="00486A3E">
      <w:pPr>
        <w:ind w:left="851"/>
        <w:rPr>
          <w:sz w:val="24"/>
          <w:szCs w:val="24"/>
        </w:rPr>
      </w:pPr>
      <w:r w:rsidRPr="00486A3E">
        <w:rPr>
          <w:sz w:val="24"/>
          <w:szCs w:val="24"/>
        </w:rPr>
        <w:t>Remifentanil "Orion" bør ikke administreres ved TCI uden yderligere fortynding (20</w:t>
      </w:r>
      <w:r w:rsidRPr="00486A3E">
        <w:rPr>
          <w:sz w:val="24"/>
          <w:szCs w:val="24"/>
        </w:rPr>
        <w:noBreakHyphen/>
        <w:t>50 µg/ml er den anbefalede fortynding ved TCI).</w:t>
      </w:r>
    </w:p>
    <w:p w14:paraId="521D888F" w14:textId="77777777" w:rsidR="00486A3E" w:rsidRPr="00486A3E" w:rsidRDefault="00486A3E" w:rsidP="00486A3E">
      <w:pPr>
        <w:ind w:left="851"/>
        <w:rPr>
          <w:sz w:val="24"/>
          <w:szCs w:val="24"/>
        </w:rPr>
      </w:pPr>
    </w:p>
    <w:p w14:paraId="520CC777" w14:textId="77777777" w:rsidR="00486A3E" w:rsidRPr="00486A3E" w:rsidRDefault="00486A3E" w:rsidP="00486A3E">
      <w:pPr>
        <w:ind w:left="851"/>
        <w:rPr>
          <w:sz w:val="24"/>
          <w:szCs w:val="24"/>
        </w:rPr>
      </w:pPr>
      <w:r w:rsidRPr="00486A3E">
        <w:rPr>
          <w:sz w:val="24"/>
          <w:szCs w:val="24"/>
        </w:rPr>
        <w:t>Fortyndingen afhænger af infusionspumpens tekniske kapacitet og patientens forventede behov.</w:t>
      </w:r>
    </w:p>
    <w:p w14:paraId="4F4D0130" w14:textId="77777777" w:rsidR="00486A3E" w:rsidRPr="00486A3E" w:rsidRDefault="00486A3E" w:rsidP="00486A3E">
      <w:pPr>
        <w:ind w:left="851"/>
        <w:rPr>
          <w:sz w:val="24"/>
          <w:szCs w:val="24"/>
        </w:rPr>
      </w:pPr>
    </w:p>
    <w:p w14:paraId="583369EC" w14:textId="77777777" w:rsidR="00486A3E" w:rsidRPr="00486A3E" w:rsidRDefault="00486A3E" w:rsidP="00486A3E">
      <w:pPr>
        <w:ind w:left="851"/>
        <w:rPr>
          <w:sz w:val="24"/>
          <w:szCs w:val="24"/>
        </w:rPr>
      </w:pPr>
      <w:r w:rsidRPr="00486A3E">
        <w:rPr>
          <w:sz w:val="24"/>
          <w:szCs w:val="24"/>
        </w:rPr>
        <w:t>Der kan vælges én af følgende i.v.-væsker til fortynding:</w:t>
      </w:r>
    </w:p>
    <w:p w14:paraId="47737A9F" w14:textId="77777777" w:rsidR="00486A3E" w:rsidRPr="00486A3E" w:rsidRDefault="00486A3E" w:rsidP="00486A3E">
      <w:pPr>
        <w:ind w:left="851"/>
        <w:rPr>
          <w:sz w:val="24"/>
          <w:szCs w:val="24"/>
        </w:rPr>
      </w:pPr>
    </w:p>
    <w:p w14:paraId="3433F137" w14:textId="77777777" w:rsidR="00486A3E" w:rsidRPr="00486A3E" w:rsidRDefault="00486A3E" w:rsidP="00486A3E">
      <w:pPr>
        <w:ind w:left="851"/>
        <w:rPr>
          <w:sz w:val="24"/>
          <w:szCs w:val="24"/>
        </w:rPr>
      </w:pPr>
      <w:r w:rsidRPr="00486A3E">
        <w:rPr>
          <w:sz w:val="24"/>
          <w:szCs w:val="24"/>
        </w:rPr>
        <w:t>Vand til injektionsvæsker</w:t>
      </w:r>
    </w:p>
    <w:p w14:paraId="47B9A173" w14:textId="77777777" w:rsidR="00486A3E" w:rsidRPr="00486A3E" w:rsidRDefault="00486A3E" w:rsidP="00486A3E">
      <w:pPr>
        <w:ind w:left="851"/>
        <w:rPr>
          <w:sz w:val="24"/>
          <w:szCs w:val="24"/>
        </w:rPr>
      </w:pPr>
      <w:r w:rsidRPr="00486A3E">
        <w:rPr>
          <w:sz w:val="24"/>
          <w:szCs w:val="24"/>
        </w:rPr>
        <w:t>Glucose 5 % injektionsvæske, opløsning</w:t>
      </w:r>
    </w:p>
    <w:p w14:paraId="377383C8" w14:textId="77777777" w:rsidR="00486A3E" w:rsidRPr="00486A3E" w:rsidRDefault="00486A3E" w:rsidP="00486A3E">
      <w:pPr>
        <w:ind w:left="851"/>
        <w:rPr>
          <w:sz w:val="24"/>
          <w:szCs w:val="24"/>
        </w:rPr>
      </w:pPr>
      <w:r w:rsidRPr="00486A3E">
        <w:rPr>
          <w:sz w:val="24"/>
          <w:szCs w:val="24"/>
        </w:rPr>
        <w:t>Glucose 5 % og natriumchlorid 0,9 % injektionsvæske, opløsning</w:t>
      </w:r>
    </w:p>
    <w:p w14:paraId="659362AD" w14:textId="77777777" w:rsidR="00486A3E" w:rsidRPr="00486A3E" w:rsidRDefault="00486A3E" w:rsidP="00486A3E">
      <w:pPr>
        <w:ind w:left="851"/>
        <w:rPr>
          <w:sz w:val="24"/>
          <w:szCs w:val="24"/>
        </w:rPr>
      </w:pPr>
      <w:r w:rsidRPr="00486A3E">
        <w:rPr>
          <w:sz w:val="24"/>
          <w:szCs w:val="24"/>
        </w:rPr>
        <w:t>Natriumchlorid 0,9 % injektionsvæske, opløsning</w:t>
      </w:r>
    </w:p>
    <w:p w14:paraId="623D6A93" w14:textId="77777777" w:rsidR="00486A3E" w:rsidRPr="00486A3E" w:rsidRDefault="00486A3E" w:rsidP="00486A3E">
      <w:pPr>
        <w:ind w:left="851"/>
        <w:rPr>
          <w:sz w:val="24"/>
          <w:szCs w:val="24"/>
        </w:rPr>
      </w:pPr>
      <w:r w:rsidRPr="00486A3E">
        <w:rPr>
          <w:sz w:val="24"/>
          <w:szCs w:val="24"/>
        </w:rPr>
        <w:t>Natriumchlorid 0,45 % injektionsvæske, opløsning</w:t>
      </w:r>
    </w:p>
    <w:p w14:paraId="692E8089" w14:textId="77777777" w:rsidR="00486A3E" w:rsidRPr="00486A3E" w:rsidRDefault="00486A3E" w:rsidP="00486A3E">
      <w:pPr>
        <w:ind w:left="851"/>
        <w:rPr>
          <w:sz w:val="24"/>
          <w:szCs w:val="24"/>
        </w:rPr>
      </w:pPr>
    </w:p>
    <w:p w14:paraId="380600A1" w14:textId="77777777" w:rsidR="00486A3E" w:rsidRPr="00486A3E" w:rsidRDefault="00486A3E" w:rsidP="00486A3E">
      <w:pPr>
        <w:ind w:left="851"/>
        <w:rPr>
          <w:sz w:val="24"/>
          <w:szCs w:val="24"/>
        </w:rPr>
      </w:pPr>
      <w:r w:rsidRPr="00486A3E">
        <w:rPr>
          <w:sz w:val="24"/>
          <w:szCs w:val="24"/>
        </w:rPr>
        <w:t>Efter fortynding skal produktet inspiceres visuelt for at sikre, at det er klart, farveløst og praktisk taget fri for partikler, samt at beholderen er ubeskadiget. Hvis der observeres defekter, skal opløsningen kasseres.</w:t>
      </w:r>
    </w:p>
    <w:p w14:paraId="5952F9CD" w14:textId="77777777" w:rsidR="00486A3E" w:rsidRPr="00C766DC" w:rsidRDefault="00486A3E" w:rsidP="00C766DC">
      <w:pPr>
        <w:ind w:left="851"/>
        <w:rPr>
          <w:sz w:val="24"/>
          <w:szCs w:val="24"/>
        </w:rPr>
      </w:pPr>
    </w:p>
    <w:p w14:paraId="5F461B17" w14:textId="77777777" w:rsidR="00486A3E" w:rsidRPr="00C766DC" w:rsidRDefault="00486A3E" w:rsidP="00C766DC">
      <w:pPr>
        <w:ind w:left="851"/>
        <w:rPr>
          <w:sz w:val="24"/>
          <w:szCs w:val="24"/>
        </w:rPr>
      </w:pPr>
      <w:r w:rsidRPr="00C766DC">
        <w:rPr>
          <w:sz w:val="24"/>
          <w:szCs w:val="24"/>
        </w:rPr>
        <w:t>Det er blevet påvist, at Remifentanil "Orion" er forligelig med følgende infusionsvæsker, når det administreres via et løbende i.v.-kateter:</w:t>
      </w:r>
    </w:p>
    <w:p w14:paraId="1F8A3798" w14:textId="77777777" w:rsidR="00486A3E" w:rsidRPr="00C766DC" w:rsidRDefault="00486A3E" w:rsidP="00C766DC">
      <w:pPr>
        <w:ind w:left="851"/>
        <w:rPr>
          <w:sz w:val="24"/>
          <w:szCs w:val="24"/>
        </w:rPr>
      </w:pPr>
    </w:p>
    <w:p w14:paraId="14838DD3" w14:textId="77777777" w:rsidR="00486A3E" w:rsidRPr="00C766DC" w:rsidRDefault="00486A3E" w:rsidP="00C766DC">
      <w:pPr>
        <w:ind w:left="851"/>
        <w:rPr>
          <w:sz w:val="24"/>
          <w:szCs w:val="24"/>
        </w:rPr>
      </w:pPr>
      <w:r w:rsidRPr="00C766DC">
        <w:rPr>
          <w:sz w:val="24"/>
          <w:szCs w:val="24"/>
        </w:rPr>
        <w:t>Ringerlactat injektionsvæske, opløsning</w:t>
      </w:r>
    </w:p>
    <w:p w14:paraId="15E495B2" w14:textId="77777777" w:rsidR="00486A3E" w:rsidRPr="00C766DC" w:rsidRDefault="00486A3E" w:rsidP="00C766DC">
      <w:pPr>
        <w:ind w:left="851"/>
        <w:rPr>
          <w:sz w:val="24"/>
          <w:szCs w:val="24"/>
        </w:rPr>
      </w:pPr>
      <w:r w:rsidRPr="00C766DC">
        <w:rPr>
          <w:sz w:val="24"/>
          <w:szCs w:val="24"/>
        </w:rPr>
        <w:t>Ringerlactat og glucose 5 % injektionsvæske, opløsning</w:t>
      </w:r>
    </w:p>
    <w:p w14:paraId="7D4F906C" w14:textId="77777777" w:rsidR="00486A3E" w:rsidRPr="00C766DC" w:rsidRDefault="00486A3E" w:rsidP="00C766DC">
      <w:pPr>
        <w:ind w:left="851"/>
        <w:rPr>
          <w:sz w:val="24"/>
          <w:szCs w:val="24"/>
        </w:rPr>
      </w:pPr>
    </w:p>
    <w:p w14:paraId="7064795D" w14:textId="77777777" w:rsidR="00486A3E" w:rsidRPr="00C766DC" w:rsidRDefault="00486A3E" w:rsidP="00C766DC">
      <w:pPr>
        <w:ind w:left="851"/>
        <w:rPr>
          <w:sz w:val="24"/>
          <w:szCs w:val="24"/>
        </w:rPr>
      </w:pPr>
      <w:r w:rsidRPr="00C766DC">
        <w:rPr>
          <w:sz w:val="24"/>
          <w:szCs w:val="24"/>
        </w:rPr>
        <w:t>Vand til injektionsvæsker kan ikke anvendes, medmindre det justeres med et egnet opløst stof for at opnå isotonicitet. Derfor bør denne fortyndingsvæske kun anvendes, når dette kan garanteres, dvs. når det anvendes i et løbende i.v.-kateter med andre fortyndingsvsæker, der sikrer isotonicitet af den endelige infusion.</w:t>
      </w:r>
    </w:p>
    <w:p w14:paraId="5990E7FC" w14:textId="53C30423" w:rsidR="00C766DC" w:rsidRDefault="00C766DC">
      <w:pPr>
        <w:rPr>
          <w:sz w:val="24"/>
          <w:szCs w:val="24"/>
        </w:rPr>
      </w:pPr>
      <w:r>
        <w:rPr>
          <w:sz w:val="24"/>
          <w:szCs w:val="24"/>
        </w:rPr>
        <w:br w:type="page"/>
      </w:r>
    </w:p>
    <w:p w14:paraId="7B82A7F9" w14:textId="77777777" w:rsidR="00486A3E" w:rsidRPr="00C766DC" w:rsidRDefault="00486A3E" w:rsidP="00C766DC">
      <w:pPr>
        <w:ind w:left="851"/>
        <w:rPr>
          <w:sz w:val="24"/>
          <w:szCs w:val="24"/>
        </w:rPr>
      </w:pPr>
    </w:p>
    <w:p w14:paraId="27208A7C" w14:textId="77777777" w:rsidR="00486A3E" w:rsidRPr="00C766DC" w:rsidRDefault="00486A3E" w:rsidP="00C766DC">
      <w:pPr>
        <w:ind w:left="851"/>
        <w:rPr>
          <w:sz w:val="24"/>
          <w:szCs w:val="24"/>
        </w:rPr>
      </w:pPr>
      <w:r w:rsidRPr="00C766DC">
        <w:rPr>
          <w:sz w:val="24"/>
          <w:szCs w:val="24"/>
        </w:rPr>
        <w:t>Remifentanil "Orion" er forligelig med propofol, når det administreres via et løbende i.v.-kateter. Tabel 6</w:t>
      </w:r>
      <w:r w:rsidRPr="00C766DC">
        <w:rPr>
          <w:sz w:val="24"/>
          <w:szCs w:val="24"/>
        </w:rPr>
        <w:noBreakHyphen/>
        <w:t>11 angiver vejledende infusionshastigheder for Remifentanil "Orion" ved manuel kontrolleret infusion:</w:t>
      </w:r>
    </w:p>
    <w:p w14:paraId="266D8C04" w14:textId="77777777" w:rsidR="00486A3E" w:rsidRPr="00C766DC" w:rsidRDefault="00486A3E" w:rsidP="00C766DC">
      <w:pPr>
        <w:ind w:left="851"/>
        <w:rPr>
          <w:sz w:val="24"/>
          <w:szCs w:val="24"/>
        </w:rPr>
      </w:pPr>
    </w:p>
    <w:p w14:paraId="53A14E8B" w14:textId="77777777" w:rsidR="00486A3E" w:rsidRPr="00C766DC" w:rsidRDefault="00486A3E" w:rsidP="00C766DC">
      <w:pPr>
        <w:ind w:left="142"/>
        <w:rPr>
          <w:sz w:val="24"/>
          <w:szCs w:val="24"/>
        </w:rPr>
      </w:pPr>
      <w:r w:rsidRPr="00C766DC">
        <w:rPr>
          <w:sz w:val="24"/>
          <w:szCs w:val="24"/>
        </w:rPr>
        <w:t>Tabel 6.</w:t>
      </w:r>
      <w:r w:rsidRPr="00C766DC">
        <w:rPr>
          <w:sz w:val="24"/>
          <w:szCs w:val="24"/>
        </w:rPr>
        <w:tab/>
        <w:t>Remifentanil "Orion" infusionshastigheder (ml/kg/time)</w:t>
      </w:r>
    </w:p>
    <w:p w14:paraId="6E4F0335" w14:textId="77777777" w:rsidR="00486A3E" w:rsidRDefault="00486A3E" w:rsidP="00486A3E"/>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8"/>
        <w:gridCol w:w="1555"/>
        <w:gridCol w:w="1681"/>
        <w:gridCol w:w="1681"/>
        <w:gridCol w:w="1813"/>
      </w:tblGrid>
      <w:tr w:rsidR="00486A3E" w14:paraId="2287AE1C" w14:textId="77777777" w:rsidTr="00486A3E">
        <w:trPr>
          <w:trHeight w:val="493"/>
        </w:trPr>
        <w:tc>
          <w:tcPr>
            <w:tcW w:w="2128" w:type="dxa"/>
            <w:vMerge w:val="restart"/>
            <w:tcBorders>
              <w:top w:val="single" w:sz="6" w:space="0" w:color="000000"/>
              <w:left w:val="single" w:sz="6" w:space="0" w:color="000000"/>
              <w:bottom w:val="single" w:sz="6" w:space="0" w:color="000000"/>
              <w:right w:val="single" w:sz="6" w:space="0" w:color="000000"/>
            </w:tcBorders>
            <w:hideMark/>
          </w:tcPr>
          <w:p w14:paraId="683B0AD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Lægemiddelhastighed (µg/kg/min)</w:t>
            </w:r>
          </w:p>
        </w:tc>
        <w:tc>
          <w:tcPr>
            <w:tcW w:w="6730" w:type="dxa"/>
            <w:gridSpan w:val="4"/>
            <w:tcBorders>
              <w:top w:val="single" w:sz="6" w:space="0" w:color="000000"/>
              <w:left w:val="single" w:sz="6" w:space="0" w:color="000000"/>
              <w:bottom w:val="single" w:sz="6" w:space="0" w:color="000000"/>
              <w:right w:val="single" w:sz="6" w:space="0" w:color="000000"/>
            </w:tcBorders>
            <w:hideMark/>
          </w:tcPr>
          <w:p w14:paraId="3C1C3E1D" w14:textId="77777777" w:rsidR="00486A3E" w:rsidRPr="00486A3E" w:rsidRDefault="00486A3E">
            <w:pPr>
              <w:keepNext/>
              <w:keepLines/>
              <w:widowControl w:val="0"/>
              <w:autoSpaceDE w:val="0"/>
              <w:autoSpaceDN w:val="0"/>
              <w:spacing w:line="246" w:lineRule="exact"/>
              <w:ind w:left="107"/>
              <w:rPr>
                <w:spacing w:val="-2"/>
                <w:szCs w:val="22"/>
              </w:rPr>
            </w:pPr>
            <w:r w:rsidRPr="00486A3E">
              <w:rPr>
                <w:spacing w:val="-2"/>
                <w:szCs w:val="22"/>
              </w:rPr>
              <w:t>Infusionshastighed (ml/kg/time) for opløsninger med koncentrationer på</w:t>
            </w:r>
          </w:p>
        </w:tc>
      </w:tr>
      <w:tr w:rsidR="00486A3E" w14:paraId="78DC281C" w14:textId="77777777" w:rsidTr="00486A3E">
        <w:trPr>
          <w:trHeight w:val="762"/>
        </w:trPr>
        <w:tc>
          <w:tcPr>
            <w:tcW w:w="2128" w:type="dxa"/>
            <w:vMerge/>
            <w:tcBorders>
              <w:top w:val="single" w:sz="6" w:space="0" w:color="000000"/>
              <w:left w:val="single" w:sz="6" w:space="0" w:color="000000"/>
              <w:bottom w:val="single" w:sz="6" w:space="0" w:color="000000"/>
              <w:right w:val="single" w:sz="6" w:space="0" w:color="000000"/>
            </w:tcBorders>
            <w:vAlign w:val="center"/>
            <w:hideMark/>
          </w:tcPr>
          <w:p w14:paraId="4A2F3E44" w14:textId="77777777" w:rsidR="00486A3E" w:rsidRPr="00486A3E" w:rsidRDefault="00486A3E">
            <w:pPr>
              <w:rPr>
                <w:spacing w:val="-2"/>
                <w:sz w:val="22"/>
                <w:szCs w:val="22"/>
              </w:rPr>
            </w:pPr>
          </w:p>
        </w:tc>
        <w:tc>
          <w:tcPr>
            <w:tcW w:w="1555" w:type="dxa"/>
            <w:tcBorders>
              <w:top w:val="single" w:sz="4" w:space="0" w:color="000000"/>
              <w:left w:val="single" w:sz="6" w:space="0" w:color="000000"/>
              <w:bottom w:val="single" w:sz="4" w:space="0" w:color="000000"/>
              <w:right w:val="single" w:sz="4" w:space="0" w:color="000000"/>
            </w:tcBorders>
            <w:hideMark/>
          </w:tcPr>
          <w:p w14:paraId="1174853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20 µg/ml</w:t>
            </w:r>
          </w:p>
          <w:p w14:paraId="3E27E9B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 mg/50 ml</w:t>
            </w:r>
          </w:p>
        </w:tc>
        <w:tc>
          <w:tcPr>
            <w:tcW w:w="1681" w:type="dxa"/>
            <w:tcBorders>
              <w:top w:val="single" w:sz="6" w:space="0" w:color="000000"/>
              <w:left w:val="single" w:sz="4" w:space="0" w:color="000000"/>
              <w:bottom w:val="single" w:sz="6" w:space="0" w:color="000000"/>
              <w:right w:val="single" w:sz="6" w:space="0" w:color="000000"/>
            </w:tcBorders>
            <w:hideMark/>
          </w:tcPr>
          <w:p w14:paraId="1C3D338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25 µg/ml</w:t>
            </w:r>
          </w:p>
          <w:p w14:paraId="72EE57B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 mg/40 ml</w:t>
            </w:r>
          </w:p>
        </w:tc>
        <w:tc>
          <w:tcPr>
            <w:tcW w:w="1681" w:type="dxa"/>
            <w:tcBorders>
              <w:top w:val="single" w:sz="6" w:space="0" w:color="000000"/>
              <w:left w:val="single" w:sz="6" w:space="0" w:color="000000"/>
              <w:bottom w:val="single" w:sz="6" w:space="0" w:color="000000"/>
              <w:right w:val="single" w:sz="6" w:space="0" w:color="000000"/>
            </w:tcBorders>
            <w:hideMark/>
          </w:tcPr>
          <w:p w14:paraId="3CA7347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50 µg/ml</w:t>
            </w:r>
          </w:p>
          <w:p w14:paraId="759462D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 mg/20 ml</w:t>
            </w:r>
          </w:p>
        </w:tc>
        <w:tc>
          <w:tcPr>
            <w:tcW w:w="1813" w:type="dxa"/>
            <w:tcBorders>
              <w:top w:val="single" w:sz="6" w:space="0" w:color="000000"/>
              <w:left w:val="single" w:sz="6" w:space="0" w:color="000000"/>
              <w:bottom w:val="single" w:sz="6" w:space="0" w:color="000000"/>
              <w:right w:val="single" w:sz="6" w:space="0" w:color="000000"/>
            </w:tcBorders>
            <w:hideMark/>
          </w:tcPr>
          <w:p w14:paraId="589FBE7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250 µg/ml</w:t>
            </w:r>
          </w:p>
          <w:p w14:paraId="035BEE9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 mg/40 ml</w:t>
            </w:r>
          </w:p>
        </w:tc>
      </w:tr>
      <w:tr w:rsidR="00486A3E" w14:paraId="5814A3AA" w14:textId="77777777" w:rsidTr="00486A3E">
        <w:trPr>
          <w:trHeight w:val="623"/>
        </w:trPr>
        <w:tc>
          <w:tcPr>
            <w:tcW w:w="2128" w:type="dxa"/>
            <w:tcBorders>
              <w:top w:val="single" w:sz="6" w:space="0" w:color="000000"/>
              <w:left w:val="single" w:sz="6" w:space="0" w:color="000000"/>
              <w:bottom w:val="nil"/>
              <w:right w:val="single" w:sz="6" w:space="0" w:color="000000"/>
            </w:tcBorders>
            <w:hideMark/>
          </w:tcPr>
          <w:p w14:paraId="30FBA88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0,0125</w:t>
            </w:r>
          </w:p>
        </w:tc>
        <w:tc>
          <w:tcPr>
            <w:tcW w:w="1555" w:type="dxa"/>
            <w:tcBorders>
              <w:top w:val="single" w:sz="4" w:space="0" w:color="000000"/>
              <w:left w:val="single" w:sz="6" w:space="0" w:color="000000"/>
              <w:bottom w:val="nil"/>
              <w:right w:val="single" w:sz="6" w:space="0" w:color="000000"/>
            </w:tcBorders>
            <w:hideMark/>
          </w:tcPr>
          <w:p w14:paraId="417DA56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0,038</w:t>
            </w:r>
          </w:p>
        </w:tc>
        <w:tc>
          <w:tcPr>
            <w:tcW w:w="1681" w:type="dxa"/>
            <w:tcBorders>
              <w:top w:val="single" w:sz="6" w:space="0" w:color="000000"/>
              <w:left w:val="single" w:sz="6" w:space="0" w:color="000000"/>
              <w:bottom w:val="nil"/>
              <w:right w:val="single" w:sz="6" w:space="0" w:color="000000"/>
            </w:tcBorders>
            <w:hideMark/>
          </w:tcPr>
          <w:p w14:paraId="0C3F302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0,03</w:t>
            </w:r>
          </w:p>
        </w:tc>
        <w:tc>
          <w:tcPr>
            <w:tcW w:w="1681" w:type="dxa"/>
            <w:tcBorders>
              <w:top w:val="single" w:sz="6" w:space="0" w:color="000000"/>
              <w:left w:val="single" w:sz="6" w:space="0" w:color="000000"/>
              <w:bottom w:val="nil"/>
              <w:right w:val="single" w:sz="6" w:space="0" w:color="000000"/>
            </w:tcBorders>
            <w:hideMark/>
          </w:tcPr>
          <w:p w14:paraId="6F26B91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0,015</w:t>
            </w:r>
          </w:p>
        </w:tc>
        <w:tc>
          <w:tcPr>
            <w:tcW w:w="1813" w:type="dxa"/>
            <w:tcBorders>
              <w:top w:val="single" w:sz="6" w:space="0" w:color="000000"/>
              <w:left w:val="single" w:sz="6" w:space="0" w:color="000000"/>
              <w:bottom w:val="nil"/>
              <w:right w:val="single" w:sz="6" w:space="0" w:color="000000"/>
            </w:tcBorders>
            <w:hideMark/>
          </w:tcPr>
          <w:p w14:paraId="3B982D7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Anbefales ikke</w:t>
            </w:r>
          </w:p>
        </w:tc>
      </w:tr>
      <w:tr w:rsidR="00486A3E" w14:paraId="252BA308" w14:textId="77777777" w:rsidTr="00486A3E">
        <w:trPr>
          <w:trHeight w:val="746"/>
        </w:trPr>
        <w:tc>
          <w:tcPr>
            <w:tcW w:w="2128" w:type="dxa"/>
            <w:tcBorders>
              <w:top w:val="nil"/>
              <w:left w:val="single" w:sz="6" w:space="0" w:color="000000"/>
              <w:bottom w:val="nil"/>
              <w:right w:val="single" w:sz="6" w:space="0" w:color="000000"/>
            </w:tcBorders>
            <w:hideMark/>
          </w:tcPr>
          <w:p w14:paraId="2AD7998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0,025</w:t>
            </w:r>
          </w:p>
        </w:tc>
        <w:tc>
          <w:tcPr>
            <w:tcW w:w="1555" w:type="dxa"/>
            <w:tcBorders>
              <w:top w:val="nil"/>
              <w:left w:val="single" w:sz="6" w:space="0" w:color="000000"/>
              <w:bottom w:val="nil"/>
              <w:right w:val="single" w:sz="6" w:space="0" w:color="000000"/>
            </w:tcBorders>
            <w:hideMark/>
          </w:tcPr>
          <w:p w14:paraId="2C28E78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0,075</w:t>
            </w:r>
          </w:p>
        </w:tc>
        <w:tc>
          <w:tcPr>
            <w:tcW w:w="1681" w:type="dxa"/>
            <w:tcBorders>
              <w:top w:val="nil"/>
              <w:left w:val="single" w:sz="6" w:space="0" w:color="000000"/>
              <w:bottom w:val="nil"/>
              <w:right w:val="single" w:sz="6" w:space="0" w:color="000000"/>
            </w:tcBorders>
            <w:hideMark/>
          </w:tcPr>
          <w:p w14:paraId="3846A43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0,06</w:t>
            </w:r>
          </w:p>
        </w:tc>
        <w:tc>
          <w:tcPr>
            <w:tcW w:w="1681" w:type="dxa"/>
            <w:tcBorders>
              <w:top w:val="nil"/>
              <w:left w:val="single" w:sz="6" w:space="0" w:color="000000"/>
              <w:bottom w:val="nil"/>
              <w:right w:val="single" w:sz="6" w:space="0" w:color="000000"/>
            </w:tcBorders>
            <w:hideMark/>
          </w:tcPr>
          <w:p w14:paraId="0917D0F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0,03</w:t>
            </w:r>
          </w:p>
        </w:tc>
        <w:tc>
          <w:tcPr>
            <w:tcW w:w="1813" w:type="dxa"/>
            <w:tcBorders>
              <w:top w:val="nil"/>
              <w:left w:val="single" w:sz="6" w:space="0" w:color="000000"/>
              <w:bottom w:val="nil"/>
              <w:right w:val="single" w:sz="6" w:space="0" w:color="000000"/>
            </w:tcBorders>
            <w:hideMark/>
          </w:tcPr>
          <w:p w14:paraId="71B76F0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Anbefales ikke</w:t>
            </w:r>
          </w:p>
        </w:tc>
      </w:tr>
      <w:tr w:rsidR="00486A3E" w14:paraId="0445DF96" w14:textId="77777777" w:rsidTr="00486A3E">
        <w:trPr>
          <w:trHeight w:val="493"/>
        </w:trPr>
        <w:tc>
          <w:tcPr>
            <w:tcW w:w="2128" w:type="dxa"/>
            <w:tcBorders>
              <w:top w:val="nil"/>
              <w:left w:val="single" w:sz="6" w:space="0" w:color="000000"/>
              <w:bottom w:val="nil"/>
              <w:right w:val="single" w:sz="6" w:space="0" w:color="000000"/>
            </w:tcBorders>
            <w:hideMark/>
          </w:tcPr>
          <w:p w14:paraId="161A400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0,05</w:t>
            </w:r>
          </w:p>
        </w:tc>
        <w:tc>
          <w:tcPr>
            <w:tcW w:w="1555" w:type="dxa"/>
            <w:tcBorders>
              <w:top w:val="nil"/>
              <w:left w:val="single" w:sz="6" w:space="0" w:color="000000"/>
              <w:bottom w:val="nil"/>
              <w:right w:val="single" w:sz="6" w:space="0" w:color="000000"/>
            </w:tcBorders>
            <w:hideMark/>
          </w:tcPr>
          <w:p w14:paraId="08160E8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0,15</w:t>
            </w:r>
          </w:p>
        </w:tc>
        <w:tc>
          <w:tcPr>
            <w:tcW w:w="1681" w:type="dxa"/>
            <w:tcBorders>
              <w:top w:val="nil"/>
              <w:left w:val="single" w:sz="6" w:space="0" w:color="000000"/>
              <w:bottom w:val="nil"/>
              <w:right w:val="single" w:sz="6" w:space="0" w:color="000000"/>
            </w:tcBorders>
            <w:hideMark/>
          </w:tcPr>
          <w:p w14:paraId="5138124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0,12</w:t>
            </w:r>
          </w:p>
        </w:tc>
        <w:tc>
          <w:tcPr>
            <w:tcW w:w="1681" w:type="dxa"/>
            <w:tcBorders>
              <w:top w:val="nil"/>
              <w:left w:val="single" w:sz="6" w:space="0" w:color="000000"/>
              <w:bottom w:val="nil"/>
              <w:right w:val="single" w:sz="6" w:space="0" w:color="000000"/>
            </w:tcBorders>
            <w:hideMark/>
          </w:tcPr>
          <w:p w14:paraId="6F231C3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0,06</w:t>
            </w:r>
          </w:p>
        </w:tc>
        <w:tc>
          <w:tcPr>
            <w:tcW w:w="1813" w:type="dxa"/>
            <w:tcBorders>
              <w:top w:val="nil"/>
              <w:left w:val="single" w:sz="6" w:space="0" w:color="000000"/>
              <w:bottom w:val="nil"/>
              <w:right w:val="single" w:sz="6" w:space="0" w:color="000000"/>
            </w:tcBorders>
            <w:hideMark/>
          </w:tcPr>
          <w:p w14:paraId="30FD662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0,012</w:t>
            </w:r>
          </w:p>
        </w:tc>
      </w:tr>
      <w:tr w:rsidR="00486A3E" w14:paraId="0E6BC534" w14:textId="77777777" w:rsidTr="00486A3E">
        <w:trPr>
          <w:trHeight w:val="491"/>
        </w:trPr>
        <w:tc>
          <w:tcPr>
            <w:tcW w:w="2128" w:type="dxa"/>
            <w:tcBorders>
              <w:top w:val="nil"/>
              <w:left w:val="single" w:sz="6" w:space="0" w:color="000000"/>
              <w:bottom w:val="nil"/>
              <w:right w:val="single" w:sz="6" w:space="0" w:color="000000"/>
            </w:tcBorders>
            <w:hideMark/>
          </w:tcPr>
          <w:p w14:paraId="079F2E0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0,075</w:t>
            </w:r>
          </w:p>
        </w:tc>
        <w:tc>
          <w:tcPr>
            <w:tcW w:w="1555" w:type="dxa"/>
            <w:tcBorders>
              <w:top w:val="nil"/>
              <w:left w:val="single" w:sz="6" w:space="0" w:color="000000"/>
              <w:bottom w:val="nil"/>
              <w:right w:val="single" w:sz="6" w:space="0" w:color="000000"/>
            </w:tcBorders>
            <w:hideMark/>
          </w:tcPr>
          <w:p w14:paraId="00B650D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0,23</w:t>
            </w:r>
          </w:p>
        </w:tc>
        <w:tc>
          <w:tcPr>
            <w:tcW w:w="1681" w:type="dxa"/>
            <w:tcBorders>
              <w:top w:val="nil"/>
              <w:left w:val="single" w:sz="6" w:space="0" w:color="000000"/>
              <w:bottom w:val="nil"/>
              <w:right w:val="single" w:sz="6" w:space="0" w:color="000000"/>
            </w:tcBorders>
            <w:hideMark/>
          </w:tcPr>
          <w:p w14:paraId="6D46F5D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0,18</w:t>
            </w:r>
          </w:p>
        </w:tc>
        <w:tc>
          <w:tcPr>
            <w:tcW w:w="1681" w:type="dxa"/>
            <w:tcBorders>
              <w:top w:val="nil"/>
              <w:left w:val="single" w:sz="6" w:space="0" w:color="000000"/>
              <w:bottom w:val="nil"/>
              <w:right w:val="single" w:sz="6" w:space="0" w:color="000000"/>
            </w:tcBorders>
            <w:hideMark/>
          </w:tcPr>
          <w:p w14:paraId="5652B88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0,09</w:t>
            </w:r>
          </w:p>
        </w:tc>
        <w:tc>
          <w:tcPr>
            <w:tcW w:w="1813" w:type="dxa"/>
            <w:tcBorders>
              <w:top w:val="nil"/>
              <w:left w:val="single" w:sz="6" w:space="0" w:color="000000"/>
              <w:bottom w:val="nil"/>
              <w:right w:val="single" w:sz="6" w:space="0" w:color="000000"/>
            </w:tcBorders>
            <w:hideMark/>
          </w:tcPr>
          <w:p w14:paraId="3E7E4D6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0,018</w:t>
            </w:r>
          </w:p>
        </w:tc>
      </w:tr>
      <w:tr w:rsidR="00486A3E" w14:paraId="203C5EE7" w14:textId="77777777" w:rsidTr="00486A3E">
        <w:trPr>
          <w:trHeight w:val="493"/>
        </w:trPr>
        <w:tc>
          <w:tcPr>
            <w:tcW w:w="2128" w:type="dxa"/>
            <w:tcBorders>
              <w:top w:val="nil"/>
              <w:left w:val="single" w:sz="6" w:space="0" w:color="000000"/>
              <w:bottom w:val="nil"/>
              <w:right w:val="single" w:sz="6" w:space="0" w:color="000000"/>
            </w:tcBorders>
            <w:hideMark/>
          </w:tcPr>
          <w:p w14:paraId="5779277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w:t>
            </w:r>
          </w:p>
        </w:tc>
        <w:tc>
          <w:tcPr>
            <w:tcW w:w="1555" w:type="dxa"/>
            <w:tcBorders>
              <w:top w:val="nil"/>
              <w:left w:val="single" w:sz="6" w:space="0" w:color="000000"/>
              <w:bottom w:val="nil"/>
              <w:right w:val="single" w:sz="6" w:space="0" w:color="000000"/>
            </w:tcBorders>
            <w:hideMark/>
          </w:tcPr>
          <w:p w14:paraId="5DECF12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0,3</w:t>
            </w:r>
          </w:p>
        </w:tc>
        <w:tc>
          <w:tcPr>
            <w:tcW w:w="1681" w:type="dxa"/>
            <w:tcBorders>
              <w:top w:val="nil"/>
              <w:left w:val="single" w:sz="6" w:space="0" w:color="000000"/>
              <w:bottom w:val="nil"/>
              <w:right w:val="single" w:sz="6" w:space="0" w:color="000000"/>
            </w:tcBorders>
            <w:hideMark/>
          </w:tcPr>
          <w:p w14:paraId="65ED347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0,24</w:t>
            </w:r>
          </w:p>
        </w:tc>
        <w:tc>
          <w:tcPr>
            <w:tcW w:w="1681" w:type="dxa"/>
            <w:tcBorders>
              <w:top w:val="nil"/>
              <w:left w:val="single" w:sz="6" w:space="0" w:color="000000"/>
              <w:bottom w:val="nil"/>
              <w:right w:val="single" w:sz="6" w:space="0" w:color="000000"/>
            </w:tcBorders>
            <w:hideMark/>
          </w:tcPr>
          <w:p w14:paraId="5802D9B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0,12</w:t>
            </w:r>
          </w:p>
        </w:tc>
        <w:tc>
          <w:tcPr>
            <w:tcW w:w="1813" w:type="dxa"/>
            <w:tcBorders>
              <w:top w:val="nil"/>
              <w:left w:val="single" w:sz="6" w:space="0" w:color="000000"/>
              <w:bottom w:val="nil"/>
              <w:right w:val="single" w:sz="6" w:space="0" w:color="000000"/>
            </w:tcBorders>
            <w:hideMark/>
          </w:tcPr>
          <w:p w14:paraId="0067914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0,024</w:t>
            </w:r>
          </w:p>
        </w:tc>
      </w:tr>
      <w:tr w:rsidR="00486A3E" w14:paraId="79D674F1" w14:textId="77777777" w:rsidTr="00486A3E">
        <w:trPr>
          <w:trHeight w:val="493"/>
        </w:trPr>
        <w:tc>
          <w:tcPr>
            <w:tcW w:w="2128" w:type="dxa"/>
            <w:tcBorders>
              <w:top w:val="nil"/>
              <w:left w:val="single" w:sz="6" w:space="0" w:color="000000"/>
              <w:bottom w:val="nil"/>
              <w:right w:val="single" w:sz="6" w:space="0" w:color="000000"/>
            </w:tcBorders>
            <w:hideMark/>
          </w:tcPr>
          <w:p w14:paraId="47119A2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0,15</w:t>
            </w:r>
          </w:p>
        </w:tc>
        <w:tc>
          <w:tcPr>
            <w:tcW w:w="1555" w:type="dxa"/>
            <w:tcBorders>
              <w:top w:val="nil"/>
              <w:left w:val="single" w:sz="6" w:space="0" w:color="000000"/>
              <w:bottom w:val="nil"/>
              <w:right w:val="single" w:sz="6" w:space="0" w:color="000000"/>
            </w:tcBorders>
            <w:hideMark/>
          </w:tcPr>
          <w:p w14:paraId="095401B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0,45</w:t>
            </w:r>
          </w:p>
        </w:tc>
        <w:tc>
          <w:tcPr>
            <w:tcW w:w="1681" w:type="dxa"/>
            <w:tcBorders>
              <w:top w:val="nil"/>
              <w:left w:val="single" w:sz="6" w:space="0" w:color="000000"/>
              <w:bottom w:val="nil"/>
              <w:right w:val="single" w:sz="6" w:space="0" w:color="000000"/>
            </w:tcBorders>
            <w:hideMark/>
          </w:tcPr>
          <w:p w14:paraId="76D3B09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0,36</w:t>
            </w:r>
          </w:p>
        </w:tc>
        <w:tc>
          <w:tcPr>
            <w:tcW w:w="1681" w:type="dxa"/>
            <w:tcBorders>
              <w:top w:val="nil"/>
              <w:left w:val="single" w:sz="6" w:space="0" w:color="000000"/>
              <w:bottom w:val="nil"/>
              <w:right w:val="single" w:sz="6" w:space="0" w:color="000000"/>
            </w:tcBorders>
            <w:hideMark/>
          </w:tcPr>
          <w:p w14:paraId="322B41A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0,18</w:t>
            </w:r>
          </w:p>
        </w:tc>
        <w:tc>
          <w:tcPr>
            <w:tcW w:w="1813" w:type="dxa"/>
            <w:tcBorders>
              <w:top w:val="nil"/>
              <w:left w:val="single" w:sz="6" w:space="0" w:color="000000"/>
              <w:bottom w:val="nil"/>
              <w:right w:val="single" w:sz="6" w:space="0" w:color="000000"/>
            </w:tcBorders>
            <w:hideMark/>
          </w:tcPr>
          <w:p w14:paraId="4082ED4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0,036</w:t>
            </w:r>
          </w:p>
        </w:tc>
      </w:tr>
      <w:tr w:rsidR="00486A3E" w14:paraId="7A5C3FB5" w14:textId="77777777" w:rsidTr="00486A3E">
        <w:trPr>
          <w:trHeight w:val="493"/>
        </w:trPr>
        <w:tc>
          <w:tcPr>
            <w:tcW w:w="2128" w:type="dxa"/>
            <w:tcBorders>
              <w:top w:val="nil"/>
              <w:left w:val="single" w:sz="6" w:space="0" w:color="000000"/>
              <w:bottom w:val="nil"/>
              <w:right w:val="single" w:sz="6" w:space="0" w:color="000000"/>
            </w:tcBorders>
            <w:hideMark/>
          </w:tcPr>
          <w:p w14:paraId="335136D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w:t>
            </w:r>
          </w:p>
        </w:tc>
        <w:tc>
          <w:tcPr>
            <w:tcW w:w="1555" w:type="dxa"/>
            <w:tcBorders>
              <w:top w:val="nil"/>
              <w:left w:val="single" w:sz="6" w:space="0" w:color="000000"/>
              <w:bottom w:val="nil"/>
              <w:right w:val="single" w:sz="6" w:space="0" w:color="000000"/>
            </w:tcBorders>
            <w:hideMark/>
          </w:tcPr>
          <w:p w14:paraId="4DB0ADB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0,6</w:t>
            </w:r>
          </w:p>
        </w:tc>
        <w:tc>
          <w:tcPr>
            <w:tcW w:w="1681" w:type="dxa"/>
            <w:tcBorders>
              <w:top w:val="nil"/>
              <w:left w:val="single" w:sz="6" w:space="0" w:color="000000"/>
              <w:bottom w:val="nil"/>
              <w:right w:val="single" w:sz="6" w:space="0" w:color="000000"/>
            </w:tcBorders>
            <w:hideMark/>
          </w:tcPr>
          <w:p w14:paraId="0E06263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0,48</w:t>
            </w:r>
          </w:p>
        </w:tc>
        <w:tc>
          <w:tcPr>
            <w:tcW w:w="1681" w:type="dxa"/>
            <w:tcBorders>
              <w:top w:val="nil"/>
              <w:left w:val="single" w:sz="6" w:space="0" w:color="000000"/>
              <w:bottom w:val="nil"/>
              <w:right w:val="single" w:sz="6" w:space="0" w:color="000000"/>
            </w:tcBorders>
            <w:hideMark/>
          </w:tcPr>
          <w:p w14:paraId="1CF5F8A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0,24</w:t>
            </w:r>
          </w:p>
        </w:tc>
        <w:tc>
          <w:tcPr>
            <w:tcW w:w="1813" w:type="dxa"/>
            <w:tcBorders>
              <w:top w:val="nil"/>
              <w:left w:val="single" w:sz="6" w:space="0" w:color="000000"/>
              <w:bottom w:val="nil"/>
              <w:right w:val="single" w:sz="6" w:space="0" w:color="000000"/>
            </w:tcBorders>
            <w:hideMark/>
          </w:tcPr>
          <w:p w14:paraId="2351209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0,048</w:t>
            </w:r>
          </w:p>
        </w:tc>
      </w:tr>
      <w:tr w:rsidR="00486A3E" w14:paraId="2D070FEF" w14:textId="77777777" w:rsidTr="00486A3E">
        <w:trPr>
          <w:trHeight w:val="493"/>
        </w:trPr>
        <w:tc>
          <w:tcPr>
            <w:tcW w:w="2128" w:type="dxa"/>
            <w:tcBorders>
              <w:top w:val="nil"/>
              <w:left w:val="single" w:sz="6" w:space="0" w:color="000000"/>
              <w:bottom w:val="nil"/>
              <w:right w:val="single" w:sz="6" w:space="0" w:color="000000"/>
            </w:tcBorders>
            <w:hideMark/>
          </w:tcPr>
          <w:p w14:paraId="4004F07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0,25</w:t>
            </w:r>
          </w:p>
        </w:tc>
        <w:tc>
          <w:tcPr>
            <w:tcW w:w="1555" w:type="dxa"/>
            <w:tcBorders>
              <w:top w:val="nil"/>
              <w:left w:val="single" w:sz="6" w:space="0" w:color="000000"/>
              <w:bottom w:val="nil"/>
              <w:right w:val="single" w:sz="6" w:space="0" w:color="000000"/>
            </w:tcBorders>
            <w:hideMark/>
          </w:tcPr>
          <w:p w14:paraId="1889429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0,75</w:t>
            </w:r>
          </w:p>
        </w:tc>
        <w:tc>
          <w:tcPr>
            <w:tcW w:w="1681" w:type="dxa"/>
            <w:tcBorders>
              <w:top w:val="nil"/>
              <w:left w:val="single" w:sz="6" w:space="0" w:color="000000"/>
              <w:bottom w:val="nil"/>
              <w:right w:val="single" w:sz="6" w:space="0" w:color="000000"/>
            </w:tcBorders>
            <w:hideMark/>
          </w:tcPr>
          <w:p w14:paraId="64CD953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0,6</w:t>
            </w:r>
          </w:p>
        </w:tc>
        <w:tc>
          <w:tcPr>
            <w:tcW w:w="1681" w:type="dxa"/>
            <w:tcBorders>
              <w:top w:val="nil"/>
              <w:left w:val="single" w:sz="6" w:space="0" w:color="000000"/>
              <w:bottom w:val="nil"/>
              <w:right w:val="single" w:sz="6" w:space="0" w:color="000000"/>
            </w:tcBorders>
            <w:hideMark/>
          </w:tcPr>
          <w:p w14:paraId="3DE3504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0,3</w:t>
            </w:r>
          </w:p>
        </w:tc>
        <w:tc>
          <w:tcPr>
            <w:tcW w:w="1813" w:type="dxa"/>
            <w:tcBorders>
              <w:top w:val="nil"/>
              <w:left w:val="single" w:sz="6" w:space="0" w:color="000000"/>
              <w:bottom w:val="nil"/>
              <w:right w:val="single" w:sz="6" w:space="0" w:color="000000"/>
            </w:tcBorders>
            <w:hideMark/>
          </w:tcPr>
          <w:p w14:paraId="548C7F9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0,06</w:t>
            </w:r>
          </w:p>
        </w:tc>
      </w:tr>
      <w:tr w:rsidR="00486A3E" w14:paraId="0E8750B9" w14:textId="77777777" w:rsidTr="00486A3E">
        <w:trPr>
          <w:trHeight w:val="491"/>
        </w:trPr>
        <w:tc>
          <w:tcPr>
            <w:tcW w:w="2128" w:type="dxa"/>
            <w:tcBorders>
              <w:top w:val="nil"/>
              <w:left w:val="single" w:sz="6" w:space="0" w:color="000000"/>
              <w:bottom w:val="nil"/>
              <w:right w:val="single" w:sz="6" w:space="0" w:color="000000"/>
            </w:tcBorders>
            <w:hideMark/>
          </w:tcPr>
          <w:p w14:paraId="02FAFC0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0,5</w:t>
            </w:r>
          </w:p>
        </w:tc>
        <w:tc>
          <w:tcPr>
            <w:tcW w:w="1555" w:type="dxa"/>
            <w:tcBorders>
              <w:top w:val="nil"/>
              <w:left w:val="single" w:sz="6" w:space="0" w:color="000000"/>
              <w:bottom w:val="nil"/>
              <w:right w:val="single" w:sz="6" w:space="0" w:color="000000"/>
            </w:tcBorders>
            <w:hideMark/>
          </w:tcPr>
          <w:p w14:paraId="71A32E7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w:t>
            </w:r>
          </w:p>
        </w:tc>
        <w:tc>
          <w:tcPr>
            <w:tcW w:w="1681" w:type="dxa"/>
            <w:tcBorders>
              <w:top w:val="nil"/>
              <w:left w:val="single" w:sz="6" w:space="0" w:color="000000"/>
              <w:bottom w:val="nil"/>
              <w:right w:val="single" w:sz="6" w:space="0" w:color="000000"/>
            </w:tcBorders>
            <w:hideMark/>
          </w:tcPr>
          <w:p w14:paraId="1C3BA07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w:t>
            </w:r>
          </w:p>
        </w:tc>
        <w:tc>
          <w:tcPr>
            <w:tcW w:w="1681" w:type="dxa"/>
            <w:tcBorders>
              <w:top w:val="nil"/>
              <w:left w:val="single" w:sz="6" w:space="0" w:color="000000"/>
              <w:bottom w:val="nil"/>
              <w:right w:val="single" w:sz="6" w:space="0" w:color="000000"/>
            </w:tcBorders>
            <w:hideMark/>
          </w:tcPr>
          <w:p w14:paraId="36870BF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0,6</w:t>
            </w:r>
          </w:p>
        </w:tc>
        <w:tc>
          <w:tcPr>
            <w:tcW w:w="1813" w:type="dxa"/>
            <w:tcBorders>
              <w:top w:val="nil"/>
              <w:left w:val="single" w:sz="6" w:space="0" w:color="000000"/>
              <w:bottom w:val="nil"/>
              <w:right w:val="single" w:sz="6" w:space="0" w:color="000000"/>
            </w:tcBorders>
            <w:hideMark/>
          </w:tcPr>
          <w:p w14:paraId="75E287F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0,12</w:t>
            </w:r>
          </w:p>
        </w:tc>
      </w:tr>
      <w:tr w:rsidR="00486A3E" w14:paraId="612861FE" w14:textId="77777777" w:rsidTr="00486A3E">
        <w:trPr>
          <w:trHeight w:val="493"/>
        </w:trPr>
        <w:tc>
          <w:tcPr>
            <w:tcW w:w="2128" w:type="dxa"/>
            <w:tcBorders>
              <w:top w:val="nil"/>
              <w:left w:val="single" w:sz="6" w:space="0" w:color="000000"/>
              <w:bottom w:val="nil"/>
              <w:right w:val="single" w:sz="6" w:space="0" w:color="000000"/>
            </w:tcBorders>
            <w:hideMark/>
          </w:tcPr>
          <w:p w14:paraId="7830870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0,75</w:t>
            </w:r>
          </w:p>
        </w:tc>
        <w:tc>
          <w:tcPr>
            <w:tcW w:w="1555" w:type="dxa"/>
            <w:tcBorders>
              <w:top w:val="nil"/>
              <w:left w:val="single" w:sz="6" w:space="0" w:color="000000"/>
              <w:bottom w:val="nil"/>
              <w:right w:val="single" w:sz="6" w:space="0" w:color="000000"/>
            </w:tcBorders>
            <w:hideMark/>
          </w:tcPr>
          <w:p w14:paraId="78B8C56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2,25</w:t>
            </w:r>
          </w:p>
        </w:tc>
        <w:tc>
          <w:tcPr>
            <w:tcW w:w="1681" w:type="dxa"/>
            <w:tcBorders>
              <w:top w:val="nil"/>
              <w:left w:val="single" w:sz="6" w:space="0" w:color="000000"/>
              <w:bottom w:val="nil"/>
              <w:right w:val="single" w:sz="6" w:space="0" w:color="000000"/>
            </w:tcBorders>
            <w:hideMark/>
          </w:tcPr>
          <w:p w14:paraId="6379BA3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w:t>
            </w:r>
          </w:p>
        </w:tc>
        <w:tc>
          <w:tcPr>
            <w:tcW w:w="1681" w:type="dxa"/>
            <w:tcBorders>
              <w:top w:val="nil"/>
              <w:left w:val="single" w:sz="6" w:space="0" w:color="000000"/>
              <w:bottom w:val="nil"/>
              <w:right w:val="single" w:sz="6" w:space="0" w:color="000000"/>
            </w:tcBorders>
            <w:hideMark/>
          </w:tcPr>
          <w:p w14:paraId="4FE89F1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0,9</w:t>
            </w:r>
          </w:p>
        </w:tc>
        <w:tc>
          <w:tcPr>
            <w:tcW w:w="1813" w:type="dxa"/>
            <w:tcBorders>
              <w:top w:val="nil"/>
              <w:left w:val="single" w:sz="6" w:space="0" w:color="000000"/>
              <w:bottom w:val="nil"/>
              <w:right w:val="single" w:sz="6" w:space="0" w:color="000000"/>
            </w:tcBorders>
            <w:hideMark/>
          </w:tcPr>
          <w:p w14:paraId="2A2B7B5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0,18</w:t>
            </w:r>
          </w:p>
        </w:tc>
      </w:tr>
      <w:tr w:rsidR="00486A3E" w14:paraId="036E213B" w14:textId="77777777" w:rsidTr="00486A3E">
        <w:trPr>
          <w:trHeight w:val="614"/>
        </w:trPr>
        <w:tc>
          <w:tcPr>
            <w:tcW w:w="2128" w:type="dxa"/>
            <w:tcBorders>
              <w:top w:val="nil"/>
              <w:left w:val="single" w:sz="6" w:space="0" w:color="000000"/>
              <w:bottom w:val="nil"/>
              <w:right w:val="single" w:sz="6" w:space="0" w:color="000000"/>
            </w:tcBorders>
            <w:hideMark/>
          </w:tcPr>
          <w:p w14:paraId="65444AD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w:t>
            </w:r>
          </w:p>
        </w:tc>
        <w:tc>
          <w:tcPr>
            <w:tcW w:w="1555" w:type="dxa"/>
            <w:tcBorders>
              <w:top w:val="nil"/>
              <w:left w:val="single" w:sz="6" w:space="0" w:color="000000"/>
              <w:bottom w:val="nil"/>
              <w:right w:val="single" w:sz="6" w:space="0" w:color="000000"/>
            </w:tcBorders>
            <w:hideMark/>
          </w:tcPr>
          <w:p w14:paraId="07F8778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1681" w:type="dxa"/>
            <w:tcBorders>
              <w:top w:val="nil"/>
              <w:left w:val="single" w:sz="6" w:space="0" w:color="000000"/>
              <w:bottom w:val="nil"/>
              <w:right w:val="single" w:sz="6" w:space="0" w:color="000000"/>
            </w:tcBorders>
            <w:hideMark/>
          </w:tcPr>
          <w:p w14:paraId="620DF97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w:t>
            </w:r>
          </w:p>
        </w:tc>
        <w:tc>
          <w:tcPr>
            <w:tcW w:w="1681" w:type="dxa"/>
            <w:tcBorders>
              <w:top w:val="nil"/>
              <w:left w:val="single" w:sz="6" w:space="0" w:color="000000"/>
              <w:bottom w:val="nil"/>
              <w:right w:val="single" w:sz="6" w:space="0" w:color="000000"/>
            </w:tcBorders>
            <w:hideMark/>
          </w:tcPr>
          <w:p w14:paraId="4D2917E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w:t>
            </w:r>
          </w:p>
        </w:tc>
        <w:tc>
          <w:tcPr>
            <w:tcW w:w="1813" w:type="dxa"/>
            <w:tcBorders>
              <w:top w:val="nil"/>
              <w:left w:val="single" w:sz="6" w:space="0" w:color="000000"/>
              <w:bottom w:val="nil"/>
              <w:right w:val="single" w:sz="6" w:space="0" w:color="000000"/>
            </w:tcBorders>
            <w:hideMark/>
          </w:tcPr>
          <w:p w14:paraId="3C86336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0,24</w:t>
            </w:r>
          </w:p>
        </w:tc>
      </w:tr>
      <w:tr w:rsidR="00486A3E" w14:paraId="37CB95E1" w14:textId="77777777" w:rsidTr="00486A3E">
        <w:trPr>
          <w:trHeight w:val="371"/>
        </w:trPr>
        <w:tc>
          <w:tcPr>
            <w:tcW w:w="2128" w:type="dxa"/>
            <w:tcBorders>
              <w:top w:val="nil"/>
              <w:left w:val="single" w:sz="6" w:space="0" w:color="000000"/>
              <w:bottom w:val="nil"/>
              <w:right w:val="single" w:sz="6" w:space="0" w:color="000000"/>
            </w:tcBorders>
            <w:hideMark/>
          </w:tcPr>
          <w:p w14:paraId="32FD73C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1,25</w:t>
            </w:r>
          </w:p>
        </w:tc>
        <w:tc>
          <w:tcPr>
            <w:tcW w:w="1555" w:type="dxa"/>
            <w:tcBorders>
              <w:top w:val="nil"/>
              <w:left w:val="single" w:sz="6" w:space="0" w:color="000000"/>
              <w:bottom w:val="nil"/>
              <w:right w:val="single" w:sz="6" w:space="0" w:color="000000"/>
            </w:tcBorders>
            <w:hideMark/>
          </w:tcPr>
          <w:p w14:paraId="404E8A1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3,75</w:t>
            </w:r>
          </w:p>
        </w:tc>
        <w:tc>
          <w:tcPr>
            <w:tcW w:w="1681" w:type="dxa"/>
            <w:tcBorders>
              <w:top w:val="nil"/>
              <w:left w:val="single" w:sz="6" w:space="0" w:color="000000"/>
              <w:bottom w:val="nil"/>
              <w:right w:val="single" w:sz="6" w:space="0" w:color="000000"/>
            </w:tcBorders>
            <w:hideMark/>
          </w:tcPr>
          <w:p w14:paraId="2015033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1681" w:type="dxa"/>
            <w:tcBorders>
              <w:top w:val="nil"/>
              <w:left w:val="single" w:sz="6" w:space="0" w:color="000000"/>
              <w:bottom w:val="nil"/>
              <w:right w:val="single" w:sz="6" w:space="0" w:color="000000"/>
            </w:tcBorders>
            <w:hideMark/>
          </w:tcPr>
          <w:p w14:paraId="6129A49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w:t>
            </w:r>
          </w:p>
        </w:tc>
        <w:tc>
          <w:tcPr>
            <w:tcW w:w="1813" w:type="dxa"/>
            <w:tcBorders>
              <w:top w:val="nil"/>
              <w:left w:val="single" w:sz="6" w:space="0" w:color="000000"/>
              <w:bottom w:val="nil"/>
              <w:right w:val="single" w:sz="6" w:space="0" w:color="000000"/>
            </w:tcBorders>
            <w:hideMark/>
          </w:tcPr>
          <w:p w14:paraId="159CB4A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0,3</w:t>
            </w:r>
          </w:p>
        </w:tc>
      </w:tr>
      <w:tr w:rsidR="00486A3E" w14:paraId="17E780AF" w14:textId="77777777" w:rsidTr="00486A3E">
        <w:trPr>
          <w:trHeight w:val="493"/>
        </w:trPr>
        <w:tc>
          <w:tcPr>
            <w:tcW w:w="2128" w:type="dxa"/>
            <w:tcBorders>
              <w:top w:val="nil"/>
              <w:left w:val="single" w:sz="6" w:space="0" w:color="000000"/>
              <w:bottom w:val="nil"/>
              <w:right w:val="single" w:sz="6" w:space="0" w:color="000000"/>
            </w:tcBorders>
            <w:hideMark/>
          </w:tcPr>
          <w:p w14:paraId="1841B47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w:t>
            </w:r>
          </w:p>
        </w:tc>
        <w:tc>
          <w:tcPr>
            <w:tcW w:w="1555" w:type="dxa"/>
            <w:tcBorders>
              <w:top w:val="nil"/>
              <w:left w:val="single" w:sz="6" w:space="0" w:color="000000"/>
              <w:bottom w:val="nil"/>
              <w:right w:val="single" w:sz="6" w:space="0" w:color="000000"/>
            </w:tcBorders>
            <w:hideMark/>
          </w:tcPr>
          <w:p w14:paraId="2BB4863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4,5</w:t>
            </w:r>
          </w:p>
        </w:tc>
        <w:tc>
          <w:tcPr>
            <w:tcW w:w="1681" w:type="dxa"/>
            <w:tcBorders>
              <w:top w:val="nil"/>
              <w:left w:val="single" w:sz="6" w:space="0" w:color="000000"/>
              <w:bottom w:val="nil"/>
              <w:right w:val="single" w:sz="6" w:space="0" w:color="000000"/>
            </w:tcBorders>
            <w:hideMark/>
          </w:tcPr>
          <w:p w14:paraId="478D5E5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w:t>
            </w:r>
          </w:p>
        </w:tc>
        <w:tc>
          <w:tcPr>
            <w:tcW w:w="1681" w:type="dxa"/>
            <w:tcBorders>
              <w:top w:val="nil"/>
              <w:left w:val="single" w:sz="6" w:space="0" w:color="000000"/>
              <w:bottom w:val="nil"/>
              <w:right w:val="single" w:sz="6" w:space="0" w:color="000000"/>
            </w:tcBorders>
            <w:hideMark/>
          </w:tcPr>
          <w:p w14:paraId="15692D9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w:t>
            </w:r>
          </w:p>
        </w:tc>
        <w:tc>
          <w:tcPr>
            <w:tcW w:w="1813" w:type="dxa"/>
            <w:tcBorders>
              <w:top w:val="nil"/>
              <w:left w:val="single" w:sz="6" w:space="0" w:color="000000"/>
              <w:bottom w:val="nil"/>
              <w:right w:val="single" w:sz="6" w:space="0" w:color="000000"/>
            </w:tcBorders>
            <w:hideMark/>
          </w:tcPr>
          <w:p w14:paraId="7F05ADB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0,36</w:t>
            </w:r>
          </w:p>
        </w:tc>
      </w:tr>
      <w:tr w:rsidR="00486A3E" w14:paraId="314C1C58" w14:textId="77777777" w:rsidTr="00486A3E">
        <w:trPr>
          <w:trHeight w:val="493"/>
        </w:trPr>
        <w:tc>
          <w:tcPr>
            <w:tcW w:w="2128" w:type="dxa"/>
            <w:tcBorders>
              <w:top w:val="nil"/>
              <w:left w:val="single" w:sz="6" w:space="0" w:color="000000"/>
              <w:bottom w:val="nil"/>
              <w:right w:val="single" w:sz="6" w:space="0" w:color="000000"/>
            </w:tcBorders>
            <w:hideMark/>
          </w:tcPr>
          <w:p w14:paraId="27407CA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1,75</w:t>
            </w:r>
          </w:p>
        </w:tc>
        <w:tc>
          <w:tcPr>
            <w:tcW w:w="1555" w:type="dxa"/>
            <w:tcBorders>
              <w:top w:val="nil"/>
              <w:left w:val="single" w:sz="6" w:space="0" w:color="000000"/>
              <w:bottom w:val="nil"/>
              <w:right w:val="single" w:sz="6" w:space="0" w:color="000000"/>
            </w:tcBorders>
            <w:hideMark/>
          </w:tcPr>
          <w:p w14:paraId="6FFA427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5,25</w:t>
            </w:r>
          </w:p>
        </w:tc>
        <w:tc>
          <w:tcPr>
            <w:tcW w:w="1681" w:type="dxa"/>
            <w:tcBorders>
              <w:top w:val="nil"/>
              <w:left w:val="single" w:sz="6" w:space="0" w:color="000000"/>
              <w:bottom w:val="nil"/>
              <w:right w:val="single" w:sz="6" w:space="0" w:color="000000"/>
            </w:tcBorders>
            <w:hideMark/>
          </w:tcPr>
          <w:p w14:paraId="6ED5CE5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4,2</w:t>
            </w:r>
          </w:p>
        </w:tc>
        <w:tc>
          <w:tcPr>
            <w:tcW w:w="1681" w:type="dxa"/>
            <w:tcBorders>
              <w:top w:val="nil"/>
              <w:left w:val="single" w:sz="6" w:space="0" w:color="000000"/>
              <w:bottom w:val="nil"/>
              <w:right w:val="single" w:sz="6" w:space="0" w:color="000000"/>
            </w:tcBorders>
            <w:hideMark/>
          </w:tcPr>
          <w:p w14:paraId="1B59AF1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w:t>
            </w:r>
          </w:p>
        </w:tc>
        <w:tc>
          <w:tcPr>
            <w:tcW w:w="1813" w:type="dxa"/>
            <w:tcBorders>
              <w:top w:val="nil"/>
              <w:left w:val="single" w:sz="6" w:space="0" w:color="000000"/>
              <w:bottom w:val="nil"/>
              <w:right w:val="single" w:sz="6" w:space="0" w:color="000000"/>
            </w:tcBorders>
            <w:hideMark/>
          </w:tcPr>
          <w:p w14:paraId="5A9F6E0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0,42</w:t>
            </w:r>
          </w:p>
        </w:tc>
      </w:tr>
      <w:tr w:rsidR="00486A3E" w14:paraId="458E61F1" w14:textId="77777777" w:rsidTr="00486A3E">
        <w:trPr>
          <w:trHeight w:val="614"/>
        </w:trPr>
        <w:tc>
          <w:tcPr>
            <w:tcW w:w="2128" w:type="dxa"/>
            <w:tcBorders>
              <w:top w:val="nil"/>
              <w:left w:val="single" w:sz="6" w:space="0" w:color="000000"/>
              <w:bottom w:val="single" w:sz="6" w:space="0" w:color="000000"/>
              <w:right w:val="single" w:sz="6" w:space="0" w:color="000000"/>
            </w:tcBorders>
            <w:hideMark/>
          </w:tcPr>
          <w:p w14:paraId="4FE818B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2,0</w:t>
            </w:r>
          </w:p>
        </w:tc>
        <w:tc>
          <w:tcPr>
            <w:tcW w:w="1555" w:type="dxa"/>
            <w:tcBorders>
              <w:top w:val="nil"/>
              <w:left w:val="single" w:sz="6" w:space="0" w:color="000000"/>
              <w:bottom w:val="single" w:sz="6" w:space="0" w:color="000000"/>
              <w:right w:val="single" w:sz="6" w:space="0" w:color="000000"/>
            </w:tcBorders>
            <w:hideMark/>
          </w:tcPr>
          <w:p w14:paraId="1609CA0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c>
          <w:tcPr>
            <w:tcW w:w="1681" w:type="dxa"/>
            <w:tcBorders>
              <w:top w:val="nil"/>
              <w:left w:val="single" w:sz="6" w:space="0" w:color="000000"/>
              <w:bottom w:val="single" w:sz="6" w:space="0" w:color="000000"/>
              <w:right w:val="single" w:sz="6" w:space="0" w:color="000000"/>
            </w:tcBorders>
            <w:hideMark/>
          </w:tcPr>
          <w:p w14:paraId="109921D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w:t>
            </w:r>
          </w:p>
        </w:tc>
        <w:tc>
          <w:tcPr>
            <w:tcW w:w="1681" w:type="dxa"/>
            <w:tcBorders>
              <w:top w:val="nil"/>
              <w:left w:val="single" w:sz="6" w:space="0" w:color="000000"/>
              <w:bottom w:val="single" w:sz="6" w:space="0" w:color="000000"/>
              <w:right w:val="single" w:sz="6" w:space="0" w:color="000000"/>
            </w:tcBorders>
            <w:hideMark/>
          </w:tcPr>
          <w:p w14:paraId="5DB371F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w:t>
            </w:r>
          </w:p>
        </w:tc>
        <w:tc>
          <w:tcPr>
            <w:tcW w:w="1813" w:type="dxa"/>
            <w:tcBorders>
              <w:top w:val="nil"/>
              <w:left w:val="single" w:sz="6" w:space="0" w:color="000000"/>
              <w:bottom w:val="single" w:sz="6" w:space="0" w:color="000000"/>
              <w:right w:val="single" w:sz="6" w:space="0" w:color="000000"/>
            </w:tcBorders>
            <w:hideMark/>
          </w:tcPr>
          <w:p w14:paraId="48281A8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0,48</w:t>
            </w:r>
          </w:p>
        </w:tc>
      </w:tr>
    </w:tbl>
    <w:p w14:paraId="02503D89" w14:textId="4FC68E4C" w:rsidR="00C766DC" w:rsidRDefault="00C766DC" w:rsidP="00486A3E">
      <w:pPr>
        <w:rPr>
          <w:sz w:val="22"/>
        </w:rPr>
      </w:pPr>
    </w:p>
    <w:p w14:paraId="0F4DCB36" w14:textId="77777777" w:rsidR="00C766DC" w:rsidRDefault="00C766DC">
      <w:pPr>
        <w:rPr>
          <w:sz w:val="22"/>
        </w:rPr>
      </w:pPr>
      <w:r>
        <w:rPr>
          <w:sz w:val="22"/>
        </w:rPr>
        <w:br w:type="page"/>
      </w:r>
    </w:p>
    <w:p w14:paraId="2D2DC40A" w14:textId="77777777" w:rsidR="00486A3E" w:rsidRDefault="00486A3E" w:rsidP="00486A3E">
      <w:pPr>
        <w:rPr>
          <w:sz w:val="22"/>
        </w:rPr>
      </w:pPr>
    </w:p>
    <w:p w14:paraId="5B556239" w14:textId="77777777" w:rsidR="00486A3E" w:rsidRDefault="00486A3E" w:rsidP="00C766DC">
      <w:pPr>
        <w:keepNext/>
        <w:ind w:left="142"/>
      </w:pPr>
      <w:r>
        <w:t>Tabel 7.</w:t>
      </w:r>
      <w:r>
        <w:tab/>
        <w:t>Remifentanil "Orion" infusionshastigheder (ml/time) for en 20 μg/ml opløsning</w:t>
      </w:r>
    </w:p>
    <w:p w14:paraId="75A5FA0D" w14:textId="77777777" w:rsidR="00486A3E" w:rsidRDefault="00486A3E" w:rsidP="00486A3E">
      <w:pPr>
        <w:keepNext/>
      </w:pPr>
    </w:p>
    <w:tbl>
      <w:tblPr>
        <w:tblW w:w="8925"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0"/>
        <w:gridCol w:w="909"/>
        <w:gridCol w:w="900"/>
        <w:gridCol w:w="989"/>
        <w:gridCol w:w="991"/>
        <w:gridCol w:w="989"/>
        <w:gridCol w:w="991"/>
        <w:gridCol w:w="1166"/>
      </w:tblGrid>
      <w:tr w:rsidR="00486A3E" w14:paraId="273DA48D" w14:textId="77777777" w:rsidTr="00486A3E">
        <w:trPr>
          <w:trHeight w:val="491"/>
        </w:trPr>
        <w:tc>
          <w:tcPr>
            <w:tcW w:w="1991" w:type="dxa"/>
            <w:vMerge w:val="restart"/>
            <w:tcBorders>
              <w:top w:val="single" w:sz="6" w:space="0" w:color="000000"/>
              <w:left w:val="single" w:sz="6" w:space="0" w:color="000000"/>
              <w:bottom w:val="single" w:sz="6" w:space="0" w:color="000000"/>
              <w:right w:val="single" w:sz="6" w:space="0" w:color="000000"/>
            </w:tcBorders>
            <w:hideMark/>
          </w:tcPr>
          <w:p w14:paraId="7B76B14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Infusionshastighed (µg/kg/min)</w:t>
            </w:r>
          </w:p>
        </w:tc>
        <w:tc>
          <w:tcPr>
            <w:tcW w:w="6941" w:type="dxa"/>
            <w:gridSpan w:val="7"/>
            <w:tcBorders>
              <w:top w:val="single" w:sz="6" w:space="0" w:color="000000"/>
              <w:left w:val="single" w:sz="6" w:space="0" w:color="000000"/>
              <w:bottom w:val="single" w:sz="6" w:space="0" w:color="000000"/>
              <w:right w:val="single" w:sz="6" w:space="0" w:color="000000"/>
            </w:tcBorders>
            <w:hideMark/>
          </w:tcPr>
          <w:p w14:paraId="137C6BB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Patientens vægt (kg)</w:t>
            </w:r>
          </w:p>
        </w:tc>
      </w:tr>
      <w:tr w:rsidR="00486A3E" w14:paraId="2D1ED590" w14:textId="77777777" w:rsidTr="00486A3E">
        <w:trPr>
          <w:trHeight w:val="493"/>
        </w:trPr>
        <w:tc>
          <w:tcPr>
            <w:tcW w:w="1991" w:type="dxa"/>
            <w:vMerge/>
            <w:tcBorders>
              <w:top w:val="single" w:sz="6" w:space="0" w:color="000000"/>
              <w:left w:val="single" w:sz="6" w:space="0" w:color="000000"/>
              <w:bottom w:val="single" w:sz="6" w:space="0" w:color="000000"/>
              <w:right w:val="single" w:sz="6" w:space="0" w:color="000000"/>
            </w:tcBorders>
            <w:vAlign w:val="center"/>
            <w:hideMark/>
          </w:tcPr>
          <w:p w14:paraId="02DE70DF" w14:textId="77777777" w:rsidR="00486A3E" w:rsidRDefault="00486A3E">
            <w:pPr>
              <w:rPr>
                <w:spacing w:val="-2"/>
                <w:sz w:val="22"/>
                <w:szCs w:val="22"/>
                <w:lang w:val="en-GB"/>
              </w:rPr>
            </w:pPr>
          </w:p>
        </w:tc>
        <w:tc>
          <w:tcPr>
            <w:tcW w:w="909" w:type="dxa"/>
            <w:tcBorders>
              <w:top w:val="single" w:sz="6" w:space="0" w:color="000000"/>
              <w:left w:val="single" w:sz="6" w:space="0" w:color="000000"/>
              <w:bottom w:val="single" w:sz="6" w:space="0" w:color="000000"/>
              <w:right w:val="single" w:sz="6" w:space="0" w:color="000000"/>
            </w:tcBorders>
            <w:hideMark/>
          </w:tcPr>
          <w:p w14:paraId="2A9CBE9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w:t>
            </w:r>
          </w:p>
        </w:tc>
        <w:tc>
          <w:tcPr>
            <w:tcW w:w="901" w:type="dxa"/>
            <w:tcBorders>
              <w:top w:val="single" w:sz="6" w:space="0" w:color="000000"/>
              <w:left w:val="single" w:sz="6" w:space="0" w:color="000000"/>
              <w:bottom w:val="single" w:sz="6" w:space="0" w:color="000000"/>
              <w:right w:val="single" w:sz="6" w:space="0" w:color="000000"/>
            </w:tcBorders>
            <w:hideMark/>
          </w:tcPr>
          <w:p w14:paraId="5A48FE8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w:t>
            </w:r>
          </w:p>
        </w:tc>
        <w:tc>
          <w:tcPr>
            <w:tcW w:w="990" w:type="dxa"/>
            <w:tcBorders>
              <w:top w:val="single" w:sz="6" w:space="0" w:color="000000"/>
              <w:left w:val="single" w:sz="6" w:space="0" w:color="000000"/>
              <w:bottom w:val="single" w:sz="6" w:space="0" w:color="000000"/>
              <w:right w:val="single" w:sz="6" w:space="0" w:color="000000"/>
            </w:tcBorders>
            <w:hideMark/>
          </w:tcPr>
          <w:p w14:paraId="3D585C3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20</w:t>
            </w:r>
          </w:p>
        </w:tc>
        <w:tc>
          <w:tcPr>
            <w:tcW w:w="992" w:type="dxa"/>
            <w:tcBorders>
              <w:top w:val="single" w:sz="6" w:space="0" w:color="000000"/>
              <w:left w:val="single" w:sz="6" w:space="0" w:color="000000"/>
              <w:bottom w:val="single" w:sz="6" w:space="0" w:color="000000"/>
              <w:right w:val="single" w:sz="6" w:space="0" w:color="000000"/>
            </w:tcBorders>
            <w:hideMark/>
          </w:tcPr>
          <w:p w14:paraId="01D5F95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990" w:type="dxa"/>
            <w:tcBorders>
              <w:top w:val="single" w:sz="6" w:space="0" w:color="000000"/>
              <w:left w:val="single" w:sz="6" w:space="0" w:color="000000"/>
              <w:bottom w:val="single" w:sz="6" w:space="0" w:color="000000"/>
              <w:right w:val="single" w:sz="6" w:space="0" w:color="000000"/>
            </w:tcBorders>
            <w:hideMark/>
          </w:tcPr>
          <w:p w14:paraId="08CBCFF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40</w:t>
            </w:r>
          </w:p>
        </w:tc>
        <w:tc>
          <w:tcPr>
            <w:tcW w:w="992" w:type="dxa"/>
            <w:tcBorders>
              <w:top w:val="single" w:sz="6" w:space="0" w:color="000000"/>
              <w:left w:val="single" w:sz="6" w:space="0" w:color="000000"/>
              <w:bottom w:val="single" w:sz="6" w:space="0" w:color="000000"/>
              <w:right w:val="single" w:sz="6" w:space="0" w:color="000000"/>
            </w:tcBorders>
            <w:hideMark/>
          </w:tcPr>
          <w:p w14:paraId="0DF5B0D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50</w:t>
            </w:r>
          </w:p>
        </w:tc>
        <w:tc>
          <w:tcPr>
            <w:tcW w:w="1167" w:type="dxa"/>
            <w:tcBorders>
              <w:top w:val="single" w:sz="6" w:space="0" w:color="000000"/>
              <w:left w:val="single" w:sz="6" w:space="0" w:color="000000"/>
              <w:bottom w:val="single" w:sz="6" w:space="0" w:color="000000"/>
              <w:right w:val="single" w:sz="6" w:space="0" w:color="000000"/>
            </w:tcBorders>
            <w:hideMark/>
          </w:tcPr>
          <w:p w14:paraId="258CFEF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r>
      <w:tr w:rsidR="00486A3E" w14:paraId="11928E4C" w14:textId="77777777" w:rsidTr="00486A3E">
        <w:trPr>
          <w:trHeight w:val="371"/>
        </w:trPr>
        <w:tc>
          <w:tcPr>
            <w:tcW w:w="1991" w:type="dxa"/>
            <w:tcBorders>
              <w:top w:val="single" w:sz="6" w:space="0" w:color="000000"/>
              <w:left w:val="single" w:sz="6" w:space="0" w:color="000000"/>
              <w:bottom w:val="nil"/>
              <w:right w:val="single" w:sz="6" w:space="0" w:color="000000"/>
            </w:tcBorders>
            <w:hideMark/>
          </w:tcPr>
          <w:p w14:paraId="12F3C68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0,0125</w:t>
            </w:r>
          </w:p>
        </w:tc>
        <w:tc>
          <w:tcPr>
            <w:tcW w:w="909" w:type="dxa"/>
            <w:tcBorders>
              <w:top w:val="single" w:sz="6" w:space="0" w:color="000000"/>
              <w:left w:val="single" w:sz="6" w:space="0" w:color="000000"/>
              <w:bottom w:val="nil"/>
              <w:right w:val="single" w:sz="6" w:space="0" w:color="000000"/>
            </w:tcBorders>
            <w:hideMark/>
          </w:tcPr>
          <w:p w14:paraId="2D12DBC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0,188</w:t>
            </w:r>
          </w:p>
        </w:tc>
        <w:tc>
          <w:tcPr>
            <w:tcW w:w="901" w:type="dxa"/>
            <w:tcBorders>
              <w:top w:val="single" w:sz="6" w:space="0" w:color="000000"/>
              <w:left w:val="single" w:sz="6" w:space="0" w:color="000000"/>
              <w:bottom w:val="nil"/>
              <w:right w:val="single" w:sz="6" w:space="0" w:color="000000"/>
            </w:tcBorders>
            <w:hideMark/>
          </w:tcPr>
          <w:p w14:paraId="4786372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0,375</w:t>
            </w:r>
          </w:p>
        </w:tc>
        <w:tc>
          <w:tcPr>
            <w:tcW w:w="990" w:type="dxa"/>
            <w:tcBorders>
              <w:top w:val="single" w:sz="6" w:space="0" w:color="000000"/>
              <w:left w:val="single" w:sz="6" w:space="0" w:color="000000"/>
              <w:bottom w:val="nil"/>
              <w:right w:val="single" w:sz="6" w:space="0" w:color="000000"/>
            </w:tcBorders>
            <w:hideMark/>
          </w:tcPr>
          <w:p w14:paraId="02FD8FF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0,75</w:t>
            </w:r>
          </w:p>
        </w:tc>
        <w:tc>
          <w:tcPr>
            <w:tcW w:w="992" w:type="dxa"/>
            <w:tcBorders>
              <w:top w:val="single" w:sz="6" w:space="0" w:color="000000"/>
              <w:left w:val="single" w:sz="6" w:space="0" w:color="000000"/>
              <w:bottom w:val="nil"/>
              <w:right w:val="single" w:sz="6" w:space="0" w:color="000000"/>
            </w:tcBorders>
            <w:hideMark/>
          </w:tcPr>
          <w:p w14:paraId="5487F37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1,125</w:t>
            </w:r>
          </w:p>
        </w:tc>
        <w:tc>
          <w:tcPr>
            <w:tcW w:w="990" w:type="dxa"/>
            <w:tcBorders>
              <w:top w:val="single" w:sz="6" w:space="0" w:color="000000"/>
              <w:left w:val="single" w:sz="6" w:space="0" w:color="000000"/>
              <w:bottom w:val="nil"/>
              <w:right w:val="single" w:sz="6" w:space="0" w:color="000000"/>
            </w:tcBorders>
            <w:hideMark/>
          </w:tcPr>
          <w:p w14:paraId="7E93A05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w:t>
            </w:r>
          </w:p>
        </w:tc>
        <w:tc>
          <w:tcPr>
            <w:tcW w:w="992" w:type="dxa"/>
            <w:tcBorders>
              <w:top w:val="single" w:sz="6" w:space="0" w:color="000000"/>
              <w:left w:val="single" w:sz="6" w:space="0" w:color="000000"/>
              <w:bottom w:val="nil"/>
              <w:right w:val="single" w:sz="6" w:space="0" w:color="000000"/>
            </w:tcBorders>
            <w:hideMark/>
          </w:tcPr>
          <w:p w14:paraId="007B8D2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1,875</w:t>
            </w:r>
          </w:p>
        </w:tc>
        <w:tc>
          <w:tcPr>
            <w:tcW w:w="1167" w:type="dxa"/>
            <w:tcBorders>
              <w:top w:val="single" w:sz="6" w:space="0" w:color="000000"/>
              <w:left w:val="single" w:sz="6" w:space="0" w:color="000000"/>
              <w:bottom w:val="nil"/>
              <w:right w:val="single" w:sz="6" w:space="0" w:color="000000"/>
            </w:tcBorders>
            <w:hideMark/>
          </w:tcPr>
          <w:p w14:paraId="1EE3507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2,25</w:t>
            </w:r>
          </w:p>
        </w:tc>
      </w:tr>
      <w:tr w:rsidR="00486A3E" w14:paraId="1D625120" w14:textId="77777777" w:rsidTr="00486A3E">
        <w:trPr>
          <w:trHeight w:val="493"/>
        </w:trPr>
        <w:tc>
          <w:tcPr>
            <w:tcW w:w="1991" w:type="dxa"/>
            <w:tcBorders>
              <w:top w:val="nil"/>
              <w:left w:val="single" w:sz="6" w:space="0" w:color="000000"/>
              <w:bottom w:val="nil"/>
              <w:right w:val="single" w:sz="6" w:space="0" w:color="000000"/>
            </w:tcBorders>
            <w:hideMark/>
          </w:tcPr>
          <w:p w14:paraId="3E69A6E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0,025</w:t>
            </w:r>
          </w:p>
        </w:tc>
        <w:tc>
          <w:tcPr>
            <w:tcW w:w="909" w:type="dxa"/>
            <w:tcBorders>
              <w:top w:val="nil"/>
              <w:left w:val="single" w:sz="6" w:space="0" w:color="000000"/>
              <w:bottom w:val="nil"/>
              <w:right w:val="single" w:sz="6" w:space="0" w:color="000000"/>
            </w:tcBorders>
            <w:hideMark/>
          </w:tcPr>
          <w:p w14:paraId="7634D15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0,375</w:t>
            </w:r>
          </w:p>
        </w:tc>
        <w:tc>
          <w:tcPr>
            <w:tcW w:w="901" w:type="dxa"/>
            <w:tcBorders>
              <w:top w:val="nil"/>
              <w:left w:val="single" w:sz="6" w:space="0" w:color="000000"/>
              <w:bottom w:val="nil"/>
              <w:right w:val="single" w:sz="6" w:space="0" w:color="000000"/>
            </w:tcBorders>
            <w:hideMark/>
          </w:tcPr>
          <w:p w14:paraId="634F912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0,75</w:t>
            </w:r>
          </w:p>
        </w:tc>
        <w:tc>
          <w:tcPr>
            <w:tcW w:w="990" w:type="dxa"/>
            <w:tcBorders>
              <w:top w:val="nil"/>
              <w:left w:val="single" w:sz="6" w:space="0" w:color="000000"/>
              <w:bottom w:val="nil"/>
              <w:right w:val="single" w:sz="6" w:space="0" w:color="000000"/>
            </w:tcBorders>
            <w:hideMark/>
          </w:tcPr>
          <w:p w14:paraId="7E7F848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w:t>
            </w:r>
          </w:p>
        </w:tc>
        <w:tc>
          <w:tcPr>
            <w:tcW w:w="992" w:type="dxa"/>
            <w:tcBorders>
              <w:top w:val="nil"/>
              <w:left w:val="single" w:sz="6" w:space="0" w:color="000000"/>
              <w:bottom w:val="nil"/>
              <w:right w:val="single" w:sz="6" w:space="0" w:color="000000"/>
            </w:tcBorders>
            <w:hideMark/>
          </w:tcPr>
          <w:p w14:paraId="7D0B9A8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2,25</w:t>
            </w:r>
          </w:p>
        </w:tc>
        <w:tc>
          <w:tcPr>
            <w:tcW w:w="990" w:type="dxa"/>
            <w:tcBorders>
              <w:top w:val="nil"/>
              <w:left w:val="single" w:sz="6" w:space="0" w:color="000000"/>
              <w:bottom w:val="nil"/>
              <w:right w:val="single" w:sz="6" w:space="0" w:color="000000"/>
            </w:tcBorders>
            <w:hideMark/>
          </w:tcPr>
          <w:p w14:paraId="4133766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992" w:type="dxa"/>
            <w:tcBorders>
              <w:top w:val="nil"/>
              <w:left w:val="single" w:sz="6" w:space="0" w:color="000000"/>
              <w:bottom w:val="nil"/>
              <w:right w:val="single" w:sz="6" w:space="0" w:color="000000"/>
            </w:tcBorders>
            <w:hideMark/>
          </w:tcPr>
          <w:p w14:paraId="6E52D73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3,75</w:t>
            </w:r>
          </w:p>
        </w:tc>
        <w:tc>
          <w:tcPr>
            <w:tcW w:w="1167" w:type="dxa"/>
            <w:tcBorders>
              <w:top w:val="nil"/>
              <w:left w:val="single" w:sz="6" w:space="0" w:color="000000"/>
              <w:bottom w:val="nil"/>
              <w:right w:val="single" w:sz="6" w:space="0" w:color="000000"/>
            </w:tcBorders>
            <w:hideMark/>
          </w:tcPr>
          <w:p w14:paraId="7B1630F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4,5</w:t>
            </w:r>
          </w:p>
        </w:tc>
      </w:tr>
      <w:tr w:rsidR="00486A3E" w14:paraId="7C894D3C" w14:textId="77777777" w:rsidTr="00486A3E">
        <w:trPr>
          <w:trHeight w:val="491"/>
        </w:trPr>
        <w:tc>
          <w:tcPr>
            <w:tcW w:w="1991" w:type="dxa"/>
            <w:tcBorders>
              <w:top w:val="nil"/>
              <w:left w:val="single" w:sz="6" w:space="0" w:color="000000"/>
              <w:bottom w:val="nil"/>
              <w:right w:val="single" w:sz="6" w:space="0" w:color="000000"/>
            </w:tcBorders>
            <w:hideMark/>
          </w:tcPr>
          <w:p w14:paraId="5FCEEBC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0,05</w:t>
            </w:r>
          </w:p>
        </w:tc>
        <w:tc>
          <w:tcPr>
            <w:tcW w:w="909" w:type="dxa"/>
            <w:tcBorders>
              <w:top w:val="nil"/>
              <w:left w:val="single" w:sz="6" w:space="0" w:color="000000"/>
              <w:bottom w:val="nil"/>
              <w:right w:val="single" w:sz="6" w:space="0" w:color="000000"/>
            </w:tcBorders>
            <w:hideMark/>
          </w:tcPr>
          <w:p w14:paraId="2038F3A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0,75</w:t>
            </w:r>
          </w:p>
        </w:tc>
        <w:tc>
          <w:tcPr>
            <w:tcW w:w="901" w:type="dxa"/>
            <w:tcBorders>
              <w:top w:val="nil"/>
              <w:left w:val="single" w:sz="6" w:space="0" w:color="000000"/>
              <w:bottom w:val="nil"/>
              <w:right w:val="single" w:sz="6" w:space="0" w:color="000000"/>
            </w:tcBorders>
            <w:hideMark/>
          </w:tcPr>
          <w:p w14:paraId="43E777B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w:t>
            </w:r>
          </w:p>
        </w:tc>
        <w:tc>
          <w:tcPr>
            <w:tcW w:w="990" w:type="dxa"/>
            <w:tcBorders>
              <w:top w:val="nil"/>
              <w:left w:val="single" w:sz="6" w:space="0" w:color="000000"/>
              <w:bottom w:val="nil"/>
              <w:right w:val="single" w:sz="6" w:space="0" w:color="000000"/>
            </w:tcBorders>
            <w:hideMark/>
          </w:tcPr>
          <w:p w14:paraId="21E8E74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992" w:type="dxa"/>
            <w:tcBorders>
              <w:top w:val="nil"/>
              <w:left w:val="single" w:sz="6" w:space="0" w:color="000000"/>
              <w:bottom w:val="nil"/>
              <w:right w:val="single" w:sz="6" w:space="0" w:color="000000"/>
            </w:tcBorders>
            <w:hideMark/>
          </w:tcPr>
          <w:p w14:paraId="7EFE287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4,5</w:t>
            </w:r>
          </w:p>
        </w:tc>
        <w:tc>
          <w:tcPr>
            <w:tcW w:w="990" w:type="dxa"/>
            <w:tcBorders>
              <w:top w:val="nil"/>
              <w:left w:val="single" w:sz="6" w:space="0" w:color="000000"/>
              <w:bottom w:val="nil"/>
              <w:right w:val="single" w:sz="6" w:space="0" w:color="000000"/>
            </w:tcBorders>
            <w:hideMark/>
          </w:tcPr>
          <w:p w14:paraId="7762957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c>
          <w:tcPr>
            <w:tcW w:w="992" w:type="dxa"/>
            <w:tcBorders>
              <w:top w:val="nil"/>
              <w:left w:val="single" w:sz="6" w:space="0" w:color="000000"/>
              <w:bottom w:val="nil"/>
              <w:right w:val="single" w:sz="6" w:space="0" w:color="000000"/>
            </w:tcBorders>
            <w:hideMark/>
          </w:tcPr>
          <w:p w14:paraId="1C0C365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7,5</w:t>
            </w:r>
          </w:p>
        </w:tc>
        <w:tc>
          <w:tcPr>
            <w:tcW w:w="1167" w:type="dxa"/>
            <w:tcBorders>
              <w:top w:val="nil"/>
              <w:left w:val="single" w:sz="6" w:space="0" w:color="000000"/>
              <w:bottom w:val="nil"/>
              <w:right w:val="single" w:sz="6" w:space="0" w:color="000000"/>
            </w:tcBorders>
            <w:hideMark/>
          </w:tcPr>
          <w:p w14:paraId="1B8C9DA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r>
      <w:tr w:rsidR="00486A3E" w14:paraId="252F0A17" w14:textId="77777777" w:rsidTr="00486A3E">
        <w:trPr>
          <w:trHeight w:val="493"/>
        </w:trPr>
        <w:tc>
          <w:tcPr>
            <w:tcW w:w="1991" w:type="dxa"/>
            <w:tcBorders>
              <w:top w:val="nil"/>
              <w:left w:val="single" w:sz="6" w:space="0" w:color="000000"/>
              <w:bottom w:val="nil"/>
              <w:right w:val="single" w:sz="6" w:space="0" w:color="000000"/>
            </w:tcBorders>
            <w:hideMark/>
          </w:tcPr>
          <w:p w14:paraId="3A64E5C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0,075</w:t>
            </w:r>
          </w:p>
        </w:tc>
        <w:tc>
          <w:tcPr>
            <w:tcW w:w="909" w:type="dxa"/>
            <w:tcBorders>
              <w:top w:val="nil"/>
              <w:left w:val="single" w:sz="6" w:space="0" w:color="000000"/>
              <w:bottom w:val="nil"/>
              <w:right w:val="single" w:sz="6" w:space="0" w:color="000000"/>
            </w:tcBorders>
            <w:hideMark/>
          </w:tcPr>
          <w:p w14:paraId="4BCF6A7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1,125</w:t>
            </w:r>
          </w:p>
        </w:tc>
        <w:tc>
          <w:tcPr>
            <w:tcW w:w="901" w:type="dxa"/>
            <w:tcBorders>
              <w:top w:val="nil"/>
              <w:left w:val="single" w:sz="6" w:space="0" w:color="000000"/>
              <w:bottom w:val="nil"/>
              <w:right w:val="single" w:sz="6" w:space="0" w:color="000000"/>
            </w:tcBorders>
            <w:hideMark/>
          </w:tcPr>
          <w:p w14:paraId="6F3538E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2,25</w:t>
            </w:r>
          </w:p>
        </w:tc>
        <w:tc>
          <w:tcPr>
            <w:tcW w:w="990" w:type="dxa"/>
            <w:tcBorders>
              <w:top w:val="nil"/>
              <w:left w:val="single" w:sz="6" w:space="0" w:color="000000"/>
              <w:bottom w:val="nil"/>
              <w:right w:val="single" w:sz="6" w:space="0" w:color="000000"/>
            </w:tcBorders>
            <w:hideMark/>
          </w:tcPr>
          <w:p w14:paraId="67D469D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4,5</w:t>
            </w:r>
          </w:p>
        </w:tc>
        <w:tc>
          <w:tcPr>
            <w:tcW w:w="992" w:type="dxa"/>
            <w:tcBorders>
              <w:top w:val="nil"/>
              <w:left w:val="single" w:sz="6" w:space="0" w:color="000000"/>
              <w:bottom w:val="nil"/>
              <w:right w:val="single" w:sz="6" w:space="0" w:color="000000"/>
            </w:tcBorders>
            <w:hideMark/>
          </w:tcPr>
          <w:p w14:paraId="5AEDC71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6,75</w:t>
            </w:r>
          </w:p>
        </w:tc>
        <w:tc>
          <w:tcPr>
            <w:tcW w:w="990" w:type="dxa"/>
            <w:tcBorders>
              <w:top w:val="nil"/>
              <w:left w:val="single" w:sz="6" w:space="0" w:color="000000"/>
              <w:bottom w:val="nil"/>
              <w:right w:val="single" w:sz="6" w:space="0" w:color="000000"/>
            </w:tcBorders>
            <w:hideMark/>
          </w:tcPr>
          <w:p w14:paraId="6EFC3AC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c>
          <w:tcPr>
            <w:tcW w:w="992" w:type="dxa"/>
            <w:tcBorders>
              <w:top w:val="nil"/>
              <w:left w:val="single" w:sz="6" w:space="0" w:color="000000"/>
              <w:bottom w:val="nil"/>
              <w:right w:val="single" w:sz="6" w:space="0" w:color="000000"/>
            </w:tcBorders>
            <w:hideMark/>
          </w:tcPr>
          <w:p w14:paraId="5D67308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11,25</w:t>
            </w:r>
          </w:p>
        </w:tc>
        <w:tc>
          <w:tcPr>
            <w:tcW w:w="1167" w:type="dxa"/>
            <w:tcBorders>
              <w:top w:val="nil"/>
              <w:left w:val="single" w:sz="6" w:space="0" w:color="000000"/>
              <w:bottom w:val="nil"/>
              <w:right w:val="single" w:sz="6" w:space="0" w:color="000000"/>
            </w:tcBorders>
            <w:hideMark/>
          </w:tcPr>
          <w:p w14:paraId="5ABD248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13,5</w:t>
            </w:r>
          </w:p>
        </w:tc>
      </w:tr>
      <w:tr w:rsidR="00486A3E" w14:paraId="01C033A3" w14:textId="77777777" w:rsidTr="00486A3E">
        <w:trPr>
          <w:trHeight w:val="493"/>
        </w:trPr>
        <w:tc>
          <w:tcPr>
            <w:tcW w:w="1991" w:type="dxa"/>
            <w:tcBorders>
              <w:top w:val="nil"/>
              <w:left w:val="single" w:sz="6" w:space="0" w:color="000000"/>
              <w:bottom w:val="nil"/>
              <w:right w:val="single" w:sz="6" w:space="0" w:color="000000"/>
            </w:tcBorders>
            <w:hideMark/>
          </w:tcPr>
          <w:p w14:paraId="18A2CCE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w:t>
            </w:r>
          </w:p>
        </w:tc>
        <w:tc>
          <w:tcPr>
            <w:tcW w:w="909" w:type="dxa"/>
            <w:tcBorders>
              <w:top w:val="nil"/>
              <w:left w:val="single" w:sz="6" w:space="0" w:color="000000"/>
              <w:bottom w:val="nil"/>
              <w:right w:val="single" w:sz="6" w:space="0" w:color="000000"/>
            </w:tcBorders>
            <w:hideMark/>
          </w:tcPr>
          <w:p w14:paraId="389C7F4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w:t>
            </w:r>
          </w:p>
        </w:tc>
        <w:tc>
          <w:tcPr>
            <w:tcW w:w="901" w:type="dxa"/>
            <w:tcBorders>
              <w:top w:val="nil"/>
              <w:left w:val="single" w:sz="6" w:space="0" w:color="000000"/>
              <w:bottom w:val="nil"/>
              <w:right w:val="single" w:sz="6" w:space="0" w:color="000000"/>
            </w:tcBorders>
            <w:hideMark/>
          </w:tcPr>
          <w:p w14:paraId="66CAD4A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990" w:type="dxa"/>
            <w:tcBorders>
              <w:top w:val="nil"/>
              <w:left w:val="single" w:sz="6" w:space="0" w:color="000000"/>
              <w:bottom w:val="nil"/>
              <w:right w:val="single" w:sz="6" w:space="0" w:color="000000"/>
            </w:tcBorders>
            <w:hideMark/>
          </w:tcPr>
          <w:p w14:paraId="0E4DD88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c>
          <w:tcPr>
            <w:tcW w:w="992" w:type="dxa"/>
            <w:tcBorders>
              <w:top w:val="nil"/>
              <w:left w:val="single" w:sz="6" w:space="0" w:color="000000"/>
              <w:bottom w:val="nil"/>
              <w:right w:val="single" w:sz="6" w:space="0" w:color="000000"/>
            </w:tcBorders>
            <w:hideMark/>
          </w:tcPr>
          <w:p w14:paraId="5B795BA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c>
          <w:tcPr>
            <w:tcW w:w="990" w:type="dxa"/>
            <w:tcBorders>
              <w:top w:val="nil"/>
              <w:left w:val="single" w:sz="6" w:space="0" w:color="000000"/>
              <w:bottom w:val="nil"/>
              <w:right w:val="single" w:sz="6" w:space="0" w:color="000000"/>
            </w:tcBorders>
            <w:hideMark/>
          </w:tcPr>
          <w:p w14:paraId="59BF26D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w:t>
            </w:r>
          </w:p>
        </w:tc>
        <w:tc>
          <w:tcPr>
            <w:tcW w:w="992" w:type="dxa"/>
            <w:tcBorders>
              <w:top w:val="nil"/>
              <w:left w:val="single" w:sz="6" w:space="0" w:color="000000"/>
              <w:bottom w:val="nil"/>
              <w:right w:val="single" w:sz="6" w:space="0" w:color="000000"/>
            </w:tcBorders>
            <w:hideMark/>
          </w:tcPr>
          <w:p w14:paraId="1541A68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15,0</w:t>
            </w:r>
          </w:p>
        </w:tc>
        <w:tc>
          <w:tcPr>
            <w:tcW w:w="1167" w:type="dxa"/>
            <w:tcBorders>
              <w:top w:val="nil"/>
              <w:left w:val="single" w:sz="6" w:space="0" w:color="000000"/>
              <w:bottom w:val="nil"/>
              <w:right w:val="single" w:sz="6" w:space="0" w:color="000000"/>
            </w:tcBorders>
            <w:hideMark/>
          </w:tcPr>
          <w:p w14:paraId="129F3BA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w:t>
            </w:r>
          </w:p>
        </w:tc>
      </w:tr>
      <w:tr w:rsidR="00486A3E" w14:paraId="420F5475" w14:textId="77777777" w:rsidTr="00486A3E">
        <w:trPr>
          <w:trHeight w:val="493"/>
        </w:trPr>
        <w:tc>
          <w:tcPr>
            <w:tcW w:w="1991" w:type="dxa"/>
            <w:tcBorders>
              <w:top w:val="nil"/>
              <w:left w:val="single" w:sz="6" w:space="0" w:color="000000"/>
              <w:bottom w:val="nil"/>
              <w:right w:val="single" w:sz="6" w:space="0" w:color="000000"/>
            </w:tcBorders>
            <w:hideMark/>
          </w:tcPr>
          <w:p w14:paraId="4589B00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0,15</w:t>
            </w:r>
          </w:p>
        </w:tc>
        <w:tc>
          <w:tcPr>
            <w:tcW w:w="909" w:type="dxa"/>
            <w:tcBorders>
              <w:top w:val="nil"/>
              <w:left w:val="single" w:sz="6" w:space="0" w:color="000000"/>
              <w:bottom w:val="nil"/>
              <w:right w:val="single" w:sz="6" w:space="0" w:color="000000"/>
            </w:tcBorders>
            <w:hideMark/>
          </w:tcPr>
          <w:p w14:paraId="4E32149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2,25</w:t>
            </w:r>
          </w:p>
        </w:tc>
        <w:tc>
          <w:tcPr>
            <w:tcW w:w="901" w:type="dxa"/>
            <w:tcBorders>
              <w:top w:val="nil"/>
              <w:left w:val="single" w:sz="6" w:space="0" w:color="000000"/>
              <w:bottom w:val="nil"/>
              <w:right w:val="single" w:sz="6" w:space="0" w:color="000000"/>
            </w:tcBorders>
            <w:hideMark/>
          </w:tcPr>
          <w:p w14:paraId="724DE4B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4,5</w:t>
            </w:r>
          </w:p>
        </w:tc>
        <w:tc>
          <w:tcPr>
            <w:tcW w:w="990" w:type="dxa"/>
            <w:tcBorders>
              <w:top w:val="nil"/>
              <w:left w:val="single" w:sz="6" w:space="0" w:color="000000"/>
              <w:bottom w:val="nil"/>
              <w:right w:val="single" w:sz="6" w:space="0" w:color="000000"/>
            </w:tcBorders>
            <w:hideMark/>
          </w:tcPr>
          <w:p w14:paraId="314C08D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c>
          <w:tcPr>
            <w:tcW w:w="992" w:type="dxa"/>
            <w:tcBorders>
              <w:top w:val="nil"/>
              <w:left w:val="single" w:sz="6" w:space="0" w:color="000000"/>
              <w:bottom w:val="nil"/>
              <w:right w:val="single" w:sz="6" w:space="0" w:color="000000"/>
            </w:tcBorders>
            <w:hideMark/>
          </w:tcPr>
          <w:p w14:paraId="4CFCCBB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13,5</w:t>
            </w:r>
          </w:p>
        </w:tc>
        <w:tc>
          <w:tcPr>
            <w:tcW w:w="990" w:type="dxa"/>
            <w:tcBorders>
              <w:top w:val="nil"/>
              <w:left w:val="single" w:sz="6" w:space="0" w:color="000000"/>
              <w:bottom w:val="nil"/>
              <w:right w:val="single" w:sz="6" w:space="0" w:color="000000"/>
            </w:tcBorders>
            <w:hideMark/>
          </w:tcPr>
          <w:p w14:paraId="1921207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w:t>
            </w:r>
          </w:p>
        </w:tc>
        <w:tc>
          <w:tcPr>
            <w:tcW w:w="992" w:type="dxa"/>
            <w:tcBorders>
              <w:top w:val="nil"/>
              <w:left w:val="single" w:sz="6" w:space="0" w:color="000000"/>
              <w:bottom w:val="nil"/>
              <w:right w:val="single" w:sz="6" w:space="0" w:color="000000"/>
            </w:tcBorders>
            <w:hideMark/>
          </w:tcPr>
          <w:p w14:paraId="26E7A3B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22,5</w:t>
            </w:r>
          </w:p>
        </w:tc>
        <w:tc>
          <w:tcPr>
            <w:tcW w:w="1167" w:type="dxa"/>
            <w:tcBorders>
              <w:top w:val="nil"/>
              <w:left w:val="single" w:sz="6" w:space="0" w:color="000000"/>
              <w:bottom w:val="nil"/>
              <w:right w:val="single" w:sz="6" w:space="0" w:color="000000"/>
            </w:tcBorders>
            <w:hideMark/>
          </w:tcPr>
          <w:p w14:paraId="1F81651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27,0</w:t>
            </w:r>
          </w:p>
        </w:tc>
      </w:tr>
      <w:tr w:rsidR="00486A3E" w14:paraId="655DE777" w14:textId="77777777" w:rsidTr="00486A3E">
        <w:trPr>
          <w:trHeight w:val="493"/>
        </w:trPr>
        <w:tc>
          <w:tcPr>
            <w:tcW w:w="1991" w:type="dxa"/>
            <w:tcBorders>
              <w:top w:val="nil"/>
              <w:left w:val="single" w:sz="6" w:space="0" w:color="000000"/>
              <w:bottom w:val="nil"/>
              <w:right w:val="single" w:sz="6" w:space="0" w:color="000000"/>
            </w:tcBorders>
            <w:hideMark/>
          </w:tcPr>
          <w:p w14:paraId="6127DC1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w:t>
            </w:r>
          </w:p>
        </w:tc>
        <w:tc>
          <w:tcPr>
            <w:tcW w:w="909" w:type="dxa"/>
            <w:tcBorders>
              <w:top w:val="nil"/>
              <w:left w:val="single" w:sz="6" w:space="0" w:color="000000"/>
              <w:bottom w:val="nil"/>
              <w:right w:val="single" w:sz="6" w:space="0" w:color="000000"/>
            </w:tcBorders>
            <w:hideMark/>
          </w:tcPr>
          <w:p w14:paraId="5132C15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901" w:type="dxa"/>
            <w:tcBorders>
              <w:top w:val="nil"/>
              <w:left w:val="single" w:sz="6" w:space="0" w:color="000000"/>
              <w:bottom w:val="nil"/>
              <w:right w:val="single" w:sz="6" w:space="0" w:color="000000"/>
            </w:tcBorders>
            <w:hideMark/>
          </w:tcPr>
          <w:p w14:paraId="2330B4F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c>
          <w:tcPr>
            <w:tcW w:w="990" w:type="dxa"/>
            <w:tcBorders>
              <w:top w:val="nil"/>
              <w:left w:val="single" w:sz="6" w:space="0" w:color="000000"/>
              <w:bottom w:val="nil"/>
              <w:right w:val="single" w:sz="6" w:space="0" w:color="000000"/>
            </w:tcBorders>
            <w:hideMark/>
          </w:tcPr>
          <w:p w14:paraId="1E9A8F8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w:t>
            </w:r>
          </w:p>
        </w:tc>
        <w:tc>
          <w:tcPr>
            <w:tcW w:w="992" w:type="dxa"/>
            <w:tcBorders>
              <w:top w:val="nil"/>
              <w:left w:val="single" w:sz="6" w:space="0" w:color="000000"/>
              <w:bottom w:val="nil"/>
              <w:right w:val="single" w:sz="6" w:space="0" w:color="000000"/>
            </w:tcBorders>
            <w:hideMark/>
          </w:tcPr>
          <w:p w14:paraId="2A8182F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w:t>
            </w:r>
          </w:p>
        </w:tc>
        <w:tc>
          <w:tcPr>
            <w:tcW w:w="990" w:type="dxa"/>
            <w:tcBorders>
              <w:top w:val="nil"/>
              <w:left w:val="single" w:sz="6" w:space="0" w:color="000000"/>
              <w:bottom w:val="nil"/>
              <w:right w:val="single" w:sz="6" w:space="0" w:color="000000"/>
            </w:tcBorders>
            <w:hideMark/>
          </w:tcPr>
          <w:p w14:paraId="458B064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w:t>
            </w:r>
          </w:p>
        </w:tc>
        <w:tc>
          <w:tcPr>
            <w:tcW w:w="992" w:type="dxa"/>
            <w:tcBorders>
              <w:top w:val="nil"/>
              <w:left w:val="single" w:sz="6" w:space="0" w:color="000000"/>
              <w:bottom w:val="nil"/>
              <w:right w:val="single" w:sz="6" w:space="0" w:color="000000"/>
            </w:tcBorders>
            <w:hideMark/>
          </w:tcPr>
          <w:p w14:paraId="017D31A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30,0</w:t>
            </w:r>
          </w:p>
        </w:tc>
        <w:tc>
          <w:tcPr>
            <w:tcW w:w="1167" w:type="dxa"/>
            <w:tcBorders>
              <w:top w:val="nil"/>
              <w:left w:val="single" w:sz="6" w:space="0" w:color="000000"/>
              <w:bottom w:val="nil"/>
              <w:right w:val="single" w:sz="6" w:space="0" w:color="000000"/>
            </w:tcBorders>
            <w:hideMark/>
          </w:tcPr>
          <w:p w14:paraId="3AE7B02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36,0</w:t>
            </w:r>
          </w:p>
        </w:tc>
      </w:tr>
      <w:tr w:rsidR="00486A3E" w14:paraId="20F98B00" w14:textId="77777777" w:rsidTr="00486A3E">
        <w:trPr>
          <w:trHeight w:val="493"/>
        </w:trPr>
        <w:tc>
          <w:tcPr>
            <w:tcW w:w="1991" w:type="dxa"/>
            <w:tcBorders>
              <w:top w:val="nil"/>
              <w:left w:val="single" w:sz="6" w:space="0" w:color="000000"/>
              <w:bottom w:val="nil"/>
              <w:right w:val="single" w:sz="6" w:space="0" w:color="000000"/>
            </w:tcBorders>
            <w:hideMark/>
          </w:tcPr>
          <w:p w14:paraId="5E85ABF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0,25</w:t>
            </w:r>
          </w:p>
        </w:tc>
        <w:tc>
          <w:tcPr>
            <w:tcW w:w="909" w:type="dxa"/>
            <w:tcBorders>
              <w:top w:val="nil"/>
              <w:left w:val="single" w:sz="6" w:space="0" w:color="000000"/>
              <w:bottom w:val="nil"/>
              <w:right w:val="single" w:sz="6" w:space="0" w:color="000000"/>
            </w:tcBorders>
            <w:hideMark/>
          </w:tcPr>
          <w:p w14:paraId="4923774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3,75</w:t>
            </w:r>
          </w:p>
        </w:tc>
        <w:tc>
          <w:tcPr>
            <w:tcW w:w="901" w:type="dxa"/>
            <w:tcBorders>
              <w:top w:val="nil"/>
              <w:left w:val="single" w:sz="6" w:space="0" w:color="000000"/>
              <w:bottom w:val="nil"/>
              <w:right w:val="single" w:sz="6" w:space="0" w:color="000000"/>
            </w:tcBorders>
            <w:hideMark/>
          </w:tcPr>
          <w:p w14:paraId="70A4AAD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7,5</w:t>
            </w:r>
          </w:p>
        </w:tc>
        <w:tc>
          <w:tcPr>
            <w:tcW w:w="990" w:type="dxa"/>
            <w:tcBorders>
              <w:top w:val="nil"/>
              <w:left w:val="single" w:sz="6" w:space="0" w:color="000000"/>
              <w:bottom w:val="nil"/>
              <w:right w:val="single" w:sz="6" w:space="0" w:color="000000"/>
            </w:tcBorders>
            <w:hideMark/>
          </w:tcPr>
          <w:p w14:paraId="783C2E6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15,0</w:t>
            </w:r>
          </w:p>
        </w:tc>
        <w:tc>
          <w:tcPr>
            <w:tcW w:w="992" w:type="dxa"/>
            <w:tcBorders>
              <w:top w:val="nil"/>
              <w:left w:val="single" w:sz="6" w:space="0" w:color="000000"/>
              <w:bottom w:val="nil"/>
              <w:right w:val="single" w:sz="6" w:space="0" w:color="000000"/>
            </w:tcBorders>
            <w:hideMark/>
          </w:tcPr>
          <w:p w14:paraId="37CD66A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22,5</w:t>
            </w:r>
          </w:p>
        </w:tc>
        <w:tc>
          <w:tcPr>
            <w:tcW w:w="990" w:type="dxa"/>
            <w:tcBorders>
              <w:top w:val="nil"/>
              <w:left w:val="single" w:sz="6" w:space="0" w:color="000000"/>
              <w:bottom w:val="nil"/>
              <w:right w:val="single" w:sz="6" w:space="0" w:color="000000"/>
            </w:tcBorders>
            <w:hideMark/>
          </w:tcPr>
          <w:p w14:paraId="5DE8264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30,0</w:t>
            </w:r>
          </w:p>
        </w:tc>
        <w:tc>
          <w:tcPr>
            <w:tcW w:w="992" w:type="dxa"/>
            <w:tcBorders>
              <w:top w:val="nil"/>
              <w:left w:val="single" w:sz="6" w:space="0" w:color="000000"/>
              <w:bottom w:val="nil"/>
              <w:right w:val="single" w:sz="6" w:space="0" w:color="000000"/>
            </w:tcBorders>
            <w:hideMark/>
          </w:tcPr>
          <w:p w14:paraId="2E1062A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37,5</w:t>
            </w:r>
          </w:p>
        </w:tc>
        <w:tc>
          <w:tcPr>
            <w:tcW w:w="1167" w:type="dxa"/>
            <w:tcBorders>
              <w:top w:val="nil"/>
              <w:left w:val="single" w:sz="6" w:space="0" w:color="000000"/>
              <w:bottom w:val="nil"/>
              <w:right w:val="single" w:sz="6" w:space="0" w:color="000000"/>
            </w:tcBorders>
            <w:hideMark/>
          </w:tcPr>
          <w:p w14:paraId="45A6899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45,0</w:t>
            </w:r>
          </w:p>
        </w:tc>
      </w:tr>
      <w:tr w:rsidR="00486A3E" w14:paraId="2FABD861" w14:textId="77777777" w:rsidTr="00486A3E">
        <w:trPr>
          <w:trHeight w:val="493"/>
        </w:trPr>
        <w:tc>
          <w:tcPr>
            <w:tcW w:w="1991" w:type="dxa"/>
            <w:tcBorders>
              <w:top w:val="nil"/>
              <w:left w:val="single" w:sz="4" w:space="0" w:color="000000"/>
              <w:bottom w:val="nil"/>
              <w:right w:val="single" w:sz="4" w:space="0" w:color="000000"/>
            </w:tcBorders>
            <w:hideMark/>
          </w:tcPr>
          <w:p w14:paraId="20563F5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0,3</w:t>
            </w:r>
          </w:p>
        </w:tc>
        <w:tc>
          <w:tcPr>
            <w:tcW w:w="909" w:type="dxa"/>
            <w:tcBorders>
              <w:top w:val="nil"/>
              <w:left w:val="single" w:sz="4" w:space="0" w:color="000000"/>
              <w:bottom w:val="nil"/>
              <w:right w:val="single" w:sz="4" w:space="0" w:color="000000"/>
            </w:tcBorders>
            <w:hideMark/>
          </w:tcPr>
          <w:p w14:paraId="27C9ADC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4,5</w:t>
            </w:r>
          </w:p>
        </w:tc>
        <w:tc>
          <w:tcPr>
            <w:tcW w:w="901" w:type="dxa"/>
            <w:tcBorders>
              <w:top w:val="nil"/>
              <w:left w:val="single" w:sz="4" w:space="0" w:color="000000"/>
              <w:bottom w:val="nil"/>
              <w:right w:val="single" w:sz="4" w:space="0" w:color="000000"/>
            </w:tcBorders>
            <w:hideMark/>
          </w:tcPr>
          <w:p w14:paraId="7F1B65D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c>
          <w:tcPr>
            <w:tcW w:w="990" w:type="dxa"/>
            <w:tcBorders>
              <w:top w:val="nil"/>
              <w:left w:val="single" w:sz="4" w:space="0" w:color="000000"/>
              <w:bottom w:val="nil"/>
              <w:right w:val="single" w:sz="4" w:space="0" w:color="000000"/>
            </w:tcBorders>
            <w:hideMark/>
          </w:tcPr>
          <w:p w14:paraId="591F6AD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w:t>
            </w:r>
          </w:p>
        </w:tc>
        <w:tc>
          <w:tcPr>
            <w:tcW w:w="992" w:type="dxa"/>
            <w:tcBorders>
              <w:top w:val="nil"/>
              <w:left w:val="single" w:sz="4" w:space="0" w:color="000000"/>
              <w:bottom w:val="nil"/>
              <w:right w:val="single" w:sz="4" w:space="0" w:color="000000"/>
            </w:tcBorders>
            <w:hideMark/>
          </w:tcPr>
          <w:p w14:paraId="25534DC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27,0</w:t>
            </w:r>
          </w:p>
        </w:tc>
        <w:tc>
          <w:tcPr>
            <w:tcW w:w="990" w:type="dxa"/>
            <w:tcBorders>
              <w:top w:val="nil"/>
              <w:left w:val="single" w:sz="4" w:space="0" w:color="000000"/>
              <w:bottom w:val="nil"/>
              <w:right w:val="single" w:sz="4" w:space="0" w:color="000000"/>
            </w:tcBorders>
            <w:hideMark/>
          </w:tcPr>
          <w:p w14:paraId="07DB3BD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36,0</w:t>
            </w:r>
          </w:p>
        </w:tc>
        <w:tc>
          <w:tcPr>
            <w:tcW w:w="992" w:type="dxa"/>
            <w:tcBorders>
              <w:top w:val="nil"/>
              <w:left w:val="single" w:sz="4" w:space="0" w:color="000000"/>
              <w:bottom w:val="nil"/>
              <w:right w:val="single" w:sz="4" w:space="0" w:color="000000"/>
            </w:tcBorders>
            <w:hideMark/>
          </w:tcPr>
          <w:p w14:paraId="009430B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45,0</w:t>
            </w:r>
          </w:p>
        </w:tc>
        <w:tc>
          <w:tcPr>
            <w:tcW w:w="1167" w:type="dxa"/>
            <w:tcBorders>
              <w:top w:val="nil"/>
              <w:left w:val="single" w:sz="4" w:space="0" w:color="000000"/>
              <w:bottom w:val="nil"/>
              <w:right w:val="single" w:sz="4" w:space="0" w:color="000000"/>
            </w:tcBorders>
            <w:hideMark/>
          </w:tcPr>
          <w:p w14:paraId="501E263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54,0</w:t>
            </w:r>
          </w:p>
        </w:tc>
      </w:tr>
      <w:tr w:rsidR="00486A3E" w14:paraId="381E18EC" w14:textId="77777777" w:rsidTr="00486A3E">
        <w:trPr>
          <w:trHeight w:val="491"/>
        </w:trPr>
        <w:tc>
          <w:tcPr>
            <w:tcW w:w="1991" w:type="dxa"/>
            <w:tcBorders>
              <w:top w:val="nil"/>
              <w:left w:val="single" w:sz="4" w:space="0" w:color="000000"/>
              <w:bottom w:val="nil"/>
              <w:right w:val="single" w:sz="4" w:space="0" w:color="000000"/>
            </w:tcBorders>
            <w:hideMark/>
          </w:tcPr>
          <w:p w14:paraId="6E98D77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0,35</w:t>
            </w:r>
          </w:p>
        </w:tc>
        <w:tc>
          <w:tcPr>
            <w:tcW w:w="909" w:type="dxa"/>
            <w:tcBorders>
              <w:top w:val="nil"/>
              <w:left w:val="single" w:sz="4" w:space="0" w:color="000000"/>
              <w:bottom w:val="nil"/>
              <w:right w:val="single" w:sz="4" w:space="0" w:color="000000"/>
            </w:tcBorders>
            <w:hideMark/>
          </w:tcPr>
          <w:p w14:paraId="788F662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5,25</w:t>
            </w:r>
          </w:p>
        </w:tc>
        <w:tc>
          <w:tcPr>
            <w:tcW w:w="901" w:type="dxa"/>
            <w:tcBorders>
              <w:top w:val="nil"/>
              <w:left w:val="single" w:sz="4" w:space="0" w:color="000000"/>
              <w:bottom w:val="nil"/>
              <w:right w:val="single" w:sz="4" w:space="0" w:color="000000"/>
            </w:tcBorders>
            <w:hideMark/>
          </w:tcPr>
          <w:p w14:paraId="304E78F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10,5</w:t>
            </w:r>
          </w:p>
        </w:tc>
        <w:tc>
          <w:tcPr>
            <w:tcW w:w="990" w:type="dxa"/>
            <w:tcBorders>
              <w:top w:val="nil"/>
              <w:left w:val="single" w:sz="4" w:space="0" w:color="000000"/>
              <w:bottom w:val="nil"/>
              <w:right w:val="single" w:sz="4" w:space="0" w:color="000000"/>
            </w:tcBorders>
            <w:hideMark/>
          </w:tcPr>
          <w:p w14:paraId="4D83D91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21,0</w:t>
            </w:r>
          </w:p>
        </w:tc>
        <w:tc>
          <w:tcPr>
            <w:tcW w:w="992" w:type="dxa"/>
            <w:tcBorders>
              <w:top w:val="nil"/>
              <w:left w:val="single" w:sz="4" w:space="0" w:color="000000"/>
              <w:bottom w:val="nil"/>
              <w:right w:val="single" w:sz="4" w:space="0" w:color="000000"/>
            </w:tcBorders>
            <w:hideMark/>
          </w:tcPr>
          <w:p w14:paraId="562B87F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31,5</w:t>
            </w:r>
          </w:p>
        </w:tc>
        <w:tc>
          <w:tcPr>
            <w:tcW w:w="990" w:type="dxa"/>
            <w:tcBorders>
              <w:top w:val="nil"/>
              <w:left w:val="single" w:sz="4" w:space="0" w:color="000000"/>
              <w:bottom w:val="nil"/>
              <w:right w:val="single" w:sz="4" w:space="0" w:color="000000"/>
            </w:tcBorders>
            <w:hideMark/>
          </w:tcPr>
          <w:p w14:paraId="5F0BF54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42,0</w:t>
            </w:r>
          </w:p>
        </w:tc>
        <w:tc>
          <w:tcPr>
            <w:tcW w:w="992" w:type="dxa"/>
            <w:tcBorders>
              <w:top w:val="nil"/>
              <w:left w:val="single" w:sz="4" w:space="0" w:color="000000"/>
              <w:bottom w:val="nil"/>
              <w:right w:val="single" w:sz="4" w:space="0" w:color="000000"/>
            </w:tcBorders>
            <w:hideMark/>
          </w:tcPr>
          <w:p w14:paraId="68CEA4B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52,5</w:t>
            </w:r>
          </w:p>
        </w:tc>
        <w:tc>
          <w:tcPr>
            <w:tcW w:w="1167" w:type="dxa"/>
            <w:tcBorders>
              <w:top w:val="nil"/>
              <w:left w:val="single" w:sz="4" w:space="0" w:color="000000"/>
              <w:bottom w:val="nil"/>
              <w:right w:val="single" w:sz="4" w:space="0" w:color="000000"/>
            </w:tcBorders>
            <w:hideMark/>
          </w:tcPr>
          <w:p w14:paraId="5A9242E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63,0</w:t>
            </w:r>
          </w:p>
        </w:tc>
      </w:tr>
      <w:tr w:rsidR="00486A3E" w14:paraId="7763090A" w14:textId="77777777" w:rsidTr="00486A3E">
        <w:trPr>
          <w:trHeight w:val="615"/>
        </w:trPr>
        <w:tc>
          <w:tcPr>
            <w:tcW w:w="1991" w:type="dxa"/>
            <w:tcBorders>
              <w:top w:val="nil"/>
              <w:left w:val="single" w:sz="4" w:space="0" w:color="000000"/>
              <w:bottom w:val="single" w:sz="4" w:space="0" w:color="000000"/>
              <w:right w:val="single" w:sz="4" w:space="0" w:color="000000"/>
            </w:tcBorders>
            <w:hideMark/>
          </w:tcPr>
          <w:p w14:paraId="75AEF09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0,4</w:t>
            </w:r>
          </w:p>
        </w:tc>
        <w:tc>
          <w:tcPr>
            <w:tcW w:w="909" w:type="dxa"/>
            <w:tcBorders>
              <w:top w:val="nil"/>
              <w:left w:val="single" w:sz="4" w:space="0" w:color="000000"/>
              <w:bottom w:val="single" w:sz="4" w:space="0" w:color="000000"/>
              <w:right w:val="single" w:sz="4" w:space="0" w:color="000000"/>
            </w:tcBorders>
            <w:hideMark/>
          </w:tcPr>
          <w:p w14:paraId="5351EA4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c>
          <w:tcPr>
            <w:tcW w:w="901" w:type="dxa"/>
            <w:tcBorders>
              <w:top w:val="nil"/>
              <w:left w:val="single" w:sz="4" w:space="0" w:color="000000"/>
              <w:bottom w:val="single" w:sz="4" w:space="0" w:color="000000"/>
              <w:right w:val="single" w:sz="4" w:space="0" w:color="000000"/>
            </w:tcBorders>
            <w:hideMark/>
          </w:tcPr>
          <w:p w14:paraId="0894F8C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w:t>
            </w:r>
          </w:p>
        </w:tc>
        <w:tc>
          <w:tcPr>
            <w:tcW w:w="990" w:type="dxa"/>
            <w:tcBorders>
              <w:top w:val="nil"/>
              <w:left w:val="single" w:sz="4" w:space="0" w:color="000000"/>
              <w:bottom w:val="single" w:sz="4" w:space="0" w:color="000000"/>
              <w:right w:val="single" w:sz="4" w:space="0" w:color="000000"/>
            </w:tcBorders>
            <w:hideMark/>
          </w:tcPr>
          <w:p w14:paraId="5618244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w:t>
            </w:r>
          </w:p>
        </w:tc>
        <w:tc>
          <w:tcPr>
            <w:tcW w:w="992" w:type="dxa"/>
            <w:tcBorders>
              <w:top w:val="nil"/>
              <w:left w:val="single" w:sz="4" w:space="0" w:color="000000"/>
              <w:bottom w:val="single" w:sz="4" w:space="0" w:color="000000"/>
              <w:right w:val="single" w:sz="4" w:space="0" w:color="000000"/>
            </w:tcBorders>
            <w:hideMark/>
          </w:tcPr>
          <w:p w14:paraId="7735D1D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36,0</w:t>
            </w:r>
          </w:p>
        </w:tc>
        <w:tc>
          <w:tcPr>
            <w:tcW w:w="990" w:type="dxa"/>
            <w:tcBorders>
              <w:top w:val="nil"/>
              <w:left w:val="single" w:sz="4" w:space="0" w:color="000000"/>
              <w:bottom w:val="single" w:sz="4" w:space="0" w:color="000000"/>
              <w:right w:val="single" w:sz="4" w:space="0" w:color="000000"/>
            </w:tcBorders>
            <w:hideMark/>
          </w:tcPr>
          <w:p w14:paraId="66C15CC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48,0</w:t>
            </w:r>
          </w:p>
        </w:tc>
        <w:tc>
          <w:tcPr>
            <w:tcW w:w="992" w:type="dxa"/>
            <w:tcBorders>
              <w:top w:val="nil"/>
              <w:left w:val="single" w:sz="4" w:space="0" w:color="000000"/>
              <w:bottom w:val="single" w:sz="4" w:space="0" w:color="000000"/>
              <w:right w:val="single" w:sz="4" w:space="0" w:color="000000"/>
            </w:tcBorders>
            <w:hideMark/>
          </w:tcPr>
          <w:p w14:paraId="23115FC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60,0</w:t>
            </w:r>
          </w:p>
        </w:tc>
        <w:tc>
          <w:tcPr>
            <w:tcW w:w="1167" w:type="dxa"/>
            <w:tcBorders>
              <w:top w:val="nil"/>
              <w:left w:val="single" w:sz="4" w:space="0" w:color="000000"/>
              <w:bottom w:val="single" w:sz="4" w:space="0" w:color="000000"/>
              <w:right w:val="single" w:sz="4" w:space="0" w:color="000000"/>
            </w:tcBorders>
            <w:hideMark/>
          </w:tcPr>
          <w:p w14:paraId="6C93A66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72,0</w:t>
            </w:r>
          </w:p>
        </w:tc>
      </w:tr>
    </w:tbl>
    <w:p w14:paraId="2D5EC62F" w14:textId="77777777" w:rsidR="00486A3E" w:rsidRDefault="00486A3E" w:rsidP="00486A3E">
      <w:pPr>
        <w:rPr>
          <w:sz w:val="22"/>
        </w:rPr>
      </w:pPr>
    </w:p>
    <w:p w14:paraId="27E5D52A" w14:textId="77777777" w:rsidR="00486A3E" w:rsidRDefault="00486A3E" w:rsidP="00C766DC">
      <w:pPr>
        <w:ind w:left="142"/>
      </w:pPr>
      <w:r>
        <w:t>Tabel 8.</w:t>
      </w:r>
      <w:r>
        <w:tab/>
        <w:t>Remifentanil "Orion" infusionshastigheder (ml/time) for en 25 μg/ml opløsning</w:t>
      </w:r>
    </w:p>
    <w:p w14:paraId="372F68CD" w14:textId="77777777" w:rsidR="00486A3E" w:rsidRDefault="00486A3E" w:rsidP="00486A3E"/>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55"/>
        <w:gridCol w:w="749"/>
        <w:gridCol w:w="631"/>
        <w:gridCol w:w="720"/>
        <w:gridCol w:w="629"/>
        <w:gridCol w:w="720"/>
        <w:gridCol w:w="720"/>
        <w:gridCol w:w="720"/>
        <w:gridCol w:w="720"/>
        <w:gridCol w:w="720"/>
        <w:gridCol w:w="720"/>
      </w:tblGrid>
      <w:tr w:rsidR="00486A3E" w14:paraId="33EAE2CF" w14:textId="77777777" w:rsidTr="00486A3E">
        <w:trPr>
          <w:trHeight w:val="491"/>
        </w:trPr>
        <w:tc>
          <w:tcPr>
            <w:tcW w:w="1955" w:type="dxa"/>
            <w:vMerge w:val="restart"/>
            <w:tcBorders>
              <w:top w:val="single" w:sz="6" w:space="0" w:color="000000"/>
              <w:left w:val="single" w:sz="6" w:space="0" w:color="000000"/>
              <w:bottom w:val="single" w:sz="6" w:space="0" w:color="000000"/>
              <w:right w:val="single" w:sz="6" w:space="0" w:color="000000"/>
            </w:tcBorders>
            <w:hideMark/>
          </w:tcPr>
          <w:p w14:paraId="30D4515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Infusionshastighed (µg/kg/min)</w:t>
            </w:r>
          </w:p>
        </w:tc>
        <w:tc>
          <w:tcPr>
            <w:tcW w:w="7045" w:type="dxa"/>
            <w:gridSpan w:val="10"/>
            <w:tcBorders>
              <w:top w:val="single" w:sz="6" w:space="0" w:color="000000"/>
              <w:left w:val="single" w:sz="6" w:space="0" w:color="000000"/>
              <w:bottom w:val="single" w:sz="6" w:space="0" w:color="000000"/>
              <w:right w:val="single" w:sz="6" w:space="0" w:color="000000"/>
            </w:tcBorders>
            <w:hideMark/>
          </w:tcPr>
          <w:p w14:paraId="5C40904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Patientens vægt (kg)</w:t>
            </w:r>
          </w:p>
        </w:tc>
      </w:tr>
      <w:tr w:rsidR="00486A3E" w14:paraId="7A05AE6F" w14:textId="77777777" w:rsidTr="00486A3E">
        <w:trPr>
          <w:trHeight w:val="493"/>
        </w:trPr>
        <w:tc>
          <w:tcPr>
            <w:tcW w:w="1955" w:type="dxa"/>
            <w:vMerge/>
            <w:tcBorders>
              <w:top w:val="single" w:sz="6" w:space="0" w:color="000000"/>
              <w:left w:val="single" w:sz="6" w:space="0" w:color="000000"/>
              <w:bottom w:val="single" w:sz="6" w:space="0" w:color="000000"/>
              <w:right w:val="single" w:sz="6" w:space="0" w:color="000000"/>
            </w:tcBorders>
            <w:vAlign w:val="center"/>
            <w:hideMark/>
          </w:tcPr>
          <w:p w14:paraId="550BE6D4" w14:textId="77777777" w:rsidR="00486A3E" w:rsidRDefault="00486A3E">
            <w:pPr>
              <w:rPr>
                <w:spacing w:val="-2"/>
                <w:sz w:val="22"/>
                <w:szCs w:val="22"/>
                <w:lang w:val="en-GB"/>
              </w:rPr>
            </w:pPr>
          </w:p>
        </w:tc>
        <w:tc>
          <w:tcPr>
            <w:tcW w:w="745" w:type="dxa"/>
            <w:tcBorders>
              <w:top w:val="single" w:sz="6" w:space="0" w:color="000000"/>
              <w:left w:val="single" w:sz="6" w:space="0" w:color="000000"/>
              <w:bottom w:val="single" w:sz="6" w:space="0" w:color="000000"/>
              <w:right w:val="single" w:sz="6" w:space="0" w:color="000000"/>
            </w:tcBorders>
            <w:hideMark/>
          </w:tcPr>
          <w:p w14:paraId="44A345B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w:t>
            </w:r>
          </w:p>
        </w:tc>
        <w:tc>
          <w:tcPr>
            <w:tcW w:w="631" w:type="dxa"/>
            <w:tcBorders>
              <w:top w:val="single" w:sz="6" w:space="0" w:color="000000"/>
              <w:left w:val="single" w:sz="6" w:space="0" w:color="000000"/>
              <w:bottom w:val="single" w:sz="6" w:space="0" w:color="000000"/>
              <w:right w:val="single" w:sz="6" w:space="0" w:color="000000"/>
            </w:tcBorders>
            <w:hideMark/>
          </w:tcPr>
          <w:p w14:paraId="46B6F44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20</w:t>
            </w:r>
          </w:p>
        </w:tc>
        <w:tc>
          <w:tcPr>
            <w:tcW w:w="720" w:type="dxa"/>
            <w:tcBorders>
              <w:top w:val="single" w:sz="6" w:space="0" w:color="000000"/>
              <w:left w:val="single" w:sz="6" w:space="0" w:color="000000"/>
              <w:bottom w:val="single" w:sz="6" w:space="0" w:color="000000"/>
              <w:right w:val="single" w:sz="6" w:space="0" w:color="000000"/>
            </w:tcBorders>
            <w:hideMark/>
          </w:tcPr>
          <w:p w14:paraId="73C6C78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629" w:type="dxa"/>
            <w:tcBorders>
              <w:top w:val="single" w:sz="6" w:space="0" w:color="000000"/>
              <w:left w:val="single" w:sz="6" w:space="0" w:color="000000"/>
              <w:bottom w:val="single" w:sz="6" w:space="0" w:color="000000"/>
              <w:right w:val="single" w:sz="6" w:space="0" w:color="000000"/>
            </w:tcBorders>
            <w:hideMark/>
          </w:tcPr>
          <w:p w14:paraId="2BE1373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40</w:t>
            </w:r>
          </w:p>
        </w:tc>
        <w:tc>
          <w:tcPr>
            <w:tcW w:w="720" w:type="dxa"/>
            <w:tcBorders>
              <w:top w:val="single" w:sz="6" w:space="0" w:color="000000"/>
              <w:left w:val="single" w:sz="6" w:space="0" w:color="000000"/>
              <w:bottom w:val="single" w:sz="6" w:space="0" w:color="000000"/>
              <w:right w:val="single" w:sz="6" w:space="0" w:color="000000"/>
            </w:tcBorders>
            <w:hideMark/>
          </w:tcPr>
          <w:p w14:paraId="7A0F58F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50</w:t>
            </w:r>
          </w:p>
        </w:tc>
        <w:tc>
          <w:tcPr>
            <w:tcW w:w="720" w:type="dxa"/>
            <w:tcBorders>
              <w:top w:val="single" w:sz="6" w:space="0" w:color="000000"/>
              <w:left w:val="single" w:sz="6" w:space="0" w:color="000000"/>
              <w:bottom w:val="single" w:sz="6" w:space="0" w:color="000000"/>
              <w:right w:val="single" w:sz="6" w:space="0" w:color="000000"/>
            </w:tcBorders>
            <w:hideMark/>
          </w:tcPr>
          <w:p w14:paraId="39D614B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c>
          <w:tcPr>
            <w:tcW w:w="720" w:type="dxa"/>
            <w:tcBorders>
              <w:top w:val="single" w:sz="6" w:space="0" w:color="000000"/>
              <w:left w:val="single" w:sz="6" w:space="0" w:color="000000"/>
              <w:bottom w:val="single" w:sz="6" w:space="0" w:color="000000"/>
              <w:right w:val="single" w:sz="6" w:space="0" w:color="000000"/>
            </w:tcBorders>
            <w:hideMark/>
          </w:tcPr>
          <w:p w14:paraId="64E48D0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70</w:t>
            </w:r>
          </w:p>
        </w:tc>
        <w:tc>
          <w:tcPr>
            <w:tcW w:w="720" w:type="dxa"/>
            <w:tcBorders>
              <w:top w:val="single" w:sz="6" w:space="0" w:color="000000"/>
              <w:left w:val="single" w:sz="6" w:space="0" w:color="000000"/>
              <w:bottom w:val="single" w:sz="6" w:space="0" w:color="000000"/>
              <w:right w:val="single" w:sz="6" w:space="0" w:color="000000"/>
            </w:tcBorders>
            <w:hideMark/>
          </w:tcPr>
          <w:p w14:paraId="2F04729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80</w:t>
            </w:r>
          </w:p>
        </w:tc>
        <w:tc>
          <w:tcPr>
            <w:tcW w:w="720" w:type="dxa"/>
            <w:tcBorders>
              <w:top w:val="single" w:sz="6" w:space="0" w:color="000000"/>
              <w:left w:val="single" w:sz="6" w:space="0" w:color="000000"/>
              <w:bottom w:val="single" w:sz="6" w:space="0" w:color="000000"/>
              <w:right w:val="single" w:sz="6" w:space="0" w:color="000000"/>
            </w:tcBorders>
            <w:hideMark/>
          </w:tcPr>
          <w:p w14:paraId="58AC9AD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c>
          <w:tcPr>
            <w:tcW w:w="720" w:type="dxa"/>
            <w:tcBorders>
              <w:top w:val="single" w:sz="6" w:space="0" w:color="000000"/>
              <w:left w:val="single" w:sz="6" w:space="0" w:color="000000"/>
              <w:bottom w:val="single" w:sz="6" w:space="0" w:color="000000"/>
              <w:right w:val="single" w:sz="6" w:space="0" w:color="000000"/>
            </w:tcBorders>
            <w:hideMark/>
          </w:tcPr>
          <w:p w14:paraId="70BC11D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100</w:t>
            </w:r>
          </w:p>
        </w:tc>
      </w:tr>
      <w:tr w:rsidR="00486A3E" w14:paraId="56855C29" w14:textId="77777777" w:rsidTr="00486A3E">
        <w:trPr>
          <w:trHeight w:val="371"/>
        </w:trPr>
        <w:tc>
          <w:tcPr>
            <w:tcW w:w="1955" w:type="dxa"/>
            <w:tcBorders>
              <w:top w:val="single" w:sz="6" w:space="0" w:color="000000"/>
              <w:left w:val="single" w:sz="6" w:space="0" w:color="000000"/>
              <w:bottom w:val="nil"/>
              <w:right w:val="single" w:sz="6" w:space="0" w:color="000000"/>
            </w:tcBorders>
            <w:hideMark/>
          </w:tcPr>
          <w:p w14:paraId="4701DB3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0,0125</w:t>
            </w:r>
          </w:p>
        </w:tc>
        <w:tc>
          <w:tcPr>
            <w:tcW w:w="745" w:type="dxa"/>
            <w:tcBorders>
              <w:top w:val="single" w:sz="6" w:space="0" w:color="000000"/>
              <w:left w:val="single" w:sz="6" w:space="0" w:color="000000"/>
              <w:bottom w:val="nil"/>
              <w:right w:val="single" w:sz="6" w:space="0" w:color="000000"/>
            </w:tcBorders>
            <w:hideMark/>
          </w:tcPr>
          <w:p w14:paraId="2D44002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0,3</w:t>
            </w:r>
          </w:p>
        </w:tc>
        <w:tc>
          <w:tcPr>
            <w:tcW w:w="631" w:type="dxa"/>
            <w:tcBorders>
              <w:top w:val="single" w:sz="6" w:space="0" w:color="000000"/>
              <w:left w:val="single" w:sz="6" w:space="0" w:color="000000"/>
              <w:bottom w:val="nil"/>
              <w:right w:val="single" w:sz="6" w:space="0" w:color="000000"/>
            </w:tcBorders>
            <w:hideMark/>
          </w:tcPr>
          <w:p w14:paraId="24C5FDC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0,6</w:t>
            </w:r>
          </w:p>
        </w:tc>
        <w:tc>
          <w:tcPr>
            <w:tcW w:w="720" w:type="dxa"/>
            <w:tcBorders>
              <w:top w:val="single" w:sz="6" w:space="0" w:color="000000"/>
              <w:left w:val="single" w:sz="6" w:space="0" w:color="000000"/>
              <w:bottom w:val="nil"/>
              <w:right w:val="single" w:sz="6" w:space="0" w:color="000000"/>
            </w:tcBorders>
            <w:hideMark/>
          </w:tcPr>
          <w:p w14:paraId="5AA69F6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0,9</w:t>
            </w:r>
          </w:p>
        </w:tc>
        <w:tc>
          <w:tcPr>
            <w:tcW w:w="629" w:type="dxa"/>
            <w:tcBorders>
              <w:top w:val="single" w:sz="6" w:space="0" w:color="000000"/>
              <w:left w:val="single" w:sz="6" w:space="0" w:color="000000"/>
              <w:bottom w:val="nil"/>
              <w:right w:val="single" w:sz="6" w:space="0" w:color="000000"/>
            </w:tcBorders>
            <w:hideMark/>
          </w:tcPr>
          <w:p w14:paraId="453EFF6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w:t>
            </w:r>
          </w:p>
        </w:tc>
        <w:tc>
          <w:tcPr>
            <w:tcW w:w="720" w:type="dxa"/>
            <w:tcBorders>
              <w:top w:val="single" w:sz="6" w:space="0" w:color="000000"/>
              <w:left w:val="single" w:sz="6" w:space="0" w:color="000000"/>
              <w:bottom w:val="nil"/>
              <w:right w:val="single" w:sz="6" w:space="0" w:color="000000"/>
            </w:tcBorders>
            <w:hideMark/>
          </w:tcPr>
          <w:p w14:paraId="1CD8CDF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w:t>
            </w:r>
          </w:p>
        </w:tc>
        <w:tc>
          <w:tcPr>
            <w:tcW w:w="720" w:type="dxa"/>
            <w:tcBorders>
              <w:top w:val="single" w:sz="6" w:space="0" w:color="000000"/>
              <w:left w:val="single" w:sz="6" w:space="0" w:color="000000"/>
              <w:bottom w:val="nil"/>
              <w:right w:val="single" w:sz="6" w:space="0" w:color="000000"/>
            </w:tcBorders>
            <w:hideMark/>
          </w:tcPr>
          <w:p w14:paraId="446325E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w:t>
            </w:r>
          </w:p>
        </w:tc>
        <w:tc>
          <w:tcPr>
            <w:tcW w:w="720" w:type="dxa"/>
            <w:tcBorders>
              <w:top w:val="single" w:sz="6" w:space="0" w:color="000000"/>
              <w:left w:val="single" w:sz="6" w:space="0" w:color="000000"/>
              <w:bottom w:val="nil"/>
              <w:right w:val="single" w:sz="6" w:space="0" w:color="000000"/>
            </w:tcBorders>
            <w:hideMark/>
          </w:tcPr>
          <w:p w14:paraId="2AB1AAD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w:t>
            </w:r>
          </w:p>
        </w:tc>
        <w:tc>
          <w:tcPr>
            <w:tcW w:w="720" w:type="dxa"/>
            <w:tcBorders>
              <w:top w:val="single" w:sz="6" w:space="0" w:color="000000"/>
              <w:left w:val="single" w:sz="6" w:space="0" w:color="000000"/>
              <w:bottom w:val="nil"/>
              <w:right w:val="single" w:sz="6" w:space="0" w:color="000000"/>
            </w:tcBorders>
            <w:hideMark/>
          </w:tcPr>
          <w:p w14:paraId="7CF4D6F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w:t>
            </w:r>
          </w:p>
        </w:tc>
        <w:tc>
          <w:tcPr>
            <w:tcW w:w="720" w:type="dxa"/>
            <w:tcBorders>
              <w:top w:val="single" w:sz="6" w:space="0" w:color="000000"/>
              <w:left w:val="single" w:sz="6" w:space="0" w:color="000000"/>
              <w:bottom w:val="nil"/>
              <w:right w:val="single" w:sz="6" w:space="0" w:color="000000"/>
            </w:tcBorders>
            <w:hideMark/>
          </w:tcPr>
          <w:p w14:paraId="57E7DD8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2,7</w:t>
            </w:r>
          </w:p>
        </w:tc>
        <w:tc>
          <w:tcPr>
            <w:tcW w:w="720" w:type="dxa"/>
            <w:tcBorders>
              <w:top w:val="single" w:sz="6" w:space="0" w:color="000000"/>
              <w:left w:val="single" w:sz="6" w:space="0" w:color="000000"/>
              <w:bottom w:val="nil"/>
              <w:right w:val="single" w:sz="6" w:space="0" w:color="000000"/>
            </w:tcBorders>
            <w:hideMark/>
          </w:tcPr>
          <w:p w14:paraId="75298FF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r>
      <w:tr w:rsidR="00486A3E" w14:paraId="751A4894" w14:textId="77777777" w:rsidTr="00486A3E">
        <w:trPr>
          <w:trHeight w:val="512"/>
        </w:trPr>
        <w:tc>
          <w:tcPr>
            <w:tcW w:w="1955" w:type="dxa"/>
            <w:tcBorders>
              <w:top w:val="nil"/>
              <w:left w:val="single" w:sz="6" w:space="0" w:color="000000"/>
              <w:bottom w:val="nil"/>
              <w:right w:val="single" w:sz="6" w:space="0" w:color="000000"/>
            </w:tcBorders>
            <w:hideMark/>
          </w:tcPr>
          <w:p w14:paraId="552D71E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0,025</w:t>
            </w:r>
          </w:p>
        </w:tc>
        <w:tc>
          <w:tcPr>
            <w:tcW w:w="745" w:type="dxa"/>
            <w:tcBorders>
              <w:top w:val="nil"/>
              <w:left w:val="single" w:sz="6" w:space="0" w:color="000000"/>
              <w:bottom w:val="nil"/>
              <w:right w:val="single" w:sz="6" w:space="0" w:color="000000"/>
            </w:tcBorders>
            <w:hideMark/>
          </w:tcPr>
          <w:p w14:paraId="4B78738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0,6</w:t>
            </w:r>
          </w:p>
        </w:tc>
        <w:tc>
          <w:tcPr>
            <w:tcW w:w="631" w:type="dxa"/>
            <w:tcBorders>
              <w:top w:val="nil"/>
              <w:left w:val="single" w:sz="6" w:space="0" w:color="000000"/>
              <w:bottom w:val="nil"/>
              <w:right w:val="single" w:sz="6" w:space="0" w:color="000000"/>
            </w:tcBorders>
            <w:hideMark/>
          </w:tcPr>
          <w:p w14:paraId="66F5DBF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w:t>
            </w:r>
          </w:p>
        </w:tc>
        <w:tc>
          <w:tcPr>
            <w:tcW w:w="720" w:type="dxa"/>
            <w:tcBorders>
              <w:top w:val="nil"/>
              <w:left w:val="single" w:sz="6" w:space="0" w:color="000000"/>
              <w:bottom w:val="nil"/>
              <w:right w:val="single" w:sz="6" w:space="0" w:color="000000"/>
            </w:tcBorders>
            <w:hideMark/>
          </w:tcPr>
          <w:p w14:paraId="010544B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w:t>
            </w:r>
          </w:p>
        </w:tc>
        <w:tc>
          <w:tcPr>
            <w:tcW w:w="629" w:type="dxa"/>
            <w:tcBorders>
              <w:top w:val="nil"/>
              <w:left w:val="single" w:sz="6" w:space="0" w:color="000000"/>
              <w:bottom w:val="nil"/>
              <w:right w:val="single" w:sz="6" w:space="0" w:color="000000"/>
            </w:tcBorders>
            <w:hideMark/>
          </w:tcPr>
          <w:p w14:paraId="422AD99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w:t>
            </w:r>
          </w:p>
        </w:tc>
        <w:tc>
          <w:tcPr>
            <w:tcW w:w="720" w:type="dxa"/>
            <w:tcBorders>
              <w:top w:val="nil"/>
              <w:left w:val="single" w:sz="6" w:space="0" w:color="000000"/>
              <w:bottom w:val="nil"/>
              <w:right w:val="single" w:sz="6" w:space="0" w:color="000000"/>
            </w:tcBorders>
            <w:hideMark/>
          </w:tcPr>
          <w:p w14:paraId="00EAEC1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720" w:type="dxa"/>
            <w:tcBorders>
              <w:top w:val="nil"/>
              <w:left w:val="single" w:sz="6" w:space="0" w:color="000000"/>
              <w:bottom w:val="nil"/>
              <w:right w:val="single" w:sz="6" w:space="0" w:color="000000"/>
            </w:tcBorders>
            <w:hideMark/>
          </w:tcPr>
          <w:p w14:paraId="4F6F4EE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w:t>
            </w:r>
          </w:p>
        </w:tc>
        <w:tc>
          <w:tcPr>
            <w:tcW w:w="720" w:type="dxa"/>
            <w:tcBorders>
              <w:top w:val="nil"/>
              <w:left w:val="single" w:sz="6" w:space="0" w:color="000000"/>
              <w:bottom w:val="nil"/>
              <w:right w:val="single" w:sz="6" w:space="0" w:color="000000"/>
            </w:tcBorders>
            <w:hideMark/>
          </w:tcPr>
          <w:p w14:paraId="7C3297A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4,2</w:t>
            </w:r>
          </w:p>
        </w:tc>
        <w:tc>
          <w:tcPr>
            <w:tcW w:w="720" w:type="dxa"/>
            <w:tcBorders>
              <w:top w:val="nil"/>
              <w:left w:val="single" w:sz="6" w:space="0" w:color="000000"/>
              <w:bottom w:val="nil"/>
              <w:right w:val="single" w:sz="6" w:space="0" w:color="000000"/>
            </w:tcBorders>
            <w:hideMark/>
          </w:tcPr>
          <w:p w14:paraId="3BF105F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w:t>
            </w:r>
          </w:p>
        </w:tc>
        <w:tc>
          <w:tcPr>
            <w:tcW w:w="720" w:type="dxa"/>
            <w:tcBorders>
              <w:top w:val="nil"/>
              <w:left w:val="single" w:sz="6" w:space="0" w:color="000000"/>
              <w:bottom w:val="nil"/>
              <w:right w:val="single" w:sz="6" w:space="0" w:color="000000"/>
            </w:tcBorders>
            <w:hideMark/>
          </w:tcPr>
          <w:p w14:paraId="287F7B6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5,4</w:t>
            </w:r>
          </w:p>
        </w:tc>
        <w:tc>
          <w:tcPr>
            <w:tcW w:w="720" w:type="dxa"/>
            <w:tcBorders>
              <w:top w:val="nil"/>
              <w:left w:val="single" w:sz="6" w:space="0" w:color="000000"/>
              <w:bottom w:val="nil"/>
              <w:right w:val="single" w:sz="6" w:space="0" w:color="000000"/>
            </w:tcBorders>
            <w:hideMark/>
          </w:tcPr>
          <w:p w14:paraId="3DAEC72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r>
      <w:tr w:rsidR="00486A3E" w14:paraId="34AA732C" w14:textId="77777777" w:rsidTr="00486A3E">
        <w:trPr>
          <w:trHeight w:val="371"/>
        </w:trPr>
        <w:tc>
          <w:tcPr>
            <w:tcW w:w="1951" w:type="dxa"/>
            <w:tcBorders>
              <w:top w:val="nil"/>
              <w:left w:val="single" w:sz="6" w:space="0" w:color="000000"/>
              <w:bottom w:val="nil"/>
              <w:right w:val="single" w:sz="6" w:space="0" w:color="000000"/>
            </w:tcBorders>
            <w:hideMark/>
          </w:tcPr>
          <w:p w14:paraId="0C5F3ED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0,05</w:t>
            </w:r>
          </w:p>
        </w:tc>
        <w:tc>
          <w:tcPr>
            <w:tcW w:w="749" w:type="dxa"/>
            <w:tcBorders>
              <w:top w:val="nil"/>
              <w:left w:val="single" w:sz="6" w:space="0" w:color="000000"/>
              <w:bottom w:val="nil"/>
              <w:right w:val="single" w:sz="6" w:space="0" w:color="000000"/>
            </w:tcBorders>
            <w:hideMark/>
          </w:tcPr>
          <w:p w14:paraId="3CF9A4E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w:t>
            </w:r>
          </w:p>
        </w:tc>
        <w:tc>
          <w:tcPr>
            <w:tcW w:w="631" w:type="dxa"/>
            <w:tcBorders>
              <w:top w:val="nil"/>
              <w:left w:val="single" w:sz="6" w:space="0" w:color="000000"/>
              <w:bottom w:val="nil"/>
              <w:right w:val="single" w:sz="6" w:space="0" w:color="000000"/>
            </w:tcBorders>
            <w:hideMark/>
          </w:tcPr>
          <w:p w14:paraId="5037141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w:t>
            </w:r>
          </w:p>
        </w:tc>
        <w:tc>
          <w:tcPr>
            <w:tcW w:w="720" w:type="dxa"/>
            <w:tcBorders>
              <w:top w:val="nil"/>
              <w:left w:val="single" w:sz="6" w:space="0" w:color="000000"/>
              <w:bottom w:val="nil"/>
              <w:right w:val="single" w:sz="6" w:space="0" w:color="000000"/>
            </w:tcBorders>
            <w:hideMark/>
          </w:tcPr>
          <w:p w14:paraId="6C0BAE9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w:t>
            </w:r>
          </w:p>
        </w:tc>
        <w:tc>
          <w:tcPr>
            <w:tcW w:w="629" w:type="dxa"/>
            <w:tcBorders>
              <w:top w:val="nil"/>
              <w:left w:val="single" w:sz="6" w:space="0" w:color="000000"/>
              <w:bottom w:val="nil"/>
              <w:right w:val="single" w:sz="6" w:space="0" w:color="000000"/>
            </w:tcBorders>
            <w:hideMark/>
          </w:tcPr>
          <w:p w14:paraId="1734F18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w:t>
            </w:r>
          </w:p>
        </w:tc>
        <w:tc>
          <w:tcPr>
            <w:tcW w:w="720" w:type="dxa"/>
            <w:tcBorders>
              <w:top w:val="nil"/>
              <w:left w:val="single" w:sz="6" w:space="0" w:color="000000"/>
              <w:bottom w:val="nil"/>
              <w:right w:val="single" w:sz="6" w:space="0" w:color="000000"/>
            </w:tcBorders>
            <w:hideMark/>
          </w:tcPr>
          <w:p w14:paraId="6523983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c>
          <w:tcPr>
            <w:tcW w:w="720" w:type="dxa"/>
            <w:tcBorders>
              <w:top w:val="nil"/>
              <w:left w:val="single" w:sz="6" w:space="0" w:color="000000"/>
              <w:bottom w:val="nil"/>
              <w:right w:val="single" w:sz="6" w:space="0" w:color="000000"/>
            </w:tcBorders>
            <w:hideMark/>
          </w:tcPr>
          <w:p w14:paraId="2194838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w:t>
            </w:r>
          </w:p>
        </w:tc>
        <w:tc>
          <w:tcPr>
            <w:tcW w:w="720" w:type="dxa"/>
            <w:tcBorders>
              <w:top w:val="nil"/>
              <w:left w:val="single" w:sz="6" w:space="0" w:color="000000"/>
              <w:bottom w:val="nil"/>
              <w:right w:val="single" w:sz="6" w:space="0" w:color="000000"/>
            </w:tcBorders>
            <w:hideMark/>
          </w:tcPr>
          <w:p w14:paraId="598789D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8,4</w:t>
            </w:r>
          </w:p>
        </w:tc>
        <w:tc>
          <w:tcPr>
            <w:tcW w:w="720" w:type="dxa"/>
            <w:tcBorders>
              <w:top w:val="nil"/>
              <w:left w:val="single" w:sz="6" w:space="0" w:color="000000"/>
              <w:bottom w:val="nil"/>
              <w:right w:val="single" w:sz="6" w:space="0" w:color="000000"/>
            </w:tcBorders>
            <w:hideMark/>
          </w:tcPr>
          <w:p w14:paraId="3FBF0FB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9,6</w:t>
            </w:r>
          </w:p>
        </w:tc>
        <w:tc>
          <w:tcPr>
            <w:tcW w:w="720" w:type="dxa"/>
            <w:tcBorders>
              <w:top w:val="nil"/>
              <w:left w:val="single" w:sz="6" w:space="0" w:color="000000"/>
              <w:bottom w:val="nil"/>
              <w:right w:val="single" w:sz="6" w:space="0" w:color="000000"/>
            </w:tcBorders>
            <w:hideMark/>
          </w:tcPr>
          <w:p w14:paraId="1FCA8B7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10,8</w:t>
            </w:r>
          </w:p>
        </w:tc>
        <w:tc>
          <w:tcPr>
            <w:tcW w:w="720" w:type="dxa"/>
            <w:tcBorders>
              <w:top w:val="nil"/>
              <w:left w:val="single" w:sz="6" w:space="0" w:color="000000"/>
              <w:bottom w:val="nil"/>
              <w:right w:val="single" w:sz="6" w:space="0" w:color="000000"/>
            </w:tcBorders>
            <w:hideMark/>
          </w:tcPr>
          <w:p w14:paraId="38551F9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w:t>
            </w:r>
          </w:p>
        </w:tc>
      </w:tr>
      <w:tr w:rsidR="00486A3E" w14:paraId="5C973659" w14:textId="77777777" w:rsidTr="00486A3E">
        <w:trPr>
          <w:trHeight w:val="493"/>
        </w:trPr>
        <w:tc>
          <w:tcPr>
            <w:tcW w:w="1951" w:type="dxa"/>
            <w:tcBorders>
              <w:top w:val="nil"/>
              <w:left w:val="single" w:sz="6" w:space="0" w:color="000000"/>
              <w:bottom w:val="nil"/>
              <w:right w:val="single" w:sz="6" w:space="0" w:color="000000"/>
            </w:tcBorders>
            <w:hideMark/>
          </w:tcPr>
          <w:p w14:paraId="0A112E1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0,075</w:t>
            </w:r>
          </w:p>
        </w:tc>
        <w:tc>
          <w:tcPr>
            <w:tcW w:w="749" w:type="dxa"/>
            <w:tcBorders>
              <w:top w:val="nil"/>
              <w:left w:val="single" w:sz="6" w:space="0" w:color="000000"/>
              <w:bottom w:val="nil"/>
              <w:right w:val="single" w:sz="6" w:space="0" w:color="000000"/>
            </w:tcBorders>
            <w:hideMark/>
          </w:tcPr>
          <w:p w14:paraId="5022BAD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w:t>
            </w:r>
          </w:p>
        </w:tc>
        <w:tc>
          <w:tcPr>
            <w:tcW w:w="631" w:type="dxa"/>
            <w:tcBorders>
              <w:top w:val="nil"/>
              <w:left w:val="single" w:sz="6" w:space="0" w:color="000000"/>
              <w:bottom w:val="nil"/>
              <w:right w:val="single" w:sz="6" w:space="0" w:color="000000"/>
            </w:tcBorders>
            <w:hideMark/>
          </w:tcPr>
          <w:p w14:paraId="5F65CB2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w:t>
            </w:r>
          </w:p>
        </w:tc>
        <w:tc>
          <w:tcPr>
            <w:tcW w:w="720" w:type="dxa"/>
            <w:tcBorders>
              <w:top w:val="nil"/>
              <w:left w:val="single" w:sz="6" w:space="0" w:color="000000"/>
              <w:bottom w:val="nil"/>
              <w:right w:val="single" w:sz="6" w:space="0" w:color="000000"/>
            </w:tcBorders>
            <w:hideMark/>
          </w:tcPr>
          <w:p w14:paraId="5F3062B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5,4</w:t>
            </w:r>
          </w:p>
        </w:tc>
        <w:tc>
          <w:tcPr>
            <w:tcW w:w="629" w:type="dxa"/>
            <w:tcBorders>
              <w:top w:val="nil"/>
              <w:left w:val="single" w:sz="6" w:space="0" w:color="000000"/>
              <w:bottom w:val="nil"/>
              <w:right w:val="single" w:sz="6" w:space="0" w:color="000000"/>
            </w:tcBorders>
            <w:hideMark/>
          </w:tcPr>
          <w:p w14:paraId="5E484A3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w:t>
            </w:r>
          </w:p>
        </w:tc>
        <w:tc>
          <w:tcPr>
            <w:tcW w:w="720" w:type="dxa"/>
            <w:tcBorders>
              <w:top w:val="nil"/>
              <w:left w:val="single" w:sz="6" w:space="0" w:color="000000"/>
              <w:bottom w:val="nil"/>
              <w:right w:val="single" w:sz="6" w:space="0" w:color="000000"/>
            </w:tcBorders>
            <w:hideMark/>
          </w:tcPr>
          <w:p w14:paraId="165324B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c>
          <w:tcPr>
            <w:tcW w:w="720" w:type="dxa"/>
            <w:tcBorders>
              <w:top w:val="nil"/>
              <w:left w:val="single" w:sz="6" w:space="0" w:color="000000"/>
              <w:bottom w:val="nil"/>
              <w:right w:val="single" w:sz="6" w:space="0" w:color="000000"/>
            </w:tcBorders>
            <w:hideMark/>
          </w:tcPr>
          <w:p w14:paraId="0EB4AEC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10,8</w:t>
            </w:r>
          </w:p>
        </w:tc>
        <w:tc>
          <w:tcPr>
            <w:tcW w:w="720" w:type="dxa"/>
            <w:tcBorders>
              <w:top w:val="nil"/>
              <w:left w:val="single" w:sz="6" w:space="0" w:color="000000"/>
              <w:bottom w:val="nil"/>
              <w:right w:val="single" w:sz="6" w:space="0" w:color="000000"/>
            </w:tcBorders>
            <w:hideMark/>
          </w:tcPr>
          <w:p w14:paraId="44A15BB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12,6</w:t>
            </w:r>
          </w:p>
        </w:tc>
        <w:tc>
          <w:tcPr>
            <w:tcW w:w="720" w:type="dxa"/>
            <w:tcBorders>
              <w:top w:val="nil"/>
              <w:left w:val="single" w:sz="6" w:space="0" w:color="000000"/>
              <w:bottom w:val="nil"/>
              <w:right w:val="single" w:sz="6" w:space="0" w:color="000000"/>
            </w:tcBorders>
            <w:hideMark/>
          </w:tcPr>
          <w:p w14:paraId="7D482C0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w:t>
            </w:r>
          </w:p>
        </w:tc>
        <w:tc>
          <w:tcPr>
            <w:tcW w:w="720" w:type="dxa"/>
            <w:tcBorders>
              <w:top w:val="nil"/>
              <w:left w:val="single" w:sz="6" w:space="0" w:color="000000"/>
              <w:bottom w:val="nil"/>
              <w:right w:val="single" w:sz="6" w:space="0" w:color="000000"/>
            </w:tcBorders>
            <w:hideMark/>
          </w:tcPr>
          <w:p w14:paraId="54CE23B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16,2</w:t>
            </w:r>
          </w:p>
        </w:tc>
        <w:tc>
          <w:tcPr>
            <w:tcW w:w="720" w:type="dxa"/>
            <w:tcBorders>
              <w:top w:val="nil"/>
              <w:left w:val="single" w:sz="6" w:space="0" w:color="000000"/>
              <w:bottom w:val="nil"/>
              <w:right w:val="single" w:sz="6" w:space="0" w:color="000000"/>
            </w:tcBorders>
            <w:hideMark/>
          </w:tcPr>
          <w:p w14:paraId="033D2A9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w:t>
            </w:r>
          </w:p>
        </w:tc>
      </w:tr>
      <w:tr w:rsidR="00486A3E" w14:paraId="0F710040" w14:textId="77777777" w:rsidTr="00486A3E">
        <w:trPr>
          <w:trHeight w:val="493"/>
        </w:trPr>
        <w:tc>
          <w:tcPr>
            <w:tcW w:w="1951" w:type="dxa"/>
            <w:tcBorders>
              <w:top w:val="nil"/>
              <w:left w:val="single" w:sz="6" w:space="0" w:color="000000"/>
              <w:bottom w:val="nil"/>
              <w:right w:val="single" w:sz="6" w:space="0" w:color="000000"/>
            </w:tcBorders>
            <w:hideMark/>
          </w:tcPr>
          <w:p w14:paraId="300CD23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w:t>
            </w:r>
          </w:p>
        </w:tc>
        <w:tc>
          <w:tcPr>
            <w:tcW w:w="749" w:type="dxa"/>
            <w:tcBorders>
              <w:top w:val="nil"/>
              <w:left w:val="single" w:sz="6" w:space="0" w:color="000000"/>
              <w:bottom w:val="nil"/>
              <w:right w:val="single" w:sz="6" w:space="0" w:color="000000"/>
            </w:tcBorders>
            <w:hideMark/>
          </w:tcPr>
          <w:p w14:paraId="76E98FA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w:t>
            </w:r>
          </w:p>
        </w:tc>
        <w:tc>
          <w:tcPr>
            <w:tcW w:w="631" w:type="dxa"/>
            <w:tcBorders>
              <w:top w:val="nil"/>
              <w:left w:val="single" w:sz="6" w:space="0" w:color="000000"/>
              <w:bottom w:val="nil"/>
              <w:right w:val="single" w:sz="6" w:space="0" w:color="000000"/>
            </w:tcBorders>
            <w:hideMark/>
          </w:tcPr>
          <w:p w14:paraId="7939B7C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w:t>
            </w:r>
          </w:p>
        </w:tc>
        <w:tc>
          <w:tcPr>
            <w:tcW w:w="720" w:type="dxa"/>
            <w:tcBorders>
              <w:top w:val="nil"/>
              <w:left w:val="single" w:sz="6" w:space="0" w:color="000000"/>
              <w:bottom w:val="nil"/>
              <w:right w:val="single" w:sz="6" w:space="0" w:color="000000"/>
            </w:tcBorders>
            <w:hideMark/>
          </w:tcPr>
          <w:p w14:paraId="364D89F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w:t>
            </w:r>
          </w:p>
        </w:tc>
        <w:tc>
          <w:tcPr>
            <w:tcW w:w="629" w:type="dxa"/>
            <w:tcBorders>
              <w:top w:val="nil"/>
              <w:left w:val="single" w:sz="6" w:space="0" w:color="000000"/>
              <w:bottom w:val="nil"/>
              <w:right w:val="single" w:sz="6" w:space="0" w:color="000000"/>
            </w:tcBorders>
            <w:hideMark/>
          </w:tcPr>
          <w:p w14:paraId="57B3B09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9,6</w:t>
            </w:r>
          </w:p>
        </w:tc>
        <w:tc>
          <w:tcPr>
            <w:tcW w:w="720" w:type="dxa"/>
            <w:tcBorders>
              <w:top w:val="nil"/>
              <w:left w:val="single" w:sz="6" w:space="0" w:color="000000"/>
              <w:bottom w:val="nil"/>
              <w:right w:val="single" w:sz="6" w:space="0" w:color="000000"/>
            </w:tcBorders>
            <w:hideMark/>
          </w:tcPr>
          <w:p w14:paraId="238B3A9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w:t>
            </w:r>
          </w:p>
        </w:tc>
        <w:tc>
          <w:tcPr>
            <w:tcW w:w="720" w:type="dxa"/>
            <w:tcBorders>
              <w:top w:val="nil"/>
              <w:left w:val="single" w:sz="6" w:space="0" w:color="000000"/>
              <w:bottom w:val="nil"/>
              <w:right w:val="single" w:sz="6" w:space="0" w:color="000000"/>
            </w:tcBorders>
            <w:hideMark/>
          </w:tcPr>
          <w:p w14:paraId="2F54B97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w:t>
            </w:r>
          </w:p>
        </w:tc>
        <w:tc>
          <w:tcPr>
            <w:tcW w:w="720" w:type="dxa"/>
            <w:tcBorders>
              <w:top w:val="nil"/>
              <w:left w:val="single" w:sz="6" w:space="0" w:color="000000"/>
              <w:bottom w:val="nil"/>
              <w:right w:val="single" w:sz="6" w:space="0" w:color="000000"/>
            </w:tcBorders>
            <w:hideMark/>
          </w:tcPr>
          <w:p w14:paraId="605B933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16,8</w:t>
            </w:r>
          </w:p>
        </w:tc>
        <w:tc>
          <w:tcPr>
            <w:tcW w:w="720" w:type="dxa"/>
            <w:tcBorders>
              <w:top w:val="nil"/>
              <w:left w:val="single" w:sz="6" w:space="0" w:color="000000"/>
              <w:bottom w:val="nil"/>
              <w:right w:val="single" w:sz="6" w:space="0" w:color="000000"/>
            </w:tcBorders>
            <w:hideMark/>
          </w:tcPr>
          <w:p w14:paraId="342BC3C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19,2</w:t>
            </w:r>
          </w:p>
        </w:tc>
        <w:tc>
          <w:tcPr>
            <w:tcW w:w="720" w:type="dxa"/>
            <w:tcBorders>
              <w:top w:val="nil"/>
              <w:left w:val="single" w:sz="6" w:space="0" w:color="000000"/>
              <w:bottom w:val="nil"/>
              <w:right w:val="single" w:sz="6" w:space="0" w:color="000000"/>
            </w:tcBorders>
            <w:hideMark/>
          </w:tcPr>
          <w:p w14:paraId="0E0198F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21,6</w:t>
            </w:r>
          </w:p>
        </w:tc>
        <w:tc>
          <w:tcPr>
            <w:tcW w:w="720" w:type="dxa"/>
            <w:tcBorders>
              <w:top w:val="nil"/>
              <w:left w:val="single" w:sz="6" w:space="0" w:color="000000"/>
              <w:bottom w:val="nil"/>
              <w:right w:val="single" w:sz="6" w:space="0" w:color="000000"/>
            </w:tcBorders>
            <w:hideMark/>
          </w:tcPr>
          <w:p w14:paraId="6E56B52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w:t>
            </w:r>
          </w:p>
        </w:tc>
      </w:tr>
      <w:tr w:rsidR="00486A3E" w14:paraId="3820A060" w14:textId="77777777" w:rsidTr="00486A3E">
        <w:trPr>
          <w:trHeight w:val="493"/>
        </w:trPr>
        <w:tc>
          <w:tcPr>
            <w:tcW w:w="1951" w:type="dxa"/>
            <w:tcBorders>
              <w:top w:val="nil"/>
              <w:left w:val="single" w:sz="6" w:space="0" w:color="000000"/>
              <w:bottom w:val="nil"/>
              <w:right w:val="single" w:sz="6" w:space="0" w:color="000000"/>
            </w:tcBorders>
            <w:hideMark/>
          </w:tcPr>
          <w:p w14:paraId="7D23519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0,15</w:t>
            </w:r>
          </w:p>
        </w:tc>
        <w:tc>
          <w:tcPr>
            <w:tcW w:w="749" w:type="dxa"/>
            <w:tcBorders>
              <w:top w:val="nil"/>
              <w:left w:val="single" w:sz="6" w:space="0" w:color="000000"/>
              <w:bottom w:val="nil"/>
              <w:right w:val="single" w:sz="6" w:space="0" w:color="000000"/>
            </w:tcBorders>
            <w:hideMark/>
          </w:tcPr>
          <w:p w14:paraId="4EFF075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w:t>
            </w:r>
          </w:p>
        </w:tc>
        <w:tc>
          <w:tcPr>
            <w:tcW w:w="631" w:type="dxa"/>
            <w:tcBorders>
              <w:top w:val="nil"/>
              <w:left w:val="single" w:sz="6" w:space="0" w:color="000000"/>
              <w:bottom w:val="nil"/>
              <w:right w:val="single" w:sz="6" w:space="0" w:color="000000"/>
            </w:tcBorders>
            <w:hideMark/>
          </w:tcPr>
          <w:p w14:paraId="28C9990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w:t>
            </w:r>
          </w:p>
        </w:tc>
        <w:tc>
          <w:tcPr>
            <w:tcW w:w="720" w:type="dxa"/>
            <w:tcBorders>
              <w:top w:val="nil"/>
              <w:left w:val="single" w:sz="6" w:space="0" w:color="000000"/>
              <w:bottom w:val="nil"/>
              <w:right w:val="single" w:sz="6" w:space="0" w:color="000000"/>
            </w:tcBorders>
            <w:hideMark/>
          </w:tcPr>
          <w:p w14:paraId="58FF93A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10,8</w:t>
            </w:r>
          </w:p>
        </w:tc>
        <w:tc>
          <w:tcPr>
            <w:tcW w:w="629" w:type="dxa"/>
            <w:tcBorders>
              <w:top w:val="nil"/>
              <w:left w:val="single" w:sz="6" w:space="0" w:color="000000"/>
              <w:bottom w:val="nil"/>
              <w:right w:val="single" w:sz="6" w:space="0" w:color="000000"/>
            </w:tcBorders>
            <w:hideMark/>
          </w:tcPr>
          <w:p w14:paraId="5FCF604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w:t>
            </w:r>
          </w:p>
        </w:tc>
        <w:tc>
          <w:tcPr>
            <w:tcW w:w="720" w:type="dxa"/>
            <w:tcBorders>
              <w:top w:val="nil"/>
              <w:left w:val="single" w:sz="6" w:space="0" w:color="000000"/>
              <w:bottom w:val="nil"/>
              <w:right w:val="single" w:sz="6" w:space="0" w:color="000000"/>
            </w:tcBorders>
            <w:hideMark/>
          </w:tcPr>
          <w:p w14:paraId="31AD670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w:t>
            </w:r>
          </w:p>
        </w:tc>
        <w:tc>
          <w:tcPr>
            <w:tcW w:w="720" w:type="dxa"/>
            <w:tcBorders>
              <w:top w:val="nil"/>
              <w:left w:val="single" w:sz="6" w:space="0" w:color="000000"/>
              <w:bottom w:val="nil"/>
              <w:right w:val="single" w:sz="6" w:space="0" w:color="000000"/>
            </w:tcBorders>
            <w:hideMark/>
          </w:tcPr>
          <w:p w14:paraId="6455315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21,6</w:t>
            </w:r>
          </w:p>
        </w:tc>
        <w:tc>
          <w:tcPr>
            <w:tcW w:w="720" w:type="dxa"/>
            <w:tcBorders>
              <w:top w:val="nil"/>
              <w:left w:val="single" w:sz="6" w:space="0" w:color="000000"/>
              <w:bottom w:val="nil"/>
              <w:right w:val="single" w:sz="6" w:space="0" w:color="000000"/>
            </w:tcBorders>
            <w:hideMark/>
          </w:tcPr>
          <w:p w14:paraId="33535F6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25,2</w:t>
            </w:r>
          </w:p>
        </w:tc>
        <w:tc>
          <w:tcPr>
            <w:tcW w:w="720" w:type="dxa"/>
            <w:tcBorders>
              <w:top w:val="nil"/>
              <w:left w:val="single" w:sz="6" w:space="0" w:color="000000"/>
              <w:bottom w:val="nil"/>
              <w:right w:val="single" w:sz="6" w:space="0" w:color="000000"/>
            </w:tcBorders>
            <w:hideMark/>
          </w:tcPr>
          <w:p w14:paraId="207FC91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28,8</w:t>
            </w:r>
          </w:p>
        </w:tc>
        <w:tc>
          <w:tcPr>
            <w:tcW w:w="720" w:type="dxa"/>
            <w:tcBorders>
              <w:top w:val="nil"/>
              <w:left w:val="single" w:sz="6" w:space="0" w:color="000000"/>
              <w:bottom w:val="nil"/>
              <w:right w:val="single" w:sz="6" w:space="0" w:color="000000"/>
            </w:tcBorders>
            <w:hideMark/>
          </w:tcPr>
          <w:p w14:paraId="6153171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32,4</w:t>
            </w:r>
          </w:p>
        </w:tc>
        <w:tc>
          <w:tcPr>
            <w:tcW w:w="720" w:type="dxa"/>
            <w:tcBorders>
              <w:top w:val="nil"/>
              <w:left w:val="single" w:sz="6" w:space="0" w:color="000000"/>
              <w:bottom w:val="nil"/>
              <w:right w:val="single" w:sz="6" w:space="0" w:color="000000"/>
            </w:tcBorders>
            <w:hideMark/>
          </w:tcPr>
          <w:p w14:paraId="4BA9474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36,0</w:t>
            </w:r>
          </w:p>
        </w:tc>
      </w:tr>
      <w:tr w:rsidR="00486A3E" w14:paraId="7E42A5AC" w14:textId="77777777" w:rsidTr="00486A3E">
        <w:trPr>
          <w:trHeight w:val="615"/>
        </w:trPr>
        <w:tc>
          <w:tcPr>
            <w:tcW w:w="1951" w:type="dxa"/>
            <w:tcBorders>
              <w:top w:val="nil"/>
              <w:left w:val="single" w:sz="6" w:space="0" w:color="000000"/>
              <w:bottom w:val="single" w:sz="6" w:space="0" w:color="000000"/>
              <w:right w:val="single" w:sz="6" w:space="0" w:color="000000"/>
            </w:tcBorders>
            <w:hideMark/>
          </w:tcPr>
          <w:p w14:paraId="56B5491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w:t>
            </w:r>
          </w:p>
        </w:tc>
        <w:tc>
          <w:tcPr>
            <w:tcW w:w="749" w:type="dxa"/>
            <w:tcBorders>
              <w:top w:val="nil"/>
              <w:left w:val="single" w:sz="6" w:space="0" w:color="000000"/>
              <w:bottom w:val="single" w:sz="6" w:space="0" w:color="000000"/>
              <w:right w:val="single" w:sz="6" w:space="0" w:color="000000"/>
            </w:tcBorders>
            <w:hideMark/>
          </w:tcPr>
          <w:p w14:paraId="03C18C0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w:t>
            </w:r>
          </w:p>
        </w:tc>
        <w:tc>
          <w:tcPr>
            <w:tcW w:w="631" w:type="dxa"/>
            <w:tcBorders>
              <w:top w:val="nil"/>
              <w:left w:val="single" w:sz="6" w:space="0" w:color="000000"/>
              <w:bottom w:val="single" w:sz="6" w:space="0" w:color="000000"/>
              <w:right w:val="single" w:sz="6" w:space="0" w:color="000000"/>
            </w:tcBorders>
            <w:hideMark/>
          </w:tcPr>
          <w:p w14:paraId="3326143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9,6</w:t>
            </w:r>
          </w:p>
        </w:tc>
        <w:tc>
          <w:tcPr>
            <w:tcW w:w="720" w:type="dxa"/>
            <w:tcBorders>
              <w:top w:val="nil"/>
              <w:left w:val="single" w:sz="6" w:space="0" w:color="000000"/>
              <w:bottom w:val="single" w:sz="6" w:space="0" w:color="000000"/>
              <w:right w:val="single" w:sz="6" w:space="0" w:color="000000"/>
            </w:tcBorders>
            <w:hideMark/>
          </w:tcPr>
          <w:p w14:paraId="56E1EE0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w:t>
            </w:r>
          </w:p>
        </w:tc>
        <w:tc>
          <w:tcPr>
            <w:tcW w:w="629" w:type="dxa"/>
            <w:tcBorders>
              <w:top w:val="nil"/>
              <w:left w:val="single" w:sz="6" w:space="0" w:color="000000"/>
              <w:bottom w:val="single" w:sz="6" w:space="0" w:color="000000"/>
              <w:right w:val="single" w:sz="6" w:space="0" w:color="000000"/>
            </w:tcBorders>
            <w:hideMark/>
          </w:tcPr>
          <w:p w14:paraId="3476366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19,2</w:t>
            </w:r>
          </w:p>
        </w:tc>
        <w:tc>
          <w:tcPr>
            <w:tcW w:w="720" w:type="dxa"/>
            <w:tcBorders>
              <w:top w:val="nil"/>
              <w:left w:val="single" w:sz="6" w:space="0" w:color="000000"/>
              <w:bottom w:val="single" w:sz="6" w:space="0" w:color="000000"/>
              <w:right w:val="single" w:sz="6" w:space="0" w:color="000000"/>
            </w:tcBorders>
            <w:hideMark/>
          </w:tcPr>
          <w:p w14:paraId="3612B4F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w:t>
            </w:r>
          </w:p>
        </w:tc>
        <w:tc>
          <w:tcPr>
            <w:tcW w:w="720" w:type="dxa"/>
            <w:tcBorders>
              <w:top w:val="nil"/>
              <w:left w:val="single" w:sz="6" w:space="0" w:color="000000"/>
              <w:bottom w:val="single" w:sz="6" w:space="0" w:color="000000"/>
              <w:right w:val="single" w:sz="6" w:space="0" w:color="000000"/>
            </w:tcBorders>
            <w:hideMark/>
          </w:tcPr>
          <w:p w14:paraId="06B41DA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28,8</w:t>
            </w:r>
          </w:p>
        </w:tc>
        <w:tc>
          <w:tcPr>
            <w:tcW w:w="720" w:type="dxa"/>
            <w:tcBorders>
              <w:top w:val="nil"/>
              <w:left w:val="single" w:sz="6" w:space="0" w:color="000000"/>
              <w:bottom w:val="single" w:sz="6" w:space="0" w:color="000000"/>
              <w:right w:val="single" w:sz="6" w:space="0" w:color="000000"/>
            </w:tcBorders>
            <w:hideMark/>
          </w:tcPr>
          <w:p w14:paraId="46E2479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33,6</w:t>
            </w:r>
          </w:p>
        </w:tc>
        <w:tc>
          <w:tcPr>
            <w:tcW w:w="720" w:type="dxa"/>
            <w:tcBorders>
              <w:top w:val="nil"/>
              <w:left w:val="single" w:sz="6" w:space="0" w:color="000000"/>
              <w:bottom w:val="single" w:sz="6" w:space="0" w:color="000000"/>
              <w:right w:val="single" w:sz="6" w:space="0" w:color="000000"/>
            </w:tcBorders>
            <w:hideMark/>
          </w:tcPr>
          <w:p w14:paraId="71E04C7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38,4</w:t>
            </w:r>
          </w:p>
        </w:tc>
        <w:tc>
          <w:tcPr>
            <w:tcW w:w="720" w:type="dxa"/>
            <w:tcBorders>
              <w:top w:val="nil"/>
              <w:left w:val="single" w:sz="6" w:space="0" w:color="000000"/>
              <w:bottom w:val="single" w:sz="6" w:space="0" w:color="000000"/>
              <w:right w:val="single" w:sz="6" w:space="0" w:color="000000"/>
            </w:tcBorders>
            <w:hideMark/>
          </w:tcPr>
          <w:p w14:paraId="44E2FD7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43,2</w:t>
            </w:r>
          </w:p>
        </w:tc>
        <w:tc>
          <w:tcPr>
            <w:tcW w:w="720" w:type="dxa"/>
            <w:tcBorders>
              <w:top w:val="nil"/>
              <w:left w:val="single" w:sz="6" w:space="0" w:color="000000"/>
              <w:bottom w:val="single" w:sz="6" w:space="0" w:color="000000"/>
              <w:right w:val="single" w:sz="6" w:space="0" w:color="000000"/>
            </w:tcBorders>
            <w:hideMark/>
          </w:tcPr>
          <w:p w14:paraId="5322EF4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48,0</w:t>
            </w:r>
          </w:p>
        </w:tc>
      </w:tr>
    </w:tbl>
    <w:p w14:paraId="5DDAB5BD" w14:textId="1EE2B79F" w:rsidR="00A0509E" w:rsidRDefault="00A0509E" w:rsidP="00486A3E">
      <w:pPr>
        <w:rPr>
          <w:sz w:val="22"/>
        </w:rPr>
      </w:pPr>
    </w:p>
    <w:p w14:paraId="7AAB1737" w14:textId="77777777" w:rsidR="00A0509E" w:rsidRDefault="00A0509E">
      <w:pPr>
        <w:rPr>
          <w:sz w:val="22"/>
        </w:rPr>
      </w:pPr>
      <w:r>
        <w:rPr>
          <w:sz w:val="22"/>
        </w:rPr>
        <w:br w:type="page"/>
      </w:r>
    </w:p>
    <w:p w14:paraId="2BC42596" w14:textId="77777777" w:rsidR="00486A3E" w:rsidRDefault="00486A3E" w:rsidP="00486A3E">
      <w:pPr>
        <w:rPr>
          <w:sz w:val="22"/>
        </w:rPr>
      </w:pPr>
    </w:p>
    <w:p w14:paraId="2A7AF00C" w14:textId="77777777" w:rsidR="00486A3E" w:rsidRDefault="00486A3E" w:rsidP="00A0509E">
      <w:pPr>
        <w:keepNext/>
        <w:ind w:left="142"/>
      </w:pPr>
      <w:r>
        <w:t>Tabel 9.</w:t>
      </w:r>
      <w:r>
        <w:tab/>
        <w:t>Remifentanil "Orion" infusionshastigheder (ml/time) for en 50 μg/ml opløsning</w:t>
      </w:r>
    </w:p>
    <w:p w14:paraId="4957D4C6" w14:textId="77777777" w:rsidR="00486A3E" w:rsidRDefault="00486A3E" w:rsidP="00486A3E">
      <w:pPr>
        <w:keepNext/>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91"/>
        <w:gridCol w:w="846"/>
        <w:gridCol w:w="850"/>
        <w:gridCol w:w="850"/>
        <w:gridCol w:w="850"/>
        <w:gridCol w:w="850"/>
        <w:gridCol w:w="852"/>
        <w:gridCol w:w="850"/>
        <w:gridCol w:w="855"/>
      </w:tblGrid>
      <w:tr w:rsidR="00486A3E" w14:paraId="159B4EBF" w14:textId="77777777" w:rsidTr="00486A3E">
        <w:trPr>
          <w:trHeight w:val="491"/>
        </w:trPr>
        <w:tc>
          <w:tcPr>
            <w:tcW w:w="1991" w:type="dxa"/>
            <w:vMerge w:val="restart"/>
            <w:tcBorders>
              <w:top w:val="single" w:sz="6" w:space="0" w:color="000000"/>
              <w:left w:val="single" w:sz="6" w:space="0" w:color="000000"/>
              <w:bottom w:val="single" w:sz="6" w:space="0" w:color="000000"/>
              <w:right w:val="single" w:sz="6" w:space="0" w:color="000000"/>
            </w:tcBorders>
            <w:hideMark/>
          </w:tcPr>
          <w:p w14:paraId="498A96A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Infusionshastighed (µg/kg/min)</w:t>
            </w:r>
          </w:p>
        </w:tc>
        <w:tc>
          <w:tcPr>
            <w:tcW w:w="6803" w:type="dxa"/>
            <w:gridSpan w:val="8"/>
            <w:tcBorders>
              <w:top w:val="single" w:sz="6" w:space="0" w:color="000000"/>
              <w:left w:val="single" w:sz="6" w:space="0" w:color="000000"/>
              <w:bottom w:val="single" w:sz="6" w:space="0" w:color="000000"/>
              <w:right w:val="single" w:sz="6" w:space="0" w:color="000000"/>
            </w:tcBorders>
            <w:hideMark/>
          </w:tcPr>
          <w:p w14:paraId="64C285F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Patientens vægt (kg)</w:t>
            </w:r>
          </w:p>
        </w:tc>
      </w:tr>
      <w:tr w:rsidR="00486A3E" w14:paraId="62935AA2" w14:textId="77777777" w:rsidTr="00486A3E">
        <w:trPr>
          <w:trHeight w:val="493"/>
        </w:trPr>
        <w:tc>
          <w:tcPr>
            <w:tcW w:w="1991" w:type="dxa"/>
            <w:vMerge/>
            <w:tcBorders>
              <w:top w:val="single" w:sz="6" w:space="0" w:color="000000"/>
              <w:left w:val="single" w:sz="6" w:space="0" w:color="000000"/>
              <w:bottom w:val="single" w:sz="6" w:space="0" w:color="000000"/>
              <w:right w:val="single" w:sz="6" w:space="0" w:color="000000"/>
            </w:tcBorders>
            <w:vAlign w:val="center"/>
            <w:hideMark/>
          </w:tcPr>
          <w:p w14:paraId="0228B754" w14:textId="77777777" w:rsidR="00486A3E" w:rsidRDefault="00486A3E">
            <w:pPr>
              <w:rPr>
                <w:spacing w:val="-2"/>
                <w:sz w:val="22"/>
                <w:szCs w:val="22"/>
                <w:lang w:val="en-GB"/>
              </w:rPr>
            </w:pPr>
          </w:p>
        </w:tc>
        <w:tc>
          <w:tcPr>
            <w:tcW w:w="846" w:type="dxa"/>
            <w:tcBorders>
              <w:top w:val="single" w:sz="6" w:space="0" w:color="000000"/>
              <w:left w:val="single" w:sz="6" w:space="0" w:color="000000"/>
              <w:bottom w:val="single" w:sz="6" w:space="0" w:color="000000"/>
              <w:right w:val="single" w:sz="6" w:space="0" w:color="000000"/>
            </w:tcBorders>
            <w:hideMark/>
          </w:tcPr>
          <w:p w14:paraId="6F0DBEF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850" w:type="dxa"/>
            <w:tcBorders>
              <w:top w:val="single" w:sz="6" w:space="0" w:color="000000"/>
              <w:left w:val="single" w:sz="6" w:space="0" w:color="000000"/>
              <w:bottom w:val="single" w:sz="6" w:space="0" w:color="000000"/>
              <w:right w:val="single" w:sz="6" w:space="0" w:color="000000"/>
            </w:tcBorders>
            <w:hideMark/>
          </w:tcPr>
          <w:p w14:paraId="7D65204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40</w:t>
            </w:r>
          </w:p>
        </w:tc>
        <w:tc>
          <w:tcPr>
            <w:tcW w:w="850" w:type="dxa"/>
            <w:tcBorders>
              <w:top w:val="single" w:sz="6" w:space="0" w:color="000000"/>
              <w:left w:val="single" w:sz="6" w:space="0" w:color="000000"/>
              <w:bottom w:val="single" w:sz="6" w:space="0" w:color="000000"/>
              <w:right w:val="single" w:sz="6" w:space="0" w:color="000000"/>
            </w:tcBorders>
            <w:hideMark/>
          </w:tcPr>
          <w:p w14:paraId="2B94BE2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50</w:t>
            </w:r>
          </w:p>
        </w:tc>
        <w:tc>
          <w:tcPr>
            <w:tcW w:w="850" w:type="dxa"/>
            <w:tcBorders>
              <w:top w:val="single" w:sz="6" w:space="0" w:color="000000"/>
              <w:left w:val="single" w:sz="6" w:space="0" w:color="000000"/>
              <w:bottom w:val="single" w:sz="6" w:space="0" w:color="000000"/>
              <w:right w:val="single" w:sz="6" w:space="0" w:color="000000"/>
            </w:tcBorders>
            <w:hideMark/>
          </w:tcPr>
          <w:p w14:paraId="044ECC9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c>
          <w:tcPr>
            <w:tcW w:w="850" w:type="dxa"/>
            <w:tcBorders>
              <w:top w:val="single" w:sz="6" w:space="0" w:color="000000"/>
              <w:left w:val="single" w:sz="6" w:space="0" w:color="000000"/>
              <w:bottom w:val="single" w:sz="6" w:space="0" w:color="000000"/>
              <w:right w:val="single" w:sz="6" w:space="0" w:color="000000"/>
            </w:tcBorders>
            <w:hideMark/>
          </w:tcPr>
          <w:p w14:paraId="5E0B4CB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70</w:t>
            </w:r>
          </w:p>
        </w:tc>
        <w:tc>
          <w:tcPr>
            <w:tcW w:w="852" w:type="dxa"/>
            <w:tcBorders>
              <w:top w:val="single" w:sz="6" w:space="0" w:color="000000"/>
              <w:left w:val="single" w:sz="6" w:space="0" w:color="000000"/>
              <w:bottom w:val="single" w:sz="6" w:space="0" w:color="000000"/>
              <w:right w:val="single" w:sz="6" w:space="0" w:color="000000"/>
            </w:tcBorders>
            <w:hideMark/>
          </w:tcPr>
          <w:p w14:paraId="728BDBF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80</w:t>
            </w:r>
          </w:p>
        </w:tc>
        <w:tc>
          <w:tcPr>
            <w:tcW w:w="850" w:type="dxa"/>
            <w:tcBorders>
              <w:top w:val="single" w:sz="6" w:space="0" w:color="000000"/>
              <w:left w:val="single" w:sz="6" w:space="0" w:color="000000"/>
              <w:bottom w:val="single" w:sz="6" w:space="0" w:color="000000"/>
              <w:right w:val="single" w:sz="6" w:space="0" w:color="000000"/>
            </w:tcBorders>
            <w:hideMark/>
          </w:tcPr>
          <w:p w14:paraId="7A83068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c>
          <w:tcPr>
            <w:tcW w:w="855" w:type="dxa"/>
            <w:tcBorders>
              <w:top w:val="single" w:sz="6" w:space="0" w:color="000000"/>
              <w:left w:val="single" w:sz="6" w:space="0" w:color="000000"/>
              <w:bottom w:val="single" w:sz="6" w:space="0" w:color="000000"/>
              <w:right w:val="single" w:sz="6" w:space="0" w:color="000000"/>
            </w:tcBorders>
            <w:hideMark/>
          </w:tcPr>
          <w:p w14:paraId="0F9F051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100</w:t>
            </w:r>
          </w:p>
        </w:tc>
      </w:tr>
      <w:tr w:rsidR="00486A3E" w14:paraId="211B821F" w14:textId="77777777" w:rsidTr="00486A3E">
        <w:trPr>
          <w:trHeight w:val="371"/>
        </w:trPr>
        <w:tc>
          <w:tcPr>
            <w:tcW w:w="1991" w:type="dxa"/>
            <w:tcBorders>
              <w:top w:val="single" w:sz="6" w:space="0" w:color="000000"/>
              <w:left w:val="single" w:sz="6" w:space="0" w:color="000000"/>
              <w:bottom w:val="nil"/>
              <w:right w:val="single" w:sz="6" w:space="0" w:color="000000"/>
            </w:tcBorders>
            <w:hideMark/>
          </w:tcPr>
          <w:p w14:paraId="4A08EEC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0,025</w:t>
            </w:r>
          </w:p>
        </w:tc>
        <w:tc>
          <w:tcPr>
            <w:tcW w:w="846" w:type="dxa"/>
            <w:tcBorders>
              <w:top w:val="single" w:sz="6" w:space="0" w:color="000000"/>
              <w:left w:val="single" w:sz="6" w:space="0" w:color="000000"/>
              <w:bottom w:val="nil"/>
              <w:right w:val="single" w:sz="6" w:space="0" w:color="000000"/>
            </w:tcBorders>
            <w:hideMark/>
          </w:tcPr>
          <w:p w14:paraId="53BD917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0,9</w:t>
            </w:r>
          </w:p>
        </w:tc>
        <w:tc>
          <w:tcPr>
            <w:tcW w:w="850" w:type="dxa"/>
            <w:tcBorders>
              <w:top w:val="single" w:sz="6" w:space="0" w:color="000000"/>
              <w:left w:val="single" w:sz="6" w:space="0" w:color="000000"/>
              <w:bottom w:val="nil"/>
              <w:right w:val="single" w:sz="6" w:space="0" w:color="000000"/>
            </w:tcBorders>
            <w:hideMark/>
          </w:tcPr>
          <w:p w14:paraId="2A82C3D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w:t>
            </w:r>
          </w:p>
        </w:tc>
        <w:tc>
          <w:tcPr>
            <w:tcW w:w="850" w:type="dxa"/>
            <w:tcBorders>
              <w:top w:val="single" w:sz="6" w:space="0" w:color="000000"/>
              <w:left w:val="single" w:sz="6" w:space="0" w:color="000000"/>
              <w:bottom w:val="nil"/>
              <w:right w:val="single" w:sz="6" w:space="0" w:color="000000"/>
            </w:tcBorders>
            <w:hideMark/>
          </w:tcPr>
          <w:p w14:paraId="75A01D1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w:t>
            </w:r>
          </w:p>
        </w:tc>
        <w:tc>
          <w:tcPr>
            <w:tcW w:w="850" w:type="dxa"/>
            <w:tcBorders>
              <w:top w:val="single" w:sz="6" w:space="0" w:color="000000"/>
              <w:left w:val="single" w:sz="6" w:space="0" w:color="000000"/>
              <w:bottom w:val="nil"/>
              <w:right w:val="single" w:sz="6" w:space="0" w:color="000000"/>
            </w:tcBorders>
            <w:hideMark/>
          </w:tcPr>
          <w:p w14:paraId="1A89039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w:t>
            </w:r>
          </w:p>
        </w:tc>
        <w:tc>
          <w:tcPr>
            <w:tcW w:w="850" w:type="dxa"/>
            <w:tcBorders>
              <w:top w:val="single" w:sz="6" w:space="0" w:color="000000"/>
              <w:left w:val="single" w:sz="6" w:space="0" w:color="000000"/>
              <w:bottom w:val="nil"/>
              <w:right w:val="single" w:sz="6" w:space="0" w:color="000000"/>
            </w:tcBorders>
            <w:hideMark/>
          </w:tcPr>
          <w:p w14:paraId="155B00F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w:t>
            </w:r>
          </w:p>
        </w:tc>
        <w:tc>
          <w:tcPr>
            <w:tcW w:w="852" w:type="dxa"/>
            <w:tcBorders>
              <w:top w:val="single" w:sz="6" w:space="0" w:color="000000"/>
              <w:left w:val="single" w:sz="6" w:space="0" w:color="000000"/>
              <w:bottom w:val="nil"/>
              <w:right w:val="single" w:sz="6" w:space="0" w:color="000000"/>
            </w:tcBorders>
            <w:hideMark/>
          </w:tcPr>
          <w:p w14:paraId="5F3FA53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w:t>
            </w:r>
          </w:p>
        </w:tc>
        <w:tc>
          <w:tcPr>
            <w:tcW w:w="850" w:type="dxa"/>
            <w:tcBorders>
              <w:top w:val="single" w:sz="6" w:space="0" w:color="000000"/>
              <w:left w:val="single" w:sz="6" w:space="0" w:color="000000"/>
              <w:bottom w:val="nil"/>
              <w:right w:val="single" w:sz="6" w:space="0" w:color="000000"/>
            </w:tcBorders>
            <w:hideMark/>
          </w:tcPr>
          <w:p w14:paraId="27B136D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2,7</w:t>
            </w:r>
          </w:p>
        </w:tc>
        <w:tc>
          <w:tcPr>
            <w:tcW w:w="855" w:type="dxa"/>
            <w:tcBorders>
              <w:top w:val="single" w:sz="6" w:space="0" w:color="000000"/>
              <w:left w:val="single" w:sz="6" w:space="0" w:color="000000"/>
              <w:bottom w:val="nil"/>
              <w:right w:val="single" w:sz="6" w:space="0" w:color="000000"/>
            </w:tcBorders>
            <w:hideMark/>
          </w:tcPr>
          <w:p w14:paraId="5492DC5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r>
      <w:tr w:rsidR="00486A3E" w14:paraId="63744AC6" w14:textId="77777777" w:rsidTr="00486A3E">
        <w:trPr>
          <w:trHeight w:val="493"/>
        </w:trPr>
        <w:tc>
          <w:tcPr>
            <w:tcW w:w="1991" w:type="dxa"/>
            <w:tcBorders>
              <w:top w:val="nil"/>
              <w:left w:val="single" w:sz="6" w:space="0" w:color="000000"/>
              <w:bottom w:val="nil"/>
              <w:right w:val="single" w:sz="6" w:space="0" w:color="000000"/>
            </w:tcBorders>
            <w:hideMark/>
          </w:tcPr>
          <w:p w14:paraId="375B9F8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0,05</w:t>
            </w:r>
          </w:p>
        </w:tc>
        <w:tc>
          <w:tcPr>
            <w:tcW w:w="846" w:type="dxa"/>
            <w:tcBorders>
              <w:top w:val="nil"/>
              <w:left w:val="single" w:sz="6" w:space="0" w:color="000000"/>
              <w:bottom w:val="nil"/>
              <w:right w:val="single" w:sz="6" w:space="0" w:color="000000"/>
            </w:tcBorders>
            <w:hideMark/>
          </w:tcPr>
          <w:p w14:paraId="5104B83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w:t>
            </w:r>
          </w:p>
        </w:tc>
        <w:tc>
          <w:tcPr>
            <w:tcW w:w="850" w:type="dxa"/>
            <w:tcBorders>
              <w:top w:val="nil"/>
              <w:left w:val="single" w:sz="6" w:space="0" w:color="000000"/>
              <w:bottom w:val="nil"/>
              <w:right w:val="single" w:sz="6" w:space="0" w:color="000000"/>
            </w:tcBorders>
            <w:hideMark/>
          </w:tcPr>
          <w:p w14:paraId="3D1C079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w:t>
            </w:r>
          </w:p>
        </w:tc>
        <w:tc>
          <w:tcPr>
            <w:tcW w:w="850" w:type="dxa"/>
            <w:tcBorders>
              <w:top w:val="nil"/>
              <w:left w:val="single" w:sz="6" w:space="0" w:color="000000"/>
              <w:bottom w:val="nil"/>
              <w:right w:val="single" w:sz="6" w:space="0" w:color="000000"/>
            </w:tcBorders>
            <w:hideMark/>
          </w:tcPr>
          <w:p w14:paraId="775B53F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850" w:type="dxa"/>
            <w:tcBorders>
              <w:top w:val="nil"/>
              <w:left w:val="single" w:sz="6" w:space="0" w:color="000000"/>
              <w:bottom w:val="nil"/>
              <w:right w:val="single" w:sz="6" w:space="0" w:color="000000"/>
            </w:tcBorders>
            <w:hideMark/>
          </w:tcPr>
          <w:p w14:paraId="05B1021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w:t>
            </w:r>
          </w:p>
        </w:tc>
        <w:tc>
          <w:tcPr>
            <w:tcW w:w="850" w:type="dxa"/>
            <w:tcBorders>
              <w:top w:val="nil"/>
              <w:left w:val="single" w:sz="6" w:space="0" w:color="000000"/>
              <w:bottom w:val="nil"/>
              <w:right w:val="single" w:sz="6" w:space="0" w:color="000000"/>
            </w:tcBorders>
            <w:hideMark/>
          </w:tcPr>
          <w:p w14:paraId="72AA4B2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4,2</w:t>
            </w:r>
          </w:p>
        </w:tc>
        <w:tc>
          <w:tcPr>
            <w:tcW w:w="852" w:type="dxa"/>
            <w:tcBorders>
              <w:top w:val="nil"/>
              <w:left w:val="single" w:sz="6" w:space="0" w:color="000000"/>
              <w:bottom w:val="nil"/>
              <w:right w:val="single" w:sz="6" w:space="0" w:color="000000"/>
            </w:tcBorders>
            <w:hideMark/>
          </w:tcPr>
          <w:p w14:paraId="0A1106D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w:t>
            </w:r>
          </w:p>
        </w:tc>
        <w:tc>
          <w:tcPr>
            <w:tcW w:w="850" w:type="dxa"/>
            <w:tcBorders>
              <w:top w:val="nil"/>
              <w:left w:val="single" w:sz="6" w:space="0" w:color="000000"/>
              <w:bottom w:val="nil"/>
              <w:right w:val="single" w:sz="6" w:space="0" w:color="000000"/>
            </w:tcBorders>
            <w:hideMark/>
          </w:tcPr>
          <w:p w14:paraId="4A40DFB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5,4</w:t>
            </w:r>
          </w:p>
        </w:tc>
        <w:tc>
          <w:tcPr>
            <w:tcW w:w="855" w:type="dxa"/>
            <w:tcBorders>
              <w:top w:val="nil"/>
              <w:left w:val="single" w:sz="6" w:space="0" w:color="000000"/>
              <w:bottom w:val="nil"/>
              <w:right w:val="single" w:sz="6" w:space="0" w:color="000000"/>
            </w:tcBorders>
            <w:hideMark/>
          </w:tcPr>
          <w:p w14:paraId="35D264D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r>
      <w:tr w:rsidR="00486A3E" w14:paraId="23210EEE" w14:textId="77777777" w:rsidTr="00486A3E">
        <w:trPr>
          <w:trHeight w:val="491"/>
        </w:trPr>
        <w:tc>
          <w:tcPr>
            <w:tcW w:w="1991" w:type="dxa"/>
            <w:tcBorders>
              <w:top w:val="nil"/>
              <w:left w:val="single" w:sz="6" w:space="0" w:color="000000"/>
              <w:bottom w:val="nil"/>
              <w:right w:val="single" w:sz="6" w:space="0" w:color="000000"/>
            </w:tcBorders>
            <w:hideMark/>
          </w:tcPr>
          <w:p w14:paraId="7F657B9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0,075</w:t>
            </w:r>
          </w:p>
        </w:tc>
        <w:tc>
          <w:tcPr>
            <w:tcW w:w="846" w:type="dxa"/>
            <w:tcBorders>
              <w:top w:val="nil"/>
              <w:left w:val="single" w:sz="6" w:space="0" w:color="000000"/>
              <w:bottom w:val="nil"/>
              <w:right w:val="single" w:sz="6" w:space="0" w:color="000000"/>
            </w:tcBorders>
            <w:hideMark/>
          </w:tcPr>
          <w:p w14:paraId="73447FF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2,7</w:t>
            </w:r>
          </w:p>
        </w:tc>
        <w:tc>
          <w:tcPr>
            <w:tcW w:w="850" w:type="dxa"/>
            <w:tcBorders>
              <w:top w:val="nil"/>
              <w:left w:val="single" w:sz="6" w:space="0" w:color="000000"/>
              <w:bottom w:val="nil"/>
              <w:right w:val="single" w:sz="6" w:space="0" w:color="000000"/>
            </w:tcBorders>
            <w:hideMark/>
          </w:tcPr>
          <w:p w14:paraId="25EE14A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w:t>
            </w:r>
          </w:p>
        </w:tc>
        <w:tc>
          <w:tcPr>
            <w:tcW w:w="850" w:type="dxa"/>
            <w:tcBorders>
              <w:top w:val="nil"/>
              <w:left w:val="single" w:sz="6" w:space="0" w:color="000000"/>
              <w:bottom w:val="nil"/>
              <w:right w:val="single" w:sz="6" w:space="0" w:color="000000"/>
            </w:tcBorders>
            <w:hideMark/>
          </w:tcPr>
          <w:p w14:paraId="399B102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4,5</w:t>
            </w:r>
          </w:p>
        </w:tc>
        <w:tc>
          <w:tcPr>
            <w:tcW w:w="850" w:type="dxa"/>
            <w:tcBorders>
              <w:top w:val="nil"/>
              <w:left w:val="single" w:sz="6" w:space="0" w:color="000000"/>
              <w:bottom w:val="nil"/>
              <w:right w:val="single" w:sz="6" w:space="0" w:color="000000"/>
            </w:tcBorders>
            <w:hideMark/>
          </w:tcPr>
          <w:p w14:paraId="0CC6841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5,4</w:t>
            </w:r>
          </w:p>
        </w:tc>
        <w:tc>
          <w:tcPr>
            <w:tcW w:w="850" w:type="dxa"/>
            <w:tcBorders>
              <w:top w:val="nil"/>
              <w:left w:val="single" w:sz="6" w:space="0" w:color="000000"/>
              <w:bottom w:val="nil"/>
              <w:right w:val="single" w:sz="6" w:space="0" w:color="000000"/>
            </w:tcBorders>
            <w:hideMark/>
          </w:tcPr>
          <w:p w14:paraId="36C5AEA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6,3</w:t>
            </w:r>
          </w:p>
        </w:tc>
        <w:tc>
          <w:tcPr>
            <w:tcW w:w="852" w:type="dxa"/>
            <w:tcBorders>
              <w:top w:val="nil"/>
              <w:left w:val="single" w:sz="6" w:space="0" w:color="000000"/>
              <w:bottom w:val="nil"/>
              <w:right w:val="single" w:sz="6" w:space="0" w:color="000000"/>
            </w:tcBorders>
            <w:hideMark/>
          </w:tcPr>
          <w:p w14:paraId="58CB4AF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w:t>
            </w:r>
          </w:p>
        </w:tc>
        <w:tc>
          <w:tcPr>
            <w:tcW w:w="850" w:type="dxa"/>
            <w:tcBorders>
              <w:top w:val="nil"/>
              <w:left w:val="single" w:sz="6" w:space="0" w:color="000000"/>
              <w:bottom w:val="nil"/>
              <w:right w:val="single" w:sz="6" w:space="0" w:color="000000"/>
            </w:tcBorders>
            <w:hideMark/>
          </w:tcPr>
          <w:p w14:paraId="0A08967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8,1</w:t>
            </w:r>
          </w:p>
        </w:tc>
        <w:tc>
          <w:tcPr>
            <w:tcW w:w="855" w:type="dxa"/>
            <w:tcBorders>
              <w:top w:val="nil"/>
              <w:left w:val="single" w:sz="6" w:space="0" w:color="000000"/>
              <w:bottom w:val="nil"/>
              <w:right w:val="single" w:sz="6" w:space="0" w:color="000000"/>
            </w:tcBorders>
            <w:hideMark/>
          </w:tcPr>
          <w:p w14:paraId="068122C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r>
      <w:tr w:rsidR="00486A3E" w14:paraId="202B9C45" w14:textId="77777777" w:rsidTr="00486A3E">
        <w:trPr>
          <w:trHeight w:val="493"/>
        </w:trPr>
        <w:tc>
          <w:tcPr>
            <w:tcW w:w="1991" w:type="dxa"/>
            <w:tcBorders>
              <w:top w:val="nil"/>
              <w:left w:val="single" w:sz="6" w:space="0" w:color="000000"/>
              <w:bottom w:val="nil"/>
              <w:right w:val="single" w:sz="6" w:space="0" w:color="000000"/>
            </w:tcBorders>
            <w:hideMark/>
          </w:tcPr>
          <w:p w14:paraId="46468EF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w:t>
            </w:r>
          </w:p>
        </w:tc>
        <w:tc>
          <w:tcPr>
            <w:tcW w:w="846" w:type="dxa"/>
            <w:tcBorders>
              <w:top w:val="nil"/>
              <w:left w:val="single" w:sz="6" w:space="0" w:color="000000"/>
              <w:bottom w:val="nil"/>
              <w:right w:val="single" w:sz="6" w:space="0" w:color="000000"/>
            </w:tcBorders>
            <w:hideMark/>
          </w:tcPr>
          <w:p w14:paraId="1BE8412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w:t>
            </w:r>
          </w:p>
        </w:tc>
        <w:tc>
          <w:tcPr>
            <w:tcW w:w="850" w:type="dxa"/>
            <w:tcBorders>
              <w:top w:val="nil"/>
              <w:left w:val="single" w:sz="6" w:space="0" w:color="000000"/>
              <w:bottom w:val="nil"/>
              <w:right w:val="single" w:sz="6" w:space="0" w:color="000000"/>
            </w:tcBorders>
            <w:hideMark/>
          </w:tcPr>
          <w:p w14:paraId="381916D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w:t>
            </w:r>
          </w:p>
        </w:tc>
        <w:tc>
          <w:tcPr>
            <w:tcW w:w="850" w:type="dxa"/>
            <w:tcBorders>
              <w:top w:val="nil"/>
              <w:left w:val="single" w:sz="6" w:space="0" w:color="000000"/>
              <w:bottom w:val="nil"/>
              <w:right w:val="single" w:sz="6" w:space="0" w:color="000000"/>
            </w:tcBorders>
            <w:hideMark/>
          </w:tcPr>
          <w:p w14:paraId="358E187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c>
          <w:tcPr>
            <w:tcW w:w="850" w:type="dxa"/>
            <w:tcBorders>
              <w:top w:val="nil"/>
              <w:left w:val="single" w:sz="6" w:space="0" w:color="000000"/>
              <w:bottom w:val="nil"/>
              <w:right w:val="single" w:sz="6" w:space="0" w:color="000000"/>
            </w:tcBorders>
            <w:hideMark/>
          </w:tcPr>
          <w:p w14:paraId="274E39D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w:t>
            </w:r>
          </w:p>
        </w:tc>
        <w:tc>
          <w:tcPr>
            <w:tcW w:w="850" w:type="dxa"/>
            <w:tcBorders>
              <w:top w:val="nil"/>
              <w:left w:val="single" w:sz="6" w:space="0" w:color="000000"/>
              <w:bottom w:val="nil"/>
              <w:right w:val="single" w:sz="6" w:space="0" w:color="000000"/>
            </w:tcBorders>
            <w:hideMark/>
          </w:tcPr>
          <w:p w14:paraId="7F0DE36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8,4</w:t>
            </w:r>
          </w:p>
        </w:tc>
        <w:tc>
          <w:tcPr>
            <w:tcW w:w="852" w:type="dxa"/>
            <w:tcBorders>
              <w:top w:val="nil"/>
              <w:left w:val="single" w:sz="6" w:space="0" w:color="000000"/>
              <w:bottom w:val="nil"/>
              <w:right w:val="single" w:sz="6" w:space="0" w:color="000000"/>
            </w:tcBorders>
            <w:hideMark/>
          </w:tcPr>
          <w:p w14:paraId="52DA527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9,6</w:t>
            </w:r>
          </w:p>
        </w:tc>
        <w:tc>
          <w:tcPr>
            <w:tcW w:w="850" w:type="dxa"/>
            <w:tcBorders>
              <w:top w:val="nil"/>
              <w:left w:val="single" w:sz="6" w:space="0" w:color="000000"/>
              <w:bottom w:val="nil"/>
              <w:right w:val="single" w:sz="6" w:space="0" w:color="000000"/>
            </w:tcBorders>
            <w:hideMark/>
          </w:tcPr>
          <w:p w14:paraId="1C99997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10,8</w:t>
            </w:r>
          </w:p>
        </w:tc>
        <w:tc>
          <w:tcPr>
            <w:tcW w:w="855" w:type="dxa"/>
            <w:tcBorders>
              <w:top w:val="nil"/>
              <w:left w:val="single" w:sz="6" w:space="0" w:color="000000"/>
              <w:bottom w:val="nil"/>
              <w:right w:val="single" w:sz="6" w:space="0" w:color="000000"/>
            </w:tcBorders>
            <w:hideMark/>
          </w:tcPr>
          <w:p w14:paraId="4BA1FB1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w:t>
            </w:r>
          </w:p>
        </w:tc>
      </w:tr>
      <w:tr w:rsidR="00486A3E" w14:paraId="0883A20B" w14:textId="77777777" w:rsidTr="00486A3E">
        <w:trPr>
          <w:trHeight w:val="493"/>
        </w:trPr>
        <w:tc>
          <w:tcPr>
            <w:tcW w:w="1991" w:type="dxa"/>
            <w:tcBorders>
              <w:top w:val="nil"/>
              <w:left w:val="single" w:sz="6" w:space="0" w:color="000000"/>
              <w:bottom w:val="nil"/>
              <w:right w:val="single" w:sz="6" w:space="0" w:color="000000"/>
            </w:tcBorders>
            <w:hideMark/>
          </w:tcPr>
          <w:p w14:paraId="4416CBE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0,15</w:t>
            </w:r>
          </w:p>
        </w:tc>
        <w:tc>
          <w:tcPr>
            <w:tcW w:w="846" w:type="dxa"/>
            <w:tcBorders>
              <w:top w:val="nil"/>
              <w:left w:val="single" w:sz="6" w:space="0" w:color="000000"/>
              <w:bottom w:val="nil"/>
              <w:right w:val="single" w:sz="6" w:space="0" w:color="000000"/>
            </w:tcBorders>
            <w:hideMark/>
          </w:tcPr>
          <w:p w14:paraId="3998FF5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5,4</w:t>
            </w:r>
          </w:p>
        </w:tc>
        <w:tc>
          <w:tcPr>
            <w:tcW w:w="850" w:type="dxa"/>
            <w:tcBorders>
              <w:top w:val="nil"/>
              <w:left w:val="single" w:sz="6" w:space="0" w:color="000000"/>
              <w:bottom w:val="nil"/>
              <w:right w:val="single" w:sz="6" w:space="0" w:color="000000"/>
            </w:tcBorders>
            <w:hideMark/>
          </w:tcPr>
          <w:p w14:paraId="3D8761D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w:t>
            </w:r>
          </w:p>
        </w:tc>
        <w:tc>
          <w:tcPr>
            <w:tcW w:w="850" w:type="dxa"/>
            <w:tcBorders>
              <w:top w:val="nil"/>
              <w:left w:val="single" w:sz="6" w:space="0" w:color="000000"/>
              <w:bottom w:val="nil"/>
              <w:right w:val="single" w:sz="6" w:space="0" w:color="000000"/>
            </w:tcBorders>
            <w:hideMark/>
          </w:tcPr>
          <w:p w14:paraId="0DC1AE1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c>
          <w:tcPr>
            <w:tcW w:w="850" w:type="dxa"/>
            <w:tcBorders>
              <w:top w:val="nil"/>
              <w:left w:val="single" w:sz="6" w:space="0" w:color="000000"/>
              <w:bottom w:val="nil"/>
              <w:right w:val="single" w:sz="6" w:space="0" w:color="000000"/>
            </w:tcBorders>
            <w:hideMark/>
          </w:tcPr>
          <w:p w14:paraId="5A41075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10,8</w:t>
            </w:r>
          </w:p>
        </w:tc>
        <w:tc>
          <w:tcPr>
            <w:tcW w:w="850" w:type="dxa"/>
            <w:tcBorders>
              <w:top w:val="nil"/>
              <w:left w:val="single" w:sz="6" w:space="0" w:color="000000"/>
              <w:bottom w:val="nil"/>
              <w:right w:val="single" w:sz="6" w:space="0" w:color="000000"/>
            </w:tcBorders>
            <w:hideMark/>
          </w:tcPr>
          <w:p w14:paraId="0BC3840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12,6</w:t>
            </w:r>
          </w:p>
        </w:tc>
        <w:tc>
          <w:tcPr>
            <w:tcW w:w="852" w:type="dxa"/>
            <w:tcBorders>
              <w:top w:val="nil"/>
              <w:left w:val="single" w:sz="6" w:space="0" w:color="000000"/>
              <w:bottom w:val="nil"/>
              <w:right w:val="single" w:sz="6" w:space="0" w:color="000000"/>
            </w:tcBorders>
            <w:hideMark/>
          </w:tcPr>
          <w:p w14:paraId="66ACB7D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w:t>
            </w:r>
          </w:p>
        </w:tc>
        <w:tc>
          <w:tcPr>
            <w:tcW w:w="850" w:type="dxa"/>
            <w:tcBorders>
              <w:top w:val="nil"/>
              <w:left w:val="single" w:sz="6" w:space="0" w:color="000000"/>
              <w:bottom w:val="nil"/>
              <w:right w:val="single" w:sz="6" w:space="0" w:color="000000"/>
            </w:tcBorders>
            <w:hideMark/>
          </w:tcPr>
          <w:p w14:paraId="0B158EE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16,2</w:t>
            </w:r>
          </w:p>
        </w:tc>
        <w:tc>
          <w:tcPr>
            <w:tcW w:w="855" w:type="dxa"/>
            <w:tcBorders>
              <w:top w:val="nil"/>
              <w:left w:val="single" w:sz="6" w:space="0" w:color="000000"/>
              <w:bottom w:val="nil"/>
              <w:right w:val="single" w:sz="6" w:space="0" w:color="000000"/>
            </w:tcBorders>
            <w:hideMark/>
          </w:tcPr>
          <w:p w14:paraId="5517AE3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w:t>
            </w:r>
          </w:p>
        </w:tc>
      </w:tr>
      <w:tr w:rsidR="00486A3E" w14:paraId="6D7F56DF" w14:textId="77777777" w:rsidTr="00486A3E">
        <w:trPr>
          <w:trHeight w:val="493"/>
        </w:trPr>
        <w:tc>
          <w:tcPr>
            <w:tcW w:w="1991" w:type="dxa"/>
            <w:tcBorders>
              <w:top w:val="nil"/>
              <w:left w:val="single" w:sz="6" w:space="0" w:color="000000"/>
              <w:bottom w:val="nil"/>
              <w:right w:val="single" w:sz="6" w:space="0" w:color="000000"/>
            </w:tcBorders>
            <w:hideMark/>
          </w:tcPr>
          <w:p w14:paraId="3CEC319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w:t>
            </w:r>
          </w:p>
        </w:tc>
        <w:tc>
          <w:tcPr>
            <w:tcW w:w="846" w:type="dxa"/>
            <w:tcBorders>
              <w:top w:val="nil"/>
              <w:left w:val="single" w:sz="6" w:space="0" w:color="000000"/>
              <w:bottom w:val="nil"/>
              <w:right w:val="single" w:sz="6" w:space="0" w:color="000000"/>
            </w:tcBorders>
            <w:hideMark/>
          </w:tcPr>
          <w:p w14:paraId="4C379DD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w:t>
            </w:r>
          </w:p>
        </w:tc>
        <w:tc>
          <w:tcPr>
            <w:tcW w:w="850" w:type="dxa"/>
            <w:tcBorders>
              <w:top w:val="nil"/>
              <w:left w:val="single" w:sz="6" w:space="0" w:color="000000"/>
              <w:bottom w:val="nil"/>
              <w:right w:val="single" w:sz="6" w:space="0" w:color="000000"/>
            </w:tcBorders>
            <w:hideMark/>
          </w:tcPr>
          <w:p w14:paraId="0CAFF49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9,6</w:t>
            </w:r>
          </w:p>
        </w:tc>
        <w:tc>
          <w:tcPr>
            <w:tcW w:w="850" w:type="dxa"/>
            <w:tcBorders>
              <w:top w:val="nil"/>
              <w:left w:val="single" w:sz="6" w:space="0" w:color="000000"/>
              <w:bottom w:val="nil"/>
              <w:right w:val="single" w:sz="6" w:space="0" w:color="000000"/>
            </w:tcBorders>
            <w:hideMark/>
          </w:tcPr>
          <w:p w14:paraId="5547EFE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w:t>
            </w:r>
          </w:p>
        </w:tc>
        <w:tc>
          <w:tcPr>
            <w:tcW w:w="850" w:type="dxa"/>
            <w:tcBorders>
              <w:top w:val="nil"/>
              <w:left w:val="single" w:sz="6" w:space="0" w:color="000000"/>
              <w:bottom w:val="nil"/>
              <w:right w:val="single" w:sz="6" w:space="0" w:color="000000"/>
            </w:tcBorders>
            <w:hideMark/>
          </w:tcPr>
          <w:p w14:paraId="43CAFB4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w:t>
            </w:r>
          </w:p>
        </w:tc>
        <w:tc>
          <w:tcPr>
            <w:tcW w:w="850" w:type="dxa"/>
            <w:tcBorders>
              <w:top w:val="nil"/>
              <w:left w:val="single" w:sz="6" w:space="0" w:color="000000"/>
              <w:bottom w:val="nil"/>
              <w:right w:val="single" w:sz="6" w:space="0" w:color="000000"/>
            </w:tcBorders>
            <w:hideMark/>
          </w:tcPr>
          <w:p w14:paraId="5D15EF5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16,8</w:t>
            </w:r>
          </w:p>
        </w:tc>
        <w:tc>
          <w:tcPr>
            <w:tcW w:w="852" w:type="dxa"/>
            <w:tcBorders>
              <w:top w:val="nil"/>
              <w:left w:val="single" w:sz="6" w:space="0" w:color="000000"/>
              <w:bottom w:val="nil"/>
              <w:right w:val="single" w:sz="6" w:space="0" w:color="000000"/>
            </w:tcBorders>
            <w:hideMark/>
          </w:tcPr>
          <w:p w14:paraId="2D8C9B3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19,2</w:t>
            </w:r>
          </w:p>
        </w:tc>
        <w:tc>
          <w:tcPr>
            <w:tcW w:w="850" w:type="dxa"/>
            <w:tcBorders>
              <w:top w:val="nil"/>
              <w:left w:val="single" w:sz="6" w:space="0" w:color="000000"/>
              <w:bottom w:val="nil"/>
              <w:right w:val="single" w:sz="6" w:space="0" w:color="000000"/>
            </w:tcBorders>
            <w:hideMark/>
          </w:tcPr>
          <w:p w14:paraId="062ADA4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21,6</w:t>
            </w:r>
          </w:p>
        </w:tc>
        <w:tc>
          <w:tcPr>
            <w:tcW w:w="855" w:type="dxa"/>
            <w:tcBorders>
              <w:top w:val="nil"/>
              <w:left w:val="single" w:sz="6" w:space="0" w:color="000000"/>
              <w:bottom w:val="nil"/>
              <w:right w:val="single" w:sz="6" w:space="0" w:color="000000"/>
            </w:tcBorders>
            <w:hideMark/>
          </w:tcPr>
          <w:p w14:paraId="3503CA9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w:t>
            </w:r>
          </w:p>
        </w:tc>
      </w:tr>
      <w:tr w:rsidR="00486A3E" w14:paraId="56078354" w14:textId="77777777" w:rsidTr="00486A3E">
        <w:trPr>
          <w:trHeight w:val="493"/>
        </w:trPr>
        <w:tc>
          <w:tcPr>
            <w:tcW w:w="1991" w:type="dxa"/>
            <w:tcBorders>
              <w:top w:val="nil"/>
              <w:left w:val="single" w:sz="6" w:space="0" w:color="000000"/>
              <w:bottom w:val="nil"/>
              <w:right w:val="single" w:sz="6" w:space="0" w:color="000000"/>
            </w:tcBorders>
            <w:hideMark/>
          </w:tcPr>
          <w:p w14:paraId="4934915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0,25</w:t>
            </w:r>
          </w:p>
        </w:tc>
        <w:tc>
          <w:tcPr>
            <w:tcW w:w="846" w:type="dxa"/>
            <w:tcBorders>
              <w:top w:val="nil"/>
              <w:left w:val="single" w:sz="6" w:space="0" w:color="000000"/>
              <w:bottom w:val="nil"/>
              <w:right w:val="single" w:sz="6" w:space="0" w:color="000000"/>
            </w:tcBorders>
            <w:hideMark/>
          </w:tcPr>
          <w:p w14:paraId="00B77DE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c>
          <w:tcPr>
            <w:tcW w:w="850" w:type="dxa"/>
            <w:tcBorders>
              <w:top w:val="nil"/>
              <w:left w:val="single" w:sz="6" w:space="0" w:color="000000"/>
              <w:bottom w:val="nil"/>
              <w:right w:val="single" w:sz="6" w:space="0" w:color="000000"/>
            </w:tcBorders>
            <w:hideMark/>
          </w:tcPr>
          <w:p w14:paraId="1A6610F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w:t>
            </w:r>
          </w:p>
        </w:tc>
        <w:tc>
          <w:tcPr>
            <w:tcW w:w="850" w:type="dxa"/>
            <w:tcBorders>
              <w:top w:val="nil"/>
              <w:left w:val="single" w:sz="6" w:space="0" w:color="000000"/>
              <w:bottom w:val="nil"/>
              <w:right w:val="single" w:sz="6" w:space="0" w:color="000000"/>
            </w:tcBorders>
            <w:hideMark/>
          </w:tcPr>
          <w:p w14:paraId="58A490F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15,0</w:t>
            </w:r>
          </w:p>
        </w:tc>
        <w:tc>
          <w:tcPr>
            <w:tcW w:w="850" w:type="dxa"/>
            <w:tcBorders>
              <w:top w:val="nil"/>
              <w:left w:val="single" w:sz="6" w:space="0" w:color="000000"/>
              <w:bottom w:val="nil"/>
              <w:right w:val="single" w:sz="6" w:space="0" w:color="000000"/>
            </w:tcBorders>
            <w:hideMark/>
          </w:tcPr>
          <w:p w14:paraId="3C5B426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w:t>
            </w:r>
          </w:p>
        </w:tc>
        <w:tc>
          <w:tcPr>
            <w:tcW w:w="850" w:type="dxa"/>
            <w:tcBorders>
              <w:top w:val="nil"/>
              <w:left w:val="single" w:sz="6" w:space="0" w:color="000000"/>
              <w:bottom w:val="nil"/>
              <w:right w:val="single" w:sz="6" w:space="0" w:color="000000"/>
            </w:tcBorders>
            <w:hideMark/>
          </w:tcPr>
          <w:p w14:paraId="140EDDE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21,0</w:t>
            </w:r>
          </w:p>
        </w:tc>
        <w:tc>
          <w:tcPr>
            <w:tcW w:w="852" w:type="dxa"/>
            <w:tcBorders>
              <w:top w:val="nil"/>
              <w:left w:val="single" w:sz="6" w:space="0" w:color="000000"/>
              <w:bottom w:val="nil"/>
              <w:right w:val="single" w:sz="6" w:space="0" w:color="000000"/>
            </w:tcBorders>
            <w:hideMark/>
          </w:tcPr>
          <w:p w14:paraId="1962DBA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w:t>
            </w:r>
          </w:p>
        </w:tc>
        <w:tc>
          <w:tcPr>
            <w:tcW w:w="850" w:type="dxa"/>
            <w:tcBorders>
              <w:top w:val="nil"/>
              <w:left w:val="single" w:sz="6" w:space="0" w:color="000000"/>
              <w:bottom w:val="nil"/>
              <w:right w:val="single" w:sz="6" w:space="0" w:color="000000"/>
            </w:tcBorders>
            <w:hideMark/>
          </w:tcPr>
          <w:p w14:paraId="00906FA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27,0</w:t>
            </w:r>
          </w:p>
        </w:tc>
        <w:tc>
          <w:tcPr>
            <w:tcW w:w="855" w:type="dxa"/>
            <w:tcBorders>
              <w:top w:val="nil"/>
              <w:left w:val="single" w:sz="6" w:space="0" w:color="000000"/>
              <w:bottom w:val="nil"/>
              <w:right w:val="single" w:sz="6" w:space="0" w:color="000000"/>
            </w:tcBorders>
            <w:hideMark/>
          </w:tcPr>
          <w:p w14:paraId="4017398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30,0</w:t>
            </w:r>
          </w:p>
        </w:tc>
      </w:tr>
      <w:tr w:rsidR="00486A3E" w14:paraId="31E880D9" w14:textId="77777777" w:rsidTr="00486A3E">
        <w:trPr>
          <w:trHeight w:val="493"/>
        </w:trPr>
        <w:tc>
          <w:tcPr>
            <w:tcW w:w="1991" w:type="dxa"/>
            <w:tcBorders>
              <w:top w:val="nil"/>
              <w:left w:val="single" w:sz="6" w:space="0" w:color="000000"/>
              <w:bottom w:val="nil"/>
              <w:right w:val="single" w:sz="6" w:space="0" w:color="000000"/>
            </w:tcBorders>
            <w:hideMark/>
          </w:tcPr>
          <w:p w14:paraId="7946202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0,5</w:t>
            </w:r>
          </w:p>
        </w:tc>
        <w:tc>
          <w:tcPr>
            <w:tcW w:w="846" w:type="dxa"/>
            <w:tcBorders>
              <w:top w:val="nil"/>
              <w:left w:val="single" w:sz="6" w:space="0" w:color="000000"/>
              <w:bottom w:val="nil"/>
              <w:right w:val="single" w:sz="6" w:space="0" w:color="000000"/>
            </w:tcBorders>
            <w:hideMark/>
          </w:tcPr>
          <w:p w14:paraId="124C74E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w:t>
            </w:r>
          </w:p>
        </w:tc>
        <w:tc>
          <w:tcPr>
            <w:tcW w:w="850" w:type="dxa"/>
            <w:tcBorders>
              <w:top w:val="nil"/>
              <w:left w:val="single" w:sz="6" w:space="0" w:color="000000"/>
              <w:bottom w:val="nil"/>
              <w:right w:val="single" w:sz="6" w:space="0" w:color="000000"/>
            </w:tcBorders>
            <w:hideMark/>
          </w:tcPr>
          <w:p w14:paraId="1A2E6C3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w:t>
            </w:r>
          </w:p>
        </w:tc>
        <w:tc>
          <w:tcPr>
            <w:tcW w:w="850" w:type="dxa"/>
            <w:tcBorders>
              <w:top w:val="nil"/>
              <w:left w:val="single" w:sz="6" w:space="0" w:color="000000"/>
              <w:bottom w:val="nil"/>
              <w:right w:val="single" w:sz="6" w:space="0" w:color="000000"/>
            </w:tcBorders>
            <w:hideMark/>
          </w:tcPr>
          <w:p w14:paraId="01FA0B5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30,0</w:t>
            </w:r>
          </w:p>
        </w:tc>
        <w:tc>
          <w:tcPr>
            <w:tcW w:w="850" w:type="dxa"/>
            <w:tcBorders>
              <w:top w:val="nil"/>
              <w:left w:val="single" w:sz="6" w:space="0" w:color="000000"/>
              <w:bottom w:val="nil"/>
              <w:right w:val="single" w:sz="6" w:space="0" w:color="000000"/>
            </w:tcBorders>
            <w:hideMark/>
          </w:tcPr>
          <w:p w14:paraId="7092CE0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36,0</w:t>
            </w:r>
          </w:p>
        </w:tc>
        <w:tc>
          <w:tcPr>
            <w:tcW w:w="850" w:type="dxa"/>
            <w:tcBorders>
              <w:top w:val="nil"/>
              <w:left w:val="single" w:sz="6" w:space="0" w:color="000000"/>
              <w:bottom w:val="nil"/>
              <w:right w:val="single" w:sz="6" w:space="0" w:color="000000"/>
            </w:tcBorders>
            <w:hideMark/>
          </w:tcPr>
          <w:p w14:paraId="4AF66A7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42,0</w:t>
            </w:r>
          </w:p>
        </w:tc>
        <w:tc>
          <w:tcPr>
            <w:tcW w:w="852" w:type="dxa"/>
            <w:tcBorders>
              <w:top w:val="nil"/>
              <w:left w:val="single" w:sz="6" w:space="0" w:color="000000"/>
              <w:bottom w:val="nil"/>
              <w:right w:val="single" w:sz="6" w:space="0" w:color="000000"/>
            </w:tcBorders>
            <w:hideMark/>
          </w:tcPr>
          <w:p w14:paraId="6A6011B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48,0</w:t>
            </w:r>
          </w:p>
        </w:tc>
        <w:tc>
          <w:tcPr>
            <w:tcW w:w="850" w:type="dxa"/>
            <w:tcBorders>
              <w:top w:val="nil"/>
              <w:left w:val="single" w:sz="6" w:space="0" w:color="000000"/>
              <w:bottom w:val="nil"/>
              <w:right w:val="single" w:sz="6" w:space="0" w:color="000000"/>
            </w:tcBorders>
            <w:hideMark/>
          </w:tcPr>
          <w:p w14:paraId="02940D7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54,0</w:t>
            </w:r>
          </w:p>
        </w:tc>
        <w:tc>
          <w:tcPr>
            <w:tcW w:w="855" w:type="dxa"/>
            <w:tcBorders>
              <w:top w:val="nil"/>
              <w:left w:val="single" w:sz="6" w:space="0" w:color="000000"/>
              <w:bottom w:val="nil"/>
              <w:right w:val="single" w:sz="6" w:space="0" w:color="000000"/>
            </w:tcBorders>
            <w:hideMark/>
          </w:tcPr>
          <w:p w14:paraId="04D6723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60,0</w:t>
            </w:r>
          </w:p>
        </w:tc>
      </w:tr>
      <w:tr w:rsidR="00486A3E" w14:paraId="06EDDD8C" w14:textId="77777777" w:rsidTr="00486A3E">
        <w:trPr>
          <w:trHeight w:val="493"/>
        </w:trPr>
        <w:tc>
          <w:tcPr>
            <w:tcW w:w="1991" w:type="dxa"/>
            <w:tcBorders>
              <w:top w:val="nil"/>
              <w:left w:val="single" w:sz="6" w:space="0" w:color="000000"/>
              <w:bottom w:val="nil"/>
              <w:right w:val="single" w:sz="6" w:space="0" w:color="000000"/>
            </w:tcBorders>
            <w:hideMark/>
          </w:tcPr>
          <w:p w14:paraId="3FA3DFA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0,75</w:t>
            </w:r>
          </w:p>
        </w:tc>
        <w:tc>
          <w:tcPr>
            <w:tcW w:w="846" w:type="dxa"/>
            <w:tcBorders>
              <w:top w:val="nil"/>
              <w:left w:val="single" w:sz="6" w:space="0" w:color="000000"/>
              <w:bottom w:val="nil"/>
              <w:right w:val="single" w:sz="6" w:space="0" w:color="000000"/>
            </w:tcBorders>
            <w:hideMark/>
          </w:tcPr>
          <w:p w14:paraId="0CC7408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27,0</w:t>
            </w:r>
          </w:p>
        </w:tc>
        <w:tc>
          <w:tcPr>
            <w:tcW w:w="850" w:type="dxa"/>
            <w:tcBorders>
              <w:top w:val="nil"/>
              <w:left w:val="single" w:sz="6" w:space="0" w:color="000000"/>
              <w:bottom w:val="nil"/>
              <w:right w:val="single" w:sz="6" w:space="0" w:color="000000"/>
            </w:tcBorders>
            <w:hideMark/>
          </w:tcPr>
          <w:p w14:paraId="53024D3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36,0</w:t>
            </w:r>
          </w:p>
        </w:tc>
        <w:tc>
          <w:tcPr>
            <w:tcW w:w="850" w:type="dxa"/>
            <w:tcBorders>
              <w:top w:val="nil"/>
              <w:left w:val="single" w:sz="6" w:space="0" w:color="000000"/>
              <w:bottom w:val="nil"/>
              <w:right w:val="single" w:sz="6" w:space="0" w:color="000000"/>
            </w:tcBorders>
            <w:hideMark/>
          </w:tcPr>
          <w:p w14:paraId="1A58DAE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45,0</w:t>
            </w:r>
          </w:p>
        </w:tc>
        <w:tc>
          <w:tcPr>
            <w:tcW w:w="850" w:type="dxa"/>
            <w:tcBorders>
              <w:top w:val="nil"/>
              <w:left w:val="single" w:sz="6" w:space="0" w:color="000000"/>
              <w:bottom w:val="nil"/>
              <w:right w:val="single" w:sz="6" w:space="0" w:color="000000"/>
            </w:tcBorders>
            <w:hideMark/>
          </w:tcPr>
          <w:p w14:paraId="5DD1771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54,0</w:t>
            </w:r>
          </w:p>
        </w:tc>
        <w:tc>
          <w:tcPr>
            <w:tcW w:w="850" w:type="dxa"/>
            <w:tcBorders>
              <w:top w:val="nil"/>
              <w:left w:val="single" w:sz="6" w:space="0" w:color="000000"/>
              <w:bottom w:val="nil"/>
              <w:right w:val="single" w:sz="6" w:space="0" w:color="000000"/>
            </w:tcBorders>
            <w:hideMark/>
          </w:tcPr>
          <w:p w14:paraId="47D1FA7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63,0</w:t>
            </w:r>
          </w:p>
        </w:tc>
        <w:tc>
          <w:tcPr>
            <w:tcW w:w="852" w:type="dxa"/>
            <w:tcBorders>
              <w:top w:val="nil"/>
              <w:left w:val="single" w:sz="6" w:space="0" w:color="000000"/>
              <w:bottom w:val="nil"/>
              <w:right w:val="single" w:sz="6" w:space="0" w:color="000000"/>
            </w:tcBorders>
            <w:hideMark/>
          </w:tcPr>
          <w:p w14:paraId="5D830DB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72,0</w:t>
            </w:r>
          </w:p>
        </w:tc>
        <w:tc>
          <w:tcPr>
            <w:tcW w:w="850" w:type="dxa"/>
            <w:tcBorders>
              <w:top w:val="nil"/>
              <w:left w:val="single" w:sz="6" w:space="0" w:color="000000"/>
              <w:bottom w:val="nil"/>
              <w:right w:val="single" w:sz="6" w:space="0" w:color="000000"/>
            </w:tcBorders>
            <w:hideMark/>
          </w:tcPr>
          <w:p w14:paraId="07B1CE7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81,0</w:t>
            </w:r>
          </w:p>
        </w:tc>
        <w:tc>
          <w:tcPr>
            <w:tcW w:w="855" w:type="dxa"/>
            <w:tcBorders>
              <w:top w:val="nil"/>
              <w:left w:val="single" w:sz="6" w:space="0" w:color="000000"/>
              <w:bottom w:val="nil"/>
              <w:right w:val="single" w:sz="6" w:space="0" w:color="000000"/>
            </w:tcBorders>
            <w:hideMark/>
          </w:tcPr>
          <w:p w14:paraId="4B4A92C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90,0</w:t>
            </w:r>
          </w:p>
        </w:tc>
      </w:tr>
      <w:tr w:rsidR="00486A3E" w14:paraId="20C5D2F0" w14:textId="77777777" w:rsidTr="00486A3E">
        <w:trPr>
          <w:trHeight w:val="491"/>
        </w:trPr>
        <w:tc>
          <w:tcPr>
            <w:tcW w:w="1991" w:type="dxa"/>
            <w:tcBorders>
              <w:top w:val="nil"/>
              <w:left w:val="single" w:sz="6" w:space="0" w:color="000000"/>
              <w:bottom w:val="nil"/>
              <w:right w:val="single" w:sz="6" w:space="0" w:color="000000"/>
            </w:tcBorders>
            <w:hideMark/>
          </w:tcPr>
          <w:p w14:paraId="6E5903F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w:t>
            </w:r>
          </w:p>
        </w:tc>
        <w:tc>
          <w:tcPr>
            <w:tcW w:w="846" w:type="dxa"/>
            <w:tcBorders>
              <w:top w:val="nil"/>
              <w:left w:val="single" w:sz="6" w:space="0" w:color="000000"/>
              <w:bottom w:val="nil"/>
              <w:right w:val="single" w:sz="6" w:space="0" w:color="000000"/>
            </w:tcBorders>
            <w:hideMark/>
          </w:tcPr>
          <w:p w14:paraId="67FB3A0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36,0</w:t>
            </w:r>
          </w:p>
        </w:tc>
        <w:tc>
          <w:tcPr>
            <w:tcW w:w="850" w:type="dxa"/>
            <w:tcBorders>
              <w:top w:val="nil"/>
              <w:left w:val="single" w:sz="6" w:space="0" w:color="000000"/>
              <w:bottom w:val="nil"/>
              <w:right w:val="single" w:sz="6" w:space="0" w:color="000000"/>
            </w:tcBorders>
            <w:hideMark/>
          </w:tcPr>
          <w:p w14:paraId="2BEF24F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48,0</w:t>
            </w:r>
          </w:p>
        </w:tc>
        <w:tc>
          <w:tcPr>
            <w:tcW w:w="850" w:type="dxa"/>
            <w:tcBorders>
              <w:top w:val="nil"/>
              <w:left w:val="single" w:sz="6" w:space="0" w:color="000000"/>
              <w:bottom w:val="nil"/>
              <w:right w:val="single" w:sz="6" w:space="0" w:color="000000"/>
            </w:tcBorders>
            <w:hideMark/>
          </w:tcPr>
          <w:p w14:paraId="106B126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60,0</w:t>
            </w:r>
          </w:p>
        </w:tc>
        <w:tc>
          <w:tcPr>
            <w:tcW w:w="850" w:type="dxa"/>
            <w:tcBorders>
              <w:top w:val="nil"/>
              <w:left w:val="single" w:sz="6" w:space="0" w:color="000000"/>
              <w:bottom w:val="nil"/>
              <w:right w:val="single" w:sz="6" w:space="0" w:color="000000"/>
            </w:tcBorders>
            <w:hideMark/>
          </w:tcPr>
          <w:p w14:paraId="76AE6D2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72,0</w:t>
            </w:r>
          </w:p>
        </w:tc>
        <w:tc>
          <w:tcPr>
            <w:tcW w:w="850" w:type="dxa"/>
            <w:tcBorders>
              <w:top w:val="nil"/>
              <w:left w:val="single" w:sz="6" w:space="0" w:color="000000"/>
              <w:bottom w:val="nil"/>
              <w:right w:val="single" w:sz="6" w:space="0" w:color="000000"/>
            </w:tcBorders>
            <w:hideMark/>
          </w:tcPr>
          <w:p w14:paraId="1C9E930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84,0</w:t>
            </w:r>
          </w:p>
        </w:tc>
        <w:tc>
          <w:tcPr>
            <w:tcW w:w="852" w:type="dxa"/>
            <w:tcBorders>
              <w:top w:val="nil"/>
              <w:left w:val="single" w:sz="6" w:space="0" w:color="000000"/>
              <w:bottom w:val="nil"/>
              <w:right w:val="single" w:sz="6" w:space="0" w:color="000000"/>
            </w:tcBorders>
            <w:hideMark/>
          </w:tcPr>
          <w:p w14:paraId="0A7AC11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96,0</w:t>
            </w:r>
          </w:p>
        </w:tc>
        <w:tc>
          <w:tcPr>
            <w:tcW w:w="850" w:type="dxa"/>
            <w:tcBorders>
              <w:top w:val="nil"/>
              <w:left w:val="single" w:sz="6" w:space="0" w:color="000000"/>
              <w:bottom w:val="nil"/>
              <w:right w:val="single" w:sz="6" w:space="0" w:color="000000"/>
            </w:tcBorders>
            <w:hideMark/>
          </w:tcPr>
          <w:p w14:paraId="224F6C6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108,0</w:t>
            </w:r>
          </w:p>
        </w:tc>
        <w:tc>
          <w:tcPr>
            <w:tcW w:w="855" w:type="dxa"/>
            <w:tcBorders>
              <w:top w:val="nil"/>
              <w:left w:val="single" w:sz="6" w:space="0" w:color="000000"/>
              <w:bottom w:val="nil"/>
              <w:right w:val="single" w:sz="6" w:space="0" w:color="000000"/>
            </w:tcBorders>
            <w:hideMark/>
          </w:tcPr>
          <w:p w14:paraId="5BFD557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120,0</w:t>
            </w:r>
          </w:p>
        </w:tc>
      </w:tr>
      <w:tr w:rsidR="00486A3E" w14:paraId="0C430994" w14:textId="77777777" w:rsidTr="00486A3E">
        <w:trPr>
          <w:trHeight w:val="493"/>
        </w:trPr>
        <w:tc>
          <w:tcPr>
            <w:tcW w:w="1991" w:type="dxa"/>
            <w:tcBorders>
              <w:top w:val="nil"/>
              <w:left w:val="single" w:sz="6" w:space="0" w:color="000000"/>
              <w:bottom w:val="nil"/>
              <w:right w:val="single" w:sz="6" w:space="0" w:color="000000"/>
            </w:tcBorders>
            <w:hideMark/>
          </w:tcPr>
          <w:p w14:paraId="603A06F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1,25</w:t>
            </w:r>
          </w:p>
        </w:tc>
        <w:tc>
          <w:tcPr>
            <w:tcW w:w="846" w:type="dxa"/>
            <w:tcBorders>
              <w:top w:val="nil"/>
              <w:left w:val="single" w:sz="6" w:space="0" w:color="000000"/>
              <w:bottom w:val="nil"/>
              <w:right w:val="single" w:sz="6" w:space="0" w:color="000000"/>
            </w:tcBorders>
            <w:hideMark/>
          </w:tcPr>
          <w:p w14:paraId="2D294FE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45,0</w:t>
            </w:r>
          </w:p>
        </w:tc>
        <w:tc>
          <w:tcPr>
            <w:tcW w:w="850" w:type="dxa"/>
            <w:tcBorders>
              <w:top w:val="nil"/>
              <w:left w:val="single" w:sz="6" w:space="0" w:color="000000"/>
              <w:bottom w:val="nil"/>
              <w:right w:val="single" w:sz="6" w:space="0" w:color="000000"/>
            </w:tcBorders>
            <w:hideMark/>
          </w:tcPr>
          <w:p w14:paraId="24EA15A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60,0</w:t>
            </w:r>
          </w:p>
        </w:tc>
        <w:tc>
          <w:tcPr>
            <w:tcW w:w="850" w:type="dxa"/>
            <w:tcBorders>
              <w:top w:val="nil"/>
              <w:left w:val="single" w:sz="6" w:space="0" w:color="000000"/>
              <w:bottom w:val="nil"/>
              <w:right w:val="single" w:sz="6" w:space="0" w:color="000000"/>
            </w:tcBorders>
            <w:hideMark/>
          </w:tcPr>
          <w:p w14:paraId="434E446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75,0</w:t>
            </w:r>
          </w:p>
        </w:tc>
        <w:tc>
          <w:tcPr>
            <w:tcW w:w="850" w:type="dxa"/>
            <w:tcBorders>
              <w:top w:val="nil"/>
              <w:left w:val="single" w:sz="6" w:space="0" w:color="000000"/>
              <w:bottom w:val="nil"/>
              <w:right w:val="single" w:sz="6" w:space="0" w:color="000000"/>
            </w:tcBorders>
            <w:hideMark/>
          </w:tcPr>
          <w:p w14:paraId="2CA2B98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90,0</w:t>
            </w:r>
          </w:p>
        </w:tc>
        <w:tc>
          <w:tcPr>
            <w:tcW w:w="850" w:type="dxa"/>
            <w:tcBorders>
              <w:top w:val="nil"/>
              <w:left w:val="single" w:sz="6" w:space="0" w:color="000000"/>
              <w:bottom w:val="nil"/>
              <w:right w:val="single" w:sz="6" w:space="0" w:color="000000"/>
            </w:tcBorders>
            <w:hideMark/>
          </w:tcPr>
          <w:p w14:paraId="79B4138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105,0</w:t>
            </w:r>
          </w:p>
        </w:tc>
        <w:tc>
          <w:tcPr>
            <w:tcW w:w="852" w:type="dxa"/>
            <w:tcBorders>
              <w:top w:val="nil"/>
              <w:left w:val="single" w:sz="6" w:space="0" w:color="000000"/>
              <w:bottom w:val="nil"/>
              <w:right w:val="single" w:sz="6" w:space="0" w:color="000000"/>
            </w:tcBorders>
            <w:hideMark/>
          </w:tcPr>
          <w:p w14:paraId="0C5F328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120,0</w:t>
            </w:r>
          </w:p>
        </w:tc>
        <w:tc>
          <w:tcPr>
            <w:tcW w:w="850" w:type="dxa"/>
            <w:tcBorders>
              <w:top w:val="nil"/>
              <w:left w:val="single" w:sz="6" w:space="0" w:color="000000"/>
              <w:bottom w:val="nil"/>
              <w:right w:val="single" w:sz="6" w:space="0" w:color="000000"/>
            </w:tcBorders>
            <w:hideMark/>
          </w:tcPr>
          <w:p w14:paraId="3B2286A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135,0</w:t>
            </w:r>
          </w:p>
        </w:tc>
        <w:tc>
          <w:tcPr>
            <w:tcW w:w="855" w:type="dxa"/>
            <w:tcBorders>
              <w:top w:val="nil"/>
              <w:left w:val="single" w:sz="6" w:space="0" w:color="000000"/>
              <w:bottom w:val="nil"/>
              <w:right w:val="single" w:sz="6" w:space="0" w:color="000000"/>
            </w:tcBorders>
            <w:hideMark/>
          </w:tcPr>
          <w:p w14:paraId="3694F9E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150,0</w:t>
            </w:r>
          </w:p>
        </w:tc>
      </w:tr>
      <w:tr w:rsidR="00486A3E" w14:paraId="6C3C915B" w14:textId="77777777" w:rsidTr="00486A3E">
        <w:trPr>
          <w:trHeight w:val="493"/>
        </w:trPr>
        <w:tc>
          <w:tcPr>
            <w:tcW w:w="1991" w:type="dxa"/>
            <w:tcBorders>
              <w:top w:val="nil"/>
              <w:left w:val="single" w:sz="6" w:space="0" w:color="000000"/>
              <w:bottom w:val="nil"/>
              <w:right w:val="single" w:sz="6" w:space="0" w:color="000000"/>
            </w:tcBorders>
            <w:hideMark/>
          </w:tcPr>
          <w:p w14:paraId="02D3284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w:t>
            </w:r>
          </w:p>
        </w:tc>
        <w:tc>
          <w:tcPr>
            <w:tcW w:w="846" w:type="dxa"/>
            <w:tcBorders>
              <w:top w:val="nil"/>
              <w:left w:val="single" w:sz="6" w:space="0" w:color="000000"/>
              <w:bottom w:val="nil"/>
              <w:right w:val="single" w:sz="6" w:space="0" w:color="000000"/>
            </w:tcBorders>
            <w:hideMark/>
          </w:tcPr>
          <w:p w14:paraId="79BC86B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54,0</w:t>
            </w:r>
          </w:p>
        </w:tc>
        <w:tc>
          <w:tcPr>
            <w:tcW w:w="850" w:type="dxa"/>
            <w:tcBorders>
              <w:top w:val="nil"/>
              <w:left w:val="single" w:sz="6" w:space="0" w:color="000000"/>
              <w:bottom w:val="nil"/>
              <w:right w:val="single" w:sz="6" w:space="0" w:color="000000"/>
            </w:tcBorders>
            <w:hideMark/>
          </w:tcPr>
          <w:p w14:paraId="5088849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72,0</w:t>
            </w:r>
          </w:p>
        </w:tc>
        <w:tc>
          <w:tcPr>
            <w:tcW w:w="850" w:type="dxa"/>
            <w:tcBorders>
              <w:top w:val="nil"/>
              <w:left w:val="single" w:sz="6" w:space="0" w:color="000000"/>
              <w:bottom w:val="nil"/>
              <w:right w:val="single" w:sz="6" w:space="0" w:color="000000"/>
            </w:tcBorders>
            <w:hideMark/>
          </w:tcPr>
          <w:p w14:paraId="2053F75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90,0</w:t>
            </w:r>
          </w:p>
        </w:tc>
        <w:tc>
          <w:tcPr>
            <w:tcW w:w="850" w:type="dxa"/>
            <w:tcBorders>
              <w:top w:val="nil"/>
              <w:left w:val="single" w:sz="6" w:space="0" w:color="000000"/>
              <w:bottom w:val="nil"/>
              <w:right w:val="single" w:sz="6" w:space="0" w:color="000000"/>
            </w:tcBorders>
            <w:hideMark/>
          </w:tcPr>
          <w:p w14:paraId="5045887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108,0</w:t>
            </w:r>
          </w:p>
        </w:tc>
        <w:tc>
          <w:tcPr>
            <w:tcW w:w="850" w:type="dxa"/>
            <w:tcBorders>
              <w:top w:val="nil"/>
              <w:left w:val="single" w:sz="6" w:space="0" w:color="000000"/>
              <w:bottom w:val="nil"/>
              <w:right w:val="single" w:sz="6" w:space="0" w:color="000000"/>
            </w:tcBorders>
            <w:hideMark/>
          </w:tcPr>
          <w:p w14:paraId="1690593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126,0</w:t>
            </w:r>
          </w:p>
        </w:tc>
        <w:tc>
          <w:tcPr>
            <w:tcW w:w="852" w:type="dxa"/>
            <w:tcBorders>
              <w:top w:val="nil"/>
              <w:left w:val="single" w:sz="6" w:space="0" w:color="000000"/>
              <w:bottom w:val="nil"/>
              <w:right w:val="single" w:sz="6" w:space="0" w:color="000000"/>
            </w:tcBorders>
            <w:hideMark/>
          </w:tcPr>
          <w:p w14:paraId="3ABAE6E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144,0</w:t>
            </w:r>
          </w:p>
        </w:tc>
        <w:tc>
          <w:tcPr>
            <w:tcW w:w="850" w:type="dxa"/>
            <w:tcBorders>
              <w:top w:val="nil"/>
              <w:left w:val="single" w:sz="6" w:space="0" w:color="000000"/>
              <w:bottom w:val="nil"/>
              <w:right w:val="single" w:sz="6" w:space="0" w:color="000000"/>
            </w:tcBorders>
            <w:hideMark/>
          </w:tcPr>
          <w:p w14:paraId="2F39CD1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162,0</w:t>
            </w:r>
          </w:p>
        </w:tc>
        <w:tc>
          <w:tcPr>
            <w:tcW w:w="855" w:type="dxa"/>
            <w:tcBorders>
              <w:top w:val="nil"/>
              <w:left w:val="single" w:sz="6" w:space="0" w:color="000000"/>
              <w:bottom w:val="nil"/>
              <w:right w:val="single" w:sz="6" w:space="0" w:color="000000"/>
            </w:tcBorders>
            <w:hideMark/>
          </w:tcPr>
          <w:p w14:paraId="577CDD2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180,0</w:t>
            </w:r>
          </w:p>
        </w:tc>
      </w:tr>
      <w:tr w:rsidR="00486A3E" w14:paraId="324BC9DE" w14:textId="77777777" w:rsidTr="00486A3E">
        <w:trPr>
          <w:trHeight w:val="493"/>
        </w:trPr>
        <w:tc>
          <w:tcPr>
            <w:tcW w:w="1991" w:type="dxa"/>
            <w:tcBorders>
              <w:top w:val="nil"/>
              <w:left w:val="single" w:sz="6" w:space="0" w:color="000000"/>
              <w:bottom w:val="nil"/>
              <w:right w:val="single" w:sz="6" w:space="0" w:color="000000"/>
            </w:tcBorders>
            <w:hideMark/>
          </w:tcPr>
          <w:p w14:paraId="6AA143B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1,75</w:t>
            </w:r>
          </w:p>
        </w:tc>
        <w:tc>
          <w:tcPr>
            <w:tcW w:w="846" w:type="dxa"/>
            <w:tcBorders>
              <w:top w:val="nil"/>
              <w:left w:val="single" w:sz="6" w:space="0" w:color="000000"/>
              <w:bottom w:val="nil"/>
              <w:right w:val="single" w:sz="6" w:space="0" w:color="000000"/>
            </w:tcBorders>
            <w:hideMark/>
          </w:tcPr>
          <w:p w14:paraId="47B0E19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63,0</w:t>
            </w:r>
          </w:p>
        </w:tc>
        <w:tc>
          <w:tcPr>
            <w:tcW w:w="850" w:type="dxa"/>
            <w:tcBorders>
              <w:top w:val="nil"/>
              <w:left w:val="single" w:sz="6" w:space="0" w:color="000000"/>
              <w:bottom w:val="nil"/>
              <w:right w:val="single" w:sz="6" w:space="0" w:color="000000"/>
            </w:tcBorders>
            <w:hideMark/>
          </w:tcPr>
          <w:p w14:paraId="67CBF4B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84,0</w:t>
            </w:r>
          </w:p>
        </w:tc>
        <w:tc>
          <w:tcPr>
            <w:tcW w:w="850" w:type="dxa"/>
            <w:tcBorders>
              <w:top w:val="nil"/>
              <w:left w:val="single" w:sz="6" w:space="0" w:color="000000"/>
              <w:bottom w:val="nil"/>
              <w:right w:val="single" w:sz="6" w:space="0" w:color="000000"/>
            </w:tcBorders>
            <w:hideMark/>
          </w:tcPr>
          <w:p w14:paraId="1678D30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105,0</w:t>
            </w:r>
          </w:p>
        </w:tc>
        <w:tc>
          <w:tcPr>
            <w:tcW w:w="850" w:type="dxa"/>
            <w:tcBorders>
              <w:top w:val="nil"/>
              <w:left w:val="single" w:sz="6" w:space="0" w:color="000000"/>
              <w:bottom w:val="nil"/>
              <w:right w:val="single" w:sz="6" w:space="0" w:color="000000"/>
            </w:tcBorders>
            <w:hideMark/>
          </w:tcPr>
          <w:p w14:paraId="34454BC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126,0</w:t>
            </w:r>
          </w:p>
        </w:tc>
        <w:tc>
          <w:tcPr>
            <w:tcW w:w="850" w:type="dxa"/>
            <w:tcBorders>
              <w:top w:val="nil"/>
              <w:left w:val="single" w:sz="6" w:space="0" w:color="000000"/>
              <w:bottom w:val="nil"/>
              <w:right w:val="single" w:sz="6" w:space="0" w:color="000000"/>
            </w:tcBorders>
            <w:hideMark/>
          </w:tcPr>
          <w:p w14:paraId="6178D1A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147,0</w:t>
            </w:r>
          </w:p>
        </w:tc>
        <w:tc>
          <w:tcPr>
            <w:tcW w:w="852" w:type="dxa"/>
            <w:tcBorders>
              <w:top w:val="nil"/>
              <w:left w:val="single" w:sz="6" w:space="0" w:color="000000"/>
              <w:bottom w:val="nil"/>
              <w:right w:val="single" w:sz="6" w:space="0" w:color="000000"/>
            </w:tcBorders>
            <w:hideMark/>
          </w:tcPr>
          <w:p w14:paraId="730FF4F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168,0</w:t>
            </w:r>
          </w:p>
        </w:tc>
        <w:tc>
          <w:tcPr>
            <w:tcW w:w="850" w:type="dxa"/>
            <w:tcBorders>
              <w:top w:val="nil"/>
              <w:left w:val="single" w:sz="6" w:space="0" w:color="000000"/>
              <w:bottom w:val="nil"/>
              <w:right w:val="single" w:sz="6" w:space="0" w:color="000000"/>
            </w:tcBorders>
            <w:hideMark/>
          </w:tcPr>
          <w:p w14:paraId="4636A1B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189,0</w:t>
            </w:r>
          </w:p>
        </w:tc>
        <w:tc>
          <w:tcPr>
            <w:tcW w:w="855" w:type="dxa"/>
            <w:tcBorders>
              <w:top w:val="nil"/>
              <w:left w:val="single" w:sz="6" w:space="0" w:color="000000"/>
              <w:bottom w:val="nil"/>
              <w:right w:val="single" w:sz="6" w:space="0" w:color="000000"/>
            </w:tcBorders>
            <w:hideMark/>
          </w:tcPr>
          <w:p w14:paraId="38E7DE6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210,0</w:t>
            </w:r>
          </w:p>
        </w:tc>
      </w:tr>
      <w:tr w:rsidR="00486A3E" w14:paraId="0A1B7256" w14:textId="77777777" w:rsidTr="00486A3E">
        <w:trPr>
          <w:trHeight w:val="614"/>
        </w:trPr>
        <w:tc>
          <w:tcPr>
            <w:tcW w:w="1991" w:type="dxa"/>
            <w:tcBorders>
              <w:top w:val="nil"/>
              <w:left w:val="single" w:sz="6" w:space="0" w:color="000000"/>
              <w:bottom w:val="single" w:sz="6" w:space="0" w:color="000000"/>
              <w:right w:val="single" w:sz="6" w:space="0" w:color="000000"/>
            </w:tcBorders>
            <w:hideMark/>
          </w:tcPr>
          <w:p w14:paraId="208C292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2,0</w:t>
            </w:r>
          </w:p>
        </w:tc>
        <w:tc>
          <w:tcPr>
            <w:tcW w:w="846" w:type="dxa"/>
            <w:tcBorders>
              <w:top w:val="nil"/>
              <w:left w:val="single" w:sz="6" w:space="0" w:color="000000"/>
              <w:bottom w:val="single" w:sz="6" w:space="0" w:color="000000"/>
              <w:right w:val="single" w:sz="6" w:space="0" w:color="000000"/>
            </w:tcBorders>
            <w:hideMark/>
          </w:tcPr>
          <w:p w14:paraId="3C14BA4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72,0</w:t>
            </w:r>
          </w:p>
        </w:tc>
        <w:tc>
          <w:tcPr>
            <w:tcW w:w="850" w:type="dxa"/>
            <w:tcBorders>
              <w:top w:val="nil"/>
              <w:left w:val="single" w:sz="6" w:space="0" w:color="000000"/>
              <w:bottom w:val="single" w:sz="6" w:space="0" w:color="000000"/>
              <w:right w:val="single" w:sz="6" w:space="0" w:color="000000"/>
            </w:tcBorders>
            <w:hideMark/>
          </w:tcPr>
          <w:p w14:paraId="023A22B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96,0</w:t>
            </w:r>
          </w:p>
        </w:tc>
        <w:tc>
          <w:tcPr>
            <w:tcW w:w="850" w:type="dxa"/>
            <w:tcBorders>
              <w:top w:val="nil"/>
              <w:left w:val="single" w:sz="6" w:space="0" w:color="000000"/>
              <w:bottom w:val="single" w:sz="6" w:space="0" w:color="000000"/>
              <w:right w:val="single" w:sz="6" w:space="0" w:color="000000"/>
            </w:tcBorders>
            <w:hideMark/>
          </w:tcPr>
          <w:p w14:paraId="0B52647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120,0</w:t>
            </w:r>
          </w:p>
        </w:tc>
        <w:tc>
          <w:tcPr>
            <w:tcW w:w="850" w:type="dxa"/>
            <w:tcBorders>
              <w:top w:val="nil"/>
              <w:left w:val="single" w:sz="6" w:space="0" w:color="000000"/>
              <w:bottom w:val="single" w:sz="6" w:space="0" w:color="000000"/>
              <w:right w:val="single" w:sz="6" w:space="0" w:color="000000"/>
            </w:tcBorders>
            <w:hideMark/>
          </w:tcPr>
          <w:p w14:paraId="72E482C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144,0</w:t>
            </w:r>
          </w:p>
        </w:tc>
        <w:tc>
          <w:tcPr>
            <w:tcW w:w="850" w:type="dxa"/>
            <w:tcBorders>
              <w:top w:val="nil"/>
              <w:left w:val="single" w:sz="6" w:space="0" w:color="000000"/>
              <w:bottom w:val="single" w:sz="6" w:space="0" w:color="000000"/>
              <w:right w:val="single" w:sz="6" w:space="0" w:color="000000"/>
            </w:tcBorders>
            <w:hideMark/>
          </w:tcPr>
          <w:p w14:paraId="437A8F9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168,0</w:t>
            </w:r>
          </w:p>
        </w:tc>
        <w:tc>
          <w:tcPr>
            <w:tcW w:w="852" w:type="dxa"/>
            <w:tcBorders>
              <w:top w:val="nil"/>
              <w:left w:val="single" w:sz="6" w:space="0" w:color="000000"/>
              <w:bottom w:val="single" w:sz="6" w:space="0" w:color="000000"/>
              <w:right w:val="single" w:sz="6" w:space="0" w:color="000000"/>
            </w:tcBorders>
            <w:hideMark/>
          </w:tcPr>
          <w:p w14:paraId="4FE4378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192,0</w:t>
            </w:r>
          </w:p>
        </w:tc>
        <w:tc>
          <w:tcPr>
            <w:tcW w:w="850" w:type="dxa"/>
            <w:tcBorders>
              <w:top w:val="nil"/>
              <w:left w:val="single" w:sz="6" w:space="0" w:color="000000"/>
              <w:bottom w:val="single" w:sz="6" w:space="0" w:color="000000"/>
              <w:right w:val="single" w:sz="6" w:space="0" w:color="000000"/>
            </w:tcBorders>
            <w:hideMark/>
          </w:tcPr>
          <w:p w14:paraId="0133FAF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216,0</w:t>
            </w:r>
          </w:p>
        </w:tc>
        <w:tc>
          <w:tcPr>
            <w:tcW w:w="855" w:type="dxa"/>
            <w:tcBorders>
              <w:top w:val="nil"/>
              <w:left w:val="single" w:sz="6" w:space="0" w:color="000000"/>
              <w:bottom w:val="single" w:sz="6" w:space="0" w:color="000000"/>
              <w:right w:val="single" w:sz="6" w:space="0" w:color="000000"/>
            </w:tcBorders>
            <w:hideMark/>
          </w:tcPr>
          <w:p w14:paraId="422E6D1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240,0</w:t>
            </w:r>
          </w:p>
        </w:tc>
      </w:tr>
    </w:tbl>
    <w:p w14:paraId="59FDF28E" w14:textId="46D8A36C" w:rsidR="00A0509E" w:rsidRDefault="00A0509E" w:rsidP="00486A3E">
      <w:pPr>
        <w:rPr>
          <w:sz w:val="22"/>
        </w:rPr>
      </w:pPr>
    </w:p>
    <w:p w14:paraId="0002422D" w14:textId="77777777" w:rsidR="00A0509E" w:rsidRDefault="00A0509E">
      <w:pPr>
        <w:rPr>
          <w:sz w:val="22"/>
        </w:rPr>
      </w:pPr>
      <w:r>
        <w:rPr>
          <w:sz w:val="22"/>
        </w:rPr>
        <w:br w:type="page"/>
      </w:r>
    </w:p>
    <w:p w14:paraId="23747C7E" w14:textId="77777777" w:rsidR="00486A3E" w:rsidRDefault="00486A3E" w:rsidP="00486A3E">
      <w:pPr>
        <w:rPr>
          <w:sz w:val="22"/>
        </w:rPr>
      </w:pPr>
    </w:p>
    <w:p w14:paraId="7E4F1CF4" w14:textId="77777777" w:rsidR="00486A3E" w:rsidRDefault="00486A3E" w:rsidP="00A0509E">
      <w:pPr>
        <w:keepNext/>
        <w:ind w:left="142"/>
      </w:pPr>
      <w:r>
        <w:t>Tabel 10.</w:t>
      </w:r>
      <w:r>
        <w:tab/>
        <w:t>Remifentanil "Orion" infusionshastigheder (ml/time) for en 250 μg/ml opløsning</w:t>
      </w:r>
    </w:p>
    <w:p w14:paraId="3C16C802" w14:textId="77777777" w:rsidR="00486A3E" w:rsidRDefault="00486A3E" w:rsidP="00486A3E">
      <w:pPr>
        <w:keepNext/>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7"/>
        <w:gridCol w:w="849"/>
        <w:gridCol w:w="849"/>
        <w:gridCol w:w="849"/>
        <w:gridCol w:w="849"/>
        <w:gridCol w:w="849"/>
        <w:gridCol w:w="851"/>
        <w:gridCol w:w="849"/>
        <w:gridCol w:w="859"/>
      </w:tblGrid>
      <w:tr w:rsidR="00486A3E" w14:paraId="779A5A07" w14:textId="77777777" w:rsidTr="00486A3E">
        <w:trPr>
          <w:trHeight w:val="493"/>
        </w:trPr>
        <w:tc>
          <w:tcPr>
            <w:tcW w:w="1987" w:type="dxa"/>
            <w:vMerge w:val="restart"/>
            <w:tcBorders>
              <w:top w:val="single" w:sz="6" w:space="0" w:color="000000"/>
              <w:left w:val="single" w:sz="6" w:space="0" w:color="000000"/>
              <w:bottom w:val="single" w:sz="6" w:space="0" w:color="000000"/>
              <w:right w:val="single" w:sz="6" w:space="0" w:color="000000"/>
            </w:tcBorders>
            <w:hideMark/>
          </w:tcPr>
          <w:p w14:paraId="5103C8D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Infusionshastighed (µg/kg/min)</w:t>
            </w:r>
          </w:p>
        </w:tc>
        <w:tc>
          <w:tcPr>
            <w:tcW w:w="6804" w:type="dxa"/>
            <w:gridSpan w:val="8"/>
            <w:tcBorders>
              <w:top w:val="single" w:sz="6" w:space="0" w:color="000000"/>
              <w:left w:val="single" w:sz="6" w:space="0" w:color="000000"/>
              <w:bottom w:val="single" w:sz="6" w:space="0" w:color="000000"/>
              <w:right w:val="single" w:sz="6" w:space="0" w:color="000000"/>
            </w:tcBorders>
            <w:hideMark/>
          </w:tcPr>
          <w:p w14:paraId="193DEC2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Patientens vægt (kg)</w:t>
            </w:r>
          </w:p>
        </w:tc>
      </w:tr>
      <w:tr w:rsidR="00486A3E" w14:paraId="6B501499" w14:textId="77777777" w:rsidTr="00486A3E">
        <w:trPr>
          <w:trHeight w:val="510"/>
        </w:trPr>
        <w:tc>
          <w:tcPr>
            <w:tcW w:w="1987" w:type="dxa"/>
            <w:vMerge/>
            <w:tcBorders>
              <w:top w:val="single" w:sz="6" w:space="0" w:color="000000"/>
              <w:left w:val="single" w:sz="6" w:space="0" w:color="000000"/>
              <w:bottom w:val="single" w:sz="6" w:space="0" w:color="000000"/>
              <w:right w:val="single" w:sz="6" w:space="0" w:color="000000"/>
            </w:tcBorders>
            <w:vAlign w:val="center"/>
            <w:hideMark/>
          </w:tcPr>
          <w:p w14:paraId="777CBD05" w14:textId="77777777" w:rsidR="00486A3E" w:rsidRDefault="00486A3E">
            <w:pPr>
              <w:rPr>
                <w:spacing w:val="-2"/>
                <w:sz w:val="22"/>
                <w:szCs w:val="22"/>
                <w:lang w:val="en-GB"/>
              </w:rPr>
            </w:pPr>
          </w:p>
        </w:tc>
        <w:tc>
          <w:tcPr>
            <w:tcW w:w="849" w:type="dxa"/>
            <w:tcBorders>
              <w:top w:val="single" w:sz="6" w:space="0" w:color="000000"/>
              <w:left w:val="single" w:sz="6" w:space="0" w:color="000000"/>
              <w:bottom w:val="single" w:sz="6" w:space="0" w:color="000000"/>
              <w:right w:val="single" w:sz="6" w:space="0" w:color="000000"/>
            </w:tcBorders>
            <w:hideMark/>
          </w:tcPr>
          <w:p w14:paraId="076C5A0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w:t>
            </w:r>
          </w:p>
        </w:tc>
        <w:tc>
          <w:tcPr>
            <w:tcW w:w="849" w:type="dxa"/>
            <w:tcBorders>
              <w:top w:val="single" w:sz="6" w:space="0" w:color="000000"/>
              <w:left w:val="single" w:sz="6" w:space="0" w:color="000000"/>
              <w:bottom w:val="single" w:sz="6" w:space="0" w:color="000000"/>
              <w:right w:val="single" w:sz="6" w:space="0" w:color="000000"/>
            </w:tcBorders>
            <w:hideMark/>
          </w:tcPr>
          <w:p w14:paraId="62C6D06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40</w:t>
            </w:r>
          </w:p>
        </w:tc>
        <w:tc>
          <w:tcPr>
            <w:tcW w:w="849" w:type="dxa"/>
            <w:tcBorders>
              <w:top w:val="single" w:sz="6" w:space="0" w:color="000000"/>
              <w:left w:val="single" w:sz="6" w:space="0" w:color="000000"/>
              <w:bottom w:val="single" w:sz="6" w:space="0" w:color="000000"/>
              <w:right w:val="single" w:sz="6" w:space="0" w:color="000000"/>
            </w:tcBorders>
            <w:hideMark/>
          </w:tcPr>
          <w:p w14:paraId="0036D88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50</w:t>
            </w:r>
          </w:p>
        </w:tc>
        <w:tc>
          <w:tcPr>
            <w:tcW w:w="849" w:type="dxa"/>
            <w:tcBorders>
              <w:top w:val="single" w:sz="6" w:space="0" w:color="000000"/>
              <w:left w:val="single" w:sz="6" w:space="0" w:color="000000"/>
              <w:bottom w:val="single" w:sz="6" w:space="0" w:color="000000"/>
              <w:right w:val="single" w:sz="6" w:space="0" w:color="000000"/>
            </w:tcBorders>
            <w:hideMark/>
          </w:tcPr>
          <w:p w14:paraId="531DF20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w:t>
            </w:r>
          </w:p>
        </w:tc>
        <w:tc>
          <w:tcPr>
            <w:tcW w:w="849" w:type="dxa"/>
            <w:tcBorders>
              <w:top w:val="single" w:sz="6" w:space="0" w:color="000000"/>
              <w:left w:val="single" w:sz="6" w:space="0" w:color="000000"/>
              <w:bottom w:val="single" w:sz="6" w:space="0" w:color="000000"/>
              <w:right w:val="single" w:sz="6" w:space="0" w:color="000000"/>
            </w:tcBorders>
            <w:hideMark/>
          </w:tcPr>
          <w:p w14:paraId="3EDB1D2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70</w:t>
            </w:r>
          </w:p>
        </w:tc>
        <w:tc>
          <w:tcPr>
            <w:tcW w:w="851" w:type="dxa"/>
            <w:tcBorders>
              <w:top w:val="single" w:sz="6" w:space="0" w:color="000000"/>
              <w:left w:val="single" w:sz="6" w:space="0" w:color="000000"/>
              <w:bottom w:val="single" w:sz="6" w:space="0" w:color="000000"/>
              <w:right w:val="single" w:sz="6" w:space="0" w:color="000000"/>
            </w:tcBorders>
            <w:hideMark/>
          </w:tcPr>
          <w:p w14:paraId="76FB7B1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80</w:t>
            </w:r>
          </w:p>
        </w:tc>
        <w:tc>
          <w:tcPr>
            <w:tcW w:w="849" w:type="dxa"/>
            <w:tcBorders>
              <w:top w:val="single" w:sz="6" w:space="0" w:color="000000"/>
              <w:left w:val="single" w:sz="6" w:space="0" w:color="000000"/>
              <w:bottom w:val="single" w:sz="6" w:space="0" w:color="000000"/>
              <w:right w:val="single" w:sz="6" w:space="0" w:color="000000"/>
            </w:tcBorders>
            <w:hideMark/>
          </w:tcPr>
          <w:p w14:paraId="28AE64E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w:t>
            </w:r>
          </w:p>
        </w:tc>
        <w:tc>
          <w:tcPr>
            <w:tcW w:w="859" w:type="dxa"/>
            <w:tcBorders>
              <w:top w:val="single" w:sz="6" w:space="0" w:color="000000"/>
              <w:left w:val="single" w:sz="6" w:space="0" w:color="000000"/>
              <w:bottom w:val="single" w:sz="6" w:space="0" w:color="000000"/>
              <w:right w:val="single" w:sz="6" w:space="0" w:color="000000"/>
            </w:tcBorders>
            <w:hideMark/>
          </w:tcPr>
          <w:p w14:paraId="4562688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100</w:t>
            </w:r>
          </w:p>
        </w:tc>
      </w:tr>
      <w:tr w:rsidR="00486A3E" w14:paraId="6AF0A2D5" w14:textId="77777777" w:rsidTr="00486A3E">
        <w:trPr>
          <w:trHeight w:val="371"/>
        </w:trPr>
        <w:tc>
          <w:tcPr>
            <w:tcW w:w="1987" w:type="dxa"/>
            <w:tcBorders>
              <w:top w:val="single" w:sz="6" w:space="0" w:color="000000"/>
              <w:left w:val="single" w:sz="6" w:space="0" w:color="000000"/>
              <w:bottom w:val="nil"/>
              <w:right w:val="single" w:sz="6" w:space="0" w:color="000000"/>
            </w:tcBorders>
            <w:hideMark/>
          </w:tcPr>
          <w:p w14:paraId="7A33157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w:t>
            </w:r>
          </w:p>
        </w:tc>
        <w:tc>
          <w:tcPr>
            <w:tcW w:w="849" w:type="dxa"/>
            <w:tcBorders>
              <w:top w:val="single" w:sz="6" w:space="0" w:color="000000"/>
              <w:left w:val="single" w:sz="6" w:space="0" w:color="000000"/>
              <w:bottom w:val="nil"/>
              <w:right w:val="single" w:sz="6" w:space="0" w:color="000000"/>
            </w:tcBorders>
            <w:hideMark/>
          </w:tcPr>
          <w:p w14:paraId="14CB2EA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0,72</w:t>
            </w:r>
          </w:p>
        </w:tc>
        <w:tc>
          <w:tcPr>
            <w:tcW w:w="849" w:type="dxa"/>
            <w:tcBorders>
              <w:top w:val="single" w:sz="6" w:space="0" w:color="000000"/>
              <w:left w:val="single" w:sz="6" w:space="0" w:color="000000"/>
              <w:bottom w:val="nil"/>
              <w:right w:val="single" w:sz="6" w:space="0" w:color="000000"/>
            </w:tcBorders>
            <w:hideMark/>
          </w:tcPr>
          <w:p w14:paraId="51C98DF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0,96</w:t>
            </w:r>
          </w:p>
        </w:tc>
        <w:tc>
          <w:tcPr>
            <w:tcW w:w="849" w:type="dxa"/>
            <w:tcBorders>
              <w:top w:val="single" w:sz="6" w:space="0" w:color="000000"/>
              <w:left w:val="single" w:sz="6" w:space="0" w:color="000000"/>
              <w:bottom w:val="nil"/>
              <w:right w:val="single" w:sz="6" w:space="0" w:color="000000"/>
            </w:tcBorders>
            <w:hideMark/>
          </w:tcPr>
          <w:p w14:paraId="3C5819A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w:t>
            </w:r>
          </w:p>
        </w:tc>
        <w:tc>
          <w:tcPr>
            <w:tcW w:w="849" w:type="dxa"/>
            <w:tcBorders>
              <w:top w:val="single" w:sz="6" w:space="0" w:color="000000"/>
              <w:left w:val="single" w:sz="6" w:space="0" w:color="000000"/>
              <w:bottom w:val="nil"/>
              <w:right w:val="single" w:sz="6" w:space="0" w:color="000000"/>
            </w:tcBorders>
            <w:hideMark/>
          </w:tcPr>
          <w:p w14:paraId="1ADC8B6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w:t>
            </w:r>
          </w:p>
        </w:tc>
        <w:tc>
          <w:tcPr>
            <w:tcW w:w="849" w:type="dxa"/>
            <w:tcBorders>
              <w:top w:val="single" w:sz="6" w:space="0" w:color="000000"/>
              <w:left w:val="single" w:sz="6" w:space="0" w:color="000000"/>
              <w:bottom w:val="nil"/>
              <w:right w:val="single" w:sz="6" w:space="0" w:color="000000"/>
            </w:tcBorders>
            <w:hideMark/>
          </w:tcPr>
          <w:p w14:paraId="19DD050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1,68</w:t>
            </w:r>
          </w:p>
        </w:tc>
        <w:tc>
          <w:tcPr>
            <w:tcW w:w="851" w:type="dxa"/>
            <w:tcBorders>
              <w:top w:val="single" w:sz="6" w:space="0" w:color="000000"/>
              <w:left w:val="single" w:sz="6" w:space="0" w:color="000000"/>
              <w:bottom w:val="nil"/>
              <w:right w:val="single" w:sz="6" w:space="0" w:color="000000"/>
            </w:tcBorders>
            <w:hideMark/>
          </w:tcPr>
          <w:p w14:paraId="4F1694C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1,92</w:t>
            </w:r>
          </w:p>
        </w:tc>
        <w:tc>
          <w:tcPr>
            <w:tcW w:w="849" w:type="dxa"/>
            <w:tcBorders>
              <w:top w:val="single" w:sz="6" w:space="0" w:color="000000"/>
              <w:left w:val="single" w:sz="6" w:space="0" w:color="000000"/>
              <w:bottom w:val="nil"/>
              <w:right w:val="single" w:sz="6" w:space="0" w:color="000000"/>
            </w:tcBorders>
            <w:hideMark/>
          </w:tcPr>
          <w:p w14:paraId="3055F80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2,16</w:t>
            </w:r>
          </w:p>
        </w:tc>
        <w:tc>
          <w:tcPr>
            <w:tcW w:w="859" w:type="dxa"/>
            <w:tcBorders>
              <w:top w:val="single" w:sz="6" w:space="0" w:color="000000"/>
              <w:left w:val="single" w:sz="6" w:space="0" w:color="000000"/>
              <w:bottom w:val="nil"/>
              <w:right w:val="single" w:sz="6" w:space="0" w:color="000000"/>
            </w:tcBorders>
            <w:hideMark/>
          </w:tcPr>
          <w:p w14:paraId="6D18C95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w:t>
            </w:r>
          </w:p>
        </w:tc>
      </w:tr>
      <w:tr w:rsidR="00486A3E" w14:paraId="4EEB9A8B" w14:textId="77777777" w:rsidTr="00486A3E">
        <w:trPr>
          <w:trHeight w:val="493"/>
        </w:trPr>
        <w:tc>
          <w:tcPr>
            <w:tcW w:w="1987" w:type="dxa"/>
            <w:tcBorders>
              <w:top w:val="nil"/>
              <w:left w:val="single" w:sz="6" w:space="0" w:color="000000"/>
              <w:bottom w:val="nil"/>
              <w:right w:val="single" w:sz="6" w:space="0" w:color="000000"/>
            </w:tcBorders>
            <w:hideMark/>
          </w:tcPr>
          <w:p w14:paraId="2CA3C76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0,15</w:t>
            </w:r>
          </w:p>
        </w:tc>
        <w:tc>
          <w:tcPr>
            <w:tcW w:w="849" w:type="dxa"/>
            <w:tcBorders>
              <w:top w:val="nil"/>
              <w:left w:val="single" w:sz="6" w:space="0" w:color="000000"/>
              <w:bottom w:val="nil"/>
              <w:right w:val="single" w:sz="6" w:space="0" w:color="000000"/>
            </w:tcBorders>
            <w:hideMark/>
          </w:tcPr>
          <w:p w14:paraId="2224B3C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1,08</w:t>
            </w:r>
          </w:p>
        </w:tc>
        <w:tc>
          <w:tcPr>
            <w:tcW w:w="849" w:type="dxa"/>
            <w:tcBorders>
              <w:top w:val="nil"/>
              <w:left w:val="single" w:sz="6" w:space="0" w:color="000000"/>
              <w:bottom w:val="nil"/>
              <w:right w:val="single" w:sz="6" w:space="0" w:color="000000"/>
            </w:tcBorders>
            <w:hideMark/>
          </w:tcPr>
          <w:p w14:paraId="75117D1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w:t>
            </w:r>
          </w:p>
        </w:tc>
        <w:tc>
          <w:tcPr>
            <w:tcW w:w="849" w:type="dxa"/>
            <w:tcBorders>
              <w:top w:val="nil"/>
              <w:left w:val="single" w:sz="6" w:space="0" w:color="000000"/>
              <w:bottom w:val="nil"/>
              <w:right w:val="single" w:sz="6" w:space="0" w:color="000000"/>
            </w:tcBorders>
            <w:hideMark/>
          </w:tcPr>
          <w:p w14:paraId="3AF96E4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w:t>
            </w:r>
          </w:p>
        </w:tc>
        <w:tc>
          <w:tcPr>
            <w:tcW w:w="849" w:type="dxa"/>
            <w:tcBorders>
              <w:top w:val="nil"/>
              <w:left w:val="single" w:sz="6" w:space="0" w:color="000000"/>
              <w:bottom w:val="nil"/>
              <w:right w:val="single" w:sz="6" w:space="0" w:color="000000"/>
            </w:tcBorders>
            <w:hideMark/>
          </w:tcPr>
          <w:p w14:paraId="0E08117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2,16</w:t>
            </w:r>
          </w:p>
        </w:tc>
        <w:tc>
          <w:tcPr>
            <w:tcW w:w="849" w:type="dxa"/>
            <w:tcBorders>
              <w:top w:val="nil"/>
              <w:left w:val="single" w:sz="6" w:space="0" w:color="000000"/>
              <w:bottom w:val="nil"/>
              <w:right w:val="single" w:sz="6" w:space="0" w:color="000000"/>
            </w:tcBorders>
            <w:hideMark/>
          </w:tcPr>
          <w:p w14:paraId="669348F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2,52</w:t>
            </w:r>
          </w:p>
        </w:tc>
        <w:tc>
          <w:tcPr>
            <w:tcW w:w="851" w:type="dxa"/>
            <w:tcBorders>
              <w:top w:val="nil"/>
              <w:left w:val="single" w:sz="6" w:space="0" w:color="000000"/>
              <w:bottom w:val="nil"/>
              <w:right w:val="single" w:sz="6" w:space="0" w:color="000000"/>
            </w:tcBorders>
            <w:hideMark/>
          </w:tcPr>
          <w:p w14:paraId="3B62144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2,88</w:t>
            </w:r>
          </w:p>
        </w:tc>
        <w:tc>
          <w:tcPr>
            <w:tcW w:w="849" w:type="dxa"/>
            <w:tcBorders>
              <w:top w:val="nil"/>
              <w:left w:val="single" w:sz="6" w:space="0" w:color="000000"/>
              <w:bottom w:val="nil"/>
              <w:right w:val="single" w:sz="6" w:space="0" w:color="000000"/>
            </w:tcBorders>
            <w:hideMark/>
          </w:tcPr>
          <w:p w14:paraId="3CB1A42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3,24</w:t>
            </w:r>
          </w:p>
        </w:tc>
        <w:tc>
          <w:tcPr>
            <w:tcW w:w="859" w:type="dxa"/>
            <w:tcBorders>
              <w:top w:val="nil"/>
              <w:left w:val="single" w:sz="6" w:space="0" w:color="000000"/>
              <w:bottom w:val="nil"/>
              <w:right w:val="single" w:sz="6" w:space="0" w:color="000000"/>
            </w:tcBorders>
            <w:hideMark/>
          </w:tcPr>
          <w:p w14:paraId="05F2CE9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3,60</w:t>
            </w:r>
          </w:p>
        </w:tc>
      </w:tr>
      <w:tr w:rsidR="00486A3E" w14:paraId="5B546D2F" w14:textId="77777777" w:rsidTr="00486A3E">
        <w:trPr>
          <w:trHeight w:val="493"/>
        </w:trPr>
        <w:tc>
          <w:tcPr>
            <w:tcW w:w="1987" w:type="dxa"/>
            <w:tcBorders>
              <w:top w:val="nil"/>
              <w:left w:val="single" w:sz="6" w:space="0" w:color="000000"/>
              <w:bottom w:val="nil"/>
              <w:right w:val="single" w:sz="6" w:space="0" w:color="000000"/>
            </w:tcBorders>
            <w:hideMark/>
          </w:tcPr>
          <w:p w14:paraId="3F94A8B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w:t>
            </w:r>
          </w:p>
        </w:tc>
        <w:tc>
          <w:tcPr>
            <w:tcW w:w="849" w:type="dxa"/>
            <w:tcBorders>
              <w:top w:val="nil"/>
              <w:left w:val="single" w:sz="6" w:space="0" w:color="000000"/>
              <w:bottom w:val="nil"/>
              <w:right w:val="single" w:sz="6" w:space="0" w:color="000000"/>
            </w:tcBorders>
            <w:hideMark/>
          </w:tcPr>
          <w:p w14:paraId="4519C66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w:t>
            </w:r>
          </w:p>
        </w:tc>
        <w:tc>
          <w:tcPr>
            <w:tcW w:w="849" w:type="dxa"/>
            <w:tcBorders>
              <w:top w:val="nil"/>
              <w:left w:val="single" w:sz="6" w:space="0" w:color="000000"/>
              <w:bottom w:val="nil"/>
              <w:right w:val="single" w:sz="6" w:space="0" w:color="000000"/>
            </w:tcBorders>
            <w:hideMark/>
          </w:tcPr>
          <w:p w14:paraId="08DE422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1,92</w:t>
            </w:r>
          </w:p>
        </w:tc>
        <w:tc>
          <w:tcPr>
            <w:tcW w:w="849" w:type="dxa"/>
            <w:tcBorders>
              <w:top w:val="nil"/>
              <w:left w:val="single" w:sz="6" w:space="0" w:color="000000"/>
              <w:bottom w:val="nil"/>
              <w:right w:val="single" w:sz="6" w:space="0" w:color="000000"/>
            </w:tcBorders>
            <w:hideMark/>
          </w:tcPr>
          <w:p w14:paraId="519CA3F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w:t>
            </w:r>
          </w:p>
        </w:tc>
        <w:tc>
          <w:tcPr>
            <w:tcW w:w="849" w:type="dxa"/>
            <w:tcBorders>
              <w:top w:val="nil"/>
              <w:left w:val="single" w:sz="6" w:space="0" w:color="000000"/>
              <w:bottom w:val="nil"/>
              <w:right w:val="single" w:sz="6" w:space="0" w:color="000000"/>
            </w:tcBorders>
            <w:hideMark/>
          </w:tcPr>
          <w:p w14:paraId="014C083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2,88</w:t>
            </w:r>
          </w:p>
        </w:tc>
        <w:tc>
          <w:tcPr>
            <w:tcW w:w="849" w:type="dxa"/>
            <w:tcBorders>
              <w:top w:val="nil"/>
              <w:left w:val="single" w:sz="6" w:space="0" w:color="000000"/>
              <w:bottom w:val="nil"/>
              <w:right w:val="single" w:sz="6" w:space="0" w:color="000000"/>
            </w:tcBorders>
            <w:hideMark/>
          </w:tcPr>
          <w:p w14:paraId="5CE4D22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3,36</w:t>
            </w:r>
          </w:p>
        </w:tc>
        <w:tc>
          <w:tcPr>
            <w:tcW w:w="851" w:type="dxa"/>
            <w:tcBorders>
              <w:top w:val="nil"/>
              <w:left w:val="single" w:sz="6" w:space="0" w:color="000000"/>
              <w:bottom w:val="nil"/>
              <w:right w:val="single" w:sz="6" w:space="0" w:color="000000"/>
            </w:tcBorders>
            <w:hideMark/>
          </w:tcPr>
          <w:p w14:paraId="515EA1F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3,84</w:t>
            </w:r>
          </w:p>
        </w:tc>
        <w:tc>
          <w:tcPr>
            <w:tcW w:w="849" w:type="dxa"/>
            <w:tcBorders>
              <w:top w:val="nil"/>
              <w:left w:val="single" w:sz="6" w:space="0" w:color="000000"/>
              <w:bottom w:val="nil"/>
              <w:right w:val="single" w:sz="6" w:space="0" w:color="000000"/>
            </w:tcBorders>
            <w:hideMark/>
          </w:tcPr>
          <w:p w14:paraId="3677915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4,32</w:t>
            </w:r>
          </w:p>
        </w:tc>
        <w:tc>
          <w:tcPr>
            <w:tcW w:w="859" w:type="dxa"/>
            <w:tcBorders>
              <w:top w:val="nil"/>
              <w:left w:val="single" w:sz="6" w:space="0" w:color="000000"/>
              <w:bottom w:val="nil"/>
              <w:right w:val="single" w:sz="6" w:space="0" w:color="000000"/>
            </w:tcBorders>
            <w:hideMark/>
          </w:tcPr>
          <w:p w14:paraId="240E801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4,80</w:t>
            </w:r>
          </w:p>
        </w:tc>
      </w:tr>
      <w:tr w:rsidR="00486A3E" w14:paraId="2199A58F" w14:textId="77777777" w:rsidTr="00486A3E">
        <w:trPr>
          <w:trHeight w:val="493"/>
        </w:trPr>
        <w:tc>
          <w:tcPr>
            <w:tcW w:w="1987" w:type="dxa"/>
            <w:tcBorders>
              <w:top w:val="nil"/>
              <w:left w:val="single" w:sz="6" w:space="0" w:color="000000"/>
              <w:bottom w:val="nil"/>
              <w:right w:val="single" w:sz="6" w:space="0" w:color="000000"/>
            </w:tcBorders>
            <w:hideMark/>
          </w:tcPr>
          <w:p w14:paraId="50ED8FD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0,25</w:t>
            </w:r>
          </w:p>
        </w:tc>
        <w:tc>
          <w:tcPr>
            <w:tcW w:w="849" w:type="dxa"/>
            <w:tcBorders>
              <w:top w:val="nil"/>
              <w:left w:val="single" w:sz="6" w:space="0" w:color="000000"/>
              <w:bottom w:val="nil"/>
              <w:right w:val="single" w:sz="6" w:space="0" w:color="000000"/>
            </w:tcBorders>
            <w:hideMark/>
          </w:tcPr>
          <w:p w14:paraId="44B34CC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w:t>
            </w:r>
          </w:p>
        </w:tc>
        <w:tc>
          <w:tcPr>
            <w:tcW w:w="849" w:type="dxa"/>
            <w:tcBorders>
              <w:top w:val="nil"/>
              <w:left w:val="single" w:sz="6" w:space="0" w:color="000000"/>
              <w:bottom w:val="nil"/>
              <w:right w:val="single" w:sz="6" w:space="0" w:color="000000"/>
            </w:tcBorders>
            <w:hideMark/>
          </w:tcPr>
          <w:p w14:paraId="2D95077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w:t>
            </w:r>
          </w:p>
        </w:tc>
        <w:tc>
          <w:tcPr>
            <w:tcW w:w="849" w:type="dxa"/>
            <w:tcBorders>
              <w:top w:val="nil"/>
              <w:left w:val="single" w:sz="6" w:space="0" w:color="000000"/>
              <w:bottom w:val="nil"/>
              <w:right w:val="single" w:sz="6" w:space="0" w:color="000000"/>
            </w:tcBorders>
            <w:hideMark/>
          </w:tcPr>
          <w:p w14:paraId="494C61A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3,00</w:t>
            </w:r>
          </w:p>
        </w:tc>
        <w:tc>
          <w:tcPr>
            <w:tcW w:w="849" w:type="dxa"/>
            <w:tcBorders>
              <w:top w:val="nil"/>
              <w:left w:val="single" w:sz="6" w:space="0" w:color="000000"/>
              <w:bottom w:val="nil"/>
              <w:right w:val="single" w:sz="6" w:space="0" w:color="000000"/>
            </w:tcBorders>
            <w:hideMark/>
          </w:tcPr>
          <w:p w14:paraId="124A51E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3,60</w:t>
            </w:r>
          </w:p>
        </w:tc>
        <w:tc>
          <w:tcPr>
            <w:tcW w:w="849" w:type="dxa"/>
            <w:tcBorders>
              <w:top w:val="nil"/>
              <w:left w:val="single" w:sz="6" w:space="0" w:color="000000"/>
              <w:bottom w:val="nil"/>
              <w:right w:val="single" w:sz="6" w:space="0" w:color="000000"/>
            </w:tcBorders>
            <w:hideMark/>
          </w:tcPr>
          <w:p w14:paraId="4835D54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4,20</w:t>
            </w:r>
          </w:p>
        </w:tc>
        <w:tc>
          <w:tcPr>
            <w:tcW w:w="851" w:type="dxa"/>
            <w:tcBorders>
              <w:top w:val="nil"/>
              <w:left w:val="single" w:sz="6" w:space="0" w:color="000000"/>
              <w:bottom w:val="nil"/>
              <w:right w:val="single" w:sz="6" w:space="0" w:color="000000"/>
            </w:tcBorders>
            <w:hideMark/>
          </w:tcPr>
          <w:p w14:paraId="5443D90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4,80</w:t>
            </w:r>
          </w:p>
        </w:tc>
        <w:tc>
          <w:tcPr>
            <w:tcW w:w="849" w:type="dxa"/>
            <w:tcBorders>
              <w:top w:val="nil"/>
              <w:left w:val="single" w:sz="6" w:space="0" w:color="000000"/>
              <w:bottom w:val="nil"/>
              <w:right w:val="single" w:sz="6" w:space="0" w:color="000000"/>
            </w:tcBorders>
            <w:hideMark/>
          </w:tcPr>
          <w:p w14:paraId="49E9283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5,40</w:t>
            </w:r>
          </w:p>
        </w:tc>
        <w:tc>
          <w:tcPr>
            <w:tcW w:w="859" w:type="dxa"/>
            <w:tcBorders>
              <w:top w:val="nil"/>
              <w:left w:val="single" w:sz="6" w:space="0" w:color="000000"/>
              <w:bottom w:val="nil"/>
              <w:right w:val="single" w:sz="6" w:space="0" w:color="000000"/>
            </w:tcBorders>
            <w:hideMark/>
          </w:tcPr>
          <w:p w14:paraId="10B8EE4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6,00</w:t>
            </w:r>
          </w:p>
        </w:tc>
      </w:tr>
      <w:tr w:rsidR="00486A3E" w14:paraId="31A5E4EE" w14:textId="77777777" w:rsidTr="00486A3E">
        <w:trPr>
          <w:trHeight w:val="491"/>
        </w:trPr>
        <w:tc>
          <w:tcPr>
            <w:tcW w:w="1987" w:type="dxa"/>
            <w:tcBorders>
              <w:top w:val="nil"/>
              <w:left w:val="single" w:sz="6" w:space="0" w:color="000000"/>
              <w:bottom w:val="nil"/>
              <w:right w:val="single" w:sz="6" w:space="0" w:color="000000"/>
            </w:tcBorders>
            <w:hideMark/>
          </w:tcPr>
          <w:p w14:paraId="1E71264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0,5</w:t>
            </w:r>
          </w:p>
        </w:tc>
        <w:tc>
          <w:tcPr>
            <w:tcW w:w="849" w:type="dxa"/>
            <w:tcBorders>
              <w:top w:val="nil"/>
              <w:left w:val="single" w:sz="6" w:space="0" w:color="000000"/>
              <w:bottom w:val="nil"/>
              <w:right w:val="single" w:sz="6" w:space="0" w:color="000000"/>
            </w:tcBorders>
            <w:hideMark/>
          </w:tcPr>
          <w:p w14:paraId="75D66EF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3,60</w:t>
            </w:r>
          </w:p>
        </w:tc>
        <w:tc>
          <w:tcPr>
            <w:tcW w:w="849" w:type="dxa"/>
            <w:tcBorders>
              <w:top w:val="nil"/>
              <w:left w:val="single" w:sz="6" w:space="0" w:color="000000"/>
              <w:bottom w:val="nil"/>
              <w:right w:val="single" w:sz="6" w:space="0" w:color="000000"/>
            </w:tcBorders>
            <w:hideMark/>
          </w:tcPr>
          <w:p w14:paraId="3E6D1A7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4,80</w:t>
            </w:r>
          </w:p>
        </w:tc>
        <w:tc>
          <w:tcPr>
            <w:tcW w:w="849" w:type="dxa"/>
            <w:tcBorders>
              <w:top w:val="nil"/>
              <w:left w:val="single" w:sz="6" w:space="0" w:color="000000"/>
              <w:bottom w:val="nil"/>
              <w:right w:val="single" w:sz="6" w:space="0" w:color="000000"/>
            </w:tcBorders>
            <w:hideMark/>
          </w:tcPr>
          <w:p w14:paraId="7A9DC59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6,00</w:t>
            </w:r>
          </w:p>
        </w:tc>
        <w:tc>
          <w:tcPr>
            <w:tcW w:w="849" w:type="dxa"/>
            <w:tcBorders>
              <w:top w:val="nil"/>
              <w:left w:val="single" w:sz="6" w:space="0" w:color="000000"/>
              <w:bottom w:val="nil"/>
              <w:right w:val="single" w:sz="6" w:space="0" w:color="000000"/>
            </w:tcBorders>
            <w:hideMark/>
          </w:tcPr>
          <w:p w14:paraId="11B2E53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7,20</w:t>
            </w:r>
          </w:p>
        </w:tc>
        <w:tc>
          <w:tcPr>
            <w:tcW w:w="849" w:type="dxa"/>
            <w:tcBorders>
              <w:top w:val="nil"/>
              <w:left w:val="single" w:sz="6" w:space="0" w:color="000000"/>
              <w:bottom w:val="nil"/>
              <w:right w:val="single" w:sz="6" w:space="0" w:color="000000"/>
            </w:tcBorders>
            <w:hideMark/>
          </w:tcPr>
          <w:p w14:paraId="1710260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8,40</w:t>
            </w:r>
          </w:p>
        </w:tc>
        <w:tc>
          <w:tcPr>
            <w:tcW w:w="851" w:type="dxa"/>
            <w:tcBorders>
              <w:top w:val="nil"/>
              <w:left w:val="single" w:sz="6" w:space="0" w:color="000000"/>
              <w:bottom w:val="nil"/>
              <w:right w:val="single" w:sz="6" w:space="0" w:color="000000"/>
            </w:tcBorders>
            <w:hideMark/>
          </w:tcPr>
          <w:p w14:paraId="6190ADF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9,60</w:t>
            </w:r>
          </w:p>
        </w:tc>
        <w:tc>
          <w:tcPr>
            <w:tcW w:w="849" w:type="dxa"/>
            <w:tcBorders>
              <w:top w:val="nil"/>
              <w:left w:val="single" w:sz="6" w:space="0" w:color="000000"/>
              <w:bottom w:val="nil"/>
              <w:right w:val="single" w:sz="6" w:space="0" w:color="000000"/>
            </w:tcBorders>
            <w:hideMark/>
          </w:tcPr>
          <w:p w14:paraId="066ED67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10,80</w:t>
            </w:r>
          </w:p>
        </w:tc>
        <w:tc>
          <w:tcPr>
            <w:tcW w:w="859" w:type="dxa"/>
            <w:tcBorders>
              <w:top w:val="nil"/>
              <w:left w:val="single" w:sz="6" w:space="0" w:color="000000"/>
              <w:bottom w:val="nil"/>
              <w:right w:val="single" w:sz="6" w:space="0" w:color="000000"/>
            </w:tcBorders>
            <w:hideMark/>
          </w:tcPr>
          <w:p w14:paraId="6527599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12,00</w:t>
            </w:r>
          </w:p>
        </w:tc>
      </w:tr>
      <w:tr w:rsidR="00486A3E" w14:paraId="4C34F292" w14:textId="77777777" w:rsidTr="00486A3E">
        <w:trPr>
          <w:trHeight w:val="493"/>
        </w:trPr>
        <w:tc>
          <w:tcPr>
            <w:tcW w:w="1987" w:type="dxa"/>
            <w:tcBorders>
              <w:top w:val="nil"/>
              <w:left w:val="single" w:sz="6" w:space="0" w:color="000000"/>
              <w:bottom w:val="nil"/>
              <w:right w:val="single" w:sz="6" w:space="0" w:color="000000"/>
            </w:tcBorders>
            <w:hideMark/>
          </w:tcPr>
          <w:p w14:paraId="444C52D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0,75</w:t>
            </w:r>
          </w:p>
        </w:tc>
        <w:tc>
          <w:tcPr>
            <w:tcW w:w="849" w:type="dxa"/>
            <w:tcBorders>
              <w:top w:val="nil"/>
              <w:left w:val="single" w:sz="6" w:space="0" w:color="000000"/>
              <w:bottom w:val="nil"/>
              <w:right w:val="single" w:sz="6" w:space="0" w:color="000000"/>
            </w:tcBorders>
            <w:hideMark/>
          </w:tcPr>
          <w:p w14:paraId="3F127D1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5,40</w:t>
            </w:r>
          </w:p>
        </w:tc>
        <w:tc>
          <w:tcPr>
            <w:tcW w:w="849" w:type="dxa"/>
            <w:tcBorders>
              <w:top w:val="nil"/>
              <w:left w:val="single" w:sz="6" w:space="0" w:color="000000"/>
              <w:bottom w:val="nil"/>
              <w:right w:val="single" w:sz="6" w:space="0" w:color="000000"/>
            </w:tcBorders>
            <w:hideMark/>
          </w:tcPr>
          <w:p w14:paraId="4355885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7,20</w:t>
            </w:r>
          </w:p>
        </w:tc>
        <w:tc>
          <w:tcPr>
            <w:tcW w:w="849" w:type="dxa"/>
            <w:tcBorders>
              <w:top w:val="nil"/>
              <w:left w:val="single" w:sz="6" w:space="0" w:color="000000"/>
              <w:bottom w:val="nil"/>
              <w:right w:val="single" w:sz="6" w:space="0" w:color="000000"/>
            </w:tcBorders>
            <w:hideMark/>
          </w:tcPr>
          <w:p w14:paraId="435B3E4D"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9,00</w:t>
            </w:r>
          </w:p>
        </w:tc>
        <w:tc>
          <w:tcPr>
            <w:tcW w:w="849" w:type="dxa"/>
            <w:tcBorders>
              <w:top w:val="nil"/>
              <w:left w:val="single" w:sz="6" w:space="0" w:color="000000"/>
              <w:bottom w:val="nil"/>
              <w:right w:val="single" w:sz="6" w:space="0" w:color="000000"/>
            </w:tcBorders>
            <w:hideMark/>
          </w:tcPr>
          <w:p w14:paraId="1E71F6A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10,80</w:t>
            </w:r>
          </w:p>
        </w:tc>
        <w:tc>
          <w:tcPr>
            <w:tcW w:w="849" w:type="dxa"/>
            <w:tcBorders>
              <w:top w:val="nil"/>
              <w:left w:val="single" w:sz="6" w:space="0" w:color="000000"/>
              <w:bottom w:val="nil"/>
              <w:right w:val="single" w:sz="6" w:space="0" w:color="000000"/>
            </w:tcBorders>
            <w:hideMark/>
          </w:tcPr>
          <w:p w14:paraId="150F2C1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12,60</w:t>
            </w:r>
          </w:p>
        </w:tc>
        <w:tc>
          <w:tcPr>
            <w:tcW w:w="851" w:type="dxa"/>
            <w:tcBorders>
              <w:top w:val="nil"/>
              <w:left w:val="single" w:sz="6" w:space="0" w:color="000000"/>
              <w:bottom w:val="nil"/>
              <w:right w:val="single" w:sz="6" w:space="0" w:color="000000"/>
            </w:tcBorders>
            <w:hideMark/>
          </w:tcPr>
          <w:p w14:paraId="021C6C7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14,40</w:t>
            </w:r>
          </w:p>
        </w:tc>
        <w:tc>
          <w:tcPr>
            <w:tcW w:w="849" w:type="dxa"/>
            <w:tcBorders>
              <w:top w:val="nil"/>
              <w:left w:val="single" w:sz="6" w:space="0" w:color="000000"/>
              <w:bottom w:val="nil"/>
              <w:right w:val="single" w:sz="6" w:space="0" w:color="000000"/>
            </w:tcBorders>
            <w:hideMark/>
          </w:tcPr>
          <w:p w14:paraId="177ADF5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16,20</w:t>
            </w:r>
          </w:p>
        </w:tc>
        <w:tc>
          <w:tcPr>
            <w:tcW w:w="859" w:type="dxa"/>
            <w:tcBorders>
              <w:top w:val="nil"/>
              <w:left w:val="single" w:sz="6" w:space="0" w:color="000000"/>
              <w:bottom w:val="nil"/>
              <w:right w:val="single" w:sz="6" w:space="0" w:color="000000"/>
            </w:tcBorders>
            <w:hideMark/>
          </w:tcPr>
          <w:p w14:paraId="5FD6BD9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18,00</w:t>
            </w:r>
          </w:p>
        </w:tc>
      </w:tr>
      <w:tr w:rsidR="00486A3E" w14:paraId="5AFB7735" w14:textId="77777777" w:rsidTr="00486A3E">
        <w:trPr>
          <w:trHeight w:val="493"/>
        </w:trPr>
        <w:tc>
          <w:tcPr>
            <w:tcW w:w="1987" w:type="dxa"/>
            <w:tcBorders>
              <w:top w:val="nil"/>
              <w:left w:val="single" w:sz="6" w:space="0" w:color="000000"/>
              <w:bottom w:val="nil"/>
              <w:right w:val="single" w:sz="6" w:space="0" w:color="000000"/>
            </w:tcBorders>
            <w:hideMark/>
          </w:tcPr>
          <w:p w14:paraId="264AB04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w:t>
            </w:r>
          </w:p>
        </w:tc>
        <w:tc>
          <w:tcPr>
            <w:tcW w:w="849" w:type="dxa"/>
            <w:tcBorders>
              <w:top w:val="nil"/>
              <w:left w:val="single" w:sz="6" w:space="0" w:color="000000"/>
              <w:bottom w:val="nil"/>
              <w:right w:val="single" w:sz="6" w:space="0" w:color="000000"/>
            </w:tcBorders>
            <w:hideMark/>
          </w:tcPr>
          <w:p w14:paraId="1A5909C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7,20</w:t>
            </w:r>
          </w:p>
        </w:tc>
        <w:tc>
          <w:tcPr>
            <w:tcW w:w="849" w:type="dxa"/>
            <w:tcBorders>
              <w:top w:val="nil"/>
              <w:left w:val="single" w:sz="6" w:space="0" w:color="000000"/>
              <w:bottom w:val="nil"/>
              <w:right w:val="single" w:sz="6" w:space="0" w:color="000000"/>
            </w:tcBorders>
            <w:hideMark/>
          </w:tcPr>
          <w:p w14:paraId="64D7FDE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9,60</w:t>
            </w:r>
          </w:p>
        </w:tc>
        <w:tc>
          <w:tcPr>
            <w:tcW w:w="849" w:type="dxa"/>
            <w:tcBorders>
              <w:top w:val="nil"/>
              <w:left w:val="single" w:sz="6" w:space="0" w:color="000000"/>
              <w:bottom w:val="nil"/>
              <w:right w:val="single" w:sz="6" w:space="0" w:color="000000"/>
            </w:tcBorders>
            <w:hideMark/>
          </w:tcPr>
          <w:p w14:paraId="4D34DAD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12,00</w:t>
            </w:r>
          </w:p>
        </w:tc>
        <w:tc>
          <w:tcPr>
            <w:tcW w:w="849" w:type="dxa"/>
            <w:tcBorders>
              <w:top w:val="nil"/>
              <w:left w:val="single" w:sz="6" w:space="0" w:color="000000"/>
              <w:bottom w:val="nil"/>
              <w:right w:val="single" w:sz="6" w:space="0" w:color="000000"/>
            </w:tcBorders>
            <w:hideMark/>
          </w:tcPr>
          <w:p w14:paraId="7FBB517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14,40</w:t>
            </w:r>
          </w:p>
        </w:tc>
        <w:tc>
          <w:tcPr>
            <w:tcW w:w="849" w:type="dxa"/>
            <w:tcBorders>
              <w:top w:val="nil"/>
              <w:left w:val="single" w:sz="6" w:space="0" w:color="000000"/>
              <w:bottom w:val="nil"/>
              <w:right w:val="single" w:sz="6" w:space="0" w:color="000000"/>
            </w:tcBorders>
            <w:hideMark/>
          </w:tcPr>
          <w:p w14:paraId="50318F1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16,80</w:t>
            </w:r>
          </w:p>
        </w:tc>
        <w:tc>
          <w:tcPr>
            <w:tcW w:w="851" w:type="dxa"/>
            <w:tcBorders>
              <w:top w:val="nil"/>
              <w:left w:val="single" w:sz="6" w:space="0" w:color="000000"/>
              <w:bottom w:val="nil"/>
              <w:right w:val="single" w:sz="6" w:space="0" w:color="000000"/>
            </w:tcBorders>
            <w:hideMark/>
          </w:tcPr>
          <w:p w14:paraId="184B09D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19,20</w:t>
            </w:r>
          </w:p>
        </w:tc>
        <w:tc>
          <w:tcPr>
            <w:tcW w:w="849" w:type="dxa"/>
            <w:tcBorders>
              <w:top w:val="nil"/>
              <w:left w:val="single" w:sz="6" w:space="0" w:color="000000"/>
              <w:bottom w:val="nil"/>
              <w:right w:val="single" w:sz="6" w:space="0" w:color="000000"/>
            </w:tcBorders>
            <w:hideMark/>
          </w:tcPr>
          <w:p w14:paraId="11C58EE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21,60</w:t>
            </w:r>
          </w:p>
        </w:tc>
        <w:tc>
          <w:tcPr>
            <w:tcW w:w="859" w:type="dxa"/>
            <w:tcBorders>
              <w:top w:val="nil"/>
              <w:left w:val="single" w:sz="6" w:space="0" w:color="000000"/>
              <w:bottom w:val="nil"/>
              <w:right w:val="single" w:sz="6" w:space="0" w:color="000000"/>
            </w:tcBorders>
            <w:hideMark/>
          </w:tcPr>
          <w:p w14:paraId="630892F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24,00</w:t>
            </w:r>
          </w:p>
        </w:tc>
      </w:tr>
      <w:tr w:rsidR="00486A3E" w14:paraId="55ACB657" w14:textId="77777777" w:rsidTr="00486A3E">
        <w:trPr>
          <w:trHeight w:val="493"/>
        </w:trPr>
        <w:tc>
          <w:tcPr>
            <w:tcW w:w="1987" w:type="dxa"/>
            <w:tcBorders>
              <w:top w:val="nil"/>
              <w:left w:val="single" w:sz="6" w:space="0" w:color="000000"/>
              <w:bottom w:val="nil"/>
              <w:right w:val="single" w:sz="6" w:space="0" w:color="000000"/>
            </w:tcBorders>
            <w:hideMark/>
          </w:tcPr>
          <w:p w14:paraId="7C1905C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1,25</w:t>
            </w:r>
          </w:p>
        </w:tc>
        <w:tc>
          <w:tcPr>
            <w:tcW w:w="849" w:type="dxa"/>
            <w:tcBorders>
              <w:top w:val="nil"/>
              <w:left w:val="single" w:sz="6" w:space="0" w:color="000000"/>
              <w:bottom w:val="nil"/>
              <w:right w:val="single" w:sz="6" w:space="0" w:color="000000"/>
            </w:tcBorders>
            <w:hideMark/>
          </w:tcPr>
          <w:p w14:paraId="670018E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9,00</w:t>
            </w:r>
          </w:p>
        </w:tc>
        <w:tc>
          <w:tcPr>
            <w:tcW w:w="849" w:type="dxa"/>
            <w:tcBorders>
              <w:top w:val="nil"/>
              <w:left w:val="single" w:sz="6" w:space="0" w:color="000000"/>
              <w:bottom w:val="nil"/>
              <w:right w:val="single" w:sz="6" w:space="0" w:color="000000"/>
            </w:tcBorders>
            <w:hideMark/>
          </w:tcPr>
          <w:p w14:paraId="09C8664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12,00</w:t>
            </w:r>
          </w:p>
        </w:tc>
        <w:tc>
          <w:tcPr>
            <w:tcW w:w="849" w:type="dxa"/>
            <w:tcBorders>
              <w:top w:val="nil"/>
              <w:left w:val="single" w:sz="6" w:space="0" w:color="000000"/>
              <w:bottom w:val="nil"/>
              <w:right w:val="single" w:sz="6" w:space="0" w:color="000000"/>
            </w:tcBorders>
            <w:hideMark/>
          </w:tcPr>
          <w:p w14:paraId="680998F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15,00</w:t>
            </w:r>
          </w:p>
        </w:tc>
        <w:tc>
          <w:tcPr>
            <w:tcW w:w="849" w:type="dxa"/>
            <w:tcBorders>
              <w:top w:val="nil"/>
              <w:left w:val="single" w:sz="6" w:space="0" w:color="000000"/>
              <w:bottom w:val="nil"/>
              <w:right w:val="single" w:sz="6" w:space="0" w:color="000000"/>
            </w:tcBorders>
            <w:hideMark/>
          </w:tcPr>
          <w:p w14:paraId="533F669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18,00</w:t>
            </w:r>
          </w:p>
        </w:tc>
        <w:tc>
          <w:tcPr>
            <w:tcW w:w="849" w:type="dxa"/>
            <w:tcBorders>
              <w:top w:val="nil"/>
              <w:left w:val="single" w:sz="6" w:space="0" w:color="000000"/>
              <w:bottom w:val="nil"/>
              <w:right w:val="single" w:sz="6" w:space="0" w:color="000000"/>
            </w:tcBorders>
            <w:hideMark/>
          </w:tcPr>
          <w:p w14:paraId="424FCE0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21,00</w:t>
            </w:r>
          </w:p>
        </w:tc>
        <w:tc>
          <w:tcPr>
            <w:tcW w:w="851" w:type="dxa"/>
            <w:tcBorders>
              <w:top w:val="nil"/>
              <w:left w:val="single" w:sz="6" w:space="0" w:color="000000"/>
              <w:bottom w:val="nil"/>
              <w:right w:val="single" w:sz="6" w:space="0" w:color="000000"/>
            </w:tcBorders>
            <w:hideMark/>
          </w:tcPr>
          <w:p w14:paraId="0A9ECEB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24,00</w:t>
            </w:r>
          </w:p>
        </w:tc>
        <w:tc>
          <w:tcPr>
            <w:tcW w:w="849" w:type="dxa"/>
            <w:tcBorders>
              <w:top w:val="nil"/>
              <w:left w:val="single" w:sz="6" w:space="0" w:color="000000"/>
              <w:bottom w:val="nil"/>
              <w:right w:val="single" w:sz="6" w:space="0" w:color="000000"/>
            </w:tcBorders>
            <w:hideMark/>
          </w:tcPr>
          <w:p w14:paraId="096CE78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27,00</w:t>
            </w:r>
          </w:p>
        </w:tc>
        <w:tc>
          <w:tcPr>
            <w:tcW w:w="859" w:type="dxa"/>
            <w:tcBorders>
              <w:top w:val="nil"/>
              <w:left w:val="single" w:sz="6" w:space="0" w:color="000000"/>
              <w:bottom w:val="nil"/>
              <w:right w:val="single" w:sz="6" w:space="0" w:color="000000"/>
            </w:tcBorders>
            <w:hideMark/>
          </w:tcPr>
          <w:p w14:paraId="31F9C2A3"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30,00</w:t>
            </w:r>
          </w:p>
        </w:tc>
      </w:tr>
      <w:tr w:rsidR="00486A3E" w14:paraId="38600BB4" w14:textId="77777777" w:rsidTr="00486A3E">
        <w:trPr>
          <w:trHeight w:val="493"/>
        </w:trPr>
        <w:tc>
          <w:tcPr>
            <w:tcW w:w="1987" w:type="dxa"/>
            <w:tcBorders>
              <w:top w:val="nil"/>
              <w:left w:val="single" w:sz="6" w:space="0" w:color="000000"/>
              <w:bottom w:val="nil"/>
              <w:right w:val="single" w:sz="6" w:space="0" w:color="000000"/>
            </w:tcBorders>
            <w:hideMark/>
          </w:tcPr>
          <w:p w14:paraId="5DDBFA4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1,5</w:t>
            </w:r>
          </w:p>
        </w:tc>
        <w:tc>
          <w:tcPr>
            <w:tcW w:w="849" w:type="dxa"/>
            <w:tcBorders>
              <w:top w:val="nil"/>
              <w:left w:val="single" w:sz="6" w:space="0" w:color="000000"/>
              <w:bottom w:val="nil"/>
              <w:right w:val="single" w:sz="6" w:space="0" w:color="000000"/>
            </w:tcBorders>
            <w:hideMark/>
          </w:tcPr>
          <w:p w14:paraId="5B1C508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10,80</w:t>
            </w:r>
          </w:p>
        </w:tc>
        <w:tc>
          <w:tcPr>
            <w:tcW w:w="849" w:type="dxa"/>
            <w:tcBorders>
              <w:top w:val="nil"/>
              <w:left w:val="single" w:sz="6" w:space="0" w:color="000000"/>
              <w:bottom w:val="nil"/>
              <w:right w:val="single" w:sz="6" w:space="0" w:color="000000"/>
            </w:tcBorders>
            <w:hideMark/>
          </w:tcPr>
          <w:p w14:paraId="684923E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14,40</w:t>
            </w:r>
          </w:p>
        </w:tc>
        <w:tc>
          <w:tcPr>
            <w:tcW w:w="849" w:type="dxa"/>
            <w:tcBorders>
              <w:top w:val="nil"/>
              <w:left w:val="single" w:sz="6" w:space="0" w:color="000000"/>
              <w:bottom w:val="nil"/>
              <w:right w:val="single" w:sz="6" w:space="0" w:color="000000"/>
            </w:tcBorders>
            <w:hideMark/>
          </w:tcPr>
          <w:p w14:paraId="58F23F5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18,00</w:t>
            </w:r>
          </w:p>
        </w:tc>
        <w:tc>
          <w:tcPr>
            <w:tcW w:w="849" w:type="dxa"/>
            <w:tcBorders>
              <w:top w:val="nil"/>
              <w:left w:val="single" w:sz="6" w:space="0" w:color="000000"/>
              <w:bottom w:val="nil"/>
              <w:right w:val="single" w:sz="6" w:space="0" w:color="000000"/>
            </w:tcBorders>
            <w:hideMark/>
          </w:tcPr>
          <w:p w14:paraId="6075975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21,60</w:t>
            </w:r>
          </w:p>
        </w:tc>
        <w:tc>
          <w:tcPr>
            <w:tcW w:w="849" w:type="dxa"/>
            <w:tcBorders>
              <w:top w:val="nil"/>
              <w:left w:val="single" w:sz="6" w:space="0" w:color="000000"/>
              <w:bottom w:val="nil"/>
              <w:right w:val="single" w:sz="6" w:space="0" w:color="000000"/>
            </w:tcBorders>
            <w:hideMark/>
          </w:tcPr>
          <w:p w14:paraId="1A3BEC8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25,20</w:t>
            </w:r>
          </w:p>
        </w:tc>
        <w:tc>
          <w:tcPr>
            <w:tcW w:w="851" w:type="dxa"/>
            <w:tcBorders>
              <w:top w:val="nil"/>
              <w:left w:val="single" w:sz="6" w:space="0" w:color="000000"/>
              <w:bottom w:val="nil"/>
              <w:right w:val="single" w:sz="6" w:space="0" w:color="000000"/>
            </w:tcBorders>
            <w:hideMark/>
          </w:tcPr>
          <w:p w14:paraId="07EDBD8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28,80</w:t>
            </w:r>
          </w:p>
        </w:tc>
        <w:tc>
          <w:tcPr>
            <w:tcW w:w="849" w:type="dxa"/>
            <w:tcBorders>
              <w:top w:val="nil"/>
              <w:left w:val="single" w:sz="6" w:space="0" w:color="000000"/>
              <w:bottom w:val="nil"/>
              <w:right w:val="single" w:sz="6" w:space="0" w:color="000000"/>
            </w:tcBorders>
            <w:hideMark/>
          </w:tcPr>
          <w:p w14:paraId="468DA124"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32,40</w:t>
            </w:r>
          </w:p>
        </w:tc>
        <w:tc>
          <w:tcPr>
            <w:tcW w:w="859" w:type="dxa"/>
            <w:tcBorders>
              <w:top w:val="nil"/>
              <w:left w:val="single" w:sz="6" w:space="0" w:color="000000"/>
              <w:bottom w:val="nil"/>
              <w:right w:val="single" w:sz="6" w:space="0" w:color="000000"/>
            </w:tcBorders>
            <w:hideMark/>
          </w:tcPr>
          <w:p w14:paraId="426BB08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36,00</w:t>
            </w:r>
          </w:p>
        </w:tc>
      </w:tr>
      <w:tr w:rsidR="00486A3E" w14:paraId="428C5165" w14:textId="77777777" w:rsidTr="00486A3E">
        <w:trPr>
          <w:trHeight w:val="491"/>
        </w:trPr>
        <w:tc>
          <w:tcPr>
            <w:tcW w:w="1987" w:type="dxa"/>
            <w:tcBorders>
              <w:top w:val="nil"/>
              <w:left w:val="single" w:sz="6" w:space="0" w:color="000000"/>
              <w:bottom w:val="nil"/>
              <w:right w:val="single" w:sz="6" w:space="0" w:color="000000"/>
            </w:tcBorders>
            <w:hideMark/>
          </w:tcPr>
          <w:p w14:paraId="57ADB80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1,75</w:t>
            </w:r>
          </w:p>
        </w:tc>
        <w:tc>
          <w:tcPr>
            <w:tcW w:w="849" w:type="dxa"/>
            <w:tcBorders>
              <w:top w:val="nil"/>
              <w:left w:val="single" w:sz="6" w:space="0" w:color="000000"/>
              <w:bottom w:val="nil"/>
              <w:right w:val="single" w:sz="6" w:space="0" w:color="000000"/>
            </w:tcBorders>
            <w:hideMark/>
          </w:tcPr>
          <w:p w14:paraId="3E78E05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12,60</w:t>
            </w:r>
          </w:p>
        </w:tc>
        <w:tc>
          <w:tcPr>
            <w:tcW w:w="849" w:type="dxa"/>
            <w:tcBorders>
              <w:top w:val="nil"/>
              <w:left w:val="single" w:sz="6" w:space="0" w:color="000000"/>
              <w:bottom w:val="nil"/>
              <w:right w:val="single" w:sz="6" w:space="0" w:color="000000"/>
            </w:tcBorders>
            <w:hideMark/>
          </w:tcPr>
          <w:p w14:paraId="3E44667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16,80</w:t>
            </w:r>
          </w:p>
        </w:tc>
        <w:tc>
          <w:tcPr>
            <w:tcW w:w="849" w:type="dxa"/>
            <w:tcBorders>
              <w:top w:val="nil"/>
              <w:left w:val="single" w:sz="6" w:space="0" w:color="000000"/>
              <w:bottom w:val="nil"/>
              <w:right w:val="single" w:sz="6" w:space="0" w:color="000000"/>
            </w:tcBorders>
            <w:hideMark/>
          </w:tcPr>
          <w:p w14:paraId="611BC7C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21,00</w:t>
            </w:r>
          </w:p>
        </w:tc>
        <w:tc>
          <w:tcPr>
            <w:tcW w:w="849" w:type="dxa"/>
            <w:tcBorders>
              <w:top w:val="nil"/>
              <w:left w:val="single" w:sz="6" w:space="0" w:color="000000"/>
              <w:bottom w:val="nil"/>
              <w:right w:val="single" w:sz="6" w:space="0" w:color="000000"/>
            </w:tcBorders>
            <w:hideMark/>
          </w:tcPr>
          <w:p w14:paraId="01CC3AB9"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25,20</w:t>
            </w:r>
          </w:p>
        </w:tc>
        <w:tc>
          <w:tcPr>
            <w:tcW w:w="849" w:type="dxa"/>
            <w:tcBorders>
              <w:top w:val="nil"/>
              <w:left w:val="single" w:sz="6" w:space="0" w:color="000000"/>
              <w:bottom w:val="nil"/>
              <w:right w:val="single" w:sz="6" w:space="0" w:color="000000"/>
            </w:tcBorders>
            <w:hideMark/>
          </w:tcPr>
          <w:p w14:paraId="12F5706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29,40</w:t>
            </w:r>
          </w:p>
        </w:tc>
        <w:tc>
          <w:tcPr>
            <w:tcW w:w="851" w:type="dxa"/>
            <w:tcBorders>
              <w:top w:val="nil"/>
              <w:left w:val="single" w:sz="6" w:space="0" w:color="000000"/>
              <w:bottom w:val="nil"/>
              <w:right w:val="single" w:sz="6" w:space="0" w:color="000000"/>
            </w:tcBorders>
            <w:hideMark/>
          </w:tcPr>
          <w:p w14:paraId="6CE4C9F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33,60</w:t>
            </w:r>
          </w:p>
        </w:tc>
        <w:tc>
          <w:tcPr>
            <w:tcW w:w="849" w:type="dxa"/>
            <w:tcBorders>
              <w:top w:val="nil"/>
              <w:left w:val="single" w:sz="6" w:space="0" w:color="000000"/>
              <w:bottom w:val="nil"/>
              <w:right w:val="single" w:sz="6" w:space="0" w:color="000000"/>
            </w:tcBorders>
            <w:hideMark/>
          </w:tcPr>
          <w:p w14:paraId="20244D2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37,80</w:t>
            </w:r>
          </w:p>
        </w:tc>
        <w:tc>
          <w:tcPr>
            <w:tcW w:w="859" w:type="dxa"/>
            <w:tcBorders>
              <w:top w:val="nil"/>
              <w:left w:val="single" w:sz="6" w:space="0" w:color="000000"/>
              <w:bottom w:val="nil"/>
              <w:right w:val="single" w:sz="6" w:space="0" w:color="000000"/>
            </w:tcBorders>
            <w:hideMark/>
          </w:tcPr>
          <w:p w14:paraId="2BB10EA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42,00</w:t>
            </w:r>
          </w:p>
        </w:tc>
      </w:tr>
      <w:tr w:rsidR="00486A3E" w14:paraId="13265FFB" w14:textId="77777777" w:rsidTr="00486A3E">
        <w:trPr>
          <w:trHeight w:val="615"/>
        </w:trPr>
        <w:tc>
          <w:tcPr>
            <w:tcW w:w="1987" w:type="dxa"/>
            <w:tcBorders>
              <w:top w:val="nil"/>
              <w:left w:val="single" w:sz="6" w:space="0" w:color="000000"/>
              <w:bottom w:val="single" w:sz="6" w:space="0" w:color="000000"/>
              <w:right w:val="single" w:sz="6" w:space="0" w:color="000000"/>
            </w:tcBorders>
            <w:hideMark/>
          </w:tcPr>
          <w:p w14:paraId="1C1B6E0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2,0</w:t>
            </w:r>
          </w:p>
        </w:tc>
        <w:tc>
          <w:tcPr>
            <w:tcW w:w="849" w:type="dxa"/>
            <w:tcBorders>
              <w:top w:val="nil"/>
              <w:left w:val="single" w:sz="6" w:space="0" w:color="000000"/>
              <w:bottom w:val="single" w:sz="6" w:space="0" w:color="000000"/>
              <w:right w:val="single" w:sz="6" w:space="0" w:color="000000"/>
            </w:tcBorders>
            <w:hideMark/>
          </w:tcPr>
          <w:p w14:paraId="6358D05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14,40</w:t>
            </w:r>
          </w:p>
        </w:tc>
        <w:tc>
          <w:tcPr>
            <w:tcW w:w="849" w:type="dxa"/>
            <w:tcBorders>
              <w:top w:val="nil"/>
              <w:left w:val="single" w:sz="6" w:space="0" w:color="000000"/>
              <w:bottom w:val="single" w:sz="6" w:space="0" w:color="000000"/>
              <w:right w:val="single" w:sz="6" w:space="0" w:color="000000"/>
            </w:tcBorders>
            <w:hideMark/>
          </w:tcPr>
          <w:p w14:paraId="613CA21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19,20</w:t>
            </w:r>
          </w:p>
        </w:tc>
        <w:tc>
          <w:tcPr>
            <w:tcW w:w="849" w:type="dxa"/>
            <w:tcBorders>
              <w:top w:val="nil"/>
              <w:left w:val="single" w:sz="6" w:space="0" w:color="000000"/>
              <w:bottom w:val="single" w:sz="6" w:space="0" w:color="000000"/>
              <w:right w:val="single" w:sz="6" w:space="0" w:color="000000"/>
            </w:tcBorders>
            <w:hideMark/>
          </w:tcPr>
          <w:p w14:paraId="6E23576B"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24,00</w:t>
            </w:r>
          </w:p>
        </w:tc>
        <w:tc>
          <w:tcPr>
            <w:tcW w:w="849" w:type="dxa"/>
            <w:tcBorders>
              <w:top w:val="nil"/>
              <w:left w:val="single" w:sz="6" w:space="0" w:color="000000"/>
              <w:bottom w:val="single" w:sz="6" w:space="0" w:color="000000"/>
              <w:right w:val="single" w:sz="6" w:space="0" w:color="000000"/>
            </w:tcBorders>
            <w:hideMark/>
          </w:tcPr>
          <w:p w14:paraId="5CDDA8D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28,80</w:t>
            </w:r>
          </w:p>
        </w:tc>
        <w:tc>
          <w:tcPr>
            <w:tcW w:w="849" w:type="dxa"/>
            <w:tcBorders>
              <w:top w:val="nil"/>
              <w:left w:val="single" w:sz="6" w:space="0" w:color="000000"/>
              <w:bottom w:val="single" w:sz="6" w:space="0" w:color="000000"/>
              <w:right w:val="single" w:sz="6" w:space="0" w:color="000000"/>
            </w:tcBorders>
            <w:hideMark/>
          </w:tcPr>
          <w:p w14:paraId="3EA4365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33,60</w:t>
            </w:r>
          </w:p>
        </w:tc>
        <w:tc>
          <w:tcPr>
            <w:tcW w:w="851" w:type="dxa"/>
            <w:tcBorders>
              <w:top w:val="nil"/>
              <w:left w:val="single" w:sz="6" w:space="0" w:color="000000"/>
              <w:bottom w:val="single" w:sz="6" w:space="0" w:color="000000"/>
              <w:right w:val="single" w:sz="6" w:space="0" w:color="000000"/>
            </w:tcBorders>
            <w:hideMark/>
          </w:tcPr>
          <w:p w14:paraId="3CC6BFA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38,40</w:t>
            </w:r>
          </w:p>
        </w:tc>
        <w:tc>
          <w:tcPr>
            <w:tcW w:w="849" w:type="dxa"/>
            <w:tcBorders>
              <w:top w:val="nil"/>
              <w:left w:val="single" w:sz="6" w:space="0" w:color="000000"/>
              <w:bottom w:val="single" w:sz="6" w:space="0" w:color="000000"/>
              <w:right w:val="single" w:sz="6" w:space="0" w:color="000000"/>
            </w:tcBorders>
            <w:hideMark/>
          </w:tcPr>
          <w:p w14:paraId="2FB3BED7"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43,20</w:t>
            </w:r>
          </w:p>
        </w:tc>
        <w:tc>
          <w:tcPr>
            <w:tcW w:w="859" w:type="dxa"/>
            <w:tcBorders>
              <w:top w:val="nil"/>
              <w:left w:val="single" w:sz="6" w:space="0" w:color="000000"/>
              <w:bottom w:val="single" w:sz="6" w:space="0" w:color="000000"/>
              <w:right w:val="single" w:sz="6" w:space="0" w:color="000000"/>
            </w:tcBorders>
            <w:hideMark/>
          </w:tcPr>
          <w:p w14:paraId="1DAD0F08"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48,00</w:t>
            </w:r>
          </w:p>
        </w:tc>
      </w:tr>
    </w:tbl>
    <w:p w14:paraId="423CCAE5" w14:textId="77777777" w:rsidR="00486A3E" w:rsidRDefault="00486A3E" w:rsidP="00486A3E">
      <w:pPr>
        <w:rPr>
          <w:sz w:val="22"/>
        </w:rPr>
      </w:pPr>
    </w:p>
    <w:p w14:paraId="31407B33" w14:textId="77777777" w:rsidR="00486A3E" w:rsidRPr="00A0509E" w:rsidRDefault="00486A3E" w:rsidP="00A0509E">
      <w:pPr>
        <w:ind w:left="142"/>
        <w:rPr>
          <w:sz w:val="24"/>
          <w:szCs w:val="24"/>
        </w:rPr>
      </w:pPr>
      <w:r w:rsidRPr="00A0509E">
        <w:rPr>
          <w:sz w:val="24"/>
          <w:szCs w:val="24"/>
        </w:rPr>
        <w:t xml:space="preserve">Tabel 11 angiver ækvivalente koncentrationer af remifentanil i blodet tilnærmet TCI ved forskellige manuelt kontrollerede infusionshastigheder ved </w:t>
      </w:r>
      <w:r w:rsidRPr="00A0509E">
        <w:rPr>
          <w:i/>
          <w:iCs/>
          <w:sz w:val="24"/>
          <w:szCs w:val="24"/>
        </w:rPr>
        <w:t>steady state</w:t>
      </w:r>
      <w:r w:rsidRPr="00A0509E">
        <w:rPr>
          <w:sz w:val="24"/>
          <w:szCs w:val="24"/>
        </w:rPr>
        <w:t>:</w:t>
      </w:r>
    </w:p>
    <w:p w14:paraId="11C31C5C" w14:textId="77777777" w:rsidR="00486A3E" w:rsidRDefault="00486A3E" w:rsidP="00A0509E">
      <w:pPr>
        <w:ind w:left="142"/>
      </w:pPr>
    </w:p>
    <w:p w14:paraId="0523BE2E" w14:textId="77777777" w:rsidR="00486A3E" w:rsidRDefault="00486A3E" w:rsidP="00A0509E">
      <w:pPr>
        <w:ind w:left="142"/>
      </w:pPr>
      <w:r>
        <w:t xml:space="preserve">Tabel 11: </w:t>
      </w:r>
      <w:r>
        <w:tab/>
        <w:t xml:space="preserve">Koncentrationen af remifentanil i blodet (ng/ml) hos en 70 kg, 170 cm, 40-årig mandlig patient beregnet med den farmakokinetiske Minto model (1997) for forskellige manuelt kontrollerede infusionshastigheder (µg/kg/min) ved </w:t>
      </w:r>
      <w:r>
        <w:rPr>
          <w:i/>
          <w:iCs/>
        </w:rPr>
        <w:t>steady state</w:t>
      </w:r>
      <w:r>
        <w:t>.</w:t>
      </w:r>
    </w:p>
    <w:p w14:paraId="4743AC7F" w14:textId="77777777" w:rsidR="00486A3E" w:rsidRDefault="00486A3E" w:rsidP="00486A3E"/>
    <w:tbl>
      <w:tblPr>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6"/>
        <w:gridCol w:w="4366"/>
      </w:tblGrid>
      <w:tr w:rsidR="00486A3E" w14:paraId="2594A945" w14:textId="77777777" w:rsidTr="00486A3E">
        <w:trPr>
          <w:trHeight w:val="762"/>
        </w:trPr>
        <w:tc>
          <w:tcPr>
            <w:tcW w:w="4366" w:type="dxa"/>
            <w:tcBorders>
              <w:top w:val="single" w:sz="4" w:space="0" w:color="000000"/>
              <w:left w:val="single" w:sz="4" w:space="0" w:color="000000"/>
              <w:bottom w:val="single" w:sz="4" w:space="0" w:color="000000"/>
              <w:right w:val="single" w:sz="4" w:space="0" w:color="000000"/>
            </w:tcBorders>
            <w:hideMark/>
          </w:tcPr>
          <w:p w14:paraId="0A3D7069" w14:textId="77777777" w:rsidR="00486A3E" w:rsidRPr="00486A3E" w:rsidRDefault="00486A3E">
            <w:pPr>
              <w:keepNext/>
              <w:keepLines/>
              <w:widowControl w:val="0"/>
              <w:autoSpaceDE w:val="0"/>
              <w:autoSpaceDN w:val="0"/>
              <w:spacing w:line="246" w:lineRule="exact"/>
              <w:ind w:left="107"/>
              <w:rPr>
                <w:spacing w:val="-2"/>
                <w:szCs w:val="22"/>
              </w:rPr>
            </w:pPr>
            <w:r w:rsidRPr="00486A3E">
              <w:rPr>
                <w:spacing w:val="-2"/>
                <w:szCs w:val="22"/>
              </w:rPr>
              <w:t>Remifentanil "Orion" infusionshastighed (µg/kg/min)</w:t>
            </w:r>
          </w:p>
        </w:tc>
        <w:tc>
          <w:tcPr>
            <w:tcW w:w="4366" w:type="dxa"/>
            <w:tcBorders>
              <w:top w:val="single" w:sz="4" w:space="0" w:color="000000"/>
              <w:left w:val="single" w:sz="4" w:space="0" w:color="000000"/>
              <w:bottom w:val="single" w:sz="4" w:space="0" w:color="000000"/>
              <w:right w:val="single" w:sz="4" w:space="0" w:color="000000"/>
            </w:tcBorders>
            <w:hideMark/>
          </w:tcPr>
          <w:p w14:paraId="720E31AD" w14:textId="77777777" w:rsidR="00486A3E" w:rsidRPr="00486A3E" w:rsidRDefault="00486A3E">
            <w:pPr>
              <w:keepNext/>
              <w:keepLines/>
              <w:widowControl w:val="0"/>
              <w:autoSpaceDE w:val="0"/>
              <w:autoSpaceDN w:val="0"/>
              <w:spacing w:line="246" w:lineRule="exact"/>
              <w:ind w:left="107"/>
              <w:rPr>
                <w:spacing w:val="-2"/>
                <w:szCs w:val="22"/>
              </w:rPr>
            </w:pPr>
            <w:r w:rsidRPr="00486A3E">
              <w:rPr>
                <w:spacing w:val="-2"/>
                <w:szCs w:val="22"/>
              </w:rPr>
              <w:t>Remifentanil koncentration i blodet (ng/ml)</w:t>
            </w:r>
          </w:p>
        </w:tc>
      </w:tr>
      <w:tr w:rsidR="00486A3E" w14:paraId="43A64253" w14:textId="77777777" w:rsidTr="00486A3E">
        <w:trPr>
          <w:trHeight w:val="371"/>
        </w:trPr>
        <w:tc>
          <w:tcPr>
            <w:tcW w:w="4366" w:type="dxa"/>
            <w:tcBorders>
              <w:top w:val="single" w:sz="4" w:space="0" w:color="000000"/>
              <w:left w:val="single" w:sz="4" w:space="0" w:color="000000"/>
              <w:bottom w:val="nil"/>
              <w:right w:val="single" w:sz="4" w:space="0" w:color="000000"/>
            </w:tcBorders>
            <w:hideMark/>
          </w:tcPr>
          <w:p w14:paraId="532E7370"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0,05</w:t>
            </w:r>
          </w:p>
        </w:tc>
        <w:tc>
          <w:tcPr>
            <w:tcW w:w="4366" w:type="dxa"/>
            <w:tcBorders>
              <w:top w:val="single" w:sz="4" w:space="0" w:color="000000"/>
              <w:left w:val="single" w:sz="4" w:space="0" w:color="000000"/>
              <w:bottom w:val="nil"/>
              <w:right w:val="single" w:sz="4" w:space="0" w:color="000000"/>
            </w:tcBorders>
            <w:hideMark/>
          </w:tcPr>
          <w:p w14:paraId="380F727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1,3</w:t>
            </w:r>
          </w:p>
        </w:tc>
      </w:tr>
      <w:tr w:rsidR="00486A3E" w14:paraId="4982E3D3" w14:textId="77777777" w:rsidTr="00486A3E">
        <w:trPr>
          <w:trHeight w:val="493"/>
        </w:trPr>
        <w:tc>
          <w:tcPr>
            <w:tcW w:w="4366" w:type="dxa"/>
            <w:tcBorders>
              <w:top w:val="nil"/>
              <w:left w:val="single" w:sz="4" w:space="0" w:color="000000"/>
              <w:bottom w:val="nil"/>
              <w:right w:val="single" w:sz="4" w:space="0" w:color="000000"/>
            </w:tcBorders>
            <w:hideMark/>
          </w:tcPr>
          <w:p w14:paraId="5C4B4BD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0,10</w:t>
            </w:r>
          </w:p>
        </w:tc>
        <w:tc>
          <w:tcPr>
            <w:tcW w:w="4366" w:type="dxa"/>
            <w:tcBorders>
              <w:top w:val="nil"/>
              <w:left w:val="single" w:sz="4" w:space="0" w:color="000000"/>
              <w:bottom w:val="nil"/>
              <w:right w:val="single" w:sz="4" w:space="0" w:color="000000"/>
            </w:tcBorders>
            <w:hideMark/>
          </w:tcPr>
          <w:p w14:paraId="4FAA0B5E"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2,6</w:t>
            </w:r>
          </w:p>
        </w:tc>
      </w:tr>
      <w:tr w:rsidR="00486A3E" w14:paraId="7B8DE053" w14:textId="77777777" w:rsidTr="00486A3E">
        <w:trPr>
          <w:trHeight w:val="493"/>
        </w:trPr>
        <w:tc>
          <w:tcPr>
            <w:tcW w:w="4366" w:type="dxa"/>
            <w:tcBorders>
              <w:top w:val="nil"/>
              <w:left w:val="single" w:sz="4" w:space="0" w:color="000000"/>
              <w:bottom w:val="nil"/>
              <w:right w:val="single" w:sz="4" w:space="0" w:color="000000"/>
            </w:tcBorders>
            <w:hideMark/>
          </w:tcPr>
          <w:p w14:paraId="3D6AE4D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0,25</w:t>
            </w:r>
          </w:p>
        </w:tc>
        <w:tc>
          <w:tcPr>
            <w:tcW w:w="4366" w:type="dxa"/>
            <w:tcBorders>
              <w:top w:val="nil"/>
              <w:left w:val="single" w:sz="4" w:space="0" w:color="000000"/>
              <w:bottom w:val="nil"/>
              <w:right w:val="single" w:sz="4" w:space="0" w:color="000000"/>
            </w:tcBorders>
            <w:hideMark/>
          </w:tcPr>
          <w:p w14:paraId="48DA58CF"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6,3</w:t>
            </w:r>
          </w:p>
        </w:tc>
      </w:tr>
      <w:tr w:rsidR="00486A3E" w14:paraId="5E2CD7AE" w14:textId="77777777" w:rsidTr="00486A3E">
        <w:trPr>
          <w:trHeight w:val="493"/>
        </w:trPr>
        <w:tc>
          <w:tcPr>
            <w:tcW w:w="4366" w:type="dxa"/>
            <w:tcBorders>
              <w:top w:val="nil"/>
              <w:left w:val="single" w:sz="4" w:space="0" w:color="000000"/>
              <w:bottom w:val="nil"/>
              <w:right w:val="single" w:sz="4" w:space="0" w:color="000000"/>
            </w:tcBorders>
            <w:hideMark/>
          </w:tcPr>
          <w:p w14:paraId="0CE3DC46"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0,40</w:t>
            </w:r>
          </w:p>
        </w:tc>
        <w:tc>
          <w:tcPr>
            <w:tcW w:w="4366" w:type="dxa"/>
            <w:tcBorders>
              <w:top w:val="nil"/>
              <w:left w:val="single" w:sz="4" w:space="0" w:color="000000"/>
              <w:bottom w:val="nil"/>
              <w:right w:val="single" w:sz="4" w:space="0" w:color="000000"/>
            </w:tcBorders>
            <w:hideMark/>
          </w:tcPr>
          <w:p w14:paraId="1C861052"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10,4</w:t>
            </w:r>
          </w:p>
        </w:tc>
      </w:tr>
      <w:tr w:rsidR="00486A3E" w14:paraId="56E5EA1D" w14:textId="77777777" w:rsidTr="00486A3E">
        <w:trPr>
          <w:trHeight w:val="491"/>
        </w:trPr>
        <w:tc>
          <w:tcPr>
            <w:tcW w:w="4366" w:type="dxa"/>
            <w:tcBorders>
              <w:top w:val="nil"/>
              <w:left w:val="single" w:sz="4" w:space="0" w:color="000000"/>
              <w:bottom w:val="nil"/>
              <w:right w:val="single" w:sz="4" w:space="0" w:color="000000"/>
            </w:tcBorders>
            <w:hideMark/>
          </w:tcPr>
          <w:p w14:paraId="795B096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0,50</w:t>
            </w:r>
          </w:p>
        </w:tc>
        <w:tc>
          <w:tcPr>
            <w:tcW w:w="4366" w:type="dxa"/>
            <w:tcBorders>
              <w:top w:val="nil"/>
              <w:left w:val="single" w:sz="4" w:space="0" w:color="000000"/>
              <w:bottom w:val="nil"/>
              <w:right w:val="single" w:sz="4" w:space="0" w:color="000000"/>
            </w:tcBorders>
            <w:hideMark/>
          </w:tcPr>
          <w:p w14:paraId="34846A1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12,6</w:t>
            </w:r>
          </w:p>
        </w:tc>
      </w:tr>
      <w:tr w:rsidR="00486A3E" w14:paraId="6D92A95A" w14:textId="77777777" w:rsidTr="00486A3E">
        <w:trPr>
          <w:trHeight w:val="493"/>
        </w:trPr>
        <w:tc>
          <w:tcPr>
            <w:tcW w:w="4366" w:type="dxa"/>
            <w:tcBorders>
              <w:top w:val="nil"/>
              <w:left w:val="single" w:sz="4" w:space="0" w:color="000000"/>
              <w:bottom w:val="nil"/>
              <w:right w:val="single" w:sz="4" w:space="0" w:color="000000"/>
            </w:tcBorders>
            <w:hideMark/>
          </w:tcPr>
          <w:p w14:paraId="4D532F81"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1,0</w:t>
            </w:r>
          </w:p>
        </w:tc>
        <w:tc>
          <w:tcPr>
            <w:tcW w:w="4366" w:type="dxa"/>
            <w:tcBorders>
              <w:top w:val="nil"/>
              <w:left w:val="single" w:sz="4" w:space="0" w:color="000000"/>
              <w:bottom w:val="nil"/>
              <w:right w:val="single" w:sz="4" w:space="0" w:color="000000"/>
            </w:tcBorders>
            <w:hideMark/>
          </w:tcPr>
          <w:p w14:paraId="0B5240F5"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25,2</w:t>
            </w:r>
          </w:p>
        </w:tc>
      </w:tr>
      <w:tr w:rsidR="00486A3E" w14:paraId="2525D4D5" w14:textId="77777777" w:rsidTr="00486A3E">
        <w:trPr>
          <w:trHeight w:val="614"/>
        </w:trPr>
        <w:tc>
          <w:tcPr>
            <w:tcW w:w="4366" w:type="dxa"/>
            <w:tcBorders>
              <w:top w:val="nil"/>
              <w:left w:val="single" w:sz="4" w:space="0" w:color="000000"/>
              <w:bottom w:val="single" w:sz="4" w:space="0" w:color="000000"/>
              <w:right w:val="single" w:sz="4" w:space="0" w:color="000000"/>
            </w:tcBorders>
            <w:hideMark/>
          </w:tcPr>
          <w:p w14:paraId="2E77E44C"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2,0</w:t>
            </w:r>
          </w:p>
        </w:tc>
        <w:tc>
          <w:tcPr>
            <w:tcW w:w="4366" w:type="dxa"/>
            <w:tcBorders>
              <w:top w:val="nil"/>
              <w:left w:val="single" w:sz="4" w:space="0" w:color="000000"/>
              <w:bottom w:val="single" w:sz="4" w:space="0" w:color="000000"/>
              <w:right w:val="single" w:sz="4" w:space="0" w:color="000000"/>
            </w:tcBorders>
            <w:hideMark/>
          </w:tcPr>
          <w:p w14:paraId="487E022A" w14:textId="77777777" w:rsidR="00486A3E" w:rsidRDefault="00486A3E">
            <w:pPr>
              <w:keepNext/>
              <w:keepLines/>
              <w:widowControl w:val="0"/>
              <w:autoSpaceDE w:val="0"/>
              <w:autoSpaceDN w:val="0"/>
              <w:spacing w:line="246" w:lineRule="exact"/>
              <w:ind w:left="107"/>
              <w:rPr>
                <w:spacing w:val="-2"/>
                <w:szCs w:val="22"/>
                <w:lang w:val="en-GB"/>
              </w:rPr>
            </w:pPr>
            <w:r>
              <w:rPr>
                <w:spacing w:val="-2"/>
                <w:szCs w:val="22"/>
                <w:lang w:val="en-GB"/>
              </w:rPr>
              <w:t>50,5</w:t>
            </w:r>
          </w:p>
        </w:tc>
      </w:tr>
    </w:tbl>
    <w:p w14:paraId="3762C579" w14:textId="368050E9" w:rsidR="00A0509E" w:rsidRDefault="00A0509E" w:rsidP="00486A3E">
      <w:pPr>
        <w:rPr>
          <w:sz w:val="22"/>
        </w:rPr>
      </w:pPr>
    </w:p>
    <w:p w14:paraId="73ACBD67" w14:textId="77777777" w:rsidR="00A0509E" w:rsidRDefault="00A0509E">
      <w:pPr>
        <w:rPr>
          <w:sz w:val="22"/>
        </w:rPr>
      </w:pPr>
      <w:r>
        <w:rPr>
          <w:sz w:val="22"/>
        </w:rPr>
        <w:br w:type="page"/>
      </w:r>
    </w:p>
    <w:p w14:paraId="77594386" w14:textId="77777777" w:rsidR="00486A3E" w:rsidRDefault="00486A3E" w:rsidP="00486A3E">
      <w:pPr>
        <w:rPr>
          <w:sz w:val="22"/>
        </w:rPr>
      </w:pPr>
    </w:p>
    <w:p w14:paraId="41CD2C55"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29A6FFD" w14:textId="77777777" w:rsidR="00F76A74" w:rsidRPr="00F76A74" w:rsidRDefault="00F76A74" w:rsidP="00F76A74">
      <w:pPr>
        <w:tabs>
          <w:tab w:val="left" w:pos="851"/>
        </w:tabs>
        <w:ind w:left="851"/>
        <w:rPr>
          <w:sz w:val="24"/>
          <w:szCs w:val="24"/>
          <w:lang w:val="en-US"/>
        </w:rPr>
      </w:pPr>
      <w:r w:rsidRPr="00F76A74">
        <w:rPr>
          <w:sz w:val="24"/>
          <w:szCs w:val="24"/>
          <w:lang w:val="en-US"/>
        </w:rPr>
        <w:t>Orion Corporation</w:t>
      </w:r>
    </w:p>
    <w:p w14:paraId="59C72AFB" w14:textId="77777777" w:rsidR="00F76A74" w:rsidRPr="00F76A74" w:rsidRDefault="00F76A74" w:rsidP="00F76A74">
      <w:pPr>
        <w:tabs>
          <w:tab w:val="left" w:pos="851"/>
        </w:tabs>
        <w:ind w:left="851"/>
        <w:rPr>
          <w:sz w:val="24"/>
          <w:szCs w:val="24"/>
          <w:lang w:val="en-US"/>
        </w:rPr>
      </w:pPr>
      <w:r w:rsidRPr="00F76A74">
        <w:rPr>
          <w:sz w:val="24"/>
          <w:szCs w:val="24"/>
          <w:lang w:val="en-US"/>
        </w:rPr>
        <w:t>Orionintie 1</w:t>
      </w:r>
    </w:p>
    <w:p w14:paraId="48C8B281" w14:textId="77777777" w:rsidR="00F76A74" w:rsidRPr="00F76A74" w:rsidRDefault="00F76A74" w:rsidP="00F76A74">
      <w:pPr>
        <w:tabs>
          <w:tab w:val="left" w:pos="851"/>
        </w:tabs>
        <w:ind w:left="851"/>
        <w:rPr>
          <w:sz w:val="24"/>
          <w:szCs w:val="24"/>
          <w:lang w:val="en-US"/>
        </w:rPr>
      </w:pPr>
      <w:r w:rsidRPr="00F76A74">
        <w:rPr>
          <w:sz w:val="24"/>
          <w:szCs w:val="24"/>
          <w:lang w:val="en-US"/>
        </w:rPr>
        <w:t>FI-02200 Espoo</w:t>
      </w:r>
    </w:p>
    <w:p w14:paraId="5674D81A" w14:textId="77777777" w:rsidR="00F76A74" w:rsidRPr="00F76A74" w:rsidRDefault="00F76A74" w:rsidP="00F76A74">
      <w:pPr>
        <w:tabs>
          <w:tab w:val="left" w:pos="851"/>
        </w:tabs>
        <w:ind w:left="851"/>
        <w:rPr>
          <w:sz w:val="24"/>
          <w:szCs w:val="24"/>
          <w:lang w:val="en-US"/>
        </w:rPr>
      </w:pPr>
      <w:r w:rsidRPr="00F76A74">
        <w:rPr>
          <w:sz w:val="24"/>
          <w:szCs w:val="24"/>
          <w:lang w:val="en-US"/>
        </w:rPr>
        <w:t>Finland</w:t>
      </w:r>
    </w:p>
    <w:p w14:paraId="345D3045" w14:textId="77777777" w:rsidR="009260DE" w:rsidRPr="00F76A74" w:rsidRDefault="009260DE" w:rsidP="00F76A74">
      <w:pPr>
        <w:tabs>
          <w:tab w:val="left" w:pos="851"/>
        </w:tabs>
        <w:rPr>
          <w:sz w:val="24"/>
          <w:szCs w:val="24"/>
          <w:lang w:val="en-US"/>
        </w:rPr>
      </w:pPr>
    </w:p>
    <w:p w14:paraId="7611A1F4" w14:textId="77777777" w:rsidR="00641C65" w:rsidRDefault="00641C65" w:rsidP="009260DE">
      <w:pPr>
        <w:tabs>
          <w:tab w:val="left" w:pos="851"/>
        </w:tabs>
        <w:ind w:left="851"/>
        <w:rPr>
          <w:sz w:val="24"/>
          <w:szCs w:val="24"/>
        </w:rPr>
      </w:pPr>
      <w:r>
        <w:rPr>
          <w:b/>
          <w:sz w:val="24"/>
          <w:szCs w:val="24"/>
        </w:rPr>
        <w:t>Repræsentant</w:t>
      </w:r>
    </w:p>
    <w:p w14:paraId="12BDDA02" w14:textId="77777777" w:rsidR="00191814" w:rsidRDefault="00191814" w:rsidP="009260DE">
      <w:pPr>
        <w:tabs>
          <w:tab w:val="left" w:pos="851"/>
        </w:tabs>
        <w:ind w:left="851"/>
        <w:rPr>
          <w:sz w:val="24"/>
          <w:szCs w:val="24"/>
        </w:rPr>
      </w:pPr>
      <w:r>
        <w:rPr>
          <w:sz w:val="24"/>
          <w:szCs w:val="24"/>
        </w:rPr>
        <w:t>Orion Pharma A/S</w:t>
      </w:r>
    </w:p>
    <w:p w14:paraId="1D7EF425" w14:textId="74522276" w:rsidR="00641C65" w:rsidRDefault="00191814" w:rsidP="009260DE">
      <w:pPr>
        <w:tabs>
          <w:tab w:val="left" w:pos="851"/>
        </w:tabs>
        <w:ind w:left="851"/>
        <w:rPr>
          <w:sz w:val="24"/>
          <w:szCs w:val="24"/>
        </w:rPr>
      </w:pPr>
      <w:r>
        <w:rPr>
          <w:sz w:val="24"/>
          <w:szCs w:val="24"/>
        </w:rPr>
        <w:t>Ørestads Boulevard 73</w:t>
      </w:r>
    </w:p>
    <w:p w14:paraId="0E010DF1" w14:textId="07AFCB88" w:rsidR="00191814" w:rsidRDefault="00191814" w:rsidP="009260DE">
      <w:pPr>
        <w:tabs>
          <w:tab w:val="left" w:pos="851"/>
        </w:tabs>
        <w:ind w:left="851"/>
        <w:rPr>
          <w:sz w:val="24"/>
          <w:szCs w:val="24"/>
        </w:rPr>
      </w:pPr>
      <w:r>
        <w:rPr>
          <w:sz w:val="24"/>
          <w:szCs w:val="24"/>
        </w:rPr>
        <w:t>2300 København S</w:t>
      </w:r>
    </w:p>
    <w:p w14:paraId="2A68F580" w14:textId="77777777" w:rsidR="00641C65" w:rsidRPr="00641C65" w:rsidRDefault="00641C65" w:rsidP="009260DE">
      <w:pPr>
        <w:tabs>
          <w:tab w:val="left" w:pos="851"/>
        </w:tabs>
        <w:ind w:left="851"/>
        <w:rPr>
          <w:sz w:val="24"/>
          <w:szCs w:val="24"/>
        </w:rPr>
      </w:pPr>
    </w:p>
    <w:p w14:paraId="179F02F9"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E691F7B" w14:textId="77777777" w:rsidR="00F76A74" w:rsidRPr="00F76A74" w:rsidRDefault="00F76A74" w:rsidP="00F76A74">
      <w:pPr>
        <w:tabs>
          <w:tab w:val="left" w:pos="851"/>
        </w:tabs>
        <w:ind w:left="851"/>
        <w:jc w:val="both"/>
        <w:rPr>
          <w:sz w:val="24"/>
          <w:szCs w:val="24"/>
        </w:rPr>
      </w:pPr>
      <w:r w:rsidRPr="00F76A74">
        <w:rPr>
          <w:sz w:val="24"/>
          <w:szCs w:val="24"/>
        </w:rPr>
        <w:t>1 mg: 67749</w:t>
      </w:r>
    </w:p>
    <w:p w14:paraId="61E9988F" w14:textId="77777777" w:rsidR="00F76A74" w:rsidRPr="00F76A74" w:rsidRDefault="00F76A74" w:rsidP="00F76A74">
      <w:pPr>
        <w:tabs>
          <w:tab w:val="left" w:pos="851"/>
        </w:tabs>
        <w:ind w:left="851"/>
        <w:jc w:val="both"/>
        <w:rPr>
          <w:sz w:val="24"/>
          <w:szCs w:val="24"/>
        </w:rPr>
      </w:pPr>
      <w:r w:rsidRPr="00F76A74">
        <w:rPr>
          <w:sz w:val="24"/>
          <w:szCs w:val="24"/>
        </w:rPr>
        <w:t>2 mg: 67750</w:t>
      </w:r>
    </w:p>
    <w:p w14:paraId="598E8ED9" w14:textId="77777777" w:rsidR="00F76A74" w:rsidRPr="00F76A74" w:rsidRDefault="00F76A74" w:rsidP="00F76A74">
      <w:pPr>
        <w:tabs>
          <w:tab w:val="left" w:pos="851"/>
        </w:tabs>
        <w:ind w:left="851"/>
        <w:jc w:val="both"/>
        <w:rPr>
          <w:sz w:val="24"/>
          <w:szCs w:val="24"/>
        </w:rPr>
      </w:pPr>
      <w:r w:rsidRPr="00F76A74">
        <w:rPr>
          <w:sz w:val="24"/>
          <w:szCs w:val="24"/>
        </w:rPr>
        <w:t>5 mg: 67752</w:t>
      </w:r>
    </w:p>
    <w:p w14:paraId="591FF47A" w14:textId="77777777" w:rsidR="009260DE" w:rsidRPr="00C84483" w:rsidRDefault="009260DE" w:rsidP="009260DE">
      <w:pPr>
        <w:tabs>
          <w:tab w:val="left" w:pos="851"/>
        </w:tabs>
        <w:ind w:left="851"/>
        <w:jc w:val="both"/>
        <w:rPr>
          <w:sz w:val="24"/>
          <w:szCs w:val="24"/>
        </w:rPr>
      </w:pPr>
    </w:p>
    <w:p w14:paraId="39F2C111" w14:textId="25F677F0"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0E56D5D" w14:textId="64434364" w:rsidR="009260DE" w:rsidRPr="00C84483" w:rsidRDefault="00DD5778" w:rsidP="009260DE">
      <w:pPr>
        <w:tabs>
          <w:tab w:val="left" w:pos="851"/>
        </w:tabs>
        <w:ind w:left="851"/>
        <w:rPr>
          <w:sz w:val="24"/>
          <w:szCs w:val="24"/>
        </w:rPr>
      </w:pPr>
      <w:r>
        <w:rPr>
          <w:sz w:val="24"/>
          <w:szCs w:val="24"/>
        </w:rPr>
        <w:t>6. september 2023</w:t>
      </w:r>
    </w:p>
    <w:p w14:paraId="6CA1477F" w14:textId="77777777" w:rsidR="009260DE" w:rsidRPr="00C84483" w:rsidRDefault="009260DE" w:rsidP="009260DE">
      <w:pPr>
        <w:tabs>
          <w:tab w:val="left" w:pos="851"/>
        </w:tabs>
        <w:ind w:left="851"/>
        <w:rPr>
          <w:sz w:val="24"/>
          <w:szCs w:val="24"/>
        </w:rPr>
      </w:pPr>
    </w:p>
    <w:p w14:paraId="0240D49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C296015" w14:textId="5DBD0B46" w:rsidR="009260DE" w:rsidRPr="00C84483" w:rsidRDefault="00191814"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FBF29" w14:textId="77777777" w:rsidR="00486A3E" w:rsidRDefault="00486A3E">
      <w:r>
        <w:separator/>
      </w:r>
    </w:p>
  </w:endnote>
  <w:endnote w:type="continuationSeparator" w:id="0">
    <w:p w14:paraId="088AA5C3" w14:textId="77777777" w:rsidR="00486A3E" w:rsidRDefault="0048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6586" w14:textId="77777777" w:rsidR="00486A3E" w:rsidRDefault="00486A3E">
    <w:pPr>
      <w:pStyle w:val="Sidefod"/>
      <w:pBdr>
        <w:bottom w:val="single" w:sz="6" w:space="1" w:color="auto"/>
      </w:pBdr>
    </w:pPr>
  </w:p>
  <w:p w14:paraId="5585B5B2" w14:textId="77777777" w:rsidR="00486A3E" w:rsidRDefault="00486A3E" w:rsidP="00C42586">
    <w:pPr>
      <w:pStyle w:val="Sidefod"/>
      <w:tabs>
        <w:tab w:val="clear" w:pos="4819"/>
        <w:tab w:val="left" w:pos="8505"/>
      </w:tabs>
      <w:rPr>
        <w:i/>
        <w:sz w:val="18"/>
        <w:szCs w:val="18"/>
      </w:rPr>
    </w:pPr>
  </w:p>
  <w:p w14:paraId="05985CB6" w14:textId="4F4BDF3A" w:rsidR="00486A3E" w:rsidRPr="00B373D7" w:rsidRDefault="00486A3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Remifentanil Orion, pulver til koncentrat til infusions--injektionsvæske, opløsning 1 mg, 2 mg og 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511F8" w14:textId="77777777" w:rsidR="00486A3E" w:rsidRDefault="00486A3E">
      <w:r>
        <w:separator/>
      </w:r>
    </w:p>
  </w:footnote>
  <w:footnote w:type="continuationSeparator" w:id="0">
    <w:p w14:paraId="285D56D7" w14:textId="77777777" w:rsidR="00486A3E" w:rsidRDefault="00486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65BD"/>
    <w:multiLevelType w:val="hybridMultilevel"/>
    <w:tmpl w:val="B988345C"/>
    <w:lvl w:ilvl="0" w:tplc="F5EE6B1C">
      <w:numFmt w:val="bullet"/>
      <w:lvlText w:val=""/>
      <w:lvlJc w:val="left"/>
      <w:pPr>
        <w:ind w:left="390" w:hanging="284"/>
      </w:pPr>
      <w:rPr>
        <w:rFonts w:ascii="Symbol" w:eastAsia="Symbol" w:hAnsi="Symbol" w:cs="Symbol" w:hint="default"/>
        <w:b w:val="0"/>
        <w:bCs w:val="0"/>
        <w:i w:val="0"/>
        <w:iCs w:val="0"/>
        <w:w w:val="100"/>
        <w:sz w:val="22"/>
        <w:szCs w:val="22"/>
      </w:rPr>
    </w:lvl>
    <w:lvl w:ilvl="1" w:tplc="900CA708">
      <w:numFmt w:val="bullet"/>
      <w:lvlText w:val="•"/>
      <w:lvlJc w:val="left"/>
      <w:pPr>
        <w:ind w:left="661" w:hanging="284"/>
      </w:pPr>
    </w:lvl>
    <w:lvl w:ilvl="2" w:tplc="8BFCD010">
      <w:numFmt w:val="bullet"/>
      <w:lvlText w:val="•"/>
      <w:lvlJc w:val="left"/>
      <w:pPr>
        <w:ind w:left="923" w:hanging="284"/>
      </w:pPr>
    </w:lvl>
    <w:lvl w:ilvl="3" w:tplc="B4F23D6C">
      <w:numFmt w:val="bullet"/>
      <w:lvlText w:val="•"/>
      <w:lvlJc w:val="left"/>
      <w:pPr>
        <w:ind w:left="1185" w:hanging="284"/>
      </w:pPr>
    </w:lvl>
    <w:lvl w:ilvl="4" w:tplc="B55C33FE">
      <w:numFmt w:val="bullet"/>
      <w:lvlText w:val="•"/>
      <w:lvlJc w:val="left"/>
      <w:pPr>
        <w:ind w:left="1447" w:hanging="284"/>
      </w:pPr>
    </w:lvl>
    <w:lvl w:ilvl="5" w:tplc="ED7E81C6">
      <w:numFmt w:val="bullet"/>
      <w:lvlText w:val="•"/>
      <w:lvlJc w:val="left"/>
      <w:pPr>
        <w:ind w:left="1709" w:hanging="284"/>
      </w:pPr>
    </w:lvl>
    <w:lvl w:ilvl="6" w:tplc="F6BC4AC6">
      <w:numFmt w:val="bullet"/>
      <w:lvlText w:val="•"/>
      <w:lvlJc w:val="left"/>
      <w:pPr>
        <w:ind w:left="1971" w:hanging="284"/>
      </w:pPr>
    </w:lvl>
    <w:lvl w:ilvl="7" w:tplc="1C844A30">
      <w:numFmt w:val="bullet"/>
      <w:lvlText w:val="•"/>
      <w:lvlJc w:val="left"/>
      <w:pPr>
        <w:ind w:left="2233" w:hanging="284"/>
      </w:pPr>
    </w:lvl>
    <w:lvl w:ilvl="8" w:tplc="8460F808">
      <w:numFmt w:val="bullet"/>
      <w:lvlText w:val="•"/>
      <w:lvlJc w:val="left"/>
      <w:pPr>
        <w:ind w:left="2495" w:hanging="284"/>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224552A"/>
    <w:multiLevelType w:val="hybridMultilevel"/>
    <w:tmpl w:val="FF224156"/>
    <w:lvl w:ilvl="0" w:tplc="FBDCE30E">
      <w:numFmt w:val="bullet"/>
      <w:lvlText w:val=""/>
      <w:lvlJc w:val="left"/>
      <w:pPr>
        <w:ind w:left="390" w:hanging="284"/>
      </w:pPr>
      <w:rPr>
        <w:rFonts w:ascii="Symbol" w:eastAsia="Symbol" w:hAnsi="Symbol" w:cs="Symbol" w:hint="default"/>
        <w:b w:val="0"/>
        <w:bCs w:val="0"/>
        <w:i w:val="0"/>
        <w:iCs w:val="0"/>
        <w:w w:val="100"/>
        <w:sz w:val="22"/>
        <w:szCs w:val="22"/>
      </w:rPr>
    </w:lvl>
    <w:lvl w:ilvl="1" w:tplc="2196D476">
      <w:numFmt w:val="bullet"/>
      <w:lvlText w:val="•"/>
      <w:lvlJc w:val="left"/>
      <w:pPr>
        <w:ind w:left="661" w:hanging="284"/>
      </w:pPr>
    </w:lvl>
    <w:lvl w:ilvl="2" w:tplc="4E3257AA">
      <w:numFmt w:val="bullet"/>
      <w:lvlText w:val="•"/>
      <w:lvlJc w:val="left"/>
      <w:pPr>
        <w:ind w:left="923" w:hanging="284"/>
      </w:pPr>
    </w:lvl>
    <w:lvl w:ilvl="3" w:tplc="ACB2BCD6">
      <w:numFmt w:val="bullet"/>
      <w:lvlText w:val="•"/>
      <w:lvlJc w:val="left"/>
      <w:pPr>
        <w:ind w:left="1185" w:hanging="284"/>
      </w:pPr>
    </w:lvl>
    <w:lvl w:ilvl="4" w:tplc="18BC6080">
      <w:numFmt w:val="bullet"/>
      <w:lvlText w:val="•"/>
      <w:lvlJc w:val="left"/>
      <w:pPr>
        <w:ind w:left="1447" w:hanging="284"/>
      </w:pPr>
    </w:lvl>
    <w:lvl w:ilvl="5" w:tplc="69766450">
      <w:numFmt w:val="bullet"/>
      <w:lvlText w:val="•"/>
      <w:lvlJc w:val="left"/>
      <w:pPr>
        <w:ind w:left="1709" w:hanging="284"/>
      </w:pPr>
    </w:lvl>
    <w:lvl w:ilvl="6" w:tplc="BD9817C0">
      <w:numFmt w:val="bullet"/>
      <w:lvlText w:val="•"/>
      <w:lvlJc w:val="left"/>
      <w:pPr>
        <w:ind w:left="1971" w:hanging="284"/>
      </w:pPr>
    </w:lvl>
    <w:lvl w:ilvl="7" w:tplc="646AAC6A">
      <w:numFmt w:val="bullet"/>
      <w:lvlText w:val="•"/>
      <w:lvlJc w:val="left"/>
      <w:pPr>
        <w:ind w:left="2233" w:hanging="284"/>
      </w:pPr>
    </w:lvl>
    <w:lvl w:ilvl="8" w:tplc="CC322926">
      <w:numFmt w:val="bullet"/>
      <w:lvlText w:val="•"/>
      <w:lvlJc w:val="left"/>
      <w:pPr>
        <w:ind w:left="2495" w:hanging="284"/>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E1B37C5"/>
    <w:multiLevelType w:val="hybridMultilevel"/>
    <w:tmpl w:val="8A846924"/>
    <w:lvl w:ilvl="0" w:tplc="28688A1E">
      <w:numFmt w:val="bullet"/>
      <w:lvlText w:val=""/>
      <w:lvlJc w:val="left"/>
      <w:pPr>
        <w:ind w:left="390" w:hanging="284"/>
      </w:pPr>
      <w:rPr>
        <w:rFonts w:ascii="Symbol" w:eastAsia="Symbol" w:hAnsi="Symbol" w:cs="Symbol" w:hint="default"/>
        <w:b w:val="0"/>
        <w:bCs w:val="0"/>
        <w:i w:val="0"/>
        <w:iCs w:val="0"/>
        <w:w w:val="100"/>
        <w:sz w:val="22"/>
        <w:szCs w:val="22"/>
      </w:rPr>
    </w:lvl>
    <w:lvl w:ilvl="1" w:tplc="2E6667F6">
      <w:numFmt w:val="bullet"/>
      <w:lvlText w:val="•"/>
      <w:lvlJc w:val="left"/>
      <w:pPr>
        <w:ind w:left="661" w:hanging="284"/>
      </w:pPr>
    </w:lvl>
    <w:lvl w:ilvl="2" w:tplc="B8CCDBE6">
      <w:numFmt w:val="bullet"/>
      <w:lvlText w:val="•"/>
      <w:lvlJc w:val="left"/>
      <w:pPr>
        <w:ind w:left="923" w:hanging="284"/>
      </w:pPr>
    </w:lvl>
    <w:lvl w:ilvl="3" w:tplc="C2107FFA">
      <w:numFmt w:val="bullet"/>
      <w:lvlText w:val="•"/>
      <w:lvlJc w:val="left"/>
      <w:pPr>
        <w:ind w:left="1185" w:hanging="284"/>
      </w:pPr>
    </w:lvl>
    <w:lvl w:ilvl="4" w:tplc="0058859C">
      <w:numFmt w:val="bullet"/>
      <w:lvlText w:val="•"/>
      <w:lvlJc w:val="left"/>
      <w:pPr>
        <w:ind w:left="1447" w:hanging="284"/>
      </w:pPr>
    </w:lvl>
    <w:lvl w:ilvl="5" w:tplc="25DCF52C">
      <w:numFmt w:val="bullet"/>
      <w:lvlText w:val="•"/>
      <w:lvlJc w:val="left"/>
      <w:pPr>
        <w:ind w:left="1709" w:hanging="284"/>
      </w:pPr>
    </w:lvl>
    <w:lvl w:ilvl="6" w:tplc="4B765EA0">
      <w:numFmt w:val="bullet"/>
      <w:lvlText w:val="•"/>
      <w:lvlJc w:val="left"/>
      <w:pPr>
        <w:ind w:left="1971" w:hanging="284"/>
      </w:pPr>
    </w:lvl>
    <w:lvl w:ilvl="7" w:tplc="823815AE">
      <w:numFmt w:val="bullet"/>
      <w:lvlText w:val="•"/>
      <w:lvlJc w:val="left"/>
      <w:pPr>
        <w:ind w:left="2233" w:hanging="284"/>
      </w:pPr>
    </w:lvl>
    <w:lvl w:ilvl="8" w:tplc="1F4C31DE">
      <w:numFmt w:val="bullet"/>
      <w:lvlText w:val="•"/>
      <w:lvlJc w:val="left"/>
      <w:pPr>
        <w:ind w:left="2495" w:hanging="284"/>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2E"/>
    <w:rsid w:val="000259B9"/>
    <w:rsid w:val="00041491"/>
    <w:rsid w:val="00043F85"/>
    <w:rsid w:val="00050D16"/>
    <w:rsid w:val="000730CA"/>
    <w:rsid w:val="00074F2A"/>
    <w:rsid w:val="00077D1D"/>
    <w:rsid w:val="000919C3"/>
    <w:rsid w:val="000A1CA8"/>
    <w:rsid w:val="000A466B"/>
    <w:rsid w:val="000B058C"/>
    <w:rsid w:val="000C1AAE"/>
    <w:rsid w:val="000D68B0"/>
    <w:rsid w:val="000E4EE6"/>
    <w:rsid w:val="0011730E"/>
    <w:rsid w:val="001454E2"/>
    <w:rsid w:val="00191814"/>
    <w:rsid w:val="00206CE8"/>
    <w:rsid w:val="0021526C"/>
    <w:rsid w:val="002556F1"/>
    <w:rsid w:val="00280834"/>
    <w:rsid w:val="00283A2B"/>
    <w:rsid w:val="00283F3F"/>
    <w:rsid w:val="002B30AD"/>
    <w:rsid w:val="002C1EC0"/>
    <w:rsid w:val="002C2C01"/>
    <w:rsid w:val="003A29AE"/>
    <w:rsid w:val="003A32D7"/>
    <w:rsid w:val="003B4074"/>
    <w:rsid w:val="003C769A"/>
    <w:rsid w:val="003D3A90"/>
    <w:rsid w:val="003D4F3C"/>
    <w:rsid w:val="003F1838"/>
    <w:rsid w:val="00441647"/>
    <w:rsid w:val="0045746C"/>
    <w:rsid w:val="00486A3E"/>
    <w:rsid w:val="0049104B"/>
    <w:rsid w:val="004D718A"/>
    <w:rsid w:val="004E3B12"/>
    <w:rsid w:val="00532310"/>
    <w:rsid w:val="00565F0F"/>
    <w:rsid w:val="0058243E"/>
    <w:rsid w:val="00594A86"/>
    <w:rsid w:val="00596D86"/>
    <w:rsid w:val="005F289B"/>
    <w:rsid w:val="00637F5A"/>
    <w:rsid w:val="00641C65"/>
    <w:rsid w:val="0064746E"/>
    <w:rsid w:val="006560B1"/>
    <w:rsid w:val="006756DD"/>
    <w:rsid w:val="006D55E5"/>
    <w:rsid w:val="0071241E"/>
    <w:rsid w:val="00737275"/>
    <w:rsid w:val="00740EEC"/>
    <w:rsid w:val="0078011A"/>
    <w:rsid w:val="00782AF4"/>
    <w:rsid w:val="00790EE7"/>
    <w:rsid w:val="007B6649"/>
    <w:rsid w:val="007D7CC5"/>
    <w:rsid w:val="00807BD7"/>
    <w:rsid w:val="0082576E"/>
    <w:rsid w:val="00907F75"/>
    <w:rsid w:val="0092547E"/>
    <w:rsid w:val="009260DE"/>
    <w:rsid w:val="0093258A"/>
    <w:rsid w:val="009441E9"/>
    <w:rsid w:val="00965CF0"/>
    <w:rsid w:val="0097340F"/>
    <w:rsid w:val="009B49F4"/>
    <w:rsid w:val="009C494B"/>
    <w:rsid w:val="009C7BA3"/>
    <w:rsid w:val="009D1F5A"/>
    <w:rsid w:val="009D6F6E"/>
    <w:rsid w:val="00A0509E"/>
    <w:rsid w:val="00A10294"/>
    <w:rsid w:val="00A1062E"/>
    <w:rsid w:val="00A55EC8"/>
    <w:rsid w:val="00AA6E75"/>
    <w:rsid w:val="00B003BF"/>
    <w:rsid w:val="00B373D7"/>
    <w:rsid w:val="00B55271"/>
    <w:rsid w:val="00B814CA"/>
    <w:rsid w:val="00BC652E"/>
    <w:rsid w:val="00BD7931"/>
    <w:rsid w:val="00BF6243"/>
    <w:rsid w:val="00C36276"/>
    <w:rsid w:val="00C42586"/>
    <w:rsid w:val="00C440A6"/>
    <w:rsid w:val="00C45F6B"/>
    <w:rsid w:val="00C60CCD"/>
    <w:rsid w:val="00C766DC"/>
    <w:rsid w:val="00C84483"/>
    <w:rsid w:val="00C95551"/>
    <w:rsid w:val="00CB20D7"/>
    <w:rsid w:val="00CB321F"/>
    <w:rsid w:val="00D020B0"/>
    <w:rsid w:val="00D11748"/>
    <w:rsid w:val="00D237F6"/>
    <w:rsid w:val="00D34D98"/>
    <w:rsid w:val="00D366CF"/>
    <w:rsid w:val="00D93992"/>
    <w:rsid w:val="00DD5778"/>
    <w:rsid w:val="00E108AA"/>
    <w:rsid w:val="00E3749A"/>
    <w:rsid w:val="00E7437F"/>
    <w:rsid w:val="00E865B8"/>
    <w:rsid w:val="00EC0B9B"/>
    <w:rsid w:val="00ED5E9F"/>
    <w:rsid w:val="00F66D4F"/>
    <w:rsid w:val="00F76A74"/>
    <w:rsid w:val="00FB46E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074B5"/>
  <w15:chartTrackingRefBased/>
  <w15:docId w15:val="{74E00FD7-E517-4894-837C-A21D934A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077D1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77D1D"/>
    <w:rPr>
      <w:color w:val="0563C1" w:themeColor="hyperlink"/>
      <w:u w:val="single"/>
    </w:rPr>
  </w:style>
  <w:style w:type="character" w:styleId="Ulstomtale">
    <w:name w:val="Unresolved Mention"/>
    <w:basedOn w:val="Standardskrifttypeiafsnit"/>
    <w:uiPriority w:val="99"/>
    <w:semiHidden/>
    <w:unhideWhenUsed/>
    <w:rsid w:val="0007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399">
      <w:bodyDiv w:val="1"/>
      <w:marLeft w:val="0"/>
      <w:marRight w:val="0"/>
      <w:marTop w:val="0"/>
      <w:marBottom w:val="0"/>
      <w:divBdr>
        <w:top w:val="none" w:sz="0" w:space="0" w:color="auto"/>
        <w:left w:val="none" w:sz="0" w:space="0" w:color="auto"/>
        <w:bottom w:val="none" w:sz="0" w:space="0" w:color="auto"/>
        <w:right w:val="none" w:sz="0" w:space="0" w:color="auto"/>
      </w:divBdr>
    </w:div>
    <w:div w:id="87044910">
      <w:bodyDiv w:val="1"/>
      <w:marLeft w:val="0"/>
      <w:marRight w:val="0"/>
      <w:marTop w:val="0"/>
      <w:marBottom w:val="0"/>
      <w:divBdr>
        <w:top w:val="none" w:sz="0" w:space="0" w:color="auto"/>
        <w:left w:val="none" w:sz="0" w:space="0" w:color="auto"/>
        <w:bottom w:val="none" w:sz="0" w:space="0" w:color="auto"/>
        <w:right w:val="none" w:sz="0" w:space="0" w:color="auto"/>
      </w:divBdr>
    </w:div>
    <w:div w:id="94207528">
      <w:bodyDiv w:val="1"/>
      <w:marLeft w:val="0"/>
      <w:marRight w:val="0"/>
      <w:marTop w:val="0"/>
      <w:marBottom w:val="0"/>
      <w:divBdr>
        <w:top w:val="none" w:sz="0" w:space="0" w:color="auto"/>
        <w:left w:val="none" w:sz="0" w:space="0" w:color="auto"/>
        <w:bottom w:val="none" w:sz="0" w:space="0" w:color="auto"/>
        <w:right w:val="none" w:sz="0" w:space="0" w:color="auto"/>
      </w:divBdr>
    </w:div>
    <w:div w:id="115030544">
      <w:bodyDiv w:val="1"/>
      <w:marLeft w:val="0"/>
      <w:marRight w:val="0"/>
      <w:marTop w:val="0"/>
      <w:marBottom w:val="0"/>
      <w:divBdr>
        <w:top w:val="none" w:sz="0" w:space="0" w:color="auto"/>
        <w:left w:val="none" w:sz="0" w:space="0" w:color="auto"/>
        <w:bottom w:val="none" w:sz="0" w:space="0" w:color="auto"/>
        <w:right w:val="none" w:sz="0" w:space="0" w:color="auto"/>
      </w:divBdr>
    </w:div>
    <w:div w:id="122384766">
      <w:bodyDiv w:val="1"/>
      <w:marLeft w:val="0"/>
      <w:marRight w:val="0"/>
      <w:marTop w:val="0"/>
      <w:marBottom w:val="0"/>
      <w:divBdr>
        <w:top w:val="none" w:sz="0" w:space="0" w:color="auto"/>
        <w:left w:val="none" w:sz="0" w:space="0" w:color="auto"/>
        <w:bottom w:val="none" w:sz="0" w:space="0" w:color="auto"/>
        <w:right w:val="none" w:sz="0" w:space="0" w:color="auto"/>
      </w:divBdr>
    </w:div>
    <w:div w:id="1447061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844164">
      <w:bodyDiv w:val="1"/>
      <w:marLeft w:val="0"/>
      <w:marRight w:val="0"/>
      <w:marTop w:val="0"/>
      <w:marBottom w:val="0"/>
      <w:divBdr>
        <w:top w:val="none" w:sz="0" w:space="0" w:color="auto"/>
        <w:left w:val="none" w:sz="0" w:space="0" w:color="auto"/>
        <w:bottom w:val="none" w:sz="0" w:space="0" w:color="auto"/>
        <w:right w:val="none" w:sz="0" w:space="0" w:color="auto"/>
      </w:divBdr>
    </w:div>
    <w:div w:id="235943056">
      <w:bodyDiv w:val="1"/>
      <w:marLeft w:val="0"/>
      <w:marRight w:val="0"/>
      <w:marTop w:val="0"/>
      <w:marBottom w:val="0"/>
      <w:divBdr>
        <w:top w:val="none" w:sz="0" w:space="0" w:color="auto"/>
        <w:left w:val="none" w:sz="0" w:space="0" w:color="auto"/>
        <w:bottom w:val="none" w:sz="0" w:space="0" w:color="auto"/>
        <w:right w:val="none" w:sz="0" w:space="0" w:color="auto"/>
      </w:divBdr>
    </w:div>
    <w:div w:id="241991249">
      <w:bodyDiv w:val="1"/>
      <w:marLeft w:val="0"/>
      <w:marRight w:val="0"/>
      <w:marTop w:val="0"/>
      <w:marBottom w:val="0"/>
      <w:divBdr>
        <w:top w:val="none" w:sz="0" w:space="0" w:color="auto"/>
        <w:left w:val="none" w:sz="0" w:space="0" w:color="auto"/>
        <w:bottom w:val="none" w:sz="0" w:space="0" w:color="auto"/>
        <w:right w:val="none" w:sz="0" w:space="0" w:color="auto"/>
      </w:divBdr>
    </w:div>
    <w:div w:id="292440953">
      <w:bodyDiv w:val="1"/>
      <w:marLeft w:val="0"/>
      <w:marRight w:val="0"/>
      <w:marTop w:val="0"/>
      <w:marBottom w:val="0"/>
      <w:divBdr>
        <w:top w:val="none" w:sz="0" w:space="0" w:color="auto"/>
        <w:left w:val="none" w:sz="0" w:space="0" w:color="auto"/>
        <w:bottom w:val="none" w:sz="0" w:space="0" w:color="auto"/>
        <w:right w:val="none" w:sz="0" w:space="0" w:color="auto"/>
      </w:divBdr>
    </w:div>
    <w:div w:id="419716173">
      <w:bodyDiv w:val="1"/>
      <w:marLeft w:val="0"/>
      <w:marRight w:val="0"/>
      <w:marTop w:val="0"/>
      <w:marBottom w:val="0"/>
      <w:divBdr>
        <w:top w:val="none" w:sz="0" w:space="0" w:color="auto"/>
        <w:left w:val="none" w:sz="0" w:space="0" w:color="auto"/>
        <w:bottom w:val="none" w:sz="0" w:space="0" w:color="auto"/>
        <w:right w:val="none" w:sz="0" w:space="0" w:color="auto"/>
      </w:divBdr>
    </w:div>
    <w:div w:id="511064729">
      <w:bodyDiv w:val="1"/>
      <w:marLeft w:val="0"/>
      <w:marRight w:val="0"/>
      <w:marTop w:val="0"/>
      <w:marBottom w:val="0"/>
      <w:divBdr>
        <w:top w:val="none" w:sz="0" w:space="0" w:color="auto"/>
        <w:left w:val="none" w:sz="0" w:space="0" w:color="auto"/>
        <w:bottom w:val="none" w:sz="0" w:space="0" w:color="auto"/>
        <w:right w:val="none" w:sz="0" w:space="0" w:color="auto"/>
      </w:divBdr>
    </w:div>
    <w:div w:id="511650212">
      <w:bodyDiv w:val="1"/>
      <w:marLeft w:val="0"/>
      <w:marRight w:val="0"/>
      <w:marTop w:val="0"/>
      <w:marBottom w:val="0"/>
      <w:divBdr>
        <w:top w:val="none" w:sz="0" w:space="0" w:color="auto"/>
        <w:left w:val="none" w:sz="0" w:space="0" w:color="auto"/>
        <w:bottom w:val="none" w:sz="0" w:space="0" w:color="auto"/>
        <w:right w:val="none" w:sz="0" w:space="0" w:color="auto"/>
      </w:divBdr>
    </w:div>
    <w:div w:id="544635930">
      <w:bodyDiv w:val="1"/>
      <w:marLeft w:val="0"/>
      <w:marRight w:val="0"/>
      <w:marTop w:val="0"/>
      <w:marBottom w:val="0"/>
      <w:divBdr>
        <w:top w:val="none" w:sz="0" w:space="0" w:color="auto"/>
        <w:left w:val="none" w:sz="0" w:space="0" w:color="auto"/>
        <w:bottom w:val="none" w:sz="0" w:space="0" w:color="auto"/>
        <w:right w:val="none" w:sz="0" w:space="0" w:color="auto"/>
      </w:divBdr>
    </w:div>
    <w:div w:id="718162594">
      <w:bodyDiv w:val="1"/>
      <w:marLeft w:val="0"/>
      <w:marRight w:val="0"/>
      <w:marTop w:val="0"/>
      <w:marBottom w:val="0"/>
      <w:divBdr>
        <w:top w:val="none" w:sz="0" w:space="0" w:color="auto"/>
        <w:left w:val="none" w:sz="0" w:space="0" w:color="auto"/>
        <w:bottom w:val="none" w:sz="0" w:space="0" w:color="auto"/>
        <w:right w:val="none" w:sz="0" w:space="0" w:color="auto"/>
      </w:divBdr>
    </w:div>
    <w:div w:id="722481599">
      <w:bodyDiv w:val="1"/>
      <w:marLeft w:val="0"/>
      <w:marRight w:val="0"/>
      <w:marTop w:val="0"/>
      <w:marBottom w:val="0"/>
      <w:divBdr>
        <w:top w:val="none" w:sz="0" w:space="0" w:color="auto"/>
        <w:left w:val="none" w:sz="0" w:space="0" w:color="auto"/>
        <w:bottom w:val="none" w:sz="0" w:space="0" w:color="auto"/>
        <w:right w:val="none" w:sz="0" w:space="0" w:color="auto"/>
      </w:divBdr>
    </w:div>
    <w:div w:id="792870925">
      <w:bodyDiv w:val="1"/>
      <w:marLeft w:val="0"/>
      <w:marRight w:val="0"/>
      <w:marTop w:val="0"/>
      <w:marBottom w:val="0"/>
      <w:divBdr>
        <w:top w:val="none" w:sz="0" w:space="0" w:color="auto"/>
        <w:left w:val="none" w:sz="0" w:space="0" w:color="auto"/>
        <w:bottom w:val="none" w:sz="0" w:space="0" w:color="auto"/>
        <w:right w:val="none" w:sz="0" w:space="0" w:color="auto"/>
      </w:divBdr>
    </w:div>
    <w:div w:id="833760386">
      <w:bodyDiv w:val="1"/>
      <w:marLeft w:val="0"/>
      <w:marRight w:val="0"/>
      <w:marTop w:val="0"/>
      <w:marBottom w:val="0"/>
      <w:divBdr>
        <w:top w:val="none" w:sz="0" w:space="0" w:color="auto"/>
        <w:left w:val="none" w:sz="0" w:space="0" w:color="auto"/>
        <w:bottom w:val="none" w:sz="0" w:space="0" w:color="auto"/>
        <w:right w:val="none" w:sz="0" w:space="0" w:color="auto"/>
      </w:divBdr>
    </w:div>
    <w:div w:id="951208925">
      <w:bodyDiv w:val="1"/>
      <w:marLeft w:val="0"/>
      <w:marRight w:val="0"/>
      <w:marTop w:val="0"/>
      <w:marBottom w:val="0"/>
      <w:divBdr>
        <w:top w:val="none" w:sz="0" w:space="0" w:color="auto"/>
        <w:left w:val="none" w:sz="0" w:space="0" w:color="auto"/>
        <w:bottom w:val="none" w:sz="0" w:space="0" w:color="auto"/>
        <w:right w:val="none" w:sz="0" w:space="0" w:color="auto"/>
      </w:divBdr>
    </w:div>
    <w:div w:id="1043672107">
      <w:bodyDiv w:val="1"/>
      <w:marLeft w:val="0"/>
      <w:marRight w:val="0"/>
      <w:marTop w:val="0"/>
      <w:marBottom w:val="0"/>
      <w:divBdr>
        <w:top w:val="none" w:sz="0" w:space="0" w:color="auto"/>
        <w:left w:val="none" w:sz="0" w:space="0" w:color="auto"/>
        <w:bottom w:val="none" w:sz="0" w:space="0" w:color="auto"/>
        <w:right w:val="none" w:sz="0" w:space="0" w:color="auto"/>
      </w:divBdr>
    </w:div>
    <w:div w:id="1284114794">
      <w:bodyDiv w:val="1"/>
      <w:marLeft w:val="0"/>
      <w:marRight w:val="0"/>
      <w:marTop w:val="0"/>
      <w:marBottom w:val="0"/>
      <w:divBdr>
        <w:top w:val="none" w:sz="0" w:space="0" w:color="auto"/>
        <w:left w:val="none" w:sz="0" w:space="0" w:color="auto"/>
        <w:bottom w:val="none" w:sz="0" w:space="0" w:color="auto"/>
        <w:right w:val="none" w:sz="0" w:space="0" w:color="auto"/>
      </w:divBdr>
    </w:div>
    <w:div w:id="1294560998">
      <w:bodyDiv w:val="1"/>
      <w:marLeft w:val="0"/>
      <w:marRight w:val="0"/>
      <w:marTop w:val="0"/>
      <w:marBottom w:val="0"/>
      <w:divBdr>
        <w:top w:val="none" w:sz="0" w:space="0" w:color="auto"/>
        <w:left w:val="none" w:sz="0" w:space="0" w:color="auto"/>
        <w:bottom w:val="none" w:sz="0" w:space="0" w:color="auto"/>
        <w:right w:val="none" w:sz="0" w:space="0" w:color="auto"/>
      </w:divBdr>
    </w:div>
    <w:div w:id="1307247329">
      <w:bodyDiv w:val="1"/>
      <w:marLeft w:val="0"/>
      <w:marRight w:val="0"/>
      <w:marTop w:val="0"/>
      <w:marBottom w:val="0"/>
      <w:divBdr>
        <w:top w:val="none" w:sz="0" w:space="0" w:color="auto"/>
        <w:left w:val="none" w:sz="0" w:space="0" w:color="auto"/>
        <w:bottom w:val="none" w:sz="0" w:space="0" w:color="auto"/>
        <w:right w:val="none" w:sz="0" w:space="0" w:color="auto"/>
      </w:divBdr>
    </w:div>
    <w:div w:id="1325084960">
      <w:bodyDiv w:val="1"/>
      <w:marLeft w:val="0"/>
      <w:marRight w:val="0"/>
      <w:marTop w:val="0"/>
      <w:marBottom w:val="0"/>
      <w:divBdr>
        <w:top w:val="none" w:sz="0" w:space="0" w:color="auto"/>
        <w:left w:val="none" w:sz="0" w:space="0" w:color="auto"/>
        <w:bottom w:val="none" w:sz="0" w:space="0" w:color="auto"/>
        <w:right w:val="none" w:sz="0" w:space="0" w:color="auto"/>
      </w:divBdr>
    </w:div>
    <w:div w:id="1403529502">
      <w:bodyDiv w:val="1"/>
      <w:marLeft w:val="0"/>
      <w:marRight w:val="0"/>
      <w:marTop w:val="0"/>
      <w:marBottom w:val="0"/>
      <w:divBdr>
        <w:top w:val="none" w:sz="0" w:space="0" w:color="auto"/>
        <w:left w:val="none" w:sz="0" w:space="0" w:color="auto"/>
        <w:bottom w:val="none" w:sz="0" w:space="0" w:color="auto"/>
        <w:right w:val="none" w:sz="0" w:space="0" w:color="auto"/>
      </w:divBdr>
    </w:div>
    <w:div w:id="1425880213">
      <w:bodyDiv w:val="1"/>
      <w:marLeft w:val="0"/>
      <w:marRight w:val="0"/>
      <w:marTop w:val="0"/>
      <w:marBottom w:val="0"/>
      <w:divBdr>
        <w:top w:val="none" w:sz="0" w:space="0" w:color="auto"/>
        <w:left w:val="none" w:sz="0" w:space="0" w:color="auto"/>
        <w:bottom w:val="none" w:sz="0" w:space="0" w:color="auto"/>
        <w:right w:val="none" w:sz="0" w:space="0" w:color="auto"/>
      </w:divBdr>
    </w:div>
    <w:div w:id="1457290575">
      <w:bodyDiv w:val="1"/>
      <w:marLeft w:val="0"/>
      <w:marRight w:val="0"/>
      <w:marTop w:val="0"/>
      <w:marBottom w:val="0"/>
      <w:divBdr>
        <w:top w:val="none" w:sz="0" w:space="0" w:color="auto"/>
        <w:left w:val="none" w:sz="0" w:space="0" w:color="auto"/>
        <w:bottom w:val="none" w:sz="0" w:space="0" w:color="auto"/>
        <w:right w:val="none" w:sz="0" w:space="0" w:color="auto"/>
      </w:divBdr>
    </w:div>
    <w:div w:id="1468622379">
      <w:bodyDiv w:val="1"/>
      <w:marLeft w:val="0"/>
      <w:marRight w:val="0"/>
      <w:marTop w:val="0"/>
      <w:marBottom w:val="0"/>
      <w:divBdr>
        <w:top w:val="none" w:sz="0" w:space="0" w:color="auto"/>
        <w:left w:val="none" w:sz="0" w:space="0" w:color="auto"/>
        <w:bottom w:val="none" w:sz="0" w:space="0" w:color="auto"/>
        <w:right w:val="none" w:sz="0" w:space="0" w:color="auto"/>
      </w:divBdr>
    </w:div>
    <w:div w:id="1503545416">
      <w:bodyDiv w:val="1"/>
      <w:marLeft w:val="0"/>
      <w:marRight w:val="0"/>
      <w:marTop w:val="0"/>
      <w:marBottom w:val="0"/>
      <w:divBdr>
        <w:top w:val="none" w:sz="0" w:space="0" w:color="auto"/>
        <w:left w:val="none" w:sz="0" w:space="0" w:color="auto"/>
        <w:bottom w:val="none" w:sz="0" w:space="0" w:color="auto"/>
        <w:right w:val="none" w:sz="0" w:space="0" w:color="auto"/>
      </w:divBdr>
    </w:div>
    <w:div w:id="1522935141">
      <w:bodyDiv w:val="1"/>
      <w:marLeft w:val="0"/>
      <w:marRight w:val="0"/>
      <w:marTop w:val="0"/>
      <w:marBottom w:val="0"/>
      <w:divBdr>
        <w:top w:val="none" w:sz="0" w:space="0" w:color="auto"/>
        <w:left w:val="none" w:sz="0" w:space="0" w:color="auto"/>
        <w:bottom w:val="none" w:sz="0" w:space="0" w:color="auto"/>
        <w:right w:val="none" w:sz="0" w:space="0" w:color="auto"/>
      </w:divBdr>
    </w:div>
    <w:div w:id="1528522755">
      <w:bodyDiv w:val="1"/>
      <w:marLeft w:val="0"/>
      <w:marRight w:val="0"/>
      <w:marTop w:val="0"/>
      <w:marBottom w:val="0"/>
      <w:divBdr>
        <w:top w:val="none" w:sz="0" w:space="0" w:color="auto"/>
        <w:left w:val="none" w:sz="0" w:space="0" w:color="auto"/>
        <w:bottom w:val="none" w:sz="0" w:space="0" w:color="auto"/>
        <w:right w:val="none" w:sz="0" w:space="0" w:color="auto"/>
      </w:divBdr>
    </w:div>
    <w:div w:id="1528836413">
      <w:bodyDiv w:val="1"/>
      <w:marLeft w:val="0"/>
      <w:marRight w:val="0"/>
      <w:marTop w:val="0"/>
      <w:marBottom w:val="0"/>
      <w:divBdr>
        <w:top w:val="none" w:sz="0" w:space="0" w:color="auto"/>
        <w:left w:val="none" w:sz="0" w:space="0" w:color="auto"/>
        <w:bottom w:val="none" w:sz="0" w:space="0" w:color="auto"/>
        <w:right w:val="none" w:sz="0" w:space="0" w:color="auto"/>
      </w:divBdr>
    </w:div>
    <w:div w:id="1545559279">
      <w:bodyDiv w:val="1"/>
      <w:marLeft w:val="0"/>
      <w:marRight w:val="0"/>
      <w:marTop w:val="0"/>
      <w:marBottom w:val="0"/>
      <w:divBdr>
        <w:top w:val="none" w:sz="0" w:space="0" w:color="auto"/>
        <w:left w:val="none" w:sz="0" w:space="0" w:color="auto"/>
        <w:bottom w:val="none" w:sz="0" w:space="0" w:color="auto"/>
        <w:right w:val="none" w:sz="0" w:space="0" w:color="auto"/>
      </w:divBdr>
    </w:div>
    <w:div w:id="1559701936">
      <w:bodyDiv w:val="1"/>
      <w:marLeft w:val="0"/>
      <w:marRight w:val="0"/>
      <w:marTop w:val="0"/>
      <w:marBottom w:val="0"/>
      <w:divBdr>
        <w:top w:val="none" w:sz="0" w:space="0" w:color="auto"/>
        <w:left w:val="none" w:sz="0" w:space="0" w:color="auto"/>
        <w:bottom w:val="none" w:sz="0" w:space="0" w:color="auto"/>
        <w:right w:val="none" w:sz="0" w:space="0" w:color="auto"/>
      </w:divBdr>
    </w:div>
    <w:div w:id="1667509895">
      <w:bodyDiv w:val="1"/>
      <w:marLeft w:val="0"/>
      <w:marRight w:val="0"/>
      <w:marTop w:val="0"/>
      <w:marBottom w:val="0"/>
      <w:divBdr>
        <w:top w:val="none" w:sz="0" w:space="0" w:color="auto"/>
        <w:left w:val="none" w:sz="0" w:space="0" w:color="auto"/>
        <w:bottom w:val="none" w:sz="0" w:space="0" w:color="auto"/>
        <w:right w:val="none" w:sz="0" w:space="0" w:color="auto"/>
      </w:divBdr>
    </w:div>
    <w:div w:id="1670791433">
      <w:bodyDiv w:val="1"/>
      <w:marLeft w:val="0"/>
      <w:marRight w:val="0"/>
      <w:marTop w:val="0"/>
      <w:marBottom w:val="0"/>
      <w:divBdr>
        <w:top w:val="none" w:sz="0" w:space="0" w:color="auto"/>
        <w:left w:val="none" w:sz="0" w:space="0" w:color="auto"/>
        <w:bottom w:val="none" w:sz="0" w:space="0" w:color="auto"/>
        <w:right w:val="none" w:sz="0" w:space="0" w:color="auto"/>
      </w:divBdr>
    </w:div>
    <w:div w:id="1703361601">
      <w:bodyDiv w:val="1"/>
      <w:marLeft w:val="0"/>
      <w:marRight w:val="0"/>
      <w:marTop w:val="0"/>
      <w:marBottom w:val="0"/>
      <w:divBdr>
        <w:top w:val="none" w:sz="0" w:space="0" w:color="auto"/>
        <w:left w:val="none" w:sz="0" w:space="0" w:color="auto"/>
        <w:bottom w:val="none" w:sz="0" w:space="0" w:color="auto"/>
        <w:right w:val="none" w:sz="0" w:space="0" w:color="auto"/>
      </w:divBdr>
    </w:div>
    <w:div w:id="1720934097">
      <w:bodyDiv w:val="1"/>
      <w:marLeft w:val="0"/>
      <w:marRight w:val="0"/>
      <w:marTop w:val="0"/>
      <w:marBottom w:val="0"/>
      <w:divBdr>
        <w:top w:val="none" w:sz="0" w:space="0" w:color="auto"/>
        <w:left w:val="none" w:sz="0" w:space="0" w:color="auto"/>
        <w:bottom w:val="none" w:sz="0" w:space="0" w:color="auto"/>
        <w:right w:val="none" w:sz="0" w:space="0" w:color="auto"/>
      </w:divBdr>
    </w:div>
    <w:div w:id="1768891642">
      <w:bodyDiv w:val="1"/>
      <w:marLeft w:val="0"/>
      <w:marRight w:val="0"/>
      <w:marTop w:val="0"/>
      <w:marBottom w:val="0"/>
      <w:divBdr>
        <w:top w:val="none" w:sz="0" w:space="0" w:color="auto"/>
        <w:left w:val="none" w:sz="0" w:space="0" w:color="auto"/>
        <w:bottom w:val="none" w:sz="0" w:space="0" w:color="auto"/>
        <w:right w:val="none" w:sz="0" w:space="0" w:color="auto"/>
      </w:divBdr>
    </w:div>
    <w:div w:id="1991206842">
      <w:bodyDiv w:val="1"/>
      <w:marLeft w:val="0"/>
      <w:marRight w:val="0"/>
      <w:marTop w:val="0"/>
      <w:marBottom w:val="0"/>
      <w:divBdr>
        <w:top w:val="none" w:sz="0" w:space="0" w:color="auto"/>
        <w:left w:val="none" w:sz="0" w:space="0" w:color="auto"/>
        <w:bottom w:val="none" w:sz="0" w:space="0" w:color="auto"/>
        <w:right w:val="none" w:sz="0" w:space="0" w:color="auto"/>
      </w:divBdr>
    </w:div>
    <w:div w:id="2087914386">
      <w:bodyDiv w:val="1"/>
      <w:marLeft w:val="0"/>
      <w:marRight w:val="0"/>
      <w:marTop w:val="0"/>
      <w:marBottom w:val="0"/>
      <w:divBdr>
        <w:top w:val="none" w:sz="0" w:space="0" w:color="auto"/>
        <w:left w:val="none" w:sz="0" w:space="0" w:color="auto"/>
        <w:bottom w:val="none" w:sz="0" w:space="0" w:color="auto"/>
        <w:right w:val="none" w:sz="0" w:space="0" w:color="auto"/>
      </w:divBdr>
    </w:div>
    <w:div w:id="2101178089">
      <w:bodyDiv w:val="1"/>
      <w:marLeft w:val="0"/>
      <w:marRight w:val="0"/>
      <w:marTop w:val="0"/>
      <w:marBottom w:val="0"/>
      <w:divBdr>
        <w:top w:val="none" w:sz="0" w:space="0" w:color="auto"/>
        <w:left w:val="none" w:sz="0" w:space="0" w:color="auto"/>
        <w:bottom w:val="none" w:sz="0" w:space="0" w:color="auto"/>
        <w:right w:val="none" w:sz="0" w:space="0" w:color="auto"/>
      </w:divBdr>
    </w:div>
    <w:div w:id="21471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94</TotalTime>
  <Pages>28</Pages>
  <Words>8342</Words>
  <Characters>55582</Characters>
  <Application>Microsoft Office Word</Application>
  <DocSecurity>0</DocSecurity>
  <Lines>463</Lines>
  <Paragraphs>127</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63797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2022050148 mt</dc:description>
  <cp:lastModifiedBy>Hanne Thy Iversen</cp:lastModifiedBy>
  <cp:revision>11</cp:revision>
  <cp:lastPrinted>2012-08-22T08:53:00Z</cp:lastPrinted>
  <dcterms:created xsi:type="dcterms:W3CDTF">2023-08-29T12:19:00Z</dcterms:created>
  <dcterms:modified xsi:type="dcterms:W3CDTF">2023-09-06T07:40:00Z</dcterms:modified>
</cp:coreProperties>
</file>