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3890C3" w14:textId="77777777" w:rsidR="004A3BF4" w:rsidRPr="00B108A6" w:rsidRDefault="00056601" w:rsidP="004A3BF4">
      <w:pPr>
        <w:rPr>
          <w:sz w:val="24"/>
          <w:szCs w:val="24"/>
          <w:lang w:val="en-GB"/>
        </w:rPr>
      </w:pPr>
      <w:r w:rsidRPr="00B108A6">
        <w:rPr>
          <w:noProof/>
          <w:sz w:val="24"/>
          <w:szCs w:val="24"/>
          <w:lang w:val="en-GB"/>
        </w:rPr>
        <w:drawing>
          <wp:inline distT="0" distB="0" distL="0" distR="0" wp14:anchorId="338016C0" wp14:editId="53F588C2">
            <wp:extent cx="2428875" cy="685800"/>
            <wp:effectExtent l="0" t="0" r="9525" b="0"/>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inline>
        </w:drawing>
      </w:r>
    </w:p>
    <w:p w14:paraId="50167CC1" w14:textId="2B88C682" w:rsidR="006B3847" w:rsidRDefault="006B3847" w:rsidP="006B3847">
      <w:pPr>
        <w:rPr>
          <w:sz w:val="24"/>
          <w:szCs w:val="24"/>
          <w:lang w:val="en-GB"/>
        </w:rPr>
      </w:pPr>
    </w:p>
    <w:p w14:paraId="393424A5" w14:textId="77777777" w:rsidR="00273F2B" w:rsidRPr="00B108A6" w:rsidRDefault="00273F2B" w:rsidP="006B3847">
      <w:pPr>
        <w:rPr>
          <w:sz w:val="24"/>
          <w:szCs w:val="24"/>
          <w:lang w:val="en-GB"/>
        </w:rPr>
      </w:pPr>
    </w:p>
    <w:p w14:paraId="09BCE8E2" w14:textId="698B9966" w:rsidR="006B3847" w:rsidRPr="00CB2986" w:rsidRDefault="006B3847" w:rsidP="006B3847">
      <w:pPr>
        <w:tabs>
          <w:tab w:val="right" w:pos="9356"/>
        </w:tabs>
        <w:rPr>
          <w:b/>
          <w:sz w:val="24"/>
          <w:szCs w:val="24"/>
          <w:lang w:val="en-US"/>
        </w:rPr>
      </w:pPr>
      <w:r w:rsidRPr="00D6538A">
        <w:rPr>
          <w:b/>
          <w:sz w:val="24"/>
          <w:szCs w:val="24"/>
        </w:rPr>
        <w:tab/>
      </w:r>
      <w:r w:rsidR="00273F2B">
        <w:rPr>
          <w:b/>
          <w:sz w:val="24"/>
          <w:szCs w:val="24"/>
          <w:lang w:val="en-US"/>
        </w:rPr>
        <w:t>14</w:t>
      </w:r>
      <w:r w:rsidR="00F34CCE">
        <w:rPr>
          <w:b/>
          <w:sz w:val="24"/>
          <w:szCs w:val="24"/>
          <w:lang w:val="en-US"/>
        </w:rPr>
        <w:t xml:space="preserve"> </w:t>
      </w:r>
      <w:r w:rsidR="00273F2B">
        <w:rPr>
          <w:b/>
          <w:sz w:val="24"/>
          <w:szCs w:val="24"/>
          <w:lang w:val="en-US"/>
        </w:rPr>
        <w:t>January</w:t>
      </w:r>
      <w:r w:rsidR="00F34CCE">
        <w:rPr>
          <w:b/>
          <w:sz w:val="24"/>
          <w:szCs w:val="24"/>
          <w:lang w:val="en-US"/>
        </w:rPr>
        <w:t xml:space="preserve"> 202</w:t>
      </w:r>
      <w:r w:rsidR="00273F2B">
        <w:rPr>
          <w:b/>
          <w:sz w:val="24"/>
          <w:szCs w:val="24"/>
          <w:lang w:val="en-US"/>
        </w:rPr>
        <w:t>5</w:t>
      </w:r>
    </w:p>
    <w:p w14:paraId="1B4D1BFF" w14:textId="6DD9306A" w:rsidR="007C5D2A" w:rsidRPr="00CB2986" w:rsidRDefault="007C5D2A" w:rsidP="007C5D2A">
      <w:pPr>
        <w:rPr>
          <w:sz w:val="24"/>
          <w:szCs w:val="24"/>
          <w:lang w:val="en-US"/>
        </w:rPr>
      </w:pPr>
    </w:p>
    <w:p w14:paraId="7837D369" w14:textId="77777777" w:rsidR="007C5D2A" w:rsidRPr="00CB2986" w:rsidRDefault="007C5D2A" w:rsidP="007C5D2A">
      <w:pPr>
        <w:rPr>
          <w:sz w:val="24"/>
          <w:szCs w:val="24"/>
          <w:lang w:val="en-US"/>
        </w:rPr>
      </w:pPr>
    </w:p>
    <w:p w14:paraId="10B651D1" w14:textId="77777777" w:rsidR="007C5D2A" w:rsidRPr="00B108A6" w:rsidRDefault="007C5D2A" w:rsidP="007C5D2A">
      <w:pPr>
        <w:jc w:val="center"/>
        <w:rPr>
          <w:b/>
          <w:sz w:val="24"/>
          <w:szCs w:val="24"/>
          <w:lang w:val="en-GB"/>
        </w:rPr>
      </w:pPr>
      <w:bookmarkStart w:id="0" w:name="_Hlk49158549"/>
      <w:r w:rsidRPr="00B108A6">
        <w:rPr>
          <w:b/>
          <w:sz w:val="24"/>
          <w:szCs w:val="24"/>
          <w:lang w:val="en-GB"/>
        </w:rPr>
        <w:t>SUMMARY OF PRODUCT CHARACTERISTICS</w:t>
      </w:r>
    </w:p>
    <w:bookmarkEnd w:id="0"/>
    <w:p w14:paraId="3D6D7D57" w14:textId="77777777" w:rsidR="007C5D2A" w:rsidRPr="00B108A6" w:rsidRDefault="007C5D2A" w:rsidP="007C5D2A">
      <w:pPr>
        <w:jc w:val="center"/>
        <w:rPr>
          <w:sz w:val="24"/>
          <w:szCs w:val="24"/>
          <w:lang w:val="en-GB"/>
        </w:rPr>
      </w:pPr>
    </w:p>
    <w:p w14:paraId="2C6E5836" w14:textId="77777777" w:rsidR="007C5D2A" w:rsidRPr="00B108A6" w:rsidRDefault="007C5D2A" w:rsidP="007C5D2A">
      <w:pPr>
        <w:jc w:val="center"/>
        <w:rPr>
          <w:b/>
          <w:sz w:val="24"/>
          <w:szCs w:val="24"/>
          <w:lang w:val="en-GB"/>
        </w:rPr>
      </w:pPr>
      <w:r w:rsidRPr="00B108A6">
        <w:rPr>
          <w:b/>
          <w:sz w:val="24"/>
          <w:szCs w:val="24"/>
          <w:lang w:val="en-GB"/>
        </w:rPr>
        <w:t>for</w:t>
      </w:r>
    </w:p>
    <w:p w14:paraId="203ACEC9" w14:textId="77777777" w:rsidR="007C5D2A" w:rsidRPr="00B108A6" w:rsidRDefault="007C5D2A" w:rsidP="007C5D2A">
      <w:pPr>
        <w:jc w:val="center"/>
        <w:rPr>
          <w:sz w:val="24"/>
          <w:szCs w:val="24"/>
          <w:lang w:val="en-GB"/>
        </w:rPr>
      </w:pPr>
    </w:p>
    <w:p w14:paraId="7B70BF90" w14:textId="77777777" w:rsidR="00D853AB" w:rsidRPr="00B108A6" w:rsidRDefault="005E09AD" w:rsidP="00D853AB">
      <w:pPr>
        <w:jc w:val="center"/>
        <w:rPr>
          <w:b/>
          <w:sz w:val="24"/>
          <w:szCs w:val="24"/>
          <w:lang w:val="en-GB"/>
        </w:rPr>
      </w:pPr>
      <w:proofErr w:type="spellStart"/>
      <w:r w:rsidRPr="00B108A6">
        <w:rPr>
          <w:b/>
          <w:sz w:val="24"/>
          <w:szCs w:val="24"/>
          <w:lang w:val="en-GB"/>
        </w:rPr>
        <w:t>Repevax</w:t>
      </w:r>
      <w:proofErr w:type="spellEnd"/>
      <w:r w:rsidRPr="00B108A6">
        <w:rPr>
          <w:b/>
          <w:sz w:val="24"/>
          <w:szCs w:val="24"/>
          <w:lang w:val="en-GB"/>
        </w:rPr>
        <w:t xml:space="preserve">, </w:t>
      </w:r>
      <w:r w:rsidR="00D853AB" w:rsidRPr="00B108A6">
        <w:rPr>
          <w:b/>
          <w:bCs/>
          <w:sz w:val="24"/>
          <w:szCs w:val="24"/>
          <w:lang w:val="en-GB"/>
        </w:rPr>
        <w:t>s</w:t>
      </w:r>
      <w:r w:rsidR="00D853AB" w:rsidRPr="00B108A6">
        <w:rPr>
          <w:b/>
          <w:sz w:val="24"/>
          <w:szCs w:val="24"/>
          <w:lang w:val="en-GB"/>
        </w:rPr>
        <w:t>uspension for injection, in pre-filled syringe</w:t>
      </w:r>
    </w:p>
    <w:p w14:paraId="3FD0F9A9" w14:textId="77777777" w:rsidR="007C5D2A" w:rsidRPr="00B108A6" w:rsidRDefault="007C5D2A" w:rsidP="007C5D2A">
      <w:pPr>
        <w:jc w:val="both"/>
        <w:rPr>
          <w:sz w:val="24"/>
          <w:szCs w:val="24"/>
          <w:lang w:val="en-GB"/>
        </w:rPr>
      </w:pPr>
    </w:p>
    <w:p w14:paraId="4F06AAB3" w14:textId="77777777" w:rsidR="0042292D" w:rsidRPr="00B108A6" w:rsidRDefault="0042292D" w:rsidP="00331F85">
      <w:pPr>
        <w:jc w:val="both"/>
        <w:rPr>
          <w:sz w:val="24"/>
          <w:szCs w:val="24"/>
          <w:lang w:val="en-GB"/>
        </w:rPr>
      </w:pPr>
    </w:p>
    <w:p w14:paraId="4DCF7ADB" w14:textId="77777777" w:rsidR="008F2F8C" w:rsidRPr="00B108A6" w:rsidRDefault="008F2F8C" w:rsidP="00331F85">
      <w:pPr>
        <w:tabs>
          <w:tab w:val="left" w:pos="8222"/>
        </w:tabs>
        <w:ind w:left="851" w:hanging="851"/>
        <w:rPr>
          <w:b/>
          <w:sz w:val="24"/>
          <w:szCs w:val="24"/>
          <w:lang w:val="en-GB"/>
        </w:rPr>
      </w:pPr>
      <w:r w:rsidRPr="00B108A6">
        <w:rPr>
          <w:b/>
          <w:sz w:val="24"/>
          <w:szCs w:val="24"/>
          <w:lang w:val="en-GB"/>
        </w:rPr>
        <w:t>0.</w:t>
      </w:r>
      <w:r w:rsidRPr="00B108A6">
        <w:rPr>
          <w:b/>
          <w:sz w:val="24"/>
          <w:szCs w:val="24"/>
          <w:lang w:val="en-GB"/>
        </w:rPr>
        <w:tab/>
      </w:r>
      <w:proofErr w:type="gramStart"/>
      <w:r w:rsidRPr="00B108A6">
        <w:rPr>
          <w:b/>
          <w:sz w:val="24"/>
          <w:szCs w:val="24"/>
          <w:lang w:val="en-GB"/>
        </w:rPr>
        <w:t>D.SP.NO</w:t>
      </w:r>
      <w:proofErr w:type="gramEnd"/>
      <w:r w:rsidRPr="00B108A6">
        <w:rPr>
          <w:b/>
          <w:sz w:val="24"/>
          <w:szCs w:val="24"/>
          <w:lang w:val="en-GB"/>
        </w:rPr>
        <w:t>.</w:t>
      </w:r>
    </w:p>
    <w:p w14:paraId="2BA8F7A1" w14:textId="767DDC49" w:rsidR="008F2F8C" w:rsidRPr="00B108A6" w:rsidRDefault="005E09AD" w:rsidP="00331F85">
      <w:pPr>
        <w:tabs>
          <w:tab w:val="left" w:pos="8222"/>
        </w:tabs>
        <w:ind w:left="851"/>
        <w:rPr>
          <w:sz w:val="24"/>
          <w:szCs w:val="24"/>
          <w:lang w:val="en-GB"/>
        </w:rPr>
      </w:pPr>
      <w:r w:rsidRPr="00B108A6">
        <w:rPr>
          <w:sz w:val="24"/>
          <w:szCs w:val="24"/>
          <w:lang w:val="en-GB"/>
        </w:rPr>
        <w:t>21301</w:t>
      </w:r>
    </w:p>
    <w:p w14:paraId="0C30ADB0" w14:textId="77777777" w:rsidR="007C5D2A" w:rsidRPr="00B108A6" w:rsidRDefault="007C5D2A" w:rsidP="00331F85">
      <w:pPr>
        <w:tabs>
          <w:tab w:val="left" w:pos="851"/>
        </w:tabs>
        <w:jc w:val="both"/>
        <w:rPr>
          <w:sz w:val="24"/>
          <w:szCs w:val="24"/>
          <w:lang w:val="en-GB"/>
        </w:rPr>
      </w:pPr>
    </w:p>
    <w:p w14:paraId="4283F661" w14:textId="77777777" w:rsidR="007C5D2A" w:rsidRPr="00B108A6" w:rsidRDefault="009925C9" w:rsidP="00331F85">
      <w:pPr>
        <w:tabs>
          <w:tab w:val="left" w:pos="851"/>
        </w:tabs>
        <w:ind w:left="851" w:hanging="851"/>
        <w:rPr>
          <w:sz w:val="24"/>
          <w:szCs w:val="24"/>
          <w:lang w:val="en-GB"/>
        </w:rPr>
      </w:pPr>
      <w:r w:rsidRPr="00B108A6">
        <w:rPr>
          <w:b/>
          <w:sz w:val="24"/>
          <w:szCs w:val="24"/>
          <w:lang w:val="en-GB"/>
        </w:rPr>
        <w:t>1.</w:t>
      </w:r>
      <w:r w:rsidR="007C5D2A" w:rsidRPr="00B108A6">
        <w:rPr>
          <w:b/>
          <w:sz w:val="24"/>
          <w:szCs w:val="24"/>
          <w:lang w:val="en-GB"/>
        </w:rPr>
        <w:tab/>
        <w:t>NAME OF THE MEDICINAL PRODUCT</w:t>
      </w:r>
    </w:p>
    <w:p w14:paraId="5B8FBEFA" w14:textId="4968792F" w:rsidR="007C5D2A" w:rsidRPr="00B108A6" w:rsidRDefault="005E09AD" w:rsidP="00331F85">
      <w:pPr>
        <w:ind w:left="851"/>
        <w:rPr>
          <w:sz w:val="24"/>
          <w:szCs w:val="24"/>
          <w:lang w:val="en-GB"/>
        </w:rPr>
      </w:pPr>
      <w:proofErr w:type="spellStart"/>
      <w:r w:rsidRPr="00B108A6">
        <w:rPr>
          <w:sz w:val="24"/>
          <w:szCs w:val="24"/>
          <w:lang w:val="en-GB"/>
        </w:rPr>
        <w:t>Repevax</w:t>
      </w:r>
      <w:proofErr w:type="spellEnd"/>
    </w:p>
    <w:p w14:paraId="349E718F" w14:textId="18980BD1" w:rsidR="007C5D2A" w:rsidRPr="00B108A6" w:rsidRDefault="007C5D2A" w:rsidP="00331F85">
      <w:pPr>
        <w:ind w:left="851"/>
        <w:rPr>
          <w:sz w:val="24"/>
          <w:szCs w:val="24"/>
          <w:lang w:val="en-GB"/>
        </w:rPr>
      </w:pPr>
    </w:p>
    <w:p w14:paraId="650A8130" w14:textId="77777777" w:rsidR="00D853AB" w:rsidRPr="00B108A6" w:rsidRDefault="00D853AB" w:rsidP="00331F85">
      <w:pPr>
        <w:ind w:left="851"/>
        <w:rPr>
          <w:sz w:val="24"/>
          <w:szCs w:val="24"/>
          <w:lang w:val="en-GB"/>
        </w:rPr>
      </w:pPr>
      <w:r w:rsidRPr="00B108A6">
        <w:rPr>
          <w:sz w:val="24"/>
          <w:szCs w:val="24"/>
          <w:lang w:val="en-GB"/>
        </w:rPr>
        <w:t>Diphtheria, Tetanus, Pertussis (acellular, component) and Poliomyelitis (inactivated) Vaccine (adsorbed, reduced antigen(s) content)</w:t>
      </w:r>
    </w:p>
    <w:p w14:paraId="1C0A1770" w14:textId="77777777" w:rsidR="00D853AB" w:rsidRPr="00B108A6" w:rsidRDefault="00D853AB" w:rsidP="00331F85">
      <w:pPr>
        <w:tabs>
          <w:tab w:val="left" w:pos="851"/>
        </w:tabs>
        <w:ind w:left="851"/>
        <w:rPr>
          <w:sz w:val="24"/>
          <w:szCs w:val="24"/>
          <w:lang w:val="en-GB"/>
        </w:rPr>
      </w:pPr>
    </w:p>
    <w:p w14:paraId="3D7754A4" w14:textId="77777777" w:rsidR="007C5D2A" w:rsidRPr="00B108A6" w:rsidRDefault="009925C9" w:rsidP="00331F85">
      <w:pPr>
        <w:ind w:left="851" w:hanging="851"/>
        <w:rPr>
          <w:b/>
          <w:sz w:val="24"/>
          <w:szCs w:val="24"/>
          <w:lang w:val="en-GB"/>
        </w:rPr>
      </w:pPr>
      <w:r w:rsidRPr="00B108A6">
        <w:rPr>
          <w:b/>
          <w:sz w:val="24"/>
          <w:szCs w:val="24"/>
          <w:lang w:val="en-GB"/>
        </w:rPr>
        <w:t>2.</w:t>
      </w:r>
      <w:r w:rsidR="007C5D2A" w:rsidRPr="00B108A6">
        <w:rPr>
          <w:b/>
          <w:sz w:val="24"/>
          <w:szCs w:val="24"/>
          <w:lang w:val="en-GB"/>
        </w:rPr>
        <w:tab/>
        <w:t>QUALITATIVE AND QUANTITATIVE COMPOSITION</w:t>
      </w:r>
    </w:p>
    <w:p w14:paraId="57D2043A" w14:textId="77777777" w:rsidR="00D853AB" w:rsidRPr="00B108A6" w:rsidRDefault="00D853AB" w:rsidP="00331F85">
      <w:pPr>
        <w:ind w:left="851"/>
        <w:rPr>
          <w:sz w:val="24"/>
          <w:szCs w:val="24"/>
          <w:lang w:val="fr-FR"/>
        </w:rPr>
      </w:pPr>
      <w:bookmarkStart w:id="1" w:name="_Hlk42173939"/>
      <w:r w:rsidRPr="00B108A6">
        <w:rPr>
          <w:sz w:val="24"/>
          <w:szCs w:val="24"/>
          <w:lang w:val="fr-FR"/>
        </w:rPr>
        <w:t>1 dose (0.5 mL) contains:</w:t>
      </w:r>
    </w:p>
    <w:p w14:paraId="2EF90B3D" w14:textId="77777777" w:rsidR="00D853AB" w:rsidRPr="00B108A6" w:rsidRDefault="00D853AB" w:rsidP="00331F85">
      <w:pPr>
        <w:tabs>
          <w:tab w:val="left" w:leader="dot" w:pos="6237"/>
        </w:tabs>
        <w:ind w:left="1276"/>
        <w:rPr>
          <w:sz w:val="24"/>
          <w:szCs w:val="24"/>
          <w:lang w:val="en-GB"/>
        </w:rPr>
      </w:pPr>
      <w:r w:rsidRPr="00B108A6">
        <w:rPr>
          <w:sz w:val="24"/>
          <w:szCs w:val="24"/>
          <w:lang w:val="en-GB"/>
        </w:rPr>
        <w:t xml:space="preserve">Diphtheria Toxoid </w:t>
      </w:r>
      <w:r w:rsidRPr="00B108A6">
        <w:rPr>
          <w:sz w:val="24"/>
          <w:szCs w:val="24"/>
          <w:lang w:val="en-GB"/>
        </w:rPr>
        <w:tab/>
        <w:t>Not less than 2 IU* (2 </w:t>
      </w:r>
      <w:proofErr w:type="spellStart"/>
      <w:r w:rsidRPr="00B108A6">
        <w:rPr>
          <w:sz w:val="24"/>
          <w:szCs w:val="24"/>
          <w:lang w:val="en-GB"/>
        </w:rPr>
        <w:t>Lf</w:t>
      </w:r>
      <w:proofErr w:type="spellEnd"/>
      <w:r w:rsidRPr="00B108A6">
        <w:rPr>
          <w:sz w:val="24"/>
          <w:szCs w:val="24"/>
          <w:lang w:val="en-GB"/>
        </w:rPr>
        <w:t>)</w:t>
      </w:r>
      <w:r w:rsidRPr="00B108A6">
        <w:rPr>
          <w:sz w:val="24"/>
          <w:szCs w:val="24"/>
          <w:lang w:val="en-GB"/>
        </w:rPr>
        <w:br/>
        <w:t xml:space="preserve">Tetanus Toxoid </w:t>
      </w:r>
      <w:r w:rsidRPr="00B108A6">
        <w:rPr>
          <w:sz w:val="24"/>
          <w:szCs w:val="24"/>
          <w:lang w:val="en-GB"/>
        </w:rPr>
        <w:tab/>
        <w:t>Not less than 20 IU* (5 </w:t>
      </w:r>
      <w:proofErr w:type="spellStart"/>
      <w:r w:rsidRPr="00B108A6">
        <w:rPr>
          <w:sz w:val="24"/>
          <w:szCs w:val="24"/>
          <w:lang w:val="en-GB"/>
        </w:rPr>
        <w:t>Lf</w:t>
      </w:r>
      <w:proofErr w:type="spellEnd"/>
      <w:r w:rsidRPr="00B108A6">
        <w:rPr>
          <w:sz w:val="24"/>
          <w:szCs w:val="24"/>
          <w:lang w:val="en-GB"/>
        </w:rPr>
        <w:t>)</w:t>
      </w:r>
      <w:r w:rsidRPr="00B108A6">
        <w:rPr>
          <w:sz w:val="24"/>
          <w:szCs w:val="24"/>
          <w:lang w:val="en-GB"/>
        </w:rPr>
        <w:br/>
        <w:t>Pertussis Antigens</w:t>
      </w:r>
    </w:p>
    <w:p w14:paraId="2330DD02" w14:textId="77777777" w:rsidR="00D853AB" w:rsidRPr="00B108A6" w:rsidRDefault="00D853AB" w:rsidP="00331F85">
      <w:pPr>
        <w:tabs>
          <w:tab w:val="left" w:pos="851"/>
          <w:tab w:val="left" w:leader="dot" w:pos="6237"/>
        </w:tabs>
        <w:ind w:left="1560"/>
        <w:rPr>
          <w:sz w:val="24"/>
          <w:szCs w:val="24"/>
          <w:lang w:val="fr-FR"/>
        </w:rPr>
      </w:pPr>
      <w:r w:rsidRPr="00B108A6">
        <w:rPr>
          <w:sz w:val="24"/>
          <w:szCs w:val="24"/>
          <w:lang w:val="fr-FR"/>
        </w:rPr>
        <w:t xml:space="preserve">Pertussis Toxoid </w:t>
      </w:r>
      <w:r w:rsidRPr="00B108A6">
        <w:rPr>
          <w:sz w:val="24"/>
          <w:szCs w:val="24"/>
          <w:lang w:val="fr-FR"/>
        </w:rPr>
        <w:tab/>
        <w:t xml:space="preserve">2.5 micrograms </w:t>
      </w:r>
    </w:p>
    <w:p w14:paraId="249B51E5" w14:textId="77777777" w:rsidR="00D853AB" w:rsidRPr="00B108A6" w:rsidRDefault="00D853AB" w:rsidP="00331F85">
      <w:pPr>
        <w:tabs>
          <w:tab w:val="left" w:pos="851"/>
          <w:tab w:val="left" w:leader="dot" w:pos="6237"/>
        </w:tabs>
        <w:ind w:left="1560"/>
        <w:rPr>
          <w:sz w:val="24"/>
          <w:szCs w:val="24"/>
          <w:lang w:val="fr-FR"/>
        </w:rPr>
      </w:pPr>
      <w:r w:rsidRPr="00B108A6">
        <w:rPr>
          <w:sz w:val="24"/>
          <w:szCs w:val="24"/>
          <w:lang w:val="fr-FR"/>
        </w:rPr>
        <w:t xml:space="preserve">Filamentous Haemagglutinin </w:t>
      </w:r>
      <w:r w:rsidRPr="00B108A6">
        <w:rPr>
          <w:sz w:val="24"/>
          <w:szCs w:val="24"/>
          <w:lang w:val="fr-FR"/>
        </w:rPr>
        <w:tab/>
        <w:t xml:space="preserve">5 micrograms </w:t>
      </w:r>
    </w:p>
    <w:p w14:paraId="75A1928F" w14:textId="77777777" w:rsidR="00D853AB" w:rsidRPr="00B108A6" w:rsidRDefault="00D853AB" w:rsidP="00331F85">
      <w:pPr>
        <w:tabs>
          <w:tab w:val="left" w:pos="851"/>
          <w:tab w:val="left" w:leader="dot" w:pos="6237"/>
        </w:tabs>
        <w:ind w:left="1560"/>
        <w:rPr>
          <w:sz w:val="24"/>
          <w:szCs w:val="24"/>
          <w:lang w:val="en-GB"/>
        </w:rPr>
      </w:pPr>
      <w:r w:rsidRPr="00B108A6">
        <w:rPr>
          <w:sz w:val="24"/>
          <w:szCs w:val="24"/>
          <w:lang w:val="en-GB"/>
        </w:rPr>
        <w:t xml:space="preserve">Pertactin </w:t>
      </w:r>
      <w:r w:rsidRPr="00B108A6">
        <w:rPr>
          <w:sz w:val="24"/>
          <w:szCs w:val="24"/>
          <w:lang w:val="en-GB"/>
        </w:rPr>
        <w:tab/>
        <w:t xml:space="preserve">3 micrograms </w:t>
      </w:r>
    </w:p>
    <w:p w14:paraId="52806605" w14:textId="77777777" w:rsidR="00D853AB" w:rsidRPr="00B108A6" w:rsidRDefault="00D853AB" w:rsidP="00331F85">
      <w:pPr>
        <w:tabs>
          <w:tab w:val="left" w:pos="851"/>
          <w:tab w:val="left" w:leader="dot" w:pos="6237"/>
        </w:tabs>
        <w:ind w:left="1560"/>
        <w:rPr>
          <w:sz w:val="24"/>
          <w:szCs w:val="24"/>
          <w:lang w:val="en-GB"/>
        </w:rPr>
      </w:pPr>
      <w:r w:rsidRPr="00B108A6">
        <w:rPr>
          <w:sz w:val="24"/>
          <w:szCs w:val="24"/>
          <w:lang w:val="en-GB"/>
        </w:rPr>
        <w:t xml:space="preserve">Fimbriae Types 2 and 3 </w:t>
      </w:r>
      <w:r w:rsidRPr="00B108A6">
        <w:rPr>
          <w:sz w:val="24"/>
          <w:szCs w:val="24"/>
          <w:lang w:val="en-GB"/>
        </w:rPr>
        <w:tab/>
        <w:t xml:space="preserve">5 micrograms </w:t>
      </w:r>
    </w:p>
    <w:p w14:paraId="22D6A137" w14:textId="77777777" w:rsidR="00D853AB" w:rsidRPr="00B108A6" w:rsidRDefault="00D853AB" w:rsidP="00331F85">
      <w:pPr>
        <w:tabs>
          <w:tab w:val="left" w:leader="dot" w:pos="6237"/>
        </w:tabs>
        <w:ind w:left="1276"/>
        <w:rPr>
          <w:sz w:val="24"/>
          <w:szCs w:val="24"/>
          <w:lang w:val="en-GB"/>
        </w:rPr>
      </w:pPr>
      <w:r w:rsidRPr="00B108A6">
        <w:rPr>
          <w:sz w:val="24"/>
          <w:szCs w:val="24"/>
          <w:lang w:val="en-GB"/>
        </w:rPr>
        <w:t>Poliovirus (Inactivated)**</w:t>
      </w:r>
    </w:p>
    <w:p w14:paraId="1EF374D4" w14:textId="77777777" w:rsidR="00D853AB" w:rsidRPr="00B108A6" w:rsidRDefault="00D853AB" w:rsidP="00331F85">
      <w:pPr>
        <w:tabs>
          <w:tab w:val="left" w:pos="851"/>
          <w:tab w:val="left" w:leader="dot" w:pos="6237"/>
        </w:tabs>
        <w:ind w:left="1560"/>
        <w:rPr>
          <w:sz w:val="24"/>
          <w:szCs w:val="24"/>
          <w:lang w:val="en-GB"/>
        </w:rPr>
      </w:pPr>
      <w:r w:rsidRPr="00B108A6">
        <w:rPr>
          <w:sz w:val="24"/>
          <w:szCs w:val="24"/>
          <w:lang w:val="en-GB"/>
        </w:rPr>
        <w:t>Type 1 (Mahoney)</w:t>
      </w:r>
      <w:r w:rsidRPr="00B108A6">
        <w:rPr>
          <w:sz w:val="24"/>
          <w:szCs w:val="24"/>
          <w:lang w:val="en-GB"/>
        </w:rPr>
        <w:tab/>
        <w:t>40 D antigen units</w:t>
      </w:r>
    </w:p>
    <w:p w14:paraId="7CD5A52E" w14:textId="77777777" w:rsidR="00D853AB" w:rsidRPr="00B108A6" w:rsidRDefault="00D853AB" w:rsidP="00331F85">
      <w:pPr>
        <w:tabs>
          <w:tab w:val="left" w:pos="851"/>
          <w:tab w:val="left" w:leader="dot" w:pos="6237"/>
        </w:tabs>
        <w:ind w:left="1560"/>
        <w:rPr>
          <w:sz w:val="24"/>
          <w:szCs w:val="24"/>
          <w:lang w:val="de-DE"/>
        </w:rPr>
      </w:pPr>
      <w:r w:rsidRPr="00B108A6">
        <w:rPr>
          <w:sz w:val="24"/>
          <w:szCs w:val="24"/>
          <w:lang w:val="de-DE"/>
        </w:rPr>
        <w:t>Type 2 (MEF1)</w:t>
      </w:r>
      <w:r w:rsidRPr="00B108A6">
        <w:rPr>
          <w:sz w:val="24"/>
          <w:szCs w:val="24"/>
          <w:lang w:val="de-DE"/>
        </w:rPr>
        <w:tab/>
        <w:t xml:space="preserve">8 D </w:t>
      </w:r>
      <w:proofErr w:type="spellStart"/>
      <w:r w:rsidRPr="00B108A6">
        <w:rPr>
          <w:sz w:val="24"/>
          <w:szCs w:val="24"/>
          <w:lang w:val="de-DE"/>
        </w:rPr>
        <w:t>antigen</w:t>
      </w:r>
      <w:proofErr w:type="spellEnd"/>
      <w:r w:rsidRPr="00B108A6">
        <w:rPr>
          <w:sz w:val="24"/>
          <w:szCs w:val="24"/>
          <w:lang w:val="de-DE"/>
        </w:rPr>
        <w:t xml:space="preserve"> </w:t>
      </w:r>
      <w:proofErr w:type="spellStart"/>
      <w:r w:rsidRPr="00B108A6">
        <w:rPr>
          <w:sz w:val="24"/>
          <w:szCs w:val="24"/>
          <w:lang w:val="de-DE"/>
        </w:rPr>
        <w:t>units</w:t>
      </w:r>
      <w:proofErr w:type="spellEnd"/>
    </w:p>
    <w:p w14:paraId="2B2ED072" w14:textId="77777777" w:rsidR="00D853AB" w:rsidRPr="00B108A6" w:rsidRDefault="00D853AB" w:rsidP="00331F85">
      <w:pPr>
        <w:tabs>
          <w:tab w:val="left" w:pos="851"/>
          <w:tab w:val="left" w:leader="dot" w:pos="6237"/>
        </w:tabs>
        <w:ind w:left="1560"/>
        <w:rPr>
          <w:sz w:val="24"/>
          <w:szCs w:val="24"/>
          <w:lang w:val="de-DE"/>
        </w:rPr>
      </w:pPr>
      <w:r w:rsidRPr="00B108A6">
        <w:rPr>
          <w:sz w:val="24"/>
          <w:szCs w:val="24"/>
          <w:lang w:val="de-DE"/>
        </w:rPr>
        <w:t>Type 3 (</w:t>
      </w:r>
      <w:proofErr w:type="spellStart"/>
      <w:r w:rsidRPr="00B108A6">
        <w:rPr>
          <w:sz w:val="24"/>
          <w:szCs w:val="24"/>
          <w:lang w:val="de-DE"/>
        </w:rPr>
        <w:t>Saukett</w:t>
      </w:r>
      <w:proofErr w:type="spellEnd"/>
      <w:r w:rsidRPr="00B108A6">
        <w:rPr>
          <w:sz w:val="24"/>
          <w:szCs w:val="24"/>
          <w:lang w:val="de-DE"/>
        </w:rPr>
        <w:t>)</w:t>
      </w:r>
      <w:r w:rsidRPr="00B108A6">
        <w:rPr>
          <w:sz w:val="24"/>
          <w:szCs w:val="24"/>
          <w:lang w:val="de-DE"/>
        </w:rPr>
        <w:tab/>
        <w:t xml:space="preserve">32 D </w:t>
      </w:r>
      <w:proofErr w:type="spellStart"/>
      <w:r w:rsidRPr="00B108A6">
        <w:rPr>
          <w:sz w:val="24"/>
          <w:szCs w:val="24"/>
          <w:lang w:val="de-DE"/>
        </w:rPr>
        <w:t>antigen</w:t>
      </w:r>
      <w:proofErr w:type="spellEnd"/>
      <w:r w:rsidRPr="00B108A6">
        <w:rPr>
          <w:sz w:val="24"/>
          <w:szCs w:val="24"/>
          <w:lang w:val="de-DE"/>
        </w:rPr>
        <w:t xml:space="preserve"> </w:t>
      </w:r>
      <w:proofErr w:type="spellStart"/>
      <w:r w:rsidRPr="00B108A6">
        <w:rPr>
          <w:sz w:val="24"/>
          <w:szCs w:val="24"/>
          <w:lang w:val="de-DE"/>
        </w:rPr>
        <w:t>units</w:t>
      </w:r>
      <w:proofErr w:type="spellEnd"/>
    </w:p>
    <w:p w14:paraId="3DFF6D45" w14:textId="77777777" w:rsidR="00D853AB" w:rsidRPr="00B108A6" w:rsidRDefault="00D853AB" w:rsidP="00331F85">
      <w:pPr>
        <w:tabs>
          <w:tab w:val="left" w:leader="dot" w:pos="6237"/>
        </w:tabs>
        <w:ind w:left="1276"/>
        <w:rPr>
          <w:sz w:val="24"/>
          <w:szCs w:val="24"/>
          <w:lang w:val="en-GB"/>
        </w:rPr>
      </w:pPr>
      <w:r w:rsidRPr="00B108A6">
        <w:rPr>
          <w:sz w:val="24"/>
          <w:szCs w:val="24"/>
          <w:lang w:val="en-GB"/>
        </w:rPr>
        <w:t xml:space="preserve">Adsorbed on aluminium phosphate </w:t>
      </w:r>
      <w:r w:rsidRPr="00B108A6">
        <w:rPr>
          <w:sz w:val="24"/>
          <w:szCs w:val="24"/>
          <w:lang w:val="en-GB"/>
        </w:rPr>
        <w:tab/>
        <w:t>1.5 mg (0.33 mg Al</w:t>
      </w:r>
      <w:r w:rsidRPr="00B108A6">
        <w:rPr>
          <w:sz w:val="24"/>
          <w:szCs w:val="24"/>
          <w:vertAlign w:val="superscript"/>
          <w:lang w:val="en-GB"/>
        </w:rPr>
        <w:t>3+</w:t>
      </w:r>
      <w:bookmarkEnd w:id="1"/>
      <w:r w:rsidRPr="00B108A6">
        <w:rPr>
          <w:sz w:val="24"/>
          <w:szCs w:val="24"/>
          <w:lang w:val="en-GB"/>
        </w:rPr>
        <w:t>)</w:t>
      </w:r>
    </w:p>
    <w:p w14:paraId="0B0FD154" w14:textId="77777777" w:rsidR="00D853AB" w:rsidRPr="00B108A6" w:rsidRDefault="00D853AB" w:rsidP="00331F85">
      <w:pPr>
        <w:tabs>
          <w:tab w:val="left" w:pos="360"/>
          <w:tab w:val="left" w:pos="1080"/>
          <w:tab w:val="left" w:pos="4464"/>
        </w:tabs>
        <w:ind w:left="851"/>
        <w:rPr>
          <w:sz w:val="24"/>
          <w:szCs w:val="24"/>
          <w:lang w:val="en-GB"/>
        </w:rPr>
      </w:pPr>
    </w:p>
    <w:p w14:paraId="78DE2E26" w14:textId="77777777" w:rsidR="00D853AB" w:rsidRPr="00B108A6" w:rsidRDefault="00D853AB" w:rsidP="00331F85">
      <w:pPr>
        <w:tabs>
          <w:tab w:val="left" w:pos="4464"/>
        </w:tabs>
        <w:ind w:left="1276" w:hanging="425"/>
        <w:rPr>
          <w:sz w:val="24"/>
          <w:szCs w:val="24"/>
          <w:lang w:val="en-GB"/>
        </w:rPr>
      </w:pPr>
      <w:r w:rsidRPr="00B108A6">
        <w:rPr>
          <w:sz w:val="24"/>
          <w:szCs w:val="24"/>
          <w:lang w:val="en-GB"/>
        </w:rPr>
        <w:t>*</w:t>
      </w:r>
      <w:r w:rsidRPr="00B108A6">
        <w:rPr>
          <w:sz w:val="24"/>
          <w:szCs w:val="24"/>
          <w:lang w:val="en-GB"/>
        </w:rPr>
        <w:tab/>
        <w:t>As lower confidence limit (p = 0.95) of activity measured according to the assay described in the European Pharmacopoeia.</w:t>
      </w:r>
    </w:p>
    <w:p w14:paraId="7E9D4F34" w14:textId="77777777" w:rsidR="00D853AB" w:rsidRPr="00B108A6" w:rsidRDefault="00D853AB" w:rsidP="00331F85">
      <w:pPr>
        <w:tabs>
          <w:tab w:val="left" w:pos="0"/>
          <w:tab w:val="left" w:pos="4464"/>
        </w:tabs>
        <w:ind w:left="1276" w:hanging="425"/>
        <w:rPr>
          <w:sz w:val="24"/>
          <w:szCs w:val="24"/>
          <w:lang w:val="en-GB"/>
        </w:rPr>
      </w:pPr>
      <w:r w:rsidRPr="00B108A6">
        <w:rPr>
          <w:sz w:val="24"/>
          <w:szCs w:val="24"/>
          <w:lang w:val="en-GB"/>
        </w:rPr>
        <w:t>**</w:t>
      </w:r>
      <w:r w:rsidRPr="00B108A6">
        <w:rPr>
          <w:sz w:val="24"/>
          <w:szCs w:val="24"/>
          <w:lang w:val="en-GB"/>
        </w:rPr>
        <w:tab/>
        <w:t xml:space="preserve">Produced in Vero cells. </w:t>
      </w:r>
    </w:p>
    <w:p w14:paraId="73F47134" w14:textId="77777777" w:rsidR="00D853AB" w:rsidRPr="00B108A6" w:rsidRDefault="00D853AB" w:rsidP="00331F85">
      <w:pPr>
        <w:ind w:left="851"/>
        <w:rPr>
          <w:sz w:val="24"/>
          <w:szCs w:val="24"/>
          <w:lang w:val="en-GB"/>
        </w:rPr>
      </w:pPr>
    </w:p>
    <w:p w14:paraId="516A702E" w14:textId="1D477FFB" w:rsidR="005740FB" w:rsidRPr="00B108A6" w:rsidRDefault="00D853AB" w:rsidP="00331F85">
      <w:pPr>
        <w:ind w:left="851"/>
        <w:rPr>
          <w:sz w:val="24"/>
          <w:szCs w:val="24"/>
          <w:lang w:val="en-GB"/>
        </w:rPr>
      </w:pPr>
      <w:r w:rsidRPr="00B108A6">
        <w:rPr>
          <w:sz w:val="24"/>
          <w:szCs w:val="24"/>
          <w:lang w:val="en-GB"/>
        </w:rPr>
        <w:t>R</w:t>
      </w:r>
      <w:r w:rsidR="000A3C99">
        <w:rPr>
          <w:sz w:val="24"/>
          <w:szCs w:val="24"/>
          <w:lang w:val="en-GB"/>
        </w:rPr>
        <w:t>epevax</w:t>
      </w:r>
      <w:r w:rsidRPr="00B108A6">
        <w:rPr>
          <w:sz w:val="24"/>
          <w:szCs w:val="24"/>
          <w:lang w:val="en-GB"/>
        </w:rPr>
        <w:t xml:space="preserve"> may contain traces of formaldehyde, glutaraldehyde, streptomycin, neomycin, polymyxin B and bovine serum albumin, which are used during the manufacturing process (see sections 4.3 and 4.4).</w:t>
      </w:r>
      <w:r w:rsidR="005740FB" w:rsidRPr="00B108A6">
        <w:rPr>
          <w:sz w:val="24"/>
          <w:szCs w:val="24"/>
          <w:lang w:val="en-GB"/>
        </w:rPr>
        <w:t xml:space="preserve"> </w:t>
      </w:r>
    </w:p>
    <w:p w14:paraId="0A486DB3" w14:textId="2A36A359" w:rsidR="00B108A6" w:rsidRDefault="00D853AB" w:rsidP="00F34CCE">
      <w:pPr>
        <w:ind w:left="851"/>
        <w:rPr>
          <w:sz w:val="24"/>
          <w:szCs w:val="24"/>
          <w:lang w:val="en-GB"/>
        </w:rPr>
      </w:pPr>
      <w:r w:rsidRPr="00B108A6">
        <w:rPr>
          <w:sz w:val="24"/>
          <w:szCs w:val="24"/>
          <w:lang w:val="en-GB"/>
        </w:rPr>
        <w:t>For the full list of excipients, see section 6.1.</w:t>
      </w:r>
    </w:p>
    <w:p w14:paraId="0E85CD0C" w14:textId="206EA95B" w:rsidR="007C5D2A" w:rsidRDefault="007C5D2A" w:rsidP="00331F85">
      <w:pPr>
        <w:tabs>
          <w:tab w:val="left" w:pos="851"/>
        </w:tabs>
        <w:ind w:left="851"/>
        <w:rPr>
          <w:sz w:val="24"/>
          <w:szCs w:val="24"/>
          <w:lang w:val="en-GB"/>
        </w:rPr>
      </w:pPr>
    </w:p>
    <w:p w14:paraId="5063D29D" w14:textId="2093A09C" w:rsidR="00273F2B" w:rsidRDefault="00273F2B" w:rsidP="00331F85">
      <w:pPr>
        <w:tabs>
          <w:tab w:val="left" w:pos="851"/>
        </w:tabs>
        <w:ind w:left="851"/>
        <w:rPr>
          <w:sz w:val="24"/>
          <w:szCs w:val="24"/>
          <w:lang w:val="en-GB"/>
        </w:rPr>
      </w:pPr>
    </w:p>
    <w:p w14:paraId="5A8556C3" w14:textId="77777777" w:rsidR="00273F2B" w:rsidRPr="00B108A6" w:rsidRDefault="00273F2B" w:rsidP="00331F85">
      <w:pPr>
        <w:tabs>
          <w:tab w:val="left" w:pos="851"/>
        </w:tabs>
        <w:ind w:left="851"/>
        <w:rPr>
          <w:sz w:val="24"/>
          <w:szCs w:val="24"/>
          <w:lang w:val="en-GB"/>
        </w:rPr>
      </w:pPr>
    </w:p>
    <w:p w14:paraId="17A51325" w14:textId="77777777" w:rsidR="007C5D2A" w:rsidRPr="00B108A6" w:rsidRDefault="007C5D2A" w:rsidP="00331F85">
      <w:pPr>
        <w:tabs>
          <w:tab w:val="left" w:pos="851"/>
        </w:tabs>
        <w:ind w:left="851" w:hanging="851"/>
        <w:rPr>
          <w:b/>
          <w:sz w:val="24"/>
          <w:szCs w:val="24"/>
          <w:lang w:val="en-GB"/>
        </w:rPr>
      </w:pPr>
      <w:r w:rsidRPr="00B108A6">
        <w:rPr>
          <w:b/>
          <w:sz w:val="24"/>
          <w:szCs w:val="24"/>
          <w:lang w:val="en-GB"/>
        </w:rPr>
        <w:lastRenderedPageBreak/>
        <w:t>3.</w:t>
      </w:r>
      <w:r w:rsidRPr="00B108A6">
        <w:rPr>
          <w:b/>
          <w:sz w:val="24"/>
          <w:szCs w:val="24"/>
          <w:lang w:val="en-GB"/>
        </w:rPr>
        <w:tab/>
        <w:t>PHARMACEUTICAL FORM</w:t>
      </w:r>
    </w:p>
    <w:p w14:paraId="6EE10019" w14:textId="77777777" w:rsidR="00D853AB" w:rsidRPr="00B108A6" w:rsidRDefault="00D853AB" w:rsidP="00331F85">
      <w:pPr>
        <w:ind w:left="851"/>
        <w:rPr>
          <w:b/>
          <w:sz w:val="24"/>
          <w:szCs w:val="24"/>
          <w:lang w:val="en-GB"/>
        </w:rPr>
      </w:pPr>
      <w:r w:rsidRPr="00B108A6">
        <w:rPr>
          <w:sz w:val="24"/>
          <w:szCs w:val="24"/>
          <w:lang w:val="en-GB"/>
        </w:rPr>
        <w:t>Suspension for injection in pre-filled syringe</w:t>
      </w:r>
    </w:p>
    <w:p w14:paraId="48CDAF1A" w14:textId="77777777" w:rsidR="00D853AB" w:rsidRPr="00B108A6" w:rsidRDefault="00D853AB" w:rsidP="00331F85">
      <w:pPr>
        <w:ind w:left="851"/>
        <w:rPr>
          <w:sz w:val="24"/>
          <w:szCs w:val="24"/>
          <w:lang w:val="en-GB"/>
        </w:rPr>
      </w:pPr>
    </w:p>
    <w:p w14:paraId="15C34134" w14:textId="6F6FE4A6" w:rsidR="00D853AB" w:rsidRPr="00B108A6" w:rsidRDefault="00D853AB" w:rsidP="00331F85">
      <w:pPr>
        <w:ind w:left="851"/>
        <w:rPr>
          <w:sz w:val="24"/>
          <w:szCs w:val="24"/>
          <w:lang w:val="en-GB"/>
        </w:rPr>
      </w:pPr>
      <w:proofErr w:type="spellStart"/>
      <w:r w:rsidRPr="00B108A6">
        <w:rPr>
          <w:sz w:val="24"/>
          <w:szCs w:val="24"/>
          <w:lang w:val="en-GB"/>
        </w:rPr>
        <w:t>R</w:t>
      </w:r>
      <w:r w:rsidR="00B108A6">
        <w:rPr>
          <w:sz w:val="24"/>
          <w:szCs w:val="24"/>
          <w:lang w:val="en-GB"/>
        </w:rPr>
        <w:t>epevax</w:t>
      </w:r>
      <w:proofErr w:type="spellEnd"/>
      <w:r w:rsidRPr="00B108A6">
        <w:rPr>
          <w:sz w:val="24"/>
          <w:szCs w:val="24"/>
          <w:lang w:val="en-GB"/>
        </w:rPr>
        <w:t xml:space="preserve"> appears as a uniform, cloudy, white suspension.</w:t>
      </w:r>
    </w:p>
    <w:p w14:paraId="41994633" w14:textId="77777777" w:rsidR="007C5D2A" w:rsidRPr="00B108A6" w:rsidRDefault="007C5D2A" w:rsidP="00331F85">
      <w:pPr>
        <w:tabs>
          <w:tab w:val="left" w:pos="851"/>
        </w:tabs>
        <w:ind w:left="851"/>
        <w:rPr>
          <w:sz w:val="24"/>
          <w:szCs w:val="24"/>
          <w:lang w:val="en-GB"/>
        </w:rPr>
      </w:pPr>
    </w:p>
    <w:p w14:paraId="3026EFAA" w14:textId="77777777" w:rsidR="007C5D2A" w:rsidRPr="00B108A6" w:rsidRDefault="007C5D2A" w:rsidP="00331F85">
      <w:pPr>
        <w:tabs>
          <w:tab w:val="left" w:pos="851"/>
        </w:tabs>
        <w:ind w:left="851"/>
        <w:rPr>
          <w:sz w:val="24"/>
          <w:szCs w:val="24"/>
          <w:lang w:val="en-GB"/>
        </w:rPr>
      </w:pPr>
    </w:p>
    <w:p w14:paraId="60C51E21" w14:textId="77777777" w:rsidR="007C5D2A" w:rsidRPr="00B108A6" w:rsidRDefault="007C5D2A" w:rsidP="00331F85">
      <w:pPr>
        <w:ind w:left="851" w:hanging="851"/>
        <w:rPr>
          <w:b/>
          <w:sz w:val="24"/>
          <w:szCs w:val="24"/>
          <w:lang w:val="en-GB"/>
        </w:rPr>
      </w:pPr>
      <w:r w:rsidRPr="00B108A6">
        <w:rPr>
          <w:b/>
          <w:sz w:val="24"/>
          <w:szCs w:val="24"/>
          <w:lang w:val="en-GB"/>
        </w:rPr>
        <w:t>4.</w:t>
      </w:r>
      <w:r w:rsidRPr="00B108A6">
        <w:rPr>
          <w:b/>
          <w:sz w:val="24"/>
          <w:szCs w:val="24"/>
          <w:lang w:val="en-GB"/>
        </w:rPr>
        <w:tab/>
        <w:t>CLINICAL PARTICULARS</w:t>
      </w:r>
    </w:p>
    <w:p w14:paraId="0521BBDF" w14:textId="77777777" w:rsidR="007C5D2A" w:rsidRPr="00B108A6" w:rsidRDefault="007C5D2A" w:rsidP="00331F85">
      <w:pPr>
        <w:tabs>
          <w:tab w:val="left" w:pos="851"/>
        </w:tabs>
        <w:ind w:left="851"/>
        <w:rPr>
          <w:sz w:val="24"/>
          <w:szCs w:val="24"/>
          <w:lang w:val="en-GB"/>
        </w:rPr>
      </w:pPr>
    </w:p>
    <w:p w14:paraId="7A31125B" w14:textId="77777777" w:rsidR="007C5D2A" w:rsidRPr="00B108A6" w:rsidRDefault="007C5D2A" w:rsidP="00331F85">
      <w:pPr>
        <w:ind w:left="851" w:hanging="851"/>
        <w:rPr>
          <w:b/>
          <w:sz w:val="24"/>
          <w:szCs w:val="24"/>
          <w:u w:val="single"/>
          <w:lang w:val="en-GB"/>
        </w:rPr>
      </w:pPr>
      <w:r w:rsidRPr="00B108A6">
        <w:rPr>
          <w:b/>
          <w:sz w:val="24"/>
          <w:szCs w:val="24"/>
          <w:lang w:val="en-GB"/>
        </w:rPr>
        <w:t>4.1</w:t>
      </w:r>
      <w:r w:rsidRPr="00B108A6">
        <w:rPr>
          <w:b/>
          <w:sz w:val="24"/>
          <w:szCs w:val="24"/>
          <w:lang w:val="en-GB"/>
        </w:rPr>
        <w:tab/>
        <w:t>Therapeutic indications</w:t>
      </w:r>
    </w:p>
    <w:p w14:paraId="74D0010B" w14:textId="711E099D" w:rsidR="00D853AB" w:rsidRPr="00B108A6" w:rsidRDefault="00B108A6" w:rsidP="00331F85">
      <w:pPr>
        <w:ind w:left="851"/>
        <w:rPr>
          <w:sz w:val="24"/>
          <w:szCs w:val="24"/>
          <w:lang w:val="en-GB"/>
        </w:rPr>
      </w:pPr>
      <w:proofErr w:type="spellStart"/>
      <w:r w:rsidRPr="00B108A6">
        <w:rPr>
          <w:sz w:val="24"/>
          <w:szCs w:val="24"/>
          <w:lang w:val="en-GB"/>
        </w:rPr>
        <w:t>R</w:t>
      </w:r>
      <w:r>
        <w:rPr>
          <w:sz w:val="24"/>
          <w:szCs w:val="24"/>
          <w:lang w:val="en-GB"/>
        </w:rPr>
        <w:t>epevax</w:t>
      </w:r>
      <w:proofErr w:type="spellEnd"/>
      <w:r w:rsidR="00D853AB" w:rsidRPr="00B108A6">
        <w:rPr>
          <w:sz w:val="24"/>
          <w:szCs w:val="24"/>
          <w:lang w:val="en-GB"/>
        </w:rPr>
        <w:t xml:space="preserve"> (Tdap-IPV) is indicated for:</w:t>
      </w:r>
    </w:p>
    <w:p w14:paraId="6AC4F1D0" w14:textId="77777777" w:rsidR="00D853AB" w:rsidRPr="00B108A6" w:rsidRDefault="00D853AB" w:rsidP="00331F85">
      <w:pPr>
        <w:ind w:left="851"/>
        <w:rPr>
          <w:b/>
          <w:bCs/>
          <w:i/>
          <w:iCs/>
          <w:sz w:val="24"/>
          <w:szCs w:val="24"/>
          <w:lang w:val="en-GB"/>
        </w:rPr>
      </w:pPr>
      <w:r w:rsidRPr="00B108A6">
        <w:rPr>
          <w:sz w:val="24"/>
          <w:szCs w:val="24"/>
          <w:lang w:val="en-GB"/>
        </w:rPr>
        <w:t>Active immunization against diphtheria,</w:t>
      </w:r>
      <w:r w:rsidRPr="00B108A6">
        <w:rPr>
          <w:b/>
          <w:i/>
          <w:sz w:val="24"/>
          <w:szCs w:val="24"/>
          <w:lang w:val="en-GB"/>
        </w:rPr>
        <w:t xml:space="preserve"> </w:t>
      </w:r>
      <w:r w:rsidRPr="00B108A6">
        <w:rPr>
          <w:sz w:val="24"/>
          <w:szCs w:val="24"/>
          <w:lang w:val="en-GB"/>
        </w:rPr>
        <w:t>tetanus, pertussis and poliomyelitis in persons from 3 years of age</w:t>
      </w:r>
      <w:r w:rsidRPr="00B108A6">
        <w:rPr>
          <w:b/>
          <w:bCs/>
          <w:i/>
          <w:iCs/>
          <w:sz w:val="24"/>
          <w:szCs w:val="24"/>
          <w:lang w:val="en-GB"/>
        </w:rPr>
        <w:t xml:space="preserve"> </w:t>
      </w:r>
      <w:r w:rsidRPr="00B108A6">
        <w:rPr>
          <w:sz w:val="24"/>
          <w:szCs w:val="24"/>
          <w:lang w:val="en-GB"/>
        </w:rPr>
        <w:t>as a booster following primary immunization.</w:t>
      </w:r>
    </w:p>
    <w:p w14:paraId="207DAB48" w14:textId="77777777" w:rsidR="00D853AB" w:rsidRPr="00B108A6" w:rsidRDefault="00D853AB" w:rsidP="00331F85">
      <w:pPr>
        <w:ind w:left="851"/>
        <w:rPr>
          <w:sz w:val="24"/>
          <w:szCs w:val="24"/>
          <w:lang w:val="en-GB"/>
        </w:rPr>
      </w:pPr>
    </w:p>
    <w:p w14:paraId="1020A03B" w14:textId="0D255557" w:rsidR="00D853AB" w:rsidRPr="00B108A6" w:rsidRDefault="00D853AB" w:rsidP="00331F85">
      <w:pPr>
        <w:ind w:left="851"/>
        <w:rPr>
          <w:sz w:val="24"/>
          <w:szCs w:val="24"/>
          <w:lang w:val="en-GB"/>
        </w:rPr>
      </w:pPr>
      <w:r w:rsidRPr="00B108A6">
        <w:rPr>
          <w:sz w:val="24"/>
          <w:szCs w:val="24"/>
          <w:lang w:val="en-GB"/>
        </w:rPr>
        <w:t>Passive protection against pertussis in early infancy following maternal immunization during pregnancy (see sections 4.2, 4.6 and 5.1).</w:t>
      </w:r>
    </w:p>
    <w:p w14:paraId="4EAFBE51" w14:textId="77777777" w:rsidR="00D853AB" w:rsidRPr="00B108A6" w:rsidRDefault="00D853AB" w:rsidP="00331F85">
      <w:pPr>
        <w:ind w:left="851"/>
        <w:rPr>
          <w:sz w:val="24"/>
          <w:szCs w:val="24"/>
          <w:lang w:val="en-GB"/>
        </w:rPr>
      </w:pPr>
    </w:p>
    <w:p w14:paraId="4724FCD2" w14:textId="15AAE86A" w:rsidR="00D853AB" w:rsidRPr="00B108A6" w:rsidRDefault="00B108A6" w:rsidP="00331F85">
      <w:pPr>
        <w:ind w:left="851"/>
        <w:rPr>
          <w:sz w:val="24"/>
          <w:szCs w:val="24"/>
          <w:lang w:val="en-GB"/>
        </w:rPr>
      </w:pPr>
      <w:proofErr w:type="spellStart"/>
      <w:r w:rsidRPr="00B108A6">
        <w:rPr>
          <w:sz w:val="24"/>
          <w:szCs w:val="24"/>
          <w:lang w:val="en-GB"/>
        </w:rPr>
        <w:t>R</w:t>
      </w:r>
      <w:r>
        <w:rPr>
          <w:sz w:val="24"/>
          <w:szCs w:val="24"/>
          <w:lang w:val="en-GB"/>
        </w:rPr>
        <w:t>epevax</w:t>
      </w:r>
      <w:proofErr w:type="spellEnd"/>
      <w:r w:rsidR="00D853AB" w:rsidRPr="00B108A6">
        <w:rPr>
          <w:sz w:val="24"/>
          <w:szCs w:val="24"/>
          <w:lang w:val="en-GB"/>
        </w:rPr>
        <w:t xml:space="preserve"> should be used in accordance with official recommendations.</w:t>
      </w:r>
    </w:p>
    <w:p w14:paraId="7E714FFC" w14:textId="77777777" w:rsidR="007C5D2A" w:rsidRPr="00B108A6" w:rsidRDefault="007C5D2A" w:rsidP="00331F85">
      <w:pPr>
        <w:tabs>
          <w:tab w:val="left" w:pos="851"/>
        </w:tabs>
        <w:ind w:left="851"/>
        <w:rPr>
          <w:sz w:val="24"/>
          <w:szCs w:val="24"/>
          <w:lang w:val="en-GB"/>
        </w:rPr>
      </w:pPr>
    </w:p>
    <w:p w14:paraId="5C166417" w14:textId="77777777" w:rsidR="007C5D2A" w:rsidRPr="00B108A6" w:rsidRDefault="009925C9" w:rsidP="00331F85">
      <w:pPr>
        <w:tabs>
          <w:tab w:val="left" w:pos="851"/>
        </w:tabs>
        <w:ind w:left="851" w:hanging="851"/>
        <w:rPr>
          <w:sz w:val="24"/>
          <w:szCs w:val="24"/>
          <w:lang w:val="en-GB"/>
        </w:rPr>
      </w:pPr>
      <w:r w:rsidRPr="00B108A6">
        <w:rPr>
          <w:b/>
          <w:sz w:val="24"/>
          <w:szCs w:val="24"/>
          <w:lang w:val="en-GB"/>
        </w:rPr>
        <w:t>4.2</w:t>
      </w:r>
      <w:r w:rsidR="007C5D2A" w:rsidRPr="00B108A6">
        <w:rPr>
          <w:b/>
          <w:sz w:val="24"/>
          <w:szCs w:val="24"/>
          <w:lang w:val="en-GB"/>
        </w:rPr>
        <w:tab/>
        <w:t>Posology and method of administration</w:t>
      </w:r>
    </w:p>
    <w:p w14:paraId="6F203BC6" w14:textId="77777777" w:rsidR="005740FB" w:rsidRPr="00B108A6" w:rsidRDefault="005740FB" w:rsidP="00331F85">
      <w:pPr>
        <w:ind w:left="851"/>
        <w:rPr>
          <w:sz w:val="24"/>
          <w:szCs w:val="24"/>
          <w:u w:val="single"/>
          <w:lang w:val="en-GB"/>
        </w:rPr>
      </w:pPr>
    </w:p>
    <w:p w14:paraId="4E8DD42C" w14:textId="7B5E639B" w:rsidR="00D853AB" w:rsidRPr="00B108A6" w:rsidRDefault="00D853AB" w:rsidP="00331F85">
      <w:pPr>
        <w:ind w:left="851"/>
        <w:rPr>
          <w:b/>
          <w:strike/>
          <w:sz w:val="24"/>
          <w:szCs w:val="24"/>
          <w:lang w:val="en-GB"/>
        </w:rPr>
      </w:pPr>
      <w:r w:rsidRPr="00B108A6">
        <w:rPr>
          <w:sz w:val="24"/>
          <w:szCs w:val="24"/>
          <w:u w:val="single"/>
          <w:lang w:val="en-GB"/>
        </w:rPr>
        <w:t>Posology</w:t>
      </w:r>
    </w:p>
    <w:p w14:paraId="321189FB" w14:textId="77777777" w:rsidR="00D853AB" w:rsidRPr="00B108A6" w:rsidRDefault="00D853AB" w:rsidP="00331F85">
      <w:pPr>
        <w:ind w:left="851"/>
        <w:rPr>
          <w:sz w:val="24"/>
          <w:szCs w:val="24"/>
          <w:lang w:val="en-GB"/>
        </w:rPr>
      </w:pPr>
    </w:p>
    <w:p w14:paraId="65E72E89" w14:textId="77777777" w:rsidR="00D853AB" w:rsidRPr="00B108A6" w:rsidRDefault="00D853AB" w:rsidP="00331F85">
      <w:pPr>
        <w:ind w:left="851"/>
        <w:rPr>
          <w:sz w:val="24"/>
          <w:szCs w:val="24"/>
          <w:lang w:val="en-GB"/>
        </w:rPr>
      </w:pPr>
      <w:r w:rsidRPr="00B108A6">
        <w:rPr>
          <w:sz w:val="24"/>
          <w:szCs w:val="24"/>
          <w:lang w:val="en-GB"/>
        </w:rPr>
        <w:t>A single injection of one (0.5 mL) dose is recommended in all indicated age groups.</w:t>
      </w:r>
    </w:p>
    <w:p w14:paraId="70F11B21" w14:textId="77777777" w:rsidR="00D853AB" w:rsidRPr="00B108A6" w:rsidRDefault="00D853AB" w:rsidP="00331F85">
      <w:pPr>
        <w:ind w:left="851"/>
        <w:rPr>
          <w:sz w:val="24"/>
          <w:szCs w:val="24"/>
          <w:lang w:val="en-GB"/>
        </w:rPr>
      </w:pPr>
    </w:p>
    <w:p w14:paraId="6CAAA743" w14:textId="7A5EC766" w:rsidR="00D853AB" w:rsidRPr="00B108A6" w:rsidRDefault="00D853AB" w:rsidP="00331F85">
      <w:pPr>
        <w:ind w:left="851"/>
        <w:rPr>
          <w:sz w:val="24"/>
          <w:szCs w:val="24"/>
          <w:lang w:val="en-GB"/>
        </w:rPr>
      </w:pPr>
      <w:r w:rsidRPr="00B108A6">
        <w:rPr>
          <w:sz w:val="24"/>
          <w:szCs w:val="24"/>
          <w:lang w:val="en-GB"/>
        </w:rPr>
        <w:t xml:space="preserve">In adolescents and adults with an unknown or incomplete diphtheria or tetanus vaccination status against diphtheria or tetanus, one dose of </w:t>
      </w:r>
      <w:proofErr w:type="spellStart"/>
      <w:r w:rsidR="00B108A6" w:rsidRPr="00B108A6">
        <w:rPr>
          <w:sz w:val="24"/>
          <w:szCs w:val="24"/>
          <w:lang w:val="en-GB"/>
        </w:rPr>
        <w:t>R</w:t>
      </w:r>
      <w:r w:rsidR="00B108A6">
        <w:rPr>
          <w:sz w:val="24"/>
          <w:szCs w:val="24"/>
          <w:lang w:val="en-GB"/>
        </w:rPr>
        <w:t>epevax</w:t>
      </w:r>
      <w:proofErr w:type="spellEnd"/>
      <w:r w:rsidRPr="00B108A6">
        <w:rPr>
          <w:sz w:val="24"/>
          <w:szCs w:val="24"/>
          <w:lang w:val="en-GB"/>
        </w:rPr>
        <w:t xml:space="preserve"> can be administered as part of a vaccination series to protect against pertussis and poliomyelitis and in most cases also against tetanus and diphtheria. One additional dose of a diphtheria- and tetanus- (dT) containing vaccine can be administered one month later followed by a 3rd dose of a diphtheria or dT containing vaccine 6 months after the first dose to optimize protection against disease (see section 5.1). The number and schedule of doses should be determined according to local recommendations.</w:t>
      </w:r>
    </w:p>
    <w:p w14:paraId="69DFB34B" w14:textId="77777777" w:rsidR="00D853AB" w:rsidRPr="00B108A6" w:rsidRDefault="00D853AB" w:rsidP="00331F85">
      <w:pPr>
        <w:ind w:left="851"/>
        <w:rPr>
          <w:sz w:val="24"/>
          <w:szCs w:val="24"/>
          <w:lang w:val="en-GB"/>
        </w:rPr>
      </w:pPr>
    </w:p>
    <w:p w14:paraId="45EE2B1F" w14:textId="2B523347" w:rsidR="00D853AB" w:rsidRPr="00B108A6" w:rsidRDefault="00B108A6" w:rsidP="00331F85">
      <w:pPr>
        <w:ind w:left="851"/>
        <w:rPr>
          <w:sz w:val="24"/>
          <w:szCs w:val="24"/>
          <w:lang w:val="en-GB"/>
        </w:rPr>
      </w:pPr>
      <w:proofErr w:type="spellStart"/>
      <w:r w:rsidRPr="00B108A6">
        <w:rPr>
          <w:sz w:val="24"/>
          <w:szCs w:val="24"/>
          <w:lang w:val="en-GB"/>
        </w:rPr>
        <w:t>R</w:t>
      </w:r>
      <w:r>
        <w:rPr>
          <w:sz w:val="24"/>
          <w:szCs w:val="24"/>
          <w:lang w:val="en-GB"/>
        </w:rPr>
        <w:t>epevax</w:t>
      </w:r>
      <w:proofErr w:type="spellEnd"/>
      <w:r w:rsidR="00D853AB" w:rsidRPr="00B108A6">
        <w:rPr>
          <w:sz w:val="24"/>
          <w:szCs w:val="24"/>
          <w:lang w:val="en-GB"/>
        </w:rPr>
        <w:t xml:space="preserve"> can be used for repeat vaccination to boost immunity to diphtheria, tetanus and pertussis at 5 to </w:t>
      </w:r>
      <w:proofErr w:type="gramStart"/>
      <w:r w:rsidR="00D853AB" w:rsidRPr="00B108A6">
        <w:rPr>
          <w:sz w:val="24"/>
          <w:szCs w:val="24"/>
          <w:lang w:val="en-GB"/>
        </w:rPr>
        <w:t>10 year</w:t>
      </w:r>
      <w:proofErr w:type="gramEnd"/>
      <w:r w:rsidR="00D853AB" w:rsidRPr="00B108A6">
        <w:rPr>
          <w:sz w:val="24"/>
          <w:szCs w:val="24"/>
          <w:lang w:val="en-GB"/>
        </w:rPr>
        <w:t xml:space="preserve"> intervals (see section 5.1). </w:t>
      </w:r>
    </w:p>
    <w:p w14:paraId="5CF92D29" w14:textId="77777777" w:rsidR="00D853AB" w:rsidRPr="00B108A6" w:rsidRDefault="00D853AB" w:rsidP="00331F85">
      <w:pPr>
        <w:ind w:left="851"/>
        <w:rPr>
          <w:bCs/>
          <w:iCs/>
          <w:sz w:val="24"/>
          <w:szCs w:val="24"/>
          <w:lang w:val="en-GB"/>
        </w:rPr>
      </w:pPr>
    </w:p>
    <w:p w14:paraId="5E46631F" w14:textId="2CA0CCBA" w:rsidR="00D853AB" w:rsidRPr="00B108A6" w:rsidRDefault="00B108A6" w:rsidP="00331F85">
      <w:pPr>
        <w:ind w:left="851"/>
        <w:rPr>
          <w:sz w:val="24"/>
          <w:szCs w:val="24"/>
          <w:lang w:val="en-GB"/>
        </w:rPr>
      </w:pPr>
      <w:proofErr w:type="spellStart"/>
      <w:r w:rsidRPr="00B108A6">
        <w:rPr>
          <w:sz w:val="24"/>
          <w:szCs w:val="24"/>
          <w:lang w:val="en-GB"/>
        </w:rPr>
        <w:t>R</w:t>
      </w:r>
      <w:r>
        <w:rPr>
          <w:sz w:val="24"/>
          <w:szCs w:val="24"/>
          <w:lang w:val="en-GB"/>
        </w:rPr>
        <w:t>epevax</w:t>
      </w:r>
      <w:proofErr w:type="spellEnd"/>
      <w:r w:rsidR="00D853AB" w:rsidRPr="00B108A6">
        <w:rPr>
          <w:bCs/>
          <w:iCs/>
          <w:sz w:val="24"/>
          <w:szCs w:val="24"/>
          <w:lang w:val="en-GB"/>
        </w:rPr>
        <w:t xml:space="preserve"> can be used in the management of tetanus prone injuries with or without concomitant administration of Tetanus Immunoglobulin according to official recommendations.</w:t>
      </w:r>
    </w:p>
    <w:p w14:paraId="4D558550" w14:textId="77777777" w:rsidR="00D853AB" w:rsidRPr="00B108A6" w:rsidRDefault="00D853AB" w:rsidP="00331F85">
      <w:pPr>
        <w:ind w:left="851"/>
        <w:rPr>
          <w:sz w:val="24"/>
          <w:szCs w:val="24"/>
          <w:lang w:val="en-GB"/>
        </w:rPr>
      </w:pPr>
    </w:p>
    <w:p w14:paraId="64E81ADD" w14:textId="6BDCFEE5" w:rsidR="00D853AB" w:rsidRPr="00B108A6" w:rsidRDefault="00B108A6" w:rsidP="00331F85">
      <w:pPr>
        <w:ind w:left="851"/>
        <w:rPr>
          <w:sz w:val="24"/>
          <w:szCs w:val="24"/>
          <w:lang w:val="en-GB"/>
        </w:rPr>
      </w:pPr>
      <w:proofErr w:type="spellStart"/>
      <w:r w:rsidRPr="00B108A6">
        <w:rPr>
          <w:sz w:val="24"/>
          <w:szCs w:val="24"/>
          <w:lang w:val="en-GB"/>
        </w:rPr>
        <w:t>R</w:t>
      </w:r>
      <w:r>
        <w:rPr>
          <w:sz w:val="24"/>
          <w:szCs w:val="24"/>
          <w:lang w:val="en-GB"/>
        </w:rPr>
        <w:t>epevax</w:t>
      </w:r>
      <w:proofErr w:type="spellEnd"/>
      <w:r w:rsidR="00D853AB" w:rsidRPr="00B108A6">
        <w:rPr>
          <w:sz w:val="24"/>
          <w:szCs w:val="24"/>
          <w:lang w:val="en-GB"/>
        </w:rPr>
        <w:t xml:space="preserve"> may be administered to pregnant women during the second or third trimester to provide passive protection of infants against pertussis (see sections 4.1, 4.6 and 5.1).</w:t>
      </w:r>
    </w:p>
    <w:p w14:paraId="375B7118" w14:textId="77777777" w:rsidR="00D853AB" w:rsidRPr="00B108A6" w:rsidRDefault="00D853AB" w:rsidP="00331F85">
      <w:pPr>
        <w:ind w:left="851"/>
        <w:rPr>
          <w:i/>
          <w:sz w:val="24"/>
          <w:szCs w:val="24"/>
          <w:lang w:val="en-GB"/>
        </w:rPr>
      </w:pPr>
    </w:p>
    <w:p w14:paraId="4A0E7345" w14:textId="77777777" w:rsidR="00D853AB" w:rsidRPr="00B108A6" w:rsidRDefault="00D853AB" w:rsidP="00331F85">
      <w:pPr>
        <w:ind w:left="851"/>
        <w:rPr>
          <w:bCs/>
          <w:sz w:val="24"/>
          <w:szCs w:val="24"/>
          <w:u w:val="single"/>
          <w:lang w:val="en-GB"/>
        </w:rPr>
      </w:pPr>
      <w:r w:rsidRPr="00B108A6">
        <w:rPr>
          <w:bCs/>
          <w:sz w:val="24"/>
          <w:szCs w:val="24"/>
          <w:u w:val="single"/>
          <w:lang w:val="en-GB"/>
        </w:rPr>
        <w:t>Method of administration</w:t>
      </w:r>
    </w:p>
    <w:p w14:paraId="2768F7D5" w14:textId="77777777" w:rsidR="00D853AB" w:rsidRPr="00B108A6" w:rsidRDefault="00D853AB" w:rsidP="00331F85">
      <w:pPr>
        <w:ind w:left="851"/>
        <w:jc w:val="both"/>
        <w:rPr>
          <w:sz w:val="24"/>
          <w:szCs w:val="24"/>
          <w:lang w:val="en-GB"/>
        </w:rPr>
      </w:pPr>
    </w:p>
    <w:p w14:paraId="00F87116" w14:textId="507A236D" w:rsidR="00D853AB" w:rsidRPr="00B108A6" w:rsidRDefault="00D853AB" w:rsidP="00331F85">
      <w:pPr>
        <w:ind w:left="851"/>
        <w:rPr>
          <w:sz w:val="24"/>
          <w:szCs w:val="24"/>
          <w:lang w:val="en-GB"/>
        </w:rPr>
      </w:pPr>
      <w:r w:rsidRPr="00B108A6">
        <w:rPr>
          <w:sz w:val="24"/>
          <w:szCs w:val="24"/>
          <w:lang w:val="en-GB"/>
        </w:rPr>
        <w:t xml:space="preserve">A single injection of one dose (0.5 mL) of </w:t>
      </w:r>
      <w:proofErr w:type="spellStart"/>
      <w:r w:rsidR="00B108A6" w:rsidRPr="00B108A6">
        <w:rPr>
          <w:sz w:val="24"/>
          <w:szCs w:val="24"/>
          <w:lang w:val="en-GB"/>
        </w:rPr>
        <w:t>R</w:t>
      </w:r>
      <w:r w:rsidR="00B108A6">
        <w:rPr>
          <w:sz w:val="24"/>
          <w:szCs w:val="24"/>
          <w:lang w:val="en-GB"/>
        </w:rPr>
        <w:t>epevax</w:t>
      </w:r>
      <w:proofErr w:type="spellEnd"/>
      <w:r w:rsidRPr="00B108A6">
        <w:rPr>
          <w:sz w:val="24"/>
          <w:szCs w:val="24"/>
          <w:lang w:val="en-GB"/>
        </w:rPr>
        <w:t xml:space="preserve"> should be administered intramuscularly. The preferred site is into the deltoid muscle. </w:t>
      </w:r>
    </w:p>
    <w:p w14:paraId="56171023" w14:textId="77777777" w:rsidR="00D853AB" w:rsidRPr="00B108A6" w:rsidRDefault="00D853AB" w:rsidP="00331F85">
      <w:pPr>
        <w:ind w:left="851"/>
        <w:rPr>
          <w:sz w:val="24"/>
          <w:szCs w:val="24"/>
          <w:lang w:val="en-GB"/>
        </w:rPr>
      </w:pPr>
    </w:p>
    <w:p w14:paraId="4DD302EE" w14:textId="44AA2EA0" w:rsidR="00D853AB" w:rsidRPr="00B108A6" w:rsidRDefault="00B108A6" w:rsidP="00331F85">
      <w:pPr>
        <w:ind w:left="851"/>
        <w:rPr>
          <w:sz w:val="24"/>
          <w:szCs w:val="24"/>
          <w:lang w:val="en-GB"/>
        </w:rPr>
      </w:pPr>
      <w:proofErr w:type="spellStart"/>
      <w:r w:rsidRPr="00B108A6">
        <w:rPr>
          <w:sz w:val="24"/>
          <w:szCs w:val="24"/>
          <w:lang w:val="en-GB"/>
        </w:rPr>
        <w:t>R</w:t>
      </w:r>
      <w:r>
        <w:rPr>
          <w:sz w:val="24"/>
          <w:szCs w:val="24"/>
          <w:lang w:val="en-GB"/>
        </w:rPr>
        <w:t>epevax</w:t>
      </w:r>
      <w:proofErr w:type="spellEnd"/>
      <w:r w:rsidR="00D853AB" w:rsidRPr="00B108A6">
        <w:rPr>
          <w:sz w:val="24"/>
          <w:szCs w:val="24"/>
          <w:lang w:val="en-GB"/>
        </w:rPr>
        <w:t xml:space="preserve"> should not be administered into the gluteal area; intradermal or subcutaneous routes should not be used (in exceptional cases the subcutaneous route may be considered, see section 4.4).</w:t>
      </w:r>
    </w:p>
    <w:p w14:paraId="33243F33" w14:textId="77777777" w:rsidR="00D853AB" w:rsidRPr="00B108A6" w:rsidRDefault="00D853AB" w:rsidP="00331F85">
      <w:pPr>
        <w:ind w:left="851"/>
        <w:rPr>
          <w:i/>
          <w:sz w:val="24"/>
          <w:szCs w:val="24"/>
          <w:lang w:val="en-GB"/>
        </w:rPr>
      </w:pPr>
    </w:p>
    <w:p w14:paraId="10996019" w14:textId="77777777" w:rsidR="00D853AB" w:rsidRPr="00B108A6" w:rsidRDefault="00D853AB" w:rsidP="00331F85">
      <w:pPr>
        <w:ind w:left="851"/>
        <w:rPr>
          <w:i/>
          <w:sz w:val="24"/>
          <w:szCs w:val="24"/>
          <w:lang w:val="en-GB"/>
        </w:rPr>
      </w:pPr>
      <w:r w:rsidRPr="00B108A6">
        <w:rPr>
          <w:i/>
          <w:sz w:val="24"/>
          <w:szCs w:val="24"/>
          <w:lang w:val="en-GB"/>
        </w:rPr>
        <w:t>Precautions to be taken before handling or administering the medicinal product</w:t>
      </w:r>
    </w:p>
    <w:p w14:paraId="67084704" w14:textId="77777777" w:rsidR="00D853AB" w:rsidRPr="00B108A6" w:rsidRDefault="00D853AB" w:rsidP="00331F85">
      <w:pPr>
        <w:ind w:left="851"/>
        <w:rPr>
          <w:sz w:val="24"/>
          <w:szCs w:val="24"/>
          <w:lang w:val="en-GB"/>
        </w:rPr>
      </w:pPr>
    </w:p>
    <w:p w14:paraId="43995D8A" w14:textId="77777777" w:rsidR="00D853AB" w:rsidRPr="00B108A6" w:rsidRDefault="00D853AB" w:rsidP="00331F85">
      <w:pPr>
        <w:ind w:left="851"/>
        <w:rPr>
          <w:sz w:val="24"/>
          <w:szCs w:val="24"/>
          <w:lang w:val="en-GB"/>
        </w:rPr>
      </w:pPr>
      <w:r w:rsidRPr="00B108A6">
        <w:rPr>
          <w:sz w:val="24"/>
          <w:szCs w:val="24"/>
          <w:lang w:val="en-GB"/>
        </w:rPr>
        <w:t>For instructions on handling of the medicinal product before administration, see section 6.6.</w:t>
      </w:r>
    </w:p>
    <w:p w14:paraId="4FEC4A97" w14:textId="77777777" w:rsidR="007C5D2A" w:rsidRPr="00B108A6" w:rsidRDefault="007C5D2A" w:rsidP="00331F85">
      <w:pPr>
        <w:tabs>
          <w:tab w:val="left" w:pos="851"/>
        </w:tabs>
        <w:ind w:left="851"/>
        <w:rPr>
          <w:sz w:val="24"/>
          <w:szCs w:val="24"/>
          <w:lang w:val="en-GB"/>
        </w:rPr>
      </w:pPr>
    </w:p>
    <w:p w14:paraId="36F65EA5" w14:textId="77777777" w:rsidR="007C5D2A" w:rsidRPr="00B108A6" w:rsidRDefault="007C5D2A" w:rsidP="00331F85">
      <w:pPr>
        <w:tabs>
          <w:tab w:val="left" w:pos="851"/>
        </w:tabs>
        <w:ind w:left="851" w:hanging="851"/>
        <w:rPr>
          <w:b/>
          <w:sz w:val="24"/>
          <w:szCs w:val="24"/>
          <w:lang w:val="en-GB"/>
        </w:rPr>
      </w:pPr>
      <w:r w:rsidRPr="00B108A6">
        <w:rPr>
          <w:b/>
          <w:sz w:val="24"/>
          <w:szCs w:val="24"/>
          <w:lang w:val="en-GB"/>
        </w:rPr>
        <w:t>4.3</w:t>
      </w:r>
      <w:r w:rsidRPr="00B108A6">
        <w:rPr>
          <w:b/>
          <w:sz w:val="24"/>
          <w:szCs w:val="24"/>
          <w:lang w:val="en-GB"/>
        </w:rPr>
        <w:tab/>
        <w:t>Contraindications</w:t>
      </w:r>
    </w:p>
    <w:p w14:paraId="1533A809" w14:textId="4C3F7402" w:rsidR="00D853AB" w:rsidRPr="00B108A6" w:rsidRDefault="00B108A6" w:rsidP="00331F85">
      <w:pPr>
        <w:pStyle w:val="Listeafsnit"/>
        <w:numPr>
          <w:ilvl w:val="0"/>
          <w:numId w:val="25"/>
        </w:numPr>
        <w:spacing w:before="0"/>
        <w:ind w:left="1276" w:hanging="425"/>
        <w:rPr>
          <w:szCs w:val="24"/>
          <w:lang w:val="en-GB"/>
        </w:rPr>
      </w:pPr>
      <w:proofErr w:type="spellStart"/>
      <w:r w:rsidRPr="00B108A6">
        <w:rPr>
          <w:szCs w:val="24"/>
          <w:lang w:val="en-GB"/>
        </w:rPr>
        <w:t>R</w:t>
      </w:r>
      <w:r>
        <w:rPr>
          <w:szCs w:val="24"/>
          <w:lang w:val="en-GB"/>
        </w:rPr>
        <w:t>epevax</w:t>
      </w:r>
      <w:proofErr w:type="spellEnd"/>
      <w:r w:rsidR="00D853AB" w:rsidRPr="00B108A6">
        <w:rPr>
          <w:szCs w:val="24"/>
          <w:lang w:val="en-GB"/>
        </w:rPr>
        <w:t xml:space="preserve"> should not be administered to persons with known hypersensitivity</w:t>
      </w:r>
    </w:p>
    <w:p w14:paraId="79C22ED1" w14:textId="77777777" w:rsidR="00D853AB" w:rsidRPr="00B108A6" w:rsidRDefault="00D853AB" w:rsidP="00331F85">
      <w:pPr>
        <w:pStyle w:val="Listeafsnit"/>
        <w:numPr>
          <w:ilvl w:val="0"/>
          <w:numId w:val="27"/>
        </w:numPr>
        <w:spacing w:before="0"/>
        <w:ind w:left="1560" w:hanging="284"/>
        <w:rPr>
          <w:szCs w:val="24"/>
          <w:lang w:val="en-GB"/>
        </w:rPr>
      </w:pPr>
      <w:r w:rsidRPr="00B108A6">
        <w:rPr>
          <w:szCs w:val="24"/>
          <w:lang w:val="en-GB"/>
        </w:rPr>
        <w:t>to diphtheria, tetanus, pertussis or poliomyelitis vaccines</w:t>
      </w:r>
    </w:p>
    <w:p w14:paraId="298B080E" w14:textId="77777777" w:rsidR="00D853AB" w:rsidRPr="00B108A6" w:rsidRDefault="00D853AB" w:rsidP="00331F85">
      <w:pPr>
        <w:pStyle w:val="Listeafsnit"/>
        <w:numPr>
          <w:ilvl w:val="0"/>
          <w:numId w:val="27"/>
        </w:numPr>
        <w:spacing w:before="0"/>
        <w:ind w:left="1560" w:hanging="284"/>
        <w:rPr>
          <w:szCs w:val="24"/>
          <w:lang w:val="en-GB"/>
        </w:rPr>
      </w:pPr>
      <w:r w:rsidRPr="00B108A6">
        <w:rPr>
          <w:szCs w:val="24"/>
          <w:lang w:val="en-GB"/>
        </w:rPr>
        <w:t>to any other component of the vaccine (see Section 6.1)</w:t>
      </w:r>
    </w:p>
    <w:p w14:paraId="55C0CBF0" w14:textId="77777777" w:rsidR="00D853AB" w:rsidRPr="00B108A6" w:rsidRDefault="00D853AB" w:rsidP="00331F85">
      <w:pPr>
        <w:pStyle w:val="Listeafsnit"/>
        <w:numPr>
          <w:ilvl w:val="0"/>
          <w:numId w:val="27"/>
        </w:numPr>
        <w:spacing w:before="0"/>
        <w:ind w:left="1560" w:hanging="284"/>
        <w:rPr>
          <w:szCs w:val="24"/>
          <w:lang w:val="en-GB"/>
        </w:rPr>
      </w:pPr>
      <w:r w:rsidRPr="00B108A6">
        <w:rPr>
          <w:szCs w:val="24"/>
          <w:lang w:val="en-GB"/>
        </w:rPr>
        <w:t>to any residual substances carried over from manufacture (formaldehyde, glutaraldehyde, streptomycin, neomycin, polymyxin B and bovine serum albumin), which may be present in undetectable trace amounts.</w:t>
      </w:r>
    </w:p>
    <w:p w14:paraId="605CA1A2" w14:textId="267EDD47" w:rsidR="00D853AB" w:rsidRPr="00B108A6" w:rsidRDefault="00B108A6" w:rsidP="00331F85">
      <w:pPr>
        <w:pStyle w:val="Listeafsnit"/>
        <w:numPr>
          <w:ilvl w:val="0"/>
          <w:numId w:val="25"/>
        </w:numPr>
        <w:spacing w:before="0"/>
        <w:ind w:left="1276" w:hanging="425"/>
        <w:rPr>
          <w:szCs w:val="24"/>
          <w:lang w:val="en-GB"/>
        </w:rPr>
      </w:pPr>
      <w:proofErr w:type="spellStart"/>
      <w:r w:rsidRPr="00B108A6">
        <w:rPr>
          <w:szCs w:val="24"/>
          <w:lang w:val="en-GB"/>
        </w:rPr>
        <w:t>R</w:t>
      </w:r>
      <w:r>
        <w:rPr>
          <w:szCs w:val="24"/>
          <w:lang w:val="en-GB"/>
        </w:rPr>
        <w:t>epevax</w:t>
      </w:r>
      <w:proofErr w:type="spellEnd"/>
      <w:r w:rsidR="00D853AB" w:rsidRPr="00B108A6">
        <w:rPr>
          <w:szCs w:val="24"/>
          <w:lang w:val="en-GB"/>
        </w:rPr>
        <w:t xml:space="preserve"> should not be administered to persons who experienced an encephalopathy of unknown origin within 7 days of previous immunization with a pertussis-containing vaccine.</w:t>
      </w:r>
    </w:p>
    <w:p w14:paraId="5CB1AFD2" w14:textId="33E65333" w:rsidR="00D853AB" w:rsidRPr="00B108A6" w:rsidRDefault="00D853AB" w:rsidP="00331F85">
      <w:pPr>
        <w:pStyle w:val="Listeafsnit"/>
        <w:numPr>
          <w:ilvl w:val="0"/>
          <w:numId w:val="25"/>
        </w:numPr>
        <w:spacing w:before="0"/>
        <w:ind w:left="1276" w:hanging="425"/>
        <w:rPr>
          <w:szCs w:val="24"/>
          <w:lang w:val="en-GB"/>
        </w:rPr>
      </w:pPr>
      <w:r w:rsidRPr="00B108A6">
        <w:rPr>
          <w:szCs w:val="24"/>
          <w:lang w:val="en-GB"/>
        </w:rPr>
        <w:t xml:space="preserve">As with other vaccines, administration of </w:t>
      </w:r>
      <w:proofErr w:type="spellStart"/>
      <w:r w:rsidR="00B108A6" w:rsidRPr="00B108A6">
        <w:rPr>
          <w:szCs w:val="24"/>
          <w:lang w:val="en-GB"/>
        </w:rPr>
        <w:t>R</w:t>
      </w:r>
      <w:r w:rsidR="00B108A6">
        <w:rPr>
          <w:szCs w:val="24"/>
          <w:lang w:val="en-GB"/>
        </w:rPr>
        <w:t>epevax</w:t>
      </w:r>
      <w:proofErr w:type="spellEnd"/>
      <w:r w:rsidRPr="00B108A6">
        <w:rPr>
          <w:szCs w:val="24"/>
          <w:lang w:val="en-GB"/>
        </w:rPr>
        <w:t xml:space="preserve"> should be postponed in persons suffering from an acute severe febrile illness. The presence of a minor infection (e.g., mild upper respiratory infection) is not a contraindication.</w:t>
      </w:r>
    </w:p>
    <w:p w14:paraId="35A77FCA" w14:textId="77777777" w:rsidR="007C5D2A" w:rsidRPr="00B108A6" w:rsidRDefault="007C5D2A" w:rsidP="00331F85">
      <w:pPr>
        <w:tabs>
          <w:tab w:val="left" w:pos="851"/>
        </w:tabs>
        <w:ind w:left="851"/>
        <w:rPr>
          <w:sz w:val="24"/>
          <w:szCs w:val="24"/>
          <w:lang w:val="en-GB"/>
        </w:rPr>
      </w:pPr>
    </w:p>
    <w:p w14:paraId="75DE4058" w14:textId="77777777" w:rsidR="007C5D2A" w:rsidRPr="00B108A6" w:rsidRDefault="007C5D2A" w:rsidP="00331F85">
      <w:pPr>
        <w:tabs>
          <w:tab w:val="left" w:pos="851"/>
        </w:tabs>
        <w:rPr>
          <w:b/>
          <w:sz w:val="24"/>
          <w:szCs w:val="24"/>
          <w:lang w:val="en-GB"/>
        </w:rPr>
      </w:pPr>
      <w:r w:rsidRPr="00B108A6">
        <w:rPr>
          <w:b/>
          <w:sz w:val="24"/>
          <w:szCs w:val="24"/>
          <w:lang w:val="en-GB"/>
        </w:rPr>
        <w:t>4.4</w:t>
      </w:r>
      <w:r w:rsidRPr="00B108A6">
        <w:rPr>
          <w:b/>
          <w:sz w:val="24"/>
          <w:szCs w:val="24"/>
          <w:lang w:val="en-GB"/>
        </w:rPr>
        <w:tab/>
        <w:t>Special warnings and precautions for use</w:t>
      </w:r>
    </w:p>
    <w:p w14:paraId="18F3DEE7" w14:textId="3195F8E5" w:rsidR="00D853AB" w:rsidRPr="00B108A6" w:rsidRDefault="00B108A6" w:rsidP="00331F85">
      <w:pPr>
        <w:ind w:left="851"/>
        <w:rPr>
          <w:sz w:val="24"/>
          <w:szCs w:val="24"/>
          <w:lang w:val="en-GB"/>
        </w:rPr>
      </w:pPr>
      <w:proofErr w:type="spellStart"/>
      <w:r w:rsidRPr="00B108A6">
        <w:rPr>
          <w:sz w:val="24"/>
          <w:szCs w:val="24"/>
          <w:lang w:val="en-GB"/>
        </w:rPr>
        <w:t>R</w:t>
      </w:r>
      <w:r>
        <w:rPr>
          <w:sz w:val="24"/>
          <w:szCs w:val="24"/>
          <w:lang w:val="en-GB"/>
        </w:rPr>
        <w:t>epevax</w:t>
      </w:r>
      <w:proofErr w:type="spellEnd"/>
      <w:r w:rsidR="00D853AB" w:rsidRPr="00B108A6">
        <w:rPr>
          <w:sz w:val="24"/>
          <w:szCs w:val="24"/>
          <w:lang w:val="en-GB"/>
        </w:rPr>
        <w:t xml:space="preserve"> should not be used for primary immunization.</w:t>
      </w:r>
    </w:p>
    <w:p w14:paraId="5EBB11EB" w14:textId="77777777" w:rsidR="00D853AB" w:rsidRPr="00B108A6" w:rsidRDefault="00D853AB" w:rsidP="00331F85">
      <w:pPr>
        <w:tabs>
          <w:tab w:val="left" w:pos="2880"/>
          <w:tab w:val="left" w:pos="3240"/>
        </w:tabs>
        <w:ind w:left="851"/>
        <w:rPr>
          <w:sz w:val="24"/>
          <w:szCs w:val="24"/>
          <w:lang w:val="en-GB"/>
        </w:rPr>
      </w:pPr>
    </w:p>
    <w:p w14:paraId="49AB4195" w14:textId="6EE3443A" w:rsidR="00D853AB" w:rsidRPr="00B108A6" w:rsidRDefault="00D853AB" w:rsidP="00331F85">
      <w:pPr>
        <w:tabs>
          <w:tab w:val="left" w:pos="2880"/>
          <w:tab w:val="left" w:pos="3240"/>
        </w:tabs>
        <w:ind w:left="851"/>
        <w:rPr>
          <w:sz w:val="24"/>
          <w:szCs w:val="24"/>
          <w:lang w:val="en-GB"/>
        </w:rPr>
      </w:pPr>
      <w:r w:rsidRPr="00B108A6">
        <w:rPr>
          <w:sz w:val="24"/>
          <w:szCs w:val="24"/>
          <w:lang w:val="en-GB"/>
        </w:rPr>
        <w:t xml:space="preserve">Regarding the interval between a booster dose of </w:t>
      </w:r>
      <w:proofErr w:type="spellStart"/>
      <w:r w:rsidR="00B108A6" w:rsidRPr="00B108A6">
        <w:rPr>
          <w:sz w:val="24"/>
          <w:szCs w:val="24"/>
          <w:lang w:val="en-GB"/>
        </w:rPr>
        <w:t>R</w:t>
      </w:r>
      <w:r w:rsidR="00B108A6">
        <w:rPr>
          <w:sz w:val="24"/>
          <w:szCs w:val="24"/>
          <w:lang w:val="en-GB"/>
        </w:rPr>
        <w:t>epevax</w:t>
      </w:r>
      <w:proofErr w:type="spellEnd"/>
      <w:r w:rsidRPr="00B108A6">
        <w:rPr>
          <w:sz w:val="24"/>
          <w:szCs w:val="24"/>
          <w:lang w:val="en-GB"/>
        </w:rPr>
        <w:t xml:space="preserve"> and preceding booster doses of diphtheria and/or tetanus containing vaccines, the official recommendations should generally be followed. Clinical data in adults have demonstrated that there was no clinically relevant difference in rates of adverse reactions associated with administration of </w:t>
      </w:r>
      <w:proofErr w:type="spellStart"/>
      <w:r w:rsidR="00B108A6" w:rsidRPr="00B108A6">
        <w:rPr>
          <w:sz w:val="24"/>
          <w:szCs w:val="24"/>
          <w:lang w:val="en-GB"/>
        </w:rPr>
        <w:t>R</w:t>
      </w:r>
      <w:r w:rsidR="00B108A6">
        <w:rPr>
          <w:sz w:val="24"/>
          <w:szCs w:val="24"/>
          <w:lang w:val="en-GB"/>
        </w:rPr>
        <w:t>epevax</w:t>
      </w:r>
      <w:proofErr w:type="spellEnd"/>
      <w:r w:rsidRPr="00B108A6">
        <w:rPr>
          <w:sz w:val="24"/>
          <w:szCs w:val="24"/>
          <w:lang w:val="en-GB"/>
        </w:rPr>
        <w:t xml:space="preserve"> as early as 4 weeks, compared to at least 5 years after a preceding dose of tetanus and diphtheria-containing vaccine. </w:t>
      </w:r>
    </w:p>
    <w:p w14:paraId="49FFC978" w14:textId="77777777" w:rsidR="00D853AB" w:rsidRPr="00B108A6" w:rsidRDefault="00D853AB" w:rsidP="00331F85">
      <w:pPr>
        <w:ind w:left="851"/>
        <w:rPr>
          <w:sz w:val="24"/>
          <w:szCs w:val="24"/>
          <w:u w:val="single"/>
          <w:lang w:val="en-GB"/>
        </w:rPr>
      </w:pPr>
    </w:p>
    <w:p w14:paraId="74E0E059" w14:textId="77777777" w:rsidR="00D853AB" w:rsidRPr="00B108A6" w:rsidRDefault="00D853AB" w:rsidP="00331F85">
      <w:pPr>
        <w:ind w:left="851"/>
        <w:rPr>
          <w:b/>
          <w:sz w:val="24"/>
          <w:szCs w:val="24"/>
          <w:lang w:val="en-GB"/>
        </w:rPr>
      </w:pPr>
      <w:r w:rsidRPr="00B108A6">
        <w:rPr>
          <w:sz w:val="24"/>
          <w:szCs w:val="24"/>
          <w:u w:val="single"/>
          <w:lang w:val="en-GB"/>
        </w:rPr>
        <w:t>Prior to immunization</w:t>
      </w:r>
    </w:p>
    <w:p w14:paraId="720BBBC7" w14:textId="77777777" w:rsidR="00D853AB" w:rsidRPr="00B108A6" w:rsidRDefault="00D853AB" w:rsidP="00331F85">
      <w:pPr>
        <w:ind w:left="851"/>
        <w:rPr>
          <w:sz w:val="24"/>
          <w:szCs w:val="24"/>
          <w:lang w:val="en-GB"/>
        </w:rPr>
      </w:pPr>
    </w:p>
    <w:p w14:paraId="472FAE77" w14:textId="4055FB01" w:rsidR="00D853AB" w:rsidRPr="00B108A6" w:rsidRDefault="00D853AB" w:rsidP="00331F85">
      <w:pPr>
        <w:ind w:left="851"/>
        <w:rPr>
          <w:sz w:val="24"/>
          <w:szCs w:val="24"/>
          <w:lang w:val="en-GB"/>
        </w:rPr>
      </w:pPr>
      <w:r w:rsidRPr="00B108A6">
        <w:rPr>
          <w:sz w:val="24"/>
          <w:szCs w:val="24"/>
          <w:lang w:val="en-GB"/>
        </w:rPr>
        <w:t xml:space="preserve">Vaccination should be preceded by a review of the person’s medical history (in particular previous vaccinations and possible adverse events). In persons who have a history of serious or severe reaction within 48 hours of a previous injection with a vaccine containing similar components, administration of </w:t>
      </w:r>
      <w:proofErr w:type="spellStart"/>
      <w:r w:rsidR="00B108A6" w:rsidRPr="00B108A6">
        <w:rPr>
          <w:sz w:val="24"/>
          <w:szCs w:val="24"/>
          <w:lang w:val="en-GB"/>
        </w:rPr>
        <w:t>R</w:t>
      </w:r>
      <w:r w:rsidR="00B108A6">
        <w:rPr>
          <w:sz w:val="24"/>
          <w:szCs w:val="24"/>
          <w:lang w:val="en-GB"/>
        </w:rPr>
        <w:t>epevax</w:t>
      </w:r>
      <w:proofErr w:type="spellEnd"/>
      <w:r w:rsidRPr="00B108A6">
        <w:rPr>
          <w:sz w:val="24"/>
          <w:szCs w:val="24"/>
          <w:lang w:val="en-GB"/>
        </w:rPr>
        <w:t xml:space="preserve"> vaccine must be carefully considered.</w:t>
      </w:r>
    </w:p>
    <w:p w14:paraId="0B44D7BC" w14:textId="77777777" w:rsidR="00D853AB" w:rsidRPr="00B108A6" w:rsidRDefault="00D853AB" w:rsidP="00331F85">
      <w:pPr>
        <w:ind w:left="851"/>
        <w:rPr>
          <w:sz w:val="24"/>
          <w:szCs w:val="24"/>
          <w:lang w:val="en-GB"/>
        </w:rPr>
      </w:pPr>
    </w:p>
    <w:p w14:paraId="6B150C3B" w14:textId="77777777" w:rsidR="00D853AB" w:rsidRPr="00B108A6" w:rsidRDefault="00D853AB" w:rsidP="00331F85">
      <w:pPr>
        <w:ind w:left="851"/>
        <w:rPr>
          <w:sz w:val="24"/>
          <w:szCs w:val="24"/>
          <w:lang w:val="en-GB"/>
        </w:rPr>
      </w:pPr>
      <w:r w:rsidRPr="00B108A6">
        <w:rPr>
          <w:sz w:val="24"/>
          <w:szCs w:val="24"/>
          <w:lang w:val="en-GB"/>
        </w:rPr>
        <w:t xml:space="preserve">As with all injectable vaccines, appropriate medical treatment and supervision should be readily available for immediate use in case of a rare anaphylactic reaction following the administration of the vaccine. </w:t>
      </w:r>
    </w:p>
    <w:p w14:paraId="21831179" w14:textId="77777777" w:rsidR="00D853AB" w:rsidRPr="00B108A6" w:rsidRDefault="00D853AB" w:rsidP="00331F85">
      <w:pPr>
        <w:ind w:left="851"/>
        <w:rPr>
          <w:sz w:val="24"/>
          <w:szCs w:val="24"/>
          <w:lang w:val="en-GB"/>
        </w:rPr>
      </w:pPr>
    </w:p>
    <w:p w14:paraId="3C4200EF" w14:textId="1EE3D7F9" w:rsidR="00D853AB" w:rsidRPr="00B108A6" w:rsidRDefault="00D853AB" w:rsidP="00331F85">
      <w:pPr>
        <w:ind w:left="851"/>
        <w:rPr>
          <w:sz w:val="24"/>
          <w:szCs w:val="24"/>
          <w:lang w:val="en-GB"/>
        </w:rPr>
      </w:pPr>
      <w:r w:rsidRPr="00B108A6">
        <w:rPr>
          <w:sz w:val="24"/>
          <w:szCs w:val="24"/>
          <w:lang w:val="en-GB"/>
        </w:rPr>
        <w:t xml:space="preserve">If Guillain-Barré syndrome occurred within 6 weeks of receipt of prior vaccine containing tetanus toxoid, the decision to give any vaccine containing tetanus toxoid, including </w:t>
      </w:r>
      <w:proofErr w:type="spellStart"/>
      <w:r w:rsidR="00B108A6" w:rsidRPr="00B108A6">
        <w:rPr>
          <w:sz w:val="24"/>
          <w:szCs w:val="24"/>
          <w:lang w:val="en-GB"/>
        </w:rPr>
        <w:t>R</w:t>
      </w:r>
      <w:r w:rsidR="00B108A6">
        <w:rPr>
          <w:sz w:val="24"/>
          <w:szCs w:val="24"/>
          <w:lang w:val="en-GB"/>
        </w:rPr>
        <w:t>epevax</w:t>
      </w:r>
      <w:proofErr w:type="spellEnd"/>
      <w:r w:rsidRPr="00B108A6">
        <w:rPr>
          <w:sz w:val="24"/>
          <w:szCs w:val="24"/>
          <w:lang w:val="en-GB"/>
        </w:rPr>
        <w:t>, should be based on careful consideration of the potential benefits and possible risks.</w:t>
      </w:r>
    </w:p>
    <w:p w14:paraId="4B2AB095" w14:textId="77777777" w:rsidR="00D853AB" w:rsidRPr="00B108A6" w:rsidRDefault="00D853AB" w:rsidP="00331F85">
      <w:pPr>
        <w:ind w:left="851"/>
        <w:rPr>
          <w:sz w:val="24"/>
          <w:szCs w:val="24"/>
          <w:lang w:val="en-GB"/>
        </w:rPr>
      </w:pPr>
    </w:p>
    <w:p w14:paraId="3FC52337" w14:textId="48416A70" w:rsidR="00D853AB" w:rsidRPr="00B108A6" w:rsidRDefault="00B108A6" w:rsidP="00331F85">
      <w:pPr>
        <w:ind w:left="851"/>
        <w:rPr>
          <w:sz w:val="24"/>
          <w:szCs w:val="24"/>
          <w:lang w:val="en-GB"/>
        </w:rPr>
      </w:pPr>
      <w:proofErr w:type="spellStart"/>
      <w:r w:rsidRPr="00B108A6">
        <w:rPr>
          <w:sz w:val="24"/>
          <w:szCs w:val="24"/>
          <w:lang w:val="en-GB"/>
        </w:rPr>
        <w:t>R</w:t>
      </w:r>
      <w:r>
        <w:rPr>
          <w:sz w:val="24"/>
          <w:szCs w:val="24"/>
          <w:lang w:val="en-GB"/>
        </w:rPr>
        <w:t>epevax</w:t>
      </w:r>
      <w:proofErr w:type="spellEnd"/>
      <w:r w:rsidR="00D853AB" w:rsidRPr="00B108A6">
        <w:rPr>
          <w:sz w:val="24"/>
          <w:szCs w:val="24"/>
          <w:lang w:val="en-GB"/>
        </w:rPr>
        <w:t xml:space="preserve"> should not be administered to individuals with a progressive or unstable neurological disorder, uncontrolled epilepsy or progressive encephalopathy until a treatment regimen has been established and the condition has stabilized.</w:t>
      </w:r>
    </w:p>
    <w:p w14:paraId="08E4BBB7" w14:textId="77777777" w:rsidR="00D853AB" w:rsidRPr="00B108A6" w:rsidRDefault="00D853AB" w:rsidP="00331F85">
      <w:pPr>
        <w:ind w:left="851"/>
        <w:rPr>
          <w:sz w:val="24"/>
          <w:szCs w:val="24"/>
          <w:lang w:val="en-GB"/>
        </w:rPr>
      </w:pPr>
    </w:p>
    <w:p w14:paraId="4A0220F0" w14:textId="77777777" w:rsidR="00D853AB" w:rsidRPr="00B108A6" w:rsidRDefault="00D853AB" w:rsidP="00331F85">
      <w:pPr>
        <w:ind w:left="851"/>
        <w:rPr>
          <w:sz w:val="24"/>
          <w:szCs w:val="24"/>
          <w:lang w:val="en-GB"/>
        </w:rPr>
      </w:pPr>
      <w:r w:rsidRPr="00B108A6">
        <w:rPr>
          <w:sz w:val="24"/>
          <w:szCs w:val="24"/>
          <w:lang w:val="en-GB"/>
        </w:rPr>
        <w:lastRenderedPageBreak/>
        <w:t>The rates and severity of adverse events in recipients of tetanus toxoid antigen are influenced by the number of prior doses and level of pre-existing antitoxins.</w:t>
      </w:r>
    </w:p>
    <w:p w14:paraId="4EB67FA3" w14:textId="77777777" w:rsidR="00D853AB" w:rsidRPr="00B108A6" w:rsidRDefault="00D853AB" w:rsidP="00331F85">
      <w:pPr>
        <w:ind w:left="851"/>
        <w:rPr>
          <w:sz w:val="24"/>
          <w:szCs w:val="24"/>
          <w:lang w:val="en-GB"/>
        </w:rPr>
      </w:pPr>
    </w:p>
    <w:p w14:paraId="4A4B71FF" w14:textId="77777777" w:rsidR="00D853AB" w:rsidRPr="00B108A6" w:rsidRDefault="00D853AB" w:rsidP="00331F85">
      <w:pPr>
        <w:ind w:left="851"/>
        <w:rPr>
          <w:sz w:val="24"/>
          <w:szCs w:val="24"/>
          <w:lang w:val="en-GB"/>
        </w:rPr>
      </w:pPr>
      <w:r w:rsidRPr="00B108A6">
        <w:rPr>
          <w:sz w:val="24"/>
          <w:szCs w:val="24"/>
          <w:lang w:val="en-GB"/>
        </w:rPr>
        <w:t>The immunogenicity of the vaccine could be reduced by immunosuppressive treatment or immunodeficiency. It is recommended to postpone the vaccination until the end of such disease or treatment if practical. Nevertheless, vaccination of HIV infected persons or persons with chronic immunodeficiency, such as AIDS, is recommended even if the antibody response might be limited.</w:t>
      </w:r>
    </w:p>
    <w:p w14:paraId="4B611F0D" w14:textId="77777777" w:rsidR="00D853AB" w:rsidRPr="00B108A6" w:rsidRDefault="00D853AB" w:rsidP="00331F85">
      <w:pPr>
        <w:ind w:left="851"/>
        <w:rPr>
          <w:sz w:val="24"/>
          <w:szCs w:val="24"/>
          <w:u w:val="single"/>
          <w:lang w:val="en-GB"/>
        </w:rPr>
      </w:pPr>
    </w:p>
    <w:p w14:paraId="67F10046" w14:textId="77777777" w:rsidR="00D853AB" w:rsidRPr="00B108A6" w:rsidRDefault="00D853AB" w:rsidP="00331F85">
      <w:pPr>
        <w:ind w:left="851"/>
        <w:rPr>
          <w:sz w:val="24"/>
          <w:szCs w:val="24"/>
          <w:u w:val="single"/>
          <w:lang w:val="en-GB"/>
        </w:rPr>
      </w:pPr>
      <w:r w:rsidRPr="00B108A6">
        <w:rPr>
          <w:sz w:val="24"/>
          <w:szCs w:val="24"/>
          <w:u w:val="single"/>
          <w:lang w:val="en-GB"/>
        </w:rPr>
        <w:t>Administration precautions</w:t>
      </w:r>
    </w:p>
    <w:p w14:paraId="23A4735E" w14:textId="77777777" w:rsidR="00D853AB" w:rsidRPr="00B108A6" w:rsidRDefault="00D853AB" w:rsidP="00331F85">
      <w:pPr>
        <w:ind w:left="851"/>
        <w:rPr>
          <w:sz w:val="24"/>
          <w:szCs w:val="24"/>
          <w:u w:val="single"/>
          <w:lang w:val="en-GB"/>
        </w:rPr>
      </w:pPr>
    </w:p>
    <w:p w14:paraId="76EAB33D" w14:textId="77777777" w:rsidR="00D853AB" w:rsidRPr="00B108A6" w:rsidRDefault="00D853AB" w:rsidP="00331F85">
      <w:pPr>
        <w:ind w:left="851"/>
        <w:rPr>
          <w:b/>
          <w:sz w:val="24"/>
          <w:szCs w:val="24"/>
          <w:lang w:val="en-GB"/>
        </w:rPr>
      </w:pPr>
      <w:r w:rsidRPr="00B108A6">
        <w:rPr>
          <w:sz w:val="24"/>
          <w:szCs w:val="24"/>
          <w:lang w:val="en-GB"/>
        </w:rPr>
        <w:t>Do not administer by intravascular or intradermal injection.</w:t>
      </w:r>
    </w:p>
    <w:p w14:paraId="24EB200D" w14:textId="77777777" w:rsidR="00D853AB" w:rsidRPr="00B108A6" w:rsidRDefault="00D853AB" w:rsidP="00331F85">
      <w:pPr>
        <w:ind w:left="851"/>
        <w:rPr>
          <w:sz w:val="24"/>
          <w:szCs w:val="24"/>
          <w:lang w:val="en-GB"/>
        </w:rPr>
      </w:pPr>
    </w:p>
    <w:p w14:paraId="6B3953FC" w14:textId="2B6FFC08" w:rsidR="00D853AB" w:rsidRPr="00B108A6" w:rsidRDefault="00D853AB" w:rsidP="00331F85">
      <w:pPr>
        <w:ind w:left="851"/>
        <w:rPr>
          <w:sz w:val="24"/>
          <w:szCs w:val="24"/>
          <w:lang w:val="en-GB"/>
        </w:rPr>
      </w:pPr>
      <w:r w:rsidRPr="00B108A6">
        <w:rPr>
          <w:sz w:val="24"/>
          <w:szCs w:val="24"/>
          <w:lang w:val="en-GB"/>
        </w:rPr>
        <w:t>Intramuscular injections should be given with care in patients on anticoagulant therapy or suffering from coagulation disorders because of the risk of haemorrhage. In these</w:t>
      </w:r>
      <w:r w:rsidR="008B6773">
        <w:rPr>
          <w:sz w:val="24"/>
          <w:szCs w:val="24"/>
          <w:lang w:val="en-GB"/>
        </w:rPr>
        <w:t xml:space="preserve"> </w:t>
      </w:r>
      <w:proofErr w:type="gramStart"/>
      <w:r w:rsidRPr="00B108A6">
        <w:rPr>
          <w:sz w:val="24"/>
          <w:szCs w:val="24"/>
          <w:lang w:val="en-GB"/>
        </w:rPr>
        <w:t>situations</w:t>
      </w:r>
      <w:proofErr w:type="gramEnd"/>
      <w:r w:rsidRPr="00B108A6">
        <w:rPr>
          <w:sz w:val="24"/>
          <w:szCs w:val="24"/>
          <w:lang w:val="en-GB"/>
        </w:rPr>
        <w:t xml:space="preserve"> and following official recommendations the administration of </w:t>
      </w:r>
      <w:proofErr w:type="spellStart"/>
      <w:r w:rsidR="00B108A6" w:rsidRPr="00B108A6">
        <w:rPr>
          <w:sz w:val="24"/>
          <w:szCs w:val="24"/>
          <w:lang w:val="en-GB"/>
        </w:rPr>
        <w:t>R</w:t>
      </w:r>
      <w:r w:rsidR="00B108A6">
        <w:rPr>
          <w:sz w:val="24"/>
          <w:szCs w:val="24"/>
          <w:lang w:val="en-GB"/>
        </w:rPr>
        <w:t>epevax</w:t>
      </w:r>
      <w:proofErr w:type="spellEnd"/>
      <w:r w:rsidRPr="00B108A6">
        <w:rPr>
          <w:sz w:val="24"/>
          <w:szCs w:val="24"/>
          <w:lang w:val="en-GB"/>
        </w:rPr>
        <w:t xml:space="preserve"> by deep subcutaneous injection may be considered, although there is a risk of increased local reactions.</w:t>
      </w:r>
    </w:p>
    <w:p w14:paraId="1157CC68" w14:textId="77777777" w:rsidR="00D853AB" w:rsidRPr="00B108A6" w:rsidRDefault="00D853AB" w:rsidP="00331F85">
      <w:pPr>
        <w:ind w:left="851"/>
        <w:rPr>
          <w:sz w:val="24"/>
          <w:szCs w:val="24"/>
          <w:lang w:val="en-GB"/>
        </w:rPr>
      </w:pPr>
    </w:p>
    <w:p w14:paraId="70496DF2" w14:textId="38F130AC" w:rsidR="00D853AB" w:rsidRPr="00B108A6" w:rsidRDefault="00D853AB" w:rsidP="00331F85">
      <w:pPr>
        <w:ind w:left="851"/>
        <w:rPr>
          <w:sz w:val="24"/>
          <w:szCs w:val="24"/>
          <w:lang w:val="en-GB"/>
        </w:rPr>
      </w:pPr>
      <w:r w:rsidRPr="00B108A6">
        <w:rPr>
          <w:sz w:val="24"/>
          <w:szCs w:val="24"/>
          <w:lang w:val="en-GB"/>
        </w:rPr>
        <w:t xml:space="preserve">Syncope (fainting) can occur following, or even before, administration of injectable vaccines, including </w:t>
      </w:r>
      <w:proofErr w:type="spellStart"/>
      <w:r w:rsidR="00B108A6" w:rsidRPr="00B108A6">
        <w:rPr>
          <w:sz w:val="24"/>
          <w:szCs w:val="24"/>
          <w:lang w:val="en-GB"/>
        </w:rPr>
        <w:t>R</w:t>
      </w:r>
      <w:r w:rsidR="00B108A6">
        <w:rPr>
          <w:sz w:val="24"/>
          <w:szCs w:val="24"/>
          <w:lang w:val="en-GB"/>
        </w:rPr>
        <w:t>epevax</w:t>
      </w:r>
      <w:proofErr w:type="spellEnd"/>
      <w:r w:rsidRPr="00B108A6">
        <w:rPr>
          <w:sz w:val="24"/>
          <w:szCs w:val="24"/>
          <w:lang w:val="en-GB"/>
        </w:rPr>
        <w:t>. Procedures should be in place to prevent falling injury and manage syncopal reactions.</w:t>
      </w:r>
    </w:p>
    <w:p w14:paraId="4C0BD7A5" w14:textId="77777777" w:rsidR="00D853AB" w:rsidRPr="00B108A6" w:rsidRDefault="00D853AB" w:rsidP="00331F85">
      <w:pPr>
        <w:ind w:left="851"/>
        <w:rPr>
          <w:sz w:val="24"/>
          <w:szCs w:val="24"/>
          <w:u w:val="single"/>
          <w:lang w:val="en-GB"/>
        </w:rPr>
      </w:pPr>
    </w:p>
    <w:p w14:paraId="7D5CC328" w14:textId="77777777" w:rsidR="00D853AB" w:rsidRPr="00B108A6" w:rsidRDefault="00D853AB" w:rsidP="00331F85">
      <w:pPr>
        <w:ind w:left="851"/>
        <w:rPr>
          <w:b/>
          <w:sz w:val="24"/>
          <w:szCs w:val="24"/>
          <w:lang w:val="en-GB"/>
        </w:rPr>
      </w:pPr>
      <w:r w:rsidRPr="00B108A6">
        <w:rPr>
          <w:sz w:val="24"/>
          <w:szCs w:val="24"/>
          <w:u w:val="single"/>
          <w:lang w:val="en-GB"/>
        </w:rPr>
        <w:t>Other considerations</w:t>
      </w:r>
    </w:p>
    <w:p w14:paraId="6AB7DD26" w14:textId="77777777" w:rsidR="00D853AB" w:rsidRPr="00B108A6" w:rsidRDefault="00D853AB" w:rsidP="00331F85">
      <w:pPr>
        <w:ind w:left="851"/>
        <w:rPr>
          <w:sz w:val="24"/>
          <w:szCs w:val="24"/>
          <w:lang w:val="en-GB"/>
        </w:rPr>
      </w:pPr>
    </w:p>
    <w:p w14:paraId="2AABF251" w14:textId="77777777" w:rsidR="00D853AB" w:rsidRPr="00B108A6" w:rsidRDefault="00D853AB" w:rsidP="00331F85">
      <w:pPr>
        <w:ind w:left="851"/>
        <w:rPr>
          <w:sz w:val="24"/>
          <w:szCs w:val="24"/>
          <w:lang w:val="en-GB"/>
        </w:rPr>
      </w:pPr>
      <w:r w:rsidRPr="00B108A6">
        <w:rPr>
          <w:sz w:val="24"/>
          <w:szCs w:val="24"/>
          <w:lang w:val="en-GB"/>
        </w:rPr>
        <w:t>As with any vaccine, a protective immune response may not be elicited in all vaccines (see section 5.1).</w:t>
      </w:r>
      <w:r w:rsidRPr="00B108A6">
        <w:rPr>
          <w:strike/>
          <w:sz w:val="24"/>
          <w:szCs w:val="24"/>
          <w:lang w:val="en-GB"/>
        </w:rPr>
        <w:t xml:space="preserve"> </w:t>
      </w:r>
    </w:p>
    <w:p w14:paraId="03B45B1F" w14:textId="77777777" w:rsidR="00D853AB" w:rsidRPr="00B108A6" w:rsidRDefault="00D853AB" w:rsidP="00D35A5A">
      <w:pPr>
        <w:rPr>
          <w:sz w:val="24"/>
          <w:szCs w:val="24"/>
          <w:lang w:val="en-GB"/>
        </w:rPr>
      </w:pPr>
    </w:p>
    <w:p w14:paraId="39187287" w14:textId="77777777" w:rsidR="00D853AB" w:rsidRPr="00B108A6" w:rsidRDefault="00D853AB" w:rsidP="00331F85">
      <w:pPr>
        <w:ind w:left="851"/>
        <w:rPr>
          <w:sz w:val="24"/>
          <w:szCs w:val="24"/>
          <w:lang w:val="en-GB"/>
        </w:rPr>
      </w:pPr>
      <w:r w:rsidRPr="00B108A6">
        <w:rPr>
          <w:sz w:val="24"/>
          <w:szCs w:val="24"/>
          <w:lang w:val="en-GB"/>
        </w:rPr>
        <w:t>A persistent nodule at the site of injection may occur with all adsorbed vaccines, particularly if administered into the superficial layers of the subcutaneous tissue.</w:t>
      </w:r>
    </w:p>
    <w:p w14:paraId="79EE7CB5" w14:textId="77777777" w:rsidR="00D853AB" w:rsidRPr="00B108A6" w:rsidRDefault="00D853AB" w:rsidP="00331F85">
      <w:pPr>
        <w:ind w:left="851"/>
        <w:rPr>
          <w:sz w:val="24"/>
          <w:szCs w:val="24"/>
          <w:lang w:val="en-GB"/>
        </w:rPr>
      </w:pPr>
    </w:p>
    <w:p w14:paraId="4D331986" w14:textId="77777777" w:rsidR="00D853AB" w:rsidRPr="00B108A6" w:rsidRDefault="00D853AB" w:rsidP="00331F85">
      <w:pPr>
        <w:ind w:left="851"/>
        <w:rPr>
          <w:sz w:val="24"/>
          <w:szCs w:val="24"/>
          <w:u w:val="single"/>
          <w:lang w:val="en-GB"/>
        </w:rPr>
      </w:pPr>
      <w:r w:rsidRPr="00B108A6">
        <w:rPr>
          <w:sz w:val="24"/>
          <w:szCs w:val="24"/>
          <w:u w:val="single"/>
          <w:lang w:val="en-GB"/>
        </w:rPr>
        <w:t>Traceability</w:t>
      </w:r>
    </w:p>
    <w:p w14:paraId="3C670791" w14:textId="77777777" w:rsidR="00D853AB" w:rsidRPr="00B108A6" w:rsidRDefault="00D853AB" w:rsidP="00331F85">
      <w:pPr>
        <w:ind w:left="851"/>
        <w:rPr>
          <w:sz w:val="24"/>
          <w:szCs w:val="24"/>
          <w:lang w:val="en-GB"/>
        </w:rPr>
      </w:pPr>
    </w:p>
    <w:p w14:paraId="579A1001" w14:textId="77777777" w:rsidR="00D853AB" w:rsidRPr="00B108A6" w:rsidRDefault="00D853AB" w:rsidP="00331F85">
      <w:pPr>
        <w:ind w:left="851"/>
        <w:rPr>
          <w:sz w:val="24"/>
          <w:szCs w:val="24"/>
          <w:lang w:val="en-GB"/>
        </w:rPr>
      </w:pPr>
      <w:r w:rsidRPr="00B108A6">
        <w:rPr>
          <w:sz w:val="24"/>
          <w:szCs w:val="24"/>
          <w:lang w:val="en-GB"/>
        </w:rPr>
        <w:t>In order to improve the traceability of biological medicinal products, the name and the batch number of the administered product should be clearly recorded.</w:t>
      </w:r>
    </w:p>
    <w:p w14:paraId="4C64D765" w14:textId="77777777" w:rsidR="00D853AB" w:rsidRPr="00B108A6" w:rsidRDefault="00D853AB" w:rsidP="00331F85">
      <w:pPr>
        <w:ind w:left="851"/>
        <w:rPr>
          <w:sz w:val="24"/>
          <w:szCs w:val="24"/>
          <w:lang w:val="en-GB"/>
        </w:rPr>
      </w:pPr>
    </w:p>
    <w:p w14:paraId="53A82025" w14:textId="77777777" w:rsidR="00D853AB" w:rsidRPr="00B108A6" w:rsidRDefault="00D853AB" w:rsidP="00331F85">
      <w:pPr>
        <w:ind w:left="851"/>
        <w:rPr>
          <w:sz w:val="24"/>
          <w:szCs w:val="24"/>
          <w:u w:val="single"/>
          <w:lang w:val="en-GB"/>
        </w:rPr>
      </w:pPr>
      <w:r w:rsidRPr="00B108A6">
        <w:rPr>
          <w:sz w:val="24"/>
          <w:szCs w:val="24"/>
          <w:u w:val="single"/>
          <w:lang w:val="en-GB"/>
        </w:rPr>
        <w:t>Excipients with known effects</w:t>
      </w:r>
    </w:p>
    <w:p w14:paraId="73E61F34" w14:textId="77777777" w:rsidR="00D853AB" w:rsidRPr="00B108A6" w:rsidRDefault="00D853AB" w:rsidP="00331F85">
      <w:pPr>
        <w:ind w:left="851"/>
        <w:rPr>
          <w:sz w:val="24"/>
          <w:szCs w:val="24"/>
          <w:lang w:val="en-GB"/>
        </w:rPr>
      </w:pPr>
    </w:p>
    <w:p w14:paraId="38E14970" w14:textId="58E64BAF" w:rsidR="00331F85" w:rsidRDefault="00B108A6" w:rsidP="00D35A5A">
      <w:pPr>
        <w:ind w:left="851"/>
        <w:rPr>
          <w:sz w:val="24"/>
          <w:szCs w:val="24"/>
          <w:lang w:val="en-GB"/>
        </w:rPr>
      </w:pPr>
      <w:proofErr w:type="spellStart"/>
      <w:r w:rsidRPr="00B108A6">
        <w:rPr>
          <w:sz w:val="24"/>
          <w:szCs w:val="24"/>
          <w:lang w:val="en-GB"/>
        </w:rPr>
        <w:t>R</w:t>
      </w:r>
      <w:r>
        <w:rPr>
          <w:sz w:val="24"/>
          <w:szCs w:val="24"/>
          <w:lang w:val="en-GB"/>
        </w:rPr>
        <w:t>epevax</w:t>
      </w:r>
      <w:proofErr w:type="spellEnd"/>
      <w:r w:rsidR="00D853AB" w:rsidRPr="00B108A6">
        <w:rPr>
          <w:sz w:val="24"/>
          <w:szCs w:val="24"/>
          <w:lang w:val="en-GB"/>
        </w:rPr>
        <w:t xml:space="preserve"> contains 1.01 milligram of alcohol (ethanol) in each 0.5 mL dose. The small amount of alcohol in this medicine will not have any noticeable effects.</w:t>
      </w:r>
    </w:p>
    <w:p w14:paraId="54196907" w14:textId="77777777" w:rsidR="007C5D2A" w:rsidRPr="00B108A6" w:rsidRDefault="007C5D2A" w:rsidP="00331F85">
      <w:pPr>
        <w:tabs>
          <w:tab w:val="left" w:pos="851"/>
        </w:tabs>
        <w:ind w:left="851"/>
        <w:rPr>
          <w:sz w:val="24"/>
          <w:szCs w:val="24"/>
          <w:lang w:val="en-GB"/>
        </w:rPr>
      </w:pPr>
    </w:p>
    <w:p w14:paraId="35CB1984" w14:textId="77777777" w:rsidR="007C5D2A" w:rsidRPr="00B108A6" w:rsidRDefault="007C5D2A" w:rsidP="00331F85">
      <w:pPr>
        <w:ind w:left="851" w:hanging="851"/>
        <w:rPr>
          <w:b/>
          <w:sz w:val="24"/>
          <w:szCs w:val="24"/>
          <w:lang w:val="en-GB"/>
        </w:rPr>
      </w:pPr>
      <w:r w:rsidRPr="00B108A6">
        <w:rPr>
          <w:b/>
          <w:sz w:val="24"/>
          <w:szCs w:val="24"/>
          <w:lang w:val="en-GB"/>
        </w:rPr>
        <w:t>4.5</w:t>
      </w:r>
      <w:r w:rsidRPr="00B108A6">
        <w:rPr>
          <w:b/>
          <w:sz w:val="24"/>
          <w:szCs w:val="24"/>
          <w:lang w:val="en-GB"/>
        </w:rPr>
        <w:tab/>
        <w:t>Interaction with other medicinal products and other forms of interaction</w:t>
      </w:r>
    </w:p>
    <w:p w14:paraId="7CC10932" w14:textId="2FF9D81E" w:rsidR="00D853AB" w:rsidRPr="00B108A6" w:rsidRDefault="00B108A6" w:rsidP="00331F85">
      <w:pPr>
        <w:ind w:left="851"/>
        <w:rPr>
          <w:sz w:val="24"/>
          <w:szCs w:val="24"/>
          <w:lang w:val="en-GB"/>
        </w:rPr>
      </w:pPr>
      <w:proofErr w:type="spellStart"/>
      <w:r w:rsidRPr="00B108A6">
        <w:rPr>
          <w:sz w:val="24"/>
          <w:szCs w:val="24"/>
          <w:lang w:val="en-GB"/>
        </w:rPr>
        <w:t>R</w:t>
      </w:r>
      <w:r>
        <w:rPr>
          <w:sz w:val="24"/>
          <w:szCs w:val="24"/>
          <w:lang w:val="en-GB"/>
        </w:rPr>
        <w:t>epevax</w:t>
      </w:r>
      <w:proofErr w:type="spellEnd"/>
      <w:r w:rsidR="00D853AB" w:rsidRPr="00B108A6">
        <w:rPr>
          <w:sz w:val="24"/>
          <w:szCs w:val="24"/>
          <w:lang w:val="en-GB"/>
        </w:rPr>
        <w:t xml:space="preserve"> may be administered concomitantly with a dose of inactivated influenza vaccine, based on the results of a clinical trial conducted in persons 60 years of age and older.</w:t>
      </w:r>
    </w:p>
    <w:p w14:paraId="148AC458" w14:textId="77777777" w:rsidR="00D853AB" w:rsidRPr="00B108A6" w:rsidRDefault="00D853AB" w:rsidP="00331F85">
      <w:pPr>
        <w:ind w:left="851"/>
        <w:rPr>
          <w:sz w:val="24"/>
          <w:szCs w:val="24"/>
          <w:lang w:val="en-GB"/>
        </w:rPr>
      </w:pPr>
    </w:p>
    <w:p w14:paraId="2A9B1D24" w14:textId="496568A3" w:rsidR="00D853AB" w:rsidRPr="00B108A6" w:rsidRDefault="00B108A6" w:rsidP="00331F85">
      <w:pPr>
        <w:ind w:left="851"/>
        <w:rPr>
          <w:sz w:val="24"/>
          <w:szCs w:val="24"/>
          <w:lang w:val="en-GB"/>
        </w:rPr>
      </w:pPr>
      <w:proofErr w:type="spellStart"/>
      <w:r w:rsidRPr="00B108A6">
        <w:rPr>
          <w:sz w:val="24"/>
          <w:szCs w:val="24"/>
          <w:lang w:val="en-GB"/>
        </w:rPr>
        <w:t>R</w:t>
      </w:r>
      <w:r>
        <w:rPr>
          <w:sz w:val="24"/>
          <w:szCs w:val="24"/>
          <w:lang w:val="en-GB"/>
        </w:rPr>
        <w:t>epevax</w:t>
      </w:r>
      <w:proofErr w:type="spellEnd"/>
      <w:r w:rsidR="00D853AB" w:rsidRPr="00B108A6">
        <w:rPr>
          <w:sz w:val="24"/>
          <w:szCs w:val="24"/>
          <w:lang w:val="en-GB"/>
        </w:rPr>
        <w:t xml:space="preserve"> may be administered concomitantly with a dose of hepatitis B vaccine.</w:t>
      </w:r>
    </w:p>
    <w:p w14:paraId="1BB9B842" w14:textId="77777777" w:rsidR="00D853AB" w:rsidRPr="00B108A6" w:rsidRDefault="00D853AB" w:rsidP="00331F85">
      <w:pPr>
        <w:ind w:left="851"/>
        <w:rPr>
          <w:sz w:val="24"/>
          <w:szCs w:val="24"/>
          <w:lang w:val="en-GB"/>
        </w:rPr>
      </w:pPr>
    </w:p>
    <w:p w14:paraId="3EDE8F13" w14:textId="773AF7AA" w:rsidR="00D853AB" w:rsidRPr="00B108A6" w:rsidRDefault="00B108A6" w:rsidP="00331F85">
      <w:pPr>
        <w:ind w:left="851"/>
        <w:rPr>
          <w:sz w:val="24"/>
          <w:szCs w:val="24"/>
          <w:lang w:val="en-GB"/>
        </w:rPr>
      </w:pPr>
      <w:proofErr w:type="spellStart"/>
      <w:r w:rsidRPr="00B108A6">
        <w:rPr>
          <w:sz w:val="24"/>
          <w:szCs w:val="24"/>
          <w:lang w:val="en-GB"/>
        </w:rPr>
        <w:t>R</w:t>
      </w:r>
      <w:r>
        <w:rPr>
          <w:sz w:val="24"/>
          <w:szCs w:val="24"/>
          <w:lang w:val="en-GB"/>
        </w:rPr>
        <w:t>epevax</w:t>
      </w:r>
      <w:proofErr w:type="spellEnd"/>
      <w:r w:rsidR="00D853AB" w:rsidRPr="00B108A6">
        <w:rPr>
          <w:sz w:val="24"/>
          <w:szCs w:val="24"/>
          <w:lang w:val="en-GB"/>
        </w:rPr>
        <w:t xml:space="preserve"> may be administered concurrently with a dose of recombinant Human Papillomavirus vaccine with no significant interference with antibody response to any of the components of either vaccine. However, a trend of lower anti-HPV GMTs was observed in the concomitant group. The clinical significance of this observation is not </w:t>
      </w:r>
      <w:r w:rsidR="00D853AB" w:rsidRPr="00B108A6">
        <w:rPr>
          <w:sz w:val="24"/>
          <w:szCs w:val="24"/>
          <w:lang w:val="en-GB"/>
        </w:rPr>
        <w:lastRenderedPageBreak/>
        <w:t xml:space="preserve">known. This is based on the results from a clinical trial in which </w:t>
      </w:r>
      <w:proofErr w:type="spellStart"/>
      <w:r w:rsidRPr="00B108A6">
        <w:rPr>
          <w:sz w:val="24"/>
          <w:szCs w:val="24"/>
          <w:lang w:val="en-GB"/>
        </w:rPr>
        <w:t>R</w:t>
      </w:r>
      <w:r>
        <w:rPr>
          <w:sz w:val="24"/>
          <w:szCs w:val="24"/>
          <w:lang w:val="en-GB"/>
        </w:rPr>
        <w:t>epevax</w:t>
      </w:r>
      <w:proofErr w:type="spellEnd"/>
      <w:r w:rsidR="00D853AB" w:rsidRPr="00B108A6">
        <w:rPr>
          <w:sz w:val="24"/>
          <w:szCs w:val="24"/>
          <w:lang w:val="en-GB"/>
        </w:rPr>
        <w:t xml:space="preserve"> was administered concomitantly with the first dose of Gardasil (see section 4.8).</w:t>
      </w:r>
    </w:p>
    <w:p w14:paraId="7B23903C" w14:textId="77777777" w:rsidR="00D853AB" w:rsidRPr="00B108A6" w:rsidRDefault="00D853AB" w:rsidP="00331F85">
      <w:pPr>
        <w:ind w:left="851"/>
        <w:rPr>
          <w:sz w:val="24"/>
          <w:szCs w:val="24"/>
          <w:lang w:val="en-GB"/>
        </w:rPr>
      </w:pPr>
    </w:p>
    <w:p w14:paraId="1E6140D0" w14:textId="1A0292FC" w:rsidR="00D853AB" w:rsidRPr="00B108A6" w:rsidRDefault="00D853AB" w:rsidP="00331F85">
      <w:pPr>
        <w:ind w:left="851"/>
        <w:rPr>
          <w:sz w:val="24"/>
          <w:szCs w:val="24"/>
          <w:lang w:val="en-GB"/>
        </w:rPr>
      </w:pPr>
      <w:r w:rsidRPr="00B108A6">
        <w:rPr>
          <w:sz w:val="24"/>
          <w:szCs w:val="24"/>
          <w:lang w:val="en-GB"/>
        </w:rPr>
        <w:t xml:space="preserve">Separate limbs must be used for the site of injection. Interaction studies have not been carried out with other vaccines, biological products or therapeutic medications. However, in accordance with commonly accepted immunization guidelines, since </w:t>
      </w:r>
      <w:proofErr w:type="spellStart"/>
      <w:r w:rsidR="00B108A6" w:rsidRPr="00B108A6">
        <w:rPr>
          <w:sz w:val="24"/>
          <w:szCs w:val="24"/>
          <w:lang w:val="en-GB"/>
        </w:rPr>
        <w:t>R</w:t>
      </w:r>
      <w:r w:rsidR="00B108A6">
        <w:rPr>
          <w:sz w:val="24"/>
          <w:szCs w:val="24"/>
          <w:lang w:val="en-GB"/>
        </w:rPr>
        <w:t>epevax</w:t>
      </w:r>
      <w:proofErr w:type="spellEnd"/>
      <w:r w:rsidRPr="00B108A6">
        <w:rPr>
          <w:sz w:val="24"/>
          <w:szCs w:val="24"/>
          <w:lang w:val="en-GB"/>
        </w:rPr>
        <w:t xml:space="preserve"> is an inactivated product it may be administered concomitantly with other vaccines or immunoglobulins at separate injection sites.</w:t>
      </w:r>
    </w:p>
    <w:p w14:paraId="14003E83" w14:textId="77777777" w:rsidR="00D853AB" w:rsidRPr="00B108A6" w:rsidRDefault="00D853AB" w:rsidP="00331F85">
      <w:pPr>
        <w:ind w:left="851"/>
        <w:rPr>
          <w:sz w:val="24"/>
          <w:szCs w:val="24"/>
          <w:lang w:val="en-GB"/>
        </w:rPr>
      </w:pPr>
    </w:p>
    <w:p w14:paraId="686ADDFC" w14:textId="77777777" w:rsidR="00D853AB" w:rsidRPr="00B108A6" w:rsidRDefault="00D853AB" w:rsidP="00331F85">
      <w:pPr>
        <w:ind w:left="851"/>
        <w:rPr>
          <w:sz w:val="24"/>
          <w:szCs w:val="24"/>
          <w:lang w:val="en-GB"/>
        </w:rPr>
      </w:pPr>
      <w:r w:rsidRPr="00B108A6">
        <w:rPr>
          <w:sz w:val="24"/>
          <w:szCs w:val="24"/>
          <w:lang w:val="en-GB"/>
        </w:rPr>
        <w:t>In the case of immunosuppressive therapy please refer to Section 4.4.</w:t>
      </w:r>
    </w:p>
    <w:p w14:paraId="21CEE751" w14:textId="77777777" w:rsidR="007C5D2A" w:rsidRPr="00B108A6" w:rsidRDefault="007C5D2A" w:rsidP="00331F85">
      <w:pPr>
        <w:tabs>
          <w:tab w:val="left" w:pos="851"/>
        </w:tabs>
        <w:ind w:left="851"/>
        <w:rPr>
          <w:sz w:val="24"/>
          <w:szCs w:val="24"/>
          <w:lang w:val="en-GB"/>
        </w:rPr>
      </w:pPr>
    </w:p>
    <w:p w14:paraId="198CE352" w14:textId="77777777" w:rsidR="007C5D2A" w:rsidRPr="00B108A6" w:rsidRDefault="007C5D2A" w:rsidP="00331F85">
      <w:pPr>
        <w:tabs>
          <w:tab w:val="left" w:pos="851"/>
        </w:tabs>
        <w:ind w:left="851" w:hanging="851"/>
        <w:rPr>
          <w:b/>
          <w:sz w:val="24"/>
          <w:szCs w:val="24"/>
          <w:lang w:val="en-GB"/>
        </w:rPr>
      </w:pPr>
      <w:r w:rsidRPr="00B108A6">
        <w:rPr>
          <w:b/>
          <w:sz w:val="24"/>
          <w:szCs w:val="24"/>
          <w:lang w:val="en-GB"/>
        </w:rPr>
        <w:t>4.6</w:t>
      </w:r>
      <w:r w:rsidRPr="00B108A6">
        <w:rPr>
          <w:b/>
          <w:sz w:val="24"/>
          <w:szCs w:val="24"/>
          <w:lang w:val="en-GB"/>
        </w:rPr>
        <w:tab/>
      </w:r>
      <w:r w:rsidR="004860D3" w:rsidRPr="00B108A6">
        <w:rPr>
          <w:b/>
          <w:sz w:val="24"/>
          <w:szCs w:val="24"/>
          <w:lang w:val="en-GB"/>
        </w:rPr>
        <w:t>Fertility, p</w:t>
      </w:r>
      <w:r w:rsidRPr="00B108A6">
        <w:rPr>
          <w:b/>
          <w:sz w:val="24"/>
          <w:szCs w:val="24"/>
          <w:lang w:val="en-GB"/>
        </w:rPr>
        <w:t>regnancy and lactation</w:t>
      </w:r>
    </w:p>
    <w:p w14:paraId="32809D39" w14:textId="77777777" w:rsidR="005740FB" w:rsidRPr="00B108A6" w:rsidRDefault="005740FB" w:rsidP="00331F85">
      <w:pPr>
        <w:ind w:left="851"/>
        <w:rPr>
          <w:sz w:val="24"/>
          <w:szCs w:val="24"/>
          <w:lang w:val="en-GB"/>
        </w:rPr>
      </w:pPr>
    </w:p>
    <w:p w14:paraId="02E7CF54" w14:textId="77777777" w:rsidR="00D35A5A" w:rsidRPr="00D35A5A" w:rsidRDefault="00D35A5A" w:rsidP="00D35A5A">
      <w:pPr>
        <w:ind w:left="851"/>
        <w:rPr>
          <w:sz w:val="24"/>
          <w:szCs w:val="24"/>
          <w:u w:val="single"/>
          <w:lang w:val="en-GB"/>
        </w:rPr>
      </w:pPr>
      <w:r w:rsidRPr="00D35A5A">
        <w:rPr>
          <w:sz w:val="24"/>
          <w:szCs w:val="24"/>
          <w:u w:val="single"/>
          <w:lang w:val="en-GB"/>
        </w:rPr>
        <w:t>Pregnancy</w:t>
      </w:r>
    </w:p>
    <w:p w14:paraId="12096ADD" w14:textId="77777777" w:rsidR="00D35A5A" w:rsidRPr="00D35A5A" w:rsidRDefault="00D35A5A" w:rsidP="00D35A5A">
      <w:pPr>
        <w:ind w:left="851"/>
        <w:rPr>
          <w:sz w:val="24"/>
          <w:szCs w:val="24"/>
          <w:u w:val="single"/>
          <w:lang w:val="en-GB"/>
        </w:rPr>
      </w:pPr>
    </w:p>
    <w:p w14:paraId="0E554D3F" w14:textId="1B230A20" w:rsidR="00D35A5A" w:rsidRPr="00D35A5A" w:rsidRDefault="00D35A5A" w:rsidP="00D35A5A">
      <w:pPr>
        <w:ind w:left="851"/>
        <w:rPr>
          <w:sz w:val="24"/>
          <w:szCs w:val="24"/>
          <w:lang w:val="en-GB"/>
        </w:rPr>
      </w:pPr>
      <w:proofErr w:type="spellStart"/>
      <w:r>
        <w:rPr>
          <w:sz w:val="24"/>
          <w:szCs w:val="24"/>
          <w:lang w:val="en-US"/>
        </w:rPr>
        <w:t>Repevax</w:t>
      </w:r>
      <w:proofErr w:type="spellEnd"/>
      <w:r w:rsidRPr="00D35A5A">
        <w:rPr>
          <w:sz w:val="24"/>
          <w:szCs w:val="24"/>
          <w:lang w:val="en-US"/>
        </w:rPr>
        <w:t xml:space="preserve"> can be used during the second or third trimester of pregnancy in accordance with official recommendations (see section 4.2).</w:t>
      </w:r>
    </w:p>
    <w:p w14:paraId="798133C3" w14:textId="77777777" w:rsidR="00D35A5A" w:rsidRPr="00D35A5A" w:rsidRDefault="00D35A5A" w:rsidP="00D35A5A">
      <w:pPr>
        <w:ind w:left="851"/>
        <w:rPr>
          <w:sz w:val="24"/>
          <w:szCs w:val="24"/>
          <w:lang w:val="en-GB"/>
        </w:rPr>
      </w:pPr>
    </w:p>
    <w:p w14:paraId="6CABC3C9" w14:textId="73FBFA03" w:rsidR="00D35A5A" w:rsidRPr="00D35A5A" w:rsidRDefault="00D35A5A" w:rsidP="00D35A5A">
      <w:pPr>
        <w:ind w:left="851"/>
        <w:rPr>
          <w:sz w:val="24"/>
          <w:szCs w:val="24"/>
          <w:lang w:val="en-GB"/>
        </w:rPr>
      </w:pPr>
      <w:r w:rsidRPr="00D35A5A">
        <w:rPr>
          <w:sz w:val="24"/>
          <w:szCs w:val="24"/>
          <w:lang w:val="en-GB"/>
        </w:rPr>
        <w:t xml:space="preserve">Safety data from 4 randomized controlled trials (310 pregnancy outcomes), 1 prospective observational study (546 pregnancy outcomes), 5 retrospective observational studies (124,810 pregnancy outcomes), and from passive surveillance of women who received </w:t>
      </w:r>
      <w:proofErr w:type="spellStart"/>
      <w:r>
        <w:rPr>
          <w:sz w:val="24"/>
          <w:szCs w:val="24"/>
          <w:lang w:val="en-GB"/>
        </w:rPr>
        <w:t>Repevax</w:t>
      </w:r>
      <w:proofErr w:type="spellEnd"/>
      <w:r w:rsidRPr="00D35A5A">
        <w:rPr>
          <w:sz w:val="24"/>
          <w:szCs w:val="24"/>
          <w:lang w:val="en-GB"/>
        </w:rPr>
        <w:t xml:space="preserve"> or </w:t>
      </w:r>
      <w:proofErr w:type="spellStart"/>
      <w:r w:rsidRPr="00D35A5A">
        <w:rPr>
          <w:sz w:val="24"/>
          <w:szCs w:val="24"/>
          <w:lang w:val="en-GB"/>
        </w:rPr>
        <w:t>COVAXiS</w:t>
      </w:r>
      <w:proofErr w:type="spellEnd"/>
      <w:r w:rsidRPr="00D35A5A">
        <w:rPr>
          <w:sz w:val="24"/>
          <w:szCs w:val="24"/>
          <w:lang w:val="en-GB"/>
        </w:rPr>
        <w:t xml:space="preserve"> (Tdap; </w:t>
      </w:r>
      <w:bookmarkStart w:id="2" w:name="_Hlk67387352"/>
      <w:r w:rsidRPr="00D35A5A">
        <w:rPr>
          <w:sz w:val="24"/>
          <w:szCs w:val="24"/>
          <w:lang w:val="en-GB"/>
        </w:rPr>
        <w:t>containing the same amounts of tetanus, diphtheria and pertussis antigens</w:t>
      </w:r>
      <w:bookmarkEnd w:id="2"/>
      <w:r w:rsidRPr="00D35A5A">
        <w:rPr>
          <w:sz w:val="24"/>
          <w:szCs w:val="24"/>
          <w:lang w:val="en-GB"/>
        </w:rPr>
        <w:t xml:space="preserve"> as </w:t>
      </w:r>
      <w:proofErr w:type="spellStart"/>
      <w:r>
        <w:rPr>
          <w:sz w:val="24"/>
          <w:szCs w:val="24"/>
          <w:lang w:val="en-GB"/>
        </w:rPr>
        <w:t>Repevax</w:t>
      </w:r>
      <w:proofErr w:type="spellEnd"/>
      <w:r w:rsidRPr="00D35A5A">
        <w:rPr>
          <w:sz w:val="24"/>
          <w:szCs w:val="24"/>
          <w:lang w:val="en-GB"/>
        </w:rPr>
        <w:t xml:space="preserve"> ) during the second or third trimester have shown no vaccine-related adverse effect on pregnancy or on the health of the </w:t>
      </w:r>
      <w:proofErr w:type="spellStart"/>
      <w:r w:rsidRPr="00D35A5A">
        <w:rPr>
          <w:sz w:val="24"/>
          <w:szCs w:val="24"/>
          <w:lang w:val="en-GB"/>
        </w:rPr>
        <w:t>fetus</w:t>
      </w:r>
      <w:proofErr w:type="spellEnd"/>
      <w:r w:rsidRPr="00D35A5A">
        <w:rPr>
          <w:sz w:val="24"/>
          <w:szCs w:val="24"/>
          <w:lang w:val="en-GB"/>
        </w:rPr>
        <w:t>/</w:t>
      </w:r>
      <w:proofErr w:type="spellStart"/>
      <w:r w:rsidRPr="00D35A5A">
        <w:rPr>
          <w:sz w:val="24"/>
          <w:szCs w:val="24"/>
          <w:lang w:val="en-GB"/>
        </w:rPr>
        <w:t>newborn</w:t>
      </w:r>
      <w:proofErr w:type="spellEnd"/>
      <w:r w:rsidRPr="00D35A5A">
        <w:rPr>
          <w:sz w:val="24"/>
          <w:szCs w:val="24"/>
          <w:lang w:val="en-GB"/>
        </w:rPr>
        <w:t xml:space="preserve"> child. As with other inactivated vaccines, it is not expected that vaccination with </w:t>
      </w:r>
      <w:proofErr w:type="spellStart"/>
      <w:r>
        <w:rPr>
          <w:sz w:val="24"/>
          <w:szCs w:val="24"/>
          <w:lang w:val="en-GB"/>
        </w:rPr>
        <w:t>Repevax</w:t>
      </w:r>
      <w:proofErr w:type="spellEnd"/>
      <w:r w:rsidRPr="00D35A5A">
        <w:rPr>
          <w:sz w:val="24"/>
          <w:szCs w:val="24"/>
          <w:lang w:val="en-GB"/>
        </w:rPr>
        <w:t xml:space="preserve"> during any trimester would harm the </w:t>
      </w:r>
      <w:proofErr w:type="spellStart"/>
      <w:r w:rsidRPr="00D35A5A">
        <w:rPr>
          <w:sz w:val="24"/>
          <w:szCs w:val="24"/>
          <w:lang w:val="en-GB"/>
        </w:rPr>
        <w:t>fetus</w:t>
      </w:r>
      <w:proofErr w:type="spellEnd"/>
      <w:r w:rsidRPr="00D35A5A">
        <w:rPr>
          <w:sz w:val="24"/>
          <w:szCs w:val="24"/>
          <w:lang w:val="en-GB"/>
        </w:rPr>
        <w:t xml:space="preserve">. </w:t>
      </w:r>
    </w:p>
    <w:p w14:paraId="1482F148" w14:textId="77777777" w:rsidR="00D35A5A" w:rsidRPr="00D35A5A" w:rsidRDefault="00D35A5A" w:rsidP="00D35A5A">
      <w:pPr>
        <w:ind w:left="851"/>
        <w:rPr>
          <w:sz w:val="24"/>
          <w:szCs w:val="24"/>
          <w:lang w:val="en-GB"/>
        </w:rPr>
      </w:pPr>
    </w:p>
    <w:p w14:paraId="7E6F02FC" w14:textId="77777777" w:rsidR="00D35A5A" w:rsidRPr="00D35A5A" w:rsidRDefault="00D35A5A" w:rsidP="00D35A5A">
      <w:pPr>
        <w:ind w:left="851"/>
        <w:rPr>
          <w:sz w:val="24"/>
          <w:szCs w:val="24"/>
          <w:lang w:val="en-GB"/>
        </w:rPr>
      </w:pPr>
      <w:r w:rsidRPr="00D35A5A">
        <w:rPr>
          <w:sz w:val="24"/>
          <w:szCs w:val="24"/>
          <w:lang w:val="en-GB"/>
        </w:rPr>
        <w:t>Animal studies do not indicate direct or indirect harmful effects with respect to pregnancy, embryonal/</w:t>
      </w:r>
      <w:proofErr w:type="spellStart"/>
      <w:r w:rsidRPr="00D35A5A">
        <w:rPr>
          <w:sz w:val="24"/>
          <w:szCs w:val="24"/>
          <w:lang w:val="en-GB"/>
        </w:rPr>
        <w:t>fetal</w:t>
      </w:r>
      <w:proofErr w:type="spellEnd"/>
      <w:r w:rsidRPr="00D35A5A">
        <w:rPr>
          <w:sz w:val="24"/>
          <w:szCs w:val="24"/>
          <w:lang w:val="en-GB"/>
        </w:rPr>
        <w:t xml:space="preserve"> development, parturition or postnatal development.</w:t>
      </w:r>
    </w:p>
    <w:p w14:paraId="03D287B8" w14:textId="77777777" w:rsidR="00D35A5A" w:rsidRPr="00D35A5A" w:rsidRDefault="00D35A5A" w:rsidP="00D35A5A">
      <w:pPr>
        <w:ind w:left="851"/>
        <w:rPr>
          <w:sz w:val="24"/>
          <w:szCs w:val="24"/>
          <w:lang w:val="en-GB"/>
        </w:rPr>
      </w:pPr>
    </w:p>
    <w:p w14:paraId="48A6BFEB" w14:textId="08E4091F" w:rsidR="00331F85" w:rsidRPr="00D35A5A" w:rsidRDefault="00D35A5A" w:rsidP="00D35A5A">
      <w:pPr>
        <w:ind w:left="851"/>
        <w:rPr>
          <w:sz w:val="24"/>
          <w:szCs w:val="24"/>
          <w:lang w:val="en-US"/>
        </w:rPr>
      </w:pPr>
      <w:r w:rsidRPr="00D35A5A">
        <w:rPr>
          <w:sz w:val="24"/>
          <w:szCs w:val="24"/>
          <w:lang w:val="en-US"/>
        </w:rPr>
        <w:t>For information on immune responses to vaccination during pregnancy and its effectiveness at preventing pertussis in infants, see section 5.1.</w:t>
      </w:r>
    </w:p>
    <w:p w14:paraId="10F4E90D" w14:textId="77777777" w:rsidR="00D853AB" w:rsidRPr="00B108A6" w:rsidRDefault="00D853AB" w:rsidP="00331F85">
      <w:pPr>
        <w:ind w:left="851"/>
        <w:rPr>
          <w:sz w:val="24"/>
          <w:szCs w:val="24"/>
          <w:u w:val="single"/>
          <w:lang w:val="en-GB"/>
        </w:rPr>
      </w:pPr>
    </w:p>
    <w:p w14:paraId="401D88AA" w14:textId="77777777" w:rsidR="00D853AB" w:rsidRPr="00B108A6" w:rsidRDefault="00D853AB" w:rsidP="00331F85">
      <w:pPr>
        <w:ind w:left="851"/>
        <w:rPr>
          <w:sz w:val="24"/>
          <w:szCs w:val="24"/>
          <w:highlight w:val="cyan"/>
          <w:u w:val="single"/>
          <w:lang w:val="en-GB"/>
        </w:rPr>
      </w:pPr>
      <w:r w:rsidRPr="00B108A6">
        <w:rPr>
          <w:sz w:val="24"/>
          <w:szCs w:val="24"/>
          <w:u w:val="single"/>
          <w:lang w:val="en-GB"/>
        </w:rPr>
        <w:t>Breastfeeding</w:t>
      </w:r>
    </w:p>
    <w:p w14:paraId="4810C9FC" w14:textId="77777777" w:rsidR="00D853AB" w:rsidRPr="00B108A6" w:rsidRDefault="00D853AB" w:rsidP="00331F85">
      <w:pPr>
        <w:ind w:left="851"/>
        <w:rPr>
          <w:sz w:val="24"/>
          <w:szCs w:val="24"/>
          <w:lang w:val="en-GB"/>
        </w:rPr>
      </w:pPr>
    </w:p>
    <w:p w14:paraId="4721956C" w14:textId="244D925C" w:rsidR="00D853AB" w:rsidRPr="00B108A6" w:rsidRDefault="00D853AB" w:rsidP="00331F85">
      <w:pPr>
        <w:ind w:left="851"/>
        <w:rPr>
          <w:sz w:val="24"/>
          <w:szCs w:val="24"/>
          <w:lang w:val="en-GB"/>
        </w:rPr>
      </w:pPr>
      <w:r w:rsidRPr="00B108A6">
        <w:rPr>
          <w:sz w:val="24"/>
          <w:szCs w:val="24"/>
          <w:lang w:val="en-GB"/>
        </w:rPr>
        <w:t xml:space="preserve">The effect of administration of </w:t>
      </w:r>
      <w:proofErr w:type="spellStart"/>
      <w:r w:rsidR="000038A7" w:rsidRPr="00B108A6">
        <w:rPr>
          <w:sz w:val="24"/>
          <w:szCs w:val="24"/>
          <w:lang w:val="en-GB"/>
        </w:rPr>
        <w:t>R</w:t>
      </w:r>
      <w:r w:rsidR="000038A7">
        <w:rPr>
          <w:sz w:val="24"/>
          <w:szCs w:val="24"/>
          <w:lang w:val="en-GB"/>
        </w:rPr>
        <w:t>epevax</w:t>
      </w:r>
      <w:proofErr w:type="spellEnd"/>
      <w:r w:rsidRPr="00B108A6">
        <w:rPr>
          <w:sz w:val="24"/>
          <w:szCs w:val="24"/>
          <w:lang w:val="en-GB"/>
        </w:rPr>
        <w:t xml:space="preserve"> during lactation has not been assessed. Nevertheless, as </w:t>
      </w:r>
      <w:proofErr w:type="spellStart"/>
      <w:r w:rsidR="000038A7" w:rsidRPr="00B108A6">
        <w:rPr>
          <w:sz w:val="24"/>
          <w:szCs w:val="24"/>
          <w:lang w:val="en-GB"/>
        </w:rPr>
        <w:t>R</w:t>
      </w:r>
      <w:r w:rsidR="000038A7">
        <w:rPr>
          <w:sz w:val="24"/>
          <w:szCs w:val="24"/>
          <w:lang w:val="en-GB"/>
        </w:rPr>
        <w:t>epevax</w:t>
      </w:r>
      <w:proofErr w:type="spellEnd"/>
      <w:r w:rsidRPr="00B108A6">
        <w:rPr>
          <w:sz w:val="24"/>
          <w:szCs w:val="24"/>
          <w:lang w:val="en-GB"/>
        </w:rPr>
        <w:t xml:space="preserve"> contains toxoids or inactivated antigens, no risk to the breastfed infant should be expected. The benefits versus the risk of administering </w:t>
      </w:r>
      <w:proofErr w:type="spellStart"/>
      <w:r w:rsidR="000038A7" w:rsidRPr="00B108A6">
        <w:rPr>
          <w:sz w:val="24"/>
          <w:szCs w:val="24"/>
          <w:lang w:val="en-GB"/>
        </w:rPr>
        <w:t>R</w:t>
      </w:r>
      <w:r w:rsidR="000038A7">
        <w:rPr>
          <w:sz w:val="24"/>
          <w:szCs w:val="24"/>
          <w:lang w:val="en-GB"/>
        </w:rPr>
        <w:t>epevax</w:t>
      </w:r>
      <w:proofErr w:type="spellEnd"/>
      <w:r w:rsidRPr="00B108A6">
        <w:rPr>
          <w:sz w:val="24"/>
          <w:szCs w:val="24"/>
          <w:lang w:val="en-GB"/>
        </w:rPr>
        <w:t xml:space="preserve"> to breastfeeding women should be evaluated by the health-care providers.</w:t>
      </w:r>
    </w:p>
    <w:p w14:paraId="6E6E3802" w14:textId="77777777" w:rsidR="00D853AB" w:rsidRPr="00B108A6" w:rsidRDefault="00D853AB" w:rsidP="00331F85">
      <w:pPr>
        <w:ind w:left="851"/>
        <w:rPr>
          <w:sz w:val="24"/>
          <w:szCs w:val="24"/>
          <w:u w:val="single"/>
          <w:lang w:val="en-GB"/>
        </w:rPr>
      </w:pPr>
    </w:p>
    <w:p w14:paraId="15679486" w14:textId="77777777" w:rsidR="00D853AB" w:rsidRPr="00B108A6" w:rsidRDefault="00D853AB" w:rsidP="00331F85">
      <w:pPr>
        <w:ind w:left="851"/>
        <w:rPr>
          <w:sz w:val="24"/>
          <w:szCs w:val="24"/>
          <w:u w:val="single"/>
          <w:lang w:val="en-GB"/>
        </w:rPr>
      </w:pPr>
      <w:r w:rsidRPr="00B108A6">
        <w:rPr>
          <w:sz w:val="24"/>
          <w:szCs w:val="24"/>
          <w:u w:val="single"/>
          <w:lang w:val="en-GB"/>
        </w:rPr>
        <w:t>Fertility</w:t>
      </w:r>
    </w:p>
    <w:p w14:paraId="41B98C75" w14:textId="77777777" w:rsidR="00D853AB" w:rsidRPr="00B108A6" w:rsidRDefault="00D853AB" w:rsidP="00331F85">
      <w:pPr>
        <w:ind w:left="851"/>
        <w:rPr>
          <w:sz w:val="24"/>
          <w:szCs w:val="24"/>
          <w:lang w:val="en-GB"/>
        </w:rPr>
      </w:pPr>
    </w:p>
    <w:p w14:paraId="064E2BB1" w14:textId="17EA8014" w:rsidR="00D853AB" w:rsidRPr="00B108A6" w:rsidRDefault="000038A7" w:rsidP="00331F85">
      <w:pPr>
        <w:ind w:left="851"/>
        <w:rPr>
          <w:sz w:val="24"/>
          <w:szCs w:val="24"/>
          <w:lang w:val="en-GB"/>
        </w:rPr>
      </w:pPr>
      <w:proofErr w:type="spellStart"/>
      <w:r w:rsidRPr="00B108A6">
        <w:rPr>
          <w:sz w:val="24"/>
          <w:szCs w:val="24"/>
          <w:lang w:val="en-GB"/>
        </w:rPr>
        <w:t>R</w:t>
      </w:r>
      <w:r>
        <w:rPr>
          <w:sz w:val="24"/>
          <w:szCs w:val="24"/>
          <w:lang w:val="en-GB"/>
        </w:rPr>
        <w:t>epevax</w:t>
      </w:r>
      <w:proofErr w:type="spellEnd"/>
      <w:r w:rsidR="00D853AB" w:rsidRPr="00B108A6">
        <w:rPr>
          <w:sz w:val="24"/>
          <w:szCs w:val="24"/>
          <w:lang w:val="en-GB"/>
        </w:rPr>
        <w:t xml:space="preserve"> has not been evaluated in fertility studies.</w:t>
      </w:r>
    </w:p>
    <w:p w14:paraId="1D85D17C" w14:textId="77777777" w:rsidR="007C5D2A" w:rsidRPr="00B108A6" w:rsidRDefault="007C5D2A" w:rsidP="00331F85">
      <w:pPr>
        <w:tabs>
          <w:tab w:val="left" w:pos="851"/>
        </w:tabs>
        <w:ind w:left="851"/>
        <w:rPr>
          <w:sz w:val="24"/>
          <w:szCs w:val="24"/>
          <w:lang w:val="en-GB"/>
        </w:rPr>
      </w:pPr>
    </w:p>
    <w:p w14:paraId="31C2378C" w14:textId="77777777" w:rsidR="007C5D2A" w:rsidRPr="00B108A6" w:rsidRDefault="007C5D2A" w:rsidP="00331F85">
      <w:pPr>
        <w:tabs>
          <w:tab w:val="left" w:pos="851"/>
        </w:tabs>
        <w:ind w:left="851" w:hanging="851"/>
        <w:rPr>
          <w:b/>
          <w:sz w:val="24"/>
          <w:szCs w:val="24"/>
          <w:lang w:val="en-GB"/>
        </w:rPr>
      </w:pPr>
      <w:r w:rsidRPr="00B108A6">
        <w:rPr>
          <w:b/>
          <w:sz w:val="24"/>
          <w:szCs w:val="24"/>
          <w:lang w:val="en-GB"/>
        </w:rPr>
        <w:t>4.7</w:t>
      </w:r>
      <w:r w:rsidRPr="00B108A6">
        <w:rPr>
          <w:b/>
          <w:sz w:val="24"/>
          <w:szCs w:val="24"/>
          <w:lang w:val="en-GB"/>
        </w:rPr>
        <w:tab/>
        <w:t>Effects on ability to drive and use machines</w:t>
      </w:r>
    </w:p>
    <w:p w14:paraId="1F6A716D" w14:textId="77777777" w:rsidR="005740FB" w:rsidRPr="00B108A6" w:rsidRDefault="005740FB" w:rsidP="00331F85">
      <w:pPr>
        <w:ind w:left="851"/>
        <w:rPr>
          <w:sz w:val="24"/>
          <w:szCs w:val="24"/>
          <w:lang w:val="en-GB"/>
        </w:rPr>
      </w:pPr>
      <w:r w:rsidRPr="00B108A6">
        <w:rPr>
          <w:sz w:val="24"/>
          <w:szCs w:val="24"/>
          <w:lang w:val="en-GB"/>
        </w:rPr>
        <w:t>No traffic warning.</w:t>
      </w:r>
    </w:p>
    <w:p w14:paraId="0C16B61D" w14:textId="3045A264" w:rsidR="00D853AB" w:rsidRPr="00B108A6" w:rsidRDefault="00D853AB" w:rsidP="00331F85">
      <w:pPr>
        <w:ind w:left="851"/>
        <w:rPr>
          <w:sz w:val="24"/>
          <w:szCs w:val="24"/>
          <w:lang w:val="en-GB"/>
        </w:rPr>
      </w:pPr>
      <w:r w:rsidRPr="00B108A6">
        <w:rPr>
          <w:sz w:val="24"/>
          <w:szCs w:val="24"/>
          <w:lang w:val="en-GB"/>
        </w:rPr>
        <w:t xml:space="preserve">No studies on the effects on the ability to drive or use machines have been performed. </w:t>
      </w:r>
      <w:proofErr w:type="spellStart"/>
      <w:r w:rsidR="000038A7" w:rsidRPr="00B108A6">
        <w:rPr>
          <w:sz w:val="24"/>
          <w:szCs w:val="24"/>
          <w:lang w:val="en-GB"/>
        </w:rPr>
        <w:t>R</w:t>
      </w:r>
      <w:r w:rsidR="000038A7">
        <w:rPr>
          <w:sz w:val="24"/>
          <w:szCs w:val="24"/>
          <w:lang w:val="en-GB"/>
        </w:rPr>
        <w:t>epevax</w:t>
      </w:r>
      <w:proofErr w:type="spellEnd"/>
      <w:r w:rsidRPr="00B108A6">
        <w:rPr>
          <w:sz w:val="24"/>
          <w:szCs w:val="24"/>
          <w:lang w:val="en-GB"/>
        </w:rPr>
        <w:t xml:space="preserve"> has no or negligible influence on the ability to drive and use machines.</w:t>
      </w:r>
    </w:p>
    <w:p w14:paraId="773BAC21" w14:textId="485E6BBA" w:rsidR="007C5D2A" w:rsidRDefault="007C5D2A" w:rsidP="00331F85">
      <w:pPr>
        <w:tabs>
          <w:tab w:val="left" w:pos="851"/>
        </w:tabs>
        <w:ind w:left="851"/>
        <w:rPr>
          <w:sz w:val="24"/>
          <w:szCs w:val="24"/>
          <w:lang w:val="en-GB"/>
        </w:rPr>
      </w:pPr>
    </w:p>
    <w:p w14:paraId="6957A632" w14:textId="628FAE05" w:rsidR="00273F2B" w:rsidRDefault="00273F2B" w:rsidP="00331F85">
      <w:pPr>
        <w:tabs>
          <w:tab w:val="left" w:pos="851"/>
        </w:tabs>
        <w:ind w:left="851"/>
        <w:rPr>
          <w:sz w:val="24"/>
          <w:szCs w:val="24"/>
          <w:lang w:val="en-GB"/>
        </w:rPr>
      </w:pPr>
    </w:p>
    <w:p w14:paraId="3D13D833" w14:textId="77777777" w:rsidR="00273F2B" w:rsidRPr="00B108A6" w:rsidRDefault="00273F2B" w:rsidP="00331F85">
      <w:pPr>
        <w:tabs>
          <w:tab w:val="left" w:pos="851"/>
        </w:tabs>
        <w:ind w:left="851"/>
        <w:rPr>
          <w:sz w:val="24"/>
          <w:szCs w:val="24"/>
          <w:lang w:val="en-GB"/>
        </w:rPr>
      </w:pPr>
    </w:p>
    <w:p w14:paraId="47476CB2" w14:textId="77777777" w:rsidR="007C5D2A" w:rsidRPr="00B108A6" w:rsidRDefault="007C5D2A" w:rsidP="00331F85">
      <w:pPr>
        <w:tabs>
          <w:tab w:val="left" w:pos="851"/>
        </w:tabs>
        <w:ind w:left="851" w:hanging="851"/>
        <w:rPr>
          <w:b/>
          <w:sz w:val="24"/>
          <w:szCs w:val="24"/>
          <w:lang w:val="en-GB"/>
        </w:rPr>
      </w:pPr>
      <w:r w:rsidRPr="00B108A6">
        <w:rPr>
          <w:b/>
          <w:sz w:val="24"/>
          <w:szCs w:val="24"/>
          <w:lang w:val="en-GB"/>
        </w:rPr>
        <w:lastRenderedPageBreak/>
        <w:t>4.8</w:t>
      </w:r>
      <w:r w:rsidRPr="00B108A6">
        <w:rPr>
          <w:b/>
          <w:sz w:val="24"/>
          <w:szCs w:val="24"/>
          <w:lang w:val="en-GB"/>
        </w:rPr>
        <w:tab/>
        <w:t>Undesirable effects</w:t>
      </w:r>
    </w:p>
    <w:p w14:paraId="5347E4B2" w14:textId="77777777" w:rsidR="005740FB" w:rsidRPr="00B108A6" w:rsidRDefault="005740FB" w:rsidP="00331F85">
      <w:pPr>
        <w:ind w:left="851"/>
        <w:rPr>
          <w:sz w:val="24"/>
          <w:szCs w:val="24"/>
          <w:u w:val="single"/>
          <w:lang w:val="en-GB"/>
        </w:rPr>
      </w:pPr>
    </w:p>
    <w:p w14:paraId="49C773AE" w14:textId="518E1852" w:rsidR="00D853AB" w:rsidRPr="00B108A6" w:rsidRDefault="00D853AB" w:rsidP="00331F85">
      <w:pPr>
        <w:ind w:left="851"/>
        <w:rPr>
          <w:sz w:val="24"/>
          <w:szCs w:val="24"/>
          <w:u w:val="single"/>
          <w:lang w:val="en-GB"/>
        </w:rPr>
      </w:pPr>
      <w:r w:rsidRPr="00B108A6">
        <w:rPr>
          <w:sz w:val="24"/>
          <w:szCs w:val="24"/>
          <w:u w:val="single"/>
          <w:lang w:val="en-GB"/>
        </w:rPr>
        <w:t>Summary of the safety profile</w:t>
      </w:r>
    </w:p>
    <w:p w14:paraId="03ADAC7C" w14:textId="77777777" w:rsidR="00D853AB" w:rsidRPr="00B108A6" w:rsidRDefault="00D853AB" w:rsidP="00331F85">
      <w:pPr>
        <w:ind w:left="851"/>
        <w:rPr>
          <w:sz w:val="24"/>
          <w:szCs w:val="24"/>
          <w:lang w:val="en-GB"/>
        </w:rPr>
      </w:pPr>
    </w:p>
    <w:p w14:paraId="38BED575" w14:textId="3EA28830" w:rsidR="00D853AB" w:rsidRPr="00B108A6" w:rsidRDefault="00D853AB" w:rsidP="00331F85">
      <w:pPr>
        <w:ind w:left="851"/>
        <w:rPr>
          <w:sz w:val="24"/>
          <w:szCs w:val="24"/>
          <w:lang w:val="en-GB"/>
        </w:rPr>
      </w:pPr>
      <w:r w:rsidRPr="00B108A6">
        <w:rPr>
          <w:sz w:val="24"/>
          <w:szCs w:val="24"/>
          <w:lang w:val="en-GB"/>
        </w:rPr>
        <w:t xml:space="preserve">In clinical trials </w:t>
      </w:r>
      <w:proofErr w:type="spellStart"/>
      <w:r w:rsidR="000038A7" w:rsidRPr="00B108A6">
        <w:rPr>
          <w:sz w:val="24"/>
          <w:szCs w:val="24"/>
          <w:lang w:val="en-GB"/>
        </w:rPr>
        <w:t>R</w:t>
      </w:r>
      <w:r w:rsidR="000038A7">
        <w:rPr>
          <w:sz w:val="24"/>
          <w:szCs w:val="24"/>
          <w:lang w:val="en-GB"/>
        </w:rPr>
        <w:t>epevax</w:t>
      </w:r>
      <w:proofErr w:type="spellEnd"/>
      <w:r w:rsidRPr="00B108A6">
        <w:rPr>
          <w:sz w:val="24"/>
          <w:szCs w:val="24"/>
          <w:lang w:val="en-GB"/>
        </w:rPr>
        <w:t xml:space="preserve"> was given to a total of 1,384 persons including 390 children 3 through 6 years of age and 994 adolescent and adults. Most commonly reported reactions following vaccination included local reactions at the injection site (pain, redness and swelling). These signs and symptoms usually were mild in intensity and occurred within 48 hours following vaccination (Adverse Events have been observed within 24 hours and 7 days following vaccination in children 3 through 6 years). They all resolved without sequelae. </w:t>
      </w:r>
    </w:p>
    <w:p w14:paraId="0C0FBD21" w14:textId="77777777" w:rsidR="00D853AB" w:rsidRPr="00B108A6" w:rsidRDefault="00D853AB" w:rsidP="00331F85">
      <w:pPr>
        <w:ind w:left="851"/>
        <w:rPr>
          <w:sz w:val="24"/>
          <w:szCs w:val="24"/>
          <w:lang w:val="en-GB"/>
        </w:rPr>
      </w:pPr>
    </w:p>
    <w:p w14:paraId="52D74360" w14:textId="77777777" w:rsidR="00D853AB" w:rsidRPr="00B108A6" w:rsidRDefault="00D853AB" w:rsidP="00331F85">
      <w:pPr>
        <w:ind w:left="851"/>
        <w:rPr>
          <w:sz w:val="24"/>
          <w:szCs w:val="24"/>
          <w:lang w:val="en-GB"/>
        </w:rPr>
      </w:pPr>
      <w:r w:rsidRPr="00B108A6">
        <w:rPr>
          <w:sz w:val="24"/>
          <w:szCs w:val="24"/>
          <w:lang w:val="en-GB"/>
        </w:rPr>
        <w:t xml:space="preserve">There was a trend for higher rates of local and systemic reactions in adolescents than in adults. In both age groups, injection site pain was the most common adverse reaction. </w:t>
      </w:r>
      <w:r w:rsidRPr="00B108A6">
        <w:rPr>
          <w:sz w:val="24"/>
          <w:szCs w:val="24"/>
          <w:lang w:val="en-GB"/>
        </w:rPr>
        <w:br/>
        <w:t xml:space="preserve">Late-onset local adverse reactions (i.e. a local adverse reaction which had an onset or increase in severity 3 to 14 days post-immunization), such as injection site pain, erythema and swelling occurred in less than 1.2%. Most of the reported adverse reactions occurred within 24 hours after the vaccination. </w:t>
      </w:r>
    </w:p>
    <w:p w14:paraId="2740900B" w14:textId="77777777" w:rsidR="00D853AB" w:rsidRPr="00B108A6" w:rsidRDefault="00D853AB" w:rsidP="00331F85">
      <w:pPr>
        <w:ind w:left="851"/>
        <w:rPr>
          <w:sz w:val="24"/>
          <w:szCs w:val="24"/>
          <w:lang w:val="en-GB"/>
        </w:rPr>
      </w:pPr>
    </w:p>
    <w:p w14:paraId="72E2CB7D" w14:textId="0E990162" w:rsidR="00D853AB" w:rsidRPr="00B108A6" w:rsidRDefault="00D853AB" w:rsidP="00331F85">
      <w:pPr>
        <w:ind w:left="851"/>
        <w:rPr>
          <w:sz w:val="24"/>
          <w:szCs w:val="24"/>
          <w:lang w:val="en-GB"/>
        </w:rPr>
      </w:pPr>
      <w:r w:rsidRPr="00B108A6">
        <w:rPr>
          <w:sz w:val="24"/>
          <w:szCs w:val="24"/>
          <w:lang w:val="en-GB"/>
        </w:rPr>
        <w:t xml:space="preserve">In a clinical trial of 843 healthy adolescent males and females 11-17 years of age, administration of the first dose of Gardasil concomitantly with </w:t>
      </w:r>
      <w:proofErr w:type="spellStart"/>
      <w:r w:rsidR="000038A7" w:rsidRPr="00B108A6">
        <w:rPr>
          <w:sz w:val="24"/>
          <w:szCs w:val="24"/>
          <w:lang w:val="en-GB"/>
        </w:rPr>
        <w:t>R</w:t>
      </w:r>
      <w:r w:rsidR="000038A7">
        <w:rPr>
          <w:sz w:val="24"/>
          <w:szCs w:val="24"/>
          <w:lang w:val="en-GB"/>
        </w:rPr>
        <w:t>epevax</w:t>
      </w:r>
      <w:proofErr w:type="spellEnd"/>
      <w:r w:rsidRPr="00B108A6">
        <w:rPr>
          <w:sz w:val="24"/>
          <w:szCs w:val="24"/>
          <w:lang w:val="en-GB"/>
        </w:rPr>
        <w:t xml:space="preserve"> showed that there was more injection-site swelling and headache reported following concomitant administration. The differences observed were &lt; 10% and in the majority of subjects, the adverse events were reported as mild to moderate in intensity.</w:t>
      </w:r>
    </w:p>
    <w:p w14:paraId="01A55DEB" w14:textId="77777777" w:rsidR="00D853AB" w:rsidRPr="00B108A6" w:rsidRDefault="00D853AB" w:rsidP="00331F85">
      <w:pPr>
        <w:ind w:left="851"/>
        <w:rPr>
          <w:sz w:val="24"/>
          <w:szCs w:val="24"/>
          <w:lang w:val="en-GB"/>
        </w:rPr>
      </w:pPr>
    </w:p>
    <w:p w14:paraId="4010BC3D" w14:textId="77777777" w:rsidR="00D853AB" w:rsidRPr="00B108A6" w:rsidRDefault="00D853AB" w:rsidP="00331F85">
      <w:pPr>
        <w:ind w:left="851"/>
        <w:rPr>
          <w:sz w:val="24"/>
          <w:szCs w:val="24"/>
          <w:u w:val="single"/>
          <w:lang w:val="en-GB"/>
        </w:rPr>
      </w:pPr>
      <w:r w:rsidRPr="00B108A6">
        <w:rPr>
          <w:sz w:val="24"/>
          <w:szCs w:val="24"/>
          <w:u w:val="single"/>
          <w:lang w:val="en-GB"/>
        </w:rPr>
        <w:t>Tabulated list of adverse reactions</w:t>
      </w:r>
    </w:p>
    <w:p w14:paraId="5D124F05" w14:textId="77777777" w:rsidR="00D853AB" w:rsidRPr="00B108A6" w:rsidRDefault="00D853AB" w:rsidP="00331F85">
      <w:pPr>
        <w:ind w:left="851"/>
        <w:rPr>
          <w:sz w:val="24"/>
          <w:szCs w:val="24"/>
          <w:lang w:val="en-GB"/>
        </w:rPr>
      </w:pPr>
    </w:p>
    <w:p w14:paraId="226E5679" w14:textId="77777777" w:rsidR="00D853AB" w:rsidRPr="00B108A6" w:rsidRDefault="00D853AB" w:rsidP="00331F85">
      <w:pPr>
        <w:ind w:left="851"/>
        <w:rPr>
          <w:sz w:val="24"/>
          <w:szCs w:val="24"/>
          <w:lang w:val="en-GB"/>
        </w:rPr>
      </w:pPr>
      <w:r w:rsidRPr="00B108A6">
        <w:rPr>
          <w:sz w:val="24"/>
          <w:szCs w:val="24"/>
          <w:lang w:val="en-GB"/>
        </w:rPr>
        <w:t>Adverse reactions are ranked under headings of frequency using the following convention:</w:t>
      </w:r>
    </w:p>
    <w:p w14:paraId="7DF829C2" w14:textId="5F36ED46" w:rsidR="00D853AB" w:rsidRPr="00B108A6" w:rsidRDefault="00D853AB" w:rsidP="00331F85">
      <w:pPr>
        <w:tabs>
          <w:tab w:val="left" w:pos="3119"/>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ind w:left="851"/>
        <w:rPr>
          <w:sz w:val="24"/>
          <w:szCs w:val="24"/>
          <w:lang w:val="en-GB"/>
        </w:rPr>
      </w:pPr>
      <w:r w:rsidRPr="00B108A6">
        <w:rPr>
          <w:sz w:val="24"/>
          <w:szCs w:val="24"/>
          <w:lang w:val="en-GB"/>
        </w:rPr>
        <w:t xml:space="preserve">Very common </w:t>
      </w:r>
      <w:r w:rsidRPr="00B108A6">
        <w:rPr>
          <w:sz w:val="24"/>
          <w:szCs w:val="24"/>
          <w:lang w:val="en-GB"/>
        </w:rPr>
        <w:tab/>
        <w:t>(</w:t>
      </w:r>
      <w:r w:rsidRPr="00B108A6">
        <w:rPr>
          <w:sz w:val="24"/>
          <w:szCs w:val="24"/>
          <w:lang w:val="en-GB"/>
        </w:rPr>
        <w:sym w:font="Symbol" w:char="F0B3"/>
      </w:r>
      <w:r w:rsidRPr="00B108A6">
        <w:rPr>
          <w:sz w:val="24"/>
          <w:szCs w:val="24"/>
          <w:lang w:val="en-GB"/>
        </w:rPr>
        <w:t>1/10)</w:t>
      </w:r>
      <w:r w:rsidRPr="00B108A6">
        <w:rPr>
          <w:sz w:val="24"/>
          <w:szCs w:val="24"/>
          <w:lang w:val="en-GB"/>
        </w:rPr>
        <w:br/>
        <w:t>Common</w:t>
      </w:r>
      <w:r w:rsidRPr="00B108A6">
        <w:rPr>
          <w:sz w:val="24"/>
          <w:szCs w:val="24"/>
          <w:lang w:val="en-GB"/>
        </w:rPr>
        <w:tab/>
        <w:t>(</w:t>
      </w:r>
      <w:r w:rsidRPr="00B108A6">
        <w:rPr>
          <w:sz w:val="24"/>
          <w:szCs w:val="24"/>
          <w:lang w:val="en-GB"/>
        </w:rPr>
        <w:sym w:font="Symbol" w:char="F0B3"/>
      </w:r>
      <w:r w:rsidRPr="00B108A6">
        <w:rPr>
          <w:sz w:val="24"/>
          <w:szCs w:val="24"/>
          <w:lang w:val="en-GB"/>
        </w:rPr>
        <w:t>1/100 to &lt;1/10)</w:t>
      </w:r>
      <w:r w:rsidRPr="00B108A6">
        <w:rPr>
          <w:sz w:val="24"/>
          <w:szCs w:val="24"/>
          <w:lang w:val="en-GB"/>
        </w:rPr>
        <w:br/>
        <w:t>Uncommon</w:t>
      </w:r>
      <w:r w:rsidRPr="00B108A6">
        <w:rPr>
          <w:sz w:val="24"/>
          <w:szCs w:val="24"/>
          <w:lang w:val="en-GB"/>
        </w:rPr>
        <w:tab/>
        <w:t>(</w:t>
      </w:r>
      <w:r w:rsidRPr="00B108A6">
        <w:rPr>
          <w:sz w:val="24"/>
          <w:szCs w:val="24"/>
          <w:lang w:val="en-GB"/>
        </w:rPr>
        <w:sym w:font="Symbol" w:char="F0B3"/>
      </w:r>
      <w:r w:rsidRPr="00B108A6">
        <w:rPr>
          <w:sz w:val="24"/>
          <w:szCs w:val="24"/>
          <w:lang w:val="en-GB"/>
        </w:rPr>
        <w:t xml:space="preserve">1/1,000 to </w:t>
      </w:r>
      <w:r w:rsidR="008B6773">
        <w:rPr>
          <w:sz w:val="24"/>
          <w:szCs w:val="24"/>
          <w:lang w:val="en-GB"/>
        </w:rPr>
        <w:t>&lt;</w:t>
      </w:r>
      <w:r w:rsidRPr="00B108A6">
        <w:rPr>
          <w:sz w:val="24"/>
          <w:szCs w:val="24"/>
          <w:lang w:val="en-GB"/>
        </w:rPr>
        <w:t>1/100)</w:t>
      </w:r>
      <w:r w:rsidRPr="00B108A6">
        <w:rPr>
          <w:sz w:val="24"/>
          <w:szCs w:val="24"/>
          <w:lang w:val="en-GB"/>
        </w:rPr>
        <w:br/>
        <w:t>Rare</w:t>
      </w:r>
      <w:r w:rsidRPr="00B108A6">
        <w:rPr>
          <w:sz w:val="24"/>
          <w:szCs w:val="24"/>
          <w:lang w:val="en-GB"/>
        </w:rPr>
        <w:tab/>
        <w:t>(</w:t>
      </w:r>
      <w:r w:rsidR="008B6773" w:rsidRPr="00B108A6">
        <w:rPr>
          <w:sz w:val="24"/>
          <w:szCs w:val="24"/>
          <w:lang w:val="en-GB"/>
        </w:rPr>
        <w:sym w:font="Symbol" w:char="F0B3"/>
      </w:r>
      <w:r w:rsidRPr="00B108A6">
        <w:rPr>
          <w:sz w:val="24"/>
          <w:szCs w:val="24"/>
          <w:lang w:val="en-GB"/>
        </w:rPr>
        <w:t xml:space="preserve">1/10,000 to </w:t>
      </w:r>
      <w:r w:rsidR="008B6773">
        <w:rPr>
          <w:sz w:val="24"/>
          <w:szCs w:val="24"/>
          <w:lang w:val="en-GB"/>
        </w:rPr>
        <w:t>&lt;</w:t>
      </w:r>
      <w:r w:rsidRPr="00B108A6">
        <w:rPr>
          <w:sz w:val="24"/>
          <w:szCs w:val="24"/>
          <w:lang w:val="en-GB"/>
        </w:rPr>
        <w:t>1/1,000)</w:t>
      </w:r>
      <w:r w:rsidRPr="00B108A6">
        <w:rPr>
          <w:sz w:val="24"/>
          <w:szCs w:val="24"/>
          <w:lang w:val="en-GB"/>
        </w:rPr>
        <w:br/>
        <w:t>Very rare</w:t>
      </w:r>
      <w:r w:rsidRPr="00B108A6">
        <w:rPr>
          <w:sz w:val="24"/>
          <w:szCs w:val="24"/>
          <w:lang w:val="en-GB"/>
        </w:rPr>
        <w:tab/>
        <w:t>(</w:t>
      </w:r>
      <w:r w:rsidR="008B6773">
        <w:rPr>
          <w:sz w:val="24"/>
          <w:szCs w:val="24"/>
          <w:lang w:val="en-GB"/>
        </w:rPr>
        <w:t>&lt;</w:t>
      </w:r>
      <w:r w:rsidRPr="00B108A6">
        <w:rPr>
          <w:sz w:val="24"/>
          <w:szCs w:val="24"/>
          <w:lang w:val="en-GB"/>
        </w:rPr>
        <w:t>1/10,000), including individual cases</w:t>
      </w:r>
      <w:r w:rsidRPr="00B108A6">
        <w:rPr>
          <w:sz w:val="24"/>
          <w:szCs w:val="24"/>
          <w:lang w:val="en-GB"/>
        </w:rPr>
        <w:br/>
        <w:t>Not known</w:t>
      </w:r>
      <w:r w:rsidRPr="00B108A6">
        <w:rPr>
          <w:sz w:val="24"/>
          <w:szCs w:val="24"/>
          <w:lang w:val="en-GB"/>
        </w:rPr>
        <w:tab/>
        <w:t>cannot be estimated from the available data</w:t>
      </w:r>
    </w:p>
    <w:p w14:paraId="3466F475" w14:textId="77777777" w:rsidR="00D853AB" w:rsidRPr="00B108A6" w:rsidRDefault="00D853AB" w:rsidP="00331F85">
      <w:pPr>
        <w:tabs>
          <w:tab w:val="left" w:pos="3119"/>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ind w:left="851"/>
        <w:rPr>
          <w:sz w:val="24"/>
          <w:szCs w:val="24"/>
          <w:lang w:val="en-GB"/>
        </w:rPr>
      </w:pPr>
    </w:p>
    <w:p w14:paraId="6CBD0571" w14:textId="2FFB0C48" w:rsidR="00D853AB" w:rsidRPr="00B108A6" w:rsidRDefault="00D853AB" w:rsidP="00331F85">
      <w:pPr>
        <w:tabs>
          <w:tab w:val="left" w:pos="3119"/>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ind w:left="851"/>
        <w:rPr>
          <w:sz w:val="24"/>
          <w:szCs w:val="24"/>
          <w:lang w:val="en-GB"/>
        </w:rPr>
      </w:pPr>
      <w:r w:rsidRPr="00B108A6">
        <w:rPr>
          <w:sz w:val="24"/>
          <w:szCs w:val="24"/>
          <w:lang w:val="en-GB"/>
        </w:rPr>
        <w:t>Table 1 presents adverse reactions observed in clinical trials and also includes additional</w:t>
      </w:r>
      <w:r w:rsidRPr="00B108A6">
        <w:rPr>
          <w:strike/>
          <w:sz w:val="24"/>
          <w:szCs w:val="24"/>
          <w:lang w:val="en-GB"/>
        </w:rPr>
        <w:t xml:space="preserve"> </w:t>
      </w:r>
      <w:r w:rsidRPr="00B108A6">
        <w:rPr>
          <w:sz w:val="24"/>
          <w:szCs w:val="24"/>
          <w:lang w:val="en-GB"/>
        </w:rPr>
        <w:t xml:space="preserve">adverse events which have been spontaneously reported during the post-marketing use of </w:t>
      </w:r>
      <w:proofErr w:type="spellStart"/>
      <w:r w:rsidR="000038A7" w:rsidRPr="00B108A6">
        <w:rPr>
          <w:sz w:val="24"/>
          <w:szCs w:val="24"/>
          <w:lang w:val="en-GB"/>
        </w:rPr>
        <w:t>R</w:t>
      </w:r>
      <w:r w:rsidR="000038A7">
        <w:rPr>
          <w:sz w:val="24"/>
          <w:szCs w:val="24"/>
          <w:lang w:val="en-GB"/>
        </w:rPr>
        <w:t>epevax</w:t>
      </w:r>
      <w:proofErr w:type="spellEnd"/>
      <w:r w:rsidRPr="00B108A6">
        <w:rPr>
          <w:sz w:val="24"/>
          <w:szCs w:val="24"/>
          <w:lang w:val="en-GB"/>
        </w:rPr>
        <w:t xml:space="preserve"> worldwide. Adverse events in children were collected from clinical trials conducted in 3 to 5 years of age and 5 to 6 years of age. The highest frequency from either study is presented. Because post-marketing adverse events are reported voluntarily from a population of uncertain size, it is not always possible to reliably estimate their frequency or establish a causal relationship to vaccine exposure. Therefore, the frequency category “Not known” is assigned to these adverse events.</w:t>
      </w:r>
    </w:p>
    <w:p w14:paraId="2A86B132" w14:textId="3D59E2F6" w:rsidR="00D853AB" w:rsidRDefault="00D853AB" w:rsidP="00331F85">
      <w:pPr>
        <w:tabs>
          <w:tab w:val="left" w:pos="3119"/>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ind w:left="851"/>
        <w:rPr>
          <w:sz w:val="24"/>
          <w:szCs w:val="24"/>
          <w:lang w:val="en-GB"/>
        </w:rPr>
      </w:pPr>
    </w:p>
    <w:p w14:paraId="3C64C751" w14:textId="013F4100" w:rsidR="00273F2B" w:rsidRDefault="00273F2B" w:rsidP="00331F85">
      <w:pPr>
        <w:tabs>
          <w:tab w:val="left" w:pos="3119"/>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ind w:left="851"/>
        <w:rPr>
          <w:sz w:val="24"/>
          <w:szCs w:val="24"/>
          <w:lang w:val="en-GB"/>
        </w:rPr>
      </w:pPr>
    </w:p>
    <w:p w14:paraId="72AD56EB" w14:textId="245ABB95" w:rsidR="00273F2B" w:rsidRDefault="00273F2B" w:rsidP="00331F85">
      <w:pPr>
        <w:tabs>
          <w:tab w:val="left" w:pos="3119"/>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ind w:left="851"/>
        <w:rPr>
          <w:sz w:val="24"/>
          <w:szCs w:val="24"/>
          <w:lang w:val="en-GB"/>
        </w:rPr>
      </w:pPr>
    </w:p>
    <w:p w14:paraId="47DB0511" w14:textId="50669BC3" w:rsidR="00273F2B" w:rsidRDefault="00273F2B" w:rsidP="00331F85">
      <w:pPr>
        <w:tabs>
          <w:tab w:val="left" w:pos="3119"/>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ind w:left="851"/>
        <w:rPr>
          <w:sz w:val="24"/>
          <w:szCs w:val="24"/>
          <w:lang w:val="en-GB"/>
        </w:rPr>
      </w:pPr>
    </w:p>
    <w:p w14:paraId="0B725E76" w14:textId="08519B49" w:rsidR="00273F2B" w:rsidRDefault="00273F2B" w:rsidP="00331F85">
      <w:pPr>
        <w:tabs>
          <w:tab w:val="left" w:pos="3119"/>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ind w:left="851"/>
        <w:rPr>
          <w:sz w:val="24"/>
          <w:szCs w:val="24"/>
          <w:lang w:val="en-GB"/>
        </w:rPr>
      </w:pPr>
    </w:p>
    <w:p w14:paraId="3DBEE2E3" w14:textId="2FD4D6FD" w:rsidR="00273F2B" w:rsidRDefault="00273F2B" w:rsidP="00331F85">
      <w:pPr>
        <w:tabs>
          <w:tab w:val="left" w:pos="3119"/>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ind w:left="851"/>
        <w:rPr>
          <w:sz w:val="24"/>
          <w:szCs w:val="24"/>
          <w:lang w:val="en-GB"/>
        </w:rPr>
      </w:pPr>
    </w:p>
    <w:p w14:paraId="4C6B97A1" w14:textId="77777777" w:rsidR="00273F2B" w:rsidRPr="00B108A6" w:rsidRDefault="00273F2B" w:rsidP="00331F85">
      <w:pPr>
        <w:tabs>
          <w:tab w:val="left" w:pos="3119"/>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ind w:left="851"/>
        <w:rPr>
          <w:sz w:val="24"/>
          <w:szCs w:val="24"/>
          <w:lang w:val="en-GB"/>
        </w:rPr>
      </w:pPr>
    </w:p>
    <w:p w14:paraId="0C48896F" w14:textId="402D7E34" w:rsidR="00D853AB" w:rsidRPr="00B108A6" w:rsidRDefault="00D853AB" w:rsidP="00331F85">
      <w:pPr>
        <w:pStyle w:val="Billedtekst"/>
        <w:spacing w:before="0" w:after="0"/>
        <w:ind w:left="851"/>
        <w:rPr>
          <w:szCs w:val="24"/>
          <w:lang w:val="en-GB"/>
        </w:rPr>
      </w:pPr>
      <w:bookmarkStart w:id="3" w:name="Table_20140306_121955SNPH"/>
      <w:r w:rsidRPr="00B108A6">
        <w:rPr>
          <w:szCs w:val="24"/>
          <w:lang w:val="en-GB"/>
        </w:rPr>
        <w:lastRenderedPageBreak/>
        <w:t xml:space="preserve">Table </w:t>
      </w:r>
      <w:r w:rsidRPr="00B108A6">
        <w:rPr>
          <w:szCs w:val="24"/>
        </w:rPr>
        <w:fldChar w:fldCharType="begin"/>
      </w:r>
      <w:r w:rsidRPr="00B108A6">
        <w:rPr>
          <w:szCs w:val="24"/>
          <w:lang w:val="en-GB"/>
        </w:rPr>
        <w:instrText xml:space="preserve"> SEQ Table \* ARABIC </w:instrText>
      </w:r>
      <w:r w:rsidRPr="00B108A6">
        <w:rPr>
          <w:szCs w:val="24"/>
        </w:rPr>
        <w:fldChar w:fldCharType="separate"/>
      </w:r>
      <w:r w:rsidR="000F5286">
        <w:rPr>
          <w:noProof/>
          <w:szCs w:val="24"/>
          <w:lang w:val="en-GB"/>
        </w:rPr>
        <w:t>1</w:t>
      </w:r>
      <w:r w:rsidRPr="00B108A6">
        <w:rPr>
          <w:szCs w:val="24"/>
        </w:rPr>
        <w:fldChar w:fldCharType="end"/>
      </w:r>
      <w:bookmarkEnd w:id="3"/>
      <w:r w:rsidRPr="00B108A6">
        <w:rPr>
          <w:szCs w:val="24"/>
          <w:lang w:val="en-GB"/>
        </w:rPr>
        <w:t>: Adverse events from clinical trials and worldwide post marketing experience</w:t>
      </w:r>
      <w:r w:rsidRPr="00B108A6">
        <w:rPr>
          <w:szCs w:val="24"/>
          <w:lang w:val="en-GB"/>
        </w:rPr>
        <w:fldChar w:fldCharType="begin"/>
      </w:r>
      <w:r w:rsidRPr="00B108A6">
        <w:rPr>
          <w:szCs w:val="24"/>
          <w:lang w:val="en-GB"/>
        </w:rPr>
        <w:instrText xml:space="preserve"> DOCVARIABLE vault_nd_970cf810-36cf-402b-905b-9f0f7c71255a \* MERGEFORMAT </w:instrText>
      </w:r>
      <w:r w:rsidRPr="00B108A6">
        <w:rPr>
          <w:szCs w:val="24"/>
          <w:lang w:val="en-GB"/>
        </w:rPr>
        <w:fldChar w:fldCharType="separate"/>
      </w:r>
      <w:r w:rsidRPr="00B108A6">
        <w:rPr>
          <w:szCs w:val="24"/>
          <w:lang w:val="en-GB"/>
        </w:rPr>
        <w:t xml:space="preserve"> </w:t>
      </w:r>
      <w:r w:rsidRPr="00B108A6">
        <w:rPr>
          <w:szCs w:val="24"/>
          <w:lang w:val="en-GB"/>
        </w:rPr>
        <w:fldChar w:fldCharType="end"/>
      </w:r>
    </w:p>
    <w:p w14:paraId="55CD18A0" w14:textId="77777777" w:rsidR="00D853AB" w:rsidRPr="00B108A6" w:rsidRDefault="00D853AB" w:rsidP="00331F85">
      <w:pPr>
        <w:rPr>
          <w:sz w:val="24"/>
          <w:szCs w:val="24"/>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5"/>
        <w:gridCol w:w="1275"/>
        <w:gridCol w:w="3636"/>
        <w:gridCol w:w="2382"/>
      </w:tblGrid>
      <w:tr w:rsidR="00D853AB" w:rsidRPr="000038A7" w14:paraId="7CACBC80" w14:textId="77777777" w:rsidTr="005420A5">
        <w:trPr>
          <w:trHeight w:val="924"/>
          <w:tblHeader/>
        </w:trPr>
        <w:tc>
          <w:tcPr>
            <w:tcW w:w="1213" w:type="pct"/>
            <w:tcBorders>
              <w:top w:val="single" w:sz="4" w:space="0" w:color="auto"/>
              <w:left w:val="single" w:sz="4" w:space="0" w:color="auto"/>
              <w:bottom w:val="single" w:sz="4" w:space="0" w:color="auto"/>
              <w:right w:val="single" w:sz="4" w:space="0" w:color="auto"/>
            </w:tcBorders>
            <w:vAlign w:val="center"/>
            <w:hideMark/>
          </w:tcPr>
          <w:p w14:paraId="38369FE5" w14:textId="77777777" w:rsidR="00D853AB" w:rsidRPr="000038A7" w:rsidRDefault="00D853AB" w:rsidP="00331F85">
            <w:pPr>
              <w:keepNext/>
              <w:jc w:val="center"/>
              <w:rPr>
                <w:b/>
                <w:sz w:val="22"/>
                <w:szCs w:val="22"/>
                <w:lang w:val="en-GB"/>
              </w:rPr>
            </w:pPr>
            <w:r w:rsidRPr="000038A7">
              <w:rPr>
                <w:b/>
                <w:sz w:val="22"/>
                <w:szCs w:val="22"/>
                <w:lang w:val="en-GB"/>
              </w:rPr>
              <w:t>System Organ Class</w:t>
            </w:r>
          </w:p>
        </w:tc>
        <w:tc>
          <w:tcPr>
            <w:tcW w:w="662" w:type="pct"/>
            <w:tcBorders>
              <w:top w:val="single" w:sz="4" w:space="0" w:color="auto"/>
              <w:left w:val="single" w:sz="4" w:space="0" w:color="auto"/>
              <w:bottom w:val="single" w:sz="4" w:space="0" w:color="auto"/>
              <w:right w:val="single" w:sz="4" w:space="0" w:color="auto"/>
            </w:tcBorders>
            <w:vAlign w:val="center"/>
            <w:hideMark/>
          </w:tcPr>
          <w:p w14:paraId="22A0F201" w14:textId="77777777" w:rsidR="00D853AB" w:rsidRPr="000038A7" w:rsidRDefault="00D853AB" w:rsidP="00331F85">
            <w:pPr>
              <w:keepNext/>
              <w:jc w:val="center"/>
              <w:rPr>
                <w:b/>
                <w:sz w:val="22"/>
                <w:szCs w:val="22"/>
                <w:lang w:val="en-GB"/>
              </w:rPr>
            </w:pPr>
            <w:r w:rsidRPr="000038A7">
              <w:rPr>
                <w:b/>
                <w:sz w:val="22"/>
                <w:szCs w:val="22"/>
                <w:lang w:val="en-GB"/>
              </w:rPr>
              <w:t>Frequency</w:t>
            </w:r>
          </w:p>
        </w:tc>
        <w:tc>
          <w:tcPr>
            <w:tcW w:w="1888" w:type="pct"/>
            <w:tcBorders>
              <w:top w:val="single" w:sz="4" w:space="0" w:color="auto"/>
              <w:left w:val="single" w:sz="4" w:space="0" w:color="auto"/>
              <w:bottom w:val="single" w:sz="4" w:space="0" w:color="auto"/>
              <w:right w:val="single" w:sz="4" w:space="0" w:color="auto"/>
            </w:tcBorders>
            <w:vAlign w:val="center"/>
            <w:hideMark/>
          </w:tcPr>
          <w:p w14:paraId="1370D3BA" w14:textId="77777777" w:rsidR="00D853AB" w:rsidRPr="000038A7" w:rsidRDefault="00D853AB" w:rsidP="00331F85">
            <w:pPr>
              <w:keepNext/>
              <w:jc w:val="center"/>
              <w:rPr>
                <w:b/>
                <w:sz w:val="22"/>
                <w:szCs w:val="22"/>
                <w:lang w:val="en-GB"/>
              </w:rPr>
            </w:pPr>
            <w:r w:rsidRPr="000038A7">
              <w:rPr>
                <w:b/>
                <w:sz w:val="22"/>
                <w:szCs w:val="22"/>
                <w:lang w:val="en-GB"/>
              </w:rPr>
              <w:t>Children 3 through 6 years</w:t>
            </w:r>
            <w:r w:rsidRPr="000038A7">
              <w:rPr>
                <w:b/>
                <w:sz w:val="22"/>
                <w:szCs w:val="22"/>
                <w:lang w:val="en-GB"/>
              </w:rPr>
              <w:br/>
            </w:r>
          </w:p>
        </w:tc>
        <w:tc>
          <w:tcPr>
            <w:tcW w:w="1236" w:type="pct"/>
            <w:tcBorders>
              <w:top w:val="single" w:sz="4" w:space="0" w:color="auto"/>
              <w:left w:val="single" w:sz="4" w:space="0" w:color="auto"/>
              <w:bottom w:val="single" w:sz="4" w:space="0" w:color="auto"/>
              <w:right w:val="single" w:sz="4" w:space="0" w:color="auto"/>
            </w:tcBorders>
            <w:vAlign w:val="center"/>
            <w:hideMark/>
          </w:tcPr>
          <w:p w14:paraId="6A77455C" w14:textId="77777777" w:rsidR="00D853AB" w:rsidRPr="000038A7" w:rsidRDefault="00D853AB" w:rsidP="00331F85">
            <w:pPr>
              <w:keepNext/>
              <w:jc w:val="center"/>
              <w:rPr>
                <w:b/>
                <w:sz w:val="22"/>
                <w:szCs w:val="22"/>
                <w:lang w:val="en-GB"/>
              </w:rPr>
            </w:pPr>
            <w:r w:rsidRPr="000038A7">
              <w:rPr>
                <w:b/>
                <w:sz w:val="22"/>
                <w:szCs w:val="22"/>
                <w:lang w:val="en-GB"/>
              </w:rPr>
              <w:t>Adolescents and Adults</w:t>
            </w:r>
            <w:r w:rsidRPr="000038A7">
              <w:rPr>
                <w:b/>
                <w:sz w:val="22"/>
                <w:szCs w:val="22"/>
                <w:lang w:val="en-GB"/>
              </w:rPr>
              <w:br/>
            </w:r>
          </w:p>
        </w:tc>
      </w:tr>
      <w:tr w:rsidR="00D853AB" w:rsidRPr="000038A7" w14:paraId="30D6F8FD" w14:textId="77777777" w:rsidTr="005420A5">
        <w:trPr>
          <w:trHeight w:val="567"/>
        </w:trPr>
        <w:tc>
          <w:tcPr>
            <w:tcW w:w="1213" w:type="pct"/>
            <w:tcBorders>
              <w:top w:val="single" w:sz="4" w:space="0" w:color="auto"/>
              <w:left w:val="single" w:sz="4" w:space="0" w:color="auto"/>
              <w:bottom w:val="single" w:sz="4" w:space="0" w:color="auto"/>
              <w:right w:val="single" w:sz="4" w:space="0" w:color="auto"/>
            </w:tcBorders>
            <w:hideMark/>
          </w:tcPr>
          <w:p w14:paraId="09C871CA" w14:textId="77777777" w:rsidR="00D853AB" w:rsidRPr="000038A7" w:rsidRDefault="00D853AB" w:rsidP="00331F85">
            <w:pPr>
              <w:keepNext/>
              <w:rPr>
                <w:sz w:val="22"/>
                <w:szCs w:val="22"/>
                <w:lang w:val="en-GB"/>
              </w:rPr>
            </w:pPr>
            <w:r w:rsidRPr="000038A7">
              <w:rPr>
                <w:sz w:val="22"/>
                <w:szCs w:val="22"/>
                <w:lang w:val="en-GB"/>
              </w:rPr>
              <w:t>Blood and lymphatic system disorders</w:t>
            </w:r>
          </w:p>
        </w:tc>
        <w:tc>
          <w:tcPr>
            <w:tcW w:w="662" w:type="pct"/>
            <w:tcBorders>
              <w:top w:val="single" w:sz="4" w:space="0" w:color="auto"/>
              <w:left w:val="single" w:sz="4" w:space="0" w:color="auto"/>
              <w:bottom w:val="single" w:sz="4" w:space="0" w:color="auto"/>
              <w:right w:val="single" w:sz="4" w:space="0" w:color="auto"/>
            </w:tcBorders>
            <w:hideMark/>
          </w:tcPr>
          <w:p w14:paraId="69C20C73" w14:textId="77777777" w:rsidR="00D853AB" w:rsidRPr="000038A7" w:rsidRDefault="00D853AB" w:rsidP="00331F85">
            <w:pPr>
              <w:keepNext/>
              <w:rPr>
                <w:sz w:val="22"/>
                <w:szCs w:val="22"/>
                <w:lang w:val="en-GB"/>
              </w:rPr>
            </w:pPr>
            <w:r w:rsidRPr="000038A7">
              <w:rPr>
                <w:sz w:val="22"/>
                <w:szCs w:val="22"/>
                <w:lang w:val="en-GB"/>
              </w:rPr>
              <w:t>Not known</w:t>
            </w:r>
          </w:p>
        </w:tc>
        <w:tc>
          <w:tcPr>
            <w:tcW w:w="3125" w:type="pct"/>
            <w:gridSpan w:val="2"/>
            <w:tcBorders>
              <w:top w:val="single" w:sz="4" w:space="0" w:color="auto"/>
              <w:left w:val="single" w:sz="4" w:space="0" w:color="auto"/>
              <w:bottom w:val="single" w:sz="4" w:space="0" w:color="auto"/>
              <w:right w:val="single" w:sz="4" w:space="0" w:color="auto"/>
            </w:tcBorders>
            <w:vAlign w:val="center"/>
            <w:hideMark/>
          </w:tcPr>
          <w:p w14:paraId="54648F36" w14:textId="77777777" w:rsidR="00D853AB" w:rsidRPr="000038A7" w:rsidRDefault="00D853AB" w:rsidP="00331F85">
            <w:pPr>
              <w:keepNext/>
              <w:jc w:val="center"/>
              <w:rPr>
                <w:sz w:val="22"/>
                <w:szCs w:val="22"/>
                <w:lang w:val="en-GB"/>
              </w:rPr>
            </w:pPr>
            <w:r w:rsidRPr="000038A7">
              <w:rPr>
                <w:sz w:val="22"/>
                <w:szCs w:val="22"/>
                <w:lang w:val="en-GB"/>
              </w:rPr>
              <w:t xml:space="preserve">Lymphadenopathy* </w:t>
            </w:r>
          </w:p>
        </w:tc>
      </w:tr>
      <w:tr w:rsidR="00D853AB" w:rsidRPr="00BC706D" w14:paraId="4EF66852" w14:textId="77777777" w:rsidTr="005420A5">
        <w:trPr>
          <w:trHeight w:val="567"/>
        </w:trPr>
        <w:tc>
          <w:tcPr>
            <w:tcW w:w="1213" w:type="pct"/>
            <w:tcBorders>
              <w:top w:val="single" w:sz="4" w:space="0" w:color="auto"/>
              <w:left w:val="single" w:sz="4" w:space="0" w:color="auto"/>
              <w:bottom w:val="single" w:sz="4" w:space="0" w:color="auto"/>
              <w:right w:val="single" w:sz="4" w:space="0" w:color="auto"/>
            </w:tcBorders>
            <w:hideMark/>
          </w:tcPr>
          <w:p w14:paraId="421ACABE" w14:textId="77777777" w:rsidR="00D853AB" w:rsidRPr="000038A7" w:rsidRDefault="00D853AB" w:rsidP="00331F85">
            <w:pPr>
              <w:keepNext/>
              <w:rPr>
                <w:sz w:val="22"/>
                <w:szCs w:val="22"/>
                <w:lang w:val="en-GB"/>
              </w:rPr>
            </w:pPr>
            <w:r w:rsidRPr="000038A7">
              <w:rPr>
                <w:sz w:val="22"/>
                <w:szCs w:val="22"/>
                <w:lang w:val="en-GB"/>
              </w:rPr>
              <w:t>Immune system disorders</w:t>
            </w:r>
          </w:p>
        </w:tc>
        <w:tc>
          <w:tcPr>
            <w:tcW w:w="662" w:type="pct"/>
            <w:tcBorders>
              <w:top w:val="single" w:sz="4" w:space="0" w:color="auto"/>
              <w:left w:val="single" w:sz="4" w:space="0" w:color="auto"/>
              <w:bottom w:val="single" w:sz="4" w:space="0" w:color="auto"/>
              <w:right w:val="single" w:sz="4" w:space="0" w:color="auto"/>
            </w:tcBorders>
            <w:hideMark/>
          </w:tcPr>
          <w:p w14:paraId="18E0A3C8" w14:textId="77777777" w:rsidR="00D853AB" w:rsidRPr="000038A7" w:rsidRDefault="00D853AB" w:rsidP="00331F85">
            <w:pPr>
              <w:keepNext/>
              <w:rPr>
                <w:sz w:val="22"/>
                <w:szCs w:val="22"/>
                <w:lang w:val="en-GB"/>
              </w:rPr>
            </w:pPr>
            <w:r w:rsidRPr="000038A7">
              <w:rPr>
                <w:sz w:val="22"/>
                <w:szCs w:val="22"/>
                <w:lang w:val="en-GB"/>
              </w:rPr>
              <w:t>Not known</w:t>
            </w:r>
          </w:p>
        </w:tc>
        <w:tc>
          <w:tcPr>
            <w:tcW w:w="3125" w:type="pct"/>
            <w:gridSpan w:val="2"/>
            <w:tcBorders>
              <w:top w:val="single" w:sz="4" w:space="0" w:color="auto"/>
              <w:left w:val="single" w:sz="4" w:space="0" w:color="auto"/>
              <w:bottom w:val="single" w:sz="4" w:space="0" w:color="auto"/>
              <w:right w:val="single" w:sz="4" w:space="0" w:color="auto"/>
            </w:tcBorders>
            <w:vAlign w:val="center"/>
            <w:hideMark/>
          </w:tcPr>
          <w:p w14:paraId="7CF7F171" w14:textId="77777777" w:rsidR="00D853AB" w:rsidRPr="000038A7" w:rsidRDefault="00D853AB" w:rsidP="00331F85">
            <w:pPr>
              <w:keepNext/>
              <w:jc w:val="center"/>
              <w:rPr>
                <w:b/>
                <w:i/>
                <w:sz w:val="22"/>
                <w:szCs w:val="22"/>
                <w:lang w:val="en-GB"/>
              </w:rPr>
            </w:pPr>
            <w:r w:rsidRPr="000038A7">
              <w:rPr>
                <w:sz w:val="22"/>
                <w:szCs w:val="22"/>
                <w:lang w:val="en-GB"/>
              </w:rPr>
              <w:t xml:space="preserve">Anaphylactic reactions, such as urticaria, face oedema and </w:t>
            </w:r>
            <w:proofErr w:type="spellStart"/>
            <w:r w:rsidRPr="000038A7">
              <w:rPr>
                <w:sz w:val="22"/>
                <w:szCs w:val="22"/>
                <w:lang w:val="en-GB"/>
              </w:rPr>
              <w:t>dyspnea</w:t>
            </w:r>
            <w:proofErr w:type="spellEnd"/>
            <w:r w:rsidRPr="000038A7">
              <w:rPr>
                <w:sz w:val="22"/>
                <w:szCs w:val="22"/>
                <w:lang w:val="en-GB"/>
              </w:rPr>
              <w:t>*</w:t>
            </w:r>
          </w:p>
        </w:tc>
      </w:tr>
      <w:tr w:rsidR="00D853AB" w:rsidRPr="000038A7" w14:paraId="3C5A0B70" w14:textId="77777777" w:rsidTr="005420A5">
        <w:trPr>
          <w:trHeight w:val="567"/>
        </w:trPr>
        <w:tc>
          <w:tcPr>
            <w:tcW w:w="1213" w:type="pct"/>
            <w:vMerge w:val="restart"/>
            <w:tcBorders>
              <w:top w:val="single" w:sz="4" w:space="0" w:color="auto"/>
              <w:left w:val="single" w:sz="4" w:space="0" w:color="auto"/>
              <w:bottom w:val="single" w:sz="4" w:space="0" w:color="auto"/>
              <w:right w:val="single" w:sz="4" w:space="0" w:color="auto"/>
            </w:tcBorders>
            <w:hideMark/>
          </w:tcPr>
          <w:p w14:paraId="5E0CFDC2" w14:textId="77777777" w:rsidR="00D853AB" w:rsidRPr="000038A7" w:rsidRDefault="00D853AB" w:rsidP="00331F85">
            <w:pPr>
              <w:rPr>
                <w:sz w:val="22"/>
                <w:szCs w:val="22"/>
                <w:lang w:val="en-GB"/>
              </w:rPr>
            </w:pPr>
            <w:r w:rsidRPr="000038A7">
              <w:rPr>
                <w:sz w:val="22"/>
                <w:szCs w:val="22"/>
                <w:lang w:val="en-GB"/>
              </w:rPr>
              <w:t>Nervous system disorders</w:t>
            </w:r>
          </w:p>
        </w:tc>
        <w:tc>
          <w:tcPr>
            <w:tcW w:w="662" w:type="pct"/>
            <w:tcBorders>
              <w:top w:val="single" w:sz="4" w:space="0" w:color="auto"/>
              <w:left w:val="single" w:sz="4" w:space="0" w:color="auto"/>
              <w:bottom w:val="single" w:sz="4" w:space="0" w:color="auto"/>
              <w:right w:val="single" w:sz="4" w:space="0" w:color="auto"/>
            </w:tcBorders>
            <w:hideMark/>
          </w:tcPr>
          <w:p w14:paraId="336FF1DD" w14:textId="77777777" w:rsidR="00D853AB" w:rsidRPr="000038A7" w:rsidRDefault="00D853AB" w:rsidP="00331F85">
            <w:pPr>
              <w:rPr>
                <w:sz w:val="22"/>
                <w:szCs w:val="22"/>
                <w:lang w:val="en-GB"/>
              </w:rPr>
            </w:pPr>
            <w:r w:rsidRPr="000038A7">
              <w:rPr>
                <w:sz w:val="22"/>
                <w:szCs w:val="22"/>
                <w:lang w:val="en-GB"/>
              </w:rPr>
              <w:t>Very common</w:t>
            </w:r>
          </w:p>
        </w:tc>
        <w:tc>
          <w:tcPr>
            <w:tcW w:w="1888" w:type="pct"/>
            <w:tcBorders>
              <w:top w:val="single" w:sz="4" w:space="0" w:color="auto"/>
              <w:left w:val="single" w:sz="4" w:space="0" w:color="auto"/>
              <w:bottom w:val="single" w:sz="4" w:space="0" w:color="auto"/>
              <w:right w:val="single" w:sz="4" w:space="0" w:color="auto"/>
            </w:tcBorders>
            <w:vAlign w:val="center"/>
          </w:tcPr>
          <w:p w14:paraId="689E84D3" w14:textId="77777777" w:rsidR="00D853AB" w:rsidRPr="000038A7" w:rsidRDefault="00D853AB" w:rsidP="00331F85">
            <w:pPr>
              <w:jc w:val="center"/>
              <w:rPr>
                <w:sz w:val="22"/>
                <w:szCs w:val="22"/>
                <w:lang w:val="en-GB"/>
              </w:rPr>
            </w:pPr>
          </w:p>
        </w:tc>
        <w:tc>
          <w:tcPr>
            <w:tcW w:w="1236" w:type="pct"/>
            <w:tcBorders>
              <w:top w:val="single" w:sz="4" w:space="0" w:color="auto"/>
              <w:left w:val="single" w:sz="4" w:space="0" w:color="auto"/>
              <w:bottom w:val="single" w:sz="4" w:space="0" w:color="auto"/>
              <w:right w:val="single" w:sz="4" w:space="0" w:color="auto"/>
            </w:tcBorders>
            <w:vAlign w:val="center"/>
            <w:hideMark/>
          </w:tcPr>
          <w:p w14:paraId="245A6ED1" w14:textId="77777777" w:rsidR="00D853AB" w:rsidRPr="000038A7" w:rsidRDefault="00D853AB" w:rsidP="00331F85">
            <w:pPr>
              <w:jc w:val="center"/>
              <w:rPr>
                <w:sz w:val="22"/>
                <w:szCs w:val="22"/>
                <w:lang w:val="en-GB"/>
              </w:rPr>
            </w:pPr>
            <w:r w:rsidRPr="000038A7">
              <w:rPr>
                <w:sz w:val="22"/>
                <w:szCs w:val="22"/>
                <w:lang w:val="en-GB"/>
              </w:rPr>
              <w:t>Headache</w:t>
            </w:r>
          </w:p>
        </w:tc>
      </w:tr>
      <w:tr w:rsidR="00D853AB" w:rsidRPr="000038A7" w14:paraId="5DCD0514" w14:textId="77777777" w:rsidTr="005420A5">
        <w:trPr>
          <w:trHeight w:val="170"/>
        </w:trPr>
        <w:tc>
          <w:tcPr>
            <w:tcW w:w="1213" w:type="pct"/>
            <w:vMerge/>
            <w:tcBorders>
              <w:top w:val="single" w:sz="4" w:space="0" w:color="auto"/>
              <w:left w:val="single" w:sz="4" w:space="0" w:color="auto"/>
              <w:bottom w:val="single" w:sz="4" w:space="0" w:color="auto"/>
              <w:right w:val="single" w:sz="4" w:space="0" w:color="auto"/>
            </w:tcBorders>
            <w:vAlign w:val="center"/>
            <w:hideMark/>
          </w:tcPr>
          <w:p w14:paraId="6575946A" w14:textId="77777777" w:rsidR="00D853AB" w:rsidRPr="000038A7" w:rsidRDefault="00D853AB" w:rsidP="00331F85">
            <w:pPr>
              <w:rPr>
                <w:sz w:val="22"/>
                <w:szCs w:val="22"/>
                <w:lang w:val="en-GB" w:eastAsia="en-US"/>
              </w:rPr>
            </w:pPr>
          </w:p>
        </w:tc>
        <w:tc>
          <w:tcPr>
            <w:tcW w:w="662" w:type="pct"/>
            <w:tcBorders>
              <w:top w:val="single" w:sz="4" w:space="0" w:color="auto"/>
              <w:left w:val="single" w:sz="4" w:space="0" w:color="auto"/>
              <w:bottom w:val="single" w:sz="4" w:space="0" w:color="auto"/>
              <w:right w:val="single" w:sz="4" w:space="0" w:color="auto"/>
            </w:tcBorders>
            <w:hideMark/>
          </w:tcPr>
          <w:p w14:paraId="6ACB8058" w14:textId="77777777" w:rsidR="00D853AB" w:rsidRPr="000038A7" w:rsidRDefault="00D853AB" w:rsidP="00331F85">
            <w:pPr>
              <w:rPr>
                <w:sz w:val="22"/>
                <w:szCs w:val="22"/>
                <w:lang w:val="en-GB"/>
              </w:rPr>
            </w:pPr>
            <w:r w:rsidRPr="000038A7">
              <w:rPr>
                <w:sz w:val="22"/>
                <w:szCs w:val="22"/>
                <w:lang w:val="en-GB"/>
              </w:rPr>
              <w:t>Common</w:t>
            </w:r>
          </w:p>
        </w:tc>
        <w:tc>
          <w:tcPr>
            <w:tcW w:w="1888" w:type="pct"/>
            <w:tcBorders>
              <w:top w:val="single" w:sz="4" w:space="0" w:color="auto"/>
              <w:left w:val="single" w:sz="4" w:space="0" w:color="auto"/>
              <w:bottom w:val="single" w:sz="4" w:space="0" w:color="auto"/>
              <w:right w:val="single" w:sz="4" w:space="0" w:color="auto"/>
            </w:tcBorders>
            <w:vAlign w:val="center"/>
            <w:hideMark/>
          </w:tcPr>
          <w:p w14:paraId="1C07A802" w14:textId="77777777" w:rsidR="00D853AB" w:rsidRPr="000038A7" w:rsidRDefault="00D853AB" w:rsidP="00331F85">
            <w:pPr>
              <w:jc w:val="center"/>
              <w:rPr>
                <w:sz w:val="22"/>
                <w:szCs w:val="22"/>
                <w:lang w:val="en-GB"/>
              </w:rPr>
            </w:pPr>
            <w:r w:rsidRPr="000038A7">
              <w:rPr>
                <w:sz w:val="22"/>
                <w:szCs w:val="22"/>
                <w:lang w:val="en-GB"/>
              </w:rPr>
              <w:t>Headache</w:t>
            </w:r>
          </w:p>
        </w:tc>
        <w:tc>
          <w:tcPr>
            <w:tcW w:w="1236" w:type="pct"/>
            <w:tcBorders>
              <w:top w:val="single" w:sz="4" w:space="0" w:color="auto"/>
              <w:left w:val="single" w:sz="4" w:space="0" w:color="auto"/>
              <w:bottom w:val="single" w:sz="4" w:space="0" w:color="auto"/>
              <w:right w:val="single" w:sz="4" w:space="0" w:color="auto"/>
            </w:tcBorders>
            <w:vAlign w:val="center"/>
          </w:tcPr>
          <w:p w14:paraId="6CC507E6" w14:textId="77777777" w:rsidR="00D853AB" w:rsidRPr="000038A7" w:rsidRDefault="00D853AB" w:rsidP="00331F85">
            <w:pPr>
              <w:jc w:val="center"/>
              <w:rPr>
                <w:sz w:val="22"/>
                <w:szCs w:val="22"/>
                <w:lang w:val="en-GB"/>
              </w:rPr>
            </w:pPr>
          </w:p>
        </w:tc>
      </w:tr>
      <w:tr w:rsidR="00D853AB" w:rsidRPr="00BC706D" w14:paraId="6E2251EC" w14:textId="77777777" w:rsidTr="005420A5">
        <w:trPr>
          <w:trHeight w:val="794"/>
        </w:trPr>
        <w:tc>
          <w:tcPr>
            <w:tcW w:w="1213" w:type="pct"/>
            <w:vMerge/>
            <w:tcBorders>
              <w:top w:val="single" w:sz="4" w:space="0" w:color="auto"/>
              <w:left w:val="single" w:sz="4" w:space="0" w:color="auto"/>
              <w:bottom w:val="single" w:sz="4" w:space="0" w:color="auto"/>
              <w:right w:val="single" w:sz="4" w:space="0" w:color="auto"/>
            </w:tcBorders>
            <w:vAlign w:val="center"/>
            <w:hideMark/>
          </w:tcPr>
          <w:p w14:paraId="1D48BA4B" w14:textId="77777777" w:rsidR="00D853AB" w:rsidRPr="000038A7" w:rsidRDefault="00D853AB" w:rsidP="00331F85">
            <w:pPr>
              <w:rPr>
                <w:sz w:val="22"/>
                <w:szCs w:val="22"/>
                <w:lang w:val="en-GB" w:eastAsia="en-US"/>
              </w:rPr>
            </w:pPr>
          </w:p>
        </w:tc>
        <w:tc>
          <w:tcPr>
            <w:tcW w:w="662" w:type="pct"/>
            <w:tcBorders>
              <w:top w:val="single" w:sz="4" w:space="0" w:color="auto"/>
              <w:left w:val="single" w:sz="4" w:space="0" w:color="auto"/>
              <w:bottom w:val="single" w:sz="4" w:space="0" w:color="auto"/>
              <w:right w:val="single" w:sz="4" w:space="0" w:color="auto"/>
            </w:tcBorders>
            <w:hideMark/>
          </w:tcPr>
          <w:p w14:paraId="0A1F838D" w14:textId="77777777" w:rsidR="00D853AB" w:rsidRPr="000038A7" w:rsidRDefault="00D853AB" w:rsidP="00331F85">
            <w:pPr>
              <w:rPr>
                <w:sz w:val="22"/>
                <w:szCs w:val="22"/>
                <w:lang w:val="en-GB"/>
              </w:rPr>
            </w:pPr>
            <w:r w:rsidRPr="000038A7">
              <w:rPr>
                <w:sz w:val="22"/>
                <w:szCs w:val="22"/>
                <w:lang w:val="en-GB"/>
              </w:rPr>
              <w:t>Not known</w:t>
            </w:r>
          </w:p>
        </w:tc>
        <w:tc>
          <w:tcPr>
            <w:tcW w:w="3125" w:type="pct"/>
            <w:gridSpan w:val="2"/>
            <w:tcBorders>
              <w:top w:val="single" w:sz="4" w:space="0" w:color="auto"/>
              <w:left w:val="single" w:sz="4" w:space="0" w:color="auto"/>
              <w:bottom w:val="single" w:sz="4" w:space="0" w:color="auto"/>
              <w:right w:val="single" w:sz="4" w:space="0" w:color="auto"/>
            </w:tcBorders>
            <w:vAlign w:val="center"/>
            <w:hideMark/>
          </w:tcPr>
          <w:p w14:paraId="76066374" w14:textId="77777777" w:rsidR="00D853AB" w:rsidRPr="000038A7" w:rsidRDefault="00D853AB" w:rsidP="00331F85">
            <w:pPr>
              <w:jc w:val="center"/>
              <w:rPr>
                <w:b/>
                <w:i/>
                <w:sz w:val="22"/>
                <w:szCs w:val="22"/>
                <w:lang w:val="en-GB"/>
              </w:rPr>
            </w:pPr>
            <w:r w:rsidRPr="000038A7">
              <w:rPr>
                <w:sz w:val="22"/>
                <w:szCs w:val="22"/>
                <w:lang w:val="en-GB"/>
              </w:rPr>
              <w:t xml:space="preserve">Convulsions, Vasovagal Syncope, Guillain Barré syndrome, Facial Palsy, Myelitis, Brachial Neuritis, Transient </w:t>
            </w:r>
            <w:proofErr w:type="spellStart"/>
            <w:r w:rsidRPr="000038A7">
              <w:rPr>
                <w:sz w:val="22"/>
                <w:szCs w:val="22"/>
                <w:lang w:val="en-GB"/>
              </w:rPr>
              <w:t>paresthesia</w:t>
            </w:r>
            <w:proofErr w:type="spellEnd"/>
            <w:r w:rsidRPr="000038A7">
              <w:rPr>
                <w:sz w:val="22"/>
                <w:szCs w:val="22"/>
                <w:lang w:val="en-GB"/>
              </w:rPr>
              <w:t>/hypoesthesia of vaccinated limb, Dizziness*</w:t>
            </w:r>
          </w:p>
        </w:tc>
      </w:tr>
      <w:tr w:rsidR="00D853AB" w:rsidRPr="000038A7" w14:paraId="2255BBF1" w14:textId="77777777" w:rsidTr="005420A5">
        <w:trPr>
          <w:trHeight w:val="567"/>
        </w:trPr>
        <w:tc>
          <w:tcPr>
            <w:tcW w:w="1213" w:type="pct"/>
            <w:vMerge w:val="restart"/>
            <w:tcBorders>
              <w:top w:val="single" w:sz="4" w:space="0" w:color="auto"/>
              <w:left w:val="single" w:sz="4" w:space="0" w:color="auto"/>
              <w:bottom w:val="single" w:sz="4" w:space="0" w:color="auto"/>
              <w:right w:val="single" w:sz="4" w:space="0" w:color="auto"/>
            </w:tcBorders>
            <w:hideMark/>
          </w:tcPr>
          <w:p w14:paraId="35ADC372" w14:textId="77777777" w:rsidR="00D853AB" w:rsidRPr="000038A7" w:rsidRDefault="00D853AB" w:rsidP="00331F85">
            <w:pPr>
              <w:rPr>
                <w:sz w:val="22"/>
                <w:szCs w:val="22"/>
                <w:lang w:val="en-GB"/>
              </w:rPr>
            </w:pPr>
            <w:r w:rsidRPr="000038A7">
              <w:rPr>
                <w:sz w:val="22"/>
                <w:szCs w:val="22"/>
                <w:lang w:val="en-GB"/>
              </w:rPr>
              <w:t>Gastrointestinal disorders</w:t>
            </w:r>
          </w:p>
        </w:tc>
        <w:tc>
          <w:tcPr>
            <w:tcW w:w="662" w:type="pct"/>
            <w:tcBorders>
              <w:top w:val="single" w:sz="4" w:space="0" w:color="auto"/>
              <w:left w:val="single" w:sz="4" w:space="0" w:color="auto"/>
              <w:bottom w:val="single" w:sz="4" w:space="0" w:color="auto"/>
              <w:right w:val="single" w:sz="4" w:space="0" w:color="auto"/>
            </w:tcBorders>
            <w:hideMark/>
          </w:tcPr>
          <w:p w14:paraId="662FB7DD" w14:textId="77777777" w:rsidR="00D853AB" w:rsidRPr="000038A7" w:rsidRDefault="00D853AB" w:rsidP="00331F85">
            <w:pPr>
              <w:rPr>
                <w:sz w:val="22"/>
                <w:szCs w:val="22"/>
                <w:lang w:val="en-GB"/>
              </w:rPr>
            </w:pPr>
            <w:r w:rsidRPr="000038A7">
              <w:rPr>
                <w:sz w:val="22"/>
                <w:szCs w:val="22"/>
                <w:lang w:val="en-GB"/>
              </w:rPr>
              <w:t>Very common</w:t>
            </w:r>
          </w:p>
        </w:tc>
        <w:tc>
          <w:tcPr>
            <w:tcW w:w="1888" w:type="pct"/>
            <w:tcBorders>
              <w:top w:val="single" w:sz="4" w:space="0" w:color="auto"/>
              <w:left w:val="single" w:sz="4" w:space="0" w:color="auto"/>
              <w:bottom w:val="single" w:sz="4" w:space="0" w:color="auto"/>
              <w:right w:val="single" w:sz="4" w:space="0" w:color="auto"/>
            </w:tcBorders>
            <w:vAlign w:val="center"/>
            <w:hideMark/>
          </w:tcPr>
          <w:p w14:paraId="4FAD961D" w14:textId="77777777" w:rsidR="00D853AB" w:rsidRPr="000038A7" w:rsidRDefault="00D853AB" w:rsidP="00331F85">
            <w:pPr>
              <w:jc w:val="center"/>
              <w:rPr>
                <w:sz w:val="22"/>
                <w:szCs w:val="22"/>
                <w:lang w:val="en-GB"/>
              </w:rPr>
            </w:pPr>
            <w:r w:rsidRPr="000038A7">
              <w:rPr>
                <w:sz w:val="22"/>
                <w:szCs w:val="22"/>
                <w:lang w:val="en-GB"/>
              </w:rPr>
              <w:t>Diarrhoea</w:t>
            </w:r>
          </w:p>
        </w:tc>
        <w:tc>
          <w:tcPr>
            <w:tcW w:w="1236" w:type="pct"/>
            <w:tcBorders>
              <w:top w:val="single" w:sz="4" w:space="0" w:color="auto"/>
              <w:left w:val="single" w:sz="4" w:space="0" w:color="auto"/>
              <w:bottom w:val="single" w:sz="4" w:space="0" w:color="auto"/>
              <w:right w:val="single" w:sz="4" w:space="0" w:color="auto"/>
            </w:tcBorders>
            <w:vAlign w:val="center"/>
            <w:hideMark/>
          </w:tcPr>
          <w:p w14:paraId="5164C7E7" w14:textId="77777777" w:rsidR="00D853AB" w:rsidRPr="000038A7" w:rsidRDefault="00D853AB" w:rsidP="00331F85">
            <w:pPr>
              <w:jc w:val="center"/>
              <w:rPr>
                <w:sz w:val="22"/>
                <w:szCs w:val="22"/>
                <w:lang w:val="en-GB"/>
              </w:rPr>
            </w:pPr>
            <w:r w:rsidRPr="000038A7">
              <w:rPr>
                <w:sz w:val="22"/>
                <w:szCs w:val="22"/>
                <w:lang w:val="en-GB"/>
              </w:rPr>
              <w:t>Nausea</w:t>
            </w:r>
          </w:p>
        </w:tc>
      </w:tr>
      <w:tr w:rsidR="00D853AB" w:rsidRPr="000038A7" w14:paraId="3C950B38" w14:textId="77777777" w:rsidTr="005420A5">
        <w:trPr>
          <w:trHeight w:val="624"/>
        </w:trPr>
        <w:tc>
          <w:tcPr>
            <w:tcW w:w="1213" w:type="pct"/>
            <w:vMerge/>
            <w:tcBorders>
              <w:top w:val="single" w:sz="4" w:space="0" w:color="auto"/>
              <w:left w:val="single" w:sz="4" w:space="0" w:color="auto"/>
              <w:bottom w:val="single" w:sz="4" w:space="0" w:color="auto"/>
              <w:right w:val="single" w:sz="4" w:space="0" w:color="auto"/>
            </w:tcBorders>
            <w:vAlign w:val="center"/>
            <w:hideMark/>
          </w:tcPr>
          <w:p w14:paraId="4E17C9EB" w14:textId="77777777" w:rsidR="00D853AB" w:rsidRPr="000038A7" w:rsidRDefault="00D853AB" w:rsidP="00331F85">
            <w:pPr>
              <w:rPr>
                <w:sz w:val="22"/>
                <w:szCs w:val="22"/>
                <w:lang w:val="en-GB" w:eastAsia="en-US"/>
              </w:rPr>
            </w:pPr>
          </w:p>
        </w:tc>
        <w:tc>
          <w:tcPr>
            <w:tcW w:w="662" w:type="pct"/>
            <w:tcBorders>
              <w:top w:val="single" w:sz="4" w:space="0" w:color="auto"/>
              <w:left w:val="single" w:sz="4" w:space="0" w:color="auto"/>
              <w:bottom w:val="single" w:sz="4" w:space="0" w:color="auto"/>
              <w:right w:val="single" w:sz="4" w:space="0" w:color="auto"/>
            </w:tcBorders>
            <w:hideMark/>
          </w:tcPr>
          <w:p w14:paraId="01AA0D26" w14:textId="77777777" w:rsidR="00D853AB" w:rsidRPr="000038A7" w:rsidRDefault="00D853AB" w:rsidP="00331F85">
            <w:pPr>
              <w:rPr>
                <w:sz w:val="22"/>
                <w:szCs w:val="22"/>
                <w:lang w:val="en-GB"/>
              </w:rPr>
            </w:pPr>
            <w:r w:rsidRPr="000038A7">
              <w:rPr>
                <w:sz w:val="22"/>
                <w:szCs w:val="22"/>
                <w:lang w:val="en-GB"/>
              </w:rPr>
              <w:t>Common</w:t>
            </w:r>
          </w:p>
        </w:tc>
        <w:tc>
          <w:tcPr>
            <w:tcW w:w="1888" w:type="pct"/>
            <w:tcBorders>
              <w:top w:val="single" w:sz="4" w:space="0" w:color="auto"/>
              <w:left w:val="single" w:sz="4" w:space="0" w:color="auto"/>
              <w:bottom w:val="single" w:sz="4" w:space="0" w:color="auto"/>
              <w:right w:val="single" w:sz="4" w:space="0" w:color="auto"/>
            </w:tcBorders>
            <w:vAlign w:val="center"/>
            <w:hideMark/>
          </w:tcPr>
          <w:p w14:paraId="73C716EF" w14:textId="77777777" w:rsidR="00D853AB" w:rsidRPr="000038A7" w:rsidRDefault="00D853AB" w:rsidP="00331F85">
            <w:pPr>
              <w:jc w:val="center"/>
              <w:rPr>
                <w:sz w:val="22"/>
                <w:szCs w:val="22"/>
                <w:lang w:val="en-GB"/>
              </w:rPr>
            </w:pPr>
            <w:r w:rsidRPr="000038A7">
              <w:rPr>
                <w:sz w:val="22"/>
                <w:szCs w:val="22"/>
                <w:lang w:val="en-GB"/>
              </w:rPr>
              <w:t>Vomiting,</w:t>
            </w:r>
          </w:p>
          <w:p w14:paraId="37C7CE81" w14:textId="77777777" w:rsidR="00D853AB" w:rsidRPr="000038A7" w:rsidRDefault="00D853AB" w:rsidP="00331F85">
            <w:pPr>
              <w:jc w:val="center"/>
              <w:rPr>
                <w:sz w:val="22"/>
                <w:szCs w:val="22"/>
                <w:lang w:val="en-GB"/>
              </w:rPr>
            </w:pPr>
            <w:r w:rsidRPr="000038A7">
              <w:rPr>
                <w:sz w:val="22"/>
                <w:szCs w:val="22"/>
                <w:lang w:val="en-GB"/>
              </w:rPr>
              <w:t>Nausea</w:t>
            </w:r>
          </w:p>
        </w:tc>
        <w:tc>
          <w:tcPr>
            <w:tcW w:w="1236" w:type="pct"/>
            <w:tcBorders>
              <w:top w:val="single" w:sz="4" w:space="0" w:color="auto"/>
              <w:left w:val="single" w:sz="4" w:space="0" w:color="auto"/>
              <w:bottom w:val="single" w:sz="4" w:space="0" w:color="auto"/>
              <w:right w:val="single" w:sz="4" w:space="0" w:color="auto"/>
            </w:tcBorders>
            <w:vAlign w:val="center"/>
            <w:hideMark/>
          </w:tcPr>
          <w:p w14:paraId="0749FDAA" w14:textId="77777777" w:rsidR="00D853AB" w:rsidRPr="000038A7" w:rsidRDefault="00D853AB" w:rsidP="00331F85">
            <w:pPr>
              <w:jc w:val="center"/>
              <w:rPr>
                <w:sz w:val="22"/>
                <w:szCs w:val="22"/>
                <w:lang w:val="en-GB"/>
              </w:rPr>
            </w:pPr>
            <w:r w:rsidRPr="000038A7">
              <w:rPr>
                <w:sz w:val="22"/>
                <w:szCs w:val="22"/>
                <w:lang w:val="en-GB"/>
              </w:rPr>
              <w:t>Diarrhoea, Vomiting</w:t>
            </w:r>
          </w:p>
        </w:tc>
      </w:tr>
      <w:tr w:rsidR="00D853AB" w:rsidRPr="000038A7" w14:paraId="4921EE71" w14:textId="77777777" w:rsidTr="005420A5">
        <w:trPr>
          <w:trHeight w:val="20"/>
        </w:trPr>
        <w:tc>
          <w:tcPr>
            <w:tcW w:w="1213" w:type="pct"/>
            <w:tcBorders>
              <w:top w:val="single" w:sz="4" w:space="0" w:color="auto"/>
              <w:left w:val="single" w:sz="4" w:space="0" w:color="auto"/>
              <w:bottom w:val="single" w:sz="4" w:space="0" w:color="auto"/>
              <w:right w:val="single" w:sz="4" w:space="0" w:color="auto"/>
            </w:tcBorders>
          </w:tcPr>
          <w:p w14:paraId="3CDC407B" w14:textId="77777777" w:rsidR="00D853AB" w:rsidRPr="000038A7" w:rsidRDefault="00D853AB" w:rsidP="00331F85">
            <w:pPr>
              <w:rPr>
                <w:sz w:val="22"/>
                <w:szCs w:val="22"/>
                <w:lang w:val="en-GB"/>
              </w:rPr>
            </w:pPr>
          </w:p>
        </w:tc>
        <w:tc>
          <w:tcPr>
            <w:tcW w:w="662" w:type="pct"/>
            <w:tcBorders>
              <w:top w:val="single" w:sz="4" w:space="0" w:color="auto"/>
              <w:left w:val="single" w:sz="4" w:space="0" w:color="auto"/>
              <w:bottom w:val="single" w:sz="4" w:space="0" w:color="auto"/>
              <w:right w:val="single" w:sz="4" w:space="0" w:color="auto"/>
            </w:tcBorders>
            <w:hideMark/>
          </w:tcPr>
          <w:p w14:paraId="68A2800E" w14:textId="77777777" w:rsidR="00D853AB" w:rsidRPr="000038A7" w:rsidRDefault="00D853AB" w:rsidP="00331F85">
            <w:pPr>
              <w:rPr>
                <w:sz w:val="22"/>
                <w:szCs w:val="22"/>
                <w:lang w:val="en-GB"/>
              </w:rPr>
            </w:pPr>
            <w:r w:rsidRPr="000038A7">
              <w:rPr>
                <w:sz w:val="22"/>
                <w:szCs w:val="22"/>
                <w:lang w:val="en-GB"/>
              </w:rPr>
              <w:t>Not known</w:t>
            </w:r>
          </w:p>
        </w:tc>
        <w:tc>
          <w:tcPr>
            <w:tcW w:w="3125" w:type="pct"/>
            <w:gridSpan w:val="2"/>
            <w:tcBorders>
              <w:top w:val="single" w:sz="4" w:space="0" w:color="auto"/>
              <w:left w:val="single" w:sz="4" w:space="0" w:color="auto"/>
              <w:bottom w:val="single" w:sz="4" w:space="0" w:color="auto"/>
              <w:right w:val="single" w:sz="4" w:space="0" w:color="auto"/>
            </w:tcBorders>
            <w:vAlign w:val="center"/>
            <w:hideMark/>
          </w:tcPr>
          <w:p w14:paraId="3D177CF7" w14:textId="77777777" w:rsidR="00D853AB" w:rsidRPr="000038A7" w:rsidRDefault="00D853AB" w:rsidP="00331F85">
            <w:pPr>
              <w:jc w:val="center"/>
              <w:rPr>
                <w:sz w:val="22"/>
                <w:szCs w:val="22"/>
                <w:lang w:val="en-GB"/>
              </w:rPr>
            </w:pPr>
            <w:r w:rsidRPr="000038A7">
              <w:rPr>
                <w:sz w:val="22"/>
                <w:szCs w:val="22"/>
                <w:lang w:val="en-GB"/>
              </w:rPr>
              <w:t>Abdominal pain</w:t>
            </w:r>
          </w:p>
        </w:tc>
      </w:tr>
      <w:tr w:rsidR="00D853AB" w:rsidRPr="000038A7" w14:paraId="2E7B6617" w14:textId="77777777" w:rsidTr="005420A5">
        <w:trPr>
          <w:trHeight w:val="567"/>
        </w:trPr>
        <w:tc>
          <w:tcPr>
            <w:tcW w:w="1213" w:type="pct"/>
            <w:tcBorders>
              <w:top w:val="single" w:sz="4" w:space="0" w:color="auto"/>
              <w:left w:val="single" w:sz="4" w:space="0" w:color="auto"/>
              <w:bottom w:val="single" w:sz="4" w:space="0" w:color="auto"/>
              <w:right w:val="single" w:sz="4" w:space="0" w:color="auto"/>
            </w:tcBorders>
            <w:hideMark/>
          </w:tcPr>
          <w:p w14:paraId="35C52F4E" w14:textId="77777777" w:rsidR="00D853AB" w:rsidRPr="000038A7" w:rsidRDefault="00D853AB" w:rsidP="00331F85">
            <w:pPr>
              <w:rPr>
                <w:sz w:val="22"/>
                <w:szCs w:val="22"/>
                <w:lang w:val="en-GB"/>
              </w:rPr>
            </w:pPr>
            <w:r w:rsidRPr="000038A7">
              <w:rPr>
                <w:sz w:val="22"/>
                <w:szCs w:val="22"/>
                <w:lang w:val="en-GB"/>
              </w:rPr>
              <w:t>Skin and subcutaneous system disorders</w:t>
            </w:r>
          </w:p>
        </w:tc>
        <w:tc>
          <w:tcPr>
            <w:tcW w:w="662" w:type="pct"/>
            <w:tcBorders>
              <w:top w:val="single" w:sz="4" w:space="0" w:color="auto"/>
              <w:left w:val="single" w:sz="4" w:space="0" w:color="auto"/>
              <w:bottom w:val="single" w:sz="4" w:space="0" w:color="auto"/>
              <w:right w:val="single" w:sz="4" w:space="0" w:color="auto"/>
            </w:tcBorders>
            <w:hideMark/>
          </w:tcPr>
          <w:p w14:paraId="68B49D66" w14:textId="77777777" w:rsidR="00D853AB" w:rsidRPr="000038A7" w:rsidRDefault="00D853AB" w:rsidP="00331F85">
            <w:pPr>
              <w:rPr>
                <w:sz w:val="22"/>
                <w:szCs w:val="22"/>
                <w:lang w:val="en-GB"/>
              </w:rPr>
            </w:pPr>
            <w:r w:rsidRPr="000038A7">
              <w:rPr>
                <w:sz w:val="22"/>
                <w:szCs w:val="22"/>
                <w:lang w:val="en-GB"/>
              </w:rPr>
              <w:t>Common</w:t>
            </w:r>
          </w:p>
        </w:tc>
        <w:tc>
          <w:tcPr>
            <w:tcW w:w="1888" w:type="pct"/>
            <w:tcBorders>
              <w:top w:val="single" w:sz="4" w:space="0" w:color="auto"/>
              <w:left w:val="single" w:sz="4" w:space="0" w:color="auto"/>
              <w:bottom w:val="single" w:sz="4" w:space="0" w:color="auto"/>
              <w:right w:val="single" w:sz="4" w:space="0" w:color="auto"/>
            </w:tcBorders>
            <w:vAlign w:val="center"/>
            <w:hideMark/>
          </w:tcPr>
          <w:p w14:paraId="740738A1" w14:textId="77777777" w:rsidR="00D853AB" w:rsidRPr="000038A7" w:rsidRDefault="00D853AB" w:rsidP="00331F85">
            <w:pPr>
              <w:jc w:val="center"/>
              <w:rPr>
                <w:sz w:val="22"/>
                <w:szCs w:val="22"/>
                <w:lang w:val="en-GB"/>
              </w:rPr>
            </w:pPr>
            <w:r w:rsidRPr="000038A7">
              <w:rPr>
                <w:sz w:val="22"/>
                <w:szCs w:val="22"/>
                <w:lang w:val="en-GB"/>
              </w:rPr>
              <w:t>Rash</w:t>
            </w:r>
          </w:p>
        </w:tc>
        <w:tc>
          <w:tcPr>
            <w:tcW w:w="1236" w:type="pct"/>
            <w:tcBorders>
              <w:top w:val="single" w:sz="4" w:space="0" w:color="auto"/>
              <w:left w:val="single" w:sz="4" w:space="0" w:color="auto"/>
              <w:bottom w:val="single" w:sz="4" w:space="0" w:color="auto"/>
              <w:right w:val="single" w:sz="4" w:space="0" w:color="auto"/>
            </w:tcBorders>
            <w:vAlign w:val="center"/>
          </w:tcPr>
          <w:p w14:paraId="54146BE0" w14:textId="77777777" w:rsidR="00D853AB" w:rsidRPr="000038A7" w:rsidRDefault="00D853AB" w:rsidP="00331F85">
            <w:pPr>
              <w:jc w:val="center"/>
              <w:rPr>
                <w:sz w:val="22"/>
                <w:szCs w:val="22"/>
                <w:lang w:val="en-GB"/>
              </w:rPr>
            </w:pPr>
          </w:p>
        </w:tc>
      </w:tr>
      <w:tr w:rsidR="00D853AB" w:rsidRPr="000038A7" w14:paraId="0CFB471F" w14:textId="77777777" w:rsidTr="005420A5">
        <w:trPr>
          <w:trHeight w:val="567"/>
        </w:trPr>
        <w:tc>
          <w:tcPr>
            <w:tcW w:w="1213" w:type="pct"/>
            <w:vMerge w:val="restart"/>
            <w:tcBorders>
              <w:top w:val="single" w:sz="4" w:space="0" w:color="auto"/>
              <w:left w:val="single" w:sz="4" w:space="0" w:color="auto"/>
              <w:bottom w:val="single" w:sz="4" w:space="0" w:color="auto"/>
              <w:right w:val="single" w:sz="4" w:space="0" w:color="auto"/>
            </w:tcBorders>
            <w:hideMark/>
          </w:tcPr>
          <w:p w14:paraId="4F08418B" w14:textId="77777777" w:rsidR="00D853AB" w:rsidRPr="000038A7" w:rsidRDefault="00D853AB" w:rsidP="00331F85">
            <w:pPr>
              <w:rPr>
                <w:sz w:val="22"/>
                <w:szCs w:val="22"/>
                <w:lang w:val="en-GB"/>
              </w:rPr>
            </w:pPr>
            <w:r w:rsidRPr="000038A7">
              <w:rPr>
                <w:sz w:val="22"/>
                <w:szCs w:val="22"/>
                <w:lang w:val="en-GB"/>
              </w:rPr>
              <w:t>Musculoskeletal and connective tissue disorders</w:t>
            </w:r>
          </w:p>
        </w:tc>
        <w:tc>
          <w:tcPr>
            <w:tcW w:w="662" w:type="pct"/>
            <w:tcBorders>
              <w:top w:val="single" w:sz="4" w:space="0" w:color="auto"/>
              <w:left w:val="single" w:sz="4" w:space="0" w:color="auto"/>
              <w:bottom w:val="single" w:sz="4" w:space="0" w:color="auto"/>
              <w:right w:val="single" w:sz="4" w:space="0" w:color="auto"/>
            </w:tcBorders>
            <w:hideMark/>
          </w:tcPr>
          <w:p w14:paraId="0AC74C63" w14:textId="77777777" w:rsidR="00D853AB" w:rsidRPr="000038A7" w:rsidRDefault="00D853AB" w:rsidP="00331F85">
            <w:pPr>
              <w:rPr>
                <w:sz w:val="22"/>
                <w:szCs w:val="22"/>
                <w:lang w:val="en-GB"/>
              </w:rPr>
            </w:pPr>
            <w:r w:rsidRPr="000038A7">
              <w:rPr>
                <w:sz w:val="22"/>
                <w:szCs w:val="22"/>
                <w:lang w:val="en-GB"/>
              </w:rPr>
              <w:t>Very common</w:t>
            </w:r>
          </w:p>
        </w:tc>
        <w:tc>
          <w:tcPr>
            <w:tcW w:w="1888" w:type="pct"/>
            <w:tcBorders>
              <w:top w:val="single" w:sz="4" w:space="0" w:color="auto"/>
              <w:left w:val="single" w:sz="4" w:space="0" w:color="auto"/>
              <w:bottom w:val="single" w:sz="4" w:space="0" w:color="auto"/>
              <w:right w:val="single" w:sz="4" w:space="0" w:color="auto"/>
            </w:tcBorders>
            <w:vAlign w:val="center"/>
          </w:tcPr>
          <w:p w14:paraId="1ACA321B" w14:textId="77777777" w:rsidR="00D853AB" w:rsidRPr="000038A7" w:rsidRDefault="00D853AB" w:rsidP="00331F85">
            <w:pPr>
              <w:jc w:val="center"/>
              <w:rPr>
                <w:sz w:val="22"/>
                <w:szCs w:val="22"/>
                <w:lang w:val="en-GB"/>
              </w:rPr>
            </w:pPr>
          </w:p>
        </w:tc>
        <w:tc>
          <w:tcPr>
            <w:tcW w:w="1236" w:type="pct"/>
            <w:tcBorders>
              <w:top w:val="single" w:sz="4" w:space="0" w:color="auto"/>
              <w:left w:val="single" w:sz="4" w:space="0" w:color="auto"/>
              <w:bottom w:val="single" w:sz="4" w:space="0" w:color="auto"/>
              <w:right w:val="single" w:sz="4" w:space="0" w:color="auto"/>
            </w:tcBorders>
            <w:hideMark/>
          </w:tcPr>
          <w:p w14:paraId="59F0FBDE" w14:textId="77777777" w:rsidR="00D853AB" w:rsidRPr="000038A7" w:rsidRDefault="00D853AB" w:rsidP="00331F85">
            <w:pPr>
              <w:jc w:val="center"/>
              <w:rPr>
                <w:sz w:val="22"/>
                <w:szCs w:val="22"/>
                <w:lang w:val="en-GB"/>
              </w:rPr>
            </w:pPr>
            <w:r w:rsidRPr="000038A7">
              <w:rPr>
                <w:sz w:val="22"/>
                <w:szCs w:val="22"/>
                <w:lang w:val="en-GB"/>
              </w:rPr>
              <w:t>Arthralgia/joint swelling, Myalgia</w:t>
            </w:r>
          </w:p>
        </w:tc>
      </w:tr>
      <w:tr w:rsidR="00D853AB" w:rsidRPr="000038A7" w14:paraId="4CEC46AE" w14:textId="77777777" w:rsidTr="005420A5">
        <w:trPr>
          <w:trHeight w:val="283"/>
        </w:trPr>
        <w:tc>
          <w:tcPr>
            <w:tcW w:w="1213" w:type="pct"/>
            <w:vMerge/>
            <w:tcBorders>
              <w:top w:val="single" w:sz="4" w:space="0" w:color="auto"/>
              <w:left w:val="single" w:sz="4" w:space="0" w:color="auto"/>
              <w:bottom w:val="single" w:sz="4" w:space="0" w:color="auto"/>
              <w:right w:val="single" w:sz="4" w:space="0" w:color="auto"/>
            </w:tcBorders>
            <w:vAlign w:val="center"/>
            <w:hideMark/>
          </w:tcPr>
          <w:p w14:paraId="1EE43114" w14:textId="77777777" w:rsidR="00D853AB" w:rsidRPr="000038A7" w:rsidRDefault="00D853AB" w:rsidP="00331F85">
            <w:pPr>
              <w:rPr>
                <w:sz w:val="22"/>
                <w:szCs w:val="22"/>
                <w:lang w:val="en-GB" w:eastAsia="en-US"/>
              </w:rPr>
            </w:pPr>
          </w:p>
        </w:tc>
        <w:tc>
          <w:tcPr>
            <w:tcW w:w="662" w:type="pct"/>
            <w:tcBorders>
              <w:top w:val="single" w:sz="4" w:space="0" w:color="auto"/>
              <w:left w:val="single" w:sz="4" w:space="0" w:color="auto"/>
              <w:bottom w:val="single" w:sz="4" w:space="0" w:color="auto"/>
              <w:right w:val="single" w:sz="4" w:space="0" w:color="auto"/>
            </w:tcBorders>
            <w:hideMark/>
          </w:tcPr>
          <w:p w14:paraId="333B8450" w14:textId="77777777" w:rsidR="00D853AB" w:rsidRPr="000038A7" w:rsidRDefault="00D853AB" w:rsidP="00331F85">
            <w:pPr>
              <w:rPr>
                <w:sz w:val="22"/>
                <w:szCs w:val="22"/>
                <w:lang w:val="en-GB"/>
              </w:rPr>
            </w:pPr>
            <w:r w:rsidRPr="000038A7">
              <w:rPr>
                <w:sz w:val="22"/>
                <w:szCs w:val="22"/>
                <w:lang w:val="en-GB"/>
              </w:rPr>
              <w:t>Common</w:t>
            </w:r>
          </w:p>
        </w:tc>
        <w:tc>
          <w:tcPr>
            <w:tcW w:w="1888" w:type="pct"/>
            <w:tcBorders>
              <w:top w:val="single" w:sz="4" w:space="0" w:color="auto"/>
              <w:left w:val="single" w:sz="4" w:space="0" w:color="auto"/>
              <w:bottom w:val="single" w:sz="4" w:space="0" w:color="auto"/>
              <w:right w:val="single" w:sz="4" w:space="0" w:color="auto"/>
            </w:tcBorders>
            <w:vAlign w:val="center"/>
            <w:hideMark/>
          </w:tcPr>
          <w:p w14:paraId="0D4FC5CF" w14:textId="77777777" w:rsidR="00D853AB" w:rsidRPr="000038A7" w:rsidRDefault="00D853AB" w:rsidP="00331F85">
            <w:pPr>
              <w:jc w:val="center"/>
              <w:rPr>
                <w:sz w:val="22"/>
                <w:szCs w:val="22"/>
                <w:lang w:val="en-GB"/>
              </w:rPr>
            </w:pPr>
            <w:r w:rsidRPr="000038A7">
              <w:rPr>
                <w:sz w:val="22"/>
                <w:szCs w:val="22"/>
                <w:lang w:val="en-GB"/>
              </w:rPr>
              <w:t>Arthralgia/joint swelling</w:t>
            </w:r>
          </w:p>
        </w:tc>
        <w:tc>
          <w:tcPr>
            <w:tcW w:w="1236" w:type="pct"/>
            <w:tcBorders>
              <w:top w:val="single" w:sz="4" w:space="0" w:color="auto"/>
              <w:left w:val="single" w:sz="4" w:space="0" w:color="auto"/>
              <w:bottom w:val="single" w:sz="4" w:space="0" w:color="auto"/>
              <w:right w:val="single" w:sz="4" w:space="0" w:color="auto"/>
            </w:tcBorders>
          </w:tcPr>
          <w:p w14:paraId="48645A62" w14:textId="77777777" w:rsidR="00D853AB" w:rsidRPr="000038A7" w:rsidRDefault="00D853AB" w:rsidP="00331F85">
            <w:pPr>
              <w:jc w:val="center"/>
              <w:rPr>
                <w:sz w:val="22"/>
                <w:szCs w:val="22"/>
                <w:lang w:val="en-GB"/>
              </w:rPr>
            </w:pPr>
          </w:p>
        </w:tc>
      </w:tr>
      <w:tr w:rsidR="00D853AB" w:rsidRPr="000038A7" w14:paraId="19F97E4E" w14:textId="77777777" w:rsidTr="005420A5">
        <w:trPr>
          <w:trHeight w:val="283"/>
        </w:trPr>
        <w:tc>
          <w:tcPr>
            <w:tcW w:w="1213" w:type="pct"/>
            <w:vMerge/>
            <w:tcBorders>
              <w:top w:val="single" w:sz="4" w:space="0" w:color="auto"/>
              <w:left w:val="single" w:sz="4" w:space="0" w:color="auto"/>
              <w:bottom w:val="single" w:sz="4" w:space="0" w:color="auto"/>
              <w:right w:val="single" w:sz="4" w:space="0" w:color="auto"/>
            </w:tcBorders>
            <w:vAlign w:val="center"/>
            <w:hideMark/>
          </w:tcPr>
          <w:p w14:paraId="1F605C53" w14:textId="77777777" w:rsidR="00D853AB" w:rsidRPr="000038A7" w:rsidRDefault="00D853AB" w:rsidP="00331F85">
            <w:pPr>
              <w:rPr>
                <w:sz w:val="22"/>
                <w:szCs w:val="22"/>
                <w:lang w:val="en-GB" w:eastAsia="en-US"/>
              </w:rPr>
            </w:pPr>
          </w:p>
        </w:tc>
        <w:tc>
          <w:tcPr>
            <w:tcW w:w="662" w:type="pct"/>
            <w:tcBorders>
              <w:top w:val="single" w:sz="4" w:space="0" w:color="auto"/>
              <w:left w:val="single" w:sz="4" w:space="0" w:color="auto"/>
              <w:bottom w:val="single" w:sz="4" w:space="0" w:color="auto"/>
              <w:right w:val="single" w:sz="4" w:space="0" w:color="auto"/>
            </w:tcBorders>
            <w:hideMark/>
          </w:tcPr>
          <w:p w14:paraId="4EC2B132" w14:textId="77777777" w:rsidR="00D853AB" w:rsidRPr="000038A7" w:rsidRDefault="00D853AB" w:rsidP="00331F85">
            <w:pPr>
              <w:rPr>
                <w:sz w:val="22"/>
                <w:szCs w:val="22"/>
                <w:lang w:val="en-GB"/>
              </w:rPr>
            </w:pPr>
            <w:r w:rsidRPr="000038A7">
              <w:rPr>
                <w:sz w:val="22"/>
                <w:szCs w:val="22"/>
                <w:lang w:val="en-GB"/>
              </w:rPr>
              <w:t>Not known</w:t>
            </w:r>
          </w:p>
        </w:tc>
        <w:tc>
          <w:tcPr>
            <w:tcW w:w="3125" w:type="pct"/>
            <w:gridSpan w:val="2"/>
            <w:tcBorders>
              <w:top w:val="single" w:sz="4" w:space="0" w:color="auto"/>
              <w:left w:val="single" w:sz="4" w:space="0" w:color="auto"/>
              <w:bottom w:val="single" w:sz="4" w:space="0" w:color="auto"/>
              <w:right w:val="single" w:sz="4" w:space="0" w:color="auto"/>
            </w:tcBorders>
            <w:vAlign w:val="center"/>
            <w:hideMark/>
          </w:tcPr>
          <w:p w14:paraId="1E14AB39" w14:textId="77777777" w:rsidR="00D853AB" w:rsidRPr="000038A7" w:rsidRDefault="00D853AB" w:rsidP="00331F85">
            <w:pPr>
              <w:jc w:val="center"/>
              <w:rPr>
                <w:sz w:val="22"/>
                <w:szCs w:val="22"/>
                <w:lang w:val="en-GB"/>
              </w:rPr>
            </w:pPr>
            <w:r w:rsidRPr="000038A7">
              <w:rPr>
                <w:sz w:val="22"/>
                <w:szCs w:val="22"/>
                <w:lang w:val="en-GB"/>
              </w:rPr>
              <w:t>Pain in vaccinated limb*</w:t>
            </w:r>
          </w:p>
        </w:tc>
      </w:tr>
      <w:tr w:rsidR="00D853AB" w:rsidRPr="000038A7" w14:paraId="3022161B" w14:textId="77777777" w:rsidTr="005420A5">
        <w:trPr>
          <w:trHeight w:val="510"/>
        </w:trPr>
        <w:tc>
          <w:tcPr>
            <w:tcW w:w="1213" w:type="pct"/>
            <w:vMerge w:val="restart"/>
            <w:tcBorders>
              <w:top w:val="single" w:sz="4" w:space="0" w:color="auto"/>
              <w:left w:val="single" w:sz="4" w:space="0" w:color="auto"/>
              <w:bottom w:val="single" w:sz="4" w:space="0" w:color="auto"/>
              <w:right w:val="single" w:sz="4" w:space="0" w:color="auto"/>
            </w:tcBorders>
            <w:hideMark/>
          </w:tcPr>
          <w:p w14:paraId="136F2C96" w14:textId="77777777" w:rsidR="00D853AB" w:rsidRPr="000038A7" w:rsidRDefault="00D853AB" w:rsidP="00331F85">
            <w:pPr>
              <w:rPr>
                <w:sz w:val="22"/>
                <w:szCs w:val="22"/>
                <w:lang w:val="en-GB"/>
              </w:rPr>
            </w:pPr>
            <w:r w:rsidRPr="000038A7">
              <w:rPr>
                <w:sz w:val="22"/>
                <w:szCs w:val="22"/>
                <w:lang w:val="en-GB"/>
              </w:rPr>
              <w:t>General disorders and administration site conditions</w:t>
            </w:r>
          </w:p>
        </w:tc>
        <w:tc>
          <w:tcPr>
            <w:tcW w:w="662" w:type="pct"/>
            <w:vMerge w:val="restart"/>
            <w:tcBorders>
              <w:top w:val="single" w:sz="4" w:space="0" w:color="auto"/>
              <w:left w:val="single" w:sz="4" w:space="0" w:color="auto"/>
              <w:bottom w:val="single" w:sz="4" w:space="0" w:color="auto"/>
              <w:right w:val="single" w:sz="4" w:space="0" w:color="auto"/>
            </w:tcBorders>
            <w:hideMark/>
          </w:tcPr>
          <w:p w14:paraId="2B0E3D73" w14:textId="77777777" w:rsidR="00D853AB" w:rsidRPr="000038A7" w:rsidRDefault="00D853AB" w:rsidP="00331F85">
            <w:pPr>
              <w:rPr>
                <w:sz w:val="22"/>
                <w:szCs w:val="22"/>
                <w:lang w:val="en-GB"/>
              </w:rPr>
            </w:pPr>
            <w:r w:rsidRPr="000038A7">
              <w:rPr>
                <w:sz w:val="22"/>
                <w:szCs w:val="22"/>
                <w:lang w:val="en-GB"/>
              </w:rPr>
              <w:t>Very common</w:t>
            </w:r>
          </w:p>
        </w:tc>
        <w:tc>
          <w:tcPr>
            <w:tcW w:w="1888" w:type="pct"/>
            <w:tcBorders>
              <w:top w:val="single" w:sz="4" w:space="0" w:color="auto"/>
              <w:left w:val="single" w:sz="4" w:space="0" w:color="auto"/>
              <w:bottom w:val="single" w:sz="4" w:space="0" w:color="auto"/>
              <w:right w:val="single" w:sz="4" w:space="0" w:color="auto"/>
            </w:tcBorders>
            <w:hideMark/>
          </w:tcPr>
          <w:p w14:paraId="5C583F24" w14:textId="77777777" w:rsidR="00D853AB" w:rsidRPr="000038A7" w:rsidRDefault="00D853AB" w:rsidP="00331F85">
            <w:pPr>
              <w:jc w:val="center"/>
              <w:rPr>
                <w:sz w:val="22"/>
                <w:szCs w:val="22"/>
                <w:lang w:val="en-GB"/>
              </w:rPr>
            </w:pPr>
            <w:r w:rsidRPr="000038A7">
              <w:rPr>
                <w:sz w:val="22"/>
                <w:szCs w:val="22"/>
                <w:lang w:val="en-GB"/>
              </w:rPr>
              <w:t>Fatigue/Asthenia,</w:t>
            </w:r>
          </w:p>
          <w:p w14:paraId="407B242A" w14:textId="77777777" w:rsidR="00D853AB" w:rsidRPr="000038A7" w:rsidRDefault="00D853AB" w:rsidP="00331F85">
            <w:pPr>
              <w:jc w:val="center"/>
              <w:rPr>
                <w:b/>
                <w:i/>
                <w:sz w:val="22"/>
                <w:szCs w:val="22"/>
                <w:lang w:val="en-GB"/>
              </w:rPr>
            </w:pPr>
            <w:r w:rsidRPr="000038A7">
              <w:rPr>
                <w:sz w:val="22"/>
                <w:szCs w:val="22"/>
                <w:lang w:val="en-GB"/>
              </w:rPr>
              <w:t xml:space="preserve">Fever† </w:t>
            </w:r>
          </w:p>
        </w:tc>
        <w:tc>
          <w:tcPr>
            <w:tcW w:w="1236" w:type="pct"/>
            <w:tcBorders>
              <w:top w:val="single" w:sz="4" w:space="0" w:color="auto"/>
              <w:left w:val="single" w:sz="4" w:space="0" w:color="auto"/>
              <w:bottom w:val="single" w:sz="4" w:space="0" w:color="auto"/>
              <w:right w:val="single" w:sz="4" w:space="0" w:color="auto"/>
            </w:tcBorders>
            <w:vAlign w:val="center"/>
            <w:hideMark/>
          </w:tcPr>
          <w:p w14:paraId="4F27422A" w14:textId="77777777" w:rsidR="00D853AB" w:rsidRPr="000038A7" w:rsidRDefault="00D853AB" w:rsidP="00331F85">
            <w:pPr>
              <w:jc w:val="center"/>
              <w:rPr>
                <w:b/>
                <w:i/>
                <w:sz w:val="22"/>
                <w:szCs w:val="22"/>
                <w:lang w:val="en-GB"/>
              </w:rPr>
            </w:pPr>
            <w:r w:rsidRPr="000038A7">
              <w:rPr>
                <w:sz w:val="22"/>
                <w:szCs w:val="22"/>
                <w:lang w:val="en-GB"/>
              </w:rPr>
              <w:t>Fatigue/Asthenia, Chills</w:t>
            </w:r>
          </w:p>
        </w:tc>
      </w:tr>
      <w:tr w:rsidR="00D853AB" w:rsidRPr="000038A7" w14:paraId="07D7BE61" w14:textId="77777777" w:rsidTr="005420A5">
        <w:trPr>
          <w:trHeight w:val="510"/>
        </w:trPr>
        <w:tc>
          <w:tcPr>
            <w:tcW w:w="1213" w:type="pct"/>
            <w:vMerge/>
            <w:tcBorders>
              <w:top w:val="single" w:sz="4" w:space="0" w:color="auto"/>
              <w:left w:val="single" w:sz="4" w:space="0" w:color="auto"/>
              <w:bottom w:val="single" w:sz="4" w:space="0" w:color="auto"/>
              <w:right w:val="single" w:sz="4" w:space="0" w:color="auto"/>
            </w:tcBorders>
            <w:vAlign w:val="center"/>
            <w:hideMark/>
          </w:tcPr>
          <w:p w14:paraId="26B6E346" w14:textId="77777777" w:rsidR="00D853AB" w:rsidRPr="000038A7" w:rsidRDefault="00D853AB" w:rsidP="00331F85">
            <w:pPr>
              <w:rPr>
                <w:sz w:val="22"/>
                <w:szCs w:val="22"/>
                <w:lang w:val="en-GB" w:eastAsia="en-US"/>
              </w:rPr>
            </w:pPr>
          </w:p>
        </w:tc>
        <w:tc>
          <w:tcPr>
            <w:tcW w:w="662" w:type="pct"/>
            <w:vMerge/>
            <w:tcBorders>
              <w:top w:val="single" w:sz="4" w:space="0" w:color="auto"/>
              <w:left w:val="single" w:sz="4" w:space="0" w:color="auto"/>
              <w:bottom w:val="single" w:sz="4" w:space="0" w:color="auto"/>
              <w:right w:val="single" w:sz="4" w:space="0" w:color="auto"/>
            </w:tcBorders>
            <w:vAlign w:val="center"/>
            <w:hideMark/>
          </w:tcPr>
          <w:p w14:paraId="5139C99F" w14:textId="77777777" w:rsidR="00D853AB" w:rsidRPr="000038A7" w:rsidRDefault="00D853AB" w:rsidP="00331F85">
            <w:pPr>
              <w:rPr>
                <w:sz w:val="22"/>
                <w:szCs w:val="22"/>
                <w:lang w:val="en-GB" w:eastAsia="en-US"/>
              </w:rPr>
            </w:pPr>
          </w:p>
        </w:tc>
        <w:tc>
          <w:tcPr>
            <w:tcW w:w="3125" w:type="pct"/>
            <w:gridSpan w:val="2"/>
            <w:tcBorders>
              <w:top w:val="single" w:sz="4" w:space="0" w:color="auto"/>
              <w:left w:val="single" w:sz="4" w:space="0" w:color="auto"/>
              <w:bottom w:val="single" w:sz="4" w:space="0" w:color="auto"/>
              <w:right w:val="single" w:sz="4" w:space="0" w:color="auto"/>
            </w:tcBorders>
            <w:hideMark/>
          </w:tcPr>
          <w:p w14:paraId="30F8C6C2" w14:textId="77777777" w:rsidR="00D853AB" w:rsidRPr="000038A7" w:rsidRDefault="00D853AB" w:rsidP="00331F85">
            <w:pPr>
              <w:jc w:val="center"/>
              <w:rPr>
                <w:sz w:val="22"/>
                <w:szCs w:val="22"/>
                <w:lang w:val="en-GB"/>
              </w:rPr>
            </w:pPr>
            <w:r w:rsidRPr="000038A7">
              <w:rPr>
                <w:sz w:val="22"/>
                <w:szCs w:val="22"/>
                <w:lang w:val="en-GB"/>
              </w:rPr>
              <w:t>Injection site pain, Injection site swelling,</w:t>
            </w:r>
          </w:p>
          <w:p w14:paraId="52EDCCD4" w14:textId="77777777" w:rsidR="00D853AB" w:rsidRPr="000038A7" w:rsidRDefault="00D853AB" w:rsidP="00331F85">
            <w:pPr>
              <w:jc w:val="center"/>
              <w:rPr>
                <w:sz w:val="22"/>
                <w:szCs w:val="22"/>
                <w:lang w:val="en-GB"/>
              </w:rPr>
            </w:pPr>
            <w:r w:rsidRPr="000038A7">
              <w:rPr>
                <w:sz w:val="22"/>
                <w:szCs w:val="22"/>
                <w:lang w:val="en-GB"/>
              </w:rPr>
              <w:t>Injection site erythema</w:t>
            </w:r>
          </w:p>
        </w:tc>
      </w:tr>
      <w:tr w:rsidR="00D853AB" w:rsidRPr="000038A7" w14:paraId="73ED0E5A" w14:textId="77777777" w:rsidTr="005420A5">
        <w:trPr>
          <w:trHeight w:val="340"/>
        </w:trPr>
        <w:tc>
          <w:tcPr>
            <w:tcW w:w="1213" w:type="pct"/>
            <w:vMerge/>
            <w:tcBorders>
              <w:top w:val="single" w:sz="4" w:space="0" w:color="auto"/>
              <w:left w:val="single" w:sz="4" w:space="0" w:color="auto"/>
              <w:bottom w:val="single" w:sz="4" w:space="0" w:color="auto"/>
              <w:right w:val="single" w:sz="4" w:space="0" w:color="auto"/>
            </w:tcBorders>
            <w:vAlign w:val="center"/>
            <w:hideMark/>
          </w:tcPr>
          <w:p w14:paraId="7AAF4F26" w14:textId="77777777" w:rsidR="00D853AB" w:rsidRPr="000038A7" w:rsidRDefault="00D853AB" w:rsidP="00331F85">
            <w:pPr>
              <w:rPr>
                <w:sz w:val="22"/>
                <w:szCs w:val="22"/>
                <w:lang w:val="en-GB" w:eastAsia="en-US"/>
              </w:rPr>
            </w:pPr>
          </w:p>
        </w:tc>
        <w:tc>
          <w:tcPr>
            <w:tcW w:w="662" w:type="pct"/>
            <w:tcBorders>
              <w:top w:val="single" w:sz="4" w:space="0" w:color="auto"/>
              <w:left w:val="single" w:sz="4" w:space="0" w:color="auto"/>
              <w:bottom w:val="single" w:sz="4" w:space="0" w:color="auto"/>
              <w:right w:val="single" w:sz="4" w:space="0" w:color="auto"/>
            </w:tcBorders>
            <w:hideMark/>
          </w:tcPr>
          <w:p w14:paraId="327C62AF" w14:textId="77777777" w:rsidR="00D853AB" w:rsidRPr="000038A7" w:rsidRDefault="00D853AB" w:rsidP="00331F85">
            <w:pPr>
              <w:rPr>
                <w:sz w:val="22"/>
                <w:szCs w:val="22"/>
                <w:lang w:val="en-GB"/>
              </w:rPr>
            </w:pPr>
            <w:r w:rsidRPr="000038A7">
              <w:rPr>
                <w:sz w:val="22"/>
                <w:szCs w:val="22"/>
                <w:lang w:val="en-GB"/>
              </w:rPr>
              <w:t>Common</w:t>
            </w:r>
          </w:p>
        </w:tc>
        <w:tc>
          <w:tcPr>
            <w:tcW w:w="1888" w:type="pct"/>
            <w:tcBorders>
              <w:top w:val="single" w:sz="4" w:space="0" w:color="auto"/>
              <w:left w:val="single" w:sz="4" w:space="0" w:color="auto"/>
              <w:bottom w:val="single" w:sz="4" w:space="0" w:color="auto"/>
              <w:right w:val="single" w:sz="4" w:space="0" w:color="auto"/>
            </w:tcBorders>
            <w:hideMark/>
          </w:tcPr>
          <w:p w14:paraId="68E2B368" w14:textId="77777777" w:rsidR="00D853AB" w:rsidRPr="000038A7" w:rsidRDefault="00D853AB" w:rsidP="00331F85">
            <w:pPr>
              <w:jc w:val="center"/>
              <w:rPr>
                <w:sz w:val="22"/>
                <w:szCs w:val="22"/>
                <w:lang w:val="en-GB"/>
              </w:rPr>
            </w:pPr>
            <w:r w:rsidRPr="000038A7">
              <w:rPr>
                <w:sz w:val="22"/>
                <w:szCs w:val="22"/>
                <w:lang w:val="en-GB"/>
              </w:rPr>
              <w:t>Irritability, Injection site dermatitis, Injection site bruising, Injection site pruritus</w:t>
            </w:r>
          </w:p>
        </w:tc>
        <w:tc>
          <w:tcPr>
            <w:tcW w:w="1236" w:type="pct"/>
            <w:tcBorders>
              <w:top w:val="single" w:sz="4" w:space="0" w:color="auto"/>
              <w:left w:val="single" w:sz="4" w:space="0" w:color="auto"/>
              <w:bottom w:val="single" w:sz="4" w:space="0" w:color="auto"/>
              <w:right w:val="single" w:sz="4" w:space="0" w:color="auto"/>
            </w:tcBorders>
            <w:hideMark/>
          </w:tcPr>
          <w:p w14:paraId="5C0982D5" w14:textId="77777777" w:rsidR="00D853AB" w:rsidRPr="000038A7" w:rsidRDefault="00D853AB" w:rsidP="00331F85">
            <w:pPr>
              <w:jc w:val="center"/>
              <w:rPr>
                <w:sz w:val="22"/>
                <w:szCs w:val="22"/>
                <w:lang w:val="en-GB"/>
              </w:rPr>
            </w:pPr>
            <w:r w:rsidRPr="000038A7">
              <w:rPr>
                <w:sz w:val="22"/>
                <w:szCs w:val="22"/>
                <w:lang w:val="en-GB"/>
              </w:rPr>
              <w:t>Fever†</w:t>
            </w:r>
          </w:p>
        </w:tc>
      </w:tr>
      <w:tr w:rsidR="00D853AB" w:rsidRPr="00BC706D" w14:paraId="1D6A23F5" w14:textId="77777777" w:rsidTr="005420A5">
        <w:trPr>
          <w:trHeight w:val="283"/>
        </w:trPr>
        <w:tc>
          <w:tcPr>
            <w:tcW w:w="1213" w:type="pct"/>
            <w:vMerge/>
            <w:tcBorders>
              <w:top w:val="single" w:sz="4" w:space="0" w:color="auto"/>
              <w:left w:val="single" w:sz="4" w:space="0" w:color="auto"/>
              <w:bottom w:val="single" w:sz="4" w:space="0" w:color="auto"/>
              <w:right w:val="single" w:sz="4" w:space="0" w:color="auto"/>
            </w:tcBorders>
            <w:vAlign w:val="center"/>
            <w:hideMark/>
          </w:tcPr>
          <w:p w14:paraId="684C7EE4" w14:textId="77777777" w:rsidR="00D853AB" w:rsidRPr="000038A7" w:rsidRDefault="00D853AB" w:rsidP="00331F85">
            <w:pPr>
              <w:rPr>
                <w:sz w:val="22"/>
                <w:szCs w:val="22"/>
                <w:lang w:val="en-GB" w:eastAsia="en-US"/>
              </w:rPr>
            </w:pPr>
          </w:p>
        </w:tc>
        <w:tc>
          <w:tcPr>
            <w:tcW w:w="662" w:type="pct"/>
            <w:tcBorders>
              <w:top w:val="single" w:sz="4" w:space="0" w:color="auto"/>
              <w:left w:val="single" w:sz="4" w:space="0" w:color="auto"/>
              <w:bottom w:val="single" w:sz="4" w:space="0" w:color="auto"/>
              <w:right w:val="single" w:sz="4" w:space="0" w:color="auto"/>
            </w:tcBorders>
            <w:hideMark/>
          </w:tcPr>
          <w:p w14:paraId="59ACD5C1" w14:textId="77777777" w:rsidR="00D853AB" w:rsidRPr="000038A7" w:rsidRDefault="00D853AB" w:rsidP="00331F85">
            <w:pPr>
              <w:rPr>
                <w:sz w:val="22"/>
                <w:szCs w:val="22"/>
                <w:lang w:val="en-GB"/>
              </w:rPr>
            </w:pPr>
            <w:r w:rsidRPr="000038A7">
              <w:rPr>
                <w:sz w:val="22"/>
                <w:szCs w:val="22"/>
                <w:lang w:val="en-GB"/>
              </w:rPr>
              <w:t>Not known</w:t>
            </w:r>
          </w:p>
        </w:tc>
        <w:tc>
          <w:tcPr>
            <w:tcW w:w="3125" w:type="pct"/>
            <w:gridSpan w:val="2"/>
            <w:tcBorders>
              <w:top w:val="single" w:sz="4" w:space="0" w:color="auto"/>
              <w:left w:val="single" w:sz="4" w:space="0" w:color="auto"/>
              <w:bottom w:val="single" w:sz="4" w:space="0" w:color="auto"/>
              <w:right w:val="single" w:sz="4" w:space="0" w:color="auto"/>
            </w:tcBorders>
            <w:vAlign w:val="center"/>
            <w:hideMark/>
          </w:tcPr>
          <w:p w14:paraId="569140A7" w14:textId="77777777" w:rsidR="00D853AB" w:rsidRPr="000038A7" w:rsidRDefault="00D853AB" w:rsidP="00331F85">
            <w:pPr>
              <w:jc w:val="center"/>
              <w:rPr>
                <w:sz w:val="22"/>
                <w:szCs w:val="22"/>
                <w:lang w:val="en-GB"/>
              </w:rPr>
            </w:pPr>
            <w:r w:rsidRPr="000038A7">
              <w:rPr>
                <w:sz w:val="22"/>
                <w:szCs w:val="22"/>
                <w:lang w:val="en-GB"/>
              </w:rPr>
              <w:t>Malaise</w:t>
            </w:r>
            <w:r w:rsidRPr="000038A7">
              <w:rPr>
                <w:sz w:val="22"/>
                <w:szCs w:val="22"/>
                <w:vertAlign w:val="superscript"/>
                <w:lang w:val="en-GB"/>
              </w:rPr>
              <w:t>§</w:t>
            </w:r>
            <w:r w:rsidRPr="000038A7">
              <w:rPr>
                <w:sz w:val="22"/>
                <w:szCs w:val="22"/>
                <w:lang w:val="en-GB"/>
              </w:rPr>
              <w:t>, Pallor*, Extensive limb swelling‡, Injection site induration*</w:t>
            </w:r>
          </w:p>
        </w:tc>
      </w:tr>
    </w:tbl>
    <w:p w14:paraId="0BF226F4" w14:textId="77777777" w:rsidR="00D853AB" w:rsidRPr="000038A7" w:rsidRDefault="00D853AB" w:rsidP="00331F85">
      <w:pPr>
        <w:ind w:left="284" w:hanging="284"/>
        <w:rPr>
          <w:sz w:val="20"/>
          <w:lang w:val="en-GB" w:eastAsia="en-US"/>
        </w:rPr>
      </w:pPr>
      <w:r w:rsidRPr="000038A7">
        <w:rPr>
          <w:sz w:val="20"/>
          <w:lang w:val="en-GB"/>
        </w:rPr>
        <w:t xml:space="preserve">* </w:t>
      </w:r>
      <w:r w:rsidRPr="000038A7">
        <w:rPr>
          <w:sz w:val="20"/>
          <w:lang w:val="en-GB"/>
        </w:rPr>
        <w:tab/>
        <w:t>Post marketing adverse events</w:t>
      </w:r>
    </w:p>
    <w:p w14:paraId="63CD13EA" w14:textId="77777777" w:rsidR="00D853AB" w:rsidRPr="000038A7" w:rsidRDefault="00D853AB" w:rsidP="00331F85">
      <w:pPr>
        <w:ind w:left="284" w:hanging="284"/>
        <w:rPr>
          <w:sz w:val="20"/>
          <w:lang w:val="en-GB"/>
        </w:rPr>
      </w:pPr>
      <w:r w:rsidRPr="000038A7">
        <w:rPr>
          <w:sz w:val="20"/>
          <w:lang w:val="en-GB"/>
        </w:rPr>
        <w:t xml:space="preserve">† </w:t>
      </w:r>
      <w:r w:rsidRPr="000038A7">
        <w:rPr>
          <w:sz w:val="20"/>
          <w:lang w:val="en-GB"/>
        </w:rPr>
        <w:tab/>
        <w:t>Fever was measured as temperature ≥37.5°C in Children groups and measured as temperature ≥38°C in Adolescents and Adults group</w:t>
      </w:r>
    </w:p>
    <w:p w14:paraId="4D81D777" w14:textId="77777777" w:rsidR="00D853AB" w:rsidRPr="000038A7" w:rsidRDefault="00D853AB" w:rsidP="00331F85">
      <w:pPr>
        <w:ind w:left="284" w:hanging="284"/>
        <w:rPr>
          <w:sz w:val="20"/>
          <w:lang w:val="en-GB"/>
        </w:rPr>
      </w:pPr>
      <w:r w:rsidRPr="000038A7">
        <w:rPr>
          <w:sz w:val="20"/>
          <w:lang w:val="en-GB"/>
        </w:rPr>
        <w:t xml:space="preserve">‡ </w:t>
      </w:r>
      <w:r w:rsidRPr="000038A7">
        <w:rPr>
          <w:sz w:val="20"/>
          <w:lang w:val="en-GB"/>
        </w:rPr>
        <w:tab/>
        <w:t>See section c)</w:t>
      </w:r>
    </w:p>
    <w:p w14:paraId="0933D9CF" w14:textId="162BB08F" w:rsidR="00D853AB" w:rsidRPr="000038A7" w:rsidRDefault="00D853AB" w:rsidP="00331F85">
      <w:pPr>
        <w:ind w:left="284" w:hanging="284"/>
        <w:rPr>
          <w:sz w:val="20"/>
          <w:lang w:val="en-GB"/>
        </w:rPr>
      </w:pPr>
      <w:r w:rsidRPr="000038A7">
        <w:rPr>
          <w:sz w:val="20"/>
          <w:lang w:val="en-GB"/>
        </w:rPr>
        <w:t xml:space="preserve">§ </w:t>
      </w:r>
      <w:r w:rsidRPr="000038A7">
        <w:rPr>
          <w:sz w:val="20"/>
          <w:lang w:val="en-GB"/>
        </w:rPr>
        <w:tab/>
        <w:t xml:space="preserve">was observed at a frequency of very common in adolescents and adults, in studies with </w:t>
      </w:r>
      <w:proofErr w:type="spellStart"/>
      <w:r w:rsidRPr="000038A7">
        <w:rPr>
          <w:sz w:val="20"/>
          <w:lang w:val="en-GB"/>
        </w:rPr>
        <w:t>COVAXiS</w:t>
      </w:r>
      <w:proofErr w:type="spellEnd"/>
      <w:r w:rsidRPr="000038A7">
        <w:rPr>
          <w:sz w:val="20"/>
          <w:lang w:val="en-GB"/>
        </w:rPr>
        <w:t xml:space="preserve"> (Tdap component of </w:t>
      </w:r>
      <w:proofErr w:type="spellStart"/>
      <w:r w:rsidR="000038A7" w:rsidRPr="000038A7">
        <w:rPr>
          <w:sz w:val="20"/>
          <w:lang w:val="en-GB"/>
        </w:rPr>
        <w:t>Repevax</w:t>
      </w:r>
      <w:proofErr w:type="spellEnd"/>
      <w:r w:rsidRPr="000038A7">
        <w:rPr>
          <w:sz w:val="20"/>
          <w:lang w:val="en-GB"/>
        </w:rPr>
        <w:t>; containing the same amounts of diphtheria, tetanus and pertussis antigens)</w:t>
      </w:r>
    </w:p>
    <w:p w14:paraId="25378B0E" w14:textId="77777777" w:rsidR="00D853AB" w:rsidRPr="00B108A6" w:rsidRDefault="00D853AB" w:rsidP="00331F85">
      <w:pPr>
        <w:tabs>
          <w:tab w:val="left" w:pos="2880"/>
          <w:tab w:val="left" w:pos="3240"/>
        </w:tabs>
        <w:rPr>
          <w:sz w:val="24"/>
          <w:szCs w:val="24"/>
          <w:u w:val="single"/>
          <w:lang w:val="en-GB"/>
        </w:rPr>
      </w:pPr>
    </w:p>
    <w:p w14:paraId="5EDE5C0B" w14:textId="77777777" w:rsidR="00D853AB" w:rsidRPr="00B108A6" w:rsidRDefault="00D853AB" w:rsidP="00331F85">
      <w:pPr>
        <w:ind w:left="851"/>
        <w:rPr>
          <w:sz w:val="24"/>
          <w:szCs w:val="24"/>
          <w:u w:val="single"/>
          <w:lang w:val="en-GB"/>
        </w:rPr>
      </w:pPr>
      <w:r w:rsidRPr="00B108A6">
        <w:rPr>
          <w:sz w:val="24"/>
          <w:szCs w:val="24"/>
          <w:u w:val="single"/>
          <w:lang w:val="en-GB"/>
        </w:rPr>
        <w:t>Description of selected adverse reactions</w:t>
      </w:r>
    </w:p>
    <w:p w14:paraId="137E0889" w14:textId="77777777" w:rsidR="00D853AB" w:rsidRPr="00B108A6" w:rsidRDefault="00D853AB" w:rsidP="00331F85">
      <w:pPr>
        <w:ind w:left="851"/>
        <w:rPr>
          <w:sz w:val="24"/>
          <w:szCs w:val="24"/>
          <w:u w:val="single"/>
          <w:lang w:val="en-GB"/>
        </w:rPr>
      </w:pPr>
    </w:p>
    <w:p w14:paraId="651A30E1" w14:textId="17987DFF" w:rsidR="00D853AB" w:rsidRPr="00B108A6" w:rsidRDefault="00D853AB" w:rsidP="00331F85">
      <w:pPr>
        <w:ind w:left="851"/>
        <w:rPr>
          <w:sz w:val="24"/>
          <w:szCs w:val="24"/>
          <w:lang w:val="en-GB"/>
        </w:rPr>
      </w:pPr>
      <w:r w:rsidRPr="00B108A6">
        <w:rPr>
          <w:sz w:val="24"/>
          <w:szCs w:val="24"/>
          <w:lang w:val="en-GB"/>
        </w:rPr>
        <w:t xml:space="preserve">Extensive limb swelling which may extend from the injection site beyond one or both joints and is frequently associated with erythema, and sometimes with blisters has been reported following administration of </w:t>
      </w:r>
      <w:proofErr w:type="spellStart"/>
      <w:r w:rsidR="000038A7" w:rsidRPr="00B108A6">
        <w:rPr>
          <w:sz w:val="24"/>
          <w:szCs w:val="24"/>
          <w:lang w:val="en-GB"/>
        </w:rPr>
        <w:t>R</w:t>
      </w:r>
      <w:r w:rsidR="000038A7">
        <w:rPr>
          <w:sz w:val="24"/>
          <w:szCs w:val="24"/>
          <w:lang w:val="en-GB"/>
        </w:rPr>
        <w:t>epevax</w:t>
      </w:r>
      <w:proofErr w:type="spellEnd"/>
      <w:r w:rsidRPr="00B108A6">
        <w:rPr>
          <w:sz w:val="24"/>
          <w:szCs w:val="24"/>
          <w:lang w:val="en-GB"/>
        </w:rPr>
        <w:t>. The majority of these reactions appeared within 48 hours of vaccination and spontaneously resolved over an average of 4 days without sequelae.</w:t>
      </w:r>
    </w:p>
    <w:p w14:paraId="38D22206" w14:textId="77777777" w:rsidR="00D853AB" w:rsidRPr="00B108A6" w:rsidRDefault="00D853AB" w:rsidP="00331F85">
      <w:pPr>
        <w:ind w:left="851"/>
        <w:rPr>
          <w:sz w:val="24"/>
          <w:szCs w:val="24"/>
          <w:lang w:val="en-GB"/>
        </w:rPr>
      </w:pPr>
    </w:p>
    <w:p w14:paraId="70700470" w14:textId="77777777" w:rsidR="00D853AB" w:rsidRPr="00B108A6" w:rsidRDefault="00D853AB" w:rsidP="00331F85">
      <w:pPr>
        <w:ind w:left="851"/>
        <w:rPr>
          <w:sz w:val="24"/>
          <w:szCs w:val="24"/>
          <w:lang w:val="en-GB"/>
        </w:rPr>
      </w:pPr>
      <w:r w:rsidRPr="00B108A6">
        <w:rPr>
          <w:sz w:val="24"/>
          <w:szCs w:val="24"/>
          <w:lang w:val="en-GB"/>
        </w:rPr>
        <w:lastRenderedPageBreak/>
        <w:t>The risk appears to be dependent on the number of prior doses of d/DTaP vaccine, with a greater risk following the 4</w:t>
      </w:r>
      <w:r w:rsidRPr="00B108A6">
        <w:rPr>
          <w:sz w:val="24"/>
          <w:szCs w:val="24"/>
          <w:vertAlign w:val="superscript"/>
          <w:lang w:val="en-GB"/>
        </w:rPr>
        <w:t>th</w:t>
      </w:r>
      <w:r w:rsidRPr="00B108A6">
        <w:rPr>
          <w:sz w:val="24"/>
          <w:szCs w:val="24"/>
          <w:lang w:val="en-GB"/>
        </w:rPr>
        <w:t xml:space="preserve"> and 5</w:t>
      </w:r>
      <w:r w:rsidRPr="00B108A6">
        <w:rPr>
          <w:sz w:val="24"/>
          <w:szCs w:val="24"/>
          <w:vertAlign w:val="superscript"/>
          <w:lang w:val="en-GB"/>
        </w:rPr>
        <w:t>th</w:t>
      </w:r>
      <w:r w:rsidRPr="00B108A6">
        <w:rPr>
          <w:sz w:val="24"/>
          <w:szCs w:val="24"/>
          <w:lang w:val="en-GB"/>
        </w:rPr>
        <w:t xml:space="preserve"> doses.</w:t>
      </w:r>
    </w:p>
    <w:p w14:paraId="146728BD" w14:textId="77777777" w:rsidR="00D853AB" w:rsidRPr="00B108A6" w:rsidRDefault="00D853AB" w:rsidP="00331F85">
      <w:pPr>
        <w:ind w:left="851"/>
        <w:rPr>
          <w:sz w:val="24"/>
          <w:szCs w:val="24"/>
          <w:lang w:val="en-GB"/>
        </w:rPr>
      </w:pPr>
    </w:p>
    <w:p w14:paraId="54928B70" w14:textId="77777777" w:rsidR="00D853AB" w:rsidRPr="00B108A6" w:rsidRDefault="00D853AB" w:rsidP="00331F85">
      <w:pPr>
        <w:ind w:left="851"/>
        <w:rPr>
          <w:sz w:val="24"/>
          <w:szCs w:val="24"/>
          <w:u w:val="single"/>
          <w:lang w:val="en-GB"/>
        </w:rPr>
      </w:pPr>
      <w:r w:rsidRPr="00B108A6">
        <w:rPr>
          <w:sz w:val="24"/>
          <w:szCs w:val="24"/>
          <w:u w:val="single"/>
          <w:lang w:val="en-GB"/>
        </w:rPr>
        <w:t xml:space="preserve">Paediatric population </w:t>
      </w:r>
    </w:p>
    <w:p w14:paraId="14FC2B0C" w14:textId="77777777" w:rsidR="00D853AB" w:rsidRPr="00B108A6" w:rsidRDefault="00D853AB" w:rsidP="00331F85">
      <w:pPr>
        <w:ind w:left="851"/>
        <w:rPr>
          <w:sz w:val="24"/>
          <w:szCs w:val="24"/>
          <w:lang w:val="en-GB"/>
        </w:rPr>
      </w:pPr>
    </w:p>
    <w:p w14:paraId="290C194B" w14:textId="6C406F52" w:rsidR="00D853AB" w:rsidRPr="00B108A6" w:rsidRDefault="00D853AB" w:rsidP="00331F85">
      <w:pPr>
        <w:ind w:left="851"/>
        <w:rPr>
          <w:sz w:val="24"/>
          <w:szCs w:val="24"/>
          <w:lang w:val="en-GB"/>
        </w:rPr>
      </w:pPr>
      <w:r w:rsidRPr="00B108A6">
        <w:rPr>
          <w:sz w:val="24"/>
          <w:szCs w:val="24"/>
          <w:lang w:val="en-GB"/>
        </w:rPr>
        <w:t xml:space="preserve">The safety profile of </w:t>
      </w:r>
      <w:proofErr w:type="spellStart"/>
      <w:r w:rsidR="000038A7" w:rsidRPr="00B108A6">
        <w:rPr>
          <w:sz w:val="24"/>
          <w:szCs w:val="24"/>
          <w:lang w:val="en-GB"/>
        </w:rPr>
        <w:t>R</w:t>
      </w:r>
      <w:r w:rsidR="000038A7">
        <w:rPr>
          <w:sz w:val="24"/>
          <w:szCs w:val="24"/>
          <w:lang w:val="en-GB"/>
        </w:rPr>
        <w:t>epevax</w:t>
      </w:r>
      <w:proofErr w:type="spellEnd"/>
      <w:r w:rsidRPr="00B108A6">
        <w:rPr>
          <w:sz w:val="24"/>
          <w:szCs w:val="24"/>
          <w:lang w:val="en-GB"/>
        </w:rPr>
        <w:t xml:space="preserve"> in 390 children 3 to 6 years of age as presented in Table 1 is derived from two clinical studies:</w:t>
      </w:r>
    </w:p>
    <w:p w14:paraId="503312FC" w14:textId="1787F61B" w:rsidR="00D853AB" w:rsidRPr="00B108A6" w:rsidRDefault="00D853AB" w:rsidP="00331F85">
      <w:pPr>
        <w:pStyle w:val="Listeafsnit"/>
        <w:numPr>
          <w:ilvl w:val="0"/>
          <w:numId w:val="7"/>
        </w:numPr>
        <w:spacing w:before="0"/>
        <w:ind w:left="1276" w:hanging="425"/>
        <w:rPr>
          <w:szCs w:val="24"/>
          <w:lang w:val="en-GB"/>
        </w:rPr>
      </w:pPr>
      <w:r w:rsidRPr="00B108A6">
        <w:rPr>
          <w:szCs w:val="24"/>
          <w:lang w:val="en-GB"/>
        </w:rPr>
        <w:t xml:space="preserve">In a clinical study, 240 children were primed at 3, 5 and 12 months of age with a DTaP vaccine with no additional dose in the second year of life. These children received </w:t>
      </w:r>
      <w:proofErr w:type="spellStart"/>
      <w:r w:rsidR="000038A7" w:rsidRPr="00B108A6">
        <w:rPr>
          <w:szCs w:val="24"/>
          <w:lang w:val="en-GB"/>
        </w:rPr>
        <w:t>R</w:t>
      </w:r>
      <w:r w:rsidR="000038A7">
        <w:rPr>
          <w:szCs w:val="24"/>
          <w:lang w:val="en-GB"/>
        </w:rPr>
        <w:t>epevax</w:t>
      </w:r>
      <w:proofErr w:type="spellEnd"/>
      <w:r w:rsidRPr="00B108A6">
        <w:rPr>
          <w:szCs w:val="24"/>
          <w:lang w:val="en-GB"/>
        </w:rPr>
        <w:t xml:space="preserve"> at 5 to 6 years of age. </w:t>
      </w:r>
    </w:p>
    <w:p w14:paraId="526C24FD" w14:textId="14DC985F" w:rsidR="00D853AB" w:rsidRPr="00B108A6" w:rsidRDefault="00D853AB" w:rsidP="00331F85">
      <w:pPr>
        <w:pStyle w:val="Listeafsnit"/>
        <w:numPr>
          <w:ilvl w:val="0"/>
          <w:numId w:val="7"/>
        </w:numPr>
        <w:spacing w:before="0"/>
        <w:ind w:left="1276" w:hanging="425"/>
        <w:rPr>
          <w:szCs w:val="24"/>
          <w:lang w:val="en-GB"/>
        </w:rPr>
      </w:pPr>
      <w:r w:rsidRPr="00B108A6">
        <w:rPr>
          <w:szCs w:val="24"/>
          <w:lang w:val="en-GB"/>
        </w:rPr>
        <w:t xml:space="preserve">150 children primed at 2, 3, and 4 months of age with a </w:t>
      </w:r>
      <w:proofErr w:type="spellStart"/>
      <w:r w:rsidRPr="00B108A6">
        <w:rPr>
          <w:szCs w:val="24"/>
          <w:lang w:val="en-GB"/>
        </w:rPr>
        <w:t>DTwP</w:t>
      </w:r>
      <w:proofErr w:type="spellEnd"/>
      <w:r w:rsidRPr="00B108A6">
        <w:rPr>
          <w:szCs w:val="24"/>
          <w:lang w:val="en-GB"/>
        </w:rPr>
        <w:t xml:space="preserve"> vaccine (with no additional dose in the second year of life) received </w:t>
      </w:r>
      <w:proofErr w:type="spellStart"/>
      <w:r w:rsidR="000038A7" w:rsidRPr="00B108A6">
        <w:rPr>
          <w:szCs w:val="24"/>
          <w:lang w:val="en-GB"/>
        </w:rPr>
        <w:t>R</w:t>
      </w:r>
      <w:r w:rsidR="000038A7">
        <w:rPr>
          <w:szCs w:val="24"/>
          <w:lang w:val="en-GB"/>
        </w:rPr>
        <w:t>epevax</w:t>
      </w:r>
      <w:proofErr w:type="spellEnd"/>
      <w:r w:rsidRPr="00B108A6">
        <w:rPr>
          <w:szCs w:val="24"/>
          <w:lang w:val="en-GB"/>
        </w:rPr>
        <w:t xml:space="preserve"> at 3 to 5 years of age.</w:t>
      </w:r>
    </w:p>
    <w:p w14:paraId="19D3D6C7" w14:textId="77777777" w:rsidR="00D853AB" w:rsidRPr="00B108A6" w:rsidRDefault="00D853AB" w:rsidP="00331F85">
      <w:pPr>
        <w:ind w:left="851"/>
        <w:rPr>
          <w:sz w:val="24"/>
          <w:szCs w:val="24"/>
          <w:lang w:val="en-GB"/>
        </w:rPr>
      </w:pPr>
    </w:p>
    <w:p w14:paraId="6EE3541A" w14:textId="77777777" w:rsidR="00D853AB" w:rsidRPr="00B108A6" w:rsidRDefault="00D853AB" w:rsidP="00331F85">
      <w:pPr>
        <w:tabs>
          <w:tab w:val="left" w:pos="567"/>
        </w:tabs>
        <w:ind w:left="851"/>
        <w:rPr>
          <w:sz w:val="24"/>
          <w:szCs w:val="24"/>
          <w:lang w:val="en-GB"/>
        </w:rPr>
      </w:pPr>
      <w:r w:rsidRPr="00B108A6">
        <w:rPr>
          <w:sz w:val="24"/>
          <w:szCs w:val="24"/>
          <w:lang w:val="en-GB"/>
        </w:rPr>
        <w:t>In both studies the rates of most systemic adverse events within 7 to 10 days following vaccination were less than 10%. Only fever (≥37.5°C) and fatigue were reported in more than 10 % of subjects 3 to 6 years of age. In addition, irritability was reported in more than 10% of subjects 3 to 5 years of age. (See Table 1).</w:t>
      </w:r>
    </w:p>
    <w:p w14:paraId="221E520C" w14:textId="77777777" w:rsidR="00D853AB" w:rsidRPr="00B108A6" w:rsidRDefault="00D853AB" w:rsidP="00331F85">
      <w:pPr>
        <w:ind w:left="851"/>
        <w:rPr>
          <w:sz w:val="24"/>
          <w:szCs w:val="24"/>
          <w:lang w:val="en-GB"/>
        </w:rPr>
      </w:pPr>
    </w:p>
    <w:p w14:paraId="003E5FB8" w14:textId="77777777" w:rsidR="00D853AB" w:rsidRPr="00B108A6" w:rsidRDefault="00D853AB" w:rsidP="00331F85">
      <w:pPr>
        <w:ind w:left="851"/>
        <w:rPr>
          <w:sz w:val="24"/>
          <w:szCs w:val="24"/>
          <w:lang w:val="en-GB"/>
        </w:rPr>
      </w:pPr>
      <w:r w:rsidRPr="00B108A6">
        <w:rPr>
          <w:sz w:val="24"/>
          <w:szCs w:val="24"/>
          <w:lang w:val="en-GB"/>
        </w:rPr>
        <w:t>Transient severe swelling of the injected upper arm was reported in &lt;1% of children aged 5 to 6 years.</w:t>
      </w:r>
    </w:p>
    <w:p w14:paraId="73EAC2A6" w14:textId="77777777" w:rsidR="00D853AB" w:rsidRPr="00B108A6" w:rsidRDefault="00D853AB" w:rsidP="00331F85">
      <w:pPr>
        <w:tabs>
          <w:tab w:val="left" w:pos="2880"/>
          <w:tab w:val="left" w:pos="3240"/>
        </w:tabs>
        <w:rPr>
          <w:sz w:val="24"/>
          <w:szCs w:val="24"/>
          <w:u w:val="single"/>
          <w:lang w:val="en-GB"/>
        </w:rPr>
      </w:pPr>
    </w:p>
    <w:p w14:paraId="170B8CAA" w14:textId="77777777" w:rsidR="005420A5" w:rsidRPr="00B108A6" w:rsidRDefault="005420A5" w:rsidP="00331F85">
      <w:pPr>
        <w:ind w:left="851"/>
        <w:rPr>
          <w:sz w:val="24"/>
          <w:szCs w:val="24"/>
          <w:u w:val="single"/>
          <w:lang w:val="en-GB"/>
        </w:rPr>
      </w:pPr>
      <w:r w:rsidRPr="00B108A6">
        <w:rPr>
          <w:sz w:val="24"/>
          <w:szCs w:val="24"/>
          <w:u w:val="single"/>
          <w:lang w:val="en-GB"/>
        </w:rPr>
        <w:t>Reporting of suspected adverse reactions</w:t>
      </w:r>
    </w:p>
    <w:p w14:paraId="312026C2" w14:textId="77777777" w:rsidR="005420A5" w:rsidRPr="00B108A6" w:rsidRDefault="005420A5" w:rsidP="00331F85">
      <w:pPr>
        <w:ind w:left="851"/>
        <w:rPr>
          <w:sz w:val="24"/>
          <w:szCs w:val="24"/>
          <w:lang w:val="en-GB"/>
        </w:rPr>
      </w:pPr>
      <w:r w:rsidRPr="00B108A6">
        <w:rPr>
          <w:sz w:val="24"/>
          <w:szCs w:val="24"/>
          <w:lang w:val="en-GB"/>
        </w:rPr>
        <w:t>Reporting suspected adverse reactions after authorisation of the medicinal product is important. It allows continued monitoring of the benefit/risk balance of the medicinal product. Healthcare professionals are asked to report any suspected adverse reactions via:</w:t>
      </w:r>
    </w:p>
    <w:p w14:paraId="397BA184" w14:textId="77777777" w:rsidR="005420A5" w:rsidRPr="00B108A6" w:rsidRDefault="005420A5" w:rsidP="00331F85">
      <w:pPr>
        <w:ind w:left="851"/>
        <w:rPr>
          <w:sz w:val="24"/>
          <w:szCs w:val="24"/>
          <w:lang w:val="en-GB"/>
        </w:rPr>
      </w:pPr>
    </w:p>
    <w:p w14:paraId="56F011E7" w14:textId="77777777" w:rsidR="005420A5" w:rsidRPr="00B108A6" w:rsidRDefault="005420A5" w:rsidP="00331F85">
      <w:pPr>
        <w:ind w:left="851"/>
        <w:rPr>
          <w:sz w:val="24"/>
          <w:szCs w:val="24"/>
        </w:rPr>
      </w:pPr>
      <w:r w:rsidRPr="00B108A6">
        <w:rPr>
          <w:sz w:val="24"/>
          <w:szCs w:val="24"/>
        </w:rPr>
        <w:t>Lægemiddelstyrelsen</w:t>
      </w:r>
    </w:p>
    <w:p w14:paraId="52EBB9A9" w14:textId="77777777" w:rsidR="005420A5" w:rsidRPr="00B108A6" w:rsidRDefault="005420A5" w:rsidP="00331F85">
      <w:pPr>
        <w:ind w:left="851"/>
        <w:rPr>
          <w:sz w:val="24"/>
          <w:szCs w:val="24"/>
        </w:rPr>
      </w:pPr>
      <w:r w:rsidRPr="00B108A6">
        <w:rPr>
          <w:sz w:val="24"/>
          <w:szCs w:val="24"/>
        </w:rPr>
        <w:t>Axel Heides Gade 1</w:t>
      </w:r>
    </w:p>
    <w:p w14:paraId="383E7411" w14:textId="77777777" w:rsidR="005420A5" w:rsidRPr="00B108A6" w:rsidRDefault="005420A5" w:rsidP="00331F85">
      <w:pPr>
        <w:ind w:left="851"/>
        <w:rPr>
          <w:sz w:val="24"/>
          <w:szCs w:val="24"/>
        </w:rPr>
      </w:pPr>
      <w:r w:rsidRPr="00B108A6">
        <w:rPr>
          <w:sz w:val="24"/>
          <w:szCs w:val="24"/>
        </w:rPr>
        <w:t>DK-2300 København S</w:t>
      </w:r>
    </w:p>
    <w:p w14:paraId="4EF78AB0" w14:textId="77777777" w:rsidR="005420A5" w:rsidRPr="008B6773" w:rsidRDefault="005420A5" w:rsidP="00331F85">
      <w:pPr>
        <w:ind w:left="851"/>
        <w:rPr>
          <w:sz w:val="24"/>
          <w:szCs w:val="24"/>
          <w:lang w:val="en-US"/>
        </w:rPr>
      </w:pPr>
      <w:r w:rsidRPr="008B6773">
        <w:rPr>
          <w:sz w:val="24"/>
          <w:szCs w:val="24"/>
          <w:lang w:val="en-US"/>
        </w:rPr>
        <w:t>Website: www.meldenbivirkning.dk</w:t>
      </w:r>
    </w:p>
    <w:p w14:paraId="1AC570D5" w14:textId="77777777" w:rsidR="007C5D2A" w:rsidRPr="00B108A6" w:rsidRDefault="007C5D2A" w:rsidP="00331F85">
      <w:pPr>
        <w:tabs>
          <w:tab w:val="left" w:pos="851"/>
        </w:tabs>
        <w:ind w:left="851"/>
        <w:rPr>
          <w:sz w:val="24"/>
          <w:szCs w:val="24"/>
          <w:lang w:val="en-GB"/>
        </w:rPr>
      </w:pPr>
    </w:p>
    <w:p w14:paraId="238662F0" w14:textId="77777777" w:rsidR="007C5D2A" w:rsidRPr="00B108A6" w:rsidRDefault="007C5D2A" w:rsidP="00331F85">
      <w:pPr>
        <w:tabs>
          <w:tab w:val="left" w:pos="851"/>
        </w:tabs>
        <w:ind w:left="851" w:hanging="851"/>
        <w:rPr>
          <w:b/>
          <w:sz w:val="24"/>
          <w:szCs w:val="24"/>
          <w:lang w:val="en-GB"/>
        </w:rPr>
      </w:pPr>
      <w:r w:rsidRPr="00B108A6">
        <w:rPr>
          <w:b/>
          <w:sz w:val="24"/>
          <w:szCs w:val="24"/>
          <w:lang w:val="en-GB"/>
        </w:rPr>
        <w:t>4.9</w:t>
      </w:r>
      <w:r w:rsidRPr="00B108A6">
        <w:rPr>
          <w:b/>
          <w:sz w:val="24"/>
          <w:szCs w:val="24"/>
          <w:lang w:val="en-GB"/>
        </w:rPr>
        <w:tab/>
        <w:t>Overdose</w:t>
      </w:r>
    </w:p>
    <w:p w14:paraId="2E036CBC" w14:textId="77777777" w:rsidR="00D853AB" w:rsidRPr="00B108A6" w:rsidRDefault="00D853AB" w:rsidP="00331F85">
      <w:pPr>
        <w:ind w:left="851"/>
        <w:rPr>
          <w:sz w:val="24"/>
          <w:szCs w:val="24"/>
          <w:lang w:val="en-GB"/>
        </w:rPr>
      </w:pPr>
      <w:r w:rsidRPr="00B108A6">
        <w:rPr>
          <w:sz w:val="24"/>
          <w:szCs w:val="24"/>
          <w:lang w:val="en-GB"/>
        </w:rPr>
        <w:t>Not applicable.</w:t>
      </w:r>
    </w:p>
    <w:p w14:paraId="709C0085" w14:textId="77777777" w:rsidR="007C5D2A" w:rsidRPr="00B108A6" w:rsidRDefault="007C5D2A" w:rsidP="00D35A5A">
      <w:pPr>
        <w:tabs>
          <w:tab w:val="left" w:pos="851"/>
        </w:tabs>
        <w:rPr>
          <w:sz w:val="24"/>
          <w:szCs w:val="24"/>
          <w:lang w:val="en-GB"/>
        </w:rPr>
      </w:pPr>
    </w:p>
    <w:p w14:paraId="2BCCD44C" w14:textId="77777777" w:rsidR="008F2F8C" w:rsidRPr="00B108A6" w:rsidRDefault="0042292D" w:rsidP="00331F85">
      <w:pPr>
        <w:tabs>
          <w:tab w:val="left" w:pos="851"/>
        </w:tabs>
        <w:rPr>
          <w:b/>
          <w:sz w:val="24"/>
          <w:szCs w:val="24"/>
          <w:lang w:val="en-GB"/>
        </w:rPr>
      </w:pPr>
      <w:r w:rsidRPr="00B108A6">
        <w:rPr>
          <w:b/>
          <w:sz w:val="24"/>
          <w:szCs w:val="24"/>
          <w:lang w:val="en-GB"/>
        </w:rPr>
        <w:t>4.10</w:t>
      </w:r>
      <w:r w:rsidRPr="00B108A6">
        <w:rPr>
          <w:b/>
          <w:sz w:val="24"/>
          <w:szCs w:val="24"/>
          <w:lang w:val="en-GB"/>
        </w:rPr>
        <w:tab/>
        <w:t>Legal status</w:t>
      </w:r>
    </w:p>
    <w:p w14:paraId="6BF92353" w14:textId="11D5F773" w:rsidR="00AD2E36" w:rsidRPr="00B108A6" w:rsidRDefault="005E09AD" w:rsidP="00331F85">
      <w:pPr>
        <w:tabs>
          <w:tab w:val="left" w:pos="851"/>
        </w:tabs>
        <w:ind w:left="851"/>
        <w:rPr>
          <w:sz w:val="24"/>
          <w:szCs w:val="24"/>
          <w:lang w:val="en-GB"/>
        </w:rPr>
      </w:pPr>
      <w:r w:rsidRPr="00B108A6">
        <w:rPr>
          <w:sz w:val="24"/>
          <w:szCs w:val="24"/>
          <w:lang w:val="en-GB"/>
        </w:rPr>
        <w:t>B</w:t>
      </w:r>
    </w:p>
    <w:p w14:paraId="0B158F20" w14:textId="2F3EAA67" w:rsidR="008B6773" w:rsidRDefault="008B6773">
      <w:pPr>
        <w:rPr>
          <w:sz w:val="24"/>
          <w:szCs w:val="24"/>
          <w:lang w:val="en-GB"/>
        </w:rPr>
      </w:pPr>
    </w:p>
    <w:p w14:paraId="0CD6CA42" w14:textId="77777777" w:rsidR="00AD2E36" w:rsidRPr="00B108A6" w:rsidRDefault="00AD2E36" w:rsidP="00331F85">
      <w:pPr>
        <w:tabs>
          <w:tab w:val="left" w:pos="851"/>
        </w:tabs>
        <w:ind w:left="851"/>
        <w:rPr>
          <w:sz w:val="24"/>
          <w:szCs w:val="24"/>
          <w:lang w:val="en-GB"/>
        </w:rPr>
      </w:pPr>
    </w:p>
    <w:p w14:paraId="55206955" w14:textId="77777777" w:rsidR="007C5D2A" w:rsidRPr="00B108A6" w:rsidRDefault="007C5D2A" w:rsidP="00331F85">
      <w:pPr>
        <w:tabs>
          <w:tab w:val="left" w:pos="851"/>
        </w:tabs>
        <w:rPr>
          <w:b/>
          <w:sz w:val="24"/>
          <w:szCs w:val="24"/>
          <w:lang w:val="en-GB"/>
        </w:rPr>
      </w:pPr>
      <w:r w:rsidRPr="00B108A6">
        <w:rPr>
          <w:b/>
          <w:sz w:val="24"/>
          <w:szCs w:val="24"/>
          <w:lang w:val="en-GB"/>
        </w:rPr>
        <w:t>5.</w:t>
      </w:r>
      <w:r w:rsidRPr="00B108A6">
        <w:rPr>
          <w:b/>
          <w:sz w:val="24"/>
          <w:szCs w:val="24"/>
          <w:lang w:val="en-GB"/>
        </w:rPr>
        <w:tab/>
        <w:t>PHARMACOLOGICAL PROPERTIES</w:t>
      </w:r>
    </w:p>
    <w:p w14:paraId="5775D03F" w14:textId="77777777" w:rsidR="007C5D2A" w:rsidRPr="00B108A6" w:rsidRDefault="007C5D2A" w:rsidP="00331F85">
      <w:pPr>
        <w:tabs>
          <w:tab w:val="left" w:pos="851"/>
        </w:tabs>
        <w:ind w:left="851"/>
        <w:rPr>
          <w:sz w:val="24"/>
          <w:szCs w:val="24"/>
          <w:lang w:val="en-GB"/>
        </w:rPr>
      </w:pPr>
    </w:p>
    <w:p w14:paraId="5DC2F014" w14:textId="77777777" w:rsidR="007C5D2A" w:rsidRPr="00B108A6" w:rsidRDefault="007C5D2A" w:rsidP="00331F85">
      <w:pPr>
        <w:tabs>
          <w:tab w:val="left" w:pos="851"/>
        </w:tabs>
        <w:ind w:left="851" w:hanging="851"/>
        <w:rPr>
          <w:b/>
          <w:sz w:val="24"/>
          <w:szCs w:val="24"/>
          <w:lang w:val="en-GB"/>
        </w:rPr>
      </w:pPr>
      <w:r w:rsidRPr="00B108A6">
        <w:rPr>
          <w:b/>
          <w:sz w:val="24"/>
          <w:szCs w:val="24"/>
          <w:lang w:val="en-GB"/>
        </w:rPr>
        <w:t>5.1</w:t>
      </w:r>
      <w:r w:rsidRPr="00B108A6">
        <w:rPr>
          <w:b/>
          <w:sz w:val="24"/>
          <w:szCs w:val="24"/>
          <w:lang w:val="en-GB"/>
        </w:rPr>
        <w:tab/>
        <w:t>Pharmacodynamic properties</w:t>
      </w:r>
      <w:r w:rsidRPr="00B108A6">
        <w:rPr>
          <w:b/>
          <w:sz w:val="24"/>
          <w:szCs w:val="24"/>
          <w:lang w:val="en-GB"/>
        </w:rPr>
        <w:tab/>
      </w:r>
    </w:p>
    <w:p w14:paraId="64D3DBBD" w14:textId="2A446BA9" w:rsidR="00D853AB" w:rsidRPr="00B108A6" w:rsidRDefault="00D853AB" w:rsidP="00331F85">
      <w:pPr>
        <w:ind w:left="851"/>
        <w:rPr>
          <w:sz w:val="24"/>
          <w:szCs w:val="24"/>
          <w:lang w:val="en-GB"/>
        </w:rPr>
      </w:pPr>
      <w:r w:rsidRPr="00B108A6">
        <w:rPr>
          <w:sz w:val="24"/>
          <w:szCs w:val="24"/>
          <w:lang w:val="en-GB"/>
        </w:rPr>
        <w:t xml:space="preserve">Pharmacotherapeutic </w:t>
      </w:r>
      <w:r w:rsidR="008B6773">
        <w:rPr>
          <w:sz w:val="24"/>
          <w:szCs w:val="24"/>
          <w:lang w:val="en-GB"/>
        </w:rPr>
        <w:t>g</w:t>
      </w:r>
      <w:r w:rsidRPr="00B108A6">
        <w:rPr>
          <w:sz w:val="24"/>
          <w:szCs w:val="24"/>
          <w:lang w:val="en-GB"/>
        </w:rPr>
        <w:t>roup: Bacterial and viral vaccines combined. Vaccine against diphtheria, tetanus, pertussis and poliomyelitis</w:t>
      </w:r>
      <w:r w:rsidR="000038A7">
        <w:rPr>
          <w:sz w:val="24"/>
          <w:szCs w:val="24"/>
          <w:lang w:val="en-GB"/>
        </w:rPr>
        <w:t xml:space="preserve">, </w:t>
      </w:r>
      <w:r w:rsidRPr="00B108A6">
        <w:rPr>
          <w:sz w:val="24"/>
          <w:szCs w:val="24"/>
          <w:lang w:val="en-GB"/>
        </w:rPr>
        <w:t>ATC</w:t>
      </w:r>
      <w:r w:rsidR="000038A7">
        <w:rPr>
          <w:sz w:val="24"/>
          <w:szCs w:val="24"/>
          <w:lang w:val="en-GB"/>
        </w:rPr>
        <w:t>-</w:t>
      </w:r>
      <w:r w:rsidRPr="00B108A6">
        <w:rPr>
          <w:sz w:val="24"/>
          <w:szCs w:val="24"/>
          <w:lang w:val="en-GB"/>
        </w:rPr>
        <w:t>Code: J07CA02</w:t>
      </w:r>
    </w:p>
    <w:p w14:paraId="2EA1E0AA" w14:textId="77777777" w:rsidR="00D853AB" w:rsidRPr="00B108A6" w:rsidRDefault="00D853AB" w:rsidP="00331F85">
      <w:pPr>
        <w:ind w:left="851"/>
        <w:rPr>
          <w:sz w:val="24"/>
          <w:szCs w:val="24"/>
          <w:u w:val="single"/>
          <w:lang w:val="en-GB"/>
        </w:rPr>
      </w:pPr>
    </w:p>
    <w:p w14:paraId="1334AF07" w14:textId="77777777" w:rsidR="00D853AB" w:rsidRPr="00B108A6" w:rsidRDefault="00D853AB" w:rsidP="00331F85">
      <w:pPr>
        <w:ind w:left="851"/>
        <w:rPr>
          <w:b/>
          <w:sz w:val="24"/>
          <w:szCs w:val="24"/>
          <w:lang w:val="en-GB"/>
        </w:rPr>
      </w:pPr>
      <w:r w:rsidRPr="00B108A6">
        <w:rPr>
          <w:sz w:val="24"/>
          <w:szCs w:val="24"/>
          <w:u w:val="single"/>
          <w:lang w:val="en-GB"/>
        </w:rPr>
        <w:t>Clinical trials</w:t>
      </w:r>
    </w:p>
    <w:p w14:paraId="672B6E24" w14:textId="77777777" w:rsidR="00D853AB" w:rsidRPr="00B108A6" w:rsidRDefault="00D853AB" w:rsidP="00331F85">
      <w:pPr>
        <w:ind w:left="851"/>
        <w:rPr>
          <w:sz w:val="24"/>
          <w:szCs w:val="24"/>
          <w:lang w:val="en-GB"/>
        </w:rPr>
      </w:pPr>
    </w:p>
    <w:p w14:paraId="4C702938" w14:textId="392D1273" w:rsidR="00D853AB" w:rsidRDefault="00D853AB" w:rsidP="000F5286">
      <w:pPr>
        <w:ind w:left="851"/>
        <w:rPr>
          <w:sz w:val="24"/>
          <w:szCs w:val="24"/>
          <w:lang w:val="en-GB"/>
        </w:rPr>
      </w:pPr>
      <w:r w:rsidRPr="00B108A6">
        <w:rPr>
          <w:sz w:val="24"/>
          <w:szCs w:val="24"/>
          <w:lang w:val="en-GB"/>
        </w:rPr>
        <w:t xml:space="preserve">The immune responses of children 3 to 6 years of age, adolescents and adults one-month after vaccination with </w:t>
      </w:r>
      <w:proofErr w:type="spellStart"/>
      <w:r w:rsidR="000038A7" w:rsidRPr="00B108A6">
        <w:rPr>
          <w:sz w:val="24"/>
          <w:szCs w:val="24"/>
          <w:lang w:val="en-GB"/>
        </w:rPr>
        <w:t>R</w:t>
      </w:r>
      <w:r w:rsidR="000038A7">
        <w:rPr>
          <w:sz w:val="24"/>
          <w:szCs w:val="24"/>
          <w:lang w:val="en-GB"/>
        </w:rPr>
        <w:t>epevax</w:t>
      </w:r>
      <w:proofErr w:type="spellEnd"/>
      <w:r w:rsidRPr="00B108A6">
        <w:rPr>
          <w:sz w:val="24"/>
          <w:szCs w:val="24"/>
          <w:lang w:val="en-GB"/>
        </w:rPr>
        <w:t xml:space="preserve"> are shown in the table below. </w:t>
      </w:r>
    </w:p>
    <w:p w14:paraId="11299761" w14:textId="77777777" w:rsidR="000F5286" w:rsidRPr="000F5286" w:rsidRDefault="000F5286" w:rsidP="000F5286">
      <w:pPr>
        <w:ind w:left="851"/>
        <w:rPr>
          <w:strike/>
          <w:sz w:val="24"/>
          <w:szCs w:val="24"/>
          <w:lang w:val="en-GB"/>
        </w:rPr>
      </w:pPr>
    </w:p>
    <w:p w14:paraId="05EA2C1A" w14:textId="418A7BBE" w:rsidR="00D853AB" w:rsidRPr="00B108A6" w:rsidRDefault="00D853AB" w:rsidP="00331F85">
      <w:pPr>
        <w:pStyle w:val="Billedtekst"/>
        <w:keepLines/>
        <w:spacing w:before="0" w:after="0"/>
        <w:rPr>
          <w:szCs w:val="24"/>
          <w:lang w:val="en-GB"/>
        </w:rPr>
      </w:pPr>
      <w:bookmarkStart w:id="4" w:name="Table_20140306_122113SNPH"/>
      <w:r w:rsidRPr="00B108A6">
        <w:rPr>
          <w:szCs w:val="24"/>
          <w:lang w:val="en-GB"/>
        </w:rPr>
        <w:lastRenderedPageBreak/>
        <w:t xml:space="preserve">Table </w:t>
      </w:r>
      <w:r w:rsidRPr="00B108A6">
        <w:rPr>
          <w:szCs w:val="24"/>
        </w:rPr>
        <w:fldChar w:fldCharType="begin"/>
      </w:r>
      <w:r w:rsidRPr="00B108A6">
        <w:rPr>
          <w:szCs w:val="24"/>
          <w:lang w:val="en-GB"/>
        </w:rPr>
        <w:instrText xml:space="preserve"> SEQ Table \* ARABIC </w:instrText>
      </w:r>
      <w:r w:rsidRPr="00B108A6">
        <w:rPr>
          <w:szCs w:val="24"/>
        </w:rPr>
        <w:fldChar w:fldCharType="separate"/>
      </w:r>
      <w:r w:rsidR="000F5286">
        <w:rPr>
          <w:noProof/>
          <w:szCs w:val="24"/>
          <w:lang w:val="en-GB"/>
        </w:rPr>
        <w:t>2</w:t>
      </w:r>
      <w:r w:rsidRPr="00B108A6">
        <w:rPr>
          <w:szCs w:val="24"/>
        </w:rPr>
        <w:fldChar w:fldCharType="end"/>
      </w:r>
      <w:bookmarkEnd w:id="4"/>
      <w:r w:rsidRPr="00B108A6">
        <w:rPr>
          <w:szCs w:val="24"/>
          <w:lang w:val="en-GB"/>
        </w:rPr>
        <w:t xml:space="preserve">: Immune responses 4 weeks after vaccination with </w:t>
      </w:r>
      <w:proofErr w:type="spellStart"/>
      <w:r w:rsidR="000038A7" w:rsidRPr="00B108A6">
        <w:rPr>
          <w:szCs w:val="24"/>
          <w:lang w:val="en-GB"/>
        </w:rPr>
        <w:t>R</w:t>
      </w:r>
      <w:r w:rsidR="000038A7">
        <w:rPr>
          <w:szCs w:val="24"/>
          <w:lang w:val="en-GB"/>
        </w:rPr>
        <w:t>epevax</w:t>
      </w:r>
      <w:proofErr w:type="spellEnd"/>
      <w:r w:rsidR="000038A7" w:rsidRPr="00B108A6">
        <w:rPr>
          <w:szCs w:val="24"/>
          <w:lang w:val="en-GB"/>
        </w:rPr>
        <w:t xml:space="preserve"> </w:t>
      </w:r>
      <w:r w:rsidRPr="00B108A6">
        <w:rPr>
          <w:szCs w:val="24"/>
          <w:lang w:val="en-GB"/>
        </w:rPr>
        <w:fldChar w:fldCharType="begin"/>
      </w:r>
      <w:r w:rsidRPr="00B108A6">
        <w:rPr>
          <w:szCs w:val="24"/>
          <w:lang w:val="en-GB"/>
        </w:rPr>
        <w:instrText xml:space="preserve"> DOCVARIABLE vault_nd_09de55a1-b260-492a-b854-dcb3144eccff \* MERGEFORMAT </w:instrText>
      </w:r>
      <w:r w:rsidRPr="00B108A6">
        <w:rPr>
          <w:szCs w:val="24"/>
          <w:lang w:val="en-GB"/>
        </w:rPr>
        <w:fldChar w:fldCharType="separate"/>
      </w:r>
      <w:r w:rsidRPr="00B108A6">
        <w:rPr>
          <w:szCs w:val="24"/>
          <w:lang w:val="en-GB"/>
        </w:rPr>
        <w:t xml:space="preserve"> </w:t>
      </w:r>
      <w:r w:rsidRPr="00B108A6">
        <w:rPr>
          <w:szCs w:val="24"/>
          <w:lang w:val="en-GB"/>
        </w:rPr>
        <w:fldChar w:fldCharType="end"/>
      </w:r>
    </w:p>
    <w:p w14:paraId="03AAA45C" w14:textId="77777777" w:rsidR="00D853AB" w:rsidRPr="00B108A6" w:rsidRDefault="00D853AB" w:rsidP="00331F85">
      <w:pPr>
        <w:keepNext/>
        <w:keepLines/>
        <w:rPr>
          <w:sz w:val="24"/>
          <w:szCs w:val="24"/>
          <w:lang w:val="en-GB"/>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445"/>
        <w:gridCol w:w="1247"/>
        <w:gridCol w:w="2380"/>
        <w:gridCol w:w="1060"/>
        <w:gridCol w:w="2490"/>
      </w:tblGrid>
      <w:tr w:rsidR="00D853AB" w:rsidRPr="000038A7" w14:paraId="3871B7F8" w14:textId="77777777" w:rsidTr="005420A5">
        <w:trPr>
          <w:trHeight w:val="791"/>
          <w:tblHeader/>
        </w:trPr>
        <w:tc>
          <w:tcPr>
            <w:tcW w:w="1576" w:type="pct"/>
            <w:tcBorders>
              <w:top w:val="single" w:sz="6" w:space="0" w:color="auto"/>
              <w:left w:val="single" w:sz="6" w:space="0" w:color="auto"/>
              <w:bottom w:val="single" w:sz="6" w:space="0" w:color="auto"/>
              <w:right w:val="single" w:sz="6" w:space="0" w:color="auto"/>
            </w:tcBorders>
            <w:vAlign w:val="center"/>
            <w:hideMark/>
          </w:tcPr>
          <w:p w14:paraId="447018C4" w14:textId="77777777" w:rsidR="00D853AB" w:rsidRPr="000038A7" w:rsidRDefault="00D853AB" w:rsidP="00331F85">
            <w:pPr>
              <w:keepNext/>
              <w:keepLines/>
              <w:jc w:val="center"/>
              <w:rPr>
                <w:b/>
                <w:sz w:val="22"/>
                <w:szCs w:val="22"/>
                <w:lang w:val="en-GB"/>
              </w:rPr>
            </w:pPr>
            <w:r w:rsidRPr="000038A7">
              <w:rPr>
                <w:b/>
                <w:sz w:val="22"/>
                <w:szCs w:val="22"/>
                <w:lang w:val="en-GB"/>
              </w:rPr>
              <w:t>Antibody</w:t>
            </w:r>
          </w:p>
        </w:tc>
        <w:tc>
          <w:tcPr>
            <w:tcW w:w="953" w:type="pct"/>
            <w:tcBorders>
              <w:top w:val="single" w:sz="6" w:space="0" w:color="auto"/>
              <w:left w:val="single" w:sz="6" w:space="0" w:color="auto"/>
              <w:bottom w:val="single" w:sz="6" w:space="0" w:color="auto"/>
              <w:right w:val="single" w:sz="6" w:space="0" w:color="auto"/>
            </w:tcBorders>
            <w:vAlign w:val="center"/>
            <w:hideMark/>
          </w:tcPr>
          <w:p w14:paraId="1B72EBA6" w14:textId="77777777" w:rsidR="00D853AB" w:rsidRPr="000038A7" w:rsidRDefault="00D853AB" w:rsidP="00331F85">
            <w:pPr>
              <w:keepNext/>
              <w:keepLines/>
              <w:jc w:val="center"/>
              <w:rPr>
                <w:b/>
                <w:sz w:val="22"/>
                <w:szCs w:val="22"/>
                <w:lang w:val="en-GB"/>
              </w:rPr>
            </w:pPr>
            <w:r w:rsidRPr="000038A7">
              <w:rPr>
                <w:b/>
                <w:sz w:val="22"/>
                <w:szCs w:val="22"/>
                <w:lang w:val="en-GB"/>
              </w:rPr>
              <w:t>Criteria</w:t>
            </w:r>
          </w:p>
        </w:tc>
        <w:tc>
          <w:tcPr>
            <w:tcW w:w="824" w:type="pct"/>
            <w:tcBorders>
              <w:top w:val="single" w:sz="6" w:space="0" w:color="auto"/>
              <w:left w:val="single" w:sz="6" w:space="0" w:color="auto"/>
              <w:bottom w:val="single" w:sz="6" w:space="0" w:color="auto"/>
              <w:right w:val="single" w:sz="6" w:space="0" w:color="auto"/>
            </w:tcBorders>
            <w:vAlign w:val="center"/>
          </w:tcPr>
          <w:p w14:paraId="22C70DFB" w14:textId="77777777" w:rsidR="00D853AB" w:rsidRPr="000038A7" w:rsidRDefault="00D853AB" w:rsidP="00331F85">
            <w:pPr>
              <w:keepNext/>
              <w:keepLines/>
              <w:jc w:val="center"/>
              <w:rPr>
                <w:b/>
                <w:sz w:val="22"/>
                <w:szCs w:val="22"/>
                <w:lang w:val="en-GB"/>
              </w:rPr>
            </w:pPr>
            <w:r w:rsidRPr="000038A7">
              <w:rPr>
                <w:b/>
                <w:sz w:val="22"/>
                <w:szCs w:val="22"/>
                <w:lang w:val="en-GB"/>
              </w:rPr>
              <w:t xml:space="preserve">Children </w:t>
            </w:r>
          </w:p>
          <w:p w14:paraId="49702562" w14:textId="77777777" w:rsidR="00D853AB" w:rsidRPr="000038A7" w:rsidRDefault="00D853AB" w:rsidP="00331F85">
            <w:pPr>
              <w:keepNext/>
              <w:keepLines/>
              <w:jc w:val="center"/>
              <w:rPr>
                <w:b/>
                <w:sz w:val="22"/>
                <w:szCs w:val="22"/>
                <w:lang w:val="en-GB"/>
              </w:rPr>
            </w:pPr>
            <w:r w:rsidRPr="000038A7">
              <w:rPr>
                <w:b/>
                <w:sz w:val="22"/>
                <w:szCs w:val="22"/>
                <w:lang w:val="en-GB"/>
              </w:rPr>
              <w:t>3-5 years old</w:t>
            </w:r>
            <w:r w:rsidRPr="000038A7">
              <w:rPr>
                <w:b/>
                <w:sz w:val="22"/>
                <w:szCs w:val="22"/>
                <w:vertAlign w:val="superscript"/>
                <w:lang w:val="en-GB"/>
              </w:rPr>
              <w:t>1</w:t>
            </w:r>
          </w:p>
          <w:p w14:paraId="6E56FA37" w14:textId="77777777" w:rsidR="00D853AB" w:rsidRPr="000038A7" w:rsidRDefault="00D853AB" w:rsidP="00331F85">
            <w:pPr>
              <w:keepNext/>
              <w:keepLines/>
              <w:jc w:val="center"/>
              <w:rPr>
                <w:b/>
                <w:sz w:val="22"/>
                <w:szCs w:val="22"/>
                <w:lang w:val="en-GB"/>
              </w:rPr>
            </w:pPr>
            <w:r w:rsidRPr="000038A7">
              <w:rPr>
                <w:b/>
                <w:sz w:val="22"/>
                <w:szCs w:val="22"/>
                <w:lang w:val="en-GB"/>
              </w:rPr>
              <w:t>(n = 148)</w:t>
            </w:r>
          </w:p>
          <w:p w14:paraId="19C9F31D" w14:textId="77777777" w:rsidR="00D853AB" w:rsidRPr="000038A7" w:rsidRDefault="00D853AB" w:rsidP="00331F85">
            <w:pPr>
              <w:keepNext/>
              <w:keepLines/>
              <w:jc w:val="center"/>
              <w:rPr>
                <w:b/>
                <w:sz w:val="22"/>
                <w:szCs w:val="22"/>
                <w:lang w:val="en-GB"/>
              </w:rPr>
            </w:pPr>
          </w:p>
        </w:tc>
        <w:tc>
          <w:tcPr>
            <w:tcW w:w="824" w:type="pct"/>
            <w:tcBorders>
              <w:top w:val="single" w:sz="6" w:space="0" w:color="auto"/>
              <w:left w:val="single" w:sz="6" w:space="0" w:color="auto"/>
              <w:bottom w:val="single" w:sz="6" w:space="0" w:color="auto"/>
              <w:right w:val="single" w:sz="6" w:space="0" w:color="auto"/>
            </w:tcBorders>
            <w:vAlign w:val="center"/>
            <w:hideMark/>
          </w:tcPr>
          <w:p w14:paraId="73805EFF" w14:textId="77777777" w:rsidR="00D853AB" w:rsidRPr="000038A7" w:rsidRDefault="00D853AB" w:rsidP="00331F85">
            <w:pPr>
              <w:keepNext/>
              <w:keepLines/>
              <w:jc w:val="center"/>
              <w:rPr>
                <w:b/>
                <w:sz w:val="22"/>
                <w:szCs w:val="22"/>
                <w:lang w:val="en-GB"/>
              </w:rPr>
            </w:pPr>
            <w:r w:rsidRPr="000038A7">
              <w:rPr>
                <w:b/>
                <w:sz w:val="22"/>
                <w:szCs w:val="22"/>
                <w:lang w:val="en-GB"/>
              </w:rPr>
              <w:t xml:space="preserve">Children </w:t>
            </w:r>
            <w:r w:rsidRPr="000038A7">
              <w:rPr>
                <w:b/>
                <w:sz w:val="22"/>
                <w:szCs w:val="22"/>
                <w:lang w:val="en-GB"/>
              </w:rPr>
              <w:br/>
              <w:t>5-6 years old</w:t>
            </w:r>
            <w:proofErr w:type="gramStart"/>
            <w:r w:rsidRPr="000038A7">
              <w:rPr>
                <w:b/>
                <w:sz w:val="22"/>
                <w:szCs w:val="22"/>
                <w:vertAlign w:val="superscript"/>
                <w:lang w:val="en-GB"/>
              </w:rPr>
              <w:t xml:space="preserve">2 </w:t>
            </w:r>
            <w:r w:rsidRPr="000038A7">
              <w:rPr>
                <w:b/>
                <w:sz w:val="22"/>
                <w:szCs w:val="22"/>
                <w:lang w:val="en-GB"/>
              </w:rPr>
              <w:t xml:space="preserve"> (</w:t>
            </w:r>
            <w:proofErr w:type="gramEnd"/>
            <w:r w:rsidRPr="000038A7">
              <w:rPr>
                <w:b/>
                <w:sz w:val="22"/>
                <w:szCs w:val="22"/>
                <w:lang w:val="en-GB"/>
              </w:rPr>
              <w:t>n = 240)</w:t>
            </w:r>
          </w:p>
        </w:tc>
        <w:tc>
          <w:tcPr>
            <w:tcW w:w="824" w:type="pct"/>
            <w:tcBorders>
              <w:top w:val="single" w:sz="6" w:space="0" w:color="auto"/>
              <w:left w:val="single" w:sz="6" w:space="0" w:color="auto"/>
              <w:bottom w:val="single" w:sz="6" w:space="0" w:color="auto"/>
              <w:right w:val="single" w:sz="6" w:space="0" w:color="auto"/>
            </w:tcBorders>
            <w:vAlign w:val="center"/>
          </w:tcPr>
          <w:p w14:paraId="1EC95712" w14:textId="77777777" w:rsidR="00D853AB" w:rsidRPr="000038A7" w:rsidRDefault="00D853AB" w:rsidP="00331F85">
            <w:pPr>
              <w:keepNext/>
              <w:keepLines/>
              <w:jc w:val="center"/>
              <w:rPr>
                <w:b/>
                <w:sz w:val="22"/>
                <w:szCs w:val="22"/>
                <w:lang w:val="en-GB"/>
              </w:rPr>
            </w:pPr>
            <w:r w:rsidRPr="000038A7">
              <w:rPr>
                <w:b/>
                <w:sz w:val="22"/>
                <w:szCs w:val="22"/>
                <w:lang w:val="en-GB"/>
              </w:rPr>
              <w:t>Adults and Adolescents</w:t>
            </w:r>
            <w:r w:rsidRPr="000038A7">
              <w:rPr>
                <w:b/>
                <w:sz w:val="22"/>
                <w:szCs w:val="22"/>
                <w:vertAlign w:val="superscript"/>
                <w:lang w:val="en-GB"/>
              </w:rPr>
              <w:t>3</w:t>
            </w:r>
          </w:p>
          <w:p w14:paraId="2D1E1FE3" w14:textId="77777777" w:rsidR="00D853AB" w:rsidRPr="000038A7" w:rsidRDefault="00D853AB" w:rsidP="00331F85">
            <w:pPr>
              <w:keepNext/>
              <w:keepLines/>
              <w:jc w:val="center"/>
              <w:rPr>
                <w:b/>
                <w:sz w:val="22"/>
                <w:szCs w:val="22"/>
                <w:lang w:val="en-GB"/>
              </w:rPr>
            </w:pPr>
            <w:r w:rsidRPr="000038A7">
              <w:rPr>
                <w:b/>
                <w:sz w:val="22"/>
                <w:szCs w:val="22"/>
                <w:lang w:val="en-GB"/>
              </w:rPr>
              <w:t>(n = 994)</w:t>
            </w:r>
          </w:p>
          <w:p w14:paraId="77BA12D7" w14:textId="77777777" w:rsidR="00D853AB" w:rsidRPr="000038A7" w:rsidRDefault="00D853AB" w:rsidP="00331F85">
            <w:pPr>
              <w:keepNext/>
              <w:keepLines/>
              <w:jc w:val="center"/>
              <w:rPr>
                <w:b/>
                <w:sz w:val="22"/>
                <w:szCs w:val="22"/>
                <w:lang w:val="en-GB"/>
              </w:rPr>
            </w:pPr>
          </w:p>
        </w:tc>
      </w:tr>
      <w:tr w:rsidR="00D853AB" w:rsidRPr="000038A7" w14:paraId="7310DF8D" w14:textId="77777777" w:rsidTr="005420A5">
        <w:trPr>
          <w:trHeight w:val="212"/>
        </w:trPr>
        <w:tc>
          <w:tcPr>
            <w:tcW w:w="1576" w:type="pct"/>
            <w:tcBorders>
              <w:top w:val="single" w:sz="6" w:space="0" w:color="auto"/>
              <w:left w:val="single" w:sz="6" w:space="0" w:color="auto"/>
              <w:bottom w:val="single" w:sz="6" w:space="0" w:color="auto"/>
              <w:right w:val="single" w:sz="6" w:space="0" w:color="auto"/>
            </w:tcBorders>
            <w:hideMark/>
          </w:tcPr>
          <w:p w14:paraId="7DAB744A" w14:textId="77777777" w:rsidR="00D853AB" w:rsidRPr="000038A7" w:rsidRDefault="00D853AB" w:rsidP="00331F85">
            <w:pPr>
              <w:keepNext/>
              <w:keepLines/>
              <w:rPr>
                <w:b/>
                <w:sz w:val="22"/>
                <w:szCs w:val="22"/>
                <w:lang w:val="en-GB"/>
              </w:rPr>
            </w:pPr>
            <w:r w:rsidRPr="000038A7">
              <w:rPr>
                <w:b/>
                <w:sz w:val="22"/>
                <w:szCs w:val="22"/>
                <w:lang w:val="en-GB"/>
              </w:rPr>
              <w:t xml:space="preserve">Diphtheria </w:t>
            </w:r>
            <w:r w:rsidRPr="000038A7">
              <w:rPr>
                <w:bCs/>
                <w:sz w:val="22"/>
                <w:szCs w:val="22"/>
                <w:lang w:val="en-GB"/>
              </w:rPr>
              <w:t>(SN, IU/mL)</w:t>
            </w:r>
          </w:p>
        </w:tc>
        <w:tc>
          <w:tcPr>
            <w:tcW w:w="953" w:type="pct"/>
            <w:tcBorders>
              <w:top w:val="single" w:sz="6" w:space="0" w:color="auto"/>
              <w:left w:val="single" w:sz="6" w:space="0" w:color="auto"/>
              <w:bottom w:val="single" w:sz="6" w:space="0" w:color="auto"/>
              <w:right w:val="single" w:sz="6" w:space="0" w:color="auto"/>
            </w:tcBorders>
            <w:hideMark/>
          </w:tcPr>
          <w:p w14:paraId="35993ADC" w14:textId="77777777" w:rsidR="00D853AB" w:rsidRPr="000038A7" w:rsidRDefault="00D853AB" w:rsidP="00331F85">
            <w:pPr>
              <w:keepNext/>
              <w:keepLines/>
              <w:tabs>
                <w:tab w:val="decimal" w:pos="583"/>
              </w:tabs>
              <w:rPr>
                <w:sz w:val="22"/>
                <w:szCs w:val="22"/>
                <w:lang w:val="en-GB"/>
              </w:rPr>
            </w:pPr>
            <w:r w:rsidRPr="000038A7">
              <w:rPr>
                <w:sz w:val="22"/>
                <w:szCs w:val="22"/>
                <w:lang w:val="en-GB"/>
              </w:rPr>
              <w:t xml:space="preserve">0.1 </w:t>
            </w:r>
          </w:p>
        </w:tc>
        <w:tc>
          <w:tcPr>
            <w:tcW w:w="824" w:type="pct"/>
            <w:tcBorders>
              <w:top w:val="single" w:sz="6" w:space="0" w:color="auto"/>
              <w:left w:val="single" w:sz="6" w:space="0" w:color="auto"/>
              <w:bottom w:val="single" w:sz="6" w:space="0" w:color="auto"/>
              <w:right w:val="single" w:sz="6" w:space="0" w:color="auto"/>
            </w:tcBorders>
            <w:hideMark/>
          </w:tcPr>
          <w:p w14:paraId="5273ED0D" w14:textId="77777777" w:rsidR="00D853AB" w:rsidRPr="000038A7" w:rsidRDefault="00D853AB" w:rsidP="00331F85">
            <w:pPr>
              <w:jc w:val="center"/>
              <w:rPr>
                <w:sz w:val="22"/>
                <w:szCs w:val="22"/>
                <w:lang w:val="en-GB"/>
              </w:rPr>
            </w:pPr>
            <w:r w:rsidRPr="000038A7">
              <w:rPr>
                <w:sz w:val="22"/>
                <w:szCs w:val="22"/>
                <w:lang w:val="en-GB"/>
              </w:rPr>
              <w:t>100%</w:t>
            </w:r>
          </w:p>
        </w:tc>
        <w:tc>
          <w:tcPr>
            <w:tcW w:w="824" w:type="pct"/>
            <w:tcBorders>
              <w:top w:val="single" w:sz="6" w:space="0" w:color="auto"/>
              <w:left w:val="single" w:sz="6" w:space="0" w:color="auto"/>
              <w:bottom w:val="single" w:sz="6" w:space="0" w:color="auto"/>
              <w:right w:val="single" w:sz="6" w:space="0" w:color="auto"/>
            </w:tcBorders>
            <w:hideMark/>
          </w:tcPr>
          <w:p w14:paraId="4459F17A" w14:textId="77777777" w:rsidR="00D853AB" w:rsidRPr="000038A7" w:rsidRDefault="00D853AB" w:rsidP="00331F85">
            <w:pPr>
              <w:jc w:val="center"/>
              <w:rPr>
                <w:sz w:val="22"/>
                <w:szCs w:val="22"/>
                <w:lang w:val="en-GB"/>
              </w:rPr>
            </w:pPr>
            <w:r w:rsidRPr="000038A7">
              <w:rPr>
                <w:sz w:val="22"/>
                <w:szCs w:val="22"/>
                <w:lang w:val="en-GB"/>
              </w:rPr>
              <w:t>99.4%</w:t>
            </w:r>
          </w:p>
        </w:tc>
        <w:tc>
          <w:tcPr>
            <w:tcW w:w="824" w:type="pct"/>
            <w:tcBorders>
              <w:top w:val="single" w:sz="6" w:space="0" w:color="auto"/>
              <w:left w:val="single" w:sz="6" w:space="0" w:color="auto"/>
              <w:bottom w:val="single" w:sz="6" w:space="0" w:color="auto"/>
              <w:right w:val="single" w:sz="6" w:space="0" w:color="auto"/>
            </w:tcBorders>
            <w:hideMark/>
          </w:tcPr>
          <w:p w14:paraId="4991A26C" w14:textId="77777777" w:rsidR="00D853AB" w:rsidRPr="000038A7" w:rsidRDefault="00D853AB" w:rsidP="00331F85">
            <w:pPr>
              <w:jc w:val="center"/>
              <w:rPr>
                <w:sz w:val="22"/>
                <w:szCs w:val="22"/>
                <w:lang w:val="en-GB"/>
              </w:rPr>
            </w:pPr>
            <w:r w:rsidRPr="000038A7">
              <w:rPr>
                <w:sz w:val="22"/>
                <w:szCs w:val="22"/>
                <w:lang w:val="en-GB"/>
              </w:rPr>
              <w:t>92.8%</w:t>
            </w:r>
          </w:p>
        </w:tc>
      </w:tr>
      <w:tr w:rsidR="00D853AB" w:rsidRPr="000038A7" w14:paraId="2BA93536" w14:textId="77777777" w:rsidTr="005420A5">
        <w:trPr>
          <w:trHeight w:val="401"/>
        </w:trPr>
        <w:tc>
          <w:tcPr>
            <w:tcW w:w="1576" w:type="pct"/>
            <w:tcBorders>
              <w:top w:val="single" w:sz="6" w:space="0" w:color="auto"/>
              <w:left w:val="single" w:sz="6" w:space="0" w:color="auto"/>
              <w:bottom w:val="single" w:sz="6" w:space="0" w:color="auto"/>
              <w:right w:val="single" w:sz="6" w:space="0" w:color="auto"/>
            </w:tcBorders>
            <w:hideMark/>
          </w:tcPr>
          <w:p w14:paraId="695D07A6" w14:textId="77777777" w:rsidR="00D853AB" w:rsidRPr="000038A7" w:rsidRDefault="00D853AB" w:rsidP="00331F85">
            <w:pPr>
              <w:keepNext/>
              <w:keepLines/>
              <w:rPr>
                <w:b/>
                <w:sz w:val="22"/>
                <w:szCs w:val="22"/>
                <w:lang w:val="fr-FR"/>
              </w:rPr>
            </w:pPr>
            <w:r w:rsidRPr="000038A7">
              <w:rPr>
                <w:b/>
                <w:sz w:val="22"/>
                <w:szCs w:val="22"/>
                <w:lang w:val="fr-FR"/>
              </w:rPr>
              <w:t xml:space="preserve">Tetanus </w:t>
            </w:r>
            <w:r w:rsidRPr="000038A7">
              <w:rPr>
                <w:bCs/>
                <w:sz w:val="22"/>
                <w:szCs w:val="22"/>
                <w:lang w:val="fr-FR"/>
              </w:rPr>
              <w:t>(ELISA, IU/mL or EU/mL)</w:t>
            </w:r>
            <w:r w:rsidRPr="000038A7">
              <w:rPr>
                <w:bCs/>
                <w:sz w:val="22"/>
                <w:szCs w:val="22"/>
                <w:vertAlign w:val="superscript"/>
                <w:lang w:val="fr-FR"/>
              </w:rPr>
              <w:t>4</w:t>
            </w:r>
          </w:p>
        </w:tc>
        <w:tc>
          <w:tcPr>
            <w:tcW w:w="953" w:type="pct"/>
            <w:tcBorders>
              <w:top w:val="single" w:sz="6" w:space="0" w:color="auto"/>
              <w:left w:val="single" w:sz="6" w:space="0" w:color="auto"/>
              <w:bottom w:val="single" w:sz="6" w:space="0" w:color="auto"/>
              <w:right w:val="single" w:sz="6" w:space="0" w:color="auto"/>
            </w:tcBorders>
            <w:hideMark/>
          </w:tcPr>
          <w:p w14:paraId="30FB6D02" w14:textId="77777777" w:rsidR="00D853AB" w:rsidRPr="000038A7" w:rsidRDefault="00D853AB" w:rsidP="00331F85">
            <w:pPr>
              <w:keepNext/>
              <w:keepLines/>
              <w:tabs>
                <w:tab w:val="decimal" w:pos="583"/>
              </w:tabs>
              <w:rPr>
                <w:sz w:val="22"/>
                <w:szCs w:val="22"/>
                <w:lang w:val="en-GB"/>
              </w:rPr>
            </w:pPr>
            <w:r w:rsidRPr="000038A7">
              <w:rPr>
                <w:sz w:val="22"/>
                <w:szCs w:val="22"/>
                <w:lang w:val="en-GB"/>
              </w:rPr>
              <w:t xml:space="preserve">0.1 </w:t>
            </w:r>
          </w:p>
        </w:tc>
        <w:tc>
          <w:tcPr>
            <w:tcW w:w="824" w:type="pct"/>
            <w:tcBorders>
              <w:top w:val="single" w:sz="6" w:space="0" w:color="auto"/>
              <w:left w:val="single" w:sz="6" w:space="0" w:color="auto"/>
              <w:bottom w:val="single" w:sz="4" w:space="0" w:color="auto"/>
              <w:right w:val="single" w:sz="6" w:space="0" w:color="auto"/>
            </w:tcBorders>
            <w:hideMark/>
          </w:tcPr>
          <w:p w14:paraId="3891A950" w14:textId="77777777" w:rsidR="00D853AB" w:rsidRPr="000038A7" w:rsidRDefault="00D853AB" w:rsidP="00331F85">
            <w:pPr>
              <w:jc w:val="center"/>
              <w:rPr>
                <w:sz w:val="22"/>
                <w:szCs w:val="22"/>
                <w:lang w:val="en-GB"/>
              </w:rPr>
            </w:pPr>
            <w:r w:rsidRPr="000038A7">
              <w:rPr>
                <w:sz w:val="22"/>
                <w:szCs w:val="22"/>
                <w:lang w:val="en-GB"/>
              </w:rPr>
              <w:t>100%</w:t>
            </w:r>
          </w:p>
        </w:tc>
        <w:tc>
          <w:tcPr>
            <w:tcW w:w="824" w:type="pct"/>
            <w:tcBorders>
              <w:top w:val="single" w:sz="6" w:space="0" w:color="auto"/>
              <w:left w:val="single" w:sz="6" w:space="0" w:color="auto"/>
              <w:bottom w:val="single" w:sz="4" w:space="0" w:color="auto"/>
              <w:right w:val="single" w:sz="6" w:space="0" w:color="auto"/>
            </w:tcBorders>
            <w:hideMark/>
          </w:tcPr>
          <w:p w14:paraId="471935C2" w14:textId="77777777" w:rsidR="00D853AB" w:rsidRPr="000038A7" w:rsidRDefault="00D853AB" w:rsidP="00331F85">
            <w:pPr>
              <w:jc w:val="center"/>
              <w:rPr>
                <w:sz w:val="22"/>
                <w:szCs w:val="22"/>
                <w:lang w:val="en-GB"/>
              </w:rPr>
            </w:pPr>
            <w:r w:rsidRPr="000038A7">
              <w:rPr>
                <w:sz w:val="22"/>
                <w:szCs w:val="22"/>
                <w:lang w:val="en-GB"/>
              </w:rPr>
              <w:t>99.5%</w:t>
            </w:r>
          </w:p>
        </w:tc>
        <w:tc>
          <w:tcPr>
            <w:tcW w:w="824" w:type="pct"/>
            <w:tcBorders>
              <w:top w:val="single" w:sz="6" w:space="0" w:color="auto"/>
              <w:left w:val="single" w:sz="6" w:space="0" w:color="auto"/>
              <w:bottom w:val="single" w:sz="4" w:space="0" w:color="auto"/>
              <w:right w:val="single" w:sz="6" w:space="0" w:color="auto"/>
            </w:tcBorders>
            <w:hideMark/>
          </w:tcPr>
          <w:p w14:paraId="2D302932" w14:textId="77777777" w:rsidR="00D853AB" w:rsidRPr="000038A7" w:rsidRDefault="00D853AB" w:rsidP="00331F85">
            <w:pPr>
              <w:jc w:val="center"/>
              <w:rPr>
                <w:sz w:val="22"/>
                <w:szCs w:val="22"/>
                <w:lang w:val="en-GB"/>
              </w:rPr>
            </w:pPr>
            <w:r w:rsidRPr="000038A7">
              <w:rPr>
                <w:sz w:val="22"/>
                <w:szCs w:val="22"/>
                <w:lang w:val="en-GB"/>
              </w:rPr>
              <w:t>100%</w:t>
            </w:r>
          </w:p>
        </w:tc>
      </w:tr>
      <w:tr w:rsidR="00D853AB" w:rsidRPr="000038A7" w14:paraId="23A15E0C" w14:textId="77777777" w:rsidTr="005420A5">
        <w:trPr>
          <w:trHeight w:val="1052"/>
        </w:trPr>
        <w:tc>
          <w:tcPr>
            <w:tcW w:w="1576" w:type="pct"/>
            <w:tcBorders>
              <w:top w:val="single" w:sz="6" w:space="0" w:color="auto"/>
              <w:left w:val="single" w:sz="6" w:space="0" w:color="auto"/>
              <w:bottom w:val="single" w:sz="4" w:space="0" w:color="auto"/>
              <w:right w:val="single" w:sz="6" w:space="0" w:color="auto"/>
            </w:tcBorders>
            <w:hideMark/>
          </w:tcPr>
          <w:p w14:paraId="156B2E7D" w14:textId="77777777" w:rsidR="00D853AB" w:rsidRPr="000038A7" w:rsidRDefault="00D853AB" w:rsidP="00331F85">
            <w:pPr>
              <w:keepNext/>
              <w:keepLines/>
              <w:tabs>
                <w:tab w:val="left" w:pos="240"/>
              </w:tabs>
              <w:rPr>
                <w:b/>
                <w:sz w:val="22"/>
                <w:szCs w:val="22"/>
                <w:lang w:val="fr-FR"/>
              </w:rPr>
            </w:pPr>
            <w:r w:rsidRPr="000038A7">
              <w:rPr>
                <w:b/>
                <w:sz w:val="22"/>
                <w:szCs w:val="22"/>
                <w:lang w:val="fr-FR"/>
              </w:rPr>
              <w:t xml:space="preserve">Pertussis </w:t>
            </w:r>
            <w:r w:rsidRPr="000038A7">
              <w:rPr>
                <w:sz w:val="22"/>
                <w:szCs w:val="22"/>
                <w:lang w:val="fr-FR"/>
              </w:rPr>
              <w:t>(ELISA, EU/mL)</w:t>
            </w:r>
          </w:p>
          <w:p w14:paraId="4BE32B08" w14:textId="77777777" w:rsidR="00D853AB" w:rsidRPr="000038A7" w:rsidRDefault="00D853AB" w:rsidP="00331F85">
            <w:pPr>
              <w:keepNext/>
              <w:keepLines/>
              <w:tabs>
                <w:tab w:val="left" w:pos="240"/>
              </w:tabs>
              <w:rPr>
                <w:b/>
                <w:sz w:val="22"/>
                <w:szCs w:val="22"/>
                <w:lang w:val="fr-FR"/>
              </w:rPr>
            </w:pPr>
            <w:r w:rsidRPr="000038A7">
              <w:rPr>
                <w:b/>
                <w:sz w:val="22"/>
                <w:szCs w:val="22"/>
                <w:lang w:val="fr-FR"/>
              </w:rPr>
              <w:tab/>
              <w:t xml:space="preserve">Pertussis Toxoid </w:t>
            </w:r>
          </w:p>
          <w:p w14:paraId="64F69F88" w14:textId="77777777" w:rsidR="00D853AB" w:rsidRPr="000038A7" w:rsidRDefault="00D853AB" w:rsidP="00331F85">
            <w:pPr>
              <w:keepNext/>
              <w:keepLines/>
              <w:tabs>
                <w:tab w:val="left" w:pos="240"/>
              </w:tabs>
              <w:rPr>
                <w:b/>
                <w:sz w:val="22"/>
                <w:szCs w:val="22"/>
                <w:lang w:val="en-GB"/>
              </w:rPr>
            </w:pPr>
            <w:r w:rsidRPr="000038A7">
              <w:rPr>
                <w:b/>
                <w:sz w:val="22"/>
                <w:szCs w:val="22"/>
                <w:lang w:val="fr-FR"/>
              </w:rPr>
              <w:tab/>
            </w:r>
            <w:r w:rsidRPr="000038A7">
              <w:rPr>
                <w:b/>
                <w:sz w:val="22"/>
                <w:szCs w:val="22"/>
                <w:lang w:val="en-GB"/>
              </w:rPr>
              <w:t xml:space="preserve">Filamentous Haemagglutinin </w:t>
            </w:r>
          </w:p>
          <w:p w14:paraId="64530523" w14:textId="77777777" w:rsidR="00D853AB" w:rsidRPr="000038A7" w:rsidRDefault="00D853AB" w:rsidP="00331F85">
            <w:pPr>
              <w:keepNext/>
              <w:keepLines/>
              <w:tabs>
                <w:tab w:val="left" w:pos="240"/>
              </w:tabs>
              <w:rPr>
                <w:b/>
                <w:sz w:val="22"/>
                <w:szCs w:val="22"/>
                <w:lang w:val="en-GB"/>
              </w:rPr>
            </w:pPr>
            <w:r w:rsidRPr="000038A7">
              <w:rPr>
                <w:b/>
                <w:sz w:val="22"/>
                <w:szCs w:val="22"/>
                <w:lang w:val="en-GB"/>
              </w:rPr>
              <w:tab/>
              <w:t xml:space="preserve">Pertactin </w:t>
            </w:r>
          </w:p>
          <w:p w14:paraId="5FF8FCA9" w14:textId="77777777" w:rsidR="00D853AB" w:rsidRPr="000038A7" w:rsidRDefault="00D853AB" w:rsidP="00331F85">
            <w:pPr>
              <w:keepNext/>
              <w:keepLines/>
              <w:tabs>
                <w:tab w:val="left" w:pos="240"/>
              </w:tabs>
              <w:rPr>
                <w:b/>
                <w:sz w:val="22"/>
                <w:szCs w:val="22"/>
                <w:lang w:val="en-GB"/>
              </w:rPr>
            </w:pPr>
            <w:r w:rsidRPr="000038A7">
              <w:rPr>
                <w:b/>
                <w:sz w:val="22"/>
                <w:szCs w:val="22"/>
                <w:lang w:val="en-GB"/>
              </w:rPr>
              <w:tab/>
              <w:t xml:space="preserve">Fimbriae Types 2 and 3 </w:t>
            </w:r>
          </w:p>
        </w:tc>
        <w:tc>
          <w:tcPr>
            <w:tcW w:w="953" w:type="pct"/>
            <w:tcBorders>
              <w:top w:val="single" w:sz="6" w:space="0" w:color="auto"/>
              <w:left w:val="single" w:sz="6" w:space="0" w:color="auto"/>
              <w:bottom w:val="single" w:sz="4" w:space="0" w:color="auto"/>
              <w:right w:val="single" w:sz="4" w:space="0" w:color="auto"/>
            </w:tcBorders>
          </w:tcPr>
          <w:p w14:paraId="6E01BD47" w14:textId="77777777" w:rsidR="00D853AB" w:rsidRPr="000038A7" w:rsidRDefault="00D853AB" w:rsidP="00331F85">
            <w:pPr>
              <w:keepNext/>
              <w:keepLines/>
              <w:tabs>
                <w:tab w:val="decimal" w:pos="583"/>
              </w:tabs>
              <w:rPr>
                <w:sz w:val="22"/>
                <w:szCs w:val="22"/>
                <w:lang w:val="en-GB"/>
              </w:rPr>
            </w:pPr>
          </w:p>
          <w:p w14:paraId="53C73D7C" w14:textId="77777777" w:rsidR="00D853AB" w:rsidRPr="000038A7" w:rsidRDefault="00D853AB" w:rsidP="00331F85">
            <w:pPr>
              <w:keepNext/>
              <w:keepLines/>
              <w:tabs>
                <w:tab w:val="decimal" w:pos="583"/>
              </w:tabs>
              <w:rPr>
                <w:b/>
                <w:sz w:val="22"/>
                <w:szCs w:val="22"/>
                <w:lang w:val="en-GB"/>
              </w:rPr>
            </w:pPr>
            <w:r w:rsidRPr="000038A7">
              <w:rPr>
                <w:sz w:val="22"/>
                <w:szCs w:val="22"/>
                <w:lang w:val="en-GB"/>
              </w:rPr>
              <w:t>5</w:t>
            </w:r>
            <w:r w:rsidRPr="000038A7">
              <w:rPr>
                <w:sz w:val="22"/>
                <w:szCs w:val="22"/>
                <w:vertAlign w:val="superscript"/>
                <w:lang w:val="en-GB"/>
              </w:rPr>
              <w:t>5</w:t>
            </w:r>
            <w:r w:rsidRPr="000038A7">
              <w:rPr>
                <w:sz w:val="22"/>
                <w:szCs w:val="22"/>
                <w:lang w:val="en-GB"/>
              </w:rPr>
              <w:t xml:space="preserve"> </w:t>
            </w:r>
          </w:p>
        </w:tc>
        <w:tc>
          <w:tcPr>
            <w:tcW w:w="824" w:type="pct"/>
            <w:tcBorders>
              <w:top w:val="single" w:sz="4" w:space="0" w:color="auto"/>
              <w:left w:val="single" w:sz="4" w:space="0" w:color="auto"/>
              <w:bottom w:val="single" w:sz="4" w:space="0" w:color="auto"/>
              <w:right w:val="single" w:sz="4" w:space="0" w:color="auto"/>
            </w:tcBorders>
          </w:tcPr>
          <w:p w14:paraId="1D8E9F15" w14:textId="77777777" w:rsidR="00D853AB" w:rsidRPr="000038A7" w:rsidRDefault="00D853AB" w:rsidP="00331F85">
            <w:pPr>
              <w:jc w:val="center"/>
              <w:rPr>
                <w:sz w:val="22"/>
                <w:szCs w:val="22"/>
                <w:lang w:val="en-GB"/>
              </w:rPr>
            </w:pPr>
          </w:p>
          <w:p w14:paraId="0379A4BA" w14:textId="77777777" w:rsidR="00D853AB" w:rsidRPr="000038A7" w:rsidRDefault="00D853AB" w:rsidP="00331F85">
            <w:pPr>
              <w:jc w:val="center"/>
              <w:rPr>
                <w:sz w:val="22"/>
                <w:szCs w:val="22"/>
                <w:lang w:val="en-GB"/>
              </w:rPr>
            </w:pPr>
            <w:r w:rsidRPr="000038A7">
              <w:rPr>
                <w:sz w:val="22"/>
                <w:szCs w:val="22"/>
                <w:lang w:val="en-GB"/>
              </w:rPr>
              <w:t>99.3%99.3%100%100%</w:t>
            </w:r>
          </w:p>
        </w:tc>
        <w:tc>
          <w:tcPr>
            <w:tcW w:w="824" w:type="pct"/>
            <w:tcBorders>
              <w:top w:val="single" w:sz="4" w:space="0" w:color="auto"/>
              <w:left w:val="single" w:sz="4" w:space="0" w:color="auto"/>
              <w:bottom w:val="single" w:sz="4" w:space="0" w:color="auto"/>
              <w:right w:val="single" w:sz="4" w:space="0" w:color="auto"/>
            </w:tcBorders>
          </w:tcPr>
          <w:p w14:paraId="6CB11A9B" w14:textId="77777777" w:rsidR="00D853AB" w:rsidRPr="000038A7" w:rsidRDefault="00D853AB" w:rsidP="00331F85">
            <w:pPr>
              <w:jc w:val="center"/>
              <w:rPr>
                <w:sz w:val="22"/>
                <w:szCs w:val="22"/>
                <w:lang w:val="en-GB"/>
              </w:rPr>
            </w:pPr>
          </w:p>
          <w:p w14:paraId="61569E7F" w14:textId="77777777" w:rsidR="00D853AB" w:rsidRPr="000038A7" w:rsidRDefault="00D853AB" w:rsidP="00331F85">
            <w:pPr>
              <w:jc w:val="center"/>
              <w:rPr>
                <w:sz w:val="22"/>
                <w:szCs w:val="22"/>
                <w:lang w:val="en-GB"/>
              </w:rPr>
            </w:pPr>
            <w:r w:rsidRPr="000038A7">
              <w:rPr>
                <w:sz w:val="22"/>
                <w:szCs w:val="22"/>
                <w:lang w:val="en-GB"/>
              </w:rPr>
              <w:t>91.2%</w:t>
            </w:r>
          </w:p>
          <w:p w14:paraId="530B6772" w14:textId="77777777" w:rsidR="00D853AB" w:rsidRPr="000038A7" w:rsidRDefault="00D853AB" w:rsidP="00331F85">
            <w:pPr>
              <w:jc w:val="center"/>
              <w:rPr>
                <w:sz w:val="22"/>
                <w:szCs w:val="22"/>
                <w:lang w:val="en-GB"/>
              </w:rPr>
            </w:pPr>
            <w:r w:rsidRPr="000038A7">
              <w:rPr>
                <w:sz w:val="22"/>
                <w:szCs w:val="22"/>
                <w:lang w:val="en-GB"/>
              </w:rPr>
              <w:t>99.1%</w:t>
            </w:r>
          </w:p>
          <w:p w14:paraId="778C5D2C" w14:textId="77777777" w:rsidR="00D853AB" w:rsidRPr="000038A7" w:rsidRDefault="00D853AB" w:rsidP="00331F85">
            <w:pPr>
              <w:jc w:val="center"/>
              <w:rPr>
                <w:sz w:val="22"/>
                <w:szCs w:val="22"/>
                <w:lang w:val="en-GB"/>
              </w:rPr>
            </w:pPr>
            <w:r w:rsidRPr="000038A7">
              <w:rPr>
                <w:sz w:val="22"/>
                <w:szCs w:val="22"/>
                <w:lang w:val="en-GB"/>
              </w:rPr>
              <w:t>100%</w:t>
            </w:r>
          </w:p>
          <w:p w14:paraId="5EDF5C3D" w14:textId="77777777" w:rsidR="00D853AB" w:rsidRPr="000038A7" w:rsidRDefault="00D853AB" w:rsidP="00331F85">
            <w:pPr>
              <w:jc w:val="center"/>
              <w:rPr>
                <w:sz w:val="22"/>
                <w:szCs w:val="22"/>
                <w:lang w:val="en-GB"/>
              </w:rPr>
            </w:pPr>
            <w:r w:rsidRPr="000038A7">
              <w:rPr>
                <w:sz w:val="22"/>
                <w:szCs w:val="22"/>
                <w:lang w:val="en-GB"/>
              </w:rPr>
              <w:t>99.5%</w:t>
            </w:r>
          </w:p>
        </w:tc>
        <w:tc>
          <w:tcPr>
            <w:tcW w:w="824" w:type="pct"/>
            <w:tcBorders>
              <w:top w:val="single" w:sz="4" w:space="0" w:color="auto"/>
              <w:left w:val="single" w:sz="4" w:space="0" w:color="auto"/>
              <w:bottom w:val="single" w:sz="4" w:space="0" w:color="auto"/>
              <w:right w:val="single" w:sz="4" w:space="0" w:color="auto"/>
            </w:tcBorders>
          </w:tcPr>
          <w:p w14:paraId="39E288B8" w14:textId="77777777" w:rsidR="00D853AB" w:rsidRPr="000038A7" w:rsidRDefault="00D853AB" w:rsidP="00331F85">
            <w:pPr>
              <w:jc w:val="center"/>
              <w:rPr>
                <w:sz w:val="22"/>
                <w:szCs w:val="22"/>
                <w:lang w:val="en-GB"/>
              </w:rPr>
            </w:pPr>
          </w:p>
          <w:p w14:paraId="42A3DEA6" w14:textId="77777777" w:rsidR="00D853AB" w:rsidRPr="000038A7" w:rsidRDefault="00D853AB" w:rsidP="00331F85">
            <w:pPr>
              <w:jc w:val="center"/>
              <w:rPr>
                <w:sz w:val="22"/>
                <w:szCs w:val="22"/>
                <w:lang w:val="en-GB"/>
              </w:rPr>
            </w:pPr>
            <w:r w:rsidRPr="000038A7">
              <w:rPr>
                <w:sz w:val="22"/>
                <w:szCs w:val="22"/>
                <w:lang w:val="en-GB"/>
              </w:rPr>
              <w:t>99.7%99.9%99.6%99.8%</w:t>
            </w:r>
          </w:p>
        </w:tc>
      </w:tr>
      <w:tr w:rsidR="00D853AB" w:rsidRPr="000038A7" w14:paraId="25BCC0E2" w14:textId="77777777" w:rsidTr="005420A5">
        <w:trPr>
          <w:trHeight w:val="212"/>
        </w:trPr>
        <w:tc>
          <w:tcPr>
            <w:tcW w:w="1576" w:type="pct"/>
            <w:tcBorders>
              <w:top w:val="single" w:sz="4" w:space="0" w:color="auto"/>
              <w:left w:val="single" w:sz="4" w:space="0" w:color="auto"/>
              <w:bottom w:val="nil"/>
              <w:right w:val="single" w:sz="4" w:space="0" w:color="auto"/>
            </w:tcBorders>
            <w:hideMark/>
          </w:tcPr>
          <w:p w14:paraId="00A1C0BD" w14:textId="77777777" w:rsidR="00D853AB" w:rsidRPr="000038A7" w:rsidRDefault="00D853AB" w:rsidP="00331F85">
            <w:pPr>
              <w:keepNext/>
              <w:keepLines/>
              <w:rPr>
                <w:b/>
                <w:sz w:val="22"/>
                <w:szCs w:val="22"/>
                <w:lang w:val="en-GB"/>
              </w:rPr>
            </w:pPr>
            <w:r w:rsidRPr="000038A7">
              <w:rPr>
                <w:b/>
                <w:sz w:val="22"/>
                <w:szCs w:val="22"/>
                <w:lang w:val="en-GB"/>
              </w:rPr>
              <w:t xml:space="preserve">IPV </w:t>
            </w:r>
            <w:r w:rsidRPr="000038A7">
              <w:rPr>
                <w:bCs/>
                <w:sz w:val="22"/>
                <w:szCs w:val="22"/>
                <w:lang w:val="en-GB"/>
              </w:rPr>
              <w:t>(SN, titre)</w:t>
            </w:r>
          </w:p>
        </w:tc>
        <w:tc>
          <w:tcPr>
            <w:tcW w:w="953" w:type="pct"/>
            <w:tcBorders>
              <w:top w:val="single" w:sz="4" w:space="0" w:color="auto"/>
              <w:left w:val="single" w:sz="4" w:space="0" w:color="auto"/>
              <w:bottom w:val="nil"/>
              <w:right w:val="nil"/>
            </w:tcBorders>
          </w:tcPr>
          <w:p w14:paraId="586BC5FC" w14:textId="77777777" w:rsidR="00D853AB" w:rsidRPr="000038A7" w:rsidRDefault="00D853AB" w:rsidP="00331F85">
            <w:pPr>
              <w:keepNext/>
              <w:keepLines/>
              <w:tabs>
                <w:tab w:val="decimal" w:pos="583"/>
              </w:tabs>
              <w:rPr>
                <w:sz w:val="22"/>
                <w:szCs w:val="22"/>
                <w:lang w:val="en-GB"/>
              </w:rPr>
            </w:pPr>
          </w:p>
        </w:tc>
        <w:tc>
          <w:tcPr>
            <w:tcW w:w="824" w:type="pct"/>
            <w:tcBorders>
              <w:top w:val="single" w:sz="4" w:space="0" w:color="auto"/>
              <w:left w:val="nil"/>
              <w:bottom w:val="nil"/>
              <w:right w:val="nil"/>
            </w:tcBorders>
          </w:tcPr>
          <w:p w14:paraId="39973EA6" w14:textId="77777777" w:rsidR="00D853AB" w:rsidRPr="000038A7" w:rsidRDefault="00D853AB" w:rsidP="00331F85">
            <w:pPr>
              <w:jc w:val="center"/>
              <w:rPr>
                <w:sz w:val="22"/>
                <w:szCs w:val="22"/>
                <w:lang w:val="en-GB"/>
              </w:rPr>
            </w:pPr>
          </w:p>
        </w:tc>
        <w:tc>
          <w:tcPr>
            <w:tcW w:w="824" w:type="pct"/>
            <w:tcBorders>
              <w:top w:val="single" w:sz="4" w:space="0" w:color="auto"/>
              <w:left w:val="nil"/>
              <w:bottom w:val="nil"/>
              <w:right w:val="nil"/>
            </w:tcBorders>
          </w:tcPr>
          <w:p w14:paraId="7A4B2D09" w14:textId="77777777" w:rsidR="00D853AB" w:rsidRPr="000038A7" w:rsidRDefault="00D853AB" w:rsidP="00331F85">
            <w:pPr>
              <w:jc w:val="center"/>
              <w:rPr>
                <w:sz w:val="22"/>
                <w:szCs w:val="22"/>
                <w:lang w:val="en-GB"/>
              </w:rPr>
            </w:pPr>
          </w:p>
        </w:tc>
        <w:tc>
          <w:tcPr>
            <w:tcW w:w="824" w:type="pct"/>
            <w:tcBorders>
              <w:top w:val="single" w:sz="4" w:space="0" w:color="auto"/>
              <w:left w:val="nil"/>
              <w:bottom w:val="nil"/>
              <w:right w:val="nil"/>
            </w:tcBorders>
          </w:tcPr>
          <w:p w14:paraId="310B9E18" w14:textId="77777777" w:rsidR="00D853AB" w:rsidRPr="000038A7" w:rsidRDefault="00D853AB" w:rsidP="00331F85">
            <w:pPr>
              <w:jc w:val="center"/>
              <w:rPr>
                <w:sz w:val="22"/>
                <w:szCs w:val="22"/>
                <w:lang w:val="en-GB"/>
              </w:rPr>
            </w:pPr>
          </w:p>
        </w:tc>
      </w:tr>
      <w:tr w:rsidR="00D853AB" w:rsidRPr="000038A7" w14:paraId="0CE85146" w14:textId="77777777" w:rsidTr="005420A5">
        <w:trPr>
          <w:trHeight w:val="827"/>
        </w:trPr>
        <w:tc>
          <w:tcPr>
            <w:tcW w:w="1576" w:type="pct"/>
            <w:tcBorders>
              <w:top w:val="nil"/>
              <w:left w:val="single" w:sz="6" w:space="0" w:color="auto"/>
              <w:bottom w:val="single" w:sz="6" w:space="0" w:color="auto"/>
              <w:right w:val="single" w:sz="6" w:space="0" w:color="auto"/>
            </w:tcBorders>
            <w:hideMark/>
          </w:tcPr>
          <w:p w14:paraId="5540607D" w14:textId="77777777" w:rsidR="00D853AB" w:rsidRPr="000038A7" w:rsidRDefault="00D853AB" w:rsidP="00331F85">
            <w:pPr>
              <w:keepNext/>
              <w:keepLines/>
              <w:rPr>
                <w:b/>
                <w:sz w:val="22"/>
                <w:szCs w:val="22"/>
                <w:lang w:val="en-GB"/>
              </w:rPr>
            </w:pPr>
            <w:r w:rsidRPr="000038A7">
              <w:rPr>
                <w:b/>
                <w:sz w:val="22"/>
                <w:szCs w:val="22"/>
                <w:lang w:val="en-GB"/>
              </w:rPr>
              <w:t>Type 1</w:t>
            </w:r>
          </w:p>
          <w:p w14:paraId="21C272B4" w14:textId="77777777" w:rsidR="00D853AB" w:rsidRPr="000038A7" w:rsidRDefault="00D853AB" w:rsidP="00331F85">
            <w:pPr>
              <w:keepNext/>
              <w:keepLines/>
              <w:rPr>
                <w:b/>
                <w:sz w:val="22"/>
                <w:szCs w:val="22"/>
                <w:lang w:val="en-GB"/>
              </w:rPr>
            </w:pPr>
            <w:r w:rsidRPr="000038A7">
              <w:rPr>
                <w:b/>
                <w:sz w:val="22"/>
                <w:szCs w:val="22"/>
                <w:lang w:val="en-GB"/>
              </w:rPr>
              <w:t xml:space="preserve">Type 2 </w:t>
            </w:r>
          </w:p>
          <w:p w14:paraId="3BB72E52" w14:textId="77777777" w:rsidR="00D853AB" w:rsidRPr="000038A7" w:rsidRDefault="00D853AB" w:rsidP="00331F85">
            <w:pPr>
              <w:keepNext/>
              <w:keepLines/>
              <w:rPr>
                <w:b/>
                <w:sz w:val="22"/>
                <w:szCs w:val="22"/>
                <w:lang w:val="en-GB"/>
              </w:rPr>
            </w:pPr>
            <w:r w:rsidRPr="000038A7">
              <w:rPr>
                <w:b/>
                <w:sz w:val="22"/>
                <w:szCs w:val="22"/>
                <w:lang w:val="en-GB"/>
              </w:rPr>
              <w:t>Type 3</w:t>
            </w:r>
          </w:p>
        </w:tc>
        <w:tc>
          <w:tcPr>
            <w:tcW w:w="953" w:type="pct"/>
            <w:tcBorders>
              <w:top w:val="nil"/>
              <w:left w:val="single" w:sz="6" w:space="0" w:color="auto"/>
              <w:bottom w:val="single" w:sz="6" w:space="0" w:color="auto"/>
              <w:right w:val="single" w:sz="6" w:space="0" w:color="auto"/>
            </w:tcBorders>
          </w:tcPr>
          <w:p w14:paraId="7D78CBD6" w14:textId="77777777" w:rsidR="00D853AB" w:rsidRPr="000038A7" w:rsidRDefault="00D853AB" w:rsidP="00331F85">
            <w:pPr>
              <w:keepNext/>
              <w:keepLines/>
              <w:tabs>
                <w:tab w:val="decimal" w:pos="583"/>
              </w:tabs>
              <w:rPr>
                <w:sz w:val="22"/>
                <w:szCs w:val="22"/>
                <w:lang w:val="en-GB"/>
              </w:rPr>
            </w:pPr>
          </w:p>
          <w:p w14:paraId="1E30DEF5" w14:textId="77777777" w:rsidR="00D853AB" w:rsidRPr="000038A7" w:rsidRDefault="00D853AB" w:rsidP="00331F85">
            <w:pPr>
              <w:keepNext/>
              <w:keepLines/>
              <w:tabs>
                <w:tab w:val="decimal" w:pos="583"/>
              </w:tabs>
              <w:rPr>
                <w:sz w:val="22"/>
                <w:szCs w:val="22"/>
                <w:lang w:val="en-GB"/>
              </w:rPr>
            </w:pPr>
            <w:r w:rsidRPr="000038A7">
              <w:rPr>
                <w:sz w:val="22"/>
                <w:szCs w:val="22"/>
                <w:lang w:val="en-GB"/>
              </w:rPr>
              <w:t>≥ 1:8</w:t>
            </w:r>
          </w:p>
        </w:tc>
        <w:tc>
          <w:tcPr>
            <w:tcW w:w="824" w:type="pct"/>
            <w:tcBorders>
              <w:top w:val="nil"/>
              <w:left w:val="single" w:sz="6" w:space="0" w:color="auto"/>
              <w:bottom w:val="single" w:sz="6" w:space="0" w:color="auto"/>
              <w:right w:val="single" w:sz="6" w:space="0" w:color="auto"/>
            </w:tcBorders>
            <w:hideMark/>
          </w:tcPr>
          <w:p w14:paraId="53E62D8D" w14:textId="77777777" w:rsidR="00D853AB" w:rsidRPr="000038A7" w:rsidRDefault="00D853AB" w:rsidP="00331F85">
            <w:pPr>
              <w:jc w:val="center"/>
              <w:rPr>
                <w:sz w:val="22"/>
                <w:szCs w:val="22"/>
                <w:lang w:val="en-GB"/>
              </w:rPr>
            </w:pPr>
            <w:r w:rsidRPr="000038A7">
              <w:rPr>
                <w:sz w:val="22"/>
                <w:szCs w:val="22"/>
                <w:lang w:val="en-GB"/>
              </w:rPr>
              <w:t>100%</w:t>
            </w:r>
          </w:p>
          <w:p w14:paraId="406E5E2D" w14:textId="77777777" w:rsidR="00D853AB" w:rsidRPr="000038A7" w:rsidRDefault="00D853AB" w:rsidP="00331F85">
            <w:pPr>
              <w:jc w:val="center"/>
              <w:rPr>
                <w:sz w:val="22"/>
                <w:szCs w:val="22"/>
                <w:lang w:val="en-GB"/>
              </w:rPr>
            </w:pPr>
            <w:r w:rsidRPr="000038A7">
              <w:rPr>
                <w:sz w:val="22"/>
                <w:szCs w:val="22"/>
                <w:lang w:val="en-GB"/>
              </w:rPr>
              <w:t>100%</w:t>
            </w:r>
          </w:p>
          <w:p w14:paraId="651FCA06" w14:textId="77777777" w:rsidR="00D853AB" w:rsidRPr="000038A7" w:rsidRDefault="00D853AB" w:rsidP="00331F85">
            <w:pPr>
              <w:jc w:val="center"/>
              <w:rPr>
                <w:sz w:val="22"/>
                <w:szCs w:val="22"/>
                <w:lang w:val="en-GB"/>
              </w:rPr>
            </w:pPr>
            <w:r w:rsidRPr="000038A7">
              <w:rPr>
                <w:sz w:val="22"/>
                <w:szCs w:val="22"/>
                <w:lang w:val="en-GB"/>
              </w:rPr>
              <w:t>100%</w:t>
            </w:r>
          </w:p>
        </w:tc>
        <w:tc>
          <w:tcPr>
            <w:tcW w:w="824" w:type="pct"/>
            <w:tcBorders>
              <w:top w:val="nil"/>
              <w:left w:val="single" w:sz="6" w:space="0" w:color="auto"/>
              <w:bottom w:val="single" w:sz="6" w:space="0" w:color="auto"/>
              <w:right w:val="single" w:sz="6" w:space="0" w:color="auto"/>
            </w:tcBorders>
            <w:hideMark/>
          </w:tcPr>
          <w:p w14:paraId="0F9634AE" w14:textId="77777777" w:rsidR="00D853AB" w:rsidRPr="000038A7" w:rsidRDefault="00D853AB" w:rsidP="00331F85">
            <w:pPr>
              <w:jc w:val="center"/>
              <w:rPr>
                <w:sz w:val="22"/>
                <w:szCs w:val="22"/>
                <w:lang w:val="en-GB"/>
              </w:rPr>
            </w:pPr>
            <w:r w:rsidRPr="000038A7">
              <w:rPr>
                <w:sz w:val="22"/>
                <w:szCs w:val="22"/>
                <w:lang w:val="en-GB"/>
              </w:rPr>
              <w:t>100%</w:t>
            </w:r>
          </w:p>
          <w:p w14:paraId="106FAB4A" w14:textId="77777777" w:rsidR="00D853AB" w:rsidRPr="000038A7" w:rsidRDefault="00D853AB" w:rsidP="00331F85">
            <w:pPr>
              <w:jc w:val="center"/>
              <w:rPr>
                <w:sz w:val="22"/>
                <w:szCs w:val="22"/>
                <w:lang w:val="en-GB"/>
              </w:rPr>
            </w:pPr>
            <w:r w:rsidRPr="000038A7">
              <w:rPr>
                <w:sz w:val="22"/>
                <w:szCs w:val="22"/>
                <w:lang w:val="en-GB"/>
              </w:rPr>
              <w:t>100%</w:t>
            </w:r>
          </w:p>
          <w:p w14:paraId="270AF294" w14:textId="77777777" w:rsidR="00D853AB" w:rsidRPr="000038A7" w:rsidRDefault="00D853AB" w:rsidP="00331F85">
            <w:pPr>
              <w:jc w:val="center"/>
              <w:rPr>
                <w:sz w:val="22"/>
                <w:szCs w:val="22"/>
                <w:lang w:val="en-GB"/>
              </w:rPr>
            </w:pPr>
            <w:r w:rsidRPr="000038A7">
              <w:rPr>
                <w:sz w:val="22"/>
                <w:szCs w:val="22"/>
                <w:lang w:val="en-GB"/>
              </w:rPr>
              <w:t>100%</w:t>
            </w:r>
          </w:p>
        </w:tc>
        <w:tc>
          <w:tcPr>
            <w:tcW w:w="824" w:type="pct"/>
            <w:tcBorders>
              <w:top w:val="nil"/>
              <w:left w:val="single" w:sz="6" w:space="0" w:color="auto"/>
              <w:bottom w:val="single" w:sz="6" w:space="0" w:color="auto"/>
              <w:right w:val="single" w:sz="6" w:space="0" w:color="auto"/>
            </w:tcBorders>
            <w:hideMark/>
          </w:tcPr>
          <w:p w14:paraId="6A08D02F" w14:textId="77777777" w:rsidR="00D853AB" w:rsidRPr="000038A7" w:rsidRDefault="00D853AB" w:rsidP="00331F85">
            <w:pPr>
              <w:jc w:val="center"/>
              <w:rPr>
                <w:sz w:val="22"/>
                <w:szCs w:val="22"/>
                <w:lang w:val="en-GB"/>
              </w:rPr>
            </w:pPr>
            <w:r w:rsidRPr="000038A7">
              <w:rPr>
                <w:sz w:val="22"/>
                <w:szCs w:val="22"/>
                <w:lang w:val="en-GB"/>
              </w:rPr>
              <w:t>99.9%</w:t>
            </w:r>
          </w:p>
          <w:p w14:paraId="6F2792A8" w14:textId="77777777" w:rsidR="00D853AB" w:rsidRPr="000038A7" w:rsidRDefault="00D853AB" w:rsidP="00331F85">
            <w:pPr>
              <w:jc w:val="center"/>
              <w:rPr>
                <w:sz w:val="22"/>
                <w:szCs w:val="22"/>
                <w:lang w:val="en-GB"/>
              </w:rPr>
            </w:pPr>
            <w:r w:rsidRPr="000038A7">
              <w:rPr>
                <w:sz w:val="22"/>
                <w:szCs w:val="22"/>
                <w:lang w:val="en-GB"/>
              </w:rPr>
              <w:t>100%</w:t>
            </w:r>
          </w:p>
          <w:p w14:paraId="5C323356" w14:textId="77777777" w:rsidR="00D853AB" w:rsidRPr="000038A7" w:rsidRDefault="00D853AB" w:rsidP="00331F85">
            <w:pPr>
              <w:jc w:val="center"/>
              <w:rPr>
                <w:sz w:val="22"/>
                <w:szCs w:val="22"/>
                <w:lang w:val="en-GB"/>
              </w:rPr>
            </w:pPr>
            <w:r w:rsidRPr="000038A7">
              <w:rPr>
                <w:sz w:val="22"/>
                <w:szCs w:val="22"/>
                <w:lang w:val="en-GB"/>
              </w:rPr>
              <w:t>100%</w:t>
            </w:r>
          </w:p>
        </w:tc>
      </w:tr>
    </w:tbl>
    <w:p w14:paraId="4782948A" w14:textId="77777777" w:rsidR="00D853AB" w:rsidRPr="000038A7" w:rsidRDefault="00D853AB" w:rsidP="00331F85">
      <w:pPr>
        <w:tabs>
          <w:tab w:val="left" w:pos="567"/>
        </w:tabs>
        <w:rPr>
          <w:sz w:val="20"/>
          <w:lang w:val="en-GB" w:eastAsia="en-US"/>
        </w:rPr>
      </w:pPr>
      <w:r w:rsidRPr="000038A7">
        <w:rPr>
          <w:sz w:val="20"/>
          <w:lang w:val="en-GB"/>
        </w:rPr>
        <w:t xml:space="preserve">ELISA: Enzyme Linked Immunoassay; EU: ELISA units; IPV: inactivated polio vaccine; IU: international units; n: number of participants who received REPEVAX; SN: </w:t>
      </w:r>
      <w:proofErr w:type="spellStart"/>
      <w:r w:rsidRPr="000038A7">
        <w:rPr>
          <w:sz w:val="20"/>
          <w:lang w:val="en-GB"/>
        </w:rPr>
        <w:t>seroneutralisation</w:t>
      </w:r>
      <w:proofErr w:type="spellEnd"/>
      <w:r w:rsidRPr="000038A7">
        <w:rPr>
          <w:sz w:val="20"/>
          <w:lang w:val="en-GB"/>
        </w:rPr>
        <w:t>.</w:t>
      </w:r>
    </w:p>
    <w:p w14:paraId="77894F1E" w14:textId="3924BF2E" w:rsidR="00D853AB" w:rsidRPr="000038A7" w:rsidRDefault="00D853AB" w:rsidP="00331F85">
      <w:pPr>
        <w:ind w:left="284" w:hanging="284"/>
        <w:rPr>
          <w:sz w:val="20"/>
          <w:lang w:val="en-GB"/>
        </w:rPr>
      </w:pPr>
      <w:r w:rsidRPr="000038A7">
        <w:rPr>
          <w:sz w:val="20"/>
          <w:vertAlign w:val="superscript"/>
          <w:lang w:val="en-GB"/>
        </w:rPr>
        <w:t>1</w:t>
      </w:r>
      <w:r w:rsidRPr="000038A7">
        <w:rPr>
          <w:sz w:val="20"/>
          <w:lang w:val="en-GB"/>
        </w:rPr>
        <w:t xml:space="preserve"> </w:t>
      </w:r>
      <w:r w:rsidR="005420A5" w:rsidRPr="000038A7">
        <w:rPr>
          <w:sz w:val="20"/>
          <w:lang w:val="en-GB"/>
        </w:rPr>
        <w:tab/>
      </w:r>
      <w:r w:rsidRPr="000038A7">
        <w:rPr>
          <w:sz w:val="20"/>
          <w:lang w:val="en-GB"/>
        </w:rPr>
        <w:t xml:space="preserve">Studies U01-Td5I-303 and U02-Td5I-402 were conducted in UK with children previously primed with </w:t>
      </w:r>
      <w:proofErr w:type="spellStart"/>
      <w:r w:rsidRPr="000038A7">
        <w:rPr>
          <w:sz w:val="20"/>
          <w:lang w:val="en-GB"/>
        </w:rPr>
        <w:t>DTwP</w:t>
      </w:r>
      <w:proofErr w:type="spellEnd"/>
      <w:r w:rsidRPr="000038A7">
        <w:rPr>
          <w:sz w:val="20"/>
          <w:lang w:val="en-GB"/>
        </w:rPr>
        <w:t xml:space="preserve"> and OPV at 2, 3 and 4 months of age. U01-Td5I-303 enrolled children 3.5-5 years of age. U02-Td5I-402 enrolled children 3-3.5 years of age.</w:t>
      </w:r>
    </w:p>
    <w:p w14:paraId="4543B3D5" w14:textId="77777777" w:rsidR="005740FB" w:rsidRPr="000038A7" w:rsidRDefault="00D853AB" w:rsidP="00331F85">
      <w:pPr>
        <w:ind w:left="284" w:hanging="284"/>
        <w:rPr>
          <w:sz w:val="20"/>
          <w:lang w:val="en-GB"/>
        </w:rPr>
      </w:pPr>
      <w:r w:rsidRPr="000038A7">
        <w:rPr>
          <w:sz w:val="20"/>
          <w:vertAlign w:val="superscript"/>
          <w:lang w:val="en-GB"/>
        </w:rPr>
        <w:t>2</w:t>
      </w:r>
      <w:r w:rsidRPr="000038A7">
        <w:rPr>
          <w:sz w:val="20"/>
          <w:lang w:val="en-GB"/>
        </w:rPr>
        <w:t xml:space="preserve"> </w:t>
      </w:r>
      <w:r w:rsidR="005420A5" w:rsidRPr="000038A7">
        <w:rPr>
          <w:sz w:val="20"/>
          <w:lang w:val="en-GB"/>
        </w:rPr>
        <w:tab/>
      </w:r>
      <w:r w:rsidRPr="000038A7">
        <w:rPr>
          <w:sz w:val="20"/>
          <w:lang w:val="en-GB"/>
        </w:rPr>
        <w:t>The Sweden 5.5 study was conducted in Swedish with children 5-6 years of age previously primed with DTaP and IPV at 3, 5, and 12 months of age.</w:t>
      </w:r>
    </w:p>
    <w:p w14:paraId="69AD1BB2" w14:textId="6BA43C90" w:rsidR="00D853AB" w:rsidRPr="000038A7" w:rsidRDefault="00D853AB" w:rsidP="00331F85">
      <w:pPr>
        <w:ind w:left="284" w:hanging="284"/>
        <w:rPr>
          <w:sz w:val="20"/>
          <w:lang w:val="en-GB"/>
        </w:rPr>
      </w:pPr>
      <w:r w:rsidRPr="000038A7">
        <w:rPr>
          <w:sz w:val="20"/>
          <w:vertAlign w:val="superscript"/>
          <w:lang w:val="en-GB"/>
        </w:rPr>
        <w:t>3</w:t>
      </w:r>
      <w:r w:rsidRPr="000038A7">
        <w:rPr>
          <w:sz w:val="20"/>
          <w:lang w:val="en-GB"/>
        </w:rPr>
        <w:t xml:space="preserve"> </w:t>
      </w:r>
      <w:r w:rsidR="005740FB" w:rsidRPr="000038A7">
        <w:rPr>
          <w:sz w:val="20"/>
          <w:lang w:val="en-GB"/>
        </w:rPr>
        <w:tab/>
      </w:r>
      <w:r w:rsidRPr="000038A7">
        <w:rPr>
          <w:sz w:val="20"/>
          <w:lang w:val="en-GB"/>
        </w:rPr>
        <w:t xml:space="preserve">Studies TD9707 and TD9809 were conducted in Canada. TD9707 enrolled adolescents 11-17 years of age and adults 18-64 years of age. Study TD9809 enrolled adolescents 11-14 years of age.  </w:t>
      </w:r>
    </w:p>
    <w:p w14:paraId="310C67C9" w14:textId="01E78F65" w:rsidR="00D853AB" w:rsidRPr="000038A7" w:rsidRDefault="00D853AB" w:rsidP="00331F85">
      <w:pPr>
        <w:ind w:left="284" w:hanging="284"/>
        <w:rPr>
          <w:sz w:val="20"/>
          <w:lang w:val="en-GB"/>
        </w:rPr>
      </w:pPr>
      <w:r w:rsidRPr="000038A7">
        <w:rPr>
          <w:sz w:val="20"/>
          <w:vertAlign w:val="superscript"/>
          <w:lang w:val="en-GB"/>
        </w:rPr>
        <w:t>4</w:t>
      </w:r>
      <w:r w:rsidR="005740FB" w:rsidRPr="000038A7">
        <w:rPr>
          <w:sz w:val="20"/>
          <w:vertAlign w:val="superscript"/>
          <w:lang w:val="en-GB"/>
        </w:rPr>
        <w:t>.</w:t>
      </w:r>
      <w:r w:rsidRPr="000038A7">
        <w:rPr>
          <w:sz w:val="20"/>
          <w:vertAlign w:val="superscript"/>
          <w:lang w:val="en-GB"/>
        </w:rPr>
        <w:t xml:space="preserve"> </w:t>
      </w:r>
      <w:r w:rsidR="005420A5" w:rsidRPr="000038A7">
        <w:rPr>
          <w:sz w:val="20"/>
          <w:vertAlign w:val="superscript"/>
          <w:lang w:val="en-GB"/>
        </w:rPr>
        <w:tab/>
      </w:r>
      <w:r w:rsidRPr="000038A7">
        <w:rPr>
          <w:sz w:val="20"/>
          <w:lang w:val="en-GB"/>
        </w:rPr>
        <w:t>Tetanus units differed by the testing lab. Results were in IU/mL for</w:t>
      </w:r>
      <w:r w:rsidRPr="000038A7">
        <w:rPr>
          <w:bCs/>
          <w:sz w:val="20"/>
          <w:lang w:val="en-GB"/>
        </w:rPr>
        <w:t xml:space="preserve"> the Sweden 5.5 study</w:t>
      </w:r>
      <w:r w:rsidRPr="000038A7">
        <w:rPr>
          <w:sz w:val="20"/>
          <w:lang w:val="en-GB"/>
        </w:rPr>
        <w:t xml:space="preserve"> and in EU/mL for the other studies.</w:t>
      </w:r>
    </w:p>
    <w:p w14:paraId="5EFFD97B" w14:textId="3D0AB71D" w:rsidR="00D853AB" w:rsidRPr="000038A7" w:rsidRDefault="00D853AB" w:rsidP="00331F85">
      <w:pPr>
        <w:ind w:left="284" w:hanging="284"/>
        <w:rPr>
          <w:sz w:val="20"/>
          <w:lang w:val="en-GB"/>
        </w:rPr>
      </w:pPr>
      <w:r w:rsidRPr="000038A7">
        <w:rPr>
          <w:sz w:val="20"/>
          <w:vertAlign w:val="superscript"/>
          <w:lang w:val="en-GB"/>
        </w:rPr>
        <w:t>5</w:t>
      </w:r>
      <w:r w:rsidR="005740FB" w:rsidRPr="000038A7">
        <w:rPr>
          <w:sz w:val="20"/>
          <w:vertAlign w:val="superscript"/>
          <w:lang w:val="en-GB"/>
        </w:rPr>
        <w:t>.</w:t>
      </w:r>
      <w:r w:rsidR="005420A5" w:rsidRPr="000038A7">
        <w:rPr>
          <w:sz w:val="20"/>
          <w:lang w:val="en-GB"/>
        </w:rPr>
        <w:tab/>
      </w:r>
      <w:r w:rsidRPr="000038A7">
        <w:rPr>
          <w:sz w:val="20"/>
          <w:lang w:val="en-GB"/>
        </w:rPr>
        <w:t xml:space="preserve">Antibody levels of ≥5 EU/mL were postulated as possible surrogate markers for protection against </w:t>
      </w:r>
      <w:r w:rsidRPr="000038A7">
        <w:rPr>
          <w:sz w:val="20"/>
          <w:lang w:val="en-US"/>
        </w:rPr>
        <w:t xml:space="preserve">pertussis by </w:t>
      </w:r>
      <w:proofErr w:type="spellStart"/>
      <w:r w:rsidRPr="000038A7">
        <w:rPr>
          <w:sz w:val="20"/>
          <w:lang w:val="en-US"/>
        </w:rPr>
        <w:t>Storsaeter</w:t>
      </w:r>
      <w:proofErr w:type="spellEnd"/>
      <w:r w:rsidRPr="000038A7">
        <w:rPr>
          <w:sz w:val="20"/>
          <w:lang w:val="en-US"/>
        </w:rPr>
        <w:t xml:space="preserve"> J et al. </w:t>
      </w:r>
      <w:r w:rsidRPr="000038A7">
        <w:rPr>
          <w:sz w:val="20"/>
          <w:lang w:val="en-GB"/>
        </w:rPr>
        <w:t xml:space="preserve">Vaccine </w:t>
      </w:r>
      <w:proofErr w:type="gramStart"/>
      <w:r w:rsidRPr="000038A7">
        <w:rPr>
          <w:sz w:val="20"/>
          <w:lang w:val="en-GB"/>
        </w:rPr>
        <w:t>1998;16:1907</w:t>
      </w:r>
      <w:proofErr w:type="gramEnd"/>
      <w:r w:rsidRPr="000038A7">
        <w:rPr>
          <w:sz w:val="20"/>
          <w:lang w:val="en-GB"/>
        </w:rPr>
        <w:t>-16.</w:t>
      </w:r>
    </w:p>
    <w:p w14:paraId="18472099" w14:textId="77777777" w:rsidR="00D853AB" w:rsidRPr="00B108A6" w:rsidRDefault="00D853AB" w:rsidP="00331F85">
      <w:pPr>
        <w:rPr>
          <w:sz w:val="24"/>
          <w:szCs w:val="24"/>
          <w:highlight w:val="lightGray"/>
          <w:lang w:val="en-GB"/>
        </w:rPr>
      </w:pPr>
    </w:p>
    <w:p w14:paraId="7BBA4A0C" w14:textId="659B7951" w:rsidR="00D853AB" w:rsidRPr="00B108A6" w:rsidRDefault="00D853AB" w:rsidP="00331F85">
      <w:pPr>
        <w:ind w:left="851"/>
        <w:rPr>
          <w:sz w:val="24"/>
          <w:szCs w:val="24"/>
          <w:lang w:val="en-GB"/>
        </w:rPr>
      </w:pPr>
      <w:r w:rsidRPr="00B108A6">
        <w:rPr>
          <w:sz w:val="24"/>
          <w:szCs w:val="24"/>
          <w:lang w:val="en-GB"/>
        </w:rPr>
        <w:t xml:space="preserve">The use of </w:t>
      </w:r>
      <w:proofErr w:type="spellStart"/>
      <w:r w:rsidR="000038A7" w:rsidRPr="00B108A6">
        <w:rPr>
          <w:sz w:val="24"/>
          <w:szCs w:val="24"/>
          <w:lang w:val="en-GB"/>
        </w:rPr>
        <w:t>R</w:t>
      </w:r>
      <w:r w:rsidR="000038A7">
        <w:rPr>
          <w:sz w:val="24"/>
          <w:szCs w:val="24"/>
          <w:lang w:val="en-GB"/>
        </w:rPr>
        <w:t>epevax</w:t>
      </w:r>
      <w:proofErr w:type="spellEnd"/>
      <w:r w:rsidR="000038A7" w:rsidRPr="00B108A6">
        <w:rPr>
          <w:sz w:val="24"/>
          <w:szCs w:val="24"/>
          <w:lang w:val="en-GB"/>
        </w:rPr>
        <w:t xml:space="preserve"> </w:t>
      </w:r>
      <w:r w:rsidRPr="00B108A6">
        <w:rPr>
          <w:sz w:val="24"/>
          <w:szCs w:val="24"/>
          <w:lang w:val="en-GB"/>
        </w:rPr>
        <w:t xml:space="preserve">in children aged 3 to 6 years is based upon studies in which </w:t>
      </w:r>
      <w:proofErr w:type="spellStart"/>
      <w:r w:rsidR="000038A7" w:rsidRPr="00B108A6">
        <w:rPr>
          <w:sz w:val="24"/>
          <w:szCs w:val="24"/>
          <w:lang w:val="en-GB"/>
        </w:rPr>
        <w:t>R</w:t>
      </w:r>
      <w:r w:rsidR="000038A7">
        <w:rPr>
          <w:sz w:val="24"/>
          <w:szCs w:val="24"/>
          <w:lang w:val="en-GB"/>
        </w:rPr>
        <w:t>epevax</w:t>
      </w:r>
      <w:proofErr w:type="spellEnd"/>
      <w:r w:rsidRPr="00B108A6">
        <w:rPr>
          <w:sz w:val="24"/>
          <w:szCs w:val="24"/>
          <w:lang w:val="en-GB"/>
        </w:rPr>
        <w:t xml:space="preserve"> was given as the fourth dose (first booster) of diphtheria, tetanus, pertussis and poliomyelitis vaccines. Robust immune responses were observed following a single dose of </w:t>
      </w:r>
      <w:proofErr w:type="spellStart"/>
      <w:r w:rsidR="000038A7" w:rsidRPr="00B108A6">
        <w:rPr>
          <w:sz w:val="24"/>
          <w:szCs w:val="24"/>
          <w:lang w:val="en-GB"/>
        </w:rPr>
        <w:t>R</w:t>
      </w:r>
      <w:r w:rsidR="000038A7">
        <w:rPr>
          <w:sz w:val="24"/>
          <w:szCs w:val="24"/>
          <w:lang w:val="en-GB"/>
        </w:rPr>
        <w:t>epevax</w:t>
      </w:r>
      <w:proofErr w:type="spellEnd"/>
      <w:r w:rsidRPr="00B108A6">
        <w:rPr>
          <w:sz w:val="24"/>
          <w:szCs w:val="24"/>
          <w:lang w:val="en-GB"/>
        </w:rPr>
        <w:t xml:space="preserve"> in children primed with either a whole cell pertussis vaccine (</w:t>
      </w:r>
      <w:proofErr w:type="spellStart"/>
      <w:r w:rsidRPr="00B108A6">
        <w:rPr>
          <w:sz w:val="24"/>
          <w:szCs w:val="24"/>
          <w:lang w:val="en-GB"/>
        </w:rPr>
        <w:t>DTwP</w:t>
      </w:r>
      <w:proofErr w:type="spellEnd"/>
      <w:r w:rsidRPr="00B108A6">
        <w:rPr>
          <w:sz w:val="24"/>
          <w:szCs w:val="24"/>
          <w:lang w:val="en-GB"/>
        </w:rPr>
        <w:t xml:space="preserve">) and OPV (UK studies; ages 3-5 years) or an acellular pertussis vaccine (DTaP) and IPV (Sweden study; ages 5-6 years) during infancy. </w:t>
      </w:r>
    </w:p>
    <w:p w14:paraId="34B79E9A" w14:textId="77777777" w:rsidR="00D853AB" w:rsidRPr="00B108A6" w:rsidRDefault="00D853AB" w:rsidP="00331F85">
      <w:pPr>
        <w:ind w:left="851"/>
        <w:rPr>
          <w:sz w:val="24"/>
          <w:szCs w:val="24"/>
          <w:highlight w:val="lightGray"/>
          <w:lang w:val="en-GB"/>
        </w:rPr>
      </w:pPr>
    </w:p>
    <w:p w14:paraId="034C57AF" w14:textId="0410B37A" w:rsidR="00D853AB" w:rsidRPr="00B108A6" w:rsidRDefault="00D853AB" w:rsidP="00331F85">
      <w:pPr>
        <w:ind w:left="851"/>
        <w:rPr>
          <w:sz w:val="24"/>
          <w:szCs w:val="24"/>
          <w:lang w:val="en-GB"/>
        </w:rPr>
      </w:pPr>
      <w:r w:rsidRPr="00B108A6">
        <w:rPr>
          <w:sz w:val="24"/>
          <w:szCs w:val="24"/>
          <w:lang w:val="en-GB"/>
        </w:rPr>
        <w:t xml:space="preserve">The safety and immunogenicity of </w:t>
      </w:r>
      <w:proofErr w:type="spellStart"/>
      <w:r w:rsidR="000038A7" w:rsidRPr="00B108A6">
        <w:rPr>
          <w:sz w:val="24"/>
          <w:szCs w:val="24"/>
          <w:lang w:val="en-GB"/>
        </w:rPr>
        <w:t>R</w:t>
      </w:r>
      <w:r w:rsidR="000038A7">
        <w:rPr>
          <w:sz w:val="24"/>
          <w:szCs w:val="24"/>
          <w:lang w:val="en-GB"/>
        </w:rPr>
        <w:t>epevax</w:t>
      </w:r>
      <w:proofErr w:type="spellEnd"/>
      <w:r w:rsidRPr="00B108A6">
        <w:rPr>
          <w:sz w:val="24"/>
          <w:szCs w:val="24"/>
          <w:lang w:val="en-GB"/>
        </w:rPr>
        <w:t xml:space="preserve"> in adults and adolescents was shown to be comparable to that observed with a single booster dose of Td adsorbed or Td Polio adsorbed vaccines containing a similar amount of tetanus and diphtheria toxoids and inactivated poliovirus types 1, 2 and 3.</w:t>
      </w:r>
      <w:r w:rsidR="005740FB" w:rsidRPr="00B108A6">
        <w:rPr>
          <w:sz w:val="24"/>
          <w:szCs w:val="24"/>
          <w:lang w:val="en-GB"/>
        </w:rPr>
        <w:t xml:space="preserve"> </w:t>
      </w:r>
      <w:r w:rsidRPr="00B108A6">
        <w:rPr>
          <w:sz w:val="24"/>
          <w:szCs w:val="24"/>
          <w:lang w:val="en-GB"/>
        </w:rPr>
        <w:t>The lower response to diphtheria toxoid in adults probably reflected the inclusion of some participants with an uncertain or incomplete immunization history.</w:t>
      </w:r>
    </w:p>
    <w:p w14:paraId="22CC90F8" w14:textId="77777777" w:rsidR="00D853AB" w:rsidRPr="00B108A6" w:rsidRDefault="00D853AB" w:rsidP="00331F85">
      <w:pPr>
        <w:ind w:left="851"/>
        <w:rPr>
          <w:sz w:val="24"/>
          <w:szCs w:val="24"/>
          <w:lang w:val="en-GB"/>
        </w:rPr>
      </w:pPr>
    </w:p>
    <w:p w14:paraId="1CE23D02" w14:textId="77777777" w:rsidR="00D853AB" w:rsidRPr="00B108A6" w:rsidRDefault="00D853AB" w:rsidP="00331F85">
      <w:pPr>
        <w:ind w:left="851"/>
        <w:rPr>
          <w:sz w:val="24"/>
          <w:szCs w:val="24"/>
          <w:lang w:val="en-GB"/>
        </w:rPr>
      </w:pPr>
      <w:r w:rsidRPr="00B108A6">
        <w:rPr>
          <w:sz w:val="24"/>
          <w:szCs w:val="24"/>
          <w:lang w:val="en-GB"/>
        </w:rPr>
        <w:t xml:space="preserve">Serological correlates of protection against pertussis have not been established. On comparison with data from the Sweden I pertussis efficacy trials conducted between 1992 and 1996, where primary immunization with Sanofi Pasteur’s acellular pertussis infant DTaP formulation confirmed a protective efficacy of 85% against pertussis disease, it is </w:t>
      </w:r>
      <w:r w:rsidRPr="00B108A6">
        <w:rPr>
          <w:sz w:val="24"/>
          <w:szCs w:val="24"/>
          <w:lang w:val="en-GB"/>
        </w:rPr>
        <w:lastRenderedPageBreak/>
        <w:t>considered that REPEVAX had elicited protective immune responses in children, adolescents, and adults in clinical trials.</w:t>
      </w:r>
    </w:p>
    <w:p w14:paraId="2E4B4813" w14:textId="77777777" w:rsidR="00D853AB" w:rsidRPr="00B108A6" w:rsidRDefault="00D853AB" w:rsidP="00331F85">
      <w:pPr>
        <w:ind w:left="851"/>
        <w:rPr>
          <w:sz w:val="24"/>
          <w:szCs w:val="24"/>
          <w:lang w:val="en-GB"/>
        </w:rPr>
      </w:pPr>
    </w:p>
    <w:p w14:paraId="1918CC48" w14:textId="77777777" w:rsidR="00D853AB" w:rsidRPr="00B108A6" w:rsidRDefault="00D853AB" w:rsidP="00331F85">
      <w:pPr>
        <w:ind w:left="851"/>
        <w:rPr>
          <w:i/>
          <w:sz w:val="24"/>
          <w:szCs w:val="24"/>
          <w:u w:val="single"/>
          <w:lang w:val="en-GB"/>
        </w:rPr>
      </w:pPr>
      <w:r w:rsidRPr="00B108A6">
        <w:rPr>
          <w:i/>
          <w:sz w:val="24"/>
          <w:szCs w:val="24"/>
          <w:u w:val="single"/>
          <w:lang w:val="en-GB"/>
        </w:rPr>
        <w:t xml:space="preserve">Antibody persistence </w:t>
      </w:r>
    </w:p>
    <w:p w14:paraId="6761B5A7" w14:textId="77777777" w:rsidR="00D853AB" w:rsidRPr="00B108A6" w:rsidRDefault="00D853AB" w:rsidP="00331F85">
      <w:pPr>
        <w:ind w:left="851"/>
        <w:rPr>
          <w:sz w:val="24"/>
          <w:szCs w:val="24"/>
          <w:lang w:val="en-GB"/>
        </w:rPr>
      </w:pPr>
    </w:p>
    <w:p w14:paraId="2A82BD28" w14:textId="77777777" w:rsidR="00D853AB" w:rsidRPr="00B108A6" w:rsidRDefault="00D853AB" w:rsidP="00331F85">
      <w:pPr>
        <w:ind w:left="851"/>
        <w:rPr>
          <w:sz w:val="24"/>
          <w:szCs w:val="24"/>
          <w:lang w:val="en-GB"/>
        </w:rPr>
      </w:pPr>
      <w:r w:rsidRPr="00B108A6">
        <w:rPr>
          <w:sz w:val="24"/>
          <w:szCs w:val="24"/>
          <w:lang w:val="en-GB"/>
        </w:rPr>
        <w:t xml:space="preserve">Pivotal studies conducted with </w:t>
      </w:r>
      <w:proofErr w:type="spellStart"/>
      <w:r w:rsidRPr="00B108A6">
        <w:rPr>
          <w:sz w:val="24"/>
          <w:szCs w:val="24"/>
          <w:lang w:val="en-GB"/>
        </w:rPr>
        <w:t>COVAXiS</w:t>
      </w:r>
      <w:proofErr w:type="spellEnd"/>
      <w:r w:rsidRPr="00B108A6">
        <w:rPr>
          <w:sz w:val="24"/>
          <w:szCs w:val="24"/>
          <w:lang w:val="en-GB"/>
        </w:rPr>
        <w:t xml:space="preserve"> provide serology follow-up data at 3, 5 and 10 years, in individuals previously immunized with a single booster dose of </w:t>
      </w:r>
      <w:proofErr w:type="spellStart"/>
      <w:r w:rsidRPr="00B108A6">
        <w:rPr>
          <w:sz w:val="24"/>
          <w:szCs w:val="24"/>
          <w:lang w:val="en-GB"/>
        </w:rPr>
        <w:t>COVAXiS</w:t>
      </w:r>
      <w:proofErr w:type="spellEnd"/>
      <w:r w:rsidRPr="00B108A6">
        <w:rPr>
          <w:sz w:val="24"/>
          <w:szCs w:val="24"/>
          <w:lang w:val="en-GB"/>
        </w:rPr>
        <w:t xml:space="preserve">. </w:t>
      </w:r>
      <w:bookmarkStart w:id="5" w:name="_Hlk39756510"/>
      <w:r w:rsidRPr="00B108A6">
        <w:rPr>
          <w:sz w:val="24"/>
          <w:szCs w:val="24"/>
          <w:lang w:val="en-GB"/>
        </w:rPr>
        <w:t xml:space="preserve">Persistence of </w:t>
      </w:r>
      <w:proofErr w:type="spellStart"/>
      <w:r w:rsidRPr="00B108A6">
        <w:rPr>
          <w:sz w:val="24"/>
          <w:szCs w:val="24"/>
          <w:lang w:val="en-GB"/>
        </w:rPr>
        <w:t>seroprotection</w:t>
      </w:r>
      <w:proofErr w:type="spellEnd"/>
      <w:r w:rsidRPr="00B108A6">
        <w:rPr>
          <w:sz w:val="24"/>
          <w:szCs w:val="24"/>
          <w:lang w:val="en-GB"/>
        </w:rPr>
        <w:t xml:space="preserve"> to diphtheria and tetanus, and seropositivity to pertussis is summarised in Table 3. </w:t>
      </w:r>
    </w:p>
    <w:bookmarkEnd w:id="5"/>
    <w:p w14:paraId="749F7A2D" w14:textId="77777777" w:rsidR="00D853AB" w:rsidRPr="00B108A6" w:rsidRDefault="00D853AB" w:rsidP="00331F85">
      <w:pPr>
        <w:rPr>
          <w:sz w:val="24"/>
          <w:szCs w:val="24"/>
          <w:lang w:val="en-GB"/>
        </w:rPr>
      </w:pPr>
    </w:p>
    <w:p w14:paraId="251EF79A" w14:textId="70C5B5BF" w:rsidR="00D853AB" w:rsidRPr="00B108A6" w:rsidRDefault="00D853AB" w:rsidP="00331F85">
      <w:pPr>
        <w:pStyle w:val="Billedtekst"/>
        <w:spacing w:before="0" w:after="0"/>
        <w:rPr>
          <w:szCs w:val="24"/>
          <w:lang w:val="en-GB"/>
        </w:rPr>
      </w:pPr>
      <w:bookmarkStart w:id="6" w:name="Table_20151204_141026SNPH"/>
      <w:bookmarkStart w:id="7" w:name="_Hlk39755355"/>
      <w:r w:rsidRPr="00B108A6">
        <w:rPr>
          <w:szCs w:val="24"/>
          <w:lang w:val="en-GB"/>
        </w:rPr>
        <w:t xml:space="preserve">Table </w:t>
      </w:r>
      <w:r w:rsidRPr="00B108A6">
        <w:rPr>
          <w:szCs w:val="24"/>
        </w:rPr>
        <w:fldChar w:fldCharType="begin"/>
      </w:r>
      <w:r w:rsidRPr="00B108A6">
        <w:rPr>
          <w:szCs w:val="24"/>
          <w:lang w:val="en-GB"/>
        </w:rPr>
        <w:instrText xml:space="preserve"> SEQ Table \* ARABIC </w:instrText>
      </w:r>
      <w:r w:rsidRPr="00B108A6">
        <w:rPr>
          <w:szCs w:val="24"/>
        </w:rPr>
        <w:fldChar w:fldCharType="separate"/>
      </w:r>
      <w:r w:rsidR="000F5286">
        <w:rPr>
          <w:noProof/>
          <w:szCs w:val="24"/>
          <w:lang w:val="en-GB"/>
        </w:rPr>
        <w:t>3</w:t>
      </w:r>
      <w:r w:rsidRPr="00B108A6">
        <w:rPr>
          <w:szCs w:val="24"/>
        </w:rPr>
        <w:fldChar w:fldCharType="end"/>
      </w:r>
      <w:bookmarkEnd w:id="6"/>
      <w:r w:rsidRPr="00B108A6">
        <w:rPr>
          <w:szCs w:val="24"/>
          <w:lang w:val="en-GB"/>
        </w:rPr>
        <w:t xml:space="preserve">: Persistence of </w:t>
      </w:r>
      <w:proofErr w:type="spellStart"/>
      <w:r w:rsidRPr="00B108A6">
        <w:rPr>
          <w:szCs w:val="24"/>
          <w:lang w:val="en-GB"/>
        </w:rPr>
        <w:t>Seroprotection</w:t>
      </w:r>
      <w:proofErr w:type="spellEnd"/>
      <w:r w:rsidRPr="00B108A6">
        <w:rPr>
          <w:szCs w:val="24"/>
          <w:lang w:val="en-GB"/>
        </w:rPr>
        <w:t xml:space="preserve">/Seropositivity Rates (%) in Children, Adolescents and Adults at 3-, 5- and 10- years following a dose of </w:t>
      </w:r>
      <w:proofErr w:type="spellStart"/>
      <w:r w:rsidRPr="00B108A6">
        <w:rPr>
          <w:szCs w:val="24"/>
          <w:lang w:val="en-GB"/>
        </w:rPr>
        <w:t>COVAXiS</w:t>
      </w:r>
      <w:proofErr w:type="spellEnd"/>
      <w:r w:rsidRPr="00B108A6">
        <w:rPr>
          <w:szCs w:val="24"/>
          <w:lang w:val="en-GB"/>
        </w:rPr>
        <w:t xml:space="preserve"> (Tdap component of </w:t>
      </w:r>
      <w:proofErr w:type="spellStart"/>
      <w:r w:rsidR="000038A7" w:rsidRPr="00B108A6">
        <w:rPr>
          <w:szCs w:val="24"/>
          <w:lang w:val="en-GB"/>
        </w:rPr>
        <w:t>R</w:t>
      </w:r>
      <w:r w:rsidR="000038A7">
        <w:rPr>
          <w:szCs w:val="24"/>
          <w:lang w:val="en-GB"/>
        </w:rPr>
        <w:t>epevax</w:t>
      </w:r>
      <w:proofErr w:type="spellEnd"/>
      <w:r w:rsidRPr="00B108A6">
        <w:rPr>
          <w:szCs w:val="24"/>
          <w:lang w:val="en-GB"/>
        </w:rPr>
        <w:t>) (PPI Population</w:t>
      </w:r>
      <w:r w:rsidRPr="00B108A6">
        <w:rPr>
          <w:szCs w:val="24"/>
          <w:vertAlign w:val="superscript"/>
          <w:lang w:val="en-GB"/>
        </w:rPr>
        <w:t>1</w:t>
      </w:r>
      <w:r w:rsidRPr="00B108A6">
        <w:rPr>
          <w:szCs w:val="24"/>
          <w:lang w:val="en-GB"/>
        </w:rPr>
        <w:t>)</w:t>
      </w:r>
      <w:r w:rsidRPr="00B108A6">
        <w:rPr>
          <w:szCs w:val="24"/>
        </w:rPr>
        <w:fldChar w:fldCharType="begin"/>
      </w:r>
      <w:r w:rsidRPr="00B108A6">
        <w:rPr>
          <w:szCs w:val="24"/>
          <w:lang w:val="en-GB"/>
        </w:rPr>
        <w:instrText xml:space="preserve"> DOCVARIABLE vault_nd_fc27b579-c0ce-45e4-ba69-e97c9ea35d26 \* MERGEFORMAT </w:instrText>
      </w:r>
      <w:r w:rsidRPr="00B108A6">
        <w:rPr>
          <w:szCs w:val="24"/>
        </w:rPr>
        <w:fldChar w:fldCharType="separate"/>
      </w:r>
      <w:r w:rsidRPr="00B108A6">
        <w:rPr>
          <w:szCs w:val="24"/>
          <w:lang w:val="en-GB"/>
        </w:rPr>
        <w:t xml:space="preserve"> </w:t>
      </w:r>
      <w:r w:rsidRPr="00B108A6">
        <w:rPr>
          <w:szCs w:val="24"/>
        </w:rPr>
        <w:fldChar w:fldCharType="end"/>
      </w:r>
    </w:p>
    <w:bookmarkEnd w:id="7"/>
    <w:p w14:paraId="300D8E1C" w14:textId="77777777" w:rsidR="00D853AB" w:rsidRPr="00B108A6" w:rsidRDefault="00D853AB" w:rsidP="00331F85">
      <w:pPr>
        <w:rPr>
          <w:sz w:val="24"/>
          <w:szCs w:val="24"/>
          <w:lang w:val="en-GB"/>
        </w:rPr>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472"/>
        <w:gridCol w:w="1083"/>
        <w:gridCol w:w="1005"/>
        <w:gridCol w:w="866"/>
        <w:gridCol w:w="1053"/>
        <w:gridCol w:w="1058"/>
        <w:gridCol w:w="1041"/>
        <w:gridCol w:w="951"/>
        <w:gridCol w:w="1093"/>
      </w:tblGrid>
      <w:tr w:rsidR="00D853AB" w:rsidRPr="000038A7" w14:paraId="35DE5416" w14:textId="77777777" w:rsidTr="005420A5">
        <w:trPr>
          <w:trHeight w:val="340"/>
          <w:tblHeader/>
          <w:jc w:val="center"/>
        </w:trPr>
        <w:tc>
          <w:tcPr>
            <w:tcW w:w="1328" w:type="pct"/>
            <w:gridSpan w:val="2"/>
            <w:tcBorders>
              <w:top w:val="single" w:sz="6" w:space="0" w:color="auto"/>
              <w:left w:val="single" w:sz="6" w:space="0" w:color="auto"/>
              <w:bottom w:val="single" w:sz="6" w:space="0" w:color="auto"/>
              <w:right w:val="single" w:sz="6" w:space="0" w:color="auto"/>
            </w:tcBorders>
            <w:vAlign w:val="center"/>
          </w:tcPr>
          <w:p w14:paraId="1311A6BC" w14:textId="77777777" w:rsidR="00D853AB" w:rsidRPr="000038A7" w:rsidRDefault="00D853AB" w:rsidP="00331F85">
            <w:pPr>
              <w:pStyle w:val="wcpTableColHeader"/>
              <w:rPr>
                <w:sz w:val="20"/>
                <w:lang w:val="en-GB"/>
              </w:rPr>
            </w:pPr>
          </w:p>
        </w:tc>
        <w:tc>
          <w:tcPr>
            <w:tcW w:w="522" w:type="pct"/>
            <w:tcBorders>
              <w:top w:val="single" w:sz="6" w:space="0" w:color="auto"/>
              <w:left w:val="single" w:sz="6" w:space="0" w:color="auto"/>
              <w:bottom w:val="single" w:sz="6" w:space="0" w:color="auto"/>
              <w:right w:val="single" w:sz="6" w:space="0" w:color="auto"/>
            </w:tcBorders>
            <w:hideMark/>
          </w:tcPr>
          <w:p w14:paraId="2736369E" w14:textId="77777777" w:rsidR="00D853AB" w:rsidRPr="000038A7" w:rsidRDefault="00D853AB" w:rsidP="00331F85">
            <w:pPr>
              <w:keepNext/>
              <w:spacing w:after="40"/>
              <w:jc w:val="center"/>
              <w:rPr>
                <w:b/>
                <w:iCs/>
                <w:sz w:val="20"/>
                <w:vertAlign w:val="superscript"/>
                <w:lang w:val="en-GB"/>
              </w:rPr>
            </w:pPr>
            <w:r w:rsidRPr="000038A7">
              <w:rPr>
                <w:b/>
                <w:iCs/>
                <w:sz w:val="20"/>
                <w:lang w:val="en-GB"/>
              </w:rPr>
              <w:t xml:space="preserve">Children </w:t>
            </w:r>
            <w:r w:rsidRPr="000038A7">
              <w:rPr>
                <w:iCs/>
                <w:sz w:val="20"/>
                <w:lang w:val="en-GB"/>
              </w:rPr>
              <w:t>(4-6 years)</w:t>
            </w:r>
            <w:r w:rsidRPr="000038A7">
              <w:rPr>
                <w:iCs/>
                <w:sz w:val="20"/>
                <w:vertAlign w:val="superscript"/>
                <w:lang w:val="en-GB"/>
              </w:rPr>
              <w:t>2</w:t>
            </w:r>
          </w:p>
        </w:tc>
        <w:tc>
          <w:tcPr>
            <w:tcW w:w="1547" w:type="pct"/>
            <w:gridSpan w:val="3"/>
            <w:tcBorders>
              <w:top w:val="single" w:sz="6" w:space="0" w:color="auto"/>
              <w:left w:val="single" w:sz="6" w:space="0" w:color="auto"/>
              <w:bottom w:val="single" w:sz="6" w:space="0" w:color="auto"/>
              <w:right w:val="single" w:sz="6" w:space="0" w:color="auto"/>
            </w:tcBorders>
            <w:hideMark/>
          </w:tcPr>
          <w:p w14:paraId="65DA0757" w14:textId="77777777" w:rsidR="00D853AB" w:rsidRPr="000038A7" w:rsidRDefault="00D853AB" w:rsidP="00331F85">
            <w:pPr>
              <w:keepNext/>
              <w:jc w:val="center"/>
              <w:rPr>
                <w:b/>
                <w:iCs/>
                <w:sz w:val="20"/>
                <w:lang w:val="en-GB"/>
              </w:rPr>
            </w:pPr>
            <w:r w:rsidRPr="000038A7">
              <w:rPr>
                <w:b/>
                <w:iCs/>
                <w:sz w:val="20"/>
                <w:lang w:val="en-GB"/>
              </w:rPr>
              <w:t xml:space="preserve">Adolescents </w:t>
            </w:r>
          </w:p>
          <w:p w14:paraId="78587A6E" w14:textId="77777777" w:rsidR="00D853AB" w:rsidRPr="000038A7" w:rsidRDefault="00D853AB" w:rsidP="00331F85">
            <w:pPr>
              <w:keepNext/>
              <w:jc w:val="center"/>
              <w:rPr>
                <w:iCs/>
                <w:sz w:val="20"/>
                <w:lang w:val="en-GB"/>
              </w:rPr>
            </w:pPr>
            <w:r w:rsidRPr="000038A7">
              <w:rPr>
                <w:iCs/>
                <w:sz w:val="20"/>
                <w:lang w:val="en-GB"/>
              </w:rPr>
              <w:t>(11-17 years)</w:t>
            </w:r>
            <w:r w:rsidRPr="000038A7">
              <w:rPr>
                <w:iCs/>
                <w:sz w:val="20"/>
                <w:vertAlign w:val="superscript"/>
                <w:lang w:val="en-GB"/>
              </w:rPr>
              <w:t>3</w:t>
            </w:r>
          </w:p>
        </w:tc>
        <w:tc>
          <w:tcPr>
            <w:tcW w:w="1603" w:type="pct"/>
            <w:gridSpan w:val="3"/>
            <w:tcBorders>
              <w:top w:val="single" w:sz="6" w:space="0" w:color="auto"/>
              <w:left w:val="single" w:sz="6" w:space="0" w:color="auto"/>
              <w:bottom w:val="single" w:sz="6" w:space="0" w:color="auto"/>
              <w:right w:val="single" w:sz="6" w:space="0" w:color="auto"/>
            </w:tcBorders>
            <w:hideMark/>
          </w:tcPr>
          <w:p w14:paraId="755DC864" w14:textId="77777777" w:rsidR="00D853AB" w:rsidRPr="000038A7" w:rsidRDefault="00D853AB" w:rsidP="00331F85">
            <w:pPr>
              <w:keepNext/>
              <w:jc w:val="center"/>
              <w:rPr>
                <w:b/>
                <w:iCs/>
                <w:sz w:val="20"/>
                <w:lang w:val="en-GB"/>
              </w:rPr>
            </w:pPr>
            <w:r w:rsidRPr="000038A7">
              <w:rPr>
                <w:b/>
                <w:iCs/>
                <w:sz w:val="20"/>
                <w:lang w:val="en-GB"/>
              </w:rPr>
              <w:t>Adults</w:t>
            </w:r>
          </w:p>
          <w:p w14:paraId="29DD9D0A" w14:textId="77777777" w:rsidR="00D853AB" w:rsidRPr="000038A7" w:rsidRDefault="00D853AB" w:rsidP="00331F85">
            <w:pPr>
              <w:keepNext/>
              <w:jc w:val="center"/>
              <w:rPr>
                <w:iCs/>
                <w:sz w:val="20"/>
                <w:lang w:val="en-GB"/>
              </w:rPr>
            </w:pPr>
            <w:r w:rsidRPr="000038A7">
              <w:rPr>
                <w:iCs/>
                <w:sz w:val="20"/>
                <w:lang w:val="en-GB"/>
              </w:rPr>
              <w:t>(18-64 years)</w:t>
            </w:r>
            <w:r w:rsidRPr="000038A7">
              <w:rPr>
                <w:iCs/>
                <w:sz w:val="20"/>
                <w:vertAlign w:val="superscript"/>
                <w:lang w:val="en-GB"/>
              </w:rPr>
              <w:t>3</w:t>
            </w:r>
          </w:p>
        </w:tc>
      </w:tr>
      <w:tr w:rsidR="00D853AB" w:rsidRPr="000038A7" w14:paraId="32330E0D" w14:textId="77777777" w:rsidTr="005420A5">
        <w:trPr>
          <w:trHeight w:val="192"/>
          <w:tblHeader/>
          <w:jc w:val="center"/>
        </w:trPr>
        <w:tc>
          <w:tcPr>
            <w:tcW w:w="1328" w:type="pct"/>
            <w:gridSpan w:val="2"/>
            <w:tcBorders>
              <w:top w:val="single" w:sz="6" w:space="0" w:color="auto"/>
              <w:left w:val="single" w:sz="6" w:space="0" w:color="auto"/>
              <w:bottom w:val="single" w:sz="6" w:space="0" w:color="auto"/>
              <w:right w:val="single" w:sz="6" w:space="0" w:color="auto"/>
            </w:tcBorders>
            <w:vAlign w:val="center"/>
            <w:hideMark/>
          </w:tcPr>
          <w:p w14:paraId="2D4CA676" w14:textId="77777777" w:rsidR="00D853AB" w:rsidRPr="000038A7" w:rsidRDefault="00D853AB" w:rsidP="00331F85">
            <w:pPr>
              <w:pStyle w:val="wcpTableColHeader"/>
              <w:spacing w:before="20" w:after="20"/>
              <w:jc w:val="left"/>
              <w:rPr>
                <w:sz w:val="20"/>
                <w:lang w:val="en-GB"/>
              </w:rPr>
            </w:pPr>
            <w:r w:rsidRPr="000038A7">
              <w:rPr>
                <w:sz w:val="20"/>
                <w:lang w:val="en-GB"/>
              </w:rPr>
              <w:t xml:space="preserve">Time since </w:t>
            </w:r>
            <w:proofErr w:type="spellStart"/>
            <w:r w:rsidRPr="000038A7">
              <w:rPr>
                <w:sz w:val="20"/>
                <w:lang w:val="en-GB"/>
              </w:rPr>
              <w:t>COVAXiS</w:t>
            </w:r>
            <w:proofErr w:type="spellEnd"/>
            <w:r w:rsidRPr="000038A7">
              <w:rPr>
                <w:sz w:val="20"/>
                <w:lang w:val="en-GB"/>
              </w:rPr>
              <w:t xml:space="preserve"> dose</w:t>
            </w:r>
          </w:p>
        </w:tc>
        <w:tc>
          <w:tcPr>
            <w:tcW w:w="522" w:type="pct"/>
            <w:tcBorders>
              <w:top w:val="single" w:sz="6" w:space="0" w:color="auto"/>
              <w:left w:val="single" w:sz="6" w:space="0" w:color="auto"/>
              <w:bottom w:val="single" w:sz="4" w:space="0" w:color="auto"/>
              <w:right w:val="single" w:sz="6" w:space="0" w:color="auto"/>
            </w:tcBorders>
            <w:hideMark/>
          </w:tcPr>
          <w:p w14:paraId="709AC7DE" w14:textId="77777777" w:rsidR="00D853AB" w:rsidRPr="000038A7" w:rsidRDefault="00D853AB" w:rsidP="00331F85">
            <w:pPr>
              <w:keepNext/>
              <w:spacing w:before="20" w:after="20"/>
              <w:jc w:val="center"/>
              <w:rPr>
                <w:b/>
                <w:iCs/>
                <w:sz w:val="20"/>
                <w:lang w:val="en-GB"/>
              </w:rPr>
            </w:pPr>
            <w:r w:rsidRPr="000038A7">
              <w:rPr>
                <w:b/>
                <w:bCs/>
                <w:iCs/>
                <w:sz w:val="20"/>
                <w:lang w:val="en-GB"/>
              </w:rPr>
              <w:t xml:space="preserve">5 years </w:t>
            </w:r>
          </w:p>
        </w:tc>
        <w:tc>
          <w:tcPr>
            <w:tcW w:w="450" w:type="pct"/>
            <w:tcBorders>
              <w:top w:val="single" w:sz="6" w:space="0" w:color="auto"/>
              <w:left w:val="single" w:sz="6" w:space="0" w:color="auto"/>
              <w:bottom w:val="single" w:sz="4" w:space="0" w:color="auto"/>
              <w:right w:val="single" w:sz="6" w:space="0" w:color="auto"/>
            </w:tcBorders>
            <w:hideMark/>
          </w:tcPr>
          <w:p w14:paraId="7CF28907" w14:textId="77777777" w:rsidR="00D853AB" w:rsidRPr="000038A7" w:rsidRDefault="00D853AB" w:rsidP="00331F85">
            <w:pPr>
              <w:keepNext/>
              <w:spacing w:before="20" w:after="20"/>
              <w:jc w:val="center"/>
              <w:rPr>
                <w:b/>
                <w:iCs/>
                <w:sz w:val="20"/>
                <w:lang w:val="en-GB"/>
              </w:rPr>
            </w:pPr>
            <w:r w:rsidRPr="000038A7">
              <w:rPr>
                <w:b/>
                <w:bCs/>
                <w:iCs/>
                <w:sz w:val="20"/>
                <w:lang w:val="en-GB"/>
              </w:rPr>
              <w:t xml:space="preserve">3 years </w:t>
            </w:r>
          </w:p>
        </w:tc>
        <w:tc>
          <w:tcPr>
            <w:tcW w:w="547" w:type="pct"/>
            <w:tcBorders>
              <w:top w:val="single" w:sz="6" w:space="0" w:color="auto"/>
              <w:left w:val="single" w:sz="6" w:space="0" w:color="auto"/>
              <w:bottom w:val="single" w:sz="4" w:space="0" w:color="auto"/>
              <w:right w:val="single" w:sz="6" w:space="0" w:color="auto"/>
            </w:tcBorders>
            <w:hideMark/>
          </w:tcPr>
          <w:p w14:paraId="7F7FDBA2" w14:textId="77777777" w:rsidR="00D853AB" w:rsidRPr="000038A7" w:rsidRDefault="00D853AB" w:rsidP="00331F85">
            <w:pPr>
              <w:keepNext/>
              <w:spacing w:before="20" w:after="20"/>
              <w:jc w:val="center"/>
              <w:rPr>
                <w:b/>
                <w:iCs/>
                <w:sz w:val="20"/>
                <w:lang w:val="en-GB"/>
              </w:rPr>
            </w:pPr>
            <w:r w:rsidRPr="000038A7">
              <w:rPr>
                <w:b/>
                <w:bCs/>
                <w:iCs/>
                <w:sz w:val="20"/>
                <w:lang w:val="en-GB"/>
              </w:rPr>
              <w:t xml:space="preserve">5 years </w:t>
            </w:r>
          </w:p>
        </w:tc>
        <w:tc>
          <w:tcPr>
            <w:tcW w:w="550" w:type="pct"/>
            <w:tcBorders>
              <w:top w:val="single" w:sz="6" w:space="0" w:color="auto"/>
              <w:left w:val="single" w:sz="6" w:space="0" w:color="auto"/>
              <w:bottom w:val="single" w:sz="4" w:space="0" w:color="auto"/>
              <w:right w:val="single" w:sz="6" w:space="0" w:color="auto"/>
            </w:tcBorders>
            <w:hideMark/>
          </w:tcPr>
          <w:p w14:paraId="6719CD0F" w14:textId="77777777" w:rsidR="00D853AB" w:rsidRPr="000038A7" w:rsidRDefault="00D853AB" w:rsidP="00331F85">
            <w:pPr>
              <w:keepNext/>
              <w:spacing w:before="20" w:after="20"/>
              <w:jc w:val="center"/>
              <w:rPr>
                <w:b/>
                <w:iCs/>
                <w:sz w:val="20"/>
                <w:lang w:val="en-GB"/>
              </w:rPr>
            </w:pPr>
            <w:r w:rsidRPr="000038A7">
              <w:rPr>
                <w:b/>
                <w:bCs/>
                <w:iCs/>
                <w:sz w:val="20"/>
                <w:lang w:val="en-GB"/>
              </w:rPr>
              <w:t xml:space="preserve">10 years </w:t>
            </w:r>
          </w:p>
        </w:tc>
        <w:tc>
          <w:tcPr>
            <w:tcW w:w="541" w:type="pct"/>
            <w:tcBorders>
              <w:top w:val="single" w:sz="6" w:space="0" w:color="auto"/>
              <w:left w:val="single" w:sz="6" w:space="0" w:color="auto"/>
              <w:bottom w:val="single" w:sz="4" w:space="0" w:color="auto"/>
              <w:right w:val="single" w:sz="6" w:space="0" w:color="auto"/>
            </w:tcBorders>
            <w:hideMark/>
          </w:tcPr>
          <w:p w14:paraId="63DCB85A" w14:textId="77777777" w:rsidR="00D853AB" w:rsidRPr="000038A7" w:rsidRDefault="00D853AB" w:rsidP="00331F85">
            <w:pPr>
              <w:keepNext/>
              <w:spacing w:before="20" w:after="20"/>
              <w:jc w:val="center"/>
              <w:rPr>
                <w:b/>
                <w:iCs/>
                <w:sz w:val="20"/>
                <w:lang w:val="en-GB"/>
              </w:rPr>
            </w:pPr>
            <w:r w:rsidRPr="000038A7">
              <w:rPr>
                <w:b/>
                <w:bCs/>
                <w:iCs/>
                <w:sz w:val="20"/>
                <w:lang w:val="en-GB"/>
              </w:rPr>
              <w:t xml:space="preserve">3 years </w:t>
            </w:r>
          </w:p>
        </w:tc>
        <w:tc>
          <w:tcPr>
            <w:tcW w:w="494" w:type="pct"/>
            <w:tcBorders>
              <w:top w:val="single" w:sz="6" w:space="0" w:color="auto"/>
              <w:left w:val="single" w:sz="6" w:space="0" w:color="auto"/>
              <w:bottom w:val="single" w:sz="4" w:space="0" w:color="auto"/>
              <w:right w:val="single" w:sz="6" w:space="0" w:color="auto"/>
            </w:tcBorders>
            <w:hideMark/>
          </w:tcPr>
          <w:p w14:paraId="259930DC" w14:textId="77777777" w:rsidR="00D853AB" w:rsidRPr="000038A7" w:rsidRDefault="00D853AB" w:rsidP="00331F85">
            <w:pPr>
              <w:keepNext/>
              <w:spacing w:before="20" w:after="20"/>
              <w:jc w:val="center"/>
              <w:rPr>
                <w:b/>
                <w:iCs/>
                <w:sz w:val="20"/>
                <w:lang w:val="en-GB"/>
              </w:rPr>
            </w:pPr>
            <w:r w:rsidRPr="000038A7">
              <w:rPr>
                <w:b/>
                <w:bCs/>
                <w:iCs/>
                <w:sz w:val="20"/>
                <w:lang w:val="en-GB"/>
              </w:rPr>
              <w:t xml:space="preserve">5 years </w:t>
            </w:r>
          </w:p>
        </w:tc>
        <w:tc>
          <w:tcPr>
            <w:tcW w:w="568" w:type="pct"/>
            <w:tcBorders>
              <w:top w:val="single" w:sz="6" w:space="0" w:color="auto"/>
              <w:left w:val="single" w:sz="6" w:space="0" w:color="auto"/>
              <w:bottom w:val="single" w:sz="4" w:space="0" w:color="auto"/>
              <w:right w:val="single" w:sz="6" w:space="0" w:color="auto"/>
            </w:tcBorders>
            <w:hideMark/>
          </w:tcPr>
          <w:p w14:paraId="00F42B70" w14:textId="77777777" w:rsidR="00D853AB" w:rsidRPr="000038A7" w:rsidRDefault="00D853AB" w:rsidP="00331F85">
            <w:pPr>
              <w:keepNext/>
              <w:spacing w:before="20" w:after="20"/>
              <w:jc w:val="center"/>
              <w:rPr>
                <w:b/>
                <w:iCs/>
                <w:sz w:val="20"/>
                <w:lang w:val="en-GB"/>
              </w:rPr>
            </w:pPr>
            <w:r w:rsidRPr="000038A7">
              <w:rPr>
                <w:b/>
                <w:bCs/>
                <w:iCs/>
                <w:sz w:val="20"/>
                <w:lang w:val="en-GB"/>
              </w:rPr>
              <w:t xml:space="preserve">10 years </w:t>
            </w:r>
          </w:p>
        </w:tc>
      </w:tr>
      <w:tr w:rsidR="00D853AB" w:rsidRPr="000038A7" w14:paraId="463E248B" w14:textId="77777777" w:rsidTr="005420A5">
        <w:trPr>
          <w:trHeight w:val="138"/>
          <w:tblHeader/>
          <w:jc w:val="center"/>
        </w:trPr>
        <w:tc>
          <w:tcPr>
            <w:tcW w:w="1328" w:type="pct"/>
            <w:gridSpan w:val="2"/>
            <w:tcBorders>
              <w:top w:val="single" w:sz="6" w:space="0" w:color="auto"/>
              <w:left w:val="single" w:sz="6" w:space="0" w:color="auto"/>
              <w:bottom w:val="single" w:sz="4" w:space="0" w:color="auto"/>
              <w:right w:val="single" w:sz="6" w:space="0" w:color="auto"/>
            </w:tcBorders>
            <w:hideMark/>
          </w:tcPr>
          <w:p w14:paraId="6BAEE28F" w14:textId="77777777" w:rsidR="00D853AB" w:rsidRPr="000038A7" w:rsidRDefault="00D853AB" w:rsidP="00331F85">
            <w:pPr>
              <w:pStyle w:val="wcpTableColHeader"/>
              <w:jc w:val="left"/>
              <w:rPr>
                <w:sz w:val="20"/>
                <w:lang w:val="en-GB"/>
              </w:rPr>
            </w:pPr>
            <w:r w:rsidRPr="000038A7">
              <w:rPr>
                <w:sz w:val="20"/>
                <w:lang w:val="en-GB"/>
              </w:rPr>
              <w:t xml:space="preserve"> Participants</w:t>
            </w:r>
          </w:p>
        </w:tc>
        <w:tc>
          <w:tcPr>
            <w:tcW w:w="522" w:type="pct"/>
            <w:tcBorders>
              <w:top w:val="single" w:sz="6" w:space="0" w:color="auto"/>
              <w:left w:val="single" w:sz="6" w:space="0" w:color="auto"/>
              <w:bottom w:val="single" w:sz="4" w:space="0" w:color="auto"/>
              <w:right w:val="single" w:sz="6" w:space="0" w:color="auto"/>
            </w:tcBorders>
            <w:hideMark/>
          </w:tcPr>
          <w:p w14:paraId="2F368B7D" w14:textId="77777777" w:rsidR="00D853AB" w:rsidRPr="000038A7" w:rsidRDefault="00D853AB" w:rsidP="00331F85">
            <w:pPr>
              <w:keepNext/>
              <w:spacing w:before="40" w:after="40"/>
              <w:jc w:val="center"/>
              <w:rPr>
                <w:iCs/>
                <w:sz w:val="20"/>
                <w:lang w:val="en-GB"/>
              </w:rPr>
            </w:pPr>
            <w:r w:rsidRPr="000038A7">
              <w:rPr>
                <w:iCs/>
                <w:sz w:val="20"/>
                <w:lang w:val="en-GB"/>
              </w:rPr>
              <w:t>N=128-150</w:t>
            </w:r>
          </w:p>
        </w:tc>
        <w:tc>
          <w:tcPr>
            <w:tcW w:w="450" w:type="pct"/>
            <w:tcBorders>
              <w:top w:val="single" w:sz="6" w:space="0" w:color="auto"/>
              <w:left w:val="single" w:sz="6" w:space="0" w:color="auto"/>
              <w:bottom w:val="single" w:sz="4" w:space="0" w:color="auto"/>
              <w:right w:val="single" w:sz="6" w:space="0" w:color="auto"/>
            </w:tcBorders>
            <w:hideMark/>
          </w:tcPr>
          <w:p w14:paraId="5A91FC1F" w14:textId="77777777" w:rsidR="00D853AB" w:rsidRPr="000038A7" w:rsidRDefault="00D853AB" w:rsidP="00331F85">
            <w:pPr>
              <w:keepNext/>
              <w:spacing w:before="40" w:after="40"/>
              <w:jc w:val="center"/>
              <w:rPr>
                <w:iCs/>
                <w:sz w:val="20"/>
                <w:lang w:val="en-GB"/>
              </w:rPr>
            </w:pPr>
            <w:r w:rsidRPr="000038A7">
              <w:rPr>
                <w:iCs/>
                <w:sz w:val="20"/>
                <w:lang w:val="en-GB"/>
              </w:rPr>
              <w:t>N=300</w:t>
            </w:r>
          </w:p>
        </w:tc>
        <w:tc>
          <w:tcPr>
            <w:tcW w:w="547" w:type="pct"/>
            <w:tcBorders>
              <w:top w:val="single" w:sz="6" w:space="0" w:color="auto"/>
              <w:left w:val="single" w:sz="6" w:space="0" w:color="auto"/>
              <w:bottom w:val="single" w:sz="4" w:space="0" w:color="auto"/>
              <w:right w:val="single" w:sz="6" w:space="0" w:color="auto"/>
            </w:tcBorders>
            <w:hideMark/>
          </w:tcPr>
          <w:p w14:paraId="2D821691" w14:textId="77777777" w:rsidR="00D853AB" w:rsidRPr="000038A7" w:rsidRDefault="00D853AB" w:rsidP="00331F85">
            <w:pPr>
              <w:keepNext/>
              <w:spacing w:before="40" w:after="40"/>
              <w:jc w:val="center"/>
              <w:rPr>
                <w:iCs/>
                <w:sz w:val="20"/>
                <w:lang w:val="en-GB"/>
              </w:rPr>
            </w:pPr>
            <w:r w:rsidRPr="000038A7">
              <w:rPr>
                <w:iCs/>
                <w:sz w:val="20"/>
                <w:lang w:val="en-GB"/>
              </w:rPr>
              <w:t>N=204-206</w:t>
            </w:r>
          </w:p>
        </w:tc>
        <w:tc>
          <w:tcPr>
            <w:tcW w:w="550" w:type="pct"/>
            <w:tcBorders>
              <w:top w:val="single" w:sz="6" w:space="0" w:color="auto"/>
              <w:left w:val="single" w:sz="6" w:space="0" w:color="auto"/>
              <w:bottom w:val="single" w:sz="4" w:space="0" w:color="auto"/>
              <w:right w:val="single" w:sz="6" w:space="0" w:color="auto"/>
            </w:tcBorders>
            <w:hideMark/>
          </w:tcPr>
          <w:p w14:paraId="72A88254" w14:textId="77777777" w:rsidR="00D853AB" w:rsidRPr="000038A7" w:rsidRDefault="00D853AB" w:rsidP="00331F85">
            <w:pPr>
              <w:keepNext/>
              <w:spacing w:before="40" w:after="40"/>
              <w:jc w:val="center"/>
              <w:rPr>
                <w:iCs/>
                <w:sz w:val="20"/>
                <w:lang w:val="en-GB"/>
              </w:rPr>
            </w:pPr>
            <w:r w:rsidRPr="000038A7">
              <w:rPr>
                <w:iCs/>
                <w:sz w:val="20"/>
                <w:lang w:val="en-GB"/>
              </w:rPr>
              <w:t>N=28-39</w:t>
            </w:r>
          </w:p>
        </w:tc>
        <w:tc>
          <w:tcPr>
            <w:tcW w:w="541" w:type="pct"/>
            <w:tcBorders>
              <w:top w:val="single" w:sz="6" w:space="0" w:color="auto"/>
              <w:left w:val="single" w:sz="6" w:space="0" w:color="auto"/>
              <w:bottom w:val="single" w:sz="4" w:space="0" w:color="auto"/>
              <w:right w:val="single" w:sz="6" w:space="0" w:color="auto"/>
            </w:tcBorders>
            <w:hideMark/>
          </w:tcPr>
          <w:p w14:paraId="459CBF8F" w14:textId="77777777" w:rsidR="00D853AB" w:rsidRPr="000038A7" w:rsidRDefault="00D853AB" w:rsidP="00331F85">
            <w:pPr>
              <w:keepNext/>
              <w:spacing w:before="40" w:after="40"/>
              <w:jc w:val="center"/>
              <w:rPr>
                <w:iCs/>
                <w:sz w:val="20"/>
                <w:lang w:val="en-GB"/>
              </w:rPr>
            </w:pPr>
            <w:r w:rsidRPr="000038A7">
              <w:rPr>
                <w:iCs/>
                <w:sz w:val="20"/>
                <w:lang w:val="en-GB"/>
              </w:rPr>
              <w:t>N=292</w:t>
            </w:r>
          </w:p>
        </w:tc>
        <w:tc>
          <w:tcPr>
            <w:tcW w:w="494" w:type="pct"/>
            <w:tcBorders>
              <w:top w:val="single" w:sz="6" w:space="0" w:color="auto"/>
              <w:left w:val="single" w:sz="6" w:space="0" w:color="auto"/>
              <w:bottom w:val="single" w:sz="4" w:space="0" w:color="auto"/>
              <w:right w:val="single" w:sz="6" w:space="0" w:color="auto"/>
            </w:tcBorders>
            <w:hideMark/>
          </w:tcPr>
          <w:p w14:paraId="296DB248" w14:textId="77777777" w:rsidR="00D853AB" w:rsidRPr="000038A7" w:rsidRDefault="00D853AB" w:rsidP="00331F85">
            <w:pPr>
              <w:keepNext/>
              <w:spacing w:before="40" w:after="40"/>
              <w:jc w:val="center"/>
              <w:rPr>
                <w:iCs/>
                <w:sz w:val="20"/>
                <w:lang w:val="en-GB"/>
              </w:rPr>
            </w:pPr>
            <w:r w:rsidRPr="000038A7">
              <w:rPr>
                <w:iCs/>
                <w:sz w:val="20"/>
                <w:lang w:val="en-GB"/>
              </w:rPr>
              <w:t>N=237-238</w:t>
            </w:r>
          </w:p>
        </w:tc>
        <w:tc>
          <w:tcPr>
            <w:tcW w:w="568" w:type="pct"/>
            <w:tcBorders>
              <w:top w:val="single" w:sz="6" w:space="0" w:color="auto"/>
              <w:left w:val="single" w:sz="6" w:space="0" w:color="auto"/>
              <w:bottom w:val="single" w:sz="4" w:space="0" w:color="auto"/>
              <w:right w:val="single" w:sz="6" w:space="0" w:color="auto"/>
            </w:tcBorders>
            <w:hideMark/>
          </w:tcPr>
          <w:p w14:paraId="705D4C1F" w14:textId="77777777" w:rsidR="00D853AB" w:rsidRPr="000038A7" w:rsidRDefault="00D853AB" w:rsidP="00331F85">
            <w:pPr>
              <w:keepNext/>
              <w:spacing w:before="40" w:after="40"/>
              <w:jc w:val="center"/>
              <w:rPr>
                <w:iCs/>
                <w:sz w:val="20"/>
                <w:lang w:val="en-GB"/>
              </w:rPr>
            </w:pPr>
            <w:r w:rsidRPr="000038A7">
              <w:rPr>
                <w:iCs/>
                <w:sz w:val="20"/>
                <w:lang w:val="en-GB"/>
              </w:rPr>
              <w:t>N=120-136</w:t>
            </w:r>
          </w:p>
        </w:tc>
      </w:tr>
      <w:tr w:rsidR="00D853AB" w:rsidRPr="000038A7" w14:paraId="56D3F68C" w14:textId="77777777" w:rsidTr="005420A5">
        <w:trPr>
          <w:trHeight w:val="431"/>
          <w:tblHeader/>
          <w:jc w:val="center"/>
        </w:trPr>
        <w:tc>
          <w:tcPr>
            <w:tcW w:w="1328" w:type="pct"/>
            <w:gridSpan w:val="2"/>
            <w:tcBorders>
              <w:top w:val="single" w:sz="4" w:space="0" w:color="auto"/>
              <w:left w:val="single" w:sz="6" w:space="0" w:color="auto"/>
              <w:bottom w:val="single" w:sz="4" w:space="0" w:color="auto"/>
              <w:right w:val="single" w:sz="6" w:space="0" w:color="auto"/>
            </w:tcBorders>
            <w:vAlign w:val="center"/>
            <w:hideMark/>
          </w:tcPr>
          <w:p w14:paraId="590CB5E5" w14:textId="77777777" w:rsidR="00D853AB" w:rsidRPr="000038A7" w:rsidRDefault="00D853AB" w:rsidP="00331F85">
            <w:pPr>
              <w:pStyle w:val="wcpTableColHeader"/>
              <w:spacing w:before="20" w:after="20"/>
              <w:jc w:val="left"/>
              <w:rPr>
                <w:b w:val="0"/>
                <w:sz w:val="20"/>
                <w:lang w:val="en-GB"/>
              </w:rPr>
            </w:pPr>
            <w:r w:rsidRPr="000038A7">
              <w:rPr>
                <w:sz w:val="20"/>
                <w:lang w:val="en-GB"/>
              </w:rPr>
              <w:t>Antibody</w:t>
            </w:r>
          </w:p>
        </w:tc>
        <w:tc>
          <w:tcPr>
            <w:tcW w:w="3672" w:type="pct"/>
            <w:gridSpan w:val="7"/>
            <w:tcBorders>
              <w:top w:val="single" w:sz="4" w:space="0" w:color="auto"/>
              <w:left w:val="single" w:sz="6" w:space="0" w:color="auto"/>
              <w:bottom w:val="single" w:sz="4" w:space="0" w:color="auto"/>
              <w:right w:val="single" w:sz="6" w:space="0" w:color="auto"/>
            </w:tcBorders>
            <w:hideMark/>
          </w:tcPr>
          <w:p w14:paraId="57AB0462" w14:textId="77777777" w:rsidR="00D853AB" w:rsidRPr="000038A7" w:rsidRDefault="00D853AB" w:rsidP="00331F85">
            <w:pPr>
              <w:pStyle w:val="wcpTableColHeader"/>
              <w:spacing w:before="20" w:after="20"/>
              <w:rPr>
                <w:bCs/>
                <w:sz w:val="20"/>
                <w:lang w:val="en-GB"/>
              </w:rPr>
            </w:pPr>
            <w:r w:rsidRPr="000038A7">
              <w:rPr>
                <w:bCs/>
                <w:sz w:val="20"/>
                <w:lang w:val="en-GB"/>
              </w:rPr>
              <w:t xml:space="preserve">% </w:t>
            </w:r>
            <w:proofErr w:type="spellStart"/>
            <w:r w:rsidRPr="000038A7">
              <w:rPr>
                <w:bCs/>
                <w:sz w:val="20"/>
                <w:lang w:val="en-GB"/>
              </w:rPr>
              <w:t>Seroprotection</w:t>
            </w:r>
            <w:proofErr w:type="spellEnd"/>
            <w:r w:rsidRPr="000038A7">
              <w:rPr>
                <w:bCs/>
                <w:sz w:val="20"/>
                <w:lang w:val="en-GB"/>
              </w:rPr>
              <w:t>/Seropositivity</w:t>
            </w:r>
          </w:p>
        </w:tc>
      </w:tr>
      <w:tr w:rsidR="00D853AB" w:rsidRPr="000038A7" w14:paraId="4478E40E" w14:textId="77777777" w:rsidTr="005420A5">
        <w:trPr>
          <w:trHeight w:val="260"/>
          <w:tblHeader/>
          <w:jc w:val="center"/>
        </w:trPr>
        <w:tc>
          <w:tcPr>
            <w:tcW w:w="765" w:type="pct"/>
            <w:vMerge w:val="restart"/>
            <w:tcBorders>
              <w:top w:val="single" w:sz="4" w:space="0" w:color="auto"/>
              <w:left w:val="single" w:sz="6" w:space="0" w:color="auto"/>
              <w:bottom w:val="single" w:sz="4" w:space="0" w:color="auto"/>
              <w:right w:val="single" w:sz="6" w:space="0" w:color="auto"/>
            </w:tcBorders>
            <w:vAlign w:val="center"/>
            <w:hideMark/>
          </w:tcPr>
          <w:p w14:paraId="1CA635A0" w14:textId="77777777" w:rsidR="00D853AB" w:rsidRPr="000038A7" w:rsidRDefault="00D853AB" w:rsidP="00331F85">
            <w:pPr>
              <w:pStyle w:val="wcpTableColHeader"/>
              <w:spacing w:before="20" w:after="20"/>
              <w:jc w:val="left"/>
              <w:rPr>
                <w:sz w:val="20"/>
                <w:lang w:val="en-GB"/>
              </w:rPr>
            </w:pPr>
            <w:r w:rsidRPr="000038A7">
              <w:rPr>
                <w:sz w:val="20"/>
                <w:lang w:val="en-GB"/>
              </w:rPr>
              <w:t>Diphtheria</w:t>
            </w:r>
          </w:p>
          <w:p w14:paraId="2F63E9A8" w14:textId="77777777" w:rsidR="00D853AB" w:rsidRPr="000038A7" w:rsidRDefault="00D853AB" w:rsidP="00331F85">
            <w:pPr>
              <w:pStyle w:val="wcpTableColHeader"/>
              <w:spacing w:before="20" w:after="20"/>
              <w:jc w:val="left"/>
              <w:rPr>
                <w:b w:val="0"/>
                <w:sz w:val="20"/>
                <w:lang w:val="en-GB"/>
              </w:rPr>
            </w:pPr>
            <w:r w:rsidRPr="000038A7">
              <w:rPr>
                <w:b w:val="0"/>
                <w:sz w:val="20"/>
                <w:lang w:val="en-GB"/>
              </w:rPr>
              <w:t>(SN, IU/mL)</w:t>
            </w:r>
          </w:p>
        </w:tc>
        <w:tc>
          <w:tcPr>
            <w:tcW w:w="563" w:type="pct"/>
            <w:tcBorders>
              <w:top w:val="single" w:sz="4" w:space="0" w:color="auto"/>
              <w:left w:val="single" w:sz="6" w:space="0" w:color="auto"/>
              <w:bottom w:val="single" w:sz="4" w:space="0" w:color="auto"/>
              <w:right w:val="single" w:sz="6" w:space="0" w:color="auto"/>
            </w:tcBorders>
          </w:tcPr>
          <w:p w14:paraId="2707A428" w14:textId="77777777" w:rsidR="00D853AB" w:rsidRPr="000038A7" w:rsidRDefault="00D853AB" w:rsidP="00331F85">
            <w:pPr>
              <w:pStyle w:val="wcpTableColHeader"/>
              <w:spacing w:before="20" w:after="20"/>
              <w:jc w:val="left"/>
              <w:rPr>
                <w:b w:val="0"/>
                <w:sz w:val="20"/>
                <w:lang w:val="en-GB"/>
              </w:rPr>
            </w:pPr>
            <w:r w:rsidRPr="000038A7">
              <w:rPr>
                <w:b w:val="0"/>
                <w:sz w:val="20"/>
                <w:lang w:val="en-GB"/>
              </w:rPr>
              <w:t xml:space="preserve">≥ 0.1 </w:t>
            </w:r>
          </w:p>
          <w:p w14:paraId="6B314900" w14:textId="77777777" w:rsidR="00D853AB" w:rsidRPr="000038A7" w:rsidRDefault="00D853AB" w:rsidP="00331F85">
            <w:pPr>
              <w:pStyle w:val="wcpTableColHeader"/>
              <w:spacing w:before="20" w:after="20"/>
              <w:jc w:val="left"/>
              <w:rPr>
                <w:b w:val="0"/>
                <w:sz w:val="20"/>
                <w:lang w:val="en-GB"/>
              </w:rPr>
            </w:pPr>
          </w:p>
        </w:tc>
        <w:tc>
          <w:tcPr>
            <w:tcW w:w="522" w:type="pct"/>
            <w:tcBorders>
              <w:top w:val="single" w:sz="4" w:space="0" w:color="auto"/>
              <w:left w:val="single" w:sz="6" w:space="0" w:color="auto"/>
              <w:bottom w:val="single" w:sz="4" w:space="0" w:color="auto"/>
              <w:right w:val="single" w:sz="6" w:space="0" w:color="auto"/>
            </w:tcBorders>
            <w:hideMark/>
          </w:tcPr>
          <w:p w14:paraId="5CCA8739" w14:textId="77777777" w:rsidR="00D853AB" w:rsidRPr="000038A7" w:rsidRDefault="00D853AB" w:rsidP="00331F85">
            <w:pPr>
              <w:pStyle w:val="wcpTableColHeader"/>
              <w:spacing w:before="20" w:after="20"/>
              <w:rPr>
                <w:b w:val="0"/>
                <w:sz w:val="20"/>
                <w:lang w:val="en-GB"/>
              </w:rPr>
            </w:pPr>
            <w:r w:rsidRPr="000038A7">
              <w:rPr>
                <w:b w:val="0"/>
                <w:sz w:val="20"/>
                <w:lang w:val="en-GB"/>
              </w:rPr>
              <w:t>86.0</w:t>
            </w:r>
          </w:p>
        </w:tc>
        <w:tc>
          <w:tcPr>
            <w:tcW w:w="450" w:type="pct"/>
            <w:tcBorders>
              <w:top w:val="single" w:sz="4" w:space="0" w:color="auto"/>
              <w:left w:val="single" w:sz="6" w:space="0" w:color="auto"/>
              <w:bottom w:val="single" w:sz="4" w:space="0" w:color="auto"/>
              <w:right w:val="single" w:sz="6" w:space="0" w:color="auto"/>
            </w:tcBorders>
            <w:hideMark/>
          </w:tcPr>
          <w:p w14:paraId="60B28A38" w14:textId="77777777" w:rsidR="00D853AB" w:rsidRPr="000038A7" w:rsidRDefault="00D853AB" w:rsidP="00331F85">
            <w:pPr>
              <w:pStyle w:val="wcpTableColHeader"/>
              <w:spacing w:before="20" w:after="20"/>
              <w:rPr>
                <w:b w:val="0"/>
                <w:sz w:val="20"/>
                <w:lang w:val="en-GB"/>
              </w:rPr>
            </w:pPr>
            <w:r w:rsidRPr="000038A7">
              <w:rPr>
                <w:b w:val="0"/>
                <w:sz w:val="20"/>
                <w:lang w:val="en-GB"/>
              </w:rPr>
              <w:t>97.0</w:t>
            </w:r>
          </w:p>
        </w:tc>
        <w:tc>
          <w:tcPr>
            <w:tcW w:w="547" w:type="pct"/>
            <w:tcBorders>
              <w:top w:val="single" w:sz="4" w:space="0" w:color="auto"/>
              <w:left w:val="single" w:sz="6" w:space="0" w:color="auto"/>
              <w:bottom w:val="single" w:sz="4" w:space="0" w:color="auto"/>
              <w:right w:val="single" w:sz="6" w:space="0" w:color="auto"/>
            </w:tcBorders>
            <w:hideMark/>
          </w:tcPr>
          <w:p w14:paraId="3C6D717E" w14:textId="77777777" w:rsidR="00D853AB" w:rsidRPr="000038A7" w:rsidRDefault="00D853AB" w:rsidP="00331F85">
            <w:pPr>
              <w:pStyle w:val="wcpTableColHeader"/>
              <w:spacing w:before="20" w:after="20"/>
              <w:rPr>
                <w:b w:val="0"/>
                <w:sz w:val="20"/>
                <w:lang w:val="en-GB"/>
              </w:rPr>
            </w:pPr>
            <w:r w:rsidRPr="000038A7">
              <w:rPr>
                <w:b w:val="0"/>
                <w:sz w:val="20"/>
                <w:lang w:val="en-GB"/>
              </w:rPr>
              <w:t>95.1</w:t>
            </w:r>
          </w:p>
        </w:tc>
        <w:tc>
          <w:tcPr>
            <w:tcW w:w="550" w:type="pct"/>
            <w:tcBorders>
              <w:top w:val="single" w:sz="4" w:space="0" w:color="auto"/>
              <w:left w:val="single" w:sz="6" w:space="0" w:color="auto"/>
              <w:bottom w:val="single" w:sz="4" w:space="0" w:color="auto"/>
              <w:right w:val="single" w:sz="6" w:space="0" w:color="auto"/>
            </w:tcBorders>
            <w:hideMark/>
          </w:tcPr>
          <w:p w14:paraId="4DA7BEDF" w14:textId="77777777" w:rsidR="00D853AB" w:rsidRPr="000038A7" w:rsidRDefault="00D853AB" w:rsidP="00331F85">
            <w:pPr>
              <w:pStyle w:val="wcpTableColHeader"/>
              <w:spacing w:before="20" w:after="20"/>
              <w:rPr>
                <w:b w:val="0"/>
                <w:sz w:val="20"/>
                <w:lang w:val="en-GB"/>
              </w:rPr>
            </w:pPr>
            <w:r w:rsidRPr="000038A7">
              <w:rPr>
                <w:b w:val="0"/>
                <w:sz w:val="20"/>
                <w:lang w:val="en-GB"/>
              </w:rPr>
              <w:t>94.9</w:t>
            </w:r>
          </w:p>
        </w:tc>
        <w:tc>
          <w:tcPr>
            <w:tcW w:w="541" w:type="pct"/>
            <w:tcBorders>
              <w:top w:val="single" w:sz="4" w:space="0" w:color="auto"/>
              <w:left w:val="single" w:sz="6" w:space="0" w:color="auto"/>
              <w:bottom w:val="single" w:sz="4" w:space="0" w:color="auto"/>
              <w:right w:val="single" w:sz="6" w:space="0" w:color="auto"/>
            </w:tcBorders>
            <w:hideMark/>
          </w:tcPr>
          <w:p w14:paraId="37525185" w14:textId="77777777" w:rsidR="00D853AB" w:rsidRPr="000038A7" w:rsidRDefault="00D853AB" w:rsidP="00331F85">
            <w:pPr>
              <w:pStyle w:val="wcpTableColHeader"/>
              <w:spacing w:before="20" w:after="20"/>
              <w:rPr>
                <w:b w:val="0"/>
                <w:sz w:val="20"/>
                <w:lang w:val="en-GB"/>
              </w:rPr>
            </w:pPr>
            <w:r w:rsidRPr="000038A7">
              <w:rPr>
                <w:b w:val="0"/>
                <w:sz w:val="20"/>
                <w:lang w:val="en-GB"/>
              </w:rPr>
              <w:t>81.2</w:t>
            </w:r>
          </w:p>
        </w:tc>
        <w:tc>
          <w:tcPr>
            <w:tcW w:w="494" w:type="pct"/>
            <w:tcBorders>
              <w:top w:val="single" w:sz="4" w:space="0" w:color="auto"/>
              <w:left w:val="single" w:sz="6" w:space="0" w:color="auto"/>
              <w:bottom w:val="single" w:sz="4" w:space="0" w:color="auto"/>
              <w:right w:val="single" w:sz="6" w:space="0" w:color="auto"/>
            </w:tcBorders>
            <w:hideMark/>
          </w:tcPr>
          <w:p w14:paraId="6C0E335B" w14:textId="77777777" w:rsidR="00D853AB" w:rsidRPr="000038A7" w:rsidRDefault="00D853AB" w:rsidP="00331F85">
            <w:pPr>
              <w:pStyle w:val="wcpTableColHeader"/>
              <w:spacing w:before="20" w:after="20"/>
              <w:rPr>
                <w:b w:val="0"/>
                <w:sz w:val="20"/>
                <w:lang w:val="en-GB"/>
              </w:rPr>
            </w:pPr>
            <w:r w:rsidRPr="000038A7">
              <w:rPr>
                <w:b w:val="0"/>
                <w:sz w:val="20"/>
                <w:lang w:val="en-GB"/>
              </w:rPr>
              <w:t>81.1</w:t>
            </w:r>
          </w:p>
        </w:tc>
        <w:tc>
          <w:tcPr>
            <w:tcW w:w="568" w:type="pct"/>
            <w:tcBorders>
              <w:top w:val="single" w:sz="4" w:space="0" w:color="auto"/>
              <w:left w:val="single" w:sz="6" w:space="0" w:color="auto"/>
              <w:bottom w:val="single" w:sz="4" w:space="0" w:color="auto"/>
              <w:right w:val="single" w:sz="6" w:space="0" w:color="auto"/>
            </w:tcBorders>
            <w:hideMark/>
          </w:tcPr>
          <w:p w14:paraId="77D5144E" w14:textId="77777777" w:rsidR="00D853AB" w:rsidRPr="000038A7" w:rsidRDefault="00D853AB" w:rsidP="00331F85">
            <w:pPr>
              <w:pStyle w:val="wcpTableColHeader"/>
              <w:spacing w:before="20" w:after="20"/>
              <w:rPr>
                <w:b w:val="0"/>
                <w:sz w:val="20"/>
                <w:lang w:val="en-GB"/>
              </w:rPr>
            </w:pPr>
            <w:r w:rsidRPr="000038A7">
              <w:rPr>
                <w:b w:val="0"/>
                <w:sz w:val="20"/>
                <w:lang w:val="en-GB"/>
              </w:rPr>
              <w:t>84.6</w:t>
            </w:r>
          </w:p>
        </w:tc>
      </w:tr>
      <w:tr w:rsidR="00D853AB" w:rsidRPr="000038A7" w14:paraId="1DE88F3D" w14:textId="77777777" w:rsidTr="005420A5">
        <w:trPr>
          <w:trHeight w:val="260"/>
          <w:tblHeader/>
          <w:jc w:val="center"/>
        </w:trPr>
        <w:tc>
          <w:tcPr>
            <w:tcW w:w="765" w:type="pct"/>
            <w:vMerge/>
            <w:tcBorders>
              <w:top w:val="single" w:sz="4" w:space="0" w:color="auto"/>
              <w:left w:val="single" w:sz="6" w:space="0" w:color="auto"/>
              <w:bottom w:val="single" w:sz="4" w:space="0" w:color="auto"/>
              <w:right w:val="single" w:sz="6" w:space="0" w:color="auto"/>
            </w:tcBorders>
            <w:vAlign w:val="center"/>
            <w:hideMark/>
          </w:tcPr>
          <w:p w14:paraId="6CD1C054" w14:textId="77777777" w:rsidR="00D853AB" w:rsidRPr="000038A7" w:rsidRDefault="00D853AB" w:rsidP="00331F85">
            <w:pPr>
              <w:rPr>
                <w:sz w:val="20"/>
                <w:lang w:val="en-GB" w:eastAsia="en-US"/>
              </w:rPr>
            </w:pPr>
          </w:p>
        </w:tc>
        <w:tc>
          <w:tcPr>
            <w:tcW w:w="563" w:type="pct"/>
            <w:tcBorders>
              <w:top w:val="single" w:sz="4" w:space="0" w:color="auto"/>
              <w:left w:val="single" w:sz="6" w:space="0" w:color="auto"/>
              <w:bottom w:val="single" w:sz="4" w:space="0" w:color="auto"/>
              <w:right w:val="single" w:sz="6" w:space="0" w:color="auto"/>
            </w:tcBorders>
            <w:hideMark/>
          </w:tcPr>
          <w:p w14:paraId="45CC4F26" w14:textId="77777777" w:rsidR="00D853AB" w:rsidRPr="000038A7" w:rsidRDefault="00D853AB" w:rsidP="00331F85">
            <w:pPr>
              <w:pStyle w:val="wcpTableColHeader"/>
              <w:spacing w:before="20" w:after="20"/>
              <w:jc w:val="left"/>
              <w:rPr>
                <w:b w:val="0"/>
                <w:sz w:val="20"/>
                <w:lang w:val="en-GB"/>
              </w:rPr>
            </w:pPr>
            <w:r w:rsidRPr="000038A7">
              <w:rPr>
                <w:b w:val="0"/>
                <w:sz w:val="20"/>
                <w:lang w:val="en-GB"/>
              </w:rPr>
              <w:t xml:space="preserve">≥ 0.01 </w:t>
            </w:r>
          </w:p>
        </w:tc>
        <w:tc>
          <w:tcPr>
            <w:tcW w:w="522" w:type="pct"/>
            <w:tcBorders>
              <w:top w:val="single" w:sz="4" w:space="0" w:color="auto"/>
              <w:left w:val="single" w:sz="6" w:space="0" w:color="auto"/>
              <w:bottom w:val="single" w:sz="4" w:space="0" w:color="auto"/>
              <w:right w:val="single" w:sz="6" w:space="0" w:color="auto"/>
            </w:tcBorders>
            <w:hideMark/>
          </w:tcPr>
          <w:p w14:paraId="4A054FBA" w14:textId="77777777" w:rsidR="00D853AB" w:rsidRPr="000038A7" w:rsidRDefault="00D853AB" w:rsidP="00331F85">
            <w:pPr>
              <w:pStyle w:val="wcpTableColHeader"/>
              <w:spacing w:before="20" w:after="20"/>
              <w:rPr>
                <w:b w:val="0"/>
                <w:sz w:val="20"/>
                <w:lang w:val="en-GB"/>
              </w:rPr>
            </w:pPr>
            <w:r w:rsidRPr="000038A7">
              <w:rPr>
                <w:b w:val="0"/>
                <w:sz w:val="20"/>
                <w:lang w:val="en-GB"/>
              </w:rPr>
              <w:t>100</w:t>
            </w:r>
          </w:p>
        </w:tc>
        <w:tc>
          <w:tcPr>
            <w:tcW w:w="450" w:type="pct"/>
            <w:tcBorders>
              <w:top w:val="single" w:sz="4" w:space="0" w:color="auto"/>
              <w:left w:val="single" w:sz="6" w:space="0" w:color="auto"/>
              <w:bottom w:val="single" w:sz="4" w:space="0" w:color="auto"/>
              <w:right w:val="single" w:sz="6" w:space="0" w:color="auto"/>
            </w:tcBorders>
            <w:hideMark/>
          </w:tcPr>
          <w:p w14:paraId="48D07420" w14:textId="77777777" w:rsidR="00D853AB" w:rsidRPr="000038A7" w:rsidRDefault="00D853AB" w:rsidP="00331F85">
            <w:pPr>
              <w:pStyle w:val="wcpTableColHeader"/>
              <w:spacing w:before="20" w:after="20"/>
              <w:rPr>
                <w:b w:val="0"/>
                <w:sz w:val="20"/>
                <w:lang w:val="en-GB"/>
              </w:rPr>
            </w:pPr>
            <w:r w:rsidRPr="000038A7">
              <w:rPr>
                <w:b w:val="0"/>
                <w:sz w:val="20"/>
                <w:lang w:val="en-GB"/>
              </w:rPr>
              <w:t>100</w:t>
            </w:r>
          </w:p>
        </w:tc>
        <w:tc>
          <w:tcPr>
            <w:tcW w:w="547" w:type="pct"/>
            <w:tcBorders>
              <w:top w:val="single" w:sz="4" w:space="0" w:color="auto"/>
              <w:left w:val="single" w:sz="6" w:space="0" w:color="auto"/>
              <w:bottom w:val="single" w:sz="4" w:space="0" w:color="auto"/>
              <w:right w:val="single" w:sz="6" w:space="0" w:color="auto"/>
            </w:tcBorders>
            <w:hideMark/>
          </w:tcPr>
          <w:p w14:paraId="0003DC80" w14:textId="77777777" w:rsidR="00D853AB" w:rsidRPr="000038A7" w:rsidRDefault="00D853AB" w:rsidP="00331F85">
            <w:pPr>
              <w:pStyle w:val="wcpTableColHeader"/>
              <w:spacing w:before="20" w:after="20"/>
              <w:rPr>
                <w:b w:val="0"/>
                <w:sz w:val="20"/>
                <w:lang w:val="en-GB"/>
              </w:rPr>
            </w:pPr>
            <w:r w:rsidRPr="000038A7">
              <w:rPr>
                <w:b w:val="0"/>
                <w:sz w:val="20"/>
                <w:lang w:val="en-GB"/>
              </w:rPr>
              <w:t>100</w:t>
            </w:r>
          </w:p>
        </w:tc>
        <w:tc>
          <w:tcPr>
            <w:tcW w:w="550" w:type="pct"/>
            <w:tcBorders>
              <w:top w:val="single" w:sz="4" w:space="0" w:color="auto"/>
              <w:left w:val="single" w:sz="6" w:space="0" w:color="auto"/>
              <w:bottom w:val="single" w:sz="4" w:space="0" w:color="auto"/>
              <w:right w:val="single" w:sz="6" w:space="0" w:color="auto"/>
            </w:tcBorders>
            <w:hideMark/>
          </w:tcPr>
          <w:p w14:paraId="2F2ECB0E" w14:textId="77777777" w:rsidR="00D853AB" w:rsidRPr="000038A7" w:rsidRDefault="00D853AB" w:rsidP="00331F85">
            <w:pPr>
              <w:pStyle w:val="wcpTableColHeader"/>
              <w:spacing w:before="20" w:after="20"/>
              <w:rPr>
                <w:b w:val="0"/>
                <w:sz w:val="20"/>
                <w:lang w:val="en-GB"/>
              </w:rPr>
            </w:pPr>
            <w:r w:rsidRPr="000038A7">
              <w:rPr>
                <w:b w:val="0"/>
                <w:sz w:val="20"/>
                <w:lang w:val="en-GB"/>
              </w:rPr>
              <w:t>100</w:t>
            </w:r>
          </w:p>
        </w:tc>
        <w:tc>
          <w:tcPr>
            <w:tcW w:w="541" w:type="pct"/>
            <w:tcBorders>
              <w:top w:val="single" w:sz="4" w:space="0" w:color="auto"/>
              <w:left w:val="single" w:sz="6" w:space="0" w:color="auto"/>
              <w:bottom w:val="single" w:sz="4" w:space="0" w:color="auto"/>
              <w:right w:val="single" w:sz="6" w:space="0" w:color="auto"/>
            </w:tcBorders>
            <w:hideMark/>
          </w:tcPr>
          <w:p w14:paraId="3130A68A" w14:textId="77777777" w:rsidR="00D853AB" w:rsidRPr="000038A7" w:rsidRDefault="00D853AB" w:rsidP="00331F85">
            <w:pPr>
              <w:pStyle w:val="wcpTableColHeader"/>
              <w:spacing w:before="20" w:after="20"/>
              <w:rPr>
                <w:b w:val="0"/>
                <w:sz w:val="20"/>
                <w:lang w:val="en-GB"/>
              </w:rPr>
            </w:pPr>
            <w:r w:rsidRPr="000038A7">
              <w:rPr>
                <w:b w:val="0"/>
                <w:sz w:val="20"/>
                <w:lang w:val="en-GB"/>
              </w:rPr>
              <w:t>95.2</w:t>
            </w:r>
          </w:p>
        </w:tc>
        <w:tc>
          <w:tcPr>
            <w:tcW w:w="494" w:type="pct"/>
            <w:tcBorders>
              <w:top w:val="single" w:sz="4" w:space="0" w:color="auto"/>
              <w:left w:val="single" w:sz="6" w:space="0" w:color="auto"/>
              <w:bottom w:val="single" w:sz="4" w:space="0" w:color="auto"/>
              <w:right w:val="single" w:sz="6" w:space="0" w:color="auto"/>
            </w:tcBorders>
            <w:hideMark/>
          </w:tcPr>
          <w:p w14:paraId="3271C441" w14:textId="77777777" w:rsidR="00D853AB" w:rsidRPr="000038A7" w:rsidRDefault="00D853AB" w:rsidP="00331F85">
            <w:pPr>
              <w:pStyle w:val="wcpTableColHeader"/>
              <w:spacing w:before="20" w:after="20"/>
              <w:rPr>
                <w:b w:val="0"/>
                <w:sz w:val="20"/>
                <w:lang w:val="en-GB"/>
              </w:rPr>
            </w:pPr>
            <w:r w:rsidRPr="000038A7">
              <w:rPr>
                <w:b w:val="0"/>
                <w:sz w:val="20"/>
                <w:lang w:val="en-GB"/>
              </w:rPr>
              <w:t>93.7</w:t>
            </w:r>
          </w:p>
        </w:tc>
        <w:tc>
          <w:tcPr>
            <w:tcW w:w="568" w:type="pct"/>
            <w:tcBorders>
              <w:top w:val="single" w:sz="4" w:space="0" w:color="auto"/>
              <w:left w:val="single" w:sz="6" w:space="0" w:color="auto"/>
              <w:bottom w:val="single" w:sz="4" w:space="0" w:color="auto"/>
              <w:right w:val="single" w:sz="6" w:space="0" w:color="auto"/>
            </w:tcBorders>
            <w:hideMark/>
          </w:tcPr>
          <w:p w14:paraId="5182B1B7" w14:textId="77777777" w:rsidR="00D853AB" w:rsidRPr="000038A7" w:rsidRDefault="00D853AB" w:rsidP="00331F85">
            <w:pPr>
              <w:pStyle w:val="wcpTableColHeader"/>
              <w:spacing w:before="20" w:after="20"/>
              <w:rPr>
                <w:b w:val="0"/>
                <w:sz w:val="20"/>
                <w:lang w:val="en-GB"/>
              </w:rPr>
            </w:pPr>
            <w:r w:rsidRPr="000038A7">
              <w:rPr>
                <w:b w:val="0"/>
                <w:sz w:val="20"/>
                <w:lang w:val="en-GB"/>
              </w:rPr>
              <w:t>99.3</w:t>
            </w:r>
          </w:p>
        </w:tc>
      </w:tr>
      <w:tr w:rsidR="00D853AB" w:rsidRPr="000038A7" w14:paraId="4DA136B6" w14:textId="77777777" w:rsidTr="005420A5">
        <w:trPr>
          <w:trHeight w:val="71"/>
          <w:tblHeader/>
          <w:jc w:val="center"/>
        </w:trPr>
        <w:tc>
          <w:tcPr>
            <w:tcW w:w="765" w:type="pct"/>
            <w:tcBorders>
              <w:top w:val="single" w:sz="4" w:space="0" w:color="auto"/>
              <w:left w:val="single" w:sz="6" w:space="0" w:color="auto"/>
              <w:bottom w:val="single" w:sz="4" w:space="0" w:color="auto"/>
              <w:right w:val="single" w:sz="6" w:space="0" w:color="auto"/>
            </w:tcBorders>
            <w:hideMark/>
          </w:tcPr>
          <w:p w14:paraId="7DCBD98B" w14:textId="77777777" w:rsidR="00D853AB" w:rsidRPr="000038A7" w:rsidRDefault="00D853AB" w:rsidP="00331F85">
            <w:pPr>
              <w:pStyle w:val="wcpTableColHeader"/>
              <w:spacing w:before="20" w:after="20"/>
              <w:jc w:val="left"/>
              <w:rPr>
                <w:sz w:val="20"/>
                <w:lang w:val="en-GB"/>
              </w:rPr>
            </w:pPr>
            <w:r w:rsidRPr="000038A7">
              <w:rPr>
                <w:sz w:val="20"/>
                <w:lang w:val="en-GB"/>
              </w:rPr>
              <w:t>Tetanus</w:t>
            </w:r>
          </w:p>
          <w:p w14:paraId="1065A727" w14:textId="77777777" w:rsidR="00D853AB" w:rsidRPr="000038A7" w:rsidRDefault="00D853AB" w:rsidP="00331F85">
            <w:pPr>
              <w:pStyle w:val="wcpTableColHeader"/>
              <w:spacing w:before="20" w:after="20"/>
              <w:jc w:val="left"/>
              <w:rPr>
                <w:b w:val="0"/>
                <w:sz w:val="20"/>
                <w:lang w:val="en-GB"/>
              </w:rPr>
            </w:pPr>
            <w:r w:rsidRPr="000038A7">
              <w:rPr>
                <w:b w:val="0"/>
                <w:sz w:val="20"/>
                <w:lang w:val="en-GB"/>
              </w:rPr>
              <w:t>(ELISA, IU/mL)</w:t>
            </w:r>
          </w:p>
        </w:tc>
        <w:tc>
          <w:tcPr>
            <w:tcW w:w="563" w:type="pct"/>
            <w:tcBorders>
              <w:top w:val="single" w:sz="4" w:space="0" w:color="auto"/>
              <w:left w:val="single" w:sz="6" w:space="0" w:color="auto"/>
              <w:bottom w:val="single" w:sz="4" w:space="0" w:color="auto"/>
              <w:right w:val="single" w:sz="6" w:space="0" w:color="auto"/>
            </w:tcBorders>
            <w:vAlign w:val="center"/>
            <w:hideMark/>
          </w:tcPr>
          <w:p w14:paraId="26CA4E2C" w14:textId="77777777" w:rsidR="00D853AB" w:rsidRPr="000038A7" w:rsidRDefault="00D853AB" w:rsidP="00331F85">
            <w:pPr>
              <w:pStyle w:val="wcpTableColHeader"/>
              <w:spacing w:before="20" w:after="20"/>
              <w:jc w:val="left"/>
              <w:rPr>
                <w:b w:val="0"/>
                <w:sz w:val="20"/>
                <w:lang w:val="en-GB"/>
              </w:rPr>
            </w:pPr>
            <w:r w:rsidRPr="000038A7">
              <w:rPr>
                <w:b w:val="0"/>
                <w:sz w:val="20"/>
                <w:lang w:val="en-GB"/>
              </w:rPr>
              <w:t xml:space="preserve">≥ 0.1 </w:t>
            </w:r>
          </w:p>
        </w:tc>
        <w:tc>
          <w:tcPr>
            <w:tcW w:w="522" w:type="pct"/>
            <w:tcBorders>
              <w:top w:val="single" w:sz="4" w:space="0" w:color="auto"/>
              <w:left w:val="single" w:sz="6" w:space="0" w:color="auto"/>
              <w:bottom w:val="single" w:sz="4" w:space="0" w:color="auto"/>
              <w:right w:val="single" w:sz="6" w:space="0" w:color="auto"/>
            </w:tcBorders>
            <w:vAlign w:val="center"/>
            <w:hideMark/>
          </w:tcPr>
          <w:p w14:paraId="3A25C101" w14:textId="77777777" w:rsidR="00D853AB" w:rsidRPr="000038A7" w:rsidRDefault="00D853AB" w:rsidP="00331F85">
            <w:pPr>
              <w:pStyle w:val="wcpTableColHeader"/>
              <w:spacing w:before="20" w:after="20"/>
              <w:rPr>
                <w:b w:val="0"/>
                <w:sz w:val="20"/>
                <w:lang w:val="en-GB"/>
              </w:rPr>
            </w:pPr>
            <w:r w:rsidRPr="000038A7">
              <w:rPr>
                <w:b w:val="0"/>
                <w:sz w:val="20"/>
                <w:lang w:val="en-GB"/>
              </w:rPr>
              <w:t>97.3</w:t>
            </w:r>
          </w:p>
        </w:tc>
        <w:tc>
          <w:tcPr>
            <w:tcW w:w="450" w:type="pct"/>
            <w:tcBorders>
              <w:top w:val="single" w:sz="4" w:space="0" w:color="auto"/>
              <w:left w:val="single" w:sz="6" w:space="0" w:color="auto"/>
              <w:bottom w:val="single" w:sz="4" w:space="0" w:color="auto"/>
              <w:right w:val="single" w:sz="6" w:space="0" w:color="auto"/>
            </w:tcBorders>
            <w:vAlign w:val="center"/>
            <w:hideMark/>
          </w:tcPr>
          <w:p w14:paraId="556A2718" w14:textId="77777777" w:rsidR="00D853AB" w:rsidRPr="000038A7" w:rsidRDefault="00D853AB" w:rsidP="00331F85">
            <w:pPr>
              <w:pStyle w:val="wcpTableColHeader"/>
              <w:spacing w:before="20" w:after="20"/>
              <w:rPr>
                <w:b w:val="0"/>
                <w:sz w:val="20"/>
                <w:lang w:val="en-GB"/>
              </w:rPr>
            </w:pPr>
            <w:r w:rsidRPr="000038A7">
              <w:rPr>
                <w:b w:val="0"/>
                <w:sz w:val="20"/>
                <w:lang w:val="en-GB"/>
              </w:rPr>
              <w:t>100</w:t>
            </w:r>
          </w:p>
        </w:tc>
        <w:tc>
          <w:tcPr>
            <w:tcW w:w="547" w:type="pct"/>
            <w:tcBorders>
              <w:top w:val="single" w:sz="4" w:space="0" w:color="auto"/>
              <w:left w:val="single" w:sz="6" w:space="0" w:color="auto"/>
              <w:bottom w:val="single" w:sz="4" w:space="0" w:color="auto"/>
              <w:right w:val="single" w:sz="6" w:space="0" w:color="auto"/>
            </w:tcBorders>
            <w:vAlign w:val="center"/>
            <w:hideMark/>
          </w:tcPr>
          <w:p w14:paraId="646A947D" w14:textId="77777777" w:rsidR="00D853AB" w:rsidRPr="000038A7" w:rsidRDefault="00D853AB" w:rsidP="00331F85">
            <w:pPr>
              <w:pStyle w:val="wcpTableColHeader"/>
              <w:spacing w:before="20" w:after="20"/>
              <w:rPr>
                <w:b w:val="0"/>
                <w:sz w:val="20"/>
                <w:lang w:val="en-GB"/>
              </w:rPr>
            </w:pPr>
            <w:r w:rsidRPr="000038A7">
              <w:rPr>
                <w:b w:val="0"/>
                <w:sz w:val="20"/>
                <w:lang w:val="en-GB"/>
              </w:rPr>
              <w:t>100</w:t>
            </w:r>
          </w:p>
        </w:tc>
        <w:tc>
          <w:tcPr>
            <w:tcW w:w="550" w:type="pct"/>
            <w:tcBorders>
              <w:top w:val="single" w:sz="4" w:space="0" w:color="auto"/>
              <w:left w:val="single" w:sz="6" w:space="0" w:color="auto"/>
              <w:bottom w:val="single" w:sz="4" w:space="0" w:color="auto"/>
              <w:right w:val="single" w:sz="6" w:space="0" w:color="auto"/>
            </w:tcBorders>
            <w:vAlign w:val="center"/>
            <w:hideMark/>
          </w:tcPr>
          <w:p w14:paraId="67CF7844" w14:textId="77777777" w:rsidR="00D853AB" w:rsidRPr="000038A7" w:rsidRDefault="00D853AB" w:rsidP="00331F85">
            <w:pPr>
              <w:pStyle w:val="wcpTableColHeader"/>
              <w:spacing w:before="20" w:after="20"/>
              <w:rPr>
                <w:b w:val="0"/>
                <w:sz w:val="20"/>
                <w:lang w:val="en-GB"/>
              </w:rPr>
            </w:pPr>
            <w:r w:rsidRPr="000038A7">
              <w:rPr>
                <w:b w:val="0"/>
                <w:sz w:val="20"/>
                <w:lang w:val="en-GB"/>
              </w:rPr>
              <w:t>100</w:t>
            </w:r>
          </w:p>
        </w:tc>
        <w:tc>
          <w:tcPr>
            <w:tcW w:w="541" w:type="pct"/>
            <w:tcBorders>
              <w:top w:val="single" w:sz="4" w:space="0" w:color="auto"/>
              <w:left w:val="single" w:sz="6" w:space="0" w:color="auto"/>
              <w:bottom w:val="single" w:sz="4" w:space="0" w:color="auto"/>
              <w:right w:val="single" w:sz="6" w:space="0" w:color="auto"/>
            </w:tcBorders>
            <w:vAlign w:val="center"/>
            <w:hideMark/>
          </w:tcPr>
          <w:p w14:paraId="1D45C862" w14:textId="77777777" w:rsidR="00D853AB" w:rsidRPr="000038A7" w:rsidRDefault="00D853AB" w:rsidP="00331F85">
            <w:pPr>
              <w:pStyle w:val="wcpTableColHeader"/>
              <w:spacing w:before="20" w:after="20"/>
              <w:rPr>
                <w:b w:val="0"/>
                <w:sz w:val="20"/>
                <w:lang w:val="en-GB"/>
              </w:rPr>
            </w:pPr>
            <w:r w:rsidRPr="000038A7">
              <w:rPr>
                <w:b w:val="0"/>
                <w:sz w:val="20"/>
                <w:lang w:val="en-GB"/>
              </w:rPr>
              <w:t>99.0</w:t>
            </w:r>
          </w:p>
        </w:tc>
        <w:tc>
          <w:tcPr>
            <w:tcW w:w="494" w:type="pct"/>
            <w:tcBorders>
              <w:top w:val="single" w:sz="4" w:space="0" w:color="auto"/>
              <w:left w:val="single" w:sz="6" w:space="0" w:color="auto"/>
              <w:bottom w:val="single" w:sz="4" w:space="0" w:color="auto"/>
              <w:right w:val="single" w:sz="6" w:space="0" w:color="auto"/>
            </w:tcBorders>
            <w:vAlign w:val="center"/>
            <w:hideMark/>
          </w:tcPr>
          <w:p w14:paraId="19251EDC" w14:textId="77777777" w:rsidR="00D853AB" w:rsidRPr="000038A7" w:rsidRDefault="00D853AB" w:rsidP="00331F85">
            <w:pPr>
              <w:pStyle w:val="wcpTableColHeader"/>
              <w:spacing w:before="20" w:after="20"/>
              <w:rPr>
                <w:b w:val="0"/>
                <w:sz w:val="20"/>
                <w:lang w:val="en-GB"/>
              </w:rPr>
            </w:pPr>
            <w:r w:rsidRPr="000038A7">
              <w:rPr>
                <w:b w:val="0"/>
                <w:sz w:val="20"/>
                <w:lang w:val="en-GB"/>
              </w:rPr>
              <w:t>97.1</w:t>
            </w:r>
          </w:p>
        </w:tc>
        <w:tc>
          <w:tcPr>
            <w:tcW w:w="568" w:type="pct"/>
            <w:tcBorders>
              <w:top w:val="single" w:sz="4" w:space="0" w:color="auto"/>
              <w:left w:val="single" w:sz="6" w:space="0" w:color="auto"/>
              <w:bottom w:val="single" w:sz="4" w:space="0" w:color="auto"/>
              <w:right w:val="single" w:sz="6" w:space="0" w:color="auto"/>
            </w:tcBorders>
            <w:vAlign w:val="center"/>
            <w:hideMark/>
          </w:tcPr>
          <w:p w14:paraId="401DADCC" w14:textId="77777777" w:rsidR="00D853AB" w:rsidRPr="000038A7" w:rsidRDefault="00D853AB" w:rsidP="00331F85">
            <w:pPr>
              <w:pStyle w:val="wcpTableColHeader"/>
              <w:spacing w:before="20" w:after="20"/>
              <w:rPr>
                <w:b w:val="0"/>
                <w:sz w:val="20"/>
                <w:lang w:val="en-GB"/>
              </w:rPr>
            </w:pPr>
            <w:r w:rsidRPr="000038A7">
              <w:rPr>
                <w:b w:val="0"/>
                <w:sz w:val="20"/>
                <w:lang w:val="en-GB"/>
              </w:rPr>
              <w:t>100</w:t>
            </w:r>
          </w:p>
        </w:tc>
      </w:tr>
      <w:tr w:rsidR="00D853AB" w:rsidRPr="000038A7" w14:paraId="78BDA08F" w14:textId="77777777" w:rsidTr="005420A5">
        <w:trPr>
          <w:trHeight w:val="71"/>
          <w:tblHeader/>
          <w:jc w:val="center"/>
        </w:trPr>
        <w:tc>
          <w:tcPr>
            <w:tcW w:w="765" w:type="pct"/>
            <w:tcBorders>
              <w:top w:val="single" w:sz="4" w:space="0" w:color="auto"/>
              <w:left w:val="single" w:sz="6" w:space="0" w:color="auto"/>
              <w:bottom w:val="single" w:sz="4" w:space="0" w:color="auto"/>
              <w:right w:val="single" w:sz="6" w:space="0" w:color="auto"/>
            </w:tcBorders>
            <w:hideMark/>
          </w:tcPr>
          <w:p w14:paraId="3CBCC886" w14:textId="77777777" w:rsidR="00D853AB" w:rsidRPr="000038A7" w:rsidRDefault="00D853AB" w:rsidP="00331F85">
            <w:pPr>
              <w:pStyle w:val="wcpTableColHeader"/>
              <w:spacing w:before="20" w:after="20"/>
              <w:jc w:val="left"/>
              <w:rPr>
                <w:sz w:val="20"/>
                <w:lang w:val="en-GB"/>
              </w:rPr>
            </w:pPr>
            <w:r w:rsidRPr="000038A7">
              <w:rPr>
                <w:sz w:val="20"/>
                <w:lang w:val="en-GB"/>
              </w:rPr>
              <w:t>Pertussis</w:t>
            </w:r>
          </w:p>
          <w:p w14:paraId="31657F71" w14:textId="77777777" w:rsidR="00D853AB" w:rsidRPr="000038A7" w:rsidRDefault="00D853AB" w:rsidP="00331F85">
            <w:pPr>
              <w:pStyle w:val="wcpTableColHeader"/>
              <w:spacing w:before="20" w:after="20"/>
              <w:jc w:val="left"/>
              <w:rPr>
                <w:sz w:val="20"/>
                <w:lang w:val="en-GB"/>
              </w:rPr>
            </w:pPr>
            <w:r w:rsidRPr="000038A7">
              <w:rPr>
                <w:b w:val="0"/>
                <w:sz w:val="20"/>
                <w:lang w:val="en-GB"/>
              </w:rPr>
              <w:t>(ELISA, EU/mL)</w:t>
            </w:r>
          </w:p>
        </w:tc>
        <w:tc>
          <w:tcPr>
            <w:tcW w:w="563" w:type="pct"/>
            <w:vMerge w:val="restart"/>
            <w:tcBorders>
              <w:top w:val="single" w:sz="4" w:space="0" w:color="auto"/>
              <w:left w:val="single" w:sz="6" w:space="0" w:color="auto"/>
              <w:bottom w:val="single" w:sz="6" w:space="0" w:color="auto"/>
              <w:right w:val="single" w:sz="6" w:space="0" w:color="auto"/>
            </w:tcBorders>
            <w:vAlign w:val="center"/>
            <w:hideMark/>
          </w:tcPr>
          <w:p w14:paraId="1DD6E5D3" w14:textId="77777777" w:rsidR="00D853AB" w:rsidRPr="000038A7" w:rsidRDefault="00D853AB" w:rsidP="00331F85">
            <w:pPr>
              <w:pStyle w:val="wcpTableColHeader"/>
              <w:spacing w:before="20" w:after="20"/>
              <w:jc w:val="left"/>
              <w:rPr>
                <w:b w:val="0"/>
                <w:sz w:val="20"/>
                <w:lang w:val="en-GB"/>
              </w:rPr>
            </w:pPr>
            <w:r w:rsidRPr="000038A7">
              <w:rPr>
                <w:b w:val="0"/>
                <w:sz w:val="20"/>
                <w:lang w:val="en-GB"/>
              </w:rPr>
              <w:t>Sero-positivity</w:t>
            </w:r>
            <w:r w:rsidRPr="000038A7">
              <w:rPr>
                <w:b w:val="0"/>
                <w:sz w:val="20"/>
                <w:vertAlign w:val="superscript"/>
                <w:lang w:val="en-GB"/>
              </w:rPr>
              <w:t>4</w:t>
            </w:r>
          </w:p>
        </w:tc>
        <w:tc>
          <w:tcPr>
            <w:tcW w:w="522" w:type="pct"/>
            <w:tcBorders>
              <w:top w:val="single" w:sz="4" w:space="0" w:color="auto"/>
              <w:left w:val="single" w:sz="6" w:space="0" w:color="auto"/>
              <w:bottom w:val="nil"/>
              <w:right w:val="single" w:sz="6" w:space="0" w:color="auto"/>
            </w:tcBorders>
            <w:vAlign w:val="center"/>
          </w:tcPr>
          <w:p w14:paraId="583B85F9" w14:textId="77777777" w:rsidR="00D853AB" w:rsidRPr="000038A7" w:rsidRDefault="00D853AB" w:rsidP="00331F85">
            <w:pPr>
              <w:pStyle w:val="wcpTableColHeader"/>
              <w:spacing w:before="20" w:after="20"/>
              <w:rPr>
                <w:b w:val="0"/>
                <w:sz w:val="20"/>
                <w:lang w:val="en-GB"/>
              </w:rPr>
            </w:pPr>
          </w:p>
        </w:tc>
        <w:tc>
          <w:tcPr>
            <w:tcW w:w="450" w:type="pct"/>
            <w:tcBorders>
              <w:top w:val="single" w:sz="4" w:space="0" w:color="auto"/>
              <w:left w:val="single" w:sz="6" w:space="0" w:color="auto"/>
              <w:bottom w:val="nil"/>
              <w:right w:val="single" w:sz="6" w:space="0" w:color="auto"/>
            </w:tcBorders>
            <w:vAlign w:val="center"/>
          </w:tcPr>
          <w:p w14:paraId="7E8F95BE" w14:textId="77777777" w:rsidR="00D853AB" w:rsidRPr="000038A7" w:rsidRDefault="00D853AB" w:rsidP="00331F85">
            <w:pPr>
              <w:pStyle w:val="wcpTableColHeader"/>
              <w:spacing w:before="20" w:after="20"/>
              <w:rPr>
                <w:b w:val="0"/>
                <w:sz w:val="20"/>
                <w:lang w:val="en-GB"/>
              </w:rPr>
            </w:pPr>
          </w:p>
        </w:tc>
        <w:tc>
          <w:tcPr>
            <w:tcW w:w="547" w:type="pct"/>
            <w:tcBorders>
              <w:top w:val="single" w:sz="4" w:space="0" w:color="auto"/>
              <w:left w:val="single" w:sz="6" w:space="0" w:color="auto"/>
              <w:bottom w:val="nil"/>
              <w:right w:val="single" w:sz="6" w:space="0" w:color="auto"/>
            </w:tcBorders>
            <w:vAlign w:val="center"/>
          </w:tcPr>
          <w:p w14:paraId="657096A1" w14:textId="77777777" w:rsidR="00D853AB" w:rsidRPr="000038A7" w:rsidRDefault="00D853AB" w:rsidP="00331F85">
            <w:pPr>
              <w:pStyle w:val="wcpTableColHeader"/>
              <w:spacing w:before="20" w:after="20"/>
              <w:rPr>
                <w:b w:val="0"/>
                <w:sz w:val="20"/>
                <w:lang w:val="en-GB"/>
              </w:rPr>
            </w:pPr>
          </w:p>
        </w:tc>
        <w:tc>
          <w:tcPr>
            <w:tcW w:w="550" w:type="pct"/>
            <w:tcBorders>
              <w:top w:val="single" w:sz="4" w:space="0" w:color="auto"/>
              <w:left w:val="single" w:sz="6" w:space="0" w:color="auto"/>
              <w:bottom w:val="nil"/>
              <w:right w:val="single" w:sz="6" w:space="0" w:color="auto"/>
            </w:tcBorders>
            <w:vAlign w:val="center"/>
          </w:tcPr>
          <w:p w14:paraId="2B4F7B07" w14:textId="77777777" w:rsidR="00D853AB" w:rsidRPr="000038A7" w:rsidRDefault="00D853AB" w:rsidP="00331F85">
            <w:pPr>
              <w:pStyle w:val="wcpTableColHeader"/>
              <w:spacing w:before="20" w:after="20"/>
              <w:rPr>
                <w:b w:val="0"/>
                <w:sz w:val="20"/>
                <w:lang w:val="en-GB"/>
              </w:rPr>
            </w:pPr>
          </w:p>
        </w:tc>
        <w:tc>
          <w:tcPr>
            <w:tcW w:w="541" w:type="pct"/>
            <w:tcBorders>
              <w:top w:val="single" w:sz="4" w:space="0" w:color="auto"/>
              <w:left w:val="single" w:sz="6" w:space="0" w:color="auto"/>
              <w:bottom w:val="nil"/>
              <w:right w:val="single" w:sz="6" w:space="0" w:color="auto"/>
            </w:tcBorders>
            <w:vAlign w:val="center"/>
          </w:tcPr>
          <w:p w14:paraId="232F7B89" w14:textId="77777777" w:rsidR="00D853AB" w:rsidRPr="000038A7" w:rsidRDefault="00D853AB" w:rsidP="00331F85">
            <w:pPr>
              <w:pStyle w:val="wcpTableColHeader"/>
              <w:spacing w:before="20" w:after="20"/>
              <w:rPr>
                <w:b w:val="0"/>
                <w:sz w:val="20"/>
                <w:lang w:val="en-GB"/>
              </w:rPr>
            </w:pPr>
          </w:p>
        </w:tc>
        <w:tc>
          <w:tcPr>
            <w:tcW w:w="494" w:type="pct"/>
            <w:tcBorders>
              <w:top w:val="single" w:sz="4" w:space="0" w:color="auto"/>
              <w:left w:val="single" w:sz="6" w:space="0" w:color="auto"/>
              <w:bottom w:val="nil"/>
              <w:right w:val="single" w:sz="6" w:space="0" w:color="auto"/>
            </w:tcBorders>
            <w:vAlign w:val="center"/>
          </w:tcPr>
          <w:p w14:paraId="6FA2EEE3" w14:textId="77777777" w:rsidR="00D853AB" w:rsidRPr="000038A7" w:rsidRDefault="00D853AB" w:rsidP="00331F85">
            <w:pPr>
              <w:pStyle w:val="wcpTableColHeader"/>
              <w:spacing w:before="20" w:after="20"/>
              <w:rPr>
                <w:b w:val="0"/>
                <w:sz w:val="20"/>
                <w:lang w:val="en-GB"/>
              </w:rPr>
            </w:pPr>
          </w:p>
        </w:tc>
        <w:tc>
          <w:tcPr>
            <w:tcW w:w="568" w:type="pct"/>
            <w:tcBorders>
              <w:top w:val="single" w:sz="4" w:space="0" w:color="auto"/>
              <w:left w:val="single" w:sz="6" w:space="0" w:color="auto"/>
              <w:bottom w:val="nil"/>
              <w:right w:val="single" w:sz="6" w:space="0" w:color="auto"/>
            </w:tcBorders>
            <w:vAlign w:val="center"/>
          </w:tcPr>
          <w:p w14:paraId="58B37C8A" w14:textId="77777777" w:rsidR="00D853AB" w:rsidRPr="000038A7" w:rsidRDefault="00D853AB" w:rsidP="00331F85">
            <w:pPr>
              <w:pStyle w:val="wcpTableColHeader"/>
              <w:spacing w:before="20" w:after="20"/>
              <w:rPr>
                <w:b w:val="0"/>
                <w:sz w:val="20"/>
                <w:lang w:val="en-GB"/>
              </w:rPr>
            </w:pPr>
          </w:p>
        </w:tc>
      </w:tr>
      <w:tr w:rsidR="00D853AB" w:rsidRPr="000038A7" w14:paraId="1B216B77" w14:textId="77777777" w:rsidTr="005420A5">
        <w:trPr>
          <w:trHeight w:val="71"/>
          <w:tblHeader/>
          <w:jc w:val="center"/>
        </w:trPr>
        <w:tc>
          <w:tcPr>
            <w:tcW w:w="765" w:type="pct"/>
            <w:tcBorders>
              <w:top w:val="single" w:sz="4" w:space="0" w:color="auto"/>
              <w:left w:val="single" w:sz="6" w:space="0" w:color="auto"/>
              <w:bottom w:val="single" w:sz="4" w:space="0" w:color="auto"/>
              <w:right w:val="single" w:sz="6" w:space="0" w:color="auto"/>
            </w:tcBorders>
            <w:hideMark/>
          </w:tcPr>
          <w:p w14:paraId="1DC57368" w14:textId="77777777" w:rsidR="00D853AB" w:rsidRPr="000038A7" w:rsidRDefault="00D853AB" w:rsidP="00331F85">
            <w:pPr>
              <w:pStyle w:val="wcpTableColHeader"/>
              <w:spacing w:before="20" w:after="20"/>
              <w:ind w:left="264"/>
              <w:jc w:val="left"/>
              <w:rPr>
                <w:sz w:val="20"/>
                <w:lang w:val="en-GB"/>
              </w:rPr>
            </w:pPr>
            <w:r w:rsidRPr="000038A7">
              <w:rPr>
                <w:sz w:val="20"/>
                <w:lang w:val="en-GB"/>
              </w:rPr>
              <w:t>PT</w:t>
            </w:r>
          </w:p>
        </w:tc>
        <w:tc>
          <w:tcPr>
            <w:tcW w:w="563" w:type="pct"/>
            <w:vMerge/>
            <w:tcBorders>
              <w:top w:val="single" w:sz="4" w:space="0" w:color="auto"/>
              <w:left w:val="single" w:sz="6" w:space="0" w:color="auto"/>
              <w:bottom w:val="single" w:sz="6" w:space="0" w:color="auto"/>
              <w:right w:val="single" w:sz="6" w:space="0" w:color="auto"/>
            </w:tcBorders>
            <w:vAlign w:val="center"/>
            <w:hideMark/>
          </w:tcPr>
          <w:p w14:paraId="3AE90E29" w14:textId="77777777" w:rsidR="00D853AB" w:rsidRPr="000038A7" w:rsidRDefault="00D853AB" w:rsidP="00331F85">
            <w:pPr>
              <w:rPr>
                <w:sz w:val="20"/>
                <w:lang w:val="en-GB" w:eastAsia="en-US"/>
              </w:rPr>
            </w:pPr>
          </w:p>
        </w:tc>
        <w:tc>
          <w:tcPr>
            <w:tcW w:w="522" w:type="pct"/>
            <w:tcBorders>
              <w:top w:val="nil"/>
              <w:left w:val="single" w:sz="6" w:space="0" w:color="auto"/>
              <w:bottom w:val="single" w:sz="4" w:space="0" w:color="auto"/>
              <w:right w:val="single" w:sz="6" w:space="0" w:color="auto"/>
            </w:tcBorders>
            <w:hideMark/>
          </w:tcPr>
          <w:p w14:paraId="19D10946" w14:textId="77777777" w:rsidR="00D853AB" w:rsidRPr="000038A7" w:rsidRDefault="00D853AB" w:rsidP="00331F85">
            <w:pPr>
              <w:pStyle w:val="wcpTableColHeader"/>
              <w:spacing w:before="20" w:after="20"/>
              <w:rPr>
                <w:b w:val="0"/>
                <w:sz w:val="20"/>
                <w:lang w:val="en-GB"/>
              </w:rPr>
            </w:pPr>
            <w:r w:rsidRPr="000038A7">
              <w:rPr>
                <w:b w:val="0"/>
                <w:sz w:val="20"/>
                <w:lang w:val="en-GB"/>
              </w:rPr>
              <w:t>63.3</w:t>
            </w:r>
          </w:p>
        </w:tc>
        <w:tc>
          <w:tcPr>
            <w:tcW w:w="450" w:type="pct"/>
            <w:tcBorders>
              <w:top w:val="nil"/>
              <w:left w:val="single" w:sz="6" w:space="0" w:color="auto"/>
              <w:bottom w:val="single" w:sz="4" w:space="0" w:color="auto"/>
              <w:right w:val="single" w:sz="6" w:space="0" w:color="auto"/>
            </w:tcBorders>
            <w:hideMark/>
          </w:tcPr>
          <w:p w14:paraId="035D75C2" w14:textId="77777777" w:rsidR="00D853AB" w:rsidRPr="000038A7" w:rsidRDefault="00D853AB" w:rsidP="00331F85">
            <w:pPr>
              <w:pStyle w:val="wcpTableColHeader"/>
              <w:spacing w:before="20" w:after="20"/>
              <w:rPr>
                <w:b w:val="0"/>
                <w:sz w:val="20"/>
                <w:lang w:val="en-GB"/>
              </w:rPr>
            </w:pPr>
            <w:r w:rsidRPr="000038A7">
              <w:rPr>
                <w:b w:val="0"/>
                <w:sz w:val="20"/>
                <w:lang w:val="en-GB"/>
              </w:rPr>
              <w:t>97.3</w:t>
            </w:r>
          </w:p>
        </w:tc>
        <w:tc>
          <w:tcPr>
            <w:tcW w:w="547" w:type="pct"/>
            <w:tcBorders>
              <w:top w:val="nil"/>
              <w:left w:val="single" w:sz="6" w:space="0" w:color="auto"/>
              <w:bottom w:val="single" w:sz="4" w:space="0" w:color="auto"/>
              <w:right w:val="single" w:sz="6" w:space="0" w:color="auto"/>
            </w:tcBorders>
            <w:hideMark/>
          </w:tcPr>
          <w:p w14:paraId="337B5736" w14:textId="77777777" w:rsidR="00D853AB" w:rsidRPr="000038A7" w:rsidRDefault="00D853AB" w:rsidP="00331F85">
            <w:pPr>
              <w:pStyle w:val="wcpTableColHeader"/>
              <w:spacing w:before="20" w:after="20"/>
              <w:rPr>
                <w:b w:val="0"/>
                <w:sz w:val="20"/>
                <w:lang w:val="en-GB"/>
              </w:rPr>
            </w:pPr>
            <w:r w:rsidRPr="000038A7">
              <w:rPr>
                <w:b w:val="0"/>
                <w:sz w:val="20"/>
                <w:lang w:val="en-GB"/>
              </w:rPr>
              <w:t>85.4</w:t>
            </w:r>
          </w:p>
        </w:tc>
        <w:tc>
          <w:tcPr>
            <w:tcW w:w="550" w:type="pct"/>
            <w:tcBorders>
              <w:top w:val="nil"/>
              <w:left w:val="single" w:sz="6" w:space="0" w:color="auto"/>
              <w:bottom w:val="single" w:sz="4" w:space="0" w:color="auto"/>
              <w:right w:val="single" w:sz="6" w:space="0" w:color="auto"/>
            </w:tcBorders>
            <w:hideMark/>
          </w:tcPr>
          <w:p w14:paraId="1DCD9440" w14:textId="77777777" w:rsidR="00D853AB" w:rsidRPr="000038A7" w:rsidRDefault="00D853AB" w:rsidP="00331F85">
            <w:pPr>
              <w:pStyle w:val="wcpTableColHeader"/>
              <w:spacing w:before="20" w:after="20"/>
              <w:rPr>
                <w:b w:val="0"/>
                <w:sz w:val="20"/>
                <w:lang w:val="en-GB"/>
              </w:rPr>
            </w:pPr>
            <w:r w:rsidRPr="000038A7">
              <w:rPr>
                <w:b w:val="0"/>
                <w:sz w:val="20"/>
                <w:lang w:val="en-GB"/>
              </w:rPr>
              <w:t>82.1</w:t>
            </w:r>
          </w:p>
        </w:tc>
        <w:tc>
          <w:tcPr>
            <w:tcW w:w="541" w:type="pct"/>
            <w:tcBorders>
              <w:top w:val="nil"/>
              <w:left w:val="single" w:sz="6" w:space="0" w:color="auto"/>
              <w:bottom w:val="single" w:sz="4" w:space="0" w:color="auto"/>
              <w:right w:val="single" w:sz="6" w:space="0" w:color="auto"/>
            </w:tcBorders>
            <w:hideMark/>
          </w:tcPr>
          <w:p w14:paraId="72BD28B9" w14:textId="77777777" w:rsidR="00D853AB" w:rsidRPr="000038A7" w:rsidRDefault="00D853AB" w:rsidP="00331F85">
            <w:pPr>
              <w:pStyle w:val="wcpTableColHeader"/>
              <w:spacing w:before="20" w:after="20"/>
              <w:rPr>
                <w:b w:val="0"/>
                <w:sz w:val="20"/>
                <w:lang w:val="en-GB"/>
              </w:rPr>
            </w:pPr>
            <w:r w:rsidRPr="000038A7">
              <w:rPr>
                <w:b w:val="0"/>
                <w:sz w:val="20"/>
                <w:lang w:val="en-GB"/>
              </w:rPr>
              <w:t>94.2</w:t>
            </w:r>
          </w:p>
        </w:tc>
        <w:tc>
          <w:tcPr>
            <w:tcW w:w="494" w:type="pct"/>
            <w:tcBorders>
              <w:top w:val="nil"/>
              <w:left w:val="single" w:sz="6" w:space="0" w:color="auto"/>
              <w:bottom w:val="single" w:sz="4" w:space="0" w:color="auto"/>
              <w:right w:val="single" w:sz="6" w:space="0" w:color="auto"/>
            </w:tcBorders>
            <w:hideMark/>
          </w:tcPr>
          <w:p w14:paraId="5DD03A5D" w14:textId="77777777" w:rsidR="00D853AB" w:rsidRPr="000038A7" w:rsidRDefault="00D853AB" w:rsidP="00331F85">
            <w:pPr>
              <w:pStyle w:val="wcpTableColHeader"/>
              <w:spacing w:before="20" w:after="20"/>
              <w:rPr>
                <w:b w:val="0"/>
                <w:sz w:val="20"/>
                <w:lang w:val="en-GB"/>
              </w:rPr>
            </w:pPr>
            <w:r w:rsidRPr="000038A7">
              <w:rPr>
                <w:b w:val="0"/>
                <w:sz w:val="20"/>
                <w:lang w:val="en-GB"/>
              </w:rPr>
              <w:t>89.1</w:t>
            </w:r>
          </w:p>
        </w:tc>
        <w:tc>
          <w:tcPr>
            <w:tcW w:w="568" w:type="pct"/>
            <w:tcBorders>
              <w:top w:val="nil"/>
              <w:left w:val="single" w:sz="6" w:space="0" w:color="auto"/>
              <w:bottom w:val="single" w:sz="4" w:space="0" w:color="auto"/>
              <w:right w:val="single" w:sz="6" w:space="0" w:color="auto"/>
            </w:tcBorders>
            <w:hideMark/>
          </w:tcPr>
          <w:p w14:paraId="185BF70D" w14:textId="77777777" w:rsidR="00D853AB" w:rsidRPr="000038A7" w:rsidRDefault="00D853AB" w:rsidP="00331F85">
            <w:pPr>
              <w:pStyle w:val="wcpTableColHeader"/>
              <w:spacing w:before="20" w:after="20"/>
              <w:rPr>
                <w:b w:val="0"/>
                <w:sz w:val="20"/>
                <w:lang w:val="en-GB"/>
              </w:rPr>
            </w:pPr>
            <w:r w:rsidRPr="000038A7">
              <w:rPr>
                <w:b w:val="0"/>
                <w:sz w:val="20"/>
                <w:lang w:val="en-GB"/>
              </w:rPr>
              <w:t>85.8</w:t>
            </w:r>
          </w:p>
        </w:tc>
      </w:tr>
      <w:tr w:rsidR="00D853AB" w:rsidRPr="000038A7" w14:paraId="56BFF755" w14:textId="77777777" w:rsidTr="005420A5">
        <w:trPr>
          <w:trHeight w:val="71"/>
          <w:tblHeader/>
          <w:jc w:val="center"/>
        </w:trPr>
        <w:tc>
          <w:tcPr>
            <w:tcW w:w="765" w:type="pct"/>
            <w:tcBorders>
              <w:top w:val="single" w:sz="4" w:space="0" w:color="auto"/>
              <w:left w:val="single" w:sz="6" w:space="0" w:color="auto"/>
              <w:bottom w:val="single" w:sz="4" w:space="0" w:color="auto"/>
              <w:right w:val="single" w:sz="6" w:space="0" w:color="auto"/>
            </w:tcBorders>
            <w:hideMark/>
          </w:tcPr>
          <w:p w14:paraId="6C24817B" w14:textId="77777777" w:rsidR="00D853AB" w:rsidRPr="000038A7" w:rsidRDefault="00D853AB" w:rsidP="00331F85">
            <w:pPr>
              <w:pStyle w:val="wcpTableColHeader"/>
              <w:spacing w:before="20" w:after="20"/>
              <w:ind w:left="264"/>
              <w:jc w:val="left"/>
              <w:rPr>
                <w:sz w:val="20"/>
                <w:lang w:val="en-GB"/>
              </w:rPr>
            </w:pPr>
            <w:r w:rsidRPr="000038A7">
              <w:rPr>
                <w:sz w:val="20"/>
                <w:lang w:val="en-GB"/>
              </w:rPr>
              <w:t>FHA</w:t>
            </w:r>
          </w:p>
        </w:tc>
        <w:tc>
          <w:tcPr>
            <w:tcW w:w="563" w:type="pct"/>
            <w:vMerge/>
            <w:tcBorders>
              <w:top w:val="single" w:sz="4" w:space="0" w:color="auto"/>
              <w:left w:val="single" w:sz="6" w:space="0" w:color="auto"/>
              <w:bottom w:val="single" w:sz="6" w:space="0" w:color="auto"/>
              <w:right w:val="single" w:sz="6" w:space="0" w:color="auto"/>
            </w:tcBorders>
            <w:vAlign w:val="center"/>
            <w:hideMark/>
          </w:tcPr>
          <w:p w14:paraId="4F882FF0" w14:textId="77777777" w:rsidR="00D853AB" w:rsidRPr="000038A7" w:rsidRDefault="00D853AB" w:rsidP="00331F85">
            <w:pPr>
              <w:rPr>
                <w:sz w:val="20"/>
                <w:lang w:val="en-GB" w:eastAsia="en-US"/>
              </w:rPr>
            </w:pPr>
          </w:p>
        </w:tc>
        <w:tc>
          <w:tcPr>
            <w:tcW w:w="522" w:type="pct"/>
            <w:tcBorders>
              <w:top w:val="single" w:sz="4" w:space="0" w:color="auto"/>
              <w:left w:val="single" w:sz="6" w:space="0" w:color="auto"/>
              <w:bottom w:val="single" w:sz="4" w:space="0" w:color="auto"/>
              <w:right w:val="single" w:sz="6" w:space="0" w:color="auto"/>
            </w:tcBorders>
            <w:hideMark/>
          </w:tcPr>
          <w:p w14:paraId="36A3E587" w14:textId="77777777" w:rsidR="00D853AB" w:rsidRPr="000038A7" w:rsidRDefault="00D853AB" w:rsidP="00331F85">
            <w:pPr>
              <w:pStyle w:val="wcpTableColHeader"/>
              <w:spacing w:before="20" w:after="20"/>
              <w:rPr>
                <w:b w:val="0"/>
                <w:sz w:val="20"/>
                <w:lang w:val="en-GB"/>
              </w:rPr>
            </w:pPr>
            <w:r w:rsidRPr="000038A7">
              <w:rPr>
                <w:b w:val="0"/>
                <w:sz w:val="20"/>
                <w:lang w:val="en-GB"/>
              </w:rPr>
              <w:t>97.3</w:t>
            </w:r>
          </w:p>
        </w:tc>
        <w:tc>
          <w:tcPr>
            <w:tcW w:w="450" w:type="pct"/>
            <w:tcBorders>
              <w:top w:val="single" w:sz="4" w:space="0" w:color="auto"/>
              <w:left w:val="single" w:sz="6" w:space="0" w:color="auto"/>
              <w:bottom w:val="single" w:sz="4" w:space="0" w:color="auto"/>
              <w:right w:val="single" w:sz="6" w:space="0" w:color="auto"/>
            </w:tcBorders>
            <w:hideMark/>
          </w:tcPr>
          <w:p w14:paraId="48A92FA1" w14:textId="77777777" w:rsidR="00D853AB" w:rsidRPr="000038A7" w:rsidRDefault="00D853AB" w:rsidP="00331F85">
            <w:pPr>
              <w:pStyle w:val="wcpTableColHeader"/>
              <w:spacing w:before="20" w:after="20"/>
              <w:rPr>
                <w:b w:val="0"/>
                <w:sz w:val="20"/>
                <w:lang w:val="en-GB"/>
              </w:rPr>
            </w:pPr>
            <w:r w:rsidRPr="000038A7">
              <w:rPr>
                <w:b w:val="0"/>
                <w:sz w:val="20"/>
                <w:lang w:val="en-GB"/>
              </w:rPr>
              <w:t>100</w:t>
            </w:r>
          </w:p>
        </w:tc>
        <w:tc>
          <w:tcPr>
            <w:tcW w:w="547" w:type="pct"/>
            <w:tcBorders>
              <w:top w:val="single" w:sz="4" w:space="0" w:color="auto"/>
              <w:left w:val="single" w:sz="6" w:space="0" w:color="auto"/>
              <w:bottom w:val="single" w:sz="4" w:space="0" w:color="auto"/>
              <w:right w:val="single" w:sz="6" w:space="0" w:color="auto"/>
            </w:tcBorders>
            <w:hideMark/>
          </w:tcPr>
          <w:p w14:paraId="1D950730" w14:textId="77777777" w:rsidR="00D853AB" w:rsidRPr="000038A7" w:rsidRDefault="00D853AB" w:rsidP="00331F85">
            <w:pPr>
              <w:pStyle w:val="wcpTableColHeader"/>
              <w:spacing w:before="20" w:after="20"/>
              <w:rPr>
                <w:b w:val="0"/>
                <w:sz w:val="20"/>
                <w:lang w:val="en-GB"/>
              </w:rPr>
            </w:pPr>
            <w:r w:rsidRPr="000038A7">
              <w:rPr>
                <w:b w:val="0"/>
                <w:sz w:val="20"/>
                <w:lang w:val="en-GB"/>
              </w:rPr>
              <w:t>99.5</w:t>
            </w:r>
          </w:p>
        </w:tc>
        <w:tc>
          <w:tcPr>
            <w:tcW w:w="550" w:type="pct"/>
            <w:tcBorders>
              <w:top w:val="single" w:sz="4" w:space="0" w:color="auto"/>
              <w:left w:val="single" w:sz="6" w:space="0" w:color="auto"/>
              <w:bottom w:val="single" w:sz="4" w:space="0" w:color="auto"/>
              <w:right w:val="single" w:sz="6" w:space="0" w:color="auto"/>
            </w:tcBorders>
            <w:hideMark/>
          </w:tcPr>
          <w:p w14:paraId="79416BCA" w14:textId="77777777" w:rsidR="00D853AB" w:rsidRPr="000038A7" w:rsidRDefault="00D853AB" w:rsidP="00331F85">
            <w:pPr>
              <w:pStyle w:val="wcpTableColHeader"/>
              <w:spacing w:before="20" w:after="20"/>
              <w:rPr>
                <w:b w:val="0"/>
                <w:sz w:val="20"/>
                <w:lang w:val="en-GB"/>
              </w:rPr>
            </w:pPr>
            <w:r w:rsidRPr="000038A7">
              <w:rPr>
                <w:b w:val="0"/>
                <w:sz w:val="20"/>
                <w:lang w:val="en-GB"/>
              </w:rPr>
              <w:t>100</w:t>
            </w:r>
          </w:p>
        </w:tc>
        <w:tc>
          <w:tcPr>
            <w:tcW w:w="541" w:type="pct"/>
            <w:tcBorders>
              <w:top w:val="single" w:sz="4" w:space="0" w:color="auto"/>
              <w:left w:val="single" w:sz="6" w:space="0" w:color="auto"/>
              <w:bottom w:val="single" w:sz="4" w:space="0" w:color="auto"/>
              <w:right w:val="single" w:sz="6" w:space="0" w:color="auto"/>
            </w:tcBorders>
            <w:hideMark/>
          </w:tcPr>
          <w:p w14:paraId="5DD11CCB" w14:textId="77777777" w:rsidR="00D853AB" w:rsidRPr="000038A7" w:rsidRDefault="00D853AB" w:rsidP="00331F85">
            <w:pPr>
              <w:pStyle w:val="wcpTableColHeader"/>
              <w:spacing w:before="20" w:after="20"/>
              <w:rPr>
                <w:b w:val="0"/>
                <w:sz w:val="20"/>
                <w:lang w:val="en-GB"/>
              </w:rPr>
            </w:pPr>
            <w:r w:rsidRPr="000038A7">
              <w:rPr>
                <w:b w:val="0"/>
                <w:sz w:val="20"/>
                <w:lang w:val="en-GB"/>
              </w:rPr>
              <w:t>99.3</w:t>
            </w:r>
          </w:p>
        </w:tc>
        <w:tc>
          <w:tcPr>
            <w:tcW w:w="494" w:type="pct"/>
            <w:tcBorders>
              <w:top w:val="single" w:sz="4" w:space="0" w:color="auto"/>
              <w:left w:val="single" w:sz="6" w:space="0" w:color="auto"/>
              <w:bottom w:val="single" w:sz="4" w:space="0" w:color="auto"/>
              <w:right w:val="single" w:sz="6" w:space="0" w:color="auto"/>
            </w:tcBorders>
            <w:hideMark/>
          </w:tcPr>
          <w:p w14:paraId="3A4A6DB1" w14:textId="77777777" w:rsidR="00D853AB" w:rsidRPr="000038A7" w:rsidRDefault="00D853AB" w:rsidP="00331F85">
            <w:pPr>
              <w:pStyle w:val="wcpTableColHeader"/>
              <w:spacing w:before="20" w:after="20"/>
              <w:rPr>
                <w:b w:val="0"/>
                <w:sz w:val="20"/>
                <w:lang w:val="en-GB"/>
              </w:rPr>
            </w:pPr>
            <w:r w:rsidRPr="000038A7">
              <w:rPr>
                <w:b w:val="0"/>
                <w:sz w:val="20"/>
                <w:lang w:val="en-GB"/>
              </w:rPr>
              <w:t>100</w:t>
            </w:r>
          </w:p>
        </w:tc>
        <w:tc>
          <w:tcPr>
            <w:tcW w:w="568" w:type="pct"/>
            <w:tcBorders>
              <w:top w:val="single" w:sz="4" w:space="0" w:color="auto"/>
              <w:left w:val="single" w:sz="6" w:space="0" w:color="auto"/>
              <w:bottom w:val="single" w:sz="4" w:space="0" w:color="auto"/>
              <w:right w:val="single" w:sz="6" w:space="0" w:color="auto"/>
            </w:tcBorders>
            <w:hideMark/>
          </w:tcPr>
          <w:p w14:paraId="545EDFE3" w14:textId="77777777" w:rsidR="00D853AB" w:rsidRPr="000038A7" w:rsidRDefault="00D853AB" w:rsidP="00331F85">
            <w:pPr>
              <w:pStyle w:val="wcpTableColHeader"/>
              <w:spacing w:before="20" w:after="20"/>
              <w:rPr>
                <w:b w:val="0"/>
                <w:sz w:val="20"/>
                <w:lang w:val="en-GB"/>
              </w:rPr>
            </w:pPr>
            <w:r w:rsidRPr="000038A7">
              <w:rPr>
                <w:b w:val="0"/>
                <w:sz w:val="20"/>
                <w:lang w:val="en-GB"/>
              </w:rPr>
              <w:t>100</w:t>
            </w:r>
          </w:p>
        </w:tc>
      </w:tr>
      <w:tr w:rsidR="00D853AB" w:rsidRPr="000038A7" w14:paraId="217BF5A3" w14:textId="77777777" w:rsidTr="005420A5">
        <w:trPr>
          <w:trHeight w:val="71"/>
          <w:tblHeader/>
          <w:jc w:val="center"/>
        </w:trPr>
        <w:tc>
          <w:tcPr>
            <w:tcW w:w="765" w:type="pct"/>
            <w:tcBorders>
              <w:top w:val="single" w:sz="4" w:space="0" w:color="auto"/>
              <w:left w:val="single" w:sz="6" w:space="0" w:color="auto"/>
              <w:bottom w:val="single" w:sz="4" w:space="0" w:color="auto"/>
              <w:right w:val="single" w:sz="6" w:space="0" w:color="auto"/>
            </w:tcBorders>
            <w:hideMark/>
          </w:tcPr>
          <w:p w14:paraId="1D8058FD" w14:textId="77777777" w:rsidR="00D853AB" w:rsidRPr="000038A7" w:rsidRDefault="00D853AB" w:rsidP="00331F85">
            <w:pPr>
              <w:pStyle w:val="wcpTableColHeader"/>
              <w:spacing w:before="20" w:after="20"/>
              <w:ind w:left="264"/>
              <w:jc w:val="left"/>
              <w:rPr>
                <w:sz w:val="20"/>
                <w:lang w:val="en-GB"/>
              </w:rPr>
            </w:pPr>
            <w:r w:rsidRPr="000038A7">
              <w:rPr>
                <w:sz w:val="20"/>
                <w:lang w:val="en-GB"/>
              </w:rPr>
              <w:t>PRN</w:t>
            </w:r>
          </w:p>
        </w:tc>
        <w:tc>
          <w:tcPr>
            <w:tcW w:w="563" w:type="pct"/>
            <w:vMerge/>
            <w:tcBorders>
              <w:top w:val="single" w:sz="4" w:space="0" w:color="auto"/>
              <w:left w:val="single" w:sz="6" w:space="0" w:color="auto"/>
              <w:bottom w:val="single" w:sz="6" w:space="0" w:color="auto"/>
              <w:right w:val="single" w:sz="6" w:space="0" w:color="auto"/>
            </w:tcBorders>
            <w:vAlign w:val="center"/>
            <w:hideMark/>
          </w:tcPr>
          <w:p w14:paraId="5FE2A4F8" w14:textId="77777777" w:rsidR="00D853AB" w:rsidRPr="000038A7" w:rsidRDefault="00D853AB" w:rsidP="00331F85">
            <w:pPr>
              <w:rPr>
                <w:sz w:val="20"/>
                <w:lang w:val="en-GB" w:eastAsia="en-US"/>
              </w:rPr>
            </w:pPr>
          </w:p>
        </w:tc>
        <w:tc>
          <w:tcPr>
            <w:tcW w:w="522" w:type="pct"/>
            <w:tcBorders>
              <w:top w:val="single" w:sz="4" w:space="0" w:color="auto"/>
              <w:left w:val="single" w:sz="6" w:space="0" w:color="auto"/>
              <w:bottom w:val="single" w:sz="4" w:space="0" w:color="auto"/>
              <w:right w:val="single" w:sz="6" w:space="0" w:color="auto"/>
            </w:tcBorders>
            <w:hideMark/>
          </w:tcPr>
          <w:p w14:paraId="14DFADBD" w14:textId="77777777" w:rsidR="00D853AB" w:rsidRPr="000038A7" w:rsidRDefault="00D853AB" w:rsidP="00331F85">
            <w:pPr>
              <w:pStyle w:val="wcpTableColHeader"/>
              <w:spacing w:before="20" w:after="20"/>
              <w:rPr>
                <w:b w:val="0"/>
                <w:sz w:val="20"/>
                <w:lang w:val="en-GB"/>
              </w:rPr>
            </w:pPr>
            <w:r w:rsidRPr="000038A7">
              <w:rPr>
                <w:b w:val="0"/>
                <w:sz w:val="20"/>
                <w:lang w:val="en-GB"/>
              </w:rPr>
              <w:t>95.3</w:t>
            </w:r>
          </w:p>
        </w:tc>
        <w:tc>
          <w:tcPr>
            <w:tcW w:w="450" w:type="pct"/>
            <w:tcBorders>
              <w:top w:val="single" w:sz="4" w:space="0" w:color="auto"/>
              <w:left w:val="single" w:sz="6" w:space="0" w:color="auto"/>
              <w:bottom w:val="single" w:sz="4" w:space="0" w:color="auto"/>
              <w:right w:val="single" w:sz="6" w:space="0" w:color="auto"/>
            </w:tcBorders>
            <w:hideMark/>
          </w:tcPr>
          <w:p w14:paraId="6418F7DC" w14:textId="77777777" w:rsidR="00D853AB" w:rsidRPr="000038A7" w:rsidRDefault="00D853AB" w:rsidP="00331F85">
            <w:pPr>
              <w:pStyle w:val="wcpTableColHeader"/>
              <w:spacing w:before="20" w:after="20"/>
              <w:rPr>
                <w:b w:val="0"/>
                <w:sz w:val="20"/>
                <w:lang w:val="en-GB"/>
              </w:rPr>
            </w:pPr>
            <w:r w:rsidRPr="000038A7">
              <w:rPr>
                <w:b w:val="0"/>
                <w:sz w:val="20"/>
                <w:lang w:val="en-GB"/>
              </w:rPr>
              <w:t>99.7</w:t>
            </w:r>
          </w:p>
        </w:tc>
        <w:tc>
          <w:tcPr>
            <w:tcW w:w="547" w:type="pct"/>
            <w:tcBorders>
              <w:top w:val="single" w:sz="4" w:space="0" w:color="auto"/>
              <w:left w:val="single" w:sz="6" w:space="0" w:color="auto"/>
              <w:bottom w:val="single" w:sz="4" w:space="0" w:color="auto"/>
              <w:right w:val="single" w:sz="6" w:space="0" w:color="auto"/>
            </w:tcBorders>
            <w:hideMark/>
          </w:tcPr>
          <w:p w14:paraId="2CE9A8B6" w14:textId="77777777" w:rsidR="00D853AB" w:rsidRPr="000038A7" w:rsidRDefault="00D853AB" w:rsidP="00331F85">
            <w:pPr>
              <w:pStyle w:val="wcpTableColHeader"/>
              <w:spacing w:before="20" w:after="20"/>
              <w:rPr>
                <w:b w:val="0"/>
                <w:sz w:val="20"/>
                <w:lang w:val="en-GB"/>
              </w:rPr>
            </w:pPr>
            <w:r w:rsidRPr="000038A7">
              <w:rPr>
                <w:b w:val="0"/>
                <w:sz w:val="20"/>
                <w:lang w:val="en-GB"/>
              </w:rPr>
              <w:t>98.5</w:t>
            </w:r>
          </w:p>
        </w:tc>
        <w:tc>
          <w:tcPr>
            <w:tcW w:w="550" w:type="pct"/>
            <w:tcBorders>
              <w:top w:val="single" w:sz="4" w:space="0" w:color="auto"/>
              <w:left w:val="single" w:sz="6" w:space="0" w:color="auto"/>
              <w:bottom w:val="single" w:sz="4" w:space="0" w:color="auto"/>
              <w:right w:val="single" w:sz="6" w:space="0" w:color="auto"/>
            </w:tcBorders>
            <w:hideMark/>
          </w:tcPr>
          <w:p w14:paraId="1AFA1647" w14:textId="77777777" w:rsidR="00D853AB" w:rsidRPr="000038A7" w:rsidRDefault="00D853AB" w:rsidP="00331F85">
            <w:pPr>
              <w:pStyle w:val="wcpTableColHeader"/>
              <w:spacing w:before="20" w:after="20"/>
              <w:rPr>
                <w:b w:val="0"/>
                <w:sz w:val="20"/>
                <w:lang w:val="en-GB"/>
              </w:rPr>
            </w:pPr>
            <w:r w:rsidRPr="000038A7">
              <w:rPr>
                <w:b w:val="0"/>
                <w:sz w:val="20"/>
                <w:lang w:val="en-GB"/>
              </w:rPr>
              <w:t>100</w:t>
            </w:r>
          </w:p>
        </w:tc>
        <w:tc>
          <w:tcPr>
            <w:tcW w:w="541" w:type="pct"/>
            <w:tcBorders>
              <w:top w:val="single" w:sz="4" w:space="0" w:color="auto"/>
              <w:left w:val="single" w:sz="6" w:space="0" w:color="auto"/>
              <w:bottom w:val="single" w:sz="4" w:space="0" w:color="auto"/>
              <w:right w:val="single" w:sz="6" w:space="0" w:color="auto"/>
            </w:tcBorders>
            <w:hideMark/>
          </w:tcPr>
          <w:p w14:paraId="07355233" w14:textId="77777777" w:rsidR="00D853AB" w:rsidRPr="000038A7" w:rsidRDefault="00D853AB" w:rsidP="00331F85">
            <w:pPr>
              <w:pStyle w:val="wcpTableColHeader"/>
              <w:spacing w:before="20" w:after="20"/>
              <w:rPr>
                <w:b w:val="0"/>
                <w:sz w:val="20"/>
                <w:lang w:val="en-GB"/>
              </w:rPr>
            </w:pPr>
            <w:r w:rsidRPr="000038A7">
              <w:rPr>
                <w:b w:val="0"/>
                <w:sz w:val="20"/>
                <w:lang w:val="en-GB"/>
              </w:rPr>
              <w:t>98.6</w:t>
            </w:r>
          </w:p>
        </w:tc>
        <w:tc>
          <w:tcPr>
            <w:tcW w:w="494" w:type="pct"/>
            <w:tcBorders>
              <w:top w:val="single" w:sz="4" w:space="0" w:color="auto"/>
              <w:left w:val="single" w:sz="6" w:space="0" w:color="auto"/>
              <w:bottom w:val="single" w:sz="4" w:space="0" w:color="auto"/>
              <w:right w:val="single" w:sz="6" w:space="0" w:color="auto"/>
            </w:tcBorders>
            <w:hideMark/>
          </w:tcPr>
          <w:p w14:paraId="239F2F0B" w14:textId="77777777" w:rsidR="00D853AB" w:rsidRPr="000038A7" w:rsidRDefault="00D853AB" w:rsidP="00331F85">
            <w:pPr>
              <w:pStyle w:val="wcpTableColHeader"/>
              <w:spacing w:before="20" w:after="20"/>
              <w:rPr>
                <w:b w:val="0"/>
                <w:sz w:val="20"/>
                <w:lang w:val="en-GB"/>
              </w:rPr>
            </w:pPr>
            <w:r w:rsidRPr="000038A7">
              <w:rPr>
                <w:b w:val="0"/>
                <w:sz w:val="20"/>
                <w:lang w:val="en-GB"/>
              </w:rPr>
              <w:t>97.1</w:t>
            </w:r>
          </w:p>
        </w:tc>
        <w:tc>
          <w:tcPr>
            <w:tcW w:w="568" w:type="pct"/>
            <w:tcBorders>
              <w:top w:val="single" w:sz="4" w:space="0" w:color="auto"/>
              <w:left w:val="single" w:sz="6" w:space="0" w:color="auto"/>
              <w:bottom w:val="single" w:sz="4" w:space="0" w:color="auto"/>
              <w:right w:val="single" w:sz="6" w:space="0" w:color="auto"/>
            </w:tcBorders>
            <w:hideMark/>
          </w:tcPr>
          <w:p w14:paraId="2CDC7B89" w14:textId="77777777" w:rsidR="00D853AB" w:rsidRPr="000038A7" w:rsidRDefault="00D853AB" w:rsidP="00331F85">
            <w:pPr>
              <w:pStyle w:val="wcpTableColHeader"/>
              <w:spacing w:before="20" w:after="20"/>
              <w:rPr>
                <w:b w:val="0"/>
                <w:sz w:val="20"/>
                <w:lang w:val="en-GB"/>
              </w:rPr>
            </w:pPr>
            <w:r w:rsidRPr="000038A7">
              <w:rPr>
                <w:b w:val="0"/>
                <w:sz w:val="20"/>
                <w:lang w:val="en-GB"/>
              </w:rPr>
              <w:t>99.3</w:t>
            </w:r>
          </w:p>
        </w:tc>
      </w:tr>
      <w:tr w:rsidR="00D853AB" w:rsidRPr="000038A7" w14:paraId="1CB5049D" w14:textId="77777777" w:rsidTr="005420A5">
        <w:trPr>
          <w:trHeight w:val="71"/>
          <w:tblHeader/>
          <w:jc w:val="center"/>
        </w:trPr>
        <w:tc>
          <w:tcPr>
            <w:tcW w:w="765" w:type="pct"/>
            <w:tcBorders>
              <w:top w:val="single" w:sz="4" w:space="0" w:color="auto"/>
              <w:left w:val="single" w:sz="6" w:space="0" w:color="auto"/>
              <w:bottom w:val="single" w:sz="6" w:space="0" w:color="auto"/>
              <w:right w:val="single" w:sz="6" w:space="0" w:color="auto"/>
            </w:tcBorders>
            <w:hideMark/>
          </w:tcPr>
          <w:p w14:paraId="2B8B30E7" w14:textId="77777777" w:rsidR="00D853AB" w:rsidRPr="000038A7" w:rsidRDefault="00D853AB" w:rsidP="00331F85">
            <w:pPr>
              <w:pStyle w:val="wcpTableColHeader"/>
              <w:spacing w:before="20" w:after="20"/>
              <w:ind w:left="264"/>
              <w:jc w:val="left"/>
              <w:rPr>
                <w:sz w:val="20"/>
                <w:lang w:val="en-GB"/>
              </w:rPr>
            </w:pPr>
            <w:r w:rsidRPr="000038A7">
              <w:rPr>
                <w:sz w:val="20"/>
                <w:lang w:val="en-GB"/>
              </w:rPr>
              <w:t>FIM</w:t>
            </w:r>
          </w:p>
        </w:tc>
        <w:tc>
          <w:tcPr>
            <w:tcW w:w="563" w:type="pct"/>
            <w:vMerge/>
            <w:tcBorders>
              <w:top w:val="single" w:sz="4" w:space="0" w:color="auto"/>
              <w:left w:val="single" w:sz="6" w:space="0" w:color="auto"/>
              <w:bottom w:val="single" w:sz="6" w:space="0" w:color="auto"/>
              <w:right w:val="single" w:sz="6" w:space="0" w:color="auto"/>
            </w:tcBorders>
            <w:vAlign w:val="center"/>
            <w:hideMark/>
          </w:tcPr>
          <w:p w14:paraId="15DFDAB9" w14:textId="77777777" w:rsidR="00D853AB" w:rsidRPr="000038A7" w:rsidRDefault="00D853AB" w:rsidP="00331F85">
            <w:pPr>
              <w:rPr>
                <w:sz w:val="20"/>
                <w:lang w:val="en-GB" w:eastAsia="en-US"/>
              </w:rPr>
            </w:pPr>
          </w:p>
        </w:tc>
        <w:tc>
          <w:tcPr>
            <w:tcW w:w="522" w:type="pct"/>
            <w:tcBorders>
              <w:top w:val="single" w:sz="4" w:space="0" w:color="auto"/>
              <w:left w:val="single" w:sz="6" w:space="0" w:color="auto"/>
              <w:bottom w:val="single" w:sz="6" w:space="0" w:color="auto"/>
              <w:right w:val="single" w:sz="6" w:space="0" w:color="auto"/>
            </w:tcBorders>
            <w:hideMark/>
          </w:tcPr>
          <w:p w14:paraId="47D6A5A7" w14:textId="77777777" w:rsidR="00D853AB" w:rsidRPr="000038A7" w:rsidRDefault="00D853AB" w:rsidP="00331F85">
            <w:pPr>
              <w:pStyle w:val="wcpTableColHeader"/>
              <w:spacing w:before="20" w:after="20"/>
              <w:rPr>
                <w:b w:val="0"/>
                <w:sz w:val="20"/>
                <w:lang w:val="en-GB"/>
              </w:rPr>
            </w:pPr>
            <w:r w:rsidRPr="000038A7">
              <w:rPr>
                <w:b w:val="0"/>
                <w:sz w:val="20"/>
                <w:lang w:val="en-GB"/>
              </w:rPr>
              <w:t>98.7</w:t>
            </w:r>
          </w:p>
        </w:tc>
        <w:tc>
          <w:tcPr>
            <w:tcW w:w="450" w:type="pct"/>
            <w:tcBorders>
              <w:top w:val="single" w:sz="4" w:space="0" w:color="auto"/>
              <w:left w:val="single" w:sz="6" w:space="0" w:color="auto"/>
              <w:bottom w:val="single" w:sz="6" w:space="0" w:color="auto"/>
              <w:right w:val="single" w:sz="6" w:space="0" w:color="auto"/>
            </w:tcBorders>
            <w:hideMark/>
          </w:tcPr>
          <w:p w14:paraId="109DC539" w14:textId="77777777" w:rsidR="00D853AB" w:rsidRPr="000038A7" w:rsidRDefault="00D853AB" w:rsidP="00331F85">
            <w:pPr>
              <w:pStyle w:val="wcpTableColHeader"/>
              <w:spacing w:before="20" w:after="20"/>
              <w:rPr>
                <w:b w:val="0"/>
                <w:sz w:val="20"/>
                <w:lang w:val="en-GB"/>
              </w:rPr>
            </w:pPr>
            <w:r w:rsidRPr="000038A7">
              <w:rPr>
                <w:b w:val="0"/>
                <w:sz w:val="20"/>
                <w:lang w:val="en-GB"/>
              </w:rPr>
              <w:t>98.3</w:t>
            </w:r>
          </w:p>
        </w:tc>
        <w:tc>
          <w:tcPr>
            <w:tcW w:w="547" w:type="pct"/>
            <w:tcBorders>
              <w:top w:val="single" w:sz="4" w:space="0" w:color="auto"/>
              <w:left w:val="single" w:sz="6" w:space="0" w:color="auto"/>
              <w:bottom w:val="single" w:sz="6" w:space="0" w:color="auto"/>
              <w:right w:val="single" w:sz="6" w:space="0" w:color="auto"/>
            </w:tcBorders>
            <w:hideMark/>
          </w:tcPr>
          <w:p w14:paraId="0FA3CF1C" w14:textId="77777777" w:rsidR="00D853AB" w:rsidRPr="000038A7" w:rsidRDefault="00D853AB" w:rsidP="00331F85">
            <w:pPr>
              <w:pStyle w:val="wcpTableColHeader"/>
              <w:spacing w:before="20" w:after="20"/>
              <w:rPr>
                <w:b w:val="0"/>
                <w:sz w:val="20"/>
                <w:lang w:val="en-GB"/>
              </w:rPr>
            </w:pPr>
            <w:r w:rsidRPr="000038A7">
              <w:rPr>
                <w:b w:val="0"/>
                <w:sz w:val="20"/>
                <w:lang w:val="en-GB"/>
              </w:rPr>
              <w:t>99.5</w:t>
            </w:r>
          </w:p>
        </w:tc>
        <w:tc>
          <w:tcPr>
            <w:tcW w:w="550" w:type="pct"/>
            <w:tcBorders>
              <w:top w:val="single" w:sz="4" w:space="0" w:color="auto"/>
              <w:left w:val="single" w:sz="6" w:space="0" w:color="auto"/>
              <w:bottom w:val="single" w:sz="6" w:space="0" w:color="auto"/>
              <w:right w:val="single" w:sz="6" w:space="0" w:color="auto"/>
            </w:tcBorders>
            <w:hideMark/>
          </w:tcPr>
          <w:p w14:paraId="1A4D2FE1" w14:textId="77777777" w:rsidR="00D853AB" w:rsidRPr="000038A7" w:rsidRDefault="00D853AB" w:rsidP="00331F85">
            <w:pPr>
              <w:pStyle w:val="wcpTableColHeader"/>
              <w:spacing w:before="20" w:after="20"/>
              <w:rPr>
                <w:b w:val="0"/>
                <w:sz w:val="20"/>
                <w:lang w:val="en-GB"/>
              </w:rPr>
            </w:pPr>
            <w:r w:rsidRPr="000038A7">
              <w:rPr>
                <w:b w:val="0"/>
                <w:sz w:val="20"/>
                <w:lang w:val="en-GB"/>
              </w:rPr>
              <w:t>100</w:t>
            </w:r>
          </w:p>
        </w:tc>
        <w:tc>
          <w:tcPr>
            <w:tcW w:w="541" w:type="pct"/>
            <w:tcBorders>
              <w:top w:val="single" w:sz="4" w:space="0" w:color="auto"/>
              <w:left w:val="single" w:sz="6" w:space="0" w:color="auto"/>
              <w:bottom w:val="single" w:sz="6" w:space="0" w:color="auto"/>
              <w:right w:val="single" w:sz="6" w:space="0" w:color="auto"/>
            </w:tcBorders>
            <w:hideMark/>
          </w:tcPr>
          <w:p w14:paraId="1E3281E3" w14:textId="77777777" w:rsidR="00D853AB" w:rsidRPr="000038A7" w:rsidRDefault="00D853AB" w:rsidP="00331F85">
            <w:pPr>
              <w:pStyle w:val="wcpTableColHeader"/>
              <w:spacing w:before="20" w:after="20"/>
              <w:rPr>
                <w:b w:val="0"/>
                <w:sz w:val="20"/>
                <w:lang w:val="en-GB"/>
              </w:rPr>
            </w:pPr>
            <w:r w:rsidRPr="000038A7">
              <w:rPr>
                <w:b w:val="0"/>
                <w:sz w:val="20"/>
                <w:lang w:val="en-GB"/>
              </w:rPr>
              <w:t>93.5</w:t>
            </w:r>
          </w:p>
        </w:tc>
        <w:tc>
          <w:tcPr>
            <w:tcW w:w="494" w:type="pct"/>
            <w:tcBorders>
              <w:top w:val="single" w:sz="4" w:space="0" w:color="auto"/>
              <w:left w:val="single" w:sz="6" w:space="0" w:color="auto"/>
              <w:bottom w:val="single" w:sz="6" w:space="0" w:color="auto"/>
              <w:right w:val="single" w:sz="6" w:space="0" w:color="auto"/>
            </w:tcBorders>
            <w:hideMark/>
          </w:tcPr>
          <w:p w14:paraId="12ADAF52" w14:textId="77777777" w:rsidR="00D853AB" w:rsidRPr="000038A7" w:rsidRDefault="00D853AB" w:rsidP="00331F85">
            <w:pPr>
              <w:pStyle w:val="wcpTableColHeader"/>
              <w:spacing w:before="20" w:after="20"/>
              <w:rPr>
                <w:b w:val="0"/>
                <w:sz w:val="20"/>
                <w:lang w:val="en-GB"/>
              </w:rPr>
            </w:pPr>
            <w:r w:rsidRPr="000038A7">
              <w:rPr>
                <w:b w:val="0"/>
                <w:sz w:val="20"/>
                <w:lang w:val="en-GB"/>
              </w:rPr>
              <w:t>99.6</w:t>
            </w:r>
          </w:p>
        </w:tc>
        <w:tc>
          <w:tcPr>
            <w:tcW w:w="568" w:type="pct"/>
            <w:tcBorders>
              <w:top w:val="single" w:sz="4" w:space="0" w:color="auto"/>
              <w:left w:val="single" w:sz="6" w:space="0" w:color="auto"/>
              <w:bottom w:val="single" w:sz="6" w:space="0" w:color="auto"/>
              <w:right w:val="single" w:sz="6" w:space="0" w:color="auto"/>
            </w:tcBorders>
            <w:hideMark/>
          </w:tcPr>
          <w:p w14:paraId="2C2B85B4" w14:textId="77777777" w:rsidR="00D853AB" w:rsidRPr="000038A7" w:rsidRDefault="00D853AB" w:rsidP="00331F85">
            <w:pPr>
              <w:pStyle w:val="wcpTableColHeader"/>
              <w:spacing w:before="20" w:after="20"/>
              <w:rPr>
                <w:b w:val="0"/>
                <w:sz w:val="20"/>
                <w:lang w:val="en-GB"/>
              </w:rPr>
            </w:pPr>
            <w:r w:rsidRPr="000038A7">
              <w:rPr>
                <w:b w:val="0"/>
                <w:sz w:val="20"/>
                <w:lang w:val="en-GB"/>
              </w:rPr>
              <w:t>98.5</w:t>
            </w:r>
          </w:p>
        </w:tc>
      </w:tr>
    </w:tbl>
    <w:p w14:paraId="677EB3AE" w14:textId="37BBDE58" w:rsidR="00D853AB" w:rsidRPr="000038A7" w:rsidRDefault="00D853AB" w:rsidP="00331F85">
      <w:pPr>
        <w:pStyle w:val="wcpTablenote"/>
        <w:spacing w:before="0"/>
        <w:ind w:left="0" w:firstLine="1"/>
        <w:rPr>
          <w:lang w:val="en-GB"/>
        </w:rPr>
      </w:pPr>
      <w:bookmarkStart w:id="8" w:name="_Hlk39757333"/>
      <w:r w:rsidRPr="000038A7">
        <w:rPr>
          <w:lang w:val="en-GB"/>
        </w:rPr>
        <w:t>ELISA: Enzyme Linked Immunoassay; EU: ELISA units; IU: international units; N: number of participants with</w:t>
      </w:r>
    </w:p>
    <w:p w14:paraId="0B7B522A" w14:textId="77777777" w:rsidR="005420A5" w:rsidRPr="000038A7" w:rsidRDefault="00D853AB" w:rsidP="00331F85">
      <w:pPr>
        <w:pStyle w:val="wcpTablenote"/>
        <w:spacing w:before="0"/>
        <w:ind w:left="0" w:firstLine="1"/>
        <w:rPr>
          <w:lang w:val="en-GB"/>
        </w:rPr>
      </w:pPr>
      <w:r w:rsidRPr="000038A7">
        <w:rPr>
          <w:lang w:val="en-GB"/>
        </w:rPr>
        <w:t xml:space="preserve">available data; PPI: per protocol immunogenicity; SN: </w:t>
      </w:r>
      <w:proofErr w:type="spellStart"/>
      <w:r w:rsidRPr="000038A7">
        <w:rPr>
          <w:lang w:val="en-GB"/>
        </w:rPr>
        <w:t>seroneutralisation</w:t>
      </w:r>
      <w:proofErr w:type="spellEnd"/>
      <w:r w:rsidRPr="000038A7">
        <w:rPr>
          <w:lang w:val="en-GB"/>
        </w:rPr>
        <w:t xml:space="preserve">; </w:t>
      </w:r>
    </w:p>
    <w:p w14:paraId="02C00058" w14:textId="4A8A53C1" w:rsidR="00D853AB" w:rsidRPr="000038A7" w:rsidRDefault="00D853AB" w:rsidP="00331F85">
      <w:pPr>
        <w:pStyle w:val="wcpTablenote"/>
        <w:spacing w:before="0"/>
        <w:ind w:left="284" w:hanging="284"/>
        <w:rPr>
          <w:lang w:val="en-GB"/>
        </w:rPr>
      </w:pPr>
      <w:r w:rsidRPr="000038A7">
        <w:rPr>
          <w:vertAlign w:val="superscript"/>
          <w:lang w:val="en-GB"/>
        </w:rPr>
        <w:t>1</w:t>
      </w:r>
      <w:r w:rsidR="005420A5" w:rsidRPr="000038A7">
        <w:rPr>
          <w:vertAlign w:val="superscript"/>
          <w:lang w:val="en-GB"/>
        </w:rPr>
        <w:tab/>
      </w:r>
      <w:r w:rsidRPr="000038A7">
        <w:rPr>
          <w:lang w:val="en-GB"/>
        </w:rPr>
        <w:t xml:space="preserve">Eligible </w:t>
      </w:r>
      <w:proofErr w:type="gramStart"/>
      <w:r w:rsidRPr="000038A7">
        <w:rPr>
          <w:lang w:val="en-GB"/>
        </w:rPr>
        <w:t>participants</w:t>
      </w:r>
      <w:proofErr w:type="gramEnd"/>
      <w:r w:rsidRPr="000038A7">
        <w:rPr>
          <w:lang w:val="en-GB"/>
        </w:rPr>
        <w:t xml:space="preserve"> for whom immunogenicity data were available for at least one antibody at the specified </w:t>
      </w:r>
    </w:p>
    <w:p w14:paraId="1AD9D330" w14:textId="77777777" w:rsidR="00D853AB" w:rsidRPr="000038A7" w:rsidRDefault="00D853AB" w:rsidP="00331F85">
      <w:pPr>
        <w:pStyle w:val="wcpTablenote"/>
        <w:spacing w:before="0"/>
        <w:ind w:left="284" w:firstLine="0"/>
        <w:rPr>
          <w:lang w:val="en-GB"/>
        </w:rPr>
      </w:pPr>
      <w:r w:rsidRPr="000038A7">
        <w:rPr>
          <w:lang w:val="en-GB"/>
        </w:rPr>
        <w:t>time-point.</w:t>
      </w:r>
    </w:p>
    <w:p w14:paraId="31879A27" w14:textId="308EACF6" w:rsidR="00D853AB" w:rsidRPr="000038A7" w:rsidRDefault="00D853AB" w:rsidP="00331F85">
      <w:pPr>
        <w:pStyle w:val="wcpTablenote"/>
        <w:spacing w:before="0"/>
        <w:ind w:left="284" w:hanging="284"/>
        <w:rPr>
          <w:iCs/>
          <w:lang w:val="en-GB"/>
        </w:rPr>
      </w:pPr>
      <w:r w:rsidRPr="000038A7">
        <w:rPr>
          <w:iCs/>
          <w:vertAlign w:val="superscript"/>
          <w:lang w:val="en-GB"/>
        </w:rPr>
        <w:t>2</w:t>
      </w:r>
      <w:r w:rsidRPr="000038A7">
        <w:rPr>
          <w:lang w:val="en-GB"/>
        </w:rPr>
        <w:t xml:space="preserve"> </w:t>
      </w:r>
      <w:r w:rsidR="005420A5" w:rsidRPr="000038A7">
        <w:rPr>
          <w:lang w:val="en-GB"/>
        </w:rPr>
        <w:tab/>
      </w:r>
      <w:r w:rsidRPr="000038A7">
        <w:rPr>
          <w:iCs/>
          <w:lang w:val="en-GB"/>
        </w:rPr>
        <w:t>Study Td508 was conducted in Canada with children 4-6 years of age.</w:t>
      </w:r>
    </w:p>
    <w:p w14:paraId="3A31A01D" w14:textId="6C8E32FB" w:rsidR="00D853AB" w:rsidRPr="000038A7" w:rsidRDefault="00D853AB" w:rsidP="00331F85">
      <w:pPr>
        <w:pStyle w:val="wcpTablenote"/>
        <w:spacing w:before="0"/>
        <w:ind w:left="284" w:hanging="284"/>
        <w:rPr>
          <w:vertAlign w:val="superscript"/>
          <w:lang w:val="en-GB"/>
        </w:rPr>
      </w:pPr>
      <w:r w:rsidRPr="000038A7">
        <w:rPr>
          <w:iCs/>
          <w:vertAlign w:val="superscript"/>
          <w:lang w:val="en-GB"/>
        </w:rPr>
        <w:t>3</w:t>
      </w:r>
      <w:r w:rsidRPr="000038A7">
        <w:rPr>
          <w:lang w:val="en-GB"/>
        </w:rPr>
        <w:t xml:space="preserve"> </w:t>
      </w:r>
      <w:r w:rsidR="005420A5" w:rsidRPr="000038A7">
        <w:rPr>
          <w:lang w:val="en-GB"/>
        </w:rPr>
        <w:tab/>
      </w:r>
      <w:r w:rsidRPr="000038A7">
        <w:rPr>
          <w:iCs/>
          <w:lang w:val="en-GB"/>
        </w:rPr>
        <w:t>Study Td506 was conducted in the United States with adolescents 11-17 years of age and adults 18-64 years of age.</w:t>
      </w:r>
    </w:p>
    <w:p w14:paraId="1CD83920" w14:textId="33C292E6" w:rsidR="00D853AB" w:rsidRPr="000038A7" w:rsidRDefault="00D853AB" w:rsidP="00331F85">
      <w:pPr>
        <w:tabs>
          <w:tab w:val="left" w:pos="567"/>
        </w:tabs>
        <w:ind w:left="284" w:hanging="284"/>
        <w:rPr>
          <w:sz w:val="20"/>
          <w:lang w:val="en-GB"/>
        </w:rPr>
      </w:pPr>
      <w:r w:rsidRPr="000038A7">
        <w:rPr>
          <w:sz w:val="20"/>
          <w:vertAlign w:val="superscript"/>
          <w:lang w:val="en-GB"/>
        </w:rPr>
        <w:t xml:space="preserve">4 </w:t>
      </w:r>
      <w:r w:rsidR="005420A5" w:rsidRPr="000038A7">
        <w:rPr>
          <w:sz w:val="20"/>
          <w:vertAlign w:val="superscript"/>
          <w:lang w:val="en-GB"/>
        </w:rPr>
        <w:tab/>
      </w:r>
      <w:r w:rsidRPr="000038A7">
        <w:rPr>
          <w:sz w:val="20"/>
          <w:lang w:val="en-GB"/>
        </w:rPr>
        <w:t xml:space="preserve">Percentage of participants with antibodies ≥ 5 EU/mL for PT, ≥ 3 for FHA and PRN, and ≥ 17 EU/mL for FIM for the </w:t>
      </w:r>
      <w:proofErr w:type="gramStart"/>
      <w:r w:rsidRPr="000038A7">
        <w:rPr>
          <w:sz w:val="20"/>
          <w:lang w:val="en-GB"/>
        </w:rPr>
        <w:t>3 year</w:t>
      </w:r>
      <w:proofErr w:type="gramEnd"/>
      <w:r w:rsidRPr="000038A7">
        <w:rPr>
          <w:sz w:val="20"/>
          <w:lang w:val="en-GB"/>
        </w:rPr>
        <w:t xml:space="preserve"> follow-up; ≥ 4 EU/mL for PT, PRN and FIM, and ≥ 3 EU/mL for FHA for the 5-year and 10-year follow-up </w:t>
      </w:r>
      <w:bookmarkEnd w:id="8"/>
    </w:p>
    <w:p w14:paraId="2E144A22" w14:textId="77777777" w:rsidR="00D853AB" w:rsidRPr="00B108A6" w:rsidRDefault="00D853AB" w:rsidP="00331F85">
      <w:pPr>
        <w:tabs>
          <w:tab w:val="left" w:pos="567"/>
        </w:tabs>
        <w:rPr>
          <w:sz w:val="24"/>
          <w:szCs w:val="24"/>
          <w:lang w:val="en-GB"/>
        </w:rPr>
      </w:pPr>
    </w:p>
    <w:p w14:paraId="5B6CB518" w14:textId="44BDF634" w:rsidR="00D853AB" w:rsidRPr="00B108A6" w:rsidRDefault="00D853AB" w:rsidP="00331F85">
      <w:pPr>
        <w:ind w:left="851"/>
        <w:rPr>
          <w:sz w:val="24"/>
          <w:szCs w:val="24"/>
          <w:lang w:val="en-GB"/>
        </w:rPr>
      </w:pPr>
      <w:r w:rsidRPr="00B108A6">
        <w:rPr>
          <w:sz w:val="24"/>
          <w:szCs w:val="24"/>
          <w:lang w:val="en-GB"/>
        </w:rPr>
        <w:t xml:space="preserve">Follow-up studies conducted with </w:t>
      </w:r>
      <w:proofErr w:type="spellStart"/>
      <w:r w:rsidR="000038A7" w:rsidRPr="00B108A6">
        <w:rPr>
          <w:sz w:val="24"/>
          <w:szCs w:val="24"/>
          <w:lang w:val="en-GB"/>
        </w:rPr>
        <w:t>R</w:t>
      </w:r>
      <w:r w:rsidR="000038A7">
        <w:rPr>
          <w:sz w:val="24"/>
          <w:szCs w:val="24"/>
          <w:lang w:val="en-GB"/>
        </w:rPr>
        <w:t>epevax</w:t>
      </w:r>
      <w:proofErr w:type="spellEnd"/>
      <w:r w:rsidRPr="00B108A6">
        <w:rPr>
          <w:sz w:val="24"/>
          <w:szCs w:val="24"/>
          <w:lang w:val="en-GB"/>
        </w:rPr>
        <w:t xml:space="preserve"> provide serology data at 1, 3, 5 and 10 years in individuals previously immunized with a single booster dose of </w:t>
      </w:r>
      <w:proofErr w:type="spellStart"/>
      <w:r w:rsidR="000038A7" w:rsidRPr="00B108A6">
        <w:rPr>
          <w:sz w:val="24"/>
          <w:szCs w:val="24"/>
          <w:lang w:val="en-GB"/>
        </w:rPr>
        <w:t>R</w:t>
      </w:r>
      <w:r w:rsidR="000038A7">
        <w:rPr>
          <w:sz w:val="24"/>
          <w:szCs w:val="24"/>
          <w:lang w:val="en-GB"/>
        </w:rPr>
        <w:t>epevax</w:t>
      </w:r>
      <w:proofErr w:type="spellEnd"/>
      <w:r w:rsidRPr="00B108A6">
        <w:rPr>
          <w:sz w:val="24"/>
          <w:szCs w:val="24"/>
          <w:lang w:val="en-GB"/>
        </w:rPr>
        <w:t xml:space="preserve">. Persistence of </w:t>
      </w:r>
      <w:proofErr w:type="spellStart"/>
      <w:r w:rsidRPr="00B108A6">
        <w:rPr>
          <w:sz w:val="24"/>
          <w:szCs w:val="24"/>
          <w:lang w:val="en-GB"/>
        </w:rPr>
        <w:t>seroprotection</w:t>
      </w:r>
      <w:proofErr w:type="spellEnd"/>
      <w:r w:rsidRPr="00B108A6">
        <w:rPr>
          <w:sz w:val="24"/>
          <w:szCs w:val="24"/>
          <w:lang w:val="en-GB"/>
        </w:rPr>
        <w:t xml:space="preserve"> to diphtheria and tetanus, seropositivity to pertussis and seroprotective antibody levels (≥1:8 dilution) for each poliovirus (types 1, 2 and 3) are summarized in Table 4.</w:t>
      </w:r>
    </w:p>
    <w:p w14:paraId="746C4324" w14:textId="77777777" w:rsidR="00D853AB" w:rsidRPr="00B108A6" w:rsidRDefault="00D853AB" w:rsidP="00331F85">
      <w:pPr>
        <w:tabs>
          <w:tab w:val="left" w:pos="567"/>
        </w:tabs>
        <w:rPr>
          <w:sz w:val="24"/>
          <w:szCs w:val="24"/>
          <w:lang w:val="en-GB"/>
        </w:rPr>
      </w:pPr>
    </w:p>
    <w:p w14:paraId="7858ABB8" w14:textId="491E5F10" w:rsidR="00D853AB" w:rsidRPr="00B108A6" w:rsidRDefault="00D853AB" w:rsidP="00331F85">
      <w:pPr>
        <w:keepNext/>
        <w:spacing w:after="120"/>
        <w:rPr>
          <w:b/>
          <w:sz w:val="24"/>
          <w:szCs w:val="24"/>
          <w:lang w:val="en-GB"/>
        </w:rPr>
      </w:pPr>
      <w:r w:rsidRPr="00B108A6">
        <w:rPr>
          <w:b/>
          <w:sz w:val="24"/>
          <w:szCs w:val="24"/>
          <w:lang w:val="en-GB"/>
        </w:rPr>
        <w:lastRenderedPageBreak/>
        <w:t xml:space="preserve">Table 4: Persistence of </w:t>
      </w:r>
      <w:proofErr w:type="spellStart"/>
      <w:r w:rsidRPr="00B108A6">
        <w:rPr>
          <w:b/>
          <w:sz w:val="24"/>
          <w:szCs w:val="24"/>
          <w:lang w:val="en-GB"/>
        </w:rPr>
        <w:t>Seroprotection</w:t>
      </w:r>
      <w:proofErr w:type="spellEnd"/>
      <w:r w:rsidRPr="00B108A6">
        <w:rPr>
          <w:b/>
          <w:sz w:val="24"/>
          <w:szCs w:val="24"/>
          <w:lang w:val="en-GB"/>
        </w:rPr>
        <w:t xml:space="preserve">/Seropositivity Rates (%) in Children, Adolescents and Adults at 1-, 3-, 5- and 10- years following a dose of </w:t>
      </w:r>
      <w:proofErr w:type="spellStart"/>
      <w:r w:rsidRPr="00B108A6">
        <w:rPr>
          <w:b/>
          <w:sz w:val="24"/>
          <w:szCs w:val="24"/>
          <w:lang w:val="en-GB"/>
        </w:rPr>
        <w:t>R</w:t>
      </w:r>
      <w:r w:rsidR="008B6773">
        <w:rPr>
          <w:b/>
          <w:sz w:val="24"/>
          <w:szCs w:val="24"/>
          <w:lang w:val="en-GB"/>
        </w:rPr>
        <w:t>epevax</w:t>
      </w:r>
      <w:proofErr w:type="spellEnd"/>
      <w:r w:rsidRPr="00B108A6">
        <w:rPr>
          <w:b/>
          <w:sz w:val="24"/>
          <w:szCs w:val="24"/>
          <w:lang w:val="en-GB"/>
        </w:rPr>
        <w:t xml:space="preserve"> (ITT Population</w:t>
      </w:r>
      <w:r w:rsidRPr="00B108A6">
        <w:rPr>
          <w:b/>
          <w:sz w:val="24"/>
          <w:szCs w:val="24"/>
          <w:vertAlign w:val="superscript"/>
          <w:lang w:val="en-GB"/>
        </w:rPr>
        <w:t>1</w:t>
      </w:r>
      <w:r w:rsidRPr="00B108A6">
        <w:rPr>
          <w:b/>
          <w:sz w:val="24"/>
          <w:szCs w:val="24"/>
          <w:lang w:val="en-GB"/>
        </w:rPr>
        <w:t>)</w:t>
      </w:r>
    </w:p>
    <w:tbl>
      <w:tblPr>
        <w:tblW w:w="5044"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150"/>
        <w:gridCol w:w="1135"/>
        <w:gridCol w:w="740"/>
        <w:gridCol w:w="674"/>
        <w:gridCol w:w="740"/>
        <w:gridCol w:w="674"/>
        <w:gridCol w:w="774"/>
        <w:gridCol w:w="774"/>
        <w:gridCol w:w="738"/>
        <w:gridCol w:w="6"/>
        <w:gridCol w:w="674"/>
        <w:gridCol w:w="840"/>
        <w:gridCol w:w="774"/>
        <w:gridCol w:w="732"/>
        <w:gridCol w:w="9"/>
      </w:tblGrid>
      <w:tr w:rsidR="00D853AB" w:rsidRPr="000038A7" w14:paraId="7B25E94A" w14:textId="77777777" w:rsidTr="008B6773">
        <w:trPr>
          <w:trHeight w:val="340"/>
          <w:tblHeader/>
          <w:jc w:val="center"/>
        </w:trPr>
        <w:tc>
          <w:tcPr>
            <w:tcW w:w="1118" w:type="pct"/>
            <w:gridSpan w:val="2"/>
            <w:tcBorders>
              <w:top w:val="single" w:sz="6" w:space="0" w:color="auto"/>
              <w:left w:val="single" w:sz="6" w:space="0" w:color="auto"/>
              <w:bottom w:val="single" w:sz="6" w:space="0" w:color="auto"/>
              <w:right w:val="single" w:sz="6" w:space="0" w:color="auto"/>
            </w:tcBorders>
            <w:vAlign w:val="center"/>
          </w:tcPr>
          <w:p w14:paraId="7CC0A48E" w14:textId="77777777" w:rsidR="00D853AB" w:rsidRPr="000038A7" w:rsidRDefault="00D853AB" w:rsidP="00331F85">
            <w:pPr>
              <w:keepNext/>
              <w:spacing w:after="120"/>
              <w:jc w:val="center"/>
              <w:rPr>
                <w:b/>
                <w:sz w:val="20"/>
                <w:lang w:val="en-GB"/>
              </w:rPr>
            </w:pPr>
          </w:p>
        </w:tc>
        <w:tc>
          <w:tcPr>
            <w:tcW w:w="1027" w:type="pct"/>
            <w:gridSpan w:val="3"/>
            <w:tcBorders>
              <w:top w:val="single" w:sz="6" w:space="0" w:color="auto"/>
              <w:left w:val="single" w:sz="6" w:space="0" w:color="auto"/>
              <w:bottom w:val="single" w:sz="6" w:space="0" w:color="auto"/>
              <w:right w:val="single" w:sz="6" w:space="0" w:color="auto"/>
            </w:tcBorders>
            <w:hideMark/>
          </w:tcPr>
          <w:p w14:paraId="0575DF64" w14:textId="77777777" w:rsidR="00D853AB" w:rsidRPr="000038A7" w:rsidRDefault="00D853AB" w:rsidP="00331F85">
            <w:pPr>
              <w:keepNext/>
              <w:jc w:val="center"/>
              <w:rPr>
                <w:b/>
                <w:iCs/>
                <w:sz w:val="20"/>
                <w:lang w:val="en-GB"/>
              </w:rPr>
            </w:pPr>
            <w:r w:rsidRPr="000038A7">
              <w:rPr>
                <w:b/>
                <w:iCs/>
                <w:sz w:val="20"/>
                <w:lang w:val="en-GB"/>
              </w:rPr>
              <w:t xml:space="preserve">Children </w:t>
            </w:r>
          </w:p>
          <w:p w14:paraId="16079FED" w14:textId="77777777" w:rsidR="00D853AB" w:rsidRPr="000038A7" w:rsidRDefault="00D853AB" w:rsidP="00331F85">
            <w:pPr>
              <w:keepNext/>
              <w:jc w:val="center"/>
              <w:rPr>
                <w:iCs/>
                <w:sz w:val="20"/>
                <w:vertAlign w:val="superscript"/>
                <w:lang w:val="en-GB"/>
              </w:rPr>
            </w:pPr>
            <w:r w:rsidRPr="000038A7">
              <w:rPr>
                <w:iCs/>
                <w:sz w:val="20"/>
                <w:lang w:val="en-GB"/>
              </w:rPr>
              <w:t>(3.5-5 years)</w:t>
            </w:r>
            <w:r w:rsidRPr="000038A7">
              <w:rPr>
                <w:iCs/>
                <w:sz w:val="20"/>
                <w:vertAlign w:val="superscript"/>
                <w:lang w:val="en-GB"/>
              </w:rPr>
              <w:t>2</w:t>
            </w:r>
          </w:p>
        </w:tc>
        <w:tc>
          <w:tcPr>
            <w:tcW w:w="1412" w:type="pct"/>
            <w:gridSpan w:val="5"/>
            <w:tcBorders>
              <w:top w:val="single" w:sz="6" w:space="0" w:color="auto"/>
              <w:left w:val="single" w:sz="6" w:space="0" w:color="auto"/>
              <w:bottom w:val="single" w:sz="6" w:space="0" w:color="auto"/>
              <w:right w:val="single" w:sz="6" w:space="0" w:color="auto"/>
            </w:tcBorders>
            <w:hideMark/>
          </w:tcPr>
          <w:p w14:paraId="3D8EFB19" w14:textId="77777777" w:rsidR="00D853AB" w:rsidRPr="000038A7" w:rsidRDefault="00D853AB" w:rsidP="00331F85">
            <w:pPr>
              <w:keepNext/>
              <w:jc w:val="center"/>
              <w:rPr>
                <w:b/>
                <w:iCs/>
                <w:sz w:val="20"/>
                <w:lang w:val="en-GB"/>
              </w:rPr>
            </w:pPr>
            <w:r w:rsidRPr="000038A7">
              <w:rPr>
                <w:b/>
                <w:iCs/>
                <w:sz w:val="20"/>
                <w:lang w:val="en-GB"/>
              </w:rPr>
              <w:t xml:space="preserve">Adolescents </w:t>
            </w:r>
          </w:p>
          <w:p w14:paraId="3143CA2C" w14:textId="77777777" w:rsidR="00D853AB" w:rsidRPr="000038A7" w:rsidRDefault="00D853AB" w:rsidP="00331F85">
            <w:pPr>
              <w:keepNext/>
              <w:jc w:val="center"/>
              <w:rPr>
                <w:iCs/>
                <w:sz w:val="20"/>
                <w:lang w:val="en-GB"/>
              </w:rPr>
            </w:pPr>
            <w:r w:rsidRPr="000038A7">
              <w:rPr>
                <w:iCs/>
                <w:sz w:val="20"/>
                <w:lang w:val="en-GB"/>
              </w:rPr>
              <w:t>(11-17 years)</w:t>
            </w:r>
            <w:r w:rsidRPr="000038A7">
              <w:rPr>
                <w:iCs/>
                <w:sz w:val="20"/>
                <w:vertAlign w:val="superscript"/>
                <w:lang w:val="en-GB"/>
              </w:rPr>
              <w:t>2</w:t>
            </w:r>
          </w:p>
        </w:tc>
        <w:tc>
          <w:tcPr>
            <w:tcW w:w="1442" w:type="pct"/>
            <w:gridSpan w:val="5"/>
            <w:tcBorders>
              <w:top w:val="single" w:sz="6" w:space="0" w:color="auto"/>
              <w:left w:val="single" w:sz="6" w:space="0" w:color="auto"/>
              <w:bottom w:val="single" w:sz="6" w:space="0" w:color="auto"/>
              <w:right w:val="single" w:sz="6" w:space="0" w:color="auto"/>
            </w:tcBorders>
            <w:hideMark/>
          </w:tcPr>
          <w:p w14:paraId="10AFB688" w14:textId="77777777" w:rsidR="00D853AB" w:rsidRPr="000038A7" w:rsidRDefault="00D853AB" w:rsidP="00331F85">
            <w:pPr>
              <w:keepNext/>
              <w:jc w:val="center"/>
              <w:rPr>
                <w:b/>
                <w:iCs/>
                <w:sz w:val="20"/>
                <w:lang w:val="en-GB"/>
              </w:rPr>
            </w:pPr>
            <w:r w:rsidRPr="000038A7">
              <w:rPr>
                <w:b/>
                <w:iCs/>
                <w:sz w:val="20"/>
                <w:lang w:val="en-GB"/>
              </w:rPr>
              <w:t>Adults</w:t>
            </w:r>
          </w:p>
          <w:p w14:paraId="3FFA29E4" w14:textId="77777777" w:rsidR="00D853AB" w:rsidRPr="000038A7" w:rsidRDefault="00D853AB" w:rsidP="00331F85">
            <w:pPr>
              <w:keepNext/>
              <w:jc w:val="center"/>
              <w:rPr>
                <w:bCs/>
                <w:iCs/>
                <w:sz w:val="20"/>
                <w:lang w:val="en-GB"/>
              </w:rPr>
            </w:pPr>
            <w:r w:rsidRPr="000038A7">
              <w:rPr>
                <w:bCs/>
                <w:iCs/>
                <w:sz w:val="20"/>
                <w:lang w:val="en-GB"/>
              </w:rPr>
              <w:t>(18-64 years)</w:t>
            </w:r>
            <w:r w:rsidRPr="000038A7">
              <w:rPr>
                <w:bCs/>
                <w:iCs/>
                <w:sz w:val="20"/>
                <w:vertAlign w:val="superscript"/>
                <w:lang w:val="en-GB"/>
              </w:rPr>
              <w:t>2</w:t>
            </w:r>
          </w:p>
        </w:tc>
      </w:tr>
      <w:tr w:rsidR="00D853AB" w:rsidRPr="000038A7" w14:paraId="7F50F21F" w14:textId="77777777" w:rsidTr="008B6773">
        <w:trPr>
          <w:trHeight w:val="498"/>
          <w:tblHeader/>
          <w:jc w:val="center"/>
        </w:trPr>
        <w:tc>
          <w:tcPr>
            <w:tcW w:w="1118" w:type="pct"/>
            <w:gridSpan w:val="2"/>
            <w:tcBorders>
              <w:top w:val="single" w:sz="6" w:space="0" w:color="auto"/>
              <w:left w:val="single" w:sz="6" w:space="0" w:color="auto"/>
              <w:bottom w:val="single" w:sz="6" w:space="0" w:color="auto"/>
              <w:right w:val="single" w:sz="6" w:space="0" w:color="auto"/>
            </w:tcBorders>
            <w:vAlign w:val="center"/>
            <w:hideMark/>
          </w:tcPr>
          <w:p w14:paraId="7873B770" w14:textId="77777777" w:rsidR="00D853AB" w:rsidRPr="000038A7" w:rsidRDefault="00D853AB" w:rsidP="00331F85">
            <w:pPr>
              <w:keepNext/>
              <w:spacing w:before="20" w:after="20"/>
              <w:rPr>
                <w:b/>
                <w:sz w:val="20"/>
                <w:lang w:val="en-GB"/>
              </w:rPr>
            </w:pPr>
            <w:r w:rsidRPr="000038A7">
              <w:rPr>
                <w:b/>
                <w:sz w:val="20"/>
                <w:lang w:val="en-GB"/>
              </w:rPr>
              <w:t>Time since REPEVAX dose</w:t>
            </w:r>
          </w:p>
        </w:tc>
        <w:tc>
          <w:tcPr>
            <w:tcW w:w="352" w:type="pct"/>
            <w:tcBorders>
              <w:top w:val="single" w:sz="6" w:space="0" w:color="auto"/>
              <w:left w:val="single" w:sz="6" w:space="0" w:color="auto"/>
              <w:bottom w:val="single" w:sz="4" w:space="0" w:color="auto"/>
              <w:right w:val="single" w:sz="6" w:space="0" w:color="auto"/>
            </w:tcBorders>
            <w:vAlign w:val="center"/>
            <w:hideMark/>
          </w:tcPr>
          <w:p w14:paraId="0A5131C3" w14:textId="77777777" w:rsidR="00D853AB" w:rsidRPr="000038A7" w:rsidRDefault="00D853AB" w:rsidP="00331F85">
            <w:pPr>
              <w:keepNext/>
              <w:jc w:val="center"/>
              <w:rPr>
                <w:b/>
                <w:bCs/>
                <w:iCs/>
                <w:sz w:val="20"/>
                <w:lang w:val="en-GB"/>
              </w:rPr>
            </w:pPr>
            <w:r w:rsidRPr="000038A7">
              <w:rPr>
                <w:b/>
                <w:bCs/>
                <w:iCs/>
                <w:sz w:val="20"/>
                <w:lang w:val="en-GB"/>
              </w:rPr>
              <w:t xml:space="preserve">1 </w:t>
            </w:r>
          </w:p>
          <w:p w14:paraId="67EEB2DF" w14:textId="77777777" w:rsidR="00D853AB" w:rsidRPr="000038A7" w:rsidRDefault="00D853AB" w:rsidP="00331F85">
            <w:pPr>
              <w:keepNext/>
              <w:jc w:val="center"/>
              <w:rPr>
                <w:b/>
                <w:iCs/>
                <w:sz w:val="20"/>
                <w:lang w:val="en-GB"/>
              </w:rPr>
            </w:pPr>
            <w:r w:rsidRPr="000038A7">
              <w:rPr>
                <w:b/>
                <w:bCs/>
                <w:iCs/>
                <w:sz w:val="20"/>
                <w:lang w:val="en-GB"/>
              </w:rPr>
              <w:t>year</w:t>
            </w:r>
          </w:p>
        </w:tc>
        <w:tc>
          <w:tcPr>
            <w:tcW w:w="322" w:type="pct"/>
            <w:tcBorders>
              <w:top w:val="single" w:sz="6" w:space="0" w:color="auto"/>
              <w:left w:val="single" w:sz="6" w:space="0" w:color="auto"/>
              <w:bottom w:val="single" w:sz="4" w:space="0" w:color="auto"/>
              <w:right w:val="single" w:sz="6" w:space="0" w:color="auto"/>
            </w:tcBorders>
            <w:vAlign w:val="center"/>
            <w:hideMark/>
          </w:tcPr>
          <w:p w14:paraId="4B50F538" w14:textId="77777777" w:rsidR="00D853AB" w:rsidRPr="000038A7" w:rsidRDefault="00D853AB" w:rsidP="00331F85">
            <w:pPr>
              <w:keepNext/>
              <w:jc w:val="center"/>
              <w:rPr>
                <w:b/>
                <w:iCs/>
                <w:sz w:val="20"/>
                <w:lang w:val="en-GB"/>
              </w:rPr>
            </w:pPr>
            <w:r w:rsidRPr="000038A7">
              <w:rPr>
                <w:b/>
                <w:bCs/>
                <w:iCs/>
                <w:sz w:val="20"/>
                <w:lang w:val="en-GB"/>
              </w:rPr>
              <w:t>3 years</w:t>
            </w:r>
          </w:p>
        </w:tc>
        <w:tc>
          <w:tcPr>
            <w:tcW w:w="353" w:type="pct"/>
            <w:tcBorders>
              <w:top w:val="single" w:sz="6" w:space="0" w:color="auto"/>
              <w:left w:val="single" w:sz="6" w:space="0" w:color="auto"/>
              <w:bottom w:val="single" w:sz="4" w:space="0" w:color="auto"/>
              <w:right w:val="single" w:sz="6" w:space="0" w:color="auto"/>
            </w:tcBorders>
            <w:vAlign w:val="center"/>
            <w:hideMark/>
          </w:tcPr>
          <w:p w14:paraId="7BDC47DF" w14:textId="77777777" w:rsidR="00D853AB" w:rsidRPr="000038A7" w:rsidRDefault="00D853AB" w:rsidP="00331F85">
            <w:pPr>
              <w:keepNext/>
              <w:jc w:val="center"/>
              <w:rPr>
                <w:b/>
                <w:iCs/>
                <w:sz w:val="20"/>
                <w:lang w:val="en-GB"/>
              </w:rPr>
            </w:pPr>
            <w:r w:rsidRPr="000038A7">
              <w:rPr>
                <w:b/>
                <w:bCs/>
                <w:iCs/>
                <w:sz w:val="20"/>
                <w:lang w:val="en-GB"/>
              </w:rPr>
              <w:t>5 years</w:t>
            </w:r>
          </w:p>
        </w:tc>
        <w:tc>
          <w:tcPr>
            <w:tcW w:w="322" w:type="pct"/>
            <w:tcBorders>
              <w:top w:val="single" w:sz="6" w:space="0" w:color="auto"/>
              <w:left w:val="single" w:sz="6" w:space="0" w:color="auto"/>
              <w:bottom w:val="single" w:sz="4" w:space="0" w:color="auto"/>
              <w:right w:val="single" w:sz="6" w:space="0" w:color="auto"/>
            </w:tcBorders>
            <w:vAlign w:val="center"/>
            <w:hideMark/>
          </w:tcPr>
          <w:p w14:paraId="4CBE30BE" w14:textId="77777777" w:rsidR="00D853AB" w:rsidRPr="000038A7" w:rsidRDefault="00D853AB" w:rsidP="00331F85">
            <w:pPr>
              <w:keepNext/>
              <w:jc w:val="center"/>
              <w:rPr>
                <w:b/>
                <w:bCs/>
                <w:iCs/>
                <w:sz w:val="20"/>
                <w:lang w:val="en-GB"/>
              </w:rPr>
            </w:pPr>
            <w:r w:rsidRPr="000038A7">
              <w:rPr>
                <w:b/>
                <w:bCs/>
                <w:iCs/>
                <w:sz w:val="20"/>
                <w:lang w:val="en-GB"/>
              </w:rPr>
              <w:t>1 year</w:t>
            </w:r>
          </w:p>
        </w:tc>
        <w:tc>
          <w:tcPr>
            <w:tcW w:w="368" w:type="pct"/>
            <w:tcBorders>
              <w:top w:val="single" w:sz="6" w:space="0" w:color="auto"/>
              <w:left w:val="single" w:sz="6" w:space="0" w:color="auto"/>
              <w:bottom w:val="single" w:sz="4" w:space="0" w:color="auto"/>
              <w:right w:val="single" w:sz="6" w:space="0" w:color="auto"/>
            </w:tcBorders>
            <w:vAlign w:val="center"/>
            <w:hideMark/>
          </w:tcPr>
          <w:p w14:paraId="3760D73E" w14:textId="77777777" w:rsidR="00D853AB" w:rsidRPr="000038A7" w:rsidRDefault="00D853AB" w:rsidP="00331F85">
            <w:pPr>
              <w:keepNext/>
              <w:jc w:val="center"/>
              <w:rPr>
                <w:b/>
                <w:bCs/>
                <w:iCs/>
                <w:sz w:val="20"/>
                <w:lang w:val="en-GB"/>
              </w:rPr>
            </w:pPr>
            <w:r w:rsidRPr="000038A7">
              <w:rPr>
                <w:b/>
                <w:bCs/>
                <w:iCs/>
                <w:sz w:val="20"/>
                <w:lang w:val="en-GB"/>
              </w:rPr>
              <w:t xml:space="preserve">3 </w:t>
            </w:r>
          </w:p>
          <w:p w14:paraId="192E46C8" w14:textId="77777777" w:rsidR="00D853AB" w:rsidRPr="000038A7" w:rsidRDefault="00D853AB" w:rsidP="00331F85">
            <w:pPr>
              <w:keepNext/>
              <w:jc w:val="center"/>
              <w:rPr>
                <w:b/>
                <w:bCs/>
                <w:iCs/>
                <w:sz w:val="20"/>
                <w:lang w:val="en-GB"/>
              </w:rPr>
            </w:pPr>
            <w:r w:rsidRPr="000038A7">
              <w:rPr>
                <w:b/>
                <w:bCs/>
                <w:iCs/>
                <w:sz w:val="20"/>
                <w:lang w:val="en-GB"/>
              </w:rPr>
              <w:t>years</w:t>
            </w:r>
          </w:p>
        </w:tc>
        <w:tc>
          <w:tcPr>
            <w:tcW w:w="368" w:type="pct"/>
            <w:tcBorders>
              <w:top w:val="single" w:sz="6" w:space="0" w:color="auto"/>
              <w:left w:val="single" w:sz="6" w:space="0" w:color="auto"/>
              <w:bottom w:val="single" w:sz="4" w:space="0" w:color="auto"/>
              <w:right w:val="single" w:sz="6" w:space="0" w:color="auto"/>
            </w:tcBorders>
            <w:vAlign w:val="center"/>
            <w:hideMark/>
          </w:tcPr>
          <w:p w14:paraId="1F5E37A8" w14:textId="77777777" w:rsidR="00D853AB" w:rsidRPr="000038A7" w:rsidRDefault="00D853AB" w:rsidP="00331F85">
            <w:pPr>
              <w:keepNext/>
              <w:jc w:val="center"/>
              <w:rPr>
                <w:b/>
                <w:bCs/>
                <w:iCs/>
                <w:sz w:val="20"/>
                <w:lang w:val="en-GB"/>
              </w:rPr>
            </w:pPr>
            <w:r w:rsidRPr="000038A7">
              <w:rPr>
                <w:b/>
                <w:bCs/>
                <w:iCs/>
                <w:sz w:val="20"/>
                <w:lang w:val="en-GB"/>
              </w:rPr>
              <w:t xml:space="preserve">5 </w:t>
            </w:r>
          </w:p>
          <w:p w14:paraId="7C89E911" w14:textId="77777777" w:rsidR="00D853AB" w:rsidRPr="000038A7" w:rsidRDefault="00D853AB" w:rsidP="00331F85">
            <w:pPr>
              <w:keepNext/>
              <w:jc w:val="center"/>
              <w:rPr>
                <w:b/>
                <w:bCs/>
                <w:iCs/>
                <w:sz w:val="20"/>
                <w:lang w:val="en-GB"/>
              </w:rPr>
            </w:pPr>
            <w:r w:rsidRPr="000038A7">
              <w:rPr>
                <w:b/>
                <w:bCs/>
                <w:iCs/>
                <w:sz w:val="20"/>
                <w:lang w:val="en-GB"/>
              </w:rPr>
              <w:t>years</w:t>
            </w:r>
          </w:p>
        </w:tc>
        <w:tc>
          <w:tcPr>
            <w:tcW w:w="353" w:type="pct"/>
            <w:gridSpan w:val="2"/>
            <w:tcBorders>
              <w:top w:val="single" w:sz="6" w:space="0" w:color="auto"/>
              <w:left w:val="single" w:sz="6" w:space="0" w:color="auto"/>
              <w:bottom w:val="single" w:sz="4" w:space="0" w:color="auto"/>
              <w:right w:val="single" w:sz="6" w:space="0" w:color="auto"/>
            </w:tcBorders>
            <w:vAlign w:val="center"/>
            <w:hideMark/>
          </w:tcPr>
          <w:p w14:paraId="51BF247D" w14:textId="77777777" w:rsidR="00D853AB" w:rsidRPr="000038A7" w:rsidRDefault="00D853AB" w:rsidP="00331F85">
            <w:pPr>
              <w:keepNext/>
              <w:jc w:val="center"/>
              <w:rPr>
                <w:b/>
                <w:bCs/>
                <w:iCs/>
                <w:sz w:val="20"/>
                <w:lang w:val="en-GB"/>
              </w:rPr>
            </w:pPr>
            <w:r w:rsidRPr="000038A7">
              <w:rPr>
                <w:b/>
                <w:bCs/>
                <w:iCs/>
                <w:sz w:val="20"/>
                <w:lang w:val="en-GB"/>
              </w:rPr>
              <w:t>10 years</w:t>
            </w:r>
          </w:p>
        </w:tc>
        <w:tc>
          <w:tcPr>
            <w:tcW w:w="322" w:type="pct"/>
            <w:tcBorders>
              <w:top w:val="single" w:sz="6" w:space="0" w:color="auto"/>
              <w:left w:val="single" w:sz="6" w:space="0" w:color="auto"/>
              <w:bottom w:val="single" w:sz="4" w:space="0" w:color="auto"/>
              <w:right w:val="single" w:sz="6" w:space="0" w:color="auto"/>
            </w:tcBorders>
            <w:vAlign w:val="center"/>
            <w:hideMark/>
          </w:tcPr>
          <w:p w14:paraId="2CE7BE3B" w14:textId="77777777" w:rsidR="00D853AB" w:rsidRPr="000038A7" w:rsidRDefault="00D853AB" w:rsidP="00331F85">
            <w:pPr>
              <w:keepNext/>
              <w:jc w:val="center"/>
              <w:rPr>
                <w:b/>
                <w:bCs/>
                <w:iCs/>
                <w:sz w:val="20"/>
                <w:lang w:val="en-GB"/>
              </w:rPr>
            </w:pPr>
            <w:r w:rsidRPr="000038A7">
              <w:rPr>
                <w:b/>
                <w:bCs/>
                <w:iCs/>
                <w:sz w:val="20"/>
                <w:lang w:val="en-GB"/>
              </w:rPr>
              <w:t xml:space="preserve">1 </w:t>
            </w:r>
          </w:p>
          <w:p w14:paraId="5179A9B6" w14:textId="77777777" w:rsidR="00D853AB" w:rsidRPr="000038A7" w:rsidRDefault="00D853AB" w:rsidP="00331F85">
            <w:pPr>
              <w:keepNext/>
              <w:jc w:val="center"/>
              <w:rPr>
                <w:b/>
                <w:bCs/>
                <w:iCs/>
                <w:sz w:val="20"/>
                <w:lang w:val="en-GB"/>
              </w:rPr>
            </w:pPr>
            <w:r w:rsidRPr="000038A7">
              <w:rPr>
                <w:b/>
                <w:bCs/>
                <w:iCs/>
                <w:sz w:val="20"/>
                <w:lang w:val="en-GB"/>
              </w:rPr>
              <w:t>year</w:t>
            </w:r>
          </w:p>
        </w:tc>
        <w:tc>
          <w:tcPr>
            <w:tcW w:w="399" w:type="pct"/>
            <w:tcBorders>
              <w:top w:val="single" w:sz="6" w:space="0" w:color="auto"/>
              <w:left w:val="single" w:sz="6" w:space="0" w:color="auto"/>
              <w:bottom w:val="single" w:sz="4" w:space="0" w:color="auto"/>
              <w:right w:val="single" w:sz="6" w:space="0" w:color="auto"/>
            </w:tcBorders>
            <w:vAlign w:val="center"/>
            <w:hideMark/>
          </w:tcPr>
          <w:p w14:paraId="43708182" w14:textId="77777777" w:rsidR="00D853AB" w:rsidRPr="000038A7" w:rsidRDefault="00D853AB" w:rsidP="00331F85">
            <w:pPr>
              <w:keepNext/>
              <w:jc w:val="center"/>
              <w:rPr>
                <w:b/>
                <w:bCs/>
                <w:iCs/>
                <w:sz w:val="20"/>
                <w:lang w:val="en-GB"/>
              </w:rPr>
            </w:pPr>
            <w:r w:rsidRPr="000038A7">
              <w:rPr>
                <w:b/>
                <w:bCs/>
                <w:iCs/>
                <w:sz w:val="20"/>
                <w:lang w:val="en-GB"/>
              </w:rPr>
              <w:t xml:space="preserve">3 </w:t>
            </w:r>
          </w:p>
          <w:p w14:paraId="4E2542A0" w14:textId="77777777" w:rsidR="00D853AB" w:rsidRPr="000038A7" w:rsidRDefault="00D853AB" w:rsidP="00331F85">
            <w:pPr>
              <w:keepNext/>
              <w:jc w:val="center"/>
              <w:rPr>
                <w:b/>
                <w:bCs/>
                <w:iCs/>
                <w:sz w:val="20"/>
                <w:lang w:val="en-GB"/>
              </w:rPr>
            </w:pPr>
            <w:r w:rsidRPr="000038A7">
              <w:rPr>
                <w:b/>
                <w:bCs/>
                <w:iCs/>
                <w:sz w:val="20"/>
                <w:lang w:val="en-GB"/>
              </w:rPr>
              <w:t>years</w:t>
            </w:r>
          </w:p>
        </w:tc>
        <w:tc>
          <w:tcPr>
            <w:tcW w:w="368" w:type="pct"/>
            <w:tcBorders>
              <w:top w:val="single" w:sz="6" w:space="0" w:color="auto"/>
              <w:left w:val="single" w:sz="6" w:space="0" w:color="auto"/>
              <w:bottom w:val="single" w:sz="4" w:space="0" w:color="auto"/>
              <w:right w:val="single" w:sz="6" w:space="0" w:color="auto"/>
            </w:tcBorders>
            <w:vAlign w:val="center"/>
            <w:hideMark/>
          </w:tcPr>
          <w:p w14:paraId="0679CB45" w14:textId="77777777" w:rsidR="00D853AB" w:rsidRPr="000038A7" w:rsidRDefault="00D853AB" w:rsidP="00331F85">
            <w:pPr>
              <w:keepNext/>
              <w:jc w:val="center"/>
              <w:rPr>
                <w:b/>
                <w:bCs/>
                <w:iCs/>
                <w:sz w:val="20"/>
                <w:lang w:val="en-GB"/>
              </w:rPr>
            </w:pPr>
            <w:r w:rsidRPr="000038A7">
              <w:rPr>
                <w:b/>
                <w:bCs/>
                <w:iCs/>
                <w:sz w:val="20"/>
                <w:lang w:val="en-GB"/>
              </w:rPr>
              <w:t xml:space="preserve">5 </w:t>
            </w:r>
          </w:p>
          <w:p w14:paraId="0977D310" w14:textId="77777777" w:rsidR="00D853AB" w:rsidRPr="000038A7" w:rsidRDefault="00D853AB" w:rsidP="00331F85">
            <w:pPr>
              <w:keepNext/>
              <w:jc w:val="center"/>
              <w:rPr>
                <w:b/>
                <w:bCs/>
                <w:iCs/>
                <w:sz w:val="20"/>
                <w:lang w:val="en-GB"/>
              </w:rPr>
            </w:pPr>
            <w:r w:rsidRPr="000038A7">
              <w:rPr>
                <w:b/>
                <w:bCs/>
                <w:iCs/>
                <w:sz w:val="20"/>
                <w:lang w:val="en-GB"/>
              </w:rPr>
              <w:t>years</w:t>
            </w:r>
          </w:p>
        </w:tc>
        <w:tc>
          <w:tcPr>
            <w:tcW w:w="353" w:type="pct"/>
            <w:gridSpan w:val="2"/>
            <w:tcBorders>
              <w:top w:val="single" w:sz="6" w:space="0" w:color="auto"/>
              <w:left w:val="single" w:sz="6" w:space="0" w:color="auto"/>
              <w:bottom w:val="single" w:sz="4" w:space="0" w:color="auto"/>
              <w:right w:val="single" w:sz="6" w:space="0" w:color="auto"/>
            </w:tcBorders>
            <w:vAlign w:val="center"/>
            <w:hideMark/>
          </w:tcPr>
          <w:p w14:paraId="54E8BABE" w14:textId="77777777" w:rsidR="00D853AB" w:rsidRPr="000038A7" w:rsidRDefault="00D853AB" w:rsidP="00331F85">
            <w:pPr>
              <w:keepNext/>
              <w:jc w:val="center"/>
              <w:rPr>
                <w:b/>
                <w:bCs/>
                <w:iCs/>
                <w:sz w:val="20"/>
                <w:lang w:val="en-GB"/>
              </w:rPr>
            </w:pPr>
            <w:r w:rsidRPr="000038A7">
              <w:rPr>
                <w:b/>
                <w:bCs/>
                <w:iCs/>
                <w:sz w:val="20"/>
                <w:lang w:val="en-GB"/>
              </w:rPr>
              <w:t>10 years</w:t>
            </w:r>
          </w:p>
        </w:tc>
      </w:tr>
      <w:tr w:rsidR="00D853AB" w:rsidRPr="000038A7" w14:paraId="6D2590EF" w14:textId="77777777" w:rsidTr="008B6773">
        <w:trPr>
          <w:trHeight w:val="138"/>
          <w:tblHeader/>
          <w:jc w:val="center"/>
        </w:trPr>
        <w:tc>
          <w:tcPr>
            <w:tcW w:w="1118" w:type="pct"/>
            <w:gridSpan w:val="2"/>
            <w:tcBorders>
              <w:top w:val="single" w:sz="6" w:space="0" w:color="auto"/>
              <w:left w:val="single" w:sz="6" w:space="0" w:color="auto"/>
              <w:bottom w:val="single" w:sz="4" w:space="0" w:color="auto"/>
              <w:right w:val="single" w:sz="6" w:space="0" w:color="auto"/>
            </w:tcBorders>
            <w:hideMark/>
          </w:tcPr>
          <w:p w14:paraId="5F658D11" w14:textId="77777777" w:rsidR="00D853AB" w:rsidRPr="000038A7" w:rsidRDefault="00D853AB" w:rsidP="00331F85">
            <w:pPr>
              <w:keepNext/>
              <w:spacing w:after="120"/>
              <w:rPr>
                <w:b/>
                <w:sz w:val="20"/>
                <w:lang w:val="en-GB"/>
              </w:rPr>
            </w:pPr>
            <w:r w:rsidRPr="000038A7">
              <w:rPr>
                <w:b/>
                <w:sz w:val="20"/>
                <w:lang w:val="en-GB"/>
              </w:rPr>
              <w:t>Participants</w:t>
            </w:r>
          </w:p>
        </w:tc>
        <w:tc>
          <w:tcPr>
            <w:tcW w:w="352" w:type="pct"/>
            <w:tcBorders>
              <w:top w:val="single" w:sz="6" w:space="0" w:color="auto"/>
              <w:left w:val="single" w:sz="6" w:space="0" w:color="auto"/>
              <w:bottom w:val="single" w:sz="4" w:space="0" w:color="auto"/>
              <w:right w:val="single" w:sz="6" w:space="0" w:color="auto"/>
            </w:tcBorders>
            <w:vAlign w:val="center"/>
            <w:hideMark/>
          </w:tcPr>
          <w:p w14:paraId="55E19E1D" w14:textId="77777777" w:rsidR="00D853AB" w:rsidRPr="000038A7" w:rsidRDefault="00D853AB" w:rsidP="00331F85">
            <w:pPr>
              <w:keepNext/>
              <w:spacing w:before="40" w:after="40"/>
              <w:jc w:val="center"/>
              <w:rPr>
                <w:iCs/>
                <w:sz w:val="20"/>
                <w:lang w:val="en-GB"/>
              </w:rPr>
            </w:pPr>
            <w:r w:rsidRPr="000038A7">
              <w:rPr>
                <w:iCs/>
                <w:sz w:val="20"/>
                <w:lang w:val="en-GB"/>
              </w:rPr>
              <w:t>N=36-37</w:t>
            </w:r>
          </w:p>
        </w:tc>
        <w:tc>
          <w:tcPr>
            <w:tcW w:w="322" w:type="pct"/>
            <w:tcBorders>
              <w:top w:val="single" w:sz="6" w:space="0" w:color="auto"/>
              <w:left w:val="single" w:sz="6" w:space="0" w:color="auto"/>
              <w:bottom w:val="single" w:sz="4" w:space="0" w:color="auto"/>
              <w:right w:val="single" w:sz="6" w:space="0" w:color="auto"/>
            </w:tcBorders>
            <w:vAlign w:val="center"/>
            <w:hideMark/>
          </w:tcPr>
          <w:p w14:paraId="4B7BAFAD" w14:textId="77777777" w:rsidR="00D853AB" w:rsidRPr="000038A7" w:rsidRDefault="00D853AB" w:rsidP="00331F85">
            <w:pPr>
              <w:keepNext/>
              <w:spacing w:before="40" w:after="40"/>
              <w:jc w:val="center"/>
              <w:rPr>
                <w:iCs/>
                <w:sz w:val="20"/>
                <w:lang w:val="en-GB"/>
              </w:rPr>
            </w:pPr>
            <w:r w:rsidRPr="000038A7">
              <w:rPr>
                <w:iCs/>
                <w:sz w:val="20"/>
                <w:lang w:val="en-GB"/>
              </w:rPr>
              <w:t>N=36</w:t>
            </w:r>
          </w:p>
        </w:tc>
        <w:tc>
          <w:tcPr>
            <w:tcW w:w="353" w:type="pct"/>
            <w:tcBorders>
              <w:top w:val="single" w:sz="6" w:space="0" w:color="auto"/>
              <w:left w:val="single" w:sz="6" w:space="0" w:color="auto"/>
              <w:bottom w:val="single" w:sz="4" w:space="0" w:color="auto"/>
              <w:right w:val="single" w:sz="6" w:space="0" w:color="auto"/>
            </w:tcBorders>
            <w:vAlign w:val="center"/>
            <w:hideMark/>
          </w:tcPr>
          <w:p w14:paraId="630F6453" w14:textId="77777777" w:rsidR="00D853AB" w:rsidRPr="000038A7" w:rsidRDefault="00D853AB" w:rsidP="00331F85">
            <w:pPr>
              <w:keepNext/>
              <w:spacing w:before="40" w:after="40"/>
              <w:jc w:val="center"/>
              <w:rPr>
                <w:iCs/>
                <w:sz w:val="20"/>
                <w:lang w:val="en-GB"/>
              </w:rPr>
            </w:pPr>
            <w:r w:rsidRPr="000038A7">
              <w:rPr>
                <w:iCs/>
                <w:sz w:val="20"/>
                <w:lang w:val="en-GB"/>
              </w:rPr>
              <w:t>N=38-48</w:t>
            </w:r>
          </w:p>
        </w:tc>
        <w:tc>
          <w:tcPr>
            <w:tcW w:w="322" w:type="pct"/>
            <w:tcBorders>
              <w:top w:val="single" w:sz="6" w:space="0" w:color="auto"/>
              <w:left w:val="single" w:sz="6" w:space="0" w:color="auto"/>
              <w:bottom w:val="single" w:sz="4" w:space="0" w:color="auto"/>
              <w:right w:val="single" w:sz="6" w:space="0" w:color="auto"/>
            </w:tcBorders>
            <w:vAlign w:val="center"/>
            <w:hideMark/>
          </w:tcPr>
          <w:p w14:paraId="6088B43E" w14:textId="77777777" w:rsidR="00D853AB" w:rsidRPr="000038A7" w:rsidRDefault="00D853AB" w:rsidP="00331F85">
            <w:pPr>
              <w:keepNext/>
              <w:spacing w:before="40" w:after="40"/>
              <w:jc w:val="center"/>
              <w:rPr>
                <w:iCs/>
                <w:sz w:val="20"/>
                <w:lang w:val="en-GB"/>
              </w:rPr>
            </w:pPr>
            <w:r w:rsidRPr="000038A7">
              <w:rPr>
                <w:iCs/>
                <w:sz w:val="20"/>
                <w:lang w:val="en-GB"/>
              </w:rPr>
              <w:t>N=64</w:t>
            </w:r>
          </w:p>
        </w:tc>
        <w:tc>
          <w:tcPr>
            <w:tcW w:w="368" w:type="pct"/>
            <w:tcBorders>
              <w:top w:val="single" w:sz="6" w:space="0" w:color="auto"/>
              <w:left w:val="single" w:sz="6" w:space="0" w:color="auto"/>
              <w:bottom w:val="single" w:sz="4" w:space="0" w:color="auto"/>
              <w:right w:val="single" w:sz="6" w:space="0" w:color="auto"/>
            </w:tcBorders>
            <w:vAlign w:val="center"/>
            <w:hideMark/>
          </w:tcPr>
          <w:p w14:paraId="7777A488" w14:textId="77777777" w:rsidR="00D853AB" w:rsidRPr="000038A7" w:rsidRDefault="00D853AB" w:rsidP="00331F85">
            <w:pPr>
              <w:keepNext/>
              <w:spacing w:before="40" w:after="40"/>
              <w:jc w:val="center"/>
              <w:rPr>
                <w:iCs/>
                <w:sz w:val="20"/>
                <w:lang w:val="en-GB"/>
              </w:rPr>
            </w:pPr>
            <w:r w:rsidRPr="000038A7">
              <w:rPr>
                <w:iCs/>
                <w:sz w:val="20"/>
                <w:lang w:val="en-GB"/>
              </w:rPr>
              <w:t>N=117</w:t>
            </w:r>
          </w:p>
        </w:tc>
        <w:tc>
          <w:tcPr>
            <w:tcW w:w="368" w:type="pct"/>
            <w:tcBorders>
              <w:top w:val="single" w:sz="6" w:space="0" w:color="auto"/>
              <w:left w:val="single" w:sz="6" w:space="0" w:color="auto"/>
              <w:bottom w:val="single" w:sz="4" w:space="0" w:color="auto"/>
              <w:right w:val="single" w:sz="6" w:space="0" w:color="auto"/>
            </w:tcBorders>
            <w:vAlign w:val="center"/>
            <w:hideMark/>
          </w:tcPr>
          <w:p w14:paraId="43EFF8D5" w14:textId="77777777" w:rsidR="00D853AB" w:rsidRPr="000038A7" w:rsidRDefault="00D853AB" w:rsidP="00331F85">
            <w:pPr>
              <w:keepNext/>
              <w:spacing w:before="40" w:after="40"/>
              <w:jc w:val="center"/>
              <w:rPr>
                <w:iCs/>
                <w:sz w:val="20"/>
                <w:lang w:val="en-GB"/>
              </w:rPr>
            </w:pPr>
            <w:r w:rsidRPr="000038A7">
              <w:rPr>
                <w:iCs/>
                <w:sz w:val="20"/>
                <w:lang w:val="en-GB"/>
              </w:rPr>
              <w:t>N=108</w:t>
            </w:r>
          </w:p>
        </w:tc>
        <w:tc>
          <w:tcPr>
            <w:tcW w:w="353" w:type="pct"/>
            <w:gridSpan w:val="2"/>
            <w:tcBorders>
              <w:top w:val="single" w:sz="6" w:space="0" w:color="auto"/>
              <w:left w:val="single" w:sz="6" w:space="0" w:color="auto"/>
              <w:bottom w:val="single" w:sz="4" w:space="0" w:color="auto"/>
              <w:right w:val="single" w:sz="6" w:space="0" w:color="auto"/>
            </w:tcBorders>
            <w:vAlign w:val="center"/>
            <w:hideMark/>
          </w:tcPr>
          <w:p w14:paraId="6829CDEE" w14:textId="77777777" w:rsidR="00D853AB" w:rsidRPr="000038A7" w:rsidRDefault="00D853AB" w:rsidP="00331F85">
            <w:pPr>
              <w:keepNext/>
              <w:spacing w:before="40" w:after="40"/>
              <w:jc w:val="center"/>
              <w:rPr>
                <w:iCs/>
                <w:sz w:val="20"/>
                <w:lang w:val="en-GB"/>
              </w:rPr>
            </w:pPr>
            <w:r w:rsidRPr="000038A7">
              <w:rPr>
                <w:iCs/>
                <w:sz w:val="20"/>
                <w:lang w:val="en-GB"/>
              </w:rPr>
              <w:t>N=97-107</w:t>
            </w:r>
          </w:p>
        </w:tc>
        <w:tc>
          <w:tcPr>
            <w:tcW w:w="322" w:type="pct"/>
            <w:tcBorders>
              <w:top w:val="single" w:sz="6" w:space="0" w:color="auto"/>
              <w:left w:val="single" w:sz="6" w:space="0" w:color="auto"/>
              <w:bottom w:val="single" w:sz="4" w:space="0" w:color="auto"/>
              <w:right w:val="single" w:sz="6" w:space="0" w:color="auto"/>
            </w:tcBorders>
            <w:vAlign w:val="center"/>
            <w:hideMark/>
          </w:tcPr>
          <w:p w14:paraId="26CE1966" w14:textId="77777777" w:rsidR="00D853AB" w:rsidRPr="000038A7" w:rsidRDefault="00D853AB" w:rsidP="00331F85">
            <w:pPr>
              <w:keepNext/>
              <w:spacing w:before="40" w:after="40"/>
              <w:jc w:val="center"/>
              <w:rPr>
                <w:iCs/>
                <w:sz w:val="20"/>
                <w:lang w:val="en-GB"/>
              </w:rPr>
            </w:pPr>
            <w:r w:rsidRPr="000038A7">
              <w:rPr>
                <w:iCs/>
                <w:sz w:val="20"/>
                <w:lang w:val="en-GB"/>
              </w:rPr>
              <w:t>N=32</w:t>
            </w:r>
          </w:p>
        </w:tc>
        <w:tc>
          <w:tcPr>
            <w:tcW w:w="399" w:type="pct"/>
            <w:tcBorders>
              <w:top w:val="single" w:sz="6" w:space="0" w:color="auto"/>
              <w:left w:val="single" w:sz="6" w:space="0" w:color="auto"/>
              <w:bottom w:val="single" w:sz="4" w:space="0" w:color="auto"/>
              <w:right w:val="single" w:sz="6" w:space="0" w:color="auto"/>
            </w:tcBorders>
            <w:vAlign w:val="center"/>
            <w:hideMark/>
          </w:tcPr>
          <w:p w14:paraId="4BB13426" w14:textId="77777777" w:rsidR="00D853AB" w:rsidRPr="000038A7" w:rsidRDefault="00D853AB" w:rsidP="00331F85">
            <w:pPr>
              <w:keepNext/>
              <w:spacing w:before="40" w:after="40"/>
              <w:jc w:val="center"/>
              <w:rPr>
                <w:iCs/>
                <w:sz w:val="20"/>
                <w:lang w:val="en-GB"/>
              </w:rPr>
            </w:pPr>
            <w:r w:rsidRPr="000038A7">
              <w:rPr>
                <w:iCs/>
                <w:sz w:val="20"/>
                <w:lang w:val="en-GB"/>
              </w:rPr>
              <w:t>N=135-136</w:t>
            </w:r>
          </w:p>
        </w:tc>
        <w:tc>
          <w:tcPr>
            <w:tcW w:w="368" w:type="pct"/>
            <w:tcBorders>
              <w:top w:val="single" w:sz="6" w:space="0" w:color="auto"/>
              <w:left w:val="single" w:sz="6" w:space="0" w:color="auto"/>
              <w:bottom w:val="single" w:sz="4" w:space="0" w:color="auto"/>
              <w:right w:val="single" w:sz="6" w:space="0" w:color="auto"/>
            </w:tcBorders>
            <w:vAlign w:val="center"/>
            <w:hideMark/>
          </w:tcPr>
          <w:p w14:paraId="682A6454" w14:textId="77777777" w:rsidR="00D853AB" w:rsidRPr="000038A7" w:rsidRDefault="00D853AB" w:rsidP="00331F85">
            <w:pPr>
              <w:keepNext/>
              <w:spacing w:before="40" w:after="40"/>
              <w:jc w:val="center"/>
              <w:rPr>
                <w:iCs/>
                <w:sz w:val="20"/>
                <w:lang w:val="en-GB"/>
              </w:rPr>
            </w:pPr>
            <w:r w:rsidRPr="000038A7">
              <w:rPr>
                <w:iCs/>
                <w:sz w:val="20"/>
                <w:lang w:val="en-GB"/>
              </w:rPr>
              <w:t>N=127</w:t>
            </w:r>
          </w:p>
        </w:tc>
        <w:tc>
          <w:tcPr>
            <w:tcW w:w="353" w:type="pct"/>
            <w:gridSpan w:val="2"/>
            <w:tcBorders>
              <w:top w:val="single" w:sz="6" w:space="0" w:color="auto"/>
              <w:left w:val="single" w:sz="6" w:space="0" w:color="auto"/>
              <w:bottom w:val="single" w:sz="4" w:space="0" w:color="auto"/>
              <w:right w:val="single" w:sz="6" w:space="0" w:color="auto"/>
            </w:tcBorders>
            <w:vAlign w:val="center"/>
            <w:hideMark/>
          </w:tcPr>
          <w:p w14:paraId="3D57D224" w14:textId="77777777" w:rsidR="00D853AB" w:rsidRPr="000038A7" w:rsidRDefault="00D853AB" w:rsidP="00331F85">
            <w:pPr>
              <w:keepNext/>
              <w:spacing w:before="40" w:after="40"/>
              <w:jc w:val="center"/>
              <w:rPr>
                <w:iCs/>
                <w:sz w:val="20"/>
                <w:lang w:val="en-GB"/>
              </w:rPr>
            </w:pPr>
            <w:r w:rsidRPr="000038A7">
              <w:rPr>
                <w:iCs/>
                <w:sz w:val="20"/>
                <w:lang w:val="en-GB"/>
              </w:rPr>
              <w:t>N=67-79</w:t>
            </w:r>
          </w:p>
        </w:tc>
      </w:tr>
      <w:tr w:rsidR="00D853AB" w:rsidRPr="000038A7" w14:paraId="0979E5C3" w14:textId="77777777" w:rsidTr="008B6773">
        <w:trPr>
          <w:trHeight w:val="386"/>
          <w:tblHeader/>
          <w:jc w:val="center"/>
        </w:trPr>
        <w:tc>
          <w:tcPr>
            <w:tcW w:w="1118" w:type="pct"/>
            <w:gridSpan w:val="2"/>
            <w:tcBorders>
              <w:top w:val="single" w:sz="4" w:space="0" w:color="auto"/>
              <w:left w:val="single" w:sz="6" w:space="0" w:color="auto"/>
              <w:bottom w:val="single" w:sz="4" w:space="0" w:color="auto"/>
              <w:right w:val="single" w:sz="6" w:space="0" w:color="auto"/>
            </w:tcBorders>
            <w:vAlign w:val="center"/>
            <w:hideMark/>
          </w:tcPr>
          <w:p w14:paraId="55360334" w14:textId="77777777" w:rsidR="00D853AB" w:rsidRPr="000038A7" w:rsidRDefault="00D853AB" w:rsidP="00331F85">
            <w:pPr>
              <w:keepNext/>
              <w:spacing w:before="20" w:after="20"/>
              <w:rPr>
                <w:sz w:val="20"/>
                <w:lang w:val="en-GB"/>
              </w:rPr>
            </w:pPr>
            <w:r w:rsidRPr="000038A7">
              <w:rPr>
                <w:b/>
                <w:sz w:val="20"/>
                <w:lang w:val="en-GB"/>
              </w:rPr>
              <w:t>Antibody</w:t>
            </w:r>
          </w:p>
        </w:tc>
        <w:tc>
          <w:tcPr>
            <w:tcW w:w="3882" w:type="pct"/>
            <w:gridSpan w:val="13"/>
            <w:tcBorders>
              <w:top w:val="single" w:sz="4" w:space="0" w:color="auto"/>
              <w:left w:val="single" w:sz="6" w:space="0" w:color="auto"/>
              <w:bottom w:val="single" w:sz="4" w:space="0" w:color="auto"/>
              <w:right w:val="single" w:sz="6" w:space="0" w:color="auto"/>
            </w:tcBorders>
            <w:vAlign w:val="center"/>
            <w:hideMark/>
          </w:tcPr>
          <w:p w14:paraId="1425CEC4" w14:textId="77777777" w:rsidR="00D853AB" w:rsidRPr="000038A7" w:rsidRDefault="00D853AB" w:rsidP="00331F85">
            <w:pPr>
              <w:keepNext/>
              <w:spacing w:before="20" w:after="20"/>
              <w:jc w:val="center"/>
              <w:rPr>
                <w:b/>
                <w:bCs/>
                <w:sz w:val="20"/>
                <w:lang w:val="en-GB"/>
              </w:rPr>
            </w:pPr>
            <w:r w:rsidRPr="000038A7">
              <w:rPr>
                <w:b/>
                <w:bCs/>
                <w:sz w:val="20"/>
                <w:lang w:val="en-GB"/>
              </w:rPr>
              <w:t xml:space="preserve">% </w:t>
            </w:r>
            <w:proofErr w:type="spellStart"/>
            <w:r w:rsidRPr="000038A7">
              <w:rPr>
                <w:b/>
                <w:bCs/>
                <w:sz w:val="20"/>
                <w:lang w:val="en-GB"/>
              </w:rPr>
              <w:t>Seroprotection</w:t>
            </w:r>
            <w:proofErr w:type="spellEnd"/>
            <w:r w:rsidRPr="000038A7">
              <w:rPr>
                <w:b/>
                <w:bCs/>
                <w:sz w:val="20"/>
                <w:lang w:val="en-GB"/>
              </w:rPr>
              <w:t>/Seropositivity</w:t>
            </w:r>
          </w:p>
        </w:tc>
      </w:tr>
      <w:tr w:rsidR="00D853AB" w:rsidRPr="000038A7" w14:paraId="0EC8B226" w14:textId="77777777" w:rsidTr="008B6773">
        <w:trPr>
          <w:gridAfter w:val="1"/>
          <w:wAfter w:w="4" w:type="pct"/>
          <w:trHeight w:val="386"/>
          <w:tblHeader/>
          <w:jc w:val="center"/>
        </w:trPr>
        <w:tc>
          <w:tcPr>
            <w:tcW w:w="580" w:type="pct"/>
            <w:vMerge w:val="restart"/>
            <w:tcBorders>
              <w:top w:val="single" w:sz="4" w:space="0" w:color="auto"/>
              <w:left w:val="single" w:sz="6" w:space="0" w:color="auto"/>
              <w:bottom w:val="single" w:sz="4" w:space="0" w:color="auto"/>
              <w:right w:val="single" w:sz="6" w:space="0" w:color="auto"/>
            </w:tcBorders>
            <w:vAlign w:val="center"/>
            <w:hideMark/>
          </w:tcPr>
          <w:p w14:paraId="247011EE" w14:textId="77777777" w:rsidR="00D853AB" w:rsidRPr="000038A7" w:rsidRDefault="00D853AB" w:rsidP="00331F85">
            <w:pPr>
              <w:keepNext/>
              <w:spacing w:before="20" w:after="20"/>
              <w:rPr>
                <w:b/>
                <w:sz w:val="20"/>
                <w:lang w:val="en-GB"/>
              </w:rPr>
            </w:pPr>
            <w:r w:rsidRPr="000038A7">
              <w:rPr>
                <w:b/>
                <w:sz w:val="20"/>
                <w:lang w:val="en-GB"/>
              </w:rPr>
              <w:t>Diphtheria</w:t>
            </w:r>
          </w:p>
          <w:p w14:paraId="7A6C91C0" w14:textId="77777777" w:rsidR="00D853AB" w:rsidRPr="000038A7" w:rsidRDefault="00D853AB" w:rsidP="00331F85">
            <w:pPr>
              <w:keepNext/>
              <w:spacing w:before="20" w:after="20"/>
              <w:rPr>
                <w:sz w:val="20"/>
                <w:lang w:val="en-GB"/>
              </w:rPr>
            </w:pPr>
            <w:r w:rsidRPr="000038A7">
              <w:rPr>
                <w:sz w:val="20"/>
                <w:lang w:val="en-GB"/>
              </w:rPr>
              <w:t>(SN, IU/mL)</w:t>
            </w:r>
          </w:p>
        </w:tc>
        <w:tc>
          <w:tcPr>
            <w:tcW w:w="534" w:type="pct"/>
            <w:tcBorders>
              <w:top w:val="single" w:sz="4" w:space="0" w:color="auto"/>
              <w:left w:val="single" w:sz="6" w:space="0" w:color="auto"/>
              <w:bottom w:val="single" w:sz="4" w:space="0" w:color="auto"/>
              <w:right w:val="single" w:sz="6" w:space="0" w:color="auto"/>
            </w:tcBorders>
            <w:vAlign w:val="center"/>
            <w:hideMark/>
          </w:tcPr>
          <w:p w14:paraId="32207F18" w14:textId="77777777" w:rsidR="00D853AB" w:rsidRPr="000038A7" w:rsidRDefault="00D853AB" w:rsidP="00331F85">
            <w:pPr>
              <w:keepNext/>
              <w:spacing w:before="20" w:after="20"/>
              <w:rPr>
                <w:sz w:val="20"/>
                <w:lang w:val="en-GB"/>
              </w:rPr>
            </w:pPr>
            <w:r w:rsidRPr="000038A7">
              <w:rPr>
                <w:sz w:val="20"/>
                <w:lang w:val="en-GB"/>
              </w:rPr>
              <w:t xml:space="preserve">≥ 0.1 </w:t>
            </w:r>
          </w:p>
        </w:tc>
        <w:tc>
          <w:tcPr>
            <w:tcW w:w="352" w:type="pct"/>
            <w:tcBorders>
              <w:top w:val="single" w:sz="4" w:space="0" w:color="auto"/>
              <w:left w:val="single" w:sz="6" w:space="0" w:color="auto"/>
              <w:bottom w:val="single" w:sz="4" w:space="0" w:color="auto"/>
              <w:right w:val="single" w:sz="6" w:space="0" w:color="auto"/>
            </w:tcBorders>
            <w:vAlign w:val="center"/>
            <w:hideMark/>
          </w:tcPr>
          <w:p w14:paraId="23B87770" w14:textId="77777777" w:rsidR="00D853AB" w:rsidRPr="000038A7" w:rsidRDefault="00D853AB" w:rsidP="00331F85">
            <w:pPr>
              <w:keepNext/>
              <w:spacing w:before="20" w:after="20"/>
              <w:jc w:val="center"/>
              <w:rPr>
                <w:sz w:val="20"/>
                <w:lang w:val="en-GB"/>
              </w:rPr>
            </w:pPr>
            <w:r w:rsidRPr="000038A7">
              <w:rPr>
                <w:sz w:val="20"/>
                <w:lang w:val="en-GB"/>
              </w:rPr>
              <w:t>89.2</w:t>
            </w:r>
          </w:p>
        </w:tc>
        <w:tc>
          <w:tcPr>
            <w:tcW w:w="322" w:type="pct"/>
            <w:tcBorders>
              <w:top w:val="single" w:sz="4" w:space="0" w:color="auto"/>
              <w:left w:val="single" w:sz="6" w:space="0" w:color="auto"/>
              <w:bottom w:val="single" w:sz="4" w:space="0" w:color="auto"/>
              <w:right w:val="single" w:sz="6" w:space="0" w:color="auto"/>
            </w:tcBorders>
            <w:vAlign w:val="center"/>
            <w:hideMark/>
          </w:tcPr>
          <w:p w14:paraId="76CAD49B" w14:textId="77777777" w:rsidR="00D853AB" w:rsidRPr="000038A7" w:rsidRDefault="00D853AB" w:rsidP="00331F85">
            <w:pPr>
              <w:keepNext/>
              <w:spacing w:before="20" w:after="20"/>
              <w:jc w:val="center"/>
              <w:rPr>
                <w:sz w:val="20"/>
                <w:lang w:val="en-GB"/>
              </w:rPr>
            </w:pPr>
            <w:r w:rsidRPr="000038A7">
              <w:rPr>
                <w:sz w:val="20"/>
                <w:lang w:val="en-GB"/>
              </w:rPr>
              <w:t>72.2</w:t>
            </w:r>
          </w:p>
        </w:tc>
        <w:tc>
          <w:tcPr>
            <w:tcW w:w="353" w:type="pct"/>
            <w:tcBorders>
              <w:top w:val="single" w:sz="4" w:space="0" w:color="auto"/>
              <w:left w:val="single" w:sz="6" w:space="0" w:color="auto"/>
              <w:bottom w:val="single" w:sz="4" w:space="0" w:color="auto"/>
              <w:right w:val="single" w:sz="6" w:space="0" w:color="auto"/>
            </w:tcBorders>
            <w:vAlign w:val="center"/>
            <w:hideMark/>
          </w:tcPr>
          <w:p w14:paraId="5E4B451A" w14:textId="77777777" w:rsidR="00D853AB" w:rsidRPr="000038A7" w:rsidRDefault="00D853AB" w:rsidP="00331F85">
            <w:pPr>
              <w:keepNext/>
              <w:spacing w:before="20" w:after="20"/>
              <w:jc w:val="center"/>
              <w:rPr>
                <w:sz w:val="20"/>
                <w:lang w:val="en-GB"/>
              </w:rPr>
            </w:pPr>
            <w:r w:rsidRPr="000038A7">
              <w:rPr>
                <w:sz w:val="20"/>
                <w:lang w:val="en-GB"/>
              </w:rPr>
              <w:t>75.0</w:t>
            </w:r>
          </w:p>
        </w:tc>
        <w:tc>
          <w:tcPr>
            <w:tcW w:w="322" w:type="pct"/>
            <w:tcBorders>
              <w:top w:val="single" w:sz="4" w:space="0" w:color="auto"/>
              <w:left w:val="single" w:sz="6" w:space="0" w:color="auto"/>
              <w:bottom w:val="single" w:sz="4" w:space="0" w:color="auto"/>
              <w:right w:val="single" w:sz="6" w:space="0" w:color="auto"/>
            </w:tcBorders>
            <w:vAlign w:val="center"/>
            <w:hideMark/>
          </w:tcPr>
          <w:p w14:paraId="08A6EDF6" w14:textId="77777777" w:rsidR="00D853AB" w:rsidRPr="000038A7" w:rsidRDefault="00D853AB" w:rsidP="00331F85">
            <w:pPr>
              <w:keepNext/>
              <w:spacing w:before="20" w:after="20"/>
              <w:jc w:val="center"/>
              <w:rPr>
                <w:sz w:val="20"/>
                <w:lang w:val="en-GB"/>
              </w:rPr>
            </w:pPr>
            <w:r w:rsidRPr="000038A7">
              <w:rPr>
                <w:sz w:val="20"/>
                <w:lang w:val="en-GB"/>
              </w:rPr>
              <w:t>71.9</w:t>
            </w:r>
          </w:p>
        </w:tc>
        <w:tc>
          <w:tcPr>
            <w:tcW w:w="368" w:type="pct"/>
            <w:tcBorders>
              <w:top w:val="single" w:sz="4" w:space="0" w:color="auto"/>
              <w:left w:val="single" w:sz="6" w:space="0" w:color="auto"/>
              <w:bottom w:val="single" w:sz="4" w:space="0" w:color="auto"/>
              <w:right w:val="single" w:sz="6" w:space="0" w:color="auto"/>
            </w:tcBorders>
            <w:vAlign w:val="center"/>
            <w:hideMark/>
          </w:tcPr>
          <w:p w14:paraId="07039EFB" w14:textId="77777777" w:rsidR="00D853AB" w:rsidRPr="000038A7" w:rsidRDefault="00D853AB" w:rsidP="00331F85">
            <w:pPr>
              <w:keepNext/>
              <w:spacing w:before="20" w:after="20"/>
              <w:jc w:val="center"/>
              <w:rPr>
                <w:sz w:val="20"/>
                <w:lang w:val="en-GB"/>
              </w:rPr>
            </w:pPr>
            <w:r w:rsidRPr="000038A7">
              <w:rPr>
                <w:sz w:val="20"/>
                <w:lang w:val="en-GB"/>
              </w:rPr>
              <w:t>85.2</w:t>
            </w:r>
          </w:p>
        </w:tc>
        <w:tc>
          <w:tcPr>
            <w:tcW w:w="368" w:type="pct"/>
            <w:tcBorders>
              <w:top w:val="single" w:sz="4" w:space="0" w:color="auto"/>
              <w:left w:val="single" w:sz="6" w:space="0" w:color="auto"/>
              <w:bottom w:val="single" w:sz="4" w:space="0" w:color="auto"/>
              <w:right w:val="single" w:sz="6" w:space="0" w:color="auto"/>
            </w:tcBorders>
            <w:vAlign w:val="center"/>
            <w:hideMark/>
          </w:tcPr>
          <w:p w14:paraId="30F6C7E5" w14:textId="77777777" w:rsidR="00D853AB" w:rsidRPr="000038A7" w:rsidRDefault="00D853AB" w:rsidP="00331F85">
            <w:pPr>
              <w:keepNext/>
              <w:spacing w:before="20" w:after="20"/>
              <w:jc w:val="center"/>
              <w:rPr>
                <w:sz w:val="20"/>
                <w:lang w:val="en-GB"/>
              </w:rPr>
            </w:pPr>
            <w:r w:rsidRPr="000038A7">
              <w:rPr>
                <w:sz w:val="20"/>
                <w:lang w:val="en-GB"/>
              </w:rPr>
              <w:t>77.1</w:t>
            </w:r>
          </w:p>
        </w:tc>
        <w:tc>
          <w:tcPr>
            <w:tcW w:w="353" w:type="pct"/>
            <w:tcBorders>
              <w:top w:val="single" w:sz="4" w:space="0" w:color="auto"/>
              <w:left w:val="single" w:sz="6" w:space="0" w:color="auto"/>
              <w:bottom w:val="single" w:sz="4" w:space="0" w:color="auto"/>
              <w:right w:val="single" w:sz="6" w:space="0" w:color="auto"/>
            </w:tcBorders>
            <w:vAlign w:val="center"/>
            <w:hideMark/>
          </w:tcPr>
          <w:p w14:paraId="065F6553" w14:textId="77777777" w:rsidR="00D853AB" w:rsidRPr="000038A7" w:rsidRDefault="00D853AB" w:rsidP="00331F85">
            <w:pPr>
              <w:keepNext/>
              <w:spacing w:before="20" w:after="20"/>
              <w:jc w:val="center"/>
              <w:rPr>
                <w:sz w:val="20"/>
                <w:lang w:val="en-GB"/>
              </w:rPr>
            </w:pPr>
            <w:r w:rsidRPr="000038A7">
              <w:rPr>
                <w:sz w:val="20"/>
                <w:lang w:val="en-GB"/>
              </w:rPr>
              <w:t>68.5</w:t>
            </w:r>
          </w:p>
        </w:tc>
        <w:tc>
          <w:tcPr>
            <w:tcW w:w="322" w:type="pct"/>
            <w:gridSpan w:val="2"/>
            <w:tcBorders>
              <w:top w:val="single" w:sz="4" w:space="0" w:color="auto"/>
              <w:left w:val="single" w:sz="6" w:space="0" w:color="auto"/>
              <w:bottom w:val="single" w:sz="4" w:space="0" w:color="auto"/>
              <w:right w:val="single" w:sz="6" w:space="0" w:color="auto"/>
            </w:tcBorders>
            <w:vAlign w:val="center"/>
            <w:hideMark/>
          </w:tcPr>
          <w:p w14:paraId="14BEDF6C" w14:textId="77777777" w:rsidR="00D853AB" w:rsidRPr="000038A7" w:rsidRDefault="00D853AB" w:rsidP="00331F85">
            <w:pPr>
              <w:keepNext/>
              <w:spacing w:before="20" w:after="20"/>
              <w:jc w:val="center"/>
              <w:rPr>
                <w:sz w:val="20"/>
                <w:lang w:val="en-GB"/>
              </w:rPr>
            </w:pPr>
            <w:r w:rsidRPr="000038A7">
              <w:rPr>
                <w:sz w:val="20"/>
                <w:lang w:val="en-GB"/>
              </w:rPr>
              <w:t>62.5</w:t>
            </w:r>
          </w:p>
        </w:tc>
        <w:tc>
          <w:tcPr>
            <w:tcW w:w="399" w:type="pct"/>
            <w:tcBorders>
              <w:top w:val="single" w:sz="4" w:space="0" w:color="auto"/>
              <w:left w:val="single" w:sz="6" w:space="0" w:color="auto"/>
              <w:bottom w:val="single" w:sz="4" w:space="0" w:color="auto"/>
              <w:right w:val="single" w:sz="6" w:space="0" w:color="auto"/>
            </w:tcBorders>
            <w:vAlign w:val="center"/>
            <w:hideMark/>
          </w:tcPr>
          <w:p w14:paraId="798DE389" w14:textId="77777777" w:rsidR="00D853AB" w:rsidRPr="000038A7" w:rsidRDefault="00D853AB" w:rsidP="00331F85">
            <w:pPr>
              <w:keepNext/>
              <w:spacing w:before="20" w:after="20"/>
              <w:jc w:val="center"/>
              <w:rPr>
                <w:sz w:val="20"/>
                <w:lang w:val="en-GB"/>
              </w:rPr>
            </w:pPr>
            <w:r w:rsidRPr="000038A7">
              <w:rPr>
                <w:sz w:val="20"/>
                <w:lang w:val="en-GB"/>
              </w:rPr>
              <w:t>55.6</w:t>
            </w:r>
          </w:p>
        </w:tc>
        <w:tc>
          <w:tcPr>
            <w:tcW w:w="368" w:type="pct"/>
            <w:tcBorders>
              <w:top w:val="single" w:sz="4" w:space="0" w:color="auto"/>
              <w:left w:val="single" w:sz="6" w:space="0" w:color="auto"/>
              <w:bottom w:val="single" w:sz="4" w:space="0" w:color="auto"/>
              <w:right w:val="single" w:sz="6" w:space="0" w:color="auto"/>
            </w:tcBorders>
            <w:vAlign w:val="center"/>
            <w:hideMark/>
          </w:tcPr>
          <w:p w14:paraId="535EEC8A" w14:textId="77777777" w:rsidR="00D853AB" w:rsidRPr="000038A7" w:rsidRDefault="00D853AB" w:rsidP="00331F85">
            <w:pPr>
              <w:keepNext/>
              <w:spacing w:before="20" w:after="20"/>
              <w:jc w:val="center"/>
              <w:rPr>
                <w:sz w:val="20"/>
                <w:lang w:val="en-GB"/>
              </w:rPr>
            </w:pPr>
            <w:r w:rsidRPr="000038A7">
              <w:rPr>
                <w:sz w:val="20"/>
                <w:lang w:val="en-GB"/>
              </w:rPr>
              <w:t>35.2</w:t>
            </w:r>
          </w:p>
        </w:tc>
        <w:tc>
          <w:tcPr>
            <w:tcW w:w="353" w:type="pct"/>
            <w:tcBorders>
              <w:top w:val="single" w:sz="4" w:space="0" w:color="auto"/>
              <w:left w:val="single" w:sz="6" w:space="0" w:color="auto"/>
              <w:bottom w:val="single" w:sz="4" w:space="0" w:color="auto"/>
              <w:right w:val="single" w:sz="6" w:space="0" w:color="auto"/>
            </w:tcBorders>
            <w:vAlign w:val="center"/>
            <w:hideMark/>
          </w:tcPr>
          <w:p w14:paraId="7BA54804" w14:textId="77777777" w:rsidR="00D853AB" w:rsidRPr="000038A7" w:rsidRDefault="00D853AB" w:rsidP="00331F85">
            <w:pPr>
              <w:keepNext/>
              <w:spacing w:before="20" w:after="20"/>
              <w:jc w:val="center"/>
              <w:rPr>
                <w:sz w:val="20"/>
                <w:lang w:val="en-GB"/>
              </w:rPr>
            </w:pPr>
            <w:r w:rsidRPr="000038A7">
              <w:rPr>
                <w:sz w:val="20"/>
                <w:lang w:val="en-GB"/>
              </w:rPr>
              <w:t>32.9</w:t>
            </w:r>
          </w:p>
        </w:tc>
      </w:tr>
      <w:tr w:rsidR="00D853AB" w:rsidRPr="000038A7" w14:paraId="35C7BE8C" w14:textId="77777777" w:rsidTr="008B6773">
        <w:trPr>
          <w:gridAfter w:val="1"/>
          <w:wAfter w:w="4" w:type="pct"/>
          <w:trHeight w:val="260"/>
          <w:tblHeader/>
          <w:jc w:val="center"/>
        </w:trPr>
        <w:tc>
          <w:tcPr>
            <w:tcW w:w="580" w:type="pct"/>
            <w:vMerge/>
            <w:tcBorders>
              <w:top w:val="single" w:sz="4" w:space="0" w:color="auto"/>
              <w:left w:val="single" w:sz="6" w:space="0" w:color="auto"/>
              <w:bottom w:val="single" w:sz="4" w:space="0" w:color="auto"/>
              <w:right w:val="single" w:sz="6" w:space="0" w:color="auto"/>
            </w:tcBorders>
            <w:vAlign w:val="center"/>
            <w:hideMark/>
          </w:tcPr>
          <w:p w14:paraId="44671679" w14:textId="77777777" w:rsidR="00D853AB" w:rsidRPr="000038A7" w:rsidRDefault="00D853AB" w:rsidP="00331F85">
            <w:pPr>
              <w:rPr>
                <w:sz w:val="20"/>
                <w:lang w:val="en-GB" w:eastAsia="en-US"/>
              </w:rPr>
            </w:pPr>
          </w:p>
        </w:tc>
        <w:tc>
          <w:tcPr>
            <w:tcW w:w="534" w:type="pct"/>
            <w:tcBorders>
              <w:top w:val="single" w:sz="4" w:space="0" w:color="auto"/>
              <w:left w:val="single" w:sz="6" w:space="0" w:color="auto"/>
              <w:bottom w:val="single" w:sz="4" w:space="0" w:color="auto"/>
              <w:right w:val="single" w:sz="6" w:space="0" w:color="auto"/>
            </w:tcBorders>
            <w:hideMark/>
          </w:tcPr>
          <w:p w14:paraId="41D6026A" w14:textId="77777777" w:rsidR="00D853AB" w:rsidRPr="000038A7" w:rsidRDefault="00D853AB" w:rsidP="00331F85">
            <w:pPr>
              <w:keepNext/>
              <w:spacing w:before="20" w:after="20"/>
              <w:rPr>
                <w:sz w:val="20"/>
                <w:lang w:val="en-GB"/>
              </w:rPr>
            </w:pPr>
            <w:r w:rsidRPr="000038A7">
              <w:rPr>
                <w:sz w:val="20"/>
                <w:lang w:val="en-GB"/>
              </w:rPr>
              <w:t xml:space="preserve">≥ 0.01 </w:t>
            </w:r>
          </w:p>
        </w:tc>
        <w:tc>
          <w:tcPr>
            <w:tcW w:w="352" w:type="pct"/>
            <w:tcBorders>
              <w:top w:val="single" w:sz="4" w:space="0" w:color="auto"/>
              <w:left w:val="single" w:sz="6" w:space="0" w:color="auto"/>
              <w:bottom w:val="single" w:sz="4" w:space="0" w:color="auto"/>
              <w:right w:val="single" w:sz="6" w:space="0" w:color="auto"/>
            </w:tcBorders>
            <w:vAlign w:val="center"/>
            <w:hideMark/>
          </w:tcPr>
          <w:p w14:paraId="4A2769E9" w14:textId="77777777" w:rsidR="00D853AB" w:rsidRPr="000038A7" w:rsidRDefault="00D853AB" w:rsidP="00331F85">
            <w:pPr>
              <w:keepNext/>
              <w:spacing w:before="20" w:after="20"/>
              <w:jc w:val="center"/>
              <w:rPr>
                <w:sz w:val="20"/>
                <w:lang w:val="en-GB"/>
              </w:rPr>
            </w:pPr>
            <w:r w:rsidRPr="000038A7">
              <w:rPr>
                <w:sz w:val="20"/>
                <w:lang w:val="en-GB"/>
              </w:rPr>
              <w:t>100</w:t>
            </w:r>
          </w:p>
        </w:tc>
        <w:tc>
          <w:tcPr>
            <w:tcW w:w="322" w:type="pct"/>
            <w:tcBorders>
              <w:top w:val="single" w:sz="4" w:space="0" w:color="auto"/>
              <w:left w:val="single" w:sz="6" w:space="0" w:color="auto"/>
              <w:bottom w:val="single" w:sz="4" w:space="0" w:color="auto"/>
              <w:right w:val="single" w:sz="6" w:space="0" w:color="auto"/>
            </w:tcBorders>
            <w:vAlign w:val="center"/>
            <w:hideMark/>
          </w:tcPr>
          <w:p w14:paraId="6516DB78" w14:textId="77777777" w:rsidR="00D853AB" w:rsidRPr="000038A7" w:rsidRDefault="00D853AB" w:rsidP="00331F85">
            <w:pPr>
              <w:keepNext/>
              <w:spacing w:before="20" w:after="20"/>
              <w:jc w:val="center"/>
              <w:rPr>
                <w:sz w:val="20"/>
                <w:lang w:val="en-GB"/>
              </w:rPr>
            </w:pPr>
            <w:r w:rsidRPr="000038A7">
              <w:rPr>
                <w:sz w:val="20"/>
                <w:lang w:val="en-GB"/>
              </w:rPr>
              <w:t>100</w:t>
            </w:r>
          </w:p>
        </w:tc>
        <w:tc>
          <w:tcPr>
            <w:tcW w:w="353" w:type="pct"/>
            <w:tcBorders>
              <w:top w:val="single" w:sz="4" w:space="0" w:color="auto"/>
              <w:left w:val="single" w:sz="6" w:space="0" w:color="auto"/>
              <w:bottom w:val="single" w:sz="4" w:space="0" w:color="auto"/>
              <w:right w:val="single" w:sz="6" w:space="0" w:color="auto"/>
            </w:tcBorders>
            <w:vAlign w:val="center"/>
            <w:hideMark/>
          </w:tcPr>
          <w:p w14:paraId="38EE83E7" w14:textId="77777777" w:rsidR="00D853AB" w:rsidRPr="000038A7" w:rsidRDefault="00D853AB" w:rsidP="00331F85">
            <w:pPr>
              <w:keepNext/>
              <w:spacing w:before="20" w:after="20"/>
              <w:jc w:val="center"/>
              <w:rPr>
                <w:sz w:val="20"/>
                <w:lang w:val="en-GB"/>
              </w:rPr>
            </w:pPr>
            <w:r w:rsidRPr="000038A7">
              <w:rPr>
                <w:sz w:val="20"/>
                <w:lang w:val="en-GB"/>
              </w:rPr>
              <w:t>100</w:t>
            </w:r>
          </w:p>
        </w:tc>
        <w:tc>
          <w:tcPr>
            <w:tcW w:w="322" w:type="pct"/>
            <w:tcBorders>
              <w:top w:val="single" w:sz="4" w:space="0" w:color="auto"/>
              <w:left w:val="single" w:sz="6" w:space="0" w:color="auto"/>
              <w:bottom w:val="single" w:sz="4" w:space="0" w:color="auto"/>
              <w:right w:val="single" w:sz="6" w:space="0" w:color="auto"/>
            </w:tcBorders>
            <w:vAlign w:val="center"/>
            <w:hideMark/>
          </w:tcPr>
          <w:p w14:paraId="314711AE" w14:textId="77777777" w:rsidR="00D853AB" w:rsidRPr="000038A7" w:rsidRDefault="00D853AB" w:rsidP="00331F85">
            <w:pPr>
              <w:keepNext/>
              <w:spacing w:before="20" w:after="20"/>
              <w:jc w:val="center"/>
              <w:rPr>
                <w:sz w:val="20"/>
                <w:lang w:val="en-GB"/>
              </w:rPr>
            </w:pPr>
            <w:r w:rsidRPr="000038A7">
              <w:rPr>
                <w:sz w:val="20"/>
                <w:lang w:val="en-GB"/>
              </w:rPr>
              <w:t>100</w:t>
            </w:r>
          </w:p>
        </w:tc>
        <w:tc>
          <w:tcPr>
            <w:tcW w:w="368" w:type="pct"/>
            <w:tcBorders>
              <w:top w:val="single" w:sz="4" w:space="0" w:color="auto"/>
              <w:left w:val="single" w:sz="6" w:space="0" w:color="auto"/>
              <w:bottom w:val="single" w:sz="4" w:space="0" w:color="auto"/>
              <w:right w:val="single" w:sz="6" w:space="0" w:color="auto"/>
            </w:tcBorders>
            <w:vAlign w:val="center"/>
            <w:hideMark/>
          </w:tcPr>
          <w:p w14:paraId="0E7E151C" w14:textId="77777777" w:rsidR="00D853AB" w:rsidRPr="000038A7" w:rsidRDefault="00D853AB" w:rsidP="00331F85">
            <w:pPr>
              <w:keepNext/>
              <w:spacing w:before="20" w:after="20"/>
              <w:jc w:val="center"/>
              <w:rPr>
                <w:sz w:val="20"/>
                <w:lang w:val="en-GB"/>
              </w:rPr>
            </w:pPr>
            <w:r w:rsidRPr="000038A7">
              <w:rPr>
                <w:sz w:val="20"/>
                <w:lang w:val="en-GB"/>
              </w:rPr>
              <w:t>99.1</w:t>
            </w:r>
          </w:p>
        </w:tc>
        <w:tc>
          <w:tcPr>
            <w:tcW w:w="368" w:type="pct"/>
            <w:tcBorders>
              <w:top w:val="single" w:sz="4" w:space="0" w:color="auto"/>
              <w:left w:val="single" w:sz="6" w:space="0" w:color="auto"/>
              <w:bottom w:val="single" w:sz="4" w:space="0" w:color="auto"/>
              <w:right w:val="single" w:sz="6" w:space="0" w:color="auto"/>
            </w:tcBorders>
            <w:vAlign w:val="center"/>
            <w:hideMark/>
          </w:tcPr>
          <w:p w14:paraId="15FC7EEF" w14:textId="77777777" w:rsidR="00D853AB" w:rsidRPr="000038A7" w:rsidRDefault="00D853AB" w:rsidP="00331F85">
            <w:pPr>
              <w:keepNext/>
              <w:spacing w:before="20" w:after="20"/>
              <w:jc w:val="center"/>
              <w:rPr>
                <w:sz w:val="20"/>
                <w:lang w:val="en-GB"/>
              </w:rPr>
            </w:pPr>
            <w:r w:rsidRPr="000038A7">
              <w:rPr>
                <w:sz w:val="20"/>
                <w:lang w:val="en-GB"/>
              </w:rPr>
              <w:t>96.2</w:t>
            </w:r>
          </w:p>
        </w:tc>
        <w:tc>
          <w:tcPr>
            <w:tcW w:w="353" w:type="pct"/>
            <w:tcBorders>
              <w:top w:val="single" w:sz="4" w:space="0" w:color="auto"/>
              <w:left w:val="single" w:sz="6" w:space="0" w:color="auto"/>
              <w:bottom w:val="single" w:sz="4" w:space="0" w:color="auto"/>
              <w:right w:val="single" w:sz="6" w:space="0" w:color="auto"/>
            </w:tcBorders>
            <w:vAlign w:val="center"/>
            <w:hideMark/>
          </w:tcPr>
          <w:p w14:paraId="129E4D4D" w14:textId="77777777" w:rsidR="00D853AB" w:rsidRPr="000038A7" w:rsidRDefault="00D853AB" w:rsidP="00331F85">
            <w:pPr>
              <w:keepNext/>
              <w:spacing w:before="20" w:after="20"/>
              <w:jc w:val="center"/>
              <w:rPr>
                <w:sz w:val="20"/>
                <w:lang w:val="en-GB"/>
              </w:rPr>
            </w:pPr>
            <w:r w:rsidRPr="000038A7">
              <w:rPr>
                <w:sz w:val="20"/>
                <w:lang w:val="en-GB"/>
              </w:rPr>
              <w:t>99.1</w:t>
            </w:r>
          </w:p>
        </w:tc>
        <w:tc>
          <w:tcPr>
            <w:tcW w:w="322" w:type="pct"/>
            <w:gridSpan w:val="2"/>
            <w:tcBorders>
              <w:top w:val="single" w:sz="4" w:space="0" w:color="auto"/>
              <w:left w:val="single" w:sz="6" w:space="0" w:color="auto"/>
              <w:bottom w:val="single" w:sz="4" w:space="0" w:color="auto"/>
              <w:right w:val="single" w:sz="6" w:space="0" w:color="auto"/>
            </w:tcBorders>
            <w:vAlign w:val="center"/>
            <w:hideMark/>
          </w:tcPr>
          <w:p w14:paraId="5E083878" w14:textId="77777777" w:rsidR="00D853AB" w:rsidRPr="000038A7" w:rsidRDefault="00D853AB" w:rsidP="00331F85">
            <w:pPr>
              <w:keepNext/>
              <w:spacing w:before="20" w:after="20"/>
              <w:jc w:val="center"/>
              <w:rPr>
                <w:sz w:val="20"/>
                <w:lang w:val="en-GB"/>
              </w:rPr>
            </w:pPr>
            <w:r w:rsidRPr="000038A7">
              <w:rPr>
                <w:sz w:val="20"/>
                <w:lang w:val="en-GB"/>
              </w:rPr>
              <w:t>90.6</w:t>
            </w:r>
          </w:p>
        </w:tc>
        <w:tc>
          <w:tcPr>
            <w:tcW w:w="399" w:type="pct"/>
            <w:tcBorders>
              <w:top w:val="single" w:sz="4" w:space="0" w:color="auto"/>
              <w:left w:val="single" w:sz="6" w:space="0" w:color="auto"/>
              <w:bottom w:val="single" w:sz="4" w:space="0" w:color="auto"/>
              <w:right w:val="single" w:sz="6" w:space="0" w:color="auto"/>
            </w:tcBorders>
            <w:vAlign w:val="center"/>
            <w:hideMark/>
          </w:tcPr>
          <w:p w14:paraId="7C6B47F4" w14:textId="77777777" w:rsidR="00D853AB" w:rsidRPr="000038A7" w:rsidRDefault="00D853AB" w:rsidP="00331F85">
            <w:pPr>
              <w:keepNext/>
              <w:spacing w:before="20" w:after="20"/>
              <w:jc w:val="center"/>
              <w:rPr>
                <w:sz w:val="20"/>
                <w:lang w:val="en-GB"/>
              </w:rPr>
            </w:pPr>
            <w:r w:rsidRPr="000038A7">
              <w:rPr>
                <w:sz w:val="20"/>
                <w:lang w:val="en-GB"/>
              </w:rPr>
              <w:t>91.9</w:t>
            </w:r>
          </w:p>
        </w:tc>
        <w:tc>
          <w:tcPr>
            <w:tcW w:w="368" w:type="pct"/>
            <w:tcBorders>
              <w:top w:val="single" w:sz="4" w:space="0" w:color="auto"/>
              <w:left w:val="single" w:sz="6" w:space="0" w:color="auto"/>
              <w:bottom w:val="single" w:sz="4" w:space="0" w:color="auto"/>
              <w:right w:val="single" w:sz="6" w:space="0" w:color="auto"/>
            </w:tcBorders>
            <w:vAlign w:val="center"/>
            <w:hideMark/>
          </w:tcPr>
          <w:p w14:paraId="3AB45F37" w14:textId="77777777" w:rsidR="00D853AB" w:rsidRPr="000038A7" w:rsidRDefault="00D853AB" w:rsidP="00331F85">
            <w:pPr>
              <w:keepNext/>
              <w:spacing w:before="20" w:after="20"/>
              <w:jc w:val="center"/>
              <w:rPr>
                <w:sz w:val="20"/>
                <w:lang w:val="en-GB"/>
              </w:rPr>
            </w:pPr>
            <w:r w:rsidRPr="000038A7">
              <w:rPr>
                <w:sz w:val="20"/>
                <w:lang w:val="en-GB"/>
              </w:rPr>
              <w:t>79.2</w:t>
            </w:r>
          </w:p>
        </w:tc>
        <w:tc>
          <w:tcPr>
            <w:tcW w:w="353" w:type="pct"/>
            <w:tcBorders>
              <w:top w:val="single" w:sz="4" w:space="0" w:color="auto"/>
              <w:left w:val="single" w:sz="6" w:space="0" w:color="auto"/>
              <w:bottom w:val="single" w:sz="4" w:space="0" w:color="auto"/>
              <w:right w:val="single" w:sz="6" w:space="0" w:color="auto"/>
            </w:tcBorders>
            <w:vAlign w:val="center"/>
            <w:hideMark/>
          </w:tcPr>
          <w:p w14:paraId="34B59952" w14:textId="77777777" w:rsidR="00D853AB" w:rsidRPr="000038A7" w:rsidRDefault="00D853AB" w:rsidP="00331F85">
            <w:pPr>
              <w:keepNext/>
              <w:spacing w:before="20" w:after="20"/>
              <w:jc w:val="center"/>
              <w:rPr>
                <w:sz w:val="20"/>
                <w:lang w:val="en-GB"/>
              </w:rPr>
            </w:pPr>
            <w:r w:rsidRPr="000038A7">
              <w:rPr>
                <w:sz w:val="20"/>
                <w:lang w:val="en-GB"/>
              </w:rPr>
              <w:t>84.8</w:t>
            </w:r>
          </w:p>
        </w:tc>
      </w:tr>
      <w:tr w:rsidR="00D853AB" w:rsidRPr="000038A7" w14:paraId="7EC4E9B5" w14:textId="77777777" w:rsidTr="008B6773">
        <w:trPr>
          <w:gridAfter w:val="1"/>
          <w:wAfter w:w="4" w:type="pct"/>
          <w:trHeight w:val="71"/>
          <w:tblHeader/>
          <w:jc w:val="center"/>
        </w:trPr>
        <w:tc>
          <w:tcPr>
            <w:tcW w:w="580" w:type="pct"/>
            <w:tcBorders>
              <w:top w:val="single" w:sz="4" w:space="0" w:color="auto"/>
              <w:left w:val="single" w:sz="6" w:space="0" w:color="auto"/>
              <w:bottom w:val="single" w:sz="4" w:space="0" w:color="auto"/>
              <w:right w:val="single" w:sz="6" w:space="0" w:color="auto"/>
            </w:tcBorders>
            <w:hideMark/>
          </w:tcPr>
          <w:p w14:paraId="4AE5DFF1" w14:textId="77777777" w:rsidR="00D853AB" w:rsidRPr="000038A7" w:rsidRDefault="00D853AB" w:rsidP="00331F85">
            <w:pPr>
              <w:keepNext/>
              <w:spacing w:before="20" w:after="20"/>
              <w:rPr>
                <w:b/>
                <w:sz w:val="20"/>
                <w:lang w:val="en-GB"/>
              </w:rPr>
            </w:pPr>
            <w:r w:rsidRPr="000038A7">
              <w:rPr>
                <w:b/>
                <w:sz w:val="20"/>
                <w:lang w:val="en-GB"/>
              </w:rPr>
              <w:t>Tetanus</w:t>
            </w:r>
          </w:p>
          <w:p w14:paraId="6FCD0DA5" w14:textId="77777777" w:rsidR="00D853AB" w:rsidRPr="000038A7" w:rsidRDefault="00D853AB" w:rsidP="00331F85">
            <w:pPr>
              <w:keepNext/>
              <w:spacing w:before="20" w:after="20"/>
              <w:rPr>
                <w:sz w:val="20"/>
                <w:lang w:val="en-GB"/>
              </w:rPr>
            </w:pPr>
            <w:r w:rsidRPr="000038A7">
              <w:rPr>
                <w:sz w:val="20"/>
                <w:lang w:val="en-GB"/>
              </w:rPr>
              <w:t>(ELISA, IU/mL)</w:t>
            </w:r>
          </w:p>
        </w:tc>
        <w:tc>
          <w:tcPr>
            <w:tcW w:w="534" w:type="pct"/>
            <w:tcBorders>
              <w:top w:val="single" w:sz="4" w:space="0" w:color="auto"/>
              <w:left w:val="single" w:sz="6" w:space="0" w:color="auto"/>
              <w:bottom w:val="single" w:sz="4" w:space="0" w:color="auto"/>
              <w:right w:val="single" w:sz="6" w:space="0" w:color="auto"/>
            </w:tcBorders>
            <w:vAlign w:val="center"/>
            <w:hideMark/>
          </w:tcPr>
          <w:p w14:paraId="28915EC4" w14:textId="77777777" w:rsidR="00D853AB" w:rsidRPr="000038A7" w:rsidRDefault="00D853AB" w:rsidP="00331F85">
            <w:pPr>
              <w:keepNext/>
              <w:spacing w:before="20" w:after="20"/>
              <w:rPr>
                <w:sz w:val="20"/>
                <w:lang w:val="en-GB"/>
              </w:rPr>
            </w:pPr>
            <w:r w:rsidRPr="000038A7">
              <w:rPr>
                <w:sz w:val="20"/>
                <w:lang w:val="en-GB"/>
              </w:rPr>
              <w:t xml:space="preserve">≥ 0.1 </w:t>
            </w:r>
          </w:p>
        </w:tc>
        <w:tc>
          <w:tcPr>
            <w:tcW w:w="352" w:type="pct"/>
            <w:tcBorders>
              <w:top w:val="single" w:sz="4" w:space="0" w:color="auto"/>
              <w:left w:val="single" w:sz="6" w:space="0" w:color="auto"/>
              <w:bottom w:val="single" w:sz="4" w:space="0" w:color="auto"/>
              <w:right w:val="single" w:sz="6" w:space="0" w:color="auto"/>
            </w:tcBorders>
            <w:vAlign w:val="center"/>
            <w:hideMark/>
          </w:tcPr>
          <w:p w14:paraId="6BED475D" w14:textId="77777777" w:rsidR="00D853AB" w:rsidRPr="000038A7" w:rsidRDefault="00D853AB" w:rsidP="00331F85">
            <w:pPr>
              <w:keepNext/>
              <w:spacing w:before="20" w:after="20"/>
              <w:jc w:val="center"/>
              <w:rPr>
                <w:sz w:val="20"/>
                <w:lang w:val="en-GB"/>
              </w:rPr>
            </w:pPr>
            <w:r w:rsidRPr="000038A7">
              <w:rPr>
                <w:sz w:val="20"/>
                <w:lang w:val="en-GB"/>
              </w:rPr>
              <w:t>100</w:t>
            </w:r>
          </w:p>
        </w:tc>
        <w:tc>
          <w:tcPr>
            <w:tcW w:w="322" w:type="pct"/>
            <w:tcBorders>
              <w:top w:val="single" w:sz="4" w:space="0" w:color="auto"/>
              <w:left w:val="single" w:sz="6" w:space="0" w:color="auto"/>
              <w:bottom w:val="single" w:sz="4" w:space="0" w:color="auto"/>
              <w:right w:val="single" w:sz="6" w:space="0" w:color="auto"/>
            </w:tcBorders>
            <w:vAlign w:val="center"/>
            <w:hideMark/>
          </w:tcPr>
          <w:p w14:paraId="08D7A38A" w14:textId="77777777" w:rsidR="00D853AB" w:rsidRPr="000038A7" w:rsidRDefault="00D853AB" w:rsidP="00331F85">
            <w:pPr>
              <w:keepNext/>
              <w:spacing w:before="20" w:after="20"/>
              <w:jc w:val="center"/>
              <w:rPr>
                <w:sz w:val="20"/>
                <w:lang w:val="en-GB"/>
              </w:rPr>
            </w:pPr>
            <w:r w:rsidRPr="000038A7">
              <w:rPr>
                <w:sz w:val="20"/>
                <w:lang w:val="en-GB"/>
              </w:rPr>
              <w:t>100</w:t>
            </w:r>
          </w:p>
        </w:tc>
        <w:tc>
          <w:tcPr>
            <w:tcW w:w="353" w:type="pct"/>
            <w:tcBorders>
              <w:top w:val="single" w:sz="4" w:space="0" w:color="auto"/>
              <w:left w:val="single" w:sz="6" w:space="0" w:color="auto"/>
              <w:bottom w:val="single" w:sz="4" w:space="0" w:color="auto"/>
              <w:right w:val="single" w:sz="6" w:space="0" w:color="auto"/>
            </w:tcBorders>
            <w:vAlign w:val="center"/>
            <w:hideMark/>
          </w:tcPr>
          <w:p w14:paraId="53A99636" w14:textId="77777777" w:rsidR="00D853AB" w:rsidRPr="000038A7" w:rsidRDefault="00D853AB" w:rsidP="00331F85">
            <w:pPr>
              <w:keepNext/>
              <w:spacing w:before="20" w:after="20"/>
              <w:jc w:val="center"/>
              <w:rPr>
                <w:sz w:val="20"/>
                <w:lang w:val="en-GB"/>
              </w:rPr>
            </w:pPr>
            <w:r w:rsidRPr="000038A7">
              <w:rPr>
                <w:sz w:val="20"/>
                <w:lang w:val="en-GB"/>
              </w:rPr>
              <w:t>100</w:t>
            </w:r>
          </w:p>
        </w:tc>
        <w:tc>
          <w:tcPr>
            <w:tcW w:w="322" w:type="pct"/>
            <w:tcBorders>
              <w:top w:val="single" w:sz="4" w:space="0" w:color="auto"/>
              <w:left w:val="single" w:sz="6" w:space="0" w:color="auto"/>
              <w:bottom w:val="single" w:sz="4" w:space="0" w:color="auto"/>
              <w:right w:val="single" w:sz="6" w:space="0" w:color="auto"/>
            </w:tcBorders>
            <w:vAlign w:val="center"/>
            <w:hideMark/>
          </w:tcPr>
          <w:p w14:paraId="2BF46E7C" w14:textId="77777777" w:rsidR="00D853AB" w:rsidRPr="000038A7" w:rsidRDefault="00D853AB" w:rsidP="00331F85">
            <w:pPr>
              <w:keepNext/>
              <w:spacing w:before="20" w:after="20"/>
              <w:jc w:val="center"/>
              <w:rPr>
                <w:sz w:val="20"/>
                <w:lang w:val="en-GB"/>
              </w:rPr>
            </w:pPr>
            <w:r w:rsidRPr="000038A7">
              <w:rPr>
                <w:sz w:val="20"/>
                <w:lang w:val="en-GB"/>
              </w:rPr>
              <w:t>100</w:t>
            </w:r>
          </w:p>
        </w:tc>
        <w:tc>
          <w:tcPr>
            <w:tcW w:w="368" w:type="pct"/>
            <w:tcBorders>
              <w:top w:val="single" w:sz="4" w:space="0" w:color="auto"/>
              <w:left w:val="single" w:sz="6" w:space="0" w:color="auto"/>
              <w:bottom w:val="single" w:sz="4" w:space="0" w:color="auto"/>
              <w:right w:val="single" w:sz="6" w:space="0" w:color="auto"/>
            </w:tcBorders>
            <w:vAlign w:val="center"/>
            <w:hideMark/>
          </w:tcPr>
          <w:p w14:paraId="5B3F4EDB" w14:textId="77777777" w:rsidR="00D853AB" w:rsidRPr="000038A7" w:rsidRDefault="00D853AB" w:rsidP="00331F85">
            <w:pPr>
              <w:keepNext/>
              <w:spacing w:before="20" w:after="20"/>
              <w:jc w:val="center"/>
              <w:rPr>
                <w:sz w:val="20"/>
                <w:lang w:val="en-GB"/>
              </w:rPr>
            </w:pPr>
            <w:r w:rsidRPr="000038A7">
              <w:rPr>
                <w:sz w:val="20"/>
                <w:lang w:val="en-GB"/>
              </w:rPr>
              <w:t>100</w:t>
            </w:r>
          </w:p>
        </w:tc>
        <w:tc>
          <w:tcPr>
            <w:tcW w:w="368" w:type="pct"/>
            <w:tcBorders>
              <w:top w:val="single" w:sz="4" w:space="0" w:color="auto"/>
              <w:left w:val="single" w:sz="6" w:space="0" w:color="auto"/>
              <w:bottom w:val="single" w:sz="4" w:space="0" w:color="auto"/>
              <w:right w:val="single" w:sz="6" w:space="0" w:color="auto"/>
            </w:tcBorders>
            <w:vAlign w:val="center"/>
            <w:hideMark/>
          </w:tcPr>
          <w:p w14:paraId="26C11029" w14:textId="77777777" w:rsidR="00D853AB" w:rsidRPr="000038A7" w:rsidRDefault="00D853AB" w:rsidP="00331F85">
            <w:pPr>
              <w:keepNext/>
              <w:spacing w:before="20" w:after="20"/>
              <w:jc w:val="center"/>
              <w:rPr>
                <w:sz w:val="20"/>
                <w:lang w:val="en-GB"/>
              </w:rPr>
            </w:pPr>
            <w:r w:rsidRPr="000038A7">
              <w:rPr>
                <w:sz w:val="20"/>
                <w:lang w:val="en-GB"/>
              </w:rPr>
              <w:t>100</w:t>
            </w:r>
          </w:p>
        </w:tc>
        <w:tc>
          <w:tcPr>
            <w:tcW w:w="353" w:type="pct"/>
            <w:tcBorders>
              <w:top w:val="single" w:sz="4" w:space="0" w:color="auto"/>
              <w:left w:val="single" w:sz="6" w:space="0" w:color="auto"/>
              <w:bottom w:val="single" w:sz="4" w:space="0" w:color="auto"/>
              <w:right w:val="single" w:sz="6" w:space="0" w:color="auto"/>
            </w:tcBorders>
            <w:vAlign w:val="center"/>
            <w:hideMark/>
          </w:tcPr>
          <w:p w14:paraId="5795BE40" w14:textId="77777777" w:rsidR="00D853AB" w:rsidRPr="000038A7" w:rsidRDefault="00D853AB" w:rsidP="00331F85">
            <w:pPr>
              <w:keepNext/>
              <w:spacing w:before="20" w:after="20"/>
              <w:jc w:val="center"/>
              <w:rPr>
                <w:sz w:val="20"/>
                <w:lang w:val="en-GB"/>
              </w:rPr>
            </w:pPr>
            <w:r w:rsidRPr="000038A7">
              <w:rPr>
                <w:sz w:val="20"/>
                <w:lang w:val="en-GB"/>
              </w:rPr>
              <w:t>97.2</w:t>
            </w:r>
          </w:p>
        </w:tc>
        <w:tc>
          <w:tcPr>
            <w:tcW w:w="322" w:type="pct"/>
            <w:gridSpan w:val="2"/>
            <w:tcBorders>
              <w:top w:val="single" w:sz="4" w:space="0" w:color="auto"/>
              <w:left w:val="single" w:sz="6" w:space="0" w:color="auto"/>
              <w:bottom w:val="single" w:sz="4" w:space="0" w:color="auto"/>
              <w:right w:val="single" w:sz="6" w:space="0" w:color="auto"/>
            </w:tcBorders>
            <w:vAlign w:val="center"/>
            <w:hideMark/>
          </w:tcPr>
          <w:p w14:paraId="26B0706C" w14:textId="77777777" w:rsidR="00D853AB" w:rsidRPr="000038A7" w:rsidRDefault="00D853AB" w:rsidP="00331F85">
            <w:pPr>
              <w:keepNext/>
              <w:spacing w:before="20" w:after="20"/>
              <w:jc w:val="center"/>
              <w:rPr>
                <w:sz w:val="20"/>
                <w:lang w:val="en-GB"/>
              </w:rPr>
            </w:pPr>
            <w:r w:rsidRPr="000038A7">
              <w:rPr>
                <w:sz w:val="20"/>
                <w:lang w:val="en-GB"/>
              </w:rPr>
              <w:t>100</w:t>
            </w:r>
          </w:p>
        </w:tc>
        <w:tc>
          <w:tcPr>
            <w:tcW w:w="399" w:type="pct"/>
            <w:tcBorders>
              <w:top w:val="single" w:sz="4" w:space="0" w:color="auto"/>
              <w:left w:val="single" w:sz="6" w:space="0" w:color="auto"/>
              <w:bottom w:val="single" w:sz="4" w:space="0" w:color="auto"/>
              <w:right w:val="single" w:sz="6" w:space="0" w:color="auto"/>
            </w:tcBorders>
            <w:vAlign w:val="center"/>
            <w:hideMark/>
          </w:tcPr>
          <w:p w14:paraId="59D5AA89" w14:textId="77777777" w:rsidR="00D853AB" w:rsidRPr="000038A7" w:rsidRDefault="00D853AB" w:rsidP="00331F85">
            <w:pPr>
              <w:keepNext/>
              <w:spacing w:before="20" w:after="20"/>
              <w:jc w:val="center"/>
              <w:rPr>
                <w:sz w:val="20"/>
                <w:lang w:val="en-GB"/>
              </w:rPr>
            </w:pPr>
            <w:r w:rsidRPr="000038A7">
              <w:rPr>
                <w:sz w:val="20"/>
                <w:lang w:val="en-GB"/>
              </w:rPr>
              <w:t>97.8</w:t>
            </w:r>
          </w:p>
        </w:tc>
        <w:tc>
          <w:tcPr>
            <w:tcW w:w="368" w:type="pct"/>
            <w:tcBorders>
              <w:top w:val="single" w:sz="4" w:space="0" w:color="auto"/>
              <w:left w:val="single" w:sz="6" w:space="0" w:color="auto"/>
              <w:bottom w:val="single" w:sz="4" w:space="0" w:color="auto"/>
              <w:right w:val="single" w:sz="6" w:space="0" w:color="auto"/>
            </w:tcBorders>
            <w:vAlign w:val="center"/>
            <w:hideMark/>
          </w:tcPr>
          <w:p w14:paraId="74FC38A9" w14:textId="77777777" w:rsidR="00D853AB" w:rsidRPr="000038A7" w:rsidRDefault="00D853AB" w:rsidP="00331F85">
            <w:pPr>
              <w:keepNext/>
              <w:spacing w:before="20" w:after="20"/>
              <w:jc w:val="center"/>
              <w:rPr>
                <w:sz w:val="20"/>
                <w:lang w:val="en-GB"/>
              </w:rPr>
            </w:pPr>
            <w:r w:rsidRPr="000038A7">
              <w:rPr>
                <w:sz w:val="20"/>
                <w:lang w:val="en-GB"/>
              </w:rPr>
              <w:t>98.4</w:t>
            </w:r>
          </w:p>
        </w:tc>
        <w:tc>
          <w:tcPr>
            <w:tcW w:w="353" w:type="pct"/>
            <w:tcBorders>
              <w:top w:val="single" w:sz="4" w:space="0" w:color="auto"/>
              <w:left w:val="single" w:sz="6" w:space="0" w:color="auto"/>
              <w:bottom w:val="single" w:sz="4" w:space="0" w:color="auto"/>
              <w:right w:val="single" w:sz="6" w:space="0" w:color="auto"/>
            </w:tcBorders>
            <w:vAlign w:val="center"/>
            <w:hideMark/>
          </w:tcPr>
          <w:p w14:paraId="0B16A502" w14:textId="77777777" w:rsidR="00D853AB" w:rsidRPr="000038A7" w:rsidRDefault="00D853AB" w:rsidP="00331F85">
            <w:pPr>
              <w:keepNext/>
              <w:spacing w:before="20" w:after="20"/>
              <w:jc w:val="center"/>
              <w:rPr>
                <w:sz w:val="20"/>
                <w:lang w:val="en-GB"/>
              </w:rPr>
            </w:pPr>
            <w:r w:rsidRPr="000038A7">
              <w:rPr>
                <w:sz w:val="20"/>
                <w:lang w:val="en-GB"/>
              </w:rPr>
              <w:t>93.7</w:t>
            </w:r>
          </w:p>
        </w:tc>
      </w:tr>
      <w:tr w:rsidR="00D853AB" w:rsidRPr="000038A7" w14:paraId="7D20BCB4" w14:textId="77777777" w:rsidTr="008B6773">
        <w:trPr>
          <w:gridAfter w:val="1"/>
          <w:wAfter w:w="4" w:type="pct"/>
          <w:trHeight w:val="368"/>
          <w:tblHeader/>
          <w:jc w:val="center"/>
        </w:trPr>
        <w:tc>
          <w:tcPr>
            <w:tcW w:w="580" w:type="pct"/>
            <w:tcBorders>
              <w:top w:val="single" w:sz="4" w:space="0" w:color="auto"/>
              <w:left w:val="single" w:sz="6" w:space="0" w:color="auto"/>
              <w:bottom w:val="single" w:sz="4" w:space="0" w:color="auto"/>
              <w:right w:val="single" w:sz="6" w:space="0" w:color="auto"/>
            </w:tcBorders>
            <w:hideMark/>
          </w:tcPr>
          <w:p w14:paraId="6346B67E" w14:textId="77777777" w:rsidR="00D853AB" w:rsidRPr="000038A7" w:rsidRDefault="00D853AB" w:rsidP="00331F85">
            <w:pPr>
              <w:keepNext/>
              <w:spacing w:before="20" w:after="20"/>
              <w:rPr>
                <w:b/>
                <w:sz w:val="20"/>
                <w:lang w:val="en-GB"/>
              </w:rPr>
            </w:pPr>
            <w:r w:rsidRPr="000038A7">
              <w:rPr>
                <w:b/>
                <w:sz w:val="20"/>
                <w:lang w:val="en-GB"/>
              </w:rPr>
              <w:t>Pertussis</w:t>
            </w:r>
          </w:p>
          <w:p w14:paraId="2AD3F5CA" w14:textId="77777777" w:rsidR="00D853AB" w:rsidRPr="000038A7" w:rsidRDefault="00D853AB" w:rsidP="00331F85">
            <w:pPr>
              <w:keepNext/>
              <w:spacing w:before="20" w:after="20"/>
              <w:rPr>
                <w:b/>
                <w:sz w:val="20"/>
                <w:lang w:val="en-GB"/>
              </w:rPr>
            </w:pPr>
            <w:r w:rsidRPr="000038A7">
              <w:rPr>
                <w:sz w:val="20"/>
                <w:lang w:val="en-GB"/>
              </w:rPr>
              <w:t>(ELISA, EU/mL)</w:t>
            </w:r>
          </w:p>
        </w:tc>
        <w:tc>
          <w:tcPr>
            <w:tcW w:w="534" w:type="pct"/>
            <w:vMerge w:val="restart"/>
            <w:tcBorders>
              <w:top w:val="single" w:sz="4" w:space="0" w:color="auto"/>
              <w:left w:val="single" w:sz="6" w:space="0" w:color="auto"/>
              <w:bottom w:val="single" w:sz="4" w:space="0" w:color="auto"/>
              <w:right w:val="single" w:sz="6" w:space="0" w:color="auto"/>
            </w:tcBorders>
            <w:vAlign w:val="center"/>
            <w:hideMark/>
          </w:tcPr>
          <w:p w14:paraId="2088FD15" w14:textId="77777777" w:rsidR="00D853AB" w:rsidRPr="000038A7" w:rsidRDefault="00D853AB" w:rsidP="00331F85">
            <w:pPr>
              <w:keepNext/>
              <w:spacing w:before="20" w:after="20"/>
              <w:rPr>
                <w:sz w:val="20"/>
                <w:lang w:val="en-GB"/>
              </w:rPr>
            </w:pPr>
            <w:r w:rsidRPr="000038A7">
              <w:rPr>
                <w:sz w:val="20"/>
                <w:lang w:val="en-GB"/>
              </w:rPr>
              <w:t>Sero-positivity</w:t>
            </w:r>
            <w:r w:rsidRPr="000038A7">
              <w:rPr>
                <w:sz w:val="20"/>
                <w:vertAlign w:val="superscript"/>
                <w:lang w:val="en-GB"/>
              </w:rPr>
              <w:t>3,4</w:t>
            </w:r>
          </w:p>
        </w:tc>
        <w:tc>
          <w:tcPr>
            <w:tcW w:w="352" w:type="pct"/>
            <w:tcBorders>
              <w:top w:val="single" w:sz="4" w:space="0" w:color="auto"/>
              <w:left w:val="single" w:sz="6" w:space="0" w:color="auto"/>
              <w:bottom w:val="nil"/>
              <w:right w:val="single" w:sz="6" w:space="0" w:color="auto"/>
            </w:tcBorders>
            <w:vAlign w:val="center"/>
          </w:tcPr>
          <w:p w14:paraId="4261D908" w14:textId="77777777" w:rsidR="00D853AB" w:rsidRPr="000038A7" w:rsidRDefault="00D853AB" w:rsidP="00331F85">
            <w:pPr>
              <w:keepNext/>
              <w:spacing w:before="20" w:after="20"/>
              <w:jc w:val="center"/>
              <w:rPr>
                <w:sz w:val="20"/>
                <w:lang w:val="en-GB"/>
              </w:rPr>
            </w:pPr>
          </w:p>
        </w:tc>
        <w:tc>
          <w:tcPr>
            <w:tcW w:w="322" w:type="pct"/>
            <w:tcBorders>
              <w:top w:val="single" w:sz="4" w:space="0" w:color="auto"/>
              <w:left w:val="single" w:sz="6" w:space="0" w:color="auto"/>
              <w:bottom w:val="nil"/>
              <w:right w:val="single" w:sz="6" w:space="0" w:color="auto"/>
            </w:tcBorders>
            <w:vAlign w:val="center"/>
          </w:tcPr>
          <w:p w14:paraId="3ECFEFE8" w14:textId="77777777" w:rsidR="00D853AB" w:rsidRPr="000038A7" w:rsidRDefault="00D853AB" w:rsidP="00331F85">
            <w:pPr>
              <w:keepNext/>
              <w:spacing w:before="20" w:after="20"/>
              <w:jc w:val="center"/>
              <w:rPr>
                <w:sz w:val="20"/>
                <w:lang w:val="en-GB"/>
              </w:rPr>
            </w:pPr>
          </w:p>
        </w:tc>
        <w:tc>
          <w:tcPr>
            <w:tcW w:w="353" w:type="pct"/>
            <w:tcBorders>
              <w:top w:val="single" w:sz="4" w:space="0" w:color="auto"/>
              <w:left w:val="single" w:sz="6" w:space="0" w:color="auto"/>
              <w:bottom w:val="nil"/>
              <w:right w:val="single" w:sz="6" w:space="0" w:color="auto"/>
            </w:tcBorders>
            <w:vAlign w:val="center"/>
          </w:tcPr>
          <w:p w14:paraId="4A33759E" w14:textId="77777777" w:rsidR="00D853AB" w:rsidRPr="000038A7" w:rsidRDefault="00D853AB" w:rsidP="00331F85">
            <w:pPr>
              <w:keepNext/>
              <w:spacing w:before="20" w:after="20"/>
              <w:jc w:val="center"/>
              <w:rPr>
                <w:sz w:val="20"/>
                <w:lang w:val="en-GB"/>
              </w:rPr>
            </w:pPr>
          </w:p>
        </w:tc>
        <w:tc>
          <w:tcPr>
            <w:tcW w:w="322" w:type="pct"/>
            <w:tcBorders>
              <w:top w:val="single" w:sz="4" w:space="0" w:color="auto"/>
              <w:left w:val="single" w:sz="6" w:space="0" w:color="auto"/>
              <w:bottom w:val="nil"/>
              <w:right w:val="single" w:sz="6" w:space="0" w:color="auto"/>
            </w:tcBorders>
            <w:vAlign w:val="center"/>
          </w:tcPr>
          <w:p w14:paraId="3333FC2D" w14:textId="77777777" w:rsidR="00D853AB" w:rsidRPr="000038A7" w:rsidRDefault="00D853AB" w:rsidP="00331F85">
            <w:pPr>
              <w:keepNext/>
              <w:spacing w:before="20" w:after="20"/>
              <w:jc w:val="center"/>
              <w:rPr>
                <w:sz w:val="20"/>
                <w:lang w:val="en-GB"/>
              </w:rPr>
            </w:pPr>
          </w:p>
        </w:tc>
        <w:tc>
          <w:tcPr>
            <w:tcW w:w="368" w:type="pct"/>
            <w:tcBorders>
              <w:top w:val="single" w:sz="4" w:space="0" w:color="auto"/>
              <w:left w:val="single" w:sz="6" w:space="0" w:color="auto"/>
              <w:bottom w:val="nil"/>
              <w:right w:val="single" w:sz="6" w:space="0" w:color="auto"/>
            </w:tcBorders>
            <w:vAlign w:val="center"/>
          </w:tcPr>
          <w:p w14:paraId="6C5E12A7" w14:textId="77777777" w:rsidR="00D853AB" w:rsidRPr="000038A7" w:rsidRDefault="00D853AB" w:rsidP="00331F85">
            <w:pPr>
              <w:keepNext/>
              <w:spacing w:before="20" w:after="20"/>
              <w:jc w:val="center"/>
              <w:rPr>
                <w:sz w:val="20"/>
                <w:lang w:val="en-GB"/>
              </w:rPr>
            </w:pPr>
          </w:p>
        </w:tc>
        <w:tc>
          <w:tcPr>
            <w:tcW w:w="368" w:type="pct"/>
            <w:tcBorders>
              <w:top w:val="single" w:sz="4" w:space="0" w:color="auto"/>
              <w:left w:val="single" w:sz="6" w:space="0" w:color="auto"/>
              <w:bottom w:val="nil"/>
              <w:right w:val="single" w:sz="6" w:space="0" w:color="auto"/>
            </w:tcBorders>
            <w:vAlign w:val="center"/>
          </w:tcPr>
          <w:p w14:paraId="6FFE755E" w14:textId="77777777" w:rsidR="00D853AB" w:rsidRPr="000038A7" w:rsidRDefault="00D853AB" w:rsidP="00331F85">
            <w:pPr>
              <w:keepNext/>
              <w:spacing w:before="20" w:after="20"/>
              <w:jc w:val="center"/>
              <w:rPr>
                <w:sz w:val="20"/>
                <w:lang w:val="en-GB"/>
              </w:rPr>
            </w:pPr>
          </w:p>
        </w:tc>
        <w:tc>
          <w:tcPr>
            <w:tcW w:w="353" w:type="pct"/>
            <w:tcBorders>
              <w:top w:val="single" w:sz="4" w:space="0" w:color="auto"/>
              <w:left w:val="single" w:sz="6" w:space="0" w:color="auto"/>
              <w:bottom w:val="nil"/>
              <w:right w:val="single" w:sz="6" w:space="0" w:color="auto"/>
            </w:tcBorders>
            <w:vAlign w:val="center"/>
          </w:tcPr>
          <w:p w14:paraId="0FE99C26" w14:textId="77777777" w:rsidR="00D853AB" w:rsidRPr="000038A7" w:rsidRDefault="00D853AB" w:rsidP="00331F85">
            <w:pPr>
              <w:keepNext/>
              <w:spacing w:before="20" w:after="20"/>
              <w:jc w:val="center"/>
              <w:rPr>
                <w:sz w:val="20"/>
                <w:lang w:val="en-GB"/>
              </w:rPr>
            </w:pPr>
          </w:p>
        </w:tc>
        <w:tc>
          <w:tcPr>
            <w:tcW w:w="322" w:type="pct"/>
            <w:gridSpan w:val="2"/>
            <w:tcBorders>
              <w:top w:val="single" w:sz="4" w:space="0" w:color="auto"/>
              <w:left w:val="single" w:sz="6" w:space="0" w:color="auto"/>
              <w:bottom w:val="nil"/>
              <w:right w:val="single" w:sz="6" w:space="0" w:color="auto"/>
            </w:tcBorders>
            <w:vAlign w:val="center"/>
          </w:tcPr>
          <w:p w14:paraId="1018212B" w14:textId="77777777" w:rsidR="00D853AB" w:rsidRPr="000038A7" w:rsidRDefault="00D853AB" w:rsidP="00331F85">
            <w:pPr>
              <w:keepNext/>
              <w:spacing w:before="20" w:after="20"/>
              <w:jc w:val="center"/>
              <w:rPr>
                <w:sz w:val="20"/>
                <w:lang w:val="en-GB"/>
              </w:rPr>
            </w:pPr>
          </w:p>
        </w:tc>
        <w:tc>
          <w:tcPr>
            <w:tcW w:w="399" w:type="pct"/>
            <w:tcBorders>
              <w:top w:val="single" w:sz="4" w:space="0" w:color="auto"/>
              <w:left w:val="single" w:sz="6" w:space="0" w:color="auto"/>
              <w:bottom w:val="nil"/>
              <w:right w:val="single" w:sz="6" w:space="0" w:color="auto"/>
            </w:tcBorders>
            <w:vAlign w:val="center"/>
          </w:tcPr>
          <w:p w14:paraId="08BD2D6A" w14:textId="77777777" w:rsidR="00D853AB" w:rsidRPr="000038A7" w:rsidRDefault="00D853AB" w:rsidP="00331F85">
            <w:pPr>
              <w:keepNext/>
              <w:spacing w:before="20" w:after="20"/>
              <w:jc w:val="center"/>
              <w:rPr>
                <w:sz w:val="20"/>
                <w:lang w:val="en-GB"/>
              </w:rPr>
            </w:pPr>
          </w:p>
        </w:tc>
        <w:tc>
          <w:tcPr>
            <w:tcW w:w="368" w:type="pct"/>
            <w:tcBorders>
              <w:top w:val="single" w:sz="4" w:space="0" w:color="auto"/>
              <w:left w:val="single" w:sz="6" w:space="0" w:color="auto"/>
              <w:bottom w:val="nil"/>
              <w:right w:val="single" w:sz="6" w:space="0" w:color="auto"/>
            </w:tcBorders>
            <w:vAlign w:val="center"/>
          </w:tcPr>
          <w:p w14:paraId="5C83F739" w14:textId="77777777" w:rsidR="00D853AB" w:rsidRPr="000038A7" w:rsidRDefault="00D853AB" w:rsidP="00331F85">
            <w:pPr>
              <w:keepNext/>
              <w:spacing w:before="20" w:after="20"/>
              <w:jc w:val="center"/>
              <w:rPr>
                <w:sz w:val="20"/>
                <w:lang w:val="en-GB"/>
              </w:rPr>
            </w:pPr>
          </w:p>
        </w:tc>
        <w:tc>
          <w:tcPr>
            <w:tcW w:w="353" w:type="pct"/>
            <w:tcBorders>
              <w:top w:val="single" w:sz="4" w:space="0" w:color="auto"/>
              <w:left w:val="single" w:sz="6" w:space="0" w:color="auto"/>
              <w:bottom w:val="nil"/>
              <w:right w:val="single" w:sz="6" w:space="0" w:color="auto"/>
            </w:tcBorders>
            <w:vAlign w:val="center"/>
          </w:tcPr>
          <w:p w14:paraId="4DB03CFE" w14:textId="77777777" w:rsidR="00D853AB" w:rsidRPr="000038A7" w:rsidRDefault="00D853AB" w:rsidP="00331F85">
            <w:pPr>
              <w:keepNext/>
              <w:spacing w:before="20" w:after="20"/>
              <w:jc w:val="center"/>
              <w:rPr>
                <w:sz w:val="20"/>
                <w:lang w:val="en-GB"/>
              </w:rPr>
            </w:pPr>
          </w:p>
        </w:tc>
      </w:tr>
      <w:tr w:rsidR="00D853AB" w:rsidRPr="000038A7" w14:paraId="0246E98C" w14:textId="77777777" w:rsidTr="008B6773">
        <w:trPr>
          <w:gridAfter w:val="1"/>
          <w:wAfter w:w="4" w:type="pct"/>
          <w:trHeight w:val="71"/>
          <w:tblHeader/>
          <w:jc w:val="center"/>
        </w:trPr>
        <w:tc>
          <w:tcPr>
            <w:tcW w:w="580" w:type="pct"/>
            <w:tcBorders>
              <w:top w:val="single" w:sz="4" w:space="0" w:color="auto"/>
              <w:left w:val="single" w:sz="6" w:space="0" w:color="auto"/>
              <w:bottom w:val="single" w:sz="4" w:space="0" w:color="auto"/>
              <w:right w:val="single" w:sz="6" w:space="0" w:color="auto"/>
            </w:tcBorders>
            <w:hideMark/>
          </w:tcPr>
          <w:p w14:paraId="6BF43CD3" w14:textId="77777777" w:rsidR="00D853AB" w:rsidRPr="000038A7" w:rsidRDefault="00D853AB" w:rsidP="00331F85">
            <w:pPr>
              <w:keepNext/>
              <w:spacing w:before="20" w:after="20"/>
              <w:ind w:left="264"/>
              <w:rPr>
                <w:b/>
                <w:sz w:val="20"/>
                <w:lang w:val="en-GB"/>
              </w:rPr>
            </w:pPr>
            <w:r w:rsidRPr="000038A7">
              <w:rPr>
                <w:b/>
                <w:sz w:val="20"/>
                <w:lang w:val="en-GB"/>
              </w:rPr>
              <w:t>PT</w:t>
            </w:r>
          </w:p>
        </w:tc>
        <w:tc>
          <w:tcPr>
            <w:tcW w:w="534" w:type="pct"/>
            <w:vMerge/>
            <w:tcBorders>
              <w:top w:val="single" w:sz="4" w:space="0" w:color="auto"/>
              <w:left w:val="single" w:sz="6" w:space="0" w:color="auto"/>
              <w:bottom w:val="single" w:sz="4" w:space="0" w:color="auto"/>
              <w:right w:val="single" w:sz="6" w:space="0" w:color="auto"/>
            </w:tcBorders>
            <w:vAlign w:val="center"/>
            <w:hideMark/>
          </w:tcPr>
          <w:p w14:paraId="13CE592D" w14:textId="77777777" w:rsidR="00D853AB" w:rsidRPr="000038A7" w:rsidRDefault="00D853AB" w:rsidP="00331F85">
            <w:pPr>
              <w:rPr>
                <w:sz w:val="20"/>
                <w:lang w:val="en-GB" w:eastAsia="en-US"/>
              </w:rPr>
            </w:pPr>
          </w:p>
        </w:tc>
        <w:tc>
          <w:tcPr>
            <w:tcW w:w="352" w:type="pct"/>
            <w:tcBorders>
              <w:top w:val="nil"/>
              <w:left w:val="single" w:sz="6" w:space="0" w:color="auto"/>
              <w:bottom w:val="single" w:sz="4" w:space="0" w:color="auto"/>
              <w:right w:val="single" w:sz="6" w:space="0" w:color="auto"/>
            </w:tcBorders>
            <w:vAlign w:val="center"/>
            <w:hideMark/>
          </w:tcPr>
          <w:p w14:paraId="6E3FC3D3" w14:textId="77777777" w:rsidR="00D853AB" w:rsidRPr="000038A7" w:rsidRDefault="00D853AB" w:rsidP="00331F85">
            <w:pPr>
              <w:keepNext/>
              <w:spacing w:before="20" w:after="20"/>
              <w:jc w:val="center"/>
              <w:rPr>
                <w:sz w:val="20"/>
                <w:lang w:val="en-GB"/>
              </w:rPr>
            </w:pPr>
            <w:r w:rsidRPr="000038A7">
              <w:rPr>
                <w:sz w:val="20"/>
                <w:lang w:val="en-GB"/>
              </w:rPr>
              <w:t>89.2</w:t>
            </w:r>
          </w:p>
        </w:tc>
        <w:tc>
          <w:tcPr>
            <w:tcW w:w="322" w:type="pct"/>
            <w:tcBorders>
              <w:top w:val="nil"/>
              <w:left w:val="single" w:sz="6" w:space="0" w:color="auto"/>
              <w:bottom w:val="single" w:sz="4" w:space="0" w:color="auto"/>
              <w:right w:val="single" w:sz="6" w:space="0" w:color="auto"/>
            </w:tcBorders>
            <w:vAlign w:val="center"/>
            <w:hideMark/>
          </w:tcPr>
          <w:p w14:paraId="1F486380" w14:textId="77777777" w:rsidR="00D853AB" w:rsidRPr="000038A7" w:rsidRDefault="00D853AB" w:rsidP="00331F85">
            <w:pPr>
              <w:keepNext/>
              <w:spacing w:before="20" w:after="20"/>
              <w:jc w:val="center"/>
              <w:rPr>
                <w:sz w:val="20"/>
                <w:lang w:val="en-GB"/>
              </w:rPr>
            </w:pPr>
            <w:r w:rsidRPr="000038A7">
              <w:rPr>
                <w:sz w:val="20"/>
                <w:lang w:val="en-GB"/>
              </w:rPr>
              <w:t>61.1</w:t>
            </w:r>
          </w:p>
        </w:tc>
        <w:tc>
          <w:tcPr>
            <w:tcW w:w="353" w:type="pct"/>
            <w:tcBorders>
              <w:top w:val="nil"/>
              <w:left w:val="single" w:sz="6" w:space="0" w:color="auto"/>
              <w:bottom w:val="single" w:sz="4" w:space="0" w:color="auto"/>
              <w:right w:val="single" w:sz="6" w:space="0" w:color="auto"/>
            </w:tcBorders>
            <w:vAlign w:val="center"/>
            <w:hideMark/>
          </w:tcPr>
          <w:p w14:paraId="371DE411" w14:textId="77777777" w:rsidR="00D853AB" w:rsidRPr="000038A7" w:rsidRDefault="00D853AB" w:rsidP="00331F85">
            <w:pPr>
              <w:keepNext/>
              <w:spacing w:before="20" w:after="20"/>
              <w:jc w:val="center"/>
              <w:rPr>
                <w:sz w:val="20"/>
                <w:lang w:val="en-GB"/>
              </w:rPr>
            </w:pPr>
            <w:r w:rsidRPr="000038A7">
              <w:rPr>
                <w:sz w:val="20"/>
                <w:lang w:val="en-GB"/>
              </w:rPr>
              <w:t>55.3</w:t>
            </w:r>
          </w:p>
        </w:tc>
        <w:tc>
          <w:tcPr>
            <w:tcW w:w="322" w:type="pct"/>
            <w:tcBorders>
              <w:top w:val="nil"/>
              <w:left w:val="single" w:sz="6" w:space="0" w:color="auto"/>
              <w:bottom w:val="single" w:sz="4" w:space="0" w:color="auto"/>
              <w:right w:val="single" w:sz="6" w:space="0" w:color="auto"/>
            </w:tcBorders>
            <w:vAlign w:val="center"/>
            <w:hideMark/>
          </w:tcPr>
          <w:p w14:paraId="10C32D5B" w14:textId="77777777" w:rsidR="00D853AB" w:rsidRPr="000038A7" w:rsidRDefault="00D853AB" w:rsidP="00331F85">
            <w:pPr>
              <w:keepNext/>
              <w:spacing w:before="20" w:after="20"/>
              <w:jc w:val="center"/>
              <w:rPr>
                <w:sz w:val="20"/>
                <w:lang w:val="en-GB"/>
              </w:rPr>
            </w:pPr>
            <w:r w:rsidRPr="000038A7">
              <w:rPr>
                <w:sz w:val="20"/>
                <w:lang w:val="en-GB"/>
              </w:rPr>
              <w:t>98.4</w:t>
            </w:r>
          </w:p>
        </w:tc>
        <w:tc>
          <w:tcPr>
            <w:tcW w:w="368" w:type="pct"/>
            <w:tcBorders>
              <w:top w:val="nil"/>
              <w:left w:val="single" w:sz="6" w:space="0" w:color="auto"/>
              <w:bottom w:val="single" w:sz="4" w:space="0" w:color="auto"/>
              <w:right w:val="single" w:sz="6" w:space="0" w:color="auto"/>
            </w:tcBorders>
            <w:vAlign w:val="center"/>
            <w:hideMark/>
          </w:tcPr>
          <w:p w14:paraId="2AAFB2FC" w14:textId="77777777" w:rsidR="00D853AB" w:rsidRPr="000038A7" w:rsidRDefault="00D853AB" w:rsidP="00331F85">
            <w:pPr>
              <w:keepNext/>
              <w:spacing w:before="20" w:after="20"/>
              <w:jc w:val="center"/>
              <w:rPr>
                <w:sz w:val="20"/>
                <w:lang w:val="en-GB"/>
              </w:rPr>
            </w:pPr>
            <w:r w:rsidRPr="000038A7">
              <w:rPr>
                <w:sz w:val="20"/>
                <w:lang w:val="en-GB"/>
              </w:rPr>
              <w:t>96.6</w:t>
            </w:r>
          </w:p>
        </w:tc>
        <w:tc>
          <w:tcPr>
            <w:tcW w:w="368" w:type="pct"/>
            <w:tcBorders>
              <w:top w:val="nil"/>
              <w:left w:val="single" w:sz="6" w:space="0" w:color="auto"/>
              <w:bottom w:val="single" w:sz="4" w:space="0" w:color="auto"/>
              <w:right w:val="single" w:sz="6" w:space="0" w:color="auto"/>
            </w:tcBorders>
            <w:vAlign w:val="center"/>
            <w:hideMark/>
          </w:tcPr>
          <w:p w14:paraId="3172267E" w14:textId="77777777" w:rsidR="00D853AB" w:rsidRPr="000038A7" w:rsidRDefault="00D853AB" w:rsidP="00331F85">
            <w:pPr>
              <w:keepNext/>
              <w:spacing w:before="20" w:after="20"/>
              <w:jc w:val="center"/>
              <w:rPr>
                <w:sz w:val="20"/>
                <w:lang w:val="en-GB"/>
              </w:rPr>
            </w:pPr>
            <w:r w:rsidRPr="000038A7">
              <w:rPr>
                <w:sz w:val="20"/>
                <w:lang w:val="en-GB"/>
              </w:rPr>
              <w:t>99.1</w:t>
            </w:r>
          </w:p>
        </w:tc>
        <w:tc>
          <w:tcPr>
            <w:tcW w:w="353" w:type="pct"/>
            <w:tcBorders>
              <w:top w:val="nil"/>
              <w:left w:val="single" w:sz="6" w:space="0" w:color="auto"/>
              <w:bottom w:val="single" w:sz="4" w:space="0" w:color="auto"/>
              <w:right w:val="single" w:sz="6" w:space="0" w:color="auto"/>
            </w:tcBorders>
            <w:vAlign w:val="center"/>
            <w:hideMark/>
          </w:tcPr>
          <w:p w14:paraId="033B8B6A" w14:textId="77777777" w:rsidR="00D853AB" w:rsidRPr="000038A7" w:rsidRDefault="00D853AB" w:rsidP="00331F85">
            <w:pPr>
              <w:keepNext/>
              <w:spacing w:before="20" w:after="20"/>
              <w:jc w:val="center"/>
              <w:rPr>
                <w:sz w:val="20"/>
                <w:lang w:val="en-GB"/>
              </w:rPr>
            </w:pPr>
            <w:r w:rsidRPr="000038A7">
              <w:rPr>
                <w:sz w:val="20"/>
                <w:lang w:val="en-GB"/>
              </w:rPr>
              <w:t>87.6</w:t>
            </w:r>
          </w:p>
        </w:tc>
        <w:tc>
          <w:tcPr>
            <w:tcW w:w="322" w:type="pct"/>
            <w:gridSpan w:val="2"/>
            <w:tcBorders>
              <w:top w:val="nil"/>
              <w:left w:val="single" w:sz="6" w:space="0" w:color="auto"/>
              <w:bottom w:val="single" w:sz="4" w:space="0" w:color="auto"/>
              <w:right w:val="single" w:sz="6" w:space="0" w:color="auto"/>
            </w:tcBorders>
            <w:vAlign w:val="center"/>
            <w:hideMark/>
          </w:tcPr>
          <w:p w14:paraId="1E601A9B" w14:textId="77777777" w:rsidR="00D853AB" w:rsidRPr="000038A7" w:rsidRDefault="00D853AB" w:rsidP="00331F85">
            <w:pPr>
              <w:keepNext/>
              <w:spacing w:before="20" w:after="20"/>
              <w:jc w:val="center"/>
              <w:rPr>
                <w:sz w:val="20"/>
                <w:lang w:val="en-GB"/>
              </w:rPr>
            </w:pPr>
            <w:r w:rsidRPr="000038A7">
              <w:rPr>
                <w:sz w:val="20"/>
                <w:lang w:val="en-GB"/>
              </w:rPr>
              <w:t>100</w:t>
            </w:r>
          </w:p>
        </w:tc>
        <w:tc>
          <w:tcPr>
            <w:tcW w:w="399" w:type="pct"/>
            <w:tcBorders>
              <w:top w:val="nil"/>
              <w:left w:val="single" w:sz="6" w:space="0" w:color="auto"/>
              <w:bottom w:val="single" w:sz="4" w:space="0" w:color="auto"/>
              <w:right w:val="single" w:sz="6" w:space="0" w:color="auto"/>
            </w:tcBorders>
            <w:vAlign w:val="center"/>
            <w:hideMark/>
          </w:tcPr>
          <w:p w14:paraId="67E96F85" w14:textId="77777777" w:rsidR="00D853AB" w:rsidRPr="000038A7" w:rsidRDefault="00D853AB" w:rsidP="00331F85">
            <w:pPr>
              <w:keepNext/>
              <w:spacing w:before="20" w:after="20"/>
              <w:jc w:val="center"/>
              <w:rPr>
                <w:sz w:val="20"/>
                <w:lang w:val="en-GB"/>
              </w:rPr>
            </w:pPr>
            <w:r w:rsidRPr="000038A7">
              <w:rPr>
                <w:sz w:val="20"/>
                <w:lang w:val="en-GB"/>
              </w:rPr>
              <w:t>97.1</w:t>
            </w:r>
          </w:p>
        </w:tc>
        <w:tc>
          <w:tcPr>
            <w:tcW w:w="368" w:type="pct"/>
            <w:tcBorders>
              <w:top w:val="nil"/>
              <w:left w:val="single" w:sz="6" w:space="0" w:color="auto"/>
              <w:bottom w:val="single" w:sz="4" w:space="0" w:color="auto"/>
              <w:right w:val="single" w:sz="6" w:space="0" w:color="auto"/>
            </w:tcBorders>
            <w:vAlign w:val="center"/>
            <w:hideMark/>
          </w:tcPr>
          <w:p w14:paraId="01682F8A" w14:textId="77777777" w:rsidR="00D853AB" w:rsidRPr="000038A7" w:rsidRDefault="00D853AB" w:rsidP="00331F85">
            <w:pPr>
              <w:keepNext/>
              <w:spacing w:before="20" w:after="20"/>
              <w:jc w:val="center"/>
              <w:rPr>
                <w:sz w:val="20"/>
                <w:lang w:val="en-GB"/>
              </w:rPr>
            </w:pPr>
            <w:r w:rsidRPr="000038A7">
              <w:rPr>
                <w:sz w:val="20"/>
                <w:lang w:val="en-GB"/>
              </w:rPr>
              <w:t>97.6</w:t>
            </w:r>
          </w:p>
        </w:tc>
        <w:tc>
          <w:tcPr>
            <w:tcW w:w="353" w:type="pct"/>
            <w:tcBorders>
              <w:top w:val="nil"/>
              <w:left w:val="single" w:sz="6" w:space="0" w:color="auto"/>
              <w:bottom w:val="single" w:sz="4" w:space="0" w:color="auto"/>
              <w:right w:val="single" w:sz="6" w:space="0" w:color="auto"/>
            </w:tcBorders>
            <w:vAlign w:val="center"/>
            <w:hideMark/>
          </w:tcPr>
          <w:p w14:paraId="14F47C08" w14:textId="77777777" w:rsidR="00D853AB" w:rsidRPr="000038A7" w:rsidRDefault="00D853AB" w:rsidP="00331F85">
            <w:pPr>
              <w:keepNext/>
              <w:spacing w:before="20" w:after="20"/>
              <w:jc w:val="center"/>
              <w:rPr>
                <w:sz w:val="20"/>
                <w:lang w:val="en-GB"/>
              </w:rPr>
            </w:pPr>
            <w:r w:rsidRPr="000038A7">
              <w:rPr>
                <w:sz w:val="20"/>
                <w:lang w:val="en-GB"/>
              </w:rPr>
              <w:t>91.0</w:t>
            </w:r>
          </w:p>
        </w:tc>
      </w:tr>
      <w:tr w:rsidR="00D853AB" w:rsidRPr="000038A7" w14:paraId="5CBCDC27" w14:textId="77777777" w:rsidTr="008B6773">
        <w:trPr>
          <w:gridAfter w:val="1"/>
          <w:wAfter w:w="4" w:type="pct"/>
          <w:trHeight w:val="71"/>
          <w:tblHeader/>
          <w:jc w:val="center"/>
        </w:trPr>
        <w:tc>
          <w:tcPr>
            <w:tcW w:w="580" w:type="pct"/>
            <w:tcBorders>
              <w:top w:val="single" w:sz="4" w:space="0" w:color="auto"/>
              <w:left w:val="single" w:sz="6" w:space="0" w:color="auto"/>
              <w:bottom w:val="single" w:sz="4" w:space="0" w:color="auto"/>
              <w:right w:val="single" w:sz="6" w:space="0" w:color="auto"/>
            </w:tcBorders>
            <w:hideMark/>
          </w:tcPr>
          <w:p w14:paraId="757A4608" w14:textId="77777777" w:rsidR="00D853AB" w:rsidRPr="000038A7" w:rsidRDefault="00D853AB" w:rsidP="00331F85">
            <w:pPr>
              <w:keepNext/>
              <w:spacing w:before="20" w:after="20"/>
              <w:ind w:left="264"/>
              <w:rPr>
                <w:b/>
                <w:sz w:val="20"/>
                <w:lang w:val="en-GB"/>
              </w:rPr>
            </w:pPr>
            <w:r w:rsidRPr="000038A7">
              <w:rPr>
                <w:b/>
                <w:sz w:val="20"/>
                <w:lang w:val="en-GB"/>
              </w:rPr>
              <w:t>FHA</w:t>
            </w:r>
          </w:p>
        </w:tc>
        <w:tc>
          <w:tcPr>
            <w:tcW w:w="534" w:type="pct"/>
            <w:vMerge/>
            <w:tcBorders>
              <w:top w:val="single" w:sz="4" w:space="0" w:color="auto"/>
              <w:left w:val="single" w:sz="6" w:space="0" w:color="auto"/>
              <w:bottom w:val="single" w:sz="4" w:space="0" w:color="auto"/>
              <w:right w:val="single" w:sz="6" w:space="0" w:color="auto"/>
            </w:tcBorders>
            <w:vAlign w:val="center"/>
            <w:hideMark/>
          </w:tcPr>
          <w:p w14:paraId="6EDDA2DF" w14:textId="77777777" w:rsidR="00D853AB" w:rsidRPr="000038A7" w:rsidRDefault="00D853AB" w:rsidP="00331F85">
            <w:pPr>
              <w:rPr>
                <w:sz w:val="20"/>
                <w:lang w:val="en-GB" w:eastAsia="en-US"/>
              </w:rPr>
            </w:pPr>
          </w:p>
        </w:tc>
        <w:tc>
          <w:tcPr>
            <w:tcW w:w="352" w:type="pct"/>
            <w:tcBorders>
              <w:top w:val="single" w:sz="4" w:space="0" w:color="auto"/>
              <w:left w:val="single" w:sz="6" w:space="0" w:color="auto"/>
              <w:bottom w:val="single" w:sz="4" w:space="0" w:color="auto"/>
              <w:right w:val="single" w:sz="6" w:space="0" w:color="auto"/>
            </w:tcBorders>
            <w:vAlign w:val="center"/>
            <w:hideMark/>
          </w:tcPr>
          <w:p w14:paraId="47BE24D8" w14:textId="77777777" w:rsidR="00D853AB" w:rsidRPr="000038A7" w:rsidRDefault="00D853AB" w:rsidP="00331F85">
            <w:pPr>
              <w:keepNext/>
              <w:spacing w:before="20" w:after="20"/>
              <w:jc w:val="center"/>
              <w:rPr>
                <w:sz w:val="20"/>
                <w:lang w:val="en-GB"/>
              </w:rPr>
            </w:pPr>
            <w:r w:rsidRPr="000038A7">
              <w:rPr>
                <w:sz w:val="20"/>
                <w:lang w:val="en-GB"/>
              </w:rPr>
              <w:t>100</w:t>
            </w:r>
          </w:p>
        </w:tc>
        <w:tc>
          <w:tcPr>
            <w:tcW w:w="322" w:type="pct"/>
            <w:tcBorders>
              <w:top w:val="single" w:sz="4" w:space="0" w:color="auto"/>
              <w:left w:val="single" w:sz="6" w:space="0" w:color="auto"/>
              <w:bottom w:val="single" w:sz="4" w:space="0" w:color="auto"/>
              <w:right w:val="single" w:sz="6" w:space="0" w:color="auto"/>
            </w:tcBorders>
            <w:vAlign w:val="center"/>
            <w:hideMark/>
          </w:tcPr>
          <w:p w14:paraId="64985898" w14:textId="77777777" w:rsidR="00D853AB" w:rsidRPr="000038A7" w:rsidRDefault="00D853AB" w:rsidP="00331F85">
            <w:pPr>
              <w:keepNext/>
              <w:spacing w:before="20" w:after="20"/>
              <w:jc w:val="center"/>
              <w:rPr>
                <w:sz w:val="20"/>
                <w:lang w:val="en-GB"/>
              </w:rPr>
            </w:pPr>
            <w:r w:rsidRPr="000038A7">
              <w:rPr>
                <w:sz w:val="20"/>
                <w:lang w:val="en-GB"/>
              </w:rPr>
              <w:t>94.4</w:t>
            </w:r>
          </w:p>
        </w:tc>
        <w:tc>
          <w:tcPr>
            <w:tcW w:w="353" w:type="pct"/>
            <w:tcBorders>
              <w:top w:val="single" w:sz="4" w:space="0" w:color="auto"/>
              <w:left w:val="single" w:sz="6" w:space="0" w:color="auto"/>
              <w:bottom w:val="single" w:sz="4" w:space="0" w:color="auto"/>
              <w:right w:val="single" w:sz="6" w:space="0" w:color="auto"/>
            </w:tcBorders>
            <w:vAlign w:val="center"/>
            <w:hideMark/>
          </w:tcPr>
          <w:p w14:paraId="438BAF29" w14:textId="77777777" w:rsidR="00D853AB" w:rsidRPr="000038A7" w:rsidRDefault="00D853AB" w:rsidP="00331F85">
            <w:pPr>
              <w:keepNext/>
              <w:spacing w:before="20" w:after="20"/>
              <w:jc w:val="center"/>
              <w:rPr>
                <w:sz w:val="20"/>
                <w:lang w:val="en-GB"/>
              </w:rPr>
            </w:pPr>
            <w:r w:rsidRPr="000038A7">
              <w:rPr>
                <w:sz w:val="20"/>
                <w:lang w:val="en-GB"/>
              </w:rPr>
              <w:t>100</w:t>
            </w:r>
          </w:p>
        </w:tc>
        <w:tc>
          <w:tcPr>
            <w:tcW w:w="322" w:type="pct"/>
            <w:tcBorders>
              <w:top w:val="single" w:sz="4" w:space="0" w:color="auto"/>
              <w:left w:val="single" w:sz="6" w:space="0" w:color="auto"/>
              <w:bottom w:val="single" w:sz="4" w:space="0" w:color="auto"/>
              <w:right w:val="single" w:sz="6" w:space="0" w:color="auto"/>
            </w:tcBorders>
            <w:vAlign w:val="center"/>
            <w:hideMark/>
          </w:tcPr>
          <w:p w14:paraId="60CB9FF8" w14:textId="77777777" w:rsidR="00D853AB" w:rsidRPr="000038A7" w:rsidRDefault="00D853AB" w:rsidP="00331F85">
            <w:pPr>
              <w:keepNext/>
              <w:spacing w:before="20" w:after="20"/>
              <w:jc w:val="center"/>
              <w:rPr>
                <w:sz w:val="20"/>
                <w:lang w:val="en-GB"/>
              </w:rPr>
            </w:pPr>
            <w:r w:rsidRPr="000038A7">
              <w:rPr>
                <w:sz w:val="20"/>
                <w:lang w:val="en-GB"/>
              </w:rPr>
              <w:t>100</w:t>
            </w:r>
          </w:p>
        </w:tc>
        <w:tc>
          <w:tcPr>
            <w:tcW w:w="368" w:type="pct"/>
            <w:tcBorders>
              <w:top w:val="single" w:sz="4" w:space="0" w:color="auto"/>
              <w:left w:val="single" w:sz="6" w:space="0" w:color="auto"/>
              <w:bottom w:val="single" w:sz="4" w:space="0" w:color="auto"/>
              <w:right w:val="single" w:sz="6" w:space="0" w:color="auto"/>
            </w:tcBorders>
            <w:vAlign w:val="center"/>
            <w:hideMark/>
          </w:tcPr>
          <w:p w14:paraId="7EC4D265" w14:textId="77777777" w:rsidR="00D853AB" w:rsidRPr="000038A7" w:rsidRDefault="00D853AB" w:rsidP="00331F85">
            <w:pPr>
              <w:keepNext/>
              <w:spacing w:before="20" w:after="20"/>
              <w:jc w:val="center"/>
              <w:rPr>
                <w:sz w:val="20"/>
                <w:lang w:val="en-GB"/>
              </w:rPr>
            </w:pPr>
            <w:r w:rsidRPr="000038A7">
              <w:rPr>
                <w:sz w:val="20"/>
                <w:lang w:val="en-GB"/>
              </w:rPr>
              <w:t>99.1</w:t>
            </w:r>
          </w:p>
        </w:tc>
        <w:tc>
          <w:tcPr>
            <w:tcW w:w="368" w:type="pct"/>
            <w:tcBorders>
              <w:top w:val="single" w:sz="4" w:space="0" w:color="auto"/>
              <w:left w:val="single" w:sz="6" w:space="0" w:color="auto"/>
              <w:bottom w:val="single" w:sz="4" w:space="0" w:color="auto"/>
              <w:right w:val="single" w:sz="6" w:space="0" w:color="auto"/>
            </w:tcBorders>
            <w:vAlign w:val="center"/>
            <w:hideMark/>
          </w:tcPr>
          <w:p w14:paraId="5FC85CB5" w14:textId="77777777" w:rsidR="00D853AB" w:rsidRPr="000038A7" w:rsidRDefault="00D853AB" w:rsidP="00331F85">
            <w:pPr>
              <w:keepNext/>
              <w:spacing w:before="20" w:after="20"/>
              <w:jc w:val="center"/>
              <w:rPr>
                <w:sz w:val="20"/>
                <w:lang w:val="en-GB"/>
              </w:rPr>
            </w:pPr>
            <w:r w:rsidRPr="000038A7">
              <w:rPr>
                <w:sz w:val="20"/>
                <w:lang w:val="en-GB"/>
              </w:rPr>
              <w:t>99.1</w:t>
            </w:r>
          </w:p>
        </w:tc>
        <w:tc>
          <w:tcPr>
            <w:tcW w:w="353" w:type="pct"/>
            <w:tcBorders>
              <w:top w:val="single" w:sz="4" w:space="0" w:color="auto"/>
              <w:left w:val="single" w:sz="6" w:space="0" w:color="auto"/>
              <w:bottom w:val="single" w:sz="4" w:space="0" w:color="auto"/>
              <w:right w:val="single" w:sz="6" w:space="0" w:color="auto"/>
            </w:tcBorders>
            <w:vAlign w:val="center"/>
            <w:hideMark/>
          </w:tcPr>
          <w:p w14:paraId="24997AE0" w14:textId="77777777" w:rsidR="00D853AB" w:rsidRPr="000038A7" w:rsidRDefault="00D853AB" w:rsidP="00331F85">
            <w:pPr>
              <w:keepNext/>
              <w:spacing w:before="20" w:after="20"/>
              <w:jc w:val="center"/>
              <w:rPr>
                <w:sz w:val="20"/>
                <w:lang w:val="en-GB"/>
              </w:rPr>
            </w:pPr>
            <w:r w:rsidRPr="000038A7">
              <w:rPr>
                <w:sz w:val="20"/>
                <w:lang w:val="en-GB"/>
              </w:rPr>
              <w:t>98.1</w:t>
            </w:r>
          </w:p>
        </w:tc>
        <w:tc>
          <w:tcPr>
            <w:tcW w:w="322" w:type="pct"/>
            <w:gridSpan w:val="2"/>
            <w:tcBorders>
              <w:top w:val="single" w:sz="4" w:space="0" w:color="auto"/>
              <w:left w:val="single" w:sz="6" w:space="0" w:color="auto"/>
              <w:bottom w:val="single" w:sz="4" w:space="0" w:color="auto"/>
              <w:right w:val="single" w:sz="6" w:space="0" w:color="auto"/>
            </w:tcBorders>
            <w:vAlign w:val="center"/>
            <w:hideMark/>
          </w:tcPr>
          <w:p w14:paraId="2F0BA52A" w14:textId="77777777" w:rsidR="00D853AB" w:rsidRPr="000038A7" w:rsidRDefault="00D853AB" w:rsidP="00331F85">
            <w:pPr>
              <w:keepNext/>
              <w:spacing w:before="20" w:after="20"/>
              <w:jc w:val="center"/>
              <w:rPr>
                <w:sz w:val="20"/>
                <w:lang w:val="en-GB"/>
              </w:rPr>
            </w:pPr>
            <w:r w:rsidRPr="000038A7">
              <w:rPr>
                <w:sz w:val="20"/>
                <w:lang w:val="en-GB"/>
              </w:rPr>
              <w:t>100</w:t>
            </w:r>
          </w:p>
        </w:tc>
        <w:tc>
          <w:tcPr>
            <w:tcW w:w="399" w:type="pct"/>
            <w:tcBorders>
              <w:top w:val="single" w:sz="4" w:space="0" w:color="auto"/>
              <w:left w:val="single" w:sz="6" w:space="0" w:color="auto"/>
              <w:bottom w:val="single" w:sz="4" w:space="0" w:color="auto"/>
              <w:right w:val="single" w:sz="6" w:space="0" w:color="auto"/>
            </w:tcBorders>
            <w:vAlign w:val="center"/>
            <w:hideMark/>
          </w:tcPr>
          <w:p w14:paraId="6CCC022A" w14:textId="77777777" w:rsidR="00D853AB" w:rsidRPr="000038A7" w:rsidRDefault="00D853AB" w:rsidP="00331F85">
            <w:pPr>
              <w:keepNext/>
              <w:spacing w:before="20" w:after="20"/>
              <w:jc w:val="center"/>
              <w:rPr>
                <w:sz w:val="20"/>
                <w:lang w:val="en-GB"/>
              </w:rPr>
            </w:pPr>
            <w:r w:rsidRPr="000038A7">
              <w:rPr>
                <w:sz w:val="20"/>
                <w:lang w:val="en-GB"/>
              </w:rPr>
              <w:t>100</w:t>
            </w:r>
          </w:p>
        </w:tc>
        <w:tc>
          <w:tcPr>
            <w:tcW w:w="368" w:type="pct"/>
            <w:tcBorders>
              <w:top w:val="single" w:sz="4" w:space="0" w:color="auto"/>
              <w:left w:val="single" w:sz="6" w:space="0" w:color="auto"/>
              <w:bottom w:val="single" w:sz="4" w:space="0" w:color="auto"/>
              <w:right w:val="single" w:sz="6" w:space="0" w:color="auto"/>
            </w:tcBorders>
            <w:vAlign w:val="center"/>
            <w:hideMark/>
          </w:tcPr>
          <w:p w14:paraId="697BF127" w14:textId="77777777" w:rsidR="00D853AB" w:rsidRPr="000038A7" w:rsidRDefault="00D853AB" w:rsidP="00331F85">
            <w:pPr>
              <w:keepNext/>
              <w:spacing w:before="20" w:after="20"/>
              <w:jc w:val="center"/>
              <w:rPr>
                <w:sz w:val="20"/>
                <w:lang w:val="en-GB"/>
              </w:rPr>
            </w:pPr>
            <w:r w:rsidRPr="000038A7">
              <w:rPr>
                <w:sz w:val="20"/>
                <w:lang w:val="en-GB"/>
              </w:rPr>
              <w:t>100</w:t>
            </w:r>
          </w:p>
        </w:tc>
        <w:tc>
          <w:tcPr>
            <w:tcW w:w="353" w:type="pct"/>
            <w:tcBorders>
              <w:top w:val="single" w:sz="4" w:space="0" w:color="auto"/>
              <w:left w:val="single" w:sz="6" w:space="0" w:color="auto"/>
              <w:bottom w:val="single" w:sz="4" w:space="0" w:color="auto"/>
              <w:right w:val="single" w:sz="6" w:space="0" w:color="auto"/>
            </w:tcBorders>
            <w:vAlign w:val="center"/>
            <w:hideMark/>
          </w:tcPr>
          <w:p w14:paraId="52DF5496" w14:textId="77777777" w:rsidR="00D853AB" w:rsidRPr="000038A7" w:rsidRDefault="00D853AB" w:rsidP="00331F85">
            <w:pPr>
              <w:keepNext/>
              <w:spacing w:before="20" w:after="20"/>
              <w:jc w:val="center"/>
              <w:rPr>
                <w:sz w:val="20"/>
                <w:lang w:val="en-GB"/>
              </w:rPr>
            </w:pPr>
            <w:r w:rsidRPr="000038A7">
              <w:rPr>
                <w:sz w:val="20"/>
                <w:lang w:val="en-GB"/>
              </w:rPr>
              <w:t>100</w:t>
            </w:r>
          </w:p>
        </w:tc>
      </w:tr>
      <w:tr w:rsidR="00D853AB" w:rsidRPr="000038A7" w14:paraId="6B655C4E" w14:textId="77777777" w:rsidTr="008B6773">
        <w:trPr>
          <w:gridAfter w:val="1"/>
          <w:wAfter w:w="4" w:type="pct"/>
          <w:trHeight w:val="71"/>
          <w:tblHeader/>
          <w:jc w:val="center"/>
        </w:trPr>
        <w:tc>
          <w:tcPr>
            <w:tcW w:w="580" w:type="pct"/>
            <w:tcBorders>
              <w:top w:val="single" w:sz="4" w:space="0" w:color="auto"/>
              <w:left w:val="single" w:sz="6" w:space="0" w:color="auto"/>
              <w:bottom w:val="single" w:sz="4" w:space="0" w:color="auto"/>
              <w:right w:val="single" w:sz="6" w:space="0" w:color="auto"/>
            </w:tcBorders>
            <w:hideMark/>
          </w:tcPr>
          <w:p w14:paraId="54569FF4" w14:textId="77777777" w:rsidR="00D853AB" w:rsidRPr="000038A7" w:rsidRDefault="00D853AB" w:rsidP="00331F85">
            <w:pPr>
              <w:keepNext/>
              <w:spacing w:before="20" w:after="20"/>
              <w:ind w:left="264"/>
              <w:rPr>
                <w:b/>
                <w:sz w:val="20"/>
                <w:lang w:val="en-GB"/>
              </w:rPr>
            </w:pPr>
            <w:r w:rsidRPr="000038A7">
              <w:rPr>
                <w:b/>
                <w:sz w:val="20"/>
                <w:lang w:val="en-GB"/>
              </w:rPr>
              <w:t>PRN</w:t>
            </w:r>
          </w:p>
        </w:tc>
        <w:tc>
          <w:tcPr>
            <w:tcW w:w="534" w:type="pct"/>
            <w:vMerge/>
            <w:tcBorders>
              <w:top w:val="single" w:sz="4" w:space="0" w:color="auto"/>
              <w:left w:val="single" w:sz="6" w:space="0" w:color="auto"/>
              <w:bottom w:val="single" w:sz="4" w:space="0" w:color="auto"/>
              <w:right w:val="single" w:sz="6" w:space="0" w:color="auto"/>
            </w:tcBorders>
            <w:vAlign w:val="center"/>
            <w:hideMark/>
          </w:tcPr>
          <w:p w14:paraId="1A43410A" w14:textId="77777777" w:rsidR="00D853AB" w:rsidRPr="000038A7" w:rsidRDefault="00D853AB" w:rsidP="00331F85">
            <w:pPr>
              <w:rPr>
                <w:sz w:val="20"/>
                <w:lang w:val="en-GB" w:eastAsia="en-US"/>
              </w:rPr>
            </w:pPr>
          </w:p>
        </w:tc>
        <w:tc>
          <w:tcPr>
            <w:tcW w:w="352" w:type="pct"/>
            <w:tcBorders>
              <w:top w:val="single" w:sz="4" w:space="0" w:color="auto"/>
              <w:left w:val="single" w:sz="6" w:space="0" w:color="auto"/>
              <w:bottom w:val="single" w:sz="4" w:space="0" w:color="auto"/>
              <w:right w:val="single" w:sz="6" w:space="0" w:color="auto"/>
            </w:tcBorders>
            <w:vAlign w:val="center"/>
            <w:hideMark/>
          </w:tcPr>
          <w:p w14:paraId="2122D79B" w14:textId="77777777" w:rsidR="00D853AB" w:rsidRPr="000038A7" w:rsidRDefault="00D853AB" w:rsidP="00331F85">
            <w:pPr>
              <w:keepNext/>
              <w:spacing w:before="20" w:after="20"/>
              <w:jc w:val="center"/>
              <w:rPr>
                <w:sz w:val="20"/>
                <w:lang w:val="en-GB"/>
              </w:rPr>
            </w:pPr>
            <w:r w:rsidRPr="000038A7">
              <w:rPr>
                <w:sz w:val="20"/>
                <w:lang w:val="en-GB"/>
              </w:rPr>
              <w:t>97.3</w:t>
            </w:r>
          </w:p>
        </w:tc>
        <w:tc>
          <w:tcPr>
            <w:tcW w:w="322" w:type="pct"/>
            <w:tcBorders>
              <w:top w:val="single" w:sz="4" w:space="0" w:color="auto"/>
              <w:left w:val="single" w:sz="6" w:space="0" w:color="auto"/>
              <w:bottom w:val="single" w:sz="4" w:space="0" w:color="auto"/>
              <w:right w:val="single" w:sz="6" w:space="0" w:color="auto"/>
            </w:tcBorders>
            <w:vAlign w:val="center"/>
            <w:hideMark/>
          </w:tcPr>
          <w:p w14:paraId="50B606E9" w14:textId="77777777" w:rsidR="00D853AB" w:rsidRPr="000038A7" w:rsidRDefault="00D853AB" w:rsidP="00331F85">
            <w:pPr>
              <w:keepNext/>
              <w:spacing w:before="20" w:after="20"/>
              <w:jc w:val="center"/>
              <w:rPr>
                <w:sz w:val="20"/>
                <w:lang w:val="en-GB"/>
              </w:rPr>
            </w:pPr>
            <w:r w:rsidRPr="000038A7">
              <w:rPr>
                <w:sz w:val="20"/>
                <w:lang w:val="en-GB"/>
              </w:rPr>
              <w:t>91.7</w:t>
            </w:r>
          </w:p>
        </w:tc>
        <w:tc>
          <w:tcPr>
            <w:tcW w:w="353" w:type="pct"/>
            <w:tcBorders>
              <w:top w:val="single" w:sz="4" w:space="0" w:color="auto"/>
              <w:left w:val="single" w:sz="6" w:space="0" w:color="auto"/>
              <w:bottom w:val="single" w:sz="4" w:space="0" w:color="auto"/>
              <w:right w:val="single" w:sz="6" w:space="0" w:color="auto"/>
            </w:tcBorders>
            <w:vAlign w:val="center"/>
            <w:hideMark/>
          </w:tcPr>
          <w:p w14:paraId="7233FBEC" w14:textId="77777777" w:rsidR="00D853AB" w:rsidRPr="000038A7" w:rsidRDefault="00D853AB" w:rsidP="00331F85">
            <w:pPr>
              <w:keepNext/>
              <w:spacing w:before="20" w:after="20"/>
              <w:jc w:val="center"/>
              <w:rPr>
                <w:sz w:val="20"/>
                <w:lang w:val="en-GB"/>
              </w:rPr>
            </w:pPr>
            <w:r w:rsidRPr="000038A7">
              <w:rPr>
                <w:sz w:val="20"/>
                <w:lang w:val="en-GB"/>
              </w:rPr>
              <w:t>95.7</w:t>
            </w:r>
          </w:p>
        </w:tc>
        <w:tc>
          <w:tcPr>
            <w:tcW w:w="322" w:type="pct"/>
            <w:tcBorders>
              <w:top w:val="single" w:sz="4" w:space="0" w:color="auto"/>
              <w:left w:val="single" w:sz="6" w:space="0" w:color="auto"/>
              <w:bottom w:val="single" w:sz="4" w:space="0" w:color="auto"/>
              <w:right w:val="single" w:sz="6" w:space="0" w:color="auto"/>
            </w:tcBorders>
            <w:vAlign w:val="center"/>
            <w:hideMark/>
          </w:tcPr>
          <w:p w14:paraId="4F54806C" w14:textId="77777777" w:rsidR="00D853AB" w:rsidRPr="000038A7" w:rsidRDefault="00D853AB" w:rsidP="00331F85">
            <w:pPr>
              <w:keepNext/>
              <w:spacing w:before="20" w:after="20"/>
              <w:jc w:val="center"/>
              <w:rPr>
                <w:sz w:val="20"/>
                <w:lang w:val="en-GB"/>
              </w:rPr>
            </w:pPr>
            <w:r w:rsidRPr="000038A7">
              <w:rPr>
                <w:sz w:val="20"/>
                <w:lang w:val="en-GB"/>
              </w:rPr>
              <w:t>100</w:t>
            </w:r>
          </w:p>
        </w:tc>
        <w:tc>
          <w:tcPr>
            <w:tcW w:w="368" w:type="pct"/>
            <w:tcBorders>
              <w:top w:val="single" w:sz="4" w:space="0" w:color="auto"/>
              <w:left w:val="single" w:sz="6" w:space="0" w:color="auto"/>
              <w:bottom w:val="single" w:sz="4" w:space="0" w:color="auto"/>
              <w:right w:val="single" w:sz="6" w:space="0" w:color="auto"/>
            </w:tcBorders>
            <w:vAlign w:val="center"/>
            <w:hideMark/>
          </w:tcPr>
          <w:p w14:paraId="77CF9A74" w14:textId="77777777" w:rsidR="00D853AB" w:rsidRPr="000038A7" w:rsidRDefault="00D853AB" w:rsidP="00331F85">
            <w:pPr>
              <w:keepNext/>
              <w:spacing w:before="20" w:after="20"/>
              <w:jc w:val="center"/>
              <w:rPr>
                <w:sz w:val="20"/>
                <w:lang w:val="en-GB"/>
              </w:rPr>
            </w:pPr>
            <w:r w:rsidRPr="000038A7">
              <w:rPr>
                <w:sz w:val="20"/>
                <w:lang w:val="en-GB"/>
              </w:rPr>
              <w:t>99.1</w:t>
            </w:r>
          </w:p>
        </w:tc>
        <w:tc>
          <w:tcPr>
            <w:tcW w:w="368" w:type="pct"/>
            <w:tcBorders>
              <w:top w:val="single" w:sz="4" w:space="0" w:color="auto"/>
              <w:left w:val="single" w:sz="6" w:space="0" w:color="auto"/>
              <w:bottom w:val="single" w:sz="4" w:space="0" w:color="auto"/>
              <w:right w:val="single" w:sz="6" w:space="0" w:color="auto"/>
            </w:tcBorders>
            <w:vAlign w:val="center"/>
            <w:hideMark/>
          </w:tcPr>
          <w:p w14:paraId="72655191" w14:textId="77777777" w:rsidR="00D853AB" w:rsidRPr="000038A7" w:rsidRDefault="00D853AB" w:rsidP="00331F85">
            <w:pPr>
              <w:keepNext/>
              <w:spacing w:before="20" w:after="20"/>
              <w:jc w:val="center"/>
              <w:rPr>
                <w:sz w:val="20"/>
                <w:lang w:val="en-GB"/>
              </w:rPr>
            </w:pPr>
            <w:r w:rsidRPr="000038A7">
              <w:rPr>
                <w:sz w:val="20"/>
                <w:lang w:val="en-GB"/>
              </w:rPr>
              <w:t>100</w:t>
            </w:r>
          </w:p>
        </w:tc>
        <w:tc>
          <w:tcPr>
            <w:tcW w:w="353" w:type="pct"/>
            <w:tcBorders>
              <w:top w:val="single" w:sz="4" w:space="0" w:color="auto"/>
              <w:left w:val="single" w:sz="6" w:space="0" w:color="auto"/>
              <w:bottom w:val="single" w:sz="4" w:space="0" w:color="auto"/>
              <w:right w:val="single" w:sz="6" w:space="0" w:color="auto"/>
            </w:tcBorders>
            <w:vAlign w:val="center"/>
            <w:hideMark/>
          </w:tcPr>
          <w:p w14:paraId="33F72A94" w14:textId="77777777" w:rsidR="00D853AB" w:rsidRPr="000038A7" w:rsidRDefault="00D853AB" w:rsidP="00331F85">
            <w:pPr>
              <w:keepNext/>
              <w:spacing w:before="20" w:after="20"/>
              <w:jc w:val="center"/>
              <w:rPr>
                <w:sz w:val="20"/>
                <w:lang w:val="en-GB"/>
              </w:rPr>
            </w:pPr>
            <w:r w:rsidRPr="000038A7">
              <w:rPr>
                <w:sz w:val="20"/>
                <w:lang w:val="en-GB"/>
              </w:rPr>
              <w:t>88.8</w:t>
            </w:r>
          </w:p>
        </w:tc>
        <w:tc>
          <w:tcPr>
            <w:tcW w:w="322" w:type="pct"/>
            <w:gridSpan w:val="2"/>
            <w:tcBorders>
              <w:top w:val="single" w:sz="4" w:space="0" w:color="auto"/>
              <w:left w:val="single" w:sz="6" w:space="0" w:color="auto"/>
              <w:bottom w:val="single" w:sz="4" w:space="0" w:color="auto"/>
              <w:right w:val="single" w:sz="6" w:space="0" w:color="auto"/>
            </w:tcBorders>
            <w:vAlign w:val="center"/>
            <w:hideMark/>
          </w:tcPr>
          <w:p w14:paraId="2C292FD5" w14:textId="77777777" w:rsidR="00D853AB" w:rsidRPr="000038A7" w:rsidRDefault="00D853AB" w:rsidP="00331F85">
            <w:pPr>
              <w:keepNext/>
              <w:spacing w:before="20" w:after="20"/>
              <w:jc w:val="center"/>
              <w:rPr>
                <w:sz w:val="20"/>
                <w:lang w:val="en-GB"/>
              </w:rPr>
            </w:pPr>
            <w:r w:rsidRPr="000038A7">
              <w:rPr>
                <w:sz w:val="20"/>
                <w:lang w:val="en-GB"/>
              </w:rPr>
              <w:t>100</w:t>
            </w:r>
          </w:p>
        </w:tc>
        <w:tc>
          <w:tcPr>
            <w:tcW w:w="399" w:type="pct"/>
            <w:tcBorders>
              <w:top w:val="single" w:sz="4" w:space="0" w:color="auto"/>
              <w:left w:val="single" w:sz="6" w:space="0" w:color="auto"/>
              <w:bottom w:val="single" w:sz="4" w:space="0" w:color="auto"/>
              <w:right w:val="single" w:sz="6" w:space="0" w:color="auto"/>
            </w:tcBorders>
            <w:vAlign w:val="center"/>
            <w:hideMark/>
          </w:tcPr>
          <w:p w14:paraId="431CBD78" w14:textId="77777777" w:rsidR="00D853AB" w:rsidRPr="000038A7" w:rsidRDefault="00D853AB" w:rsidP="00331F85">
            <w:pPr>
              <w:keepNext/>
              <w:spacing w:before="20" w:after="20"/>
              <w:jc w:val="center"/>
              <w:rPr>
                <w:sz w:val="20"/>
                <w:lang w:val="en-GB"/>
              </w:rPr>
            </w:pPr>
            <w:r w:rsidRPr="000038A7">
              <w:rPr>
                <w:sz w:val="20"/>
                <w:lang w:val="en-GB"/>
              </w:rPr>
              <w:t>99.3</w:t>
            </w:r>
          </w:p>
        </w:tc>
        <w:tc>
          <w:tcPr>
            <w:tcW w:w="368" w:type="pct"/>
            <w:tcBorders>
              <w:top w:val="single" w:sz="4" w:space="0" w:color="auto"/>
              <w:left w:val="single" w:sz="6" w:space="0" w:color="auto"/>
              <w:bottom w:val="single" w:sz="4" w:space="0" w:color="auto"/>
              <w:right w:val="single" w:sz="6" w:space="0" w:color="auto"/>
            </w:tcBorders>
            <w:vAlign w:val="center"/>
            <w:hideMark/>
          </w:tcPr>
          <w:p w14:paraId="409D7C2F" w14:textId="77777777" w:rsidR="00D853AB" w:rsidRPr="000038A7" w:rsidRDefault="00D853AB" w:rsidP="00331F85">
            <w:pPr>
              <w:keepNext/>
              <w:spacing w:before="20" w:after="20"/>
              <w:jc w:val="center"/>
              <w:rPr>
                <w:sz w:val="20"/>
                <w:lang w:val="en-GB"/>
              </w:rPr>
            </w:pPr>
            <w:r w:rsidRPr="000038A7">
              <w:rPr>
                <w:sz w:val="20"/>
                <w:lang w:val="en-GB"/>
              </w:rPr>
              <w:t>98.4</w:t>
            </w:r>
          </w:p>
        </w:tc>
        <w:tc>
          <w:tcPr>
            <w:tcW w:w="353" w:type="pct"/>
            <w:tcBorders>
              <w:top w:val="single" w:sz="4" w:space="0" w:color="auto"/>
              <w:left w:val="single" w:sz="6" w:space="0" w:color="auto"/>
              <w:bottom w:val="single" w:sz="4" w:space="0" w:color="auto"/>
              <w:right w:val="single" w:sz="6" w:space="0" w:color="auto"/>
            </w:tcBorders>
            <w:vAlign w:val="center"/>
            <w:hideMark/>
          </w:tcPr>
          <w:p w14:paraId="74B1FDDF" w14:textId="77777777" w:rsidR="00D853AB" w:rsidRPr="000038A7" w:rsidRDefault="00D853AB" w:rsidP="00331F85">
            <w:pPr>
              <w:keepNext/>
              <w:spacing w:before="20" w:after="20"/>
              <w:jc w:val="center"/>
              <w:rPr>
                <w:sz w:val="20"/>
                <w:lang w:val="en-GB"/>
              </w:rPr>
            </w:pPr>
            <w:r w:rsidRPr="000038A7">
              <w:rPr>
                <w:sz w:val="20"/>
                <w:lang w:val="en-GB"/>
              </w:rPr>
              <w:t>93.7</w:t>
            </w:r>
          </w:p>
        </w:tc>
      </w:tr>
      <w:tr w:rsidR="00D853AB" w:rsidRPr="000038A7" w14:paraId="2A01B08D" w14:textId="77777777" w:rsidTr="008B6773">
        <w:trPr>
          <w:gridAfter w:val="1"/>
          <w:wAfter w:w="4" w:type="pct"/>
          <w:trHeight w:val="71"/>
          <w:tblHeader/>
          <w:jc w:val="center"/>
        </w:trPr>
        <w:tc>
          <w:tcPr>
            <w:tcW w:w="580" w:type="pct"/>
            <w:tcBorders>
              <w:top w:val="single" w:sz="4" w:space="0" w:color="auto"/>
              <w:left w:val="single" w:sz="6" w:space="0" w:color="auto"/>
              <w:bottom w:val="single" w:sz="4" w:space="0" w:color="auto"/>
              <w:right w:val="single" w:sz="6" w:space="0" w:color="auto"/>
            </w:tcBorders>
            <w:hideMark/>
          </w:tcPr>
          <w:p w14:paraId="2A9305C3" w14:textId="77777777" w:rsidR="00D853AB" w:rsidRPr="000038A7" w:rsidRDefault="00D853AB" w:rsidP="00331F85">
            <w:pPr>
              <w:keepNext/>
              <w:spacing w:before="20" w:after="20"/>
              <w:ind w:left="264"/>
              <w:rPr>
                <w:b/>
                <w:sz w:val="20"/>
                <w:lang w:val="en-GB"/>
              </w:rPr>
            </w:pPr>
            <w:r w:rsidRPr="000038A7">
              <w:rPr>
                <w:b/>
                <w:sz w:val="20"/>
                <w:lang w:val="en-GB"/>
              </w:rPr>
              <w:t>FIM</w:t>
            </w:r>
          </w:p>
        </w:tc>
        <w:tc>
          <w:tcPr>
            <w:tcW w:w="534" w:type="pct"/>
            <w:vMerge/>
            <w:tcBorders>
              <w:top w:val="single" w:sz="4" w:space="0" w:color="auto"/>
              <w:left w:val="single" w:sz="6" w:space="0" w:color="auto"/>
              <w:bottom w:val="single" w:sz="4" w:space="0" w:color="auto"/>
              <w:right w:val="single" w:sz="6" w:space="0" w:color="auto"/>
            </w:tcBorders>
            <w:vAlign w:val="center"/>
            <w:hideMark/>
          </w:tcPr>
          <w:p w14:paraId="6550D331" w14:textId="77777777" w:rsidR="00D853AB" w:rsidRPr="000038A7" w:rsidRDefault="00D853AB" w:rsidP="00331F85">
            <w:pPr>
              <w:rPr>
                <w:sz w:val="20"/>
                <w:lang w:val="en-GB" w:eastAsia="en-US"/>
              </w:rPr>
            </w:pPr>
          </w:p>
        </w:tc>
        <w:tc>
          <w:tcPr>
            <w:tcW w:w="352" w:type="pct"/>
            <w:tcBorders>
              <w:top w:val="single" w:sz="4" w:space="0" w:color="auto"/>
              <w:left w:val="single" w:sz="6" w:space="0" w:color="auto"/>
              <w:bottom w:val="single" w:sz="4" w:space="0" w:color="auto"/>
              <w:right w:val="single" w:sz="6" w:space="0" w:color="auto"/>
            </w:tcBorders>
            <w:vAlign w:val="center"/>
            <w:hideMark/>
          </w:tcPr>
          <w:p w14:paraId="68C2F855" w14:textId="77777777" w:rsidR="00D853AB" w:rsidRPr="000038A7" w:rsidRDefault="00D853AB" w:rsidP="00331F85">
            <w:pPr>
              <w:keepNext/>
              <w:spacing w:before="20" w:after="20"/>
              <w:jc w:val="center"/>
              <w:rPr>
                <w:sz w:val="20"/>
                <w:lang w:val="en-GB"/>
              </w:rPr>
            </w:pPr>
            <w:r w:rsidRPr="000038A7">
              <w:rPr>
                <w:sz w:val="20"/>
                <w:lang w:val="en-GB"/>
              </w:rPr>
              <w:t>100</w:t>
            </w:r>
          </w:p>
        </w:tc>
        <w:tc>
          <w:tcPr>
            <w:tcW w:w="322" w:type="pct"/>
            <w:tcBorders>
              <w:top w:val="single" w:sz="4" w:space="0" w:color="auto"/>
              <w:left w:val="single" w:sz="6" w:space="0" w:color="auto"/>
              <w:bottom w:val="single" w:sz="4" w:space="0" w:color="auto"/>
              <w:right w:val="single" w:sz="6" w:space="0" w:color="auto"/>
            </w:tcBorders>
            <w:vAlign w:val="center"/>
            <w:hideMark/>
          </w:tcPr>
          <w:p w14:paraId="1ABDC68C" w14:textId="77777777" w:rsidR="00D853AB" w:rsidRPr="000038A7" w:rsidRDefault="00D853AB" w:rsidP="00331F85">
            <w:pPr>
              <w:keepNext/>
              <w:spacing w:before="20" w:after="20"/>
              <w:jc w:val="center"/>
              <w:rPr>
                <w:sz w:val="20"/>
                <w:lang w:val="en-GB"/>
              </w:rPr>
            </w:pPr>
            <w:r w:rsidRPr="000038A7">
              <w:rPr>
                <w:sz w:val="20"/>
                <w:lang w:val="en-GB"/>
              </w:rPr>
              <w:t>100</w:t>
            </w:r>
          </w:p>
        </w:tc>
        <w:tc>
          <w:tcPr>
            <w:tcW w:w="353" w:type="pct"/>
            <w:tcBorders>
              <w:top w:val="single" w:sz="4" w:space="0" w:color="auto"/>
              <w:left w:val="single" w:sz="6" w:space="0" w:color="auto"/>
              <w:bottom w:val="single" w:sz="4" w:space="0" w:color="auto"/>
              <w:right w:val="single" w:sz="6" w:space="0" w:color="auto"/>
            </w:tcBorders>
            <w:vAlign w:val="center"/>
            <w:hideMark/>
          </w:tcPr>
          <w:p w14:paraId="7D76B163" w14:textId="77777777" w:rsidR="00D853AB" w:rsidRPr="000038A7" w:rsidRDefault="00D853AB" w:rsidP="00331F85">
            <w:pPr>
              <w:keepNext/>
              <w:spacing w:before="20" w:after="20"/>
              <w:jc w:val="center"/>
              <w:rPr>
                <w:sz w:val="20"/>
                <w:lang w:val="en-GB"/>
              </w:rPr>
            </w:pPr>
            <w:r w:rsidRPr="000038A7">
              <w:rPr>
                <w:sz w:val="20"/>
                <w:lang w:val="en-GB"/>
              </w:rPr>
              <w:t>95.7</w:t>
            </w:r>
          </w:p>
        </w:tc>
        <w:tc>
          <w:tcPr>
            <w:tcW w:w="322" w:type="pct"/>
            <w:tcBorders>
              <w:top w:val="single" w:sz="4" w:space="0" w:color="auto"/>
              <w:left w:val="single" w:sz="6" w:space="0" w:color="auto"/>
              <w:bottom w:val="single" w:sz="4" w:space="0" w:color="auto"/>
              <w:right w:val="single" w:sz="6" w:space="0" w:color="auto"/>
            </w:tcBorders>
            <w:vAlign w:val="center"/>
            <w:hideMark/>
          </w:tcPr>
          <w:p w14:paraId="4D801C93" w14:textId="77777777" w:rsidR="00D853AB" w:rsidRPr="000038A7" w:rsidRDefault="00D853AB" w:rsidP="00331F85">
            <w:pPr>
              <w:keepNext/>
              <w:spacing w:before="20" w:after="20"/>
              <w:jc w:val="center"/>
              <w:rPr>
                <w:sz w:val="20"/>
                <w:lang w:val="en-GB"/>
              </w:rPr>
            </w:pPr>
            <w:r w:rsidRPr="000038A7">
              <w:rPr>
                <w:sz w:val="20"/>
                <w:lang w:val="en-GB"/>
              </w:rPr>
              <w:t>98.4</w:t>
            </w:r>
          </w:p>
        </w:tc>
        <w:tc>
          <w:tcPr>
            <w:tcW w:w="368" w:type="pct"/>
            <w:tcBorders>
              <w:top w:val="single" w:sz="4" w:space="0" w:color="auto"/>
              <w:left w:val="single" w:sz="6" w:space="0" w:color="auto"/>
              <w:bottom w:val="single" w:sz="4" w:space="0" w:color="auto"/>
              <w:right w:val="single" w:sz="6" w:space="0" w:color="auto"/>
            </w:tcBorders>
            <w:vAlign w:val="center"/>
            <w:hideMark/>
          </w:tcPr>
          <w:p w14:paraId="46D505C0" w14:textId="77777777" w:rsidR="00D853AB" w:rsidRPr="000038A7" w:rsidRDefault="00D853AB" w:rsidP="00331F85">
            <w:pPr>
              <w:keepNext/>
              <w:spacing w:before="20" w:after="20"/>
              <w:jc w:val="center"/>
              <w:rPr>
                <w:sz w:val="20"/>
                <w:lang w:val="en-GB"/>
              </w:rPr>
            </w:pPr>
            <w:r w:rsidRPr="000038A7">
              <w:rPr>
                <w:sz w:val="20"/>
                <w:lang w:val="en-GB"/>
              </w:rPr>
              <w:t>98.3</w:t>
            </w:r>
          </w:p>
        </w:tc>
        <w:tc>
          <w:tcPr>
            <w:tcW w:w="368" w:type="pct"/>
            <w:tcBorders>
              <w:top w:val="single" w:sz="4" w:space="0" w:color="auto"/>
              <w:left w:val="single" w:sz="6" w:space="0" w:color="auto"/>
              <w:bottom w:val="single" w:sz="4" w:space="0" w:color="auto"/>
              <w:right w:val="single" w:sz="6" w:space="0" w:color="auto"/>
            </w:tcBorders>
            <w:vAlign w:val="center"/>
            <w:hideMark/>
          </w:tcPr>
          <w:p w14:paraId="754A6220" w14:textId="77777777" w:rsidR="00D853AB" w:rsidRPr="000038A7" w:rsidRDefault="00D853AB" w:rsidP="00331F85">
            <w:pPr>
              <w:keepNext/>
              <w:spacing w:before="20" w:after="20"/>
              <w:jc w:val="center"/>
              <w:rPr>
                <w:sz w:val="20"/>
                <w:lang w:val="en-GB"/>
              </w:rPr>
            </w:pPr>
            <w:r w:rsidRPr="000038A7">
              <w:rPr>
                <w:sz w:val="20"/>
                <w:lang w:val="en-GB"/>
              </w:rPr>
              <w:t>98.1</w:t>
            </w:r>
          </w:p>
        </w:tc>
        <w:tc>
          <w:tcPr>
            <w:tcW w:w="353" w:type="pct"/>
            <w:tcBorders>
              <w:top w:val="single" w:sz="4" w:space="0" w:color="auto"/>
              <w:left w:val="single" w:sz="6" w:space="0" w:color="auto"/>
              <w:bottom w:val="single" w:sz="4" w:space="0" w:color="auto"/>
              <w:right w:val="single" w:sz="6" w:space="0" w:color="auto"/>
            </w:tcBorders>
            <w:vAlign w:val="center"/>
            <w:hideMark/>
          </w:tcPr>
          <w:p w14:paraId="41A35B7D" w14:textId="77777777" w:rsidR="00D853AB" w:rsidRPr="000038A7" w:rsidRDefault="00D853AB" w:rsidP="00331F85">
            <w:pPr>
              <w:keepNext/>
              <w:spacing w:before="20" w:after="20"/>
              <w:jc w:val="center"/>
              <w:rPr>
                <w:sz w:val="20"/>
                <w:lang w:val="en-GB"/>
              </w:rPr>
            </w:pPr>
            <w:r w:rsidRPr="000038A7">
              <w:rPr>
                <w:sz w:val="20"/>
                <w:lang w:val="en-GB"/>
              </w:rPr>
              <w:t>100</w:t>
            </w:r>
          </w:p>
        </w:tc>
        <w:tc>
          <w:tcPr>
            <w:tcW w:w="322" w:type="pct"/>
            <w:gridSpan w:val="2"/>
            <w:tcBorders>
              <w:top w:val="single" w:sz="4" w:space="0" w:color="auto"/>
              <w:left w:val="single" w:sz="6" w:space="0" w:color="auto"/>
              <w:bottom w:val="single" w:sz="4" w:space="0" w:color="auto"/>
              <w:right w:val="single" w:sz="6" w:space="0" w:color="auto"/>
            </w:tcBorders>
            <w:vAlign w:val="center"/>
            <w:hideMark/>
          </w:tcPr>
          <w:p w14:paraId="32F9999C" w14:textId="77777777" w:rsidR="00D853AB" w:rsidRPr="000038A7" w:rsidRDefault="00D853AB" w:rsidP="00331F85">
            <w:pPr>
              <w:keepNext/>
              <w:spacing w:before="20" w:after="20"/>
              <w:jc w:val="center"/>
              <w:rPr>
                <w:sz w:val="20"/>
                <w:lang w:val="en-GB"/>
              </w:rPr>
            </w:pPr>
            <w:r w:rsidRPr="000038A7">
              <w:rPr>
                <w:sz w:val="20"/>
                <w:lang w:val="en-GB"/>
              </w:rPr>
              <w:t>93.8</w:t>
            </w:r>
          </w:p>
        </w:tc>
        <w:tc>
          <w:tcPr>
            <w:tcW w:w="399" w:type="pct"/>
            <w:tcBorders>
              <w:top w:val="single" w:sz="4" w:space="0" w:color="auto"/>
              <w:left w:val="single" w:sz="6" w:space="0" w:color="auto"/>
              <w:bottom w:val="single" w:sz="4" w:space="0" w:color="auto"/>
              <w:right w:val="single" w:sz="6" w:space="0" w:color="auto"/>
            </w:tcBorders>
            <w:vAlign w:val="center"/>
            <w:hideMark/>
          </w:tcPr>
          <w:p w14:paraId="2C86CF4A" w14:textId="77777777" w:rsidR="00D853AB" w:rsidRPr="000038A7" w:rsidRDefault="00D853AB" w:rsidP="00331F85">
            <w:pPr>
              <w:keepNext/>
              <w:spacing w:before="20" w:after="20"/>
              <w:jc w:val="center"/>
              <w:rPr>
                <w:sz w:val="20"/>
                <w:lang w:val="en-GB"/>
              </w:rPr>
            </w:pPr>
            <w:r w:rsidRPr="000038A7">
              <w:rPr>
                <w:sz w:val="20"/>
                <w:lang w:val="en-GB"/>
              </w:rPr>
              <w:t>94.1</w:t>
            </w:r>
          </w:p>
        </w:tc>
        <w:tc>
          <w:tcPr>
            <w:tcW w:w="368" w:type="pct"/>
            <w:tcBorders>
              <w:top w:val="single" w:sz="4" w:space="0" w:color="auto"/>
              <w:left w:val="single" w:sz="6" w:space="0" w:color="auto"/>
              <w:bottom w:val="single" w:sz="4" w:space="0" w:color="auto"/>
              <w:right w:val="single" w:sz="6" w:space="0" w:color="auto"/>
            </w:tcBorders>
            <w:vAlign w:val="center"/>
            <w:hideMark/>
          </w:tcPr>
          <w:p w14:paraId="4ACB06A6" w14:textId="77777777" w:rsidR="00D853AB" w:rsidRPr="000038A7" w:rsidRDefault="00D853AB" w:rsidP="00331F85">
            <w:pPr>
              <w:keepNext/>
              <w:spacing w:before="20" w:after="20"/>
              <w:jc w:val="center"/>
              <w:rPr>
                <w:sz w:val="20"/>
                <w:lang w:val="en-GB"/>
              </w:rPr>
            </w:pPr>
            <w:r w:rsidRPr="000038A7">
              <w:rPr>
                <w:sz w:val="20"/>
                <w:lang w:val="en-GB"/>
              </w:rPr>
              <w:t>93.7</w:t>
            </w:r>
          </w:p>
        </w:tc>
        <w:tc>
          <w:tcPr>
            <w:tcW w:w="353" w:type="pct"/>
            <w:tcBorders>
              <w:top w:val="single" w:sz="4" w:space="0" w:color="auto"/>
              <w:left w:val="single" w:sz="6" w:space="0" w:color="auto"/>
              <w:bottom w:val="single" w:sz="4" w:space="0" w:color="auto"/>
              <w:right w:val="single" w:sz="6" w:space="0" w:color="auto"/>
            </w:tcBorders>
            <w:vAlign w:val="center"/>
            <w:hideMark/>
          </w:tcPr>
          <w:p w14:paraId="69CAF40E" w14:textId="77777777" w:rsidR="00D853AB" w:rsidRPr="000038A7" w:rsidRDefault="00D853AB" w:rsidP="00331F85">
            <w:pPr>
              <w:keepNext/>
              <w:spacing w:before="20" w:after="20"/>
              <w:jc w:val="center"/>
              <w:rPr>
                <w:sz w:val="20"/>
                <w:lang w:val="en-GB"/>
              </w:rPr>
            </w:pPr>
            <w:r w:rsidRPr="000038A7">
              <w:rPr>
                <w:sz w:val="20"/>
                <w:lang w:val="en-GB"/>
              </w:rPr>
              <w:t>98.7</w:t>
            </w:r>
          </w:p>
        </w:tc>
      </w:tr>
      <w:tr w:rsidR="00D853AB" w:rsidRPr="000038A7" w14:paraId="5478216A" w14:textId="77777777" w:rsidTr="008B6773">
        <w:trPr>
          <w:gridAfter w:val="1"/>
          <w:wAfter w:w="4" w:type="pct"/>
          <w:trHeight w:val="71"/>
          <w:tblHeader/>
          <w:jc w:val="center"/>
        </w:trPr>
        <w:tc>
          <w:tcPr>
            <w:tcW w:w="580" w:type="pct"/>
            <w:tcBorders>
              <w:top w:val="single" w:sz="4" w:space="0" w:color="auto"/>
              <w:left w:val="single" w:sz="6" w:space="0" w:color="auto"/>
              <w:bottom w:val="single" w:sz="6" w:space="0" w:color="auto"/>
              <w:right w:val="single" w:sz="6" w:space="0" w:color="auto"/>
            </w:tcBorders>
            <w:hideMark/>
          </w:tcPr>
          <w:p w14:paraId="1DDEE78B" w14:textId="77777777" w:rsidR="00D853AB" w:rsidRPr="000038A7" w:rsidRDefault="00D853AB" w:rsidP="00331F85">
            <w:pPr>
              <w:keepNext/>
              <w:spacing w:before="20" w:after="20"/>
              <w:rPr>
                <w:b/>
                <w:sz w:val="20"/>
                <w:lang w:val="en-GB"/>
              </w:rPr>
            </w:pPr>
            <w:r w:rsidRPr="000038A7">
              <w:rPr>
                <w:b/>
                <w:sz w:val="20"/>
                <w:lang w:val="en-GB"/>
              </w:rPr>
              <w:t>IPV</w:t>
            </w:r>
          </w:p>
          <w:p w14:paraId="0B657C91" w14:textId="77777777" w:rsidR="00D853AB" w:rsidRPr="000038A7" w:rsidRDefault="00D853AB" w:rsidP="00331F85">
            <w:pPr>
              <w:keepNext/>
              <w:spacing w:before="20" w:after="20"/>
              <w:rPr>
                <w:b/>
                <w:sz w:val="20"/>
                <w:lang w:val="en-GB"/>
              </w:rPr>
            </w:pPr>
            <w:r w:rsidRPr="000038A7">
              <w:rPr>
                <w:sz w:val="20"/>
                <w:lang w:val="en-GB"/>
              </w:rPr>
              <w:t>(SN, titre)</w:t>
            </w:r>
          </w:p>
        </w:tc>
        <w:tc>
          <w:tcPr>
            <w:tcW w:w="534" w:type="pct"/>
            <w:vMerge w:val="restart"/>
            <w:tcBorders>
              <w:top w:val="single" w:sz="4" w:space="0" w:color="auto"/>
              <w:left w:val="single" w:sz="6" w:space="0" w:color="auto"/>
              <w:bottom w:val="single" w:sz="6" w:space="0" w:color="auto"/>
              <w:right w:val="single" w:sz="6" w:space="0" w:color="auto"/>
            </w:tcBorders>
            <w:vAlign w:val="center"/>
            <w:hideMark/>
          </w:tcPr>
          <w:p w14:paraId="4F687B93" w14:textId="77777777" w:rsidR="00D853AB" w:rsidRPr="000038A7" w:rsidRDefault="00D853AB" w:rsidP="00331F85">
            <w:pPr>
              <w:rPr>
                <w:sz w:val="20"/>
                <w:lang w:val="en-GB"/>
              </w:rPr>
            </w:pPr>
            <w:bookmarkStart w:id="9" w:name="_Hlk40262235"/>
            <w:r w:rsidRPr="000038A7">
              <w:rPr>
                <w:sz w:val="20"/>
                <w:lang w:val="en-GB"/>
              </w:rPr>
              <w:t xml:space="preserve">≥ 1:8 </w:t>
            </w:r>
            <w:bookmarkEnd w:id="9"/>
          </w:p>
        </w:tc>
        <w:tc>
          <w:tcPr>
            <w:tcW w:w="352" w:type="pct"/>
            <w:tcBorders>
              <w:top w:val="single" w:sz="4" w:space="0" w:color="auto"/>
              <w:left w:val="single" w:sz="6" w:space="0" w:color="auto"/>
              <w:bottom w:val="single" w:sz="6" w:space="0" w:color="auto"/>
              <w:right w:val="single" w:sz="6" w:space="0" w:color="auto"/>
            </w:tcBorders>
            <w:vAlign w:val="center"/>
          </w:tcPr>
          <w:p w14:paraId="76599961" w14:textId="77777777" w:rsidR="00D853AB" w:rsidRPr="000038A7" w:rsidRDefault="00D853AB" w:rsidP="00331F85">
            <w:pPr>
              <w:keepNext/>
              <w:spacing w:before="20" w:after="20"/>
              <w:jc w:val="center"/>
              <w:rPr>
                <w:sz w:val="20"/>
                <w:lang w:val="en-GB"/>
              </w:rPr>
            </w:pPr>
          </w:p>
        </w:tc>
        <w:tc>
          <w:tcPr>
            <w:tcW w:w="322" w:type="pct"/>
            <w:tcBorders>
              <w:top w:val="single" w:sz="4" w:space="0" w:color="auto"/>
              <w:left w:val="single" w:sz="6" w:space="0" w:color="auto"/>
              <w:bottom w:val="single" w:sz="6" w:space="0" w:color="auto"/>
              <w:right w:val="single" w:sz="6" w:space="0" w:color="auto"/>
            </w:tcBorders>
            <w:vAlign w:val="center"/>
          </w:tcPr>
          <w:p w14:paraId="665E1C6A" w14:textId="77777777" w:rsidR="00D853AB" w:rsidRPr="000038A7" w:rsidRDefault="00D853AB" w:rsidP="00331F85">
            <w:pPr>
              <w:keepNext/>
              <w:spacing w:before="20" w:after="20"/>
              <w:jc w:val="center"/>
              <w:rPr>
                <w:sz w:val="20"/>
                <w:lang w:val="en-GB"/>
              </w:rPr>
            </w:pPr>
          </w:p>
        </w:tc>
        <w:tc>
          <w:tcPr>
            <w:tcW w:w="353" w:type="pct"/>
            <w:tcBorders>
              <w:top w:val="single" w:sz="4" w:space="0" w:color="auto"/>
              <w:left w:val="single" w:sz="6" w:space="0" w:color="auto"/>
              <w:bottom w:val="single" w:sz="6" w:space="0" w:color="auto"/>
              <w:right w:val="single" w:sz="6" w:space="0" w:color="auto"/>
            </w:tcBorders>
            <w:vAlign w:val="center"/>
          </w:tcPr>
          <w:p w14:paraId="43750A37" w14:textId="77777777" w:rsidR="00D853AB" w:rsidRPr="000038A7" w:rsidRDefault="00D853AB" w:rsidP="00331F85">
            <w:pPr>
              <w:keepNext/>
              <w:spacing w:before="20" w:after="20"/>
              <w:jc w:val="center"/>
              <w:rPr>
                <w:sz w:val="20"/>
                <w:lang w:val="en-GB"/>
              </w:rPr>
            </w:pPr>
          </w:p>
        </w:tc>
        <w:tc>
          <w:tcPr>
            <w:tcW w:w="322" w:type="pct"/>
            <w:tcBorders>
              <w:top w:val="single" w:sz="4" w:space="0" w:color="auto"/>
              <w:left w:val="single" w:sz="6" w:space="0" w:color="auto"/>
              <w:bottom w:val="single" w:sz="6" w:space="0" w:color="auto"/>
              <w:right w:val="single" w:sz="6" w:space="0" w:color="auto"/>
            </w:tcBorders>
            <w:vAlign w:val="center"/>
          </w:tcPr>
          <w:p w14:paraId="7C15B58C" w14:textId="77777777" w:rsidR="00D853AB" w:rsidRPr="000038A7" w:rsidRDefault="00D853AB" w:rsidP="00331F85">
            <w:pPr>
              <w:keepNext/>
              <w:spacing w:before="20" w:after="20"/>
              <w:jc w:val="center"/>
              <w:rPr>
                <w:sz w:val="20"/>
                <w:lang w:val="en-GB"/>
              </w:rPr>
            </w:pPr>
          </w:p>
        </w:tc>
        <w:tc>
          <w:tcPr>
            <w:tcW w:w="368" w:type="pct"/>
            <w:tcBorders>
              <w:top w:val="single" w:sz="4" w:space="0" w:color="auto"/>
              <w:left w:val="single" w:sz="6" w:space="0" w:color="auto"/>
              <w:bottom w:val="single" w:sz="6" w:space="0" w:color="auto"/>
              <w:right w:val="single" w:sz="6" w:space="0" w:color="auto"/>
            </w:tcBorders>
            <w:vAlign w:val="center"/>
          </w:tcPr>
          <w:p w14:paraId="67E2A655" w14:textId="77777777" w:rsidR="00D853AB" w:rsidRPr="000038A7" w:rsidRDefault="00D853AB" w:rsidP="00331F85">
            <w:pPr>
              <w:keepNext/>
              <w:spacing w:before="20" w:after="20"/>
              <w:jc w:val="center"/>
              <w:rPr>
                <w:sz w:val="20"/>
                <w:lang w:val="en-GB"/>
              </w:rPr>
            </w:pPr>
          </w:p>
        </w:tc>
        <w:tc>
          <w:tcPr>
            <w:tcW w:w="368" w:type="pct"/>
            <w:tcBorders>
              <w:top w:val="single" w:sz="4" w:space="0" w:color="auto"/>
              <w:left w:val="single" w:sz="6" w:space="0" w:color="auto"/>
              <w:bottom w:val="single" w:sz="6" w:space="0" w:color="auto"/>
              <w:right w:val="single" w:sz="6" w:space="0" w:color="auto"/>
            </w:tcBorders>
            <w:vAlign w:val="center"/>
          </w:tcPr>
          <w:p w14:paraId="7D13E90F" w14:textId="77777777" w:rsidR="00D853AB" w:rsidRPr="000038A7" w:rsidRDefault="00D853AB" w:rsidP="00331F85">
            <w:pPr>
              <w:keepNext/>
              <w:spacing w:before="20" w:after="20"/>
              <w:jc w:val="center"/>
              <w:rPr>
                <w:sz w:val="20"/>
                <w:lang w:val="en-GB"/>
              </w:rPr>
            </w:pPr>
          </w:p>
        </w:tc>
        <w:tc>
          <w:tcPr>
            <w:tcW w:w="353" w:type="pct"/>
            <w:tcBorders>
              <w:top w:val="single" w:sz="4" w:space="0" w:color="auto"/>
              <w:left w:val="single" w:sz="6" w:space="0" w:color="auto"/>
              <w:bottom w:val="single" w:sz="6" w:space="0" w:color="auto"/>
              <w:right w:val="single" w:sz="6" w:space="0" w:color="auto"/>
            </w:tcBorders>
            <w:vAlign w:val="center"/>
          </w:tcPr>
          <w:p w14:paraId="7FE0F103" w14:textId="77777777" w:rsidR="00D853AB" w:rsidRPr="000038A7" w:rsidRDefault="00D853AB" w:rsidP="00331F85">
            <w:pPr>
              <w:keepNext/>
              <w:spacing w:before="20" w:after="20"/>
              <w:jc w:val="center"/>
              <w:rPr>
                <w:sz w:val="20"/>
                <w:lang w:val="en-GB"/>
              </w:rPr>
            </w:pPr>
          </w:p>
        </w:tc>
        <w:tc>
          <w:tcPr>
            <w:tcW w:w="322" w:type="pct"/>
            <w:gridSpan w:val="2"/>
            <w:tcBorders>
              <w:top w:val="single" w:sz="4" w:space="0" w:color="auto"/>
              <w:left w:val="single" w:sz="6" w:space="0" w:color="auto"/>
              <w:bottom w:val="single" w:sz="6" w:space="0" w:color="auto"/>
              <w:right w:val="single" w:sz="6" w:space="0" w:color="auto"/>
            </w:tcBorders>
            <w:vAlign w:val="center"/>
          </w:tcPr>
          <w:p w14:paraId="738AF700" w14:textId="77777777" w:rsidR="00D853AB" w:rsidRPr="000038A7" w:rsidRDefault="00D853AB" w:rsidP="00331F85">
            <w:pPr>
              <w:keepNext/>
              <w:spacing w:before="20" w:after="20"/>
              <w:jc w:val="center"/>
              <w:rPr>
                <w:sz w:val="20"/>
                <w:lang w:val="en-GB"/>
              </w:rPr>
            </w:pPr>
          </w:p>
        </w:tc>
        <w:tc>
          <w:tcPr>
            <w:tcW w:w="399" w:type="pct"/>
            <w:tcBorders>
              <w:top w:val="single" w:sz="4" w:space="0" w:color="auto"/>
              <w:left w:val="single" w:sz="6" w:space="0" w:color="auto"/>
              <w:bottom w:val="single" w:sz="6" w:space="0" w:color="auto"/>
              <w:right w:val="single" w:sz="6" w:space="0" w:color="auto"/>
            </w:tcBorders>
            <w:vAlign w:val="center"/>
          </w:tcPr>
          <w:p w14:paraId="35329F08" w14:textId="77777777" w:rsidR="00D853AB" w:rsidRPr="000038A7" w:rsidRDefault="00D853AB" w:rsidP="00331F85">
            <w:pPr>
              <w:keepNext/>
              <w:spacing w:before="20" w:after="20"/>
              <w:jc w:val="center"/>
              <w:rPr>
                <w:sz w:val="20"/>
                <w:lang w:val="en-GB"/>
              </w:rPr>
            </w:pPr>
          </w:p>
        </w:tc>
        <w:tc>
          <w:tcPr>
            <w:tcW w:w="368" w:type="pct"/>
            <w:tcBorders>
              <w:top w:val="single" w:sz="4" w:space="0" w:color="auto"/>
              <w:left w:val="single" w:sz="6" w:space="0" w:color="auto"/>
              <w:bottom w:val="single" w:sz="6" w:space="0" w:color="auto"/>
              <w:right w:val="single" w:sz="6" w:space="0" w:color="auto"/>
            </w:tcBorders>
            <w:vAlign w:val="center"/>
          </w:tcPr>
          <w:p w14:paraId="720BBC43" w14:textId="77777777" w:rsidR="00D853AB" w:rsidRPr="000038A7" w:rsidRDefault="00D853AB" w:rsidP="00331F85">
            <w:pPr>
              <w:keepNext/>
              <w:spacing w:before="20" w:after="20"/>
              <w:jc w:val="center"/>
              <w:rPr>
                <w:sz w:val="20"/>
                <w:lang w:val="en-GB"/>
              </w:rPr>
            </w:pPr>
          </w:p>
        </w:tc>
        <w:tc>
          <w:tcPr>
            <w:tcW w:w="353" w:type="pct"/>
            <w:tcBorders>
              <w:top w:val="single" w:sz="4" w:space="0" w:color="auto"/>
              <w:left w:val="single" w:sz="6" w:space="0" w:color="auto"/>
              <w:bottom w:val="single" w:sz="6" w:space="0" w:color="auto"/>
              <w:right w:val="single" w:sz="6" w:space="0" w:color="auto"/>
            </w:tcBorders>
            <w:vAlign w:val="center"/>
          </w:tcPr>
          <w:p w14:paraId="474245AF" w14:textId="77777777" w:rsidR="00D853AB" w:rsidRPr="000038A7" w:rsidRDefault="00D853AB" w:rsidP="00331F85">
            <w:pPr>
              <w:keepNext/>
              <w:spacing w:before="20" w:after="20"/>
              <w:jc w:val="center"/>
              <w:rPr>
                <w:sz w:val="20"/>
                <w:lang w:val="en-GB"/>
              </w:rPr>
            </w:pPr>
          </w:p>
        </w:tc>
      </w:tr>
      <w:tr w:rsidR="00D853AB" w:rsidRPr="000038A7" w14:paraId="7116F4A5" w14:textId="77777777" w:rsidTr="008B6773">
        <w:trPr>
          <w:gridAfter w:val="1"/>
          <w:wAfter w:w="4" w:type="pct"/>
          <w:trHeight w:val="71"/>
          <w:tblHeader/>
          <w:jc w:val="center"/>
        </w:trPr>
        <w:tc>
          <w:tcPr>
            <w:tcW w:w="580" w:type="pct"/>
            <w:tcBorders>
              <w:top w:val="single" w:sz="4" w:space="0" w:color="auto"/>
              <w:left w:val="single" w:sz="6" w:space="0" w:color="auto"/>
              <w:bottom w:val="single" w:sz="6" w:space="0" w:color="auto"/>
              <w:right w:val="single" w:sz="6" w:space="0" w:color="auto"/>
            </w:tcBorders>
            <w:vAlign w:val="center"/>
            <w:hideMark/>
          </w:tcPr>
          <w:p w14:paraId="1FA6CD5B" w14:textId="77777777" w:rsidR="00D853AB" w:rsidRPr="000038A7" w:rsidRDefault="00D853AB" w:rsidP="00331F85">
            <w:pPr>
              <w:keepNext/>
              <w:spacing w:before="20" w:after="20"/>
              <w:ind w:left="264"/>
              <w:rPr>
                <w:b/>
                <w:sz w:val="20"/>
                <w:lang w:val="en-GB"/>
              </w:rPr>
            </w:pPr>
            <w:r w:rsidRPr="000038A7">
              <w:rPr>
                <w:b/>
                <w:sz w:val="20"/>
                <w:lang w:val="en-GB"/>
              </w:rPr>
              <w:t>Type 1</w:t>
            </w:r>
          </w:p>
        </w:tc>
        <w:tc>
          <w:tcPr>
            <w:tcW w:w="534" w:type="pct"/>
            <w:vMerge/>
            <w:tcBorders>
              <w:top w:val="single" w:sz="4" w:space="0" w:color="auto"/>
              <w:left w:val="single" w:sz="6" w:space="0" w:color="auto"/>
              <w:bottom w:val="single" w:sz="6" w:space="0" w:color="auto"/>
              <w:right w:val="single" w:sz="6" w:space="0" w:color="auto"/>
            </w:tcBorders>
            <w:vAlign w:val="center"/>
            <w:hideMark/>
          </w:tcPr>
          <w:p w14:paraId="5D20DA79" w14:textId="77777777" w:rsidR="00D853AB" w:rsidRPr="000038A7" w:rsidRDefault="00D853AB" w:rsidP="00331F85">
            <w:pPr>
              <w:rPr>
                <w:sz w:val="20"/>
                <w:lang w:val="en-GB" w:eastAsia="en-US"/>
              </w:rPr>
            </w:pPr>
          </w:p>
        </w:tc>
        <w:tc>
          <w:tcPr>
            <w:tcW w:w="352" w:type="pct"/>
            <w:tcBorders>
              <w:top w:val="single" w:sz="4" w:space="0" w:color="auto"/>
              <w:left w:val="single" w:sz="6" w:space="0" w:color="auto"/>
              <w:bottom w:val="single" w:sz="6" w:space="0" w:color="auto"/>
              <w:right w:val="single" w:sz="6" w:space="0" w:color="auto"/>
            </w:tcBorders>
            <w:vAlign w:val="center"/>
            <w:hideMark/>
          </w:tcPr>
          <w:p w14:paraId="506A398F" w14:textId="77777777" w:rsidR="00D853AB" w:rsidRPr="000038A7" w:rsidRDefault="00D853AB" w:rsidP="00331F85">
            <w:pPr>
              <w:keepNext/>
              <w:spacing w:before="20" w:after="20"/>
              <w:jc w:val="center"/>
              <w:rPr>
                <w:sz w:val="20"/>
                <w:lang w:val="en-GB"/>
              </w:rPr>
            </w:pPr>
            <w:r w:rsidRPr="000038A7">
              <w:rPr>
                <w:sz w:val="20"/>
                <w:lang w:val="en-GB"/>
              </w:rPr>
              <w:t>100</w:t>
            </w:r>
          </w:p>
        </w:tc>
        <w:tc>
          <w:tcPr>
            <w:tcW w:w="322" w:type="pct"/>
            <w:tcBorders>
              <w:top w:val="single" w:sz="4" w:space="0" w:color="auto"/>
              <w:left w:val="single" w:sz="6" w:space="0" w:color="auto"/>
              <w:bottom w:val="single" w:sz="6" w:space="0" w:color="auto"/>
              <w:right w:val="single" w:sz="6" w:space="0" w:color="auto"/>
            </w:tcBorders>
            <w:vAlign w:val="center"/>
            <w:hideMark/>
          </w:tcPr>
          <w:p w14:paraId="162F087B" w14:textId="77777777" w:rsidR="00D853AB" w:rsidRPr="000038A7" w:rsidRDefault="00D853AB" w:rsidP="00331F85">
            <w:pPr>
              <w:keepNext/>
              <w:spacing w:before="20" w:after="20"/>
              <w:jc w:val="center"/>
              <w:rPr>
                <w:sz w:val="20"/>
                <w:lang w:val="en-GB"/>
              </w:rPr>
            </w:pPr>
            <w:r w:rsidRPr="000038A7">
              <w:rPr>
                <w:sz w:val="20"/>
                <w:lang w:val="en-GB"/>
              </w:rPr>
              <w:t>100</w:t>
            </w:r>
          </w:p>
        </w:tc>
        <w:tc>
          <w:tcPr>
            <w:tcW w:w="353" w:type="pct"/>
            <w:tcBorders>
              <w:top w:val="single" w:sz="4" w:space="0" w:color="auto"/>
              <w:left w:val="single" w:sz="6" w:space="0" w:color="auto"/>
              <w:bottom w:val="single" w:sz="6" w:space="0" w:color="auto"/>
              <w:right w:val="single" w:sz="6" w:space="0" w:color="auto"/>
            </w:tcBorders>
            <w:vAlign w:val="center"/>
            <w:hideMark/>
          </w:tcPr>
          <w:p w14:paraId="25650EE2" w14:textId="77777777" w:rsidR="00D853AB" w:rsidRPr="000038A7" w:rsidRDefault="00D853AB" w:rsidP="00331F85">
            <w:pPr>
              <w:keepNext/>
              <w:spacing w:before="20" w:after="20"/>
              <w:jc w:val="center"/>
              <w:rPr>
                <w:sz w:val="20"/>
                <w:lang w:val="en-GB"/>
              </w:rPr>
            </w:pPr>
            <w:r w:rsidRPr="000038A7">
              <w:rPr>
                <w:sz w:val="20"/>
                <w:lang w:val="en-GB"/>
              </w:rPr>
              <w:t>97.9</w:t>
            </w:r>
          </w:p>
        </w:tc>
        <w:tc>
          <w:tcPr>
            <w:tcW w:w="322" w:type="pct"/>
            <w:tcBorders>
              <w:top w:val="single" w:sz="4" w:space="0" w:color="auto"/>
              <w:left w:val="single" w:sz="6" w:space="0" w:color="auto"/>
              <w:bottom w:val="single" w:sz="6" w:space="0" w:color="auto"/>
              <w:right w:val="single" w:sz="6" w:space="0" w:color="auto"/>
            </w:tcBorders>
            <w:vAlign w:val="center"/>
            <w:hideMark/>
          </w:tcPr>
          <w:p w14:paraId="30F8B06C" w14:textId="77777777" w:rsidR="00D853AB" w:rsidRPr="000038A7" w:rsidRDefault="00D853AB" w:rsidP="00331F85">
            <w:pPr>
              <w:keepNext/>
              <w:spacing w:before="20" w:after="20"/>
              <w:jc w:val="center"/>
              <w:rPr>
                <w:sz w:val="20"/>
                <w:lang w:val="en-GB"/>
              </w:rPr>
            </w:pPr>
            <w:r w:rsidRPr="000038A7">
              <w:rPr>
                <w:sz w:val="20"/>
                <w:lang w:val="en-GB"/>
              </w:rPr>
              <w:t>98.4</w:t>
            </w:r>
          </w:p>
        </w:tc>
        <w:tc>
          <w:tcPr>
            <w:tcW w:w="368" w:type="pct"/>
            <w:tcBorders>
              <w:top w:val="single" w:sz="4" w:space="0" w:color="auto"/>
              <w:left w:val="single" w:sz="6" w:space="0" w:color="auto"/>
              <w:bottom w:val="single" w:sz="6" w:space="0" w:color="auto"/>
              <w:right w:val="single" w:sz="6" w:space="0" w:color="auto"/>
            </w:tcBorders>
            <w:vAlign w:val="center"/>
            <w:hideMark/>
          </w:tcPr>
          <w:p w14:paraId="4F94DB2D" w14:textId="77777777" w:rsidR="00D853AB" w:rsidRPr="000038A7" w:rsidRDefault="00D853AB" w:rsidP="00331F85">
            <w:pPr>
              <w:keepNext/>
              <w:spacing w:before="20" w:after="20"/>
              <w:jc w:val="center"/>
              <w:rPr>
                <w:sz w:val="20"/>
                <w:lang w:val="en-GB"/>
              </w:rPr>
            </w:pPr>
            <w:r w:rsidRPr="000038A7">
              <w:rPr>
                <w:sz w:val="20"/>
                <w:lang w:val="en-GB"/>
              </w:rPr>
              <w:t>100</w:t>
            </w:r>
          </w:p>
        </w:tc>
        <w:tc>
          <w:tcPr>
            <w:tcW w:w="368" w:type="pct"/>
            <w:tcBorders>
              <w:top w:val="single" w:sz="4" w:space="0" w:color="auto"/>
              <w:left w:val="single" w:sz="6" w:space="0" w:color="auto"/>
              <w:bottom w:val="single" w:sz="6" w:space="0" w:color="auto"/>
              <w:right w:val="single" w:sz="6" w:space="0" w:color="auto"/>
            </w:tcBorders>
            <w:vAlign w:val="center"/>
            <w:hideMark/>
          </w:tcPr>
          <w:p w14:paraId="1CA9332D" w14:textId="77777777" w:rsidR="00D853AB" w:rsidRPr="000038A7" w:rsidRDefault="00D853AB" w:rsidP="00331F85">
            <w:pPr>
              <w:keepNext/>
              <w:spacing w:before="20" w:after="20"/>
              <w:jc w:val="center"/>
              <w:rPr>
                <w:sz w:val="20"/>
                <w:lang w:val="en-GB"/>
              </w:rPr>
            </w:pPr>
            <w:r w:rsidRPr="000038A7">
              <w:rPr>
                <w:sz w:val="20"/>
                <w:lang w:val="en-GB"/>
              </w:rPr>
              <w:t>100</w:t>
            </w:r>
          </w:p>
        </w:tc>
        <w:tc>
          <w:tcPr>
            <w:tcW w:w="353" w:type="pct"/>
            <w:tcBorders>
              <w:top w:val="single" w:sz="4" w:space="0" w:color="auto"/>
              <w:left w:val="single" w:sz="6" w:space="0" w:color="auto"/>
              <w:bottom w:val="single" w:sz="6" w:space="0" w:color="auto"/>
              <w:right w:val="single" w:sz="6" w:space="0" w:color="auto"/>
            </w:tcBorders>
            <w:vAlign w:val="center"/>
            <w:hideMark/>
          </w:tcPr>
          <w:p w14:paraId="221D196B" w14:textId="77777777" w:rsidR="00D853AB" w:rsidRPr="000038A7" w:rsidRDefault="00D853AB" w:rsidP="00331F85">
            <w:pPr>
              <w:keepNext/>
              <w:spacing w:before="20" w:after="20"/>
              <w:jc w:val="center"/>
              <w:rPr>
                <w:sz w:val="20"/>
                <w:lang w:val="en-GB"/>
              </w:rPr>
            </w:pPr>
            <w:r w:rsidRPr="000038A7">
              <w:rPr>
                <w:sz w:val="20"/>
                <w:lang w:val="en-GB"/>
              </w:rPr>
              <w:t>NA</w:t>
            </w:r>
          </w:p>
        </w:tc>
        <w:tc>
          <w:tcPr>
            <w:tcW w:w="322" w:type="pct"/>
            <w:gridSpan w:val="2"/>
            <w:tcBorders>
              <w:top w:val="single" w:sz="4" w:space="0" w:color="auto"/>
              <w:left w:val="single" w:sz="6" w:space="0" w:color="auto"/>
              <w:bottom w:val="single" w:sz="6" w:space="0" w:color="auto"/>
              <w:right w:val="single" w:sz="6" w:space="0" w:color="auto"/>
            </w:tcBorders>
            <w:vAlign w:val="center"/>
            <w:hideMark/>
          </w:tcPr>
          <w:p w14:paraId="5164F011" w14:textId="77777777" w:rsidR="00D853AB" w:rsidRPr="000038A7" w:rsidRDefault="00D853AB" w:rsidP="00331F85">
            <w:pPr>
              <w:keepNext/>
              <w:spacing w:before="20" w:after="20"/>
              <w:jc w:val="center"/>
              <w:rPr>
                <w:sz w:val="20"/>
                <w:lang w:val="en-GB"/>
              </w:rPr>
            </w:pPr>
            <w:r w:rsidRPr="000038A7">
              <w:rPr>
                <w:sz w:val="20"/>
                <w:lang w:val="en-GB"/>
              </w:rPr>
              <w:t>100</w:t>
            </w:r>
          </w:p>
        </w:tc>
        <w:tc>
          <w:tcPr>
            <w:tcW w:w="399" w:type="pct"/>
            <w:tcBorders>
              <w:top w:val="single" w:sz="4" w:space="0" w:color="auto"/>
              <w:left w:val="single" w:sz="6" w:space="0" w:color="auto"/>
              <w:bottom w:val="single" w:sz="6" w:space="0" w:color="auto"/>
              <w:right w:val="single" w:sz="6" w:space="0" w:color="auto"/>
            </w:tcBorders>
            <w:vAlign w:val="center"/>
            <w:hideMark/>
          </w:tcPr>
          <w:p w14:paraId="285A9FFB" w14:textId="77777777" w:rsidR="00D853AB" w:rsidRPr="000038A7" w:rsidRDefault="00D853AB" w:rsidP="00331F85">
            <w:pPr>
              <w:keepNext/>
              <w:spacing w:before="20" w:after="20"/>
              <w:jc w:val="center"/>
              <w:rPr>
                <w:sz w:val="20"/>
                <w:lang w:val="en-GB"/>
              </w:rPr>
            </w:pPr>
            <w:r w:rsidRPr="000038A7">
              <w:rPr>
                <w:sz w:val="20"/>
                <w:lang w:val="en-GB"/>
              </w:rPr>
              <w:t>100</w:t>
            </w:r>
          </w:p>
        </w:tc>
        <w:tc>
          <w:tcPr>
            <w:tcW w:w="368" w:type="pct"/>
            <w:tcBorders>
              <w:top w:val="single" w:sz="4" w:space="0" w:color="auto"/>
              <w:left w:val="single" w:sz="6" w:space="0" w:color="auto"/>
              <w:bottom w:val="single" w:sz="6" w:space="0" w:color="auto"/>
              <w:right w:val="single" w:sz="6" w:space="0" w:color="auto"/>
            </w:tcBorders>
            <w:vAlign w:val="center"/>
            <w:hideMark/>
          </w:tcPr>
          <w:p w14:paraId="37B837ED" w14:textId="77777777" w:rsidR="00D853AB" w:rsidRPr="000038A7" w:rsidRDefault="00D853AB" w:rsidP="00331F85">
            <w:pPr>
              <w:keepNext/>
              <w:spacing w:before="20" w:after="20"/>
              <w:jc w:val="center"/>
              <w:rPr>
                <w:sz w:val="20"/>
                <w:lang w:val="en-GB"/>
              </w:rPr>
            </w:pPr>
            <w:r w:rsidRPr="000038A7">
              <w:rPr>
                <w:sz w:val="20"/>
                <w:lang w:val="en-GB"/>
              </w:rPr>
              <w:t>100</w:t>
            </w:r>
          </w:p>
        </w:tc>
        <w:tc>
          <w:tcPr>
            <w:tcW w:w="353" w:type="pct"/>
            <w:tcBorders>
              <w:top w:val="single" w:sz="4" w:space="0" w:color="auto"/>
              <w:left w:val="single" w:sz="6" w:space="0" w:color="auto"/>
              <w:bottom w:val="single" w:sz="6" w:space="0" w:color="auto"/>
              <w:right w:val="single" w:sz="6" w:space="0" w:color="auto"/>
            </w:tcBorders>
            <w:vAlign w:val="center"/>
            <w:hideMark/>
          </w:tcPr>
          <w:p w14:paraId="31464D79" w14:textId="77777777" w:rsidR="00D853AB" w:rsidRPr="000038A7" w:rsidRDefault="00D853AB" w:rsidP="00331F85">
            <w:pPr>
              <w:keepNext/>
              <w:spacing w:before="20" w:after="20"/>
              <w:jc w:val="center"/>
              <w:rPr>
                <w:sz w:val="20"/>
                <w:lang w:val="en-GB"/>
              </w:rPr>
            </w:pPr>
            <w:r w:rsidRPr="000038A7">
              <w:rPr>
                <w:sz w:val="20"/>
                <w:lang w:val="en-GB"/>
              </w:rPr>
              <w:t>NA</w:t>
            </w:r>
          </w:p>
        </w:tc>
      </w:tr>
      <w:tr w:rsidR="00D853AB" w:rsidRPr="000038A7" w14:paraId="0D30CA18" w14:textId="77777777" w:rsidTr="008B6773">
        <w:trPr>
          <w:gridAfter w:val="1"/>
          <w:wAfter w:w="4" w:type="pct"/>
          <w:trHeight w:val="71"/>
          <w:tblHeader/>
          <w:jc w:val="center"/>
        </w:trPr>
        <w:tc>
          <w:tcPr>
            <w:tcW w:w="580" w:type="pct"/>
            <w:tcBorders>
              <w:top w:val="single" w:sz="4" w:space="0" w:color="auto"/>
              <w:left w:val="single" w:sz="6" w:space="0" w:color="auto"/>
              <w:bottom w:val="single" w:sz="4" w:space="0" w:color="auto"/>
              <w:right w:val="single" w:sz="6" w:space="0" w:color="auto"/>
            </w:tcBorders>
            <w:vAlign w:val="center"/>
            <w:hideMark/>
          </w:tcPr>
          <w:p w14:paraId="18B4480B" w14:textId="77777777" w:rsidR="00D853AB" w:rsidRPr="000038A7" w:rsidRDefault="00D853AB" w:rsidP="00331F85">
            <w:pPr>
              <w:keepNext/>
              <w:spacing w:before="20" w:after="20"/>
              <w:ind w:left="264"/>
              <w:rPr>
                <w:b/>
                <w:sz w:val="20"/>
                <w:lang w:val="en-GB"/>
              </w:rPr>
            </w:pPr>
            <w:r w:rsidRPr="000038A7">
              <w:rPr>
                <w:b/>
                <w:sz w:val="20"/>
                <w:lang w:val="en-GB"/>
              </w:rPr>
              <w:t>Type 2</w:t>
            </w:r>
          </w:p>
        </w:tc>
        <w:tc>
          <w:tcPr>
            <w:tcW w:w="534" w:type="pct"/>
            <w:vMerge/>
            <w:tcBorders>
              <w:top w:val="single" w:sz="4" w:space="0" w:color="auto"/>
              <w:left w:val="single" w:sz="6" w:space="0" w:color="auto"/>
              <w:bottom w:val="single" w:sz="6" w:space="0" w:color="auto"/>
              <w:right w:val="single" w:sz="6" w:space="0" w:color="auto"/>
            </w:tcBorders>
            <w:vAlign w:val="center"/>
            <w:hideMark/>
          </w:tcPr>
          <w:p w14:paraId="573C8943" w14:textId="77777777" w:rsidR="00D853AB" w:rsidRPr="000038A7" w:rsidRDefault="00D853AB" w:rsidP="00331F85">
            <w:pPr>
              <w:rPr>
                <w:sz w:val="20"/>
                <w:lang w:val="en-GB" w:eastAsia="en-US"/>
              </w:rPr>
            </w:pPr>
          </w:p>
        </w:tc>
        <w:tc>
          <w:tcPr>
            <w:tcW w:w="352" w:type="pct"/>
            <w:tcBorders>
              <w:top w:val="single" w:sz="4" w:space="0" w:color="auto"/>
              <w:left w:val="single" w:sz="6" w:space="0" w:color="auto"/>
              <w:bottom w:val="single" w:sz="4" w:space="0" w:color="auto"/>
              <w:right w:val="single" w:sz="6" w:space="0" w:color="auto"/>
            </w:tcBorders>
            <w:vAlign w:val="center"/>
            <w:hideMark/>
          </w:tcPr>
          <w:p w14:paraId="486AC32E" w14:textId="77777777" w:rsidR="00D853AB" w:rsidRPr="000038A7" w:rsidRDefault="00D853AB" w:rsidP="00331F85">
            <w:pPr>
              <w:keepNext/>
              <w:spacing w:before="20" w:after="20"/>
              <w:jc w:val="center"/>
              <w:rPr>
                <w:sz w:val="20"/>
                <w:lang w:val="en-GB"/>
              </w:rPr>
            </w:pPr>
            <w:r w:rsidRPr="000038A7">
              <w:rPr>
                <w:sz w:val="20"/>
                <w:lang w:val="en-GB"/>
              </w:rPr>
              <w:t>100</w:t>
            </w:r>
          </w:p>
        </w:tc>
        <w:tc>
          <w:tcPr>
            <w:tcW w:w="322" w:type="pct"/>
            <w:tcBorders>
              <w:top w:val="single" w:sz="4" w:space="0" w:color="auto"/>
              <w:left w:val="single" w:sz="6" w:space="0" w:color="auto"/>
              <w:bottom w:val="single" w:sz="4" w:space="0" w:color="auto"/>
              <w:right w:val="single" w:sz="6" w:space="0" w:color="auto"/>
            </w:tcBorders>
            <w:vAlign w:val="center"/>
            <w:hideMark/>
          </w:tcPr>
          <w:p w14:paraId="42CE8E82" w14:textId="77777777" w:rsidR="00D853AB" w:rsidRPr="000038A7" w:rsidRDefault="00D853AB" w:rsidP="00331F85">
            <w:pPr>
              <w:keepNext/>
              <w:spacing w:before="20" w:after="20"/>
              <w:jc w:val="center"/>
              <w:rPr>
                <w:sz w:val="20"/>
                <w:lang w:val="en-GB"/>
              </w:rPr>
            </w:pPr>
            <w:r w:rsidRPr="000038A7">
              <w:rPr>
                <w:sz w:val="20"/>
                <w:lang w:val="en-GB"/>
              </w:rPr>
              <w:t>100</w:t>
            </w:r>
          </w:p>
        </w:tc>
        <w:tc>
          <w:tcPr>
            <w:tcW w:w="353" w:type="pct"/>
            <w:tcBorders>
              <w:top w:val="single" w:sz="4" w:space="0" w:color="auto"/>
              <w:left w:val="single" w:sz="6" w:space="0" w:color="auto"/>
              <w:bottom w:val="single" w:sz="4" w:space="0" w:color="auto"/>
              <w:right w:val="single" w:sz="6" w:space="0" w:color="auto"/>
            </w:tcBorders>
            <w:vAlign w:val="center"/>
            <w:hideMark/>
          </w:tcPr>
          <w:p w14:paraId="093DE00E" w14:textId="77777777" w:rsidR="00D853AB" w:rsidRPr="000038A7" w:rsidRDefault="00D853AB" w:rsidP="00331F85">
            <w:pPr>
              <w:keepNext/>
              <w:spacing w:before="20" w:after="20"/>
              <w:jc w:val="center"/>
              <w:rPr>
                <w:sz w:val="20"/>
                <w:lang w:val="en-GB"/>
              </w:rPr>
            </w:pPr>
            <w:r w:rsidRPr="000038A7">
              <w:rPr>
                <w:sz w:val="20"/>
                <w:lang w:val="en-GB"/>
              </w:rPr>
              <w:t>100</w:t>
            </w:r>
          </w:p>
        </w:tc>
        <w:tc>
          <w:tcPr>
            <w:tcW w:w="322" w:type="pct"/>
            <w:tcBorders>
              <w:top w:val="single" w:sz="4" w:space="0" w:color="auto"/>
              <w:left w:val="single" w:sz="6" w:space="0" w:color="auto"/>
              <w:bottom w:val="single" w:sz="6" w:space="0" w:color="auto"/>
              <w:right w:val="single" w:sz="6" w:space="0" w:color="auto"/>
            </w:tcBorders>
            <w:vAlign w:val="center"/>
            <w:hideMark/>
          </w:tcPr>
          <w:p w14:paraId="25C92FDC" w14:textId="77777777" w:rsidR="00D853AB" w:rsidRPr="000038A7" w:rsidRDefault="00D853AB" w:rsidP="00331F85">
            <w:pPr>
              <w:keepNext/>
              <w:spacing w:before="20" w:after="20"/>
              <w:jc w:val="center"/>
              <w:rPr>
                <w:sz w:val="20"/>
                <w:lang w:val="en-GB"/>
              </w:rPr>
            </w:pPr>
            <w:r w:rsidRPr="000038A7">
              <w:rPr>
                <w:sz w:val="20"/>
                <w:lang w:val="en-GB"/>
              </w:rPr>
              <w:t>100</w:t>
            </w:r>
          </w:p>
        </w:tc>
        <w:tc>
          <w:tcPr>
            <w:tcW w:w="368" w:type="pct"/>
            <w:tcBorders>
              <w:top w:val="single" w:sz="4" w:space="0" w:color="auto"/>
              <w:left w:val="single" w:sz="6" w:space="0" w:color="auto"/>
              <w:bottom w:val="single" w:sz="6" w:space="0" w:color="auto"/>
              <w:right w:val="single" w:sz="6" w:space="0" w:color="auto"/>
            </w:tcBorders>
            <w:vAlign w:val="center"/>
            <w:hideMark/>
          </w:tcPr>
          <w:p w14:paraId="323DDC4C" w14:textId="77777777" w:rsidR="00D853AB" w:rsidRPr="000038A7" w:rsidRDefault="00D853AB" w:rsidP="00331F85">
            <w:pPr>
              <w:keepNext/>
              <w:spacing w:before="20" w:after="20"/>
              <w:jc w:val="center"/>
              <w:rPr>
                <w:sz w:val="20"/>
                <w:lang w:val="en-GB"/>
              </w:rPr>
            </w:pPr>
            <w:r w:rsidRPr="000038A7">
              <w:rPr>
                <w:sz w:val="20"/>
                <w:lang w:val="en-GB"/>
              </w:rPr>
              <w:t>100</w:t>
            </w:r>
          </w:p>
        </w:tc>
        <w:tc>
          <w:tcPr>
            <w:tcW w:w="368" w:type="pct"/>
            <w:tcBorders>
              <w:top w:val="single" w:sz="4" w:space="0" w:color="auto"/>
              <w:left w:val="single" w:sz="6" w:space="0" w:color="auto"/>
              <w:bottom w:val="single" w:sz="6" w:space="0" w:color="auto"/>
              <w:right w:val="single" w:sz="6" w:space="0" w:color="auto"/>
            </w:tcBorders>
            <w:vAlign w:val="center"/>
            <w:hideMark/>
          </w:tcPr>
          <w:p w14:paraId="0A390D21" w14:textId="77777777" w:rsidR="00D853AB" w:rsidRPr="000038A7" w:rsidRDefault="00D853AB" w:rsidP="00331F85">
            <w:pPr>
              <w:keepNext/>
              <w:spacing w:before="20" w:after="20"/>
              <w:jc w:val="center"/>
              <w:rPr>
                <w:sz w:val="20"/>
                <w:lang w:val="en-GB"/>
              </w:rPr>
            </w:pPr>
            <w:r w:rsidRPr="000038A7">
              <w:rPr>
                <w:sz w:val="20"/>
                <w:lang w:val="en-GB"/>
              </w:rPr>
              <w:t>100</w:t>
            </w:r>
          </w:p>
        </w:tc>
        <w:tc>
          <w:tcPr>
            <w:tcW w:w="353" w:type="pct"/>
            <w:tcBorders>
              <w:top w:val="single" w:sz="4" w:space="0" w:color="auto"/>
              <w:left w:val="single" w:sz="6" w:space="0" w:color="auto"/>
              <w:bottom w:val="single" w:sz="6" w:space="0" w:color="auto"/>
              <w:right w:val="single" w:sz="6" w:space="0" w:color="auto"/>
            </w:tcBorders>
            <w:vAlign w:val="center"/>
            <w:hideMark/>
          </w:tcPr>
          <w:p w14:paraId="49B96356" w14:textId="77777777" w:rsidR="00D853AB" w:rsidRPr="000038A7" w:rsidRDefault="00D853AB" w:rsidP="00331F85">
            <w:pPr>
              <w:keepNext/>
              <w:spacing w:before="20" w:after="20"/>
              <w:jc w:val="center"/>
              <w:rPr>
                <w:sz w:val="20"/>
                <w:lang w:val="en-GB"/>
              </w:rPr>
            </w:pPr>
            <w:r w:rsidRPr="000038A7">
              <w:rPr>
                <w:sz w:val="20"/>
                <w:lang w:val="en-GB"/>
              </w:rPr>
              <w:t>NA</w:t>
            </w:r>
          </w:p>
        </w:tc>
        <w:tc>
          <w:tcPr>
            <w:tcW w:w="322" w:type="pct"/>
            <w:gridSpan w:val="2"/>
            <w:tcBorders>
              <w:top w:val="single" w:sz="4" w:space="0" w:color="auto"/>
              <w:left w:val="single" w:sz="6" w:space="0" w:color="auto"/>
              <w:bottom w:val="single" w:sz="6" w:space="0" w:color="auto"/>
              <w:right w:val="single" w:sz="6" w:space="0" w:color="auto"/>
            </w:tcBorders>
            <w:vAlign w:val="center"/>
            <w:hideMark/>
          </w:tcPr>
          <w:p w14:paraId="6824A47E" w14:textId="77777777" w:rsidR="00D853AB" w:rsidRPr="000038A7" w:rsidRDefault="00D853AB" w:rsidP="00331F85">
            <w:pPr>
              <w:keepNext/>
              <w:spacing w:before="20" w:after="20"/>
              <w:jc w:val="center"/>
              <w:rPr>
                <w:sz w:val="20"/>
                <w:lang w:val="en-GB"/>
              </w:rPr>
            </w:pPr>
            <w:r w:rsidRPr="000038A7">
              <w:rPr>
                <w:sz w:val="20"/>
                <w:lang w:val="en-GB"/>
              </w:rPr>
              <w:t>100</w:t>
            </w:r>
          </w:p>
        </w:tc>
        <w:tc>
          <w:tcPr>
            <w:tcW w:w="399" w:type="pct"/>
            <w:tcBorders>
              <w:top w:val="single" w:sz="4" w:space="0" w:color="auto"/>
              <w:left w:val="single" w:sz="6" w:space="0" w:color="auto"/>
              <w:bottom w:val="single" w:sz="6" w:space="0" w:color="auto"/>
              <w:right w:val="single" w:sz="6" w:space="0" w:color="auto"/>
            </w:tcBorders>
            <w:vAlign w:val="center"/>
            <w:hideMark/>
          </w:tcPr>
          <w:p w14:paraId="60C77633" w14:textId="77777777" w:rsidR="00D853AB" w:rsidRPr="000038A7" w:rsidRDefault="00D853AB" w:rsidP="00331F85">
            <w:pPr>
              <w:keepNext/>
              <w:spacing w:before="20" w:after="20"/>
              <w:jc w:val="center"/>
              <w:rPr>
                <w:sz w:val="20"/>
                <w:lang w:val="en-GB"/>
              </w:rPr>
            </w:pPr>
            <w:r w:rsidRPr="000038A7">
              <w:rPr>
                <w:sz w:val="20"/>
                <w:lang w:val="en-GB"/>
              </w:rPr>
              <w:t>100</w:t>
            </w:r>
          </w:p>
        </w:tc>
        <w:tc>
          <w:tcPr>
            <w:tcW w:w="368" w:type="pct"/>
            <w:tcBorders>
              <w:top w:val="single" w:sz="4" w:space="0" w:color="auto"/>
              <w:left w:val="single" w:sz="6" w:space="0" w:color="auto"/>
              <w:bottom w:val="single" w:sz="6" w:space="0" w:color="auto"/>
              <w:right w:val="single" w:sz="6" w:space="0" w:color="auto"/>
            </w:tcBorders>
            <w:vAlign w:val="center"/>
            <w:hideMark/>
          </w:tcPr>
          <w:p w14:paraId="5F0E691A" w14:textId="77777777" w:rsidR="00D853AB" w:rsidRPr="000038A7" w:rsidRDefault="00D853AB" w:rsidP="00331F85">
            <w:pPr>
              <w:keepNext/>
              <w:spacing w:before="20" w:after="20"/>
              <w:jc w:val="center"/>
              <w:rPr>
                <w:sz w:val="20"/>
                <w:lang w:val="en-GB"/>
              </w:rPr>
            </w:pPr>
            <w:r w:rsidRPr="000038A7">
              <w:rPr>
                <w:sz w:val="20"/>
                <w:lang w:val="en-GB"/>
              </w:rPr>
              <w:t>100</w:t>
            </w:r>
          </w:p>
        </w:tc>
        <w:tc>
          <w:tcPr>
            <w:tcW w:w="353" w:type="pct"/>
            <w:tcBorders>
              <w:top w:val="single" w:sz="4" w:space="0" w:color="auto"/>
              <w:left w:val="single" w:sz="6" w:space="0" w:color="auto"/>
              <w:bottom w:val="single" w:sz="6" w:space="0" w:color="auto"/>
              <w:right w:val="single" w:sz="6" w:space="0" w:color="auto"/>
            </w:tcBorders>
            <w:vAlign w:val="center"/>
            <w:hideMark/>
          </w:tcPr>
          <w:p w14:paraId="46E2FDD6" w14:textId="77777777" w:rsidR="00D853AB" w:rsidRPr="000038A7" w:rsidRDefault="00D853AB" w:rsidP="00331F85">
            <w:pPr>
              <w:keepNext/>
              <w:spacing w:before="20" w:after="20"/>
              <w:jc w:val="center"/>
              <w:rPr>
                <w:sz w:val="20"/>
                <w:lang w:val="en-GB"/>
              </w:rPr>
            </w:pPr>
            <w:r w:rsidRPr="000038A7">
              <w:rPr>
                <w:sz w:val="20"/>
                <w:lang w:val="en-GB"/>
              </w:rPr>
              <w:t>NA</w:t>
            </w:r>
          </w:p>
        </w:tc>
      </w:tr>
      <w:tr w:rsidR="00D853AB" w:rsidRPr="000038A7" w14:paraId="56AAE80F" w14:textId="77777777" w:rsidTr="008B6773">
        <w:trPr>
          <w:gridAfter w:val="1"/>
          <w:wAfter w:w="4" w:type="pct"/>
          <w:trHeight w:val="71"/>
          <w:tblHeader/>
          <w:jc w:val="center"/>
        </w:trPr>
        <w:tc>
          <w:tcPr>
            <w:tcW w:w="580" w:type="pct"/>
            <w:tcBorders>
              <w:top w:val="single" w:sz="4" w:space="0" w:color="auto"/>
              <w:left w:val="single" w:sz="6" w:space="0" w:color="auto"/>
              <w:bottom w:val="single" w:sz="6" w:space="0" w:color="auto"/>
              <w:right w:val="single" w:sz="6" w:space="0" w:color="auto"/>
            </w:tcBorders>
            <w:vAlign w:val="center"/>
            <w:hideMark/>
          </w:tcPr>
          <w:p w14:paraId="23C5BBE9" w14:textId="77777777" w:rsidR="00D853AB" w:rsidRPr="000038A7" w:rsidRDefault="00D853AB" w:rsidP="00331F85">
            <w:pPr>
              <w:keepNext/>
              <w:spacing w:before="20" w:after="20"/>
              <w:ind w:left="264"/>
              <w:rPr>
                <w:b/>
                <w:sz w:val="20"/>
                <w:lang w:val="en-GB"/>
              </w:rPr>
            </w:pPr>
            <w:r w:rsidRPr="000038A7">
              <w:rPr>
                <w:b/>
                <w:sz w:val="20"/>
                <w:lang w:val="en-GB"/>
              </w:rPr>
              <w:t>Type 3</w:t>
            </w:r>
          </w:p>
        </w:tc>
        <w:tc>
          <w:tcPr>
            <w:tcW w:w="534" w:type="pct"/>
            <w:vMerge/>
            <w:tcBorders>
              <w:top w:val="single" w:sz="4" w:space="0" w:color="auto"/>
              <w:left w:val="single" w:sz="6" w:space="0" w:color="auto"/>
              <w:bottom w:val="single" w:sz="6" w:space="0" w:color="auto"/>
              <w:right w:val="single" w:sz="6" w:space="0" w:color="auto"/>
            </w:tcBorders>
            <w:vAlign w:val="center"/>
            <w:hideMark/>
          </w:tcPr>
          <w:p w14:paraId="73C68E2B" w14:textId="77777777" w:rsidR="00D853AB" w:rsidRPr="000038A7" w:rsidRDefault="00D853AB" w:rsidP="00331F85">
            <w:pPr>
              <w:rPr>
                <w:sz w:val="20"/>
                <w:lang w:val="en-GB" w:eastAsia="en-US"/>
              </w:rPr>
            </w:pPr>
          </w:p>
        </w:tc>
        <w:tc>
          <w:tcPr>
            <w:tcW w:w="352" w:type="pct"/>
            <w:tcBorders>
              <w:top w:val="single" w:sz="4" w:space="0" w:color="auto"/>
              <w:left w:val="single" w:sz="6" w:space="0" w:color="auto"/>
              <w:bottom w:val="single" w:sz="6" w:space="0" w:color="auto"/>
              <w:right w:val="single" w:sz="6" w:space="0" w:color="auto"/>
            </w:tcBorders>
            <w:vAlign w:val="center"/>
            <w:hideMark/>
          </w:tcPr>
          <w:p w14:paraId="2348EE20" w14:textId="77777777" w:rsidR="00D853AB" w:rsidRPr="000038A7" w:rsidRDefault="00D853AB" w:rsidP="00331F85">
            <w:pPr>
              <w:keepNext/>
              <w:spacing w:before="20" w:after="20"/>
              <w:jc w:val="center"/>
              <w:rPr>
                <w:sz w:val="20"/>
                <w:lang w:val="en-GB"/>
              </w:rPr>
            </w:pPr>
            <w:r w:rsidRPr="000038A7">
              <w:rPr>
                <w:sz w:val="20"/>
                <w:lang w:val="en-GB"/>
              </w:rPr>
              <w:t>100</w:t>
            </w:r>
          </w:p>
        </w:tc>
        <w:tc>
          <w:tcPr>
            <w:tcW w:w="322" w:type="pct"/>
            <w:tcBorders>
              <w:top w:val="single" w:sz="4" w:space="0" w:color="auto"/>
              <w:left w:val="single" w:sz="6" w:space="0" w:color="auto"/>
              <w:bottom w:val="single" w:sz="6" w:space="0" w:color="auto"/>
              <w:right w:val="single" w:sz="6" w:space="0" w:color="auto"/>
            </w:tcBorders>
            <w:vAlign w:val="center"/>
            <w:hideMark/>
          </w:tcPr>
          <w:p w14:paraId="3FE407AF" w14:textId="77777777" w:rsidR="00D853AB" w:rsidRPr="000038A7" w:rsidRDefault="00D853AB" w:rsidP="00331F85">
            <w:pPr>
              <w:keepNext/>
              <w:spacing w:before="20" w:after="20"/>
              <w:jc w:val="center"/>
              <w:rPr>
                <w:sz w:val="20"/>
                <w:lang w:val="en-GB"/>
              </w:rPr>
            </w:pPr>
            <w:r w:rsidRPr="000038A7">
              <w:rPr>
                <w:sz w:val="20"/>
                <w:lang w:val="en-GB"/>
              </w:rPr>
              <w:t>97.2</w:t>
            </w:r>
          </w:p>
        </w:tc>
        <w:tc>
          <w:tcPr>
            <w:tcW w:w="353" w:type="pct"/>
            <w:tcBorders>
              <w:top w:val="single" w:sz="4" w:space="0" w:color="auto"/>
              <w:left w:val="single" w:sz="6" w:space="0" w:color="auto"/>
              <w:bottom w:val="single" w:sz="6" w:space="0" w:color="auto"/>
              <w:right w:val="single" w:sz="6" w:space="0" w:color="auto"/>
            </w:tcBorders>
            <w:vAlign w:val="center"/>
            <w:hideMark/>
          </w:tcPr>
          <w:p w14:paraId="2A07980C" w14:textId="77777777" w:rsidR="00D853AB" w:rsidRPr="000038A7" w:rsidRDefault="00D853AB" w:rsidP="00331F85">
            <w:pPr>
              <w:keepNext/>
              <w:spacing w:before="20" w:after="20"/>
              <w:jc w:val="center"/>
              <w:rPr>
                <w:sz w:val="20"/>
                <w:lang w:val="en-GB"/>
              </w:rPr>
            </w:pPr>
            <w:r w:rsidRPr="000038A7">
              <w:rPr>
                <w:sz w:val="20"/>
                <w:lang w:val="en-GB"/>
              </w:rPr>
              <w:t>95.7</w:t>
            </w:r>
          </w:p>
        </w:tc>
        <w:tc>
          <w:tcPr>
            <w:tcW w:w="322" w:type="pct"/>
            <w:tcBorders>
              <w:top w:val="single" w:sz="4" w:space="0" w:color="auto"/>
              <w:left w:val="single" w:sz="6" w:space="0" w:color="auto"/>
              <w:bottom w:val="single" w:sz="6" w:space="0" w:color="auto"/>
              <w:right w:val="single" w:sz="6" w:space="0" w:color="auto"/>
            </w:tcBorders>
            <w:vAlign w:val="center"/>
            <w:hideMark/>
          </w:tcPr>
          <w:p w14:paraId="0060C52D" w14:textId="77777777" w:rsidR="00D853AB" w:rsidRPr="000038A7" w:rsidRDefault="00D853AB" w:rsidP="00331F85">
            <w:pPr>
              <w:keepNext/>
              <w:spacing w:before="20" w:after="20"/>
              <w:jc w:val="center"/>
              <w:rPr>
                <w:sz w:val="20"/>
                <w:lang w:val="en-GB"/>
              </w:rPr>
            </w:pPr>
            <w:r w:rsidRPr="000038A7">
              <w:rPr>
                <w:sz w:val="20"/>
                <w:lang w:val="en-GB"/>
              </w:rPr>
              <w:t>98.4</w:t>
            </w:r>
          </w:p>
        </w:tc>
        <w:tc>
          <w:tcPr>
            <w:tcW w:w="368" w:type="pct"/>
            <w:tcBorders>
              <w:top w:val="single" w:sz="4" w:space="0" w:color="auto"/>
              <w:left w:val="single" w:sz="6" w:space="0" w:color="auto"/>
              <w:bottom w:val="single" w:sz="6" w:space="0" w:color="auto"/>
              <w:right w:val="single" w:sz="6" w:space="0" w:color="auto"/>
            </w:tcBorders>
            <w:vAlign w:val="center"/>
            <w:hideMark/>
          </w:tcPr>
          <w:p w14:paraId="1B790766" w14:textId="77777777" w:rsidR="00D853AB" w:rsidRPr="000038A7" w:rsidRDefault="00D853AB" w:rsidP="00331F85">
            <w:pPr>
              <w:keepNext/>
              <w:spacing w:before="20" w:after="20"/>
              <w:jc w:val="center"/>
              <w:rPr>
                <w:sz w:val="20"/>
                <w:lang w:val="en-GB"/>
              </w:rPr>
            </w:pPr>
            <w:r w:rsidRPr="000038A7">
              <w:rPr>
                <w:sz w:val="20"/>
                <w:lang w:val="en-GB"/>
              </w:rPr>
              <w:t>100</w:t>
            </w:r>
          </w:p>
        </w:tc>
        <w:tc>
          <w:tcPr>
            <w:tcW w:w="368" w:type="pct"/>
            <w:tcBorders>
              <w:top w:val="single" w:sz="4" w:space="0" w:color="auto"/>
              <w:left w:val="single" w:sz="6" w:space="0" w:color="auto"/>
              <w:bottom w:val="single" w:sz="6" w:space="0" w:color="auto"/>
              <w:right w:val="single" w:sz="6" w:space="0" w:color="auto"/>
            </w:tcBorders>
            <w:vAlign w:val="center"/>
            <w:hideMark/>
          </w:tcPr>
          <w:p w14:paraId="0D1D8271" w14:textId="77777777" w:rsidR="00D853AB" w:rsidRPr="000038A7" w:rsidRDefault="00D853AB" w:rsidP="00331F85">
            <w:pPr>
              <w:keepNext/>
              <w:spacing w:before="20" w:after="20"/>
              <w:jc w:val="center"/>
              <w:rPr>
                <w:sz w:val="20"/>
                <w:lang w:val="en-GB"/>
              </w:rPr>
            </w:pPr>
            <w:r w:rsidRPr="000038A7">
              <w:rPr>
                <w:sz w:val="20"/>
                <w:lang w:val="en-GB"/>
              </w:rPr>
              <w:t>98.2</w:t>
            </w:r>
          </w:p>
        </w:tc>
        <w:tc>
          <w:tcPr>
            <w:tcW w:w="353" w:type="pct"/>
            <w:tcBorders>
              <w:top w:val="single" w:sz="4" w:space="0" w:color="auto"/>
              <w:left w:val="single" w:sz="6" w:space="0" w:color="auto"/>
              <w:bottom w:val="single" w:sz="6" w:space="0" w:color="auto"/>
              <w:right w:val="single" w:sz="6" w:space="0" w:color="auto"/>
            </w:tcBorders>
            <w:vAlign w:val="center"/>
            <w:hideMark/>
          </w:tcPr>
          <w:p w14:paraId="4021D542" w14:textId="77777777" w:rsidR="00D853AB" w:rsidRPr="000038A7" w:rsidRDefault="00D853AB" w:rsidP="00331F85">
            <w:pPr>
              <w:keepNext/>
              <w:spacing w:before="20" w:after="20"/>
              <w:jc w:val="center"/>
              <w:rPr>
                <w:sz w:val="20"/>
                <w:lang w:val="en-GB"/>
              </w:rPr>
            </w:pPr>
            <w:r w:rsidRPr="000038A7">
              <w:rPr>
                <w:sz w:val="20"/>
                <w:lang w:val="en-GB"/>
              </w:rPr>
              <w:t>NA</w:t>
            </w:r>
          </w:p>
        </w:tc>
        <w:tc>
          <w:tcPr>
            <w:tcW w:w="322" w:type="pct"/>
            <w:gridSpan w:val="2"/>
            <w:tcBorders>
              <w:top w:val="single" w:sz="4" w:space="0" w:color="auto"/>
              <w:left w:val="single" w:sz="6" w:space="0" w:color="auto"/>
              <w:bottom w:val="single" w:sz="6" w:space="0" w:color="auto"/>
              <w:right w:val="single" w:sz="6" w:space="0" w:color="auto"/>
            </w:tcBorders>
            <w:vAlign w:val="center"/>
            <w:hideMark/>
          </w:tcPr>
          <w:p w14:paraId="6CFF2542" w14:textId="77777777" w:rsidR="00D853AB" w:rsidRPr="000038A7" w:rsidRDefault="00D853AB" w:rsidP="00331F85">
            <w:pPr>
              <w:keepNext/>
              <w:spacing w:before="20" w:after="20"/>
              <w:jc w:val="center"/>
              <w:rPr>
                <w:sz w:val="20"/>
                <w:lang w:val="en-GB"/>
              </w:rPr>
            </w:pPr>
            <w:r w:rsidRPr="000038A7">
              <w:rPr>
                <w:sz w:val="20"/>
                <w:lang w:val="en-GB"/>
              </w:rPr>
              <w:t>100</w:t>
            </w:r>
          </w:p>
        </w:tc>
        <w:tc>
          <w:tcPr>
            <w:tcW w:w="399" w:type="pct"/>
            <w:tcBorders>
              <w:top w:val="single" w:sz="4" w:space="0" w:color="auto"/>
              <w:left w:val="single" w:sz="6" w:space="0" w:color="auto"/>
              <w:bottom w:val="single" w:sz="6" w:space="0" w:color="auto"/>
              <w:right w:val="single" w:sz="6" w:space="0" w:color="auto"/>
            </w:tcBorders>
            <w:vAlign w:val="center"/>
            <w:hideMark/>
          </w:tcPr>
          <w:p w14:paraId="13453E7B" w14:textId="77777777" w:rsidR="00D853AB" w:rsidRPr="000038A7" w:rsidRDefault="00D853AB" w:rsidP="00331F85">
            <w:pPr>
              <w:keepNext/>
              <w:spacing w:before="20" w:after="20"/>
              <w:jc w:val="center"/>
              <w:rPr>
                <w:sz w:val="20"/>
                <w:lang w:val="en-GB"/>
              </w:rPr>
            </w:pPr>
            <w:r w:rsidRPr="000038A7">
              <w:rPr>
                <w:sz w:val="20"/>
                <w:lang w:val="en-GB"/>
              </w:rPr>
              <w:t>100</w:t>
            </w:r>
          </w:p>
        </w:tc>
        <w:tc>
          <w:tcPr>
            <w:tcW w:w="368" w:type="pct"/>
            <w:tcBorders>
              <w:top w:val="single" w:sz="4" w:space="0" w:color="auto"/>
              <w:left w:val="single" w:sz="6" w:space="0" w:color="auto"/>
              <w:bottom w:val="single" w:sz="6" w:space="0" w:color="auto"/>
              <w:right w:val="single" w:sz="6" w:space="0" w:color="auto"/>
            </w:tcBorders>
            <w:vAlign w:val="center"/>
            <w:hideMark/>
          </w:tcPr>
          <w:p w14:paraId="627A9E91" w14:textId="77777777" w:rsidR="00D853AB" w:rsidRPr="000038A7" w:rsidRDefault="00D853AB" w:rsidP="00331F85">
            <w:pPr>
              <w:keepNext/>
              <w:spacing w:before="20" w:after="20"/>
              <w:jc w:val="center"/>
              <w:rPr>
                <w:sz w:val="20"/>
                <w:lang w:val="en-GB"/>
              </w:rPr>
            </w:pPr>
            <w:r w:rsidRPr="000038A7">
              <w:rPr>
                <w:sz w:val="20"/>
                <w:lang w:val="en-GB"/>
              </w:rPr>
              <w:t>100</w:t>
            </w:r>
          </w:p>
        </w:tc>
        <w:tc>
          <w:tcPr>
            <w:tcW w:w="353" w:type="pct"/>
            <w:tcBorders>
              <w:top w:val="single" w:sz="4" w:space="0" w:color="auto"/>
              <w:left w:val="single" w:sz="6" w:space="0" w:color="auto"/>
              <w:bottom w:val="single" w:sz="6" w:space="0" w:color="auto"/>
              <w:right w:val="single" w:sz="6" w:space="0" w:color="auto"/>
            </w:tcBorders>
            <w:vAlign w:val="center"/>
            <w:hideMark/>
          </w:tcPr>
          <w:p w14:paraId="15220F1F" w14:textId="77777777" w:rsidR="00D853AB" w:rsidRPr="000038A7" w:rsidRDefault="00D853AB" w:rsidP="00331F85">
            <w:pPr>
              <w:keepNext/>
              <w:spacing w:before="20" w:after="20"/>
              <w:jc w:val="center"/>
              <w:rPr>
                <w:sz w:val="20"/>
                <w:lang w:val="en-GB"/>
              </w:rPr>
            </w:pPr>
            <w:r w:rsidRPr="000038A7">
              <w:rPr>
                <w:sz w:val="20"/>
                <w:lang w:val="en-GB"/>
              </w:rPr>
              <w:t>NA</w:t>
            </w:r>
          </w:p>
        </w:tc>
      </w:tr>
    </w:tbl>
    <w:p w14:paraId="75957272" w14:textId="77777777" w:rsidR="00D853AB" w:rsidRPr="000038A7" w:rsidRDefault="00D853AB" w:rsidP="00331F85">
      <w:pPr>
        <w:rPr>
          <w:sz w:val="20"/>
          <w:lang w:val="en-GB" w:eastAsia="en-US"/>
        </w:rPr>
      </w:pPr>
      <w:r w:rsidRPr="000038A7">
        <w:rPr>
          <w:sz w:val="20"/>
          <w:lang w:val="en-GB"/>
        </w:rPr>
        <w:t xml:space="preserve">ELISA: Enzyme Linked Immunoassay; EU: ELISA units; IPV: inactivated polio vaccine; ITT: intention to treat; IU: international units; N: number of participants with available data; NA: not analysed; SN: </w:t>
      </w:r>
      <w:proofErr w:type="spellStart"/>
      <w:r w:rsidRPr="000038A7">
        <w:rPr>
          <w:sz w:val="20"/>
          <w:lang w:val="en-GB"/>
        </w:rPr>
        <w:t>seroneutralisation</w:t>
      </w:r>
      <w:proofErr w:type="spellEnd"/>
      <w:r w:rsidRPr="000038A7">
        <w:rPr>
          <w:sz w:val="20"/>
          <w:lang w:val="en-GB"/>
        </w:rPr>
        <w:t>.</w:t>
      </w:r>
    </w:p>
    <w:p w14:paraId="015467F1" w14:textId="2BD45686" w:rsidR="00D853AB" w:rsidRPr="000038A7" w:rsidRDefault="00D853AB" w:rsidP="00331F85">
      <w:pPr>
        <w:ind w:left="284" w:hanging="284"/>
        <w:rPr>
          <w:sz w:val="20"/>
          <w:lang w:val="en-GB"/>
        </w:rPr>
      </w:pPr>
      <w:r w:rsidRPr="000038A7">
        <w:rPr>
          <w:sz w:val="20"/>
          <w:vertAlign w:val="superscript"/>
          <w:lang w:val="en-GB"/>
        </w:rPr>
        <w:t xml:space="preserve">1 </w:t>
      </w:r>
      <w:r w:rsidR="005420A5" w:rsidRPr="000038A7">
        <w:rPr>
          <w:sz w:val="20"/>
          <w:vertAlign w:val="superscript"/>
          <w:lang w:val="en-GB"/>
        </w:rPr>
        <w:tab/>
      </w:r>
      <w:r w:rsidRPr="000038A7">
        <w:rPr>
          <w:sz w:val="20"/>
          <w:lang w:val="en-GB"/>
        </w:rPr>
        <w:t>ITT population: Study U01-Td5I-303-LT: Eligible participants for whom immunogenicity data were available for at least one antibody at the specified time point and at year 5. Study TD9707-LT: Eligible participants for whom immunogenicity data were available for at least one antibody at the specified time point.</w:t>
      </w:r>
    </w:p>
    <w:p w14:paraId="1E244B04" w14:textId="0C080C3A" w:rsidR="00D853AB" w:rsidRPr="000038A7" w:rsidRDefault="00D853AB" w:rsidP="00331F85">
      <w:pPr>
        <w:ind w:left="284" w:hanging="284"/>
        <w:rPr>
          <w:sz w:val="20"/>
          <w:lang w:val="en-GB"/>
        </w:rPr>
      </w:pPr>
      <w:r w:rsidRPr="000038A7">
        <w:rPr>
          <w:sz w:val="20"/>
          <w:vertAlign w:val="superscript"/>
          <w:lang w:val="en-GB"/>
        </w:rPr>
        <w:t xml:space="preserve">2 </w:t>
      </w:r>
      <w:r w:rsidR="005420A5" w:rsidRPr="000038A7">
        <w:rPr>
          <w:sz w:val="20"/>
          <w:vertAlign w:val="superscript"/>
          <w:lang w:val="en-GB"/>
        </w:rPr>
        <w:tab/>
      </w:r>
      <w:r w:rsidRPr="000038A7">
        <w:rPr>
          <w:sz w:val="20"/>
          <w:lang w:val="en-GB"/>
        </w:rPr>
        <w:t xml:space="preserve">Study U01-Td5I-303-LT conducted in UK with children 3.5-5 years of age; Study TD9707-LT conducted in Canada with adolescents 11-17 years of age and adults 18-64 years of age. </w:t>
      </w:r>
    </w:p>
    <w:p w14:paraId="715E9059" w14:textId="2BC9D3BB" w:rsidR="00D853AB" w:rsidRPr="000038A7" w:rsidRDefault="00D853AB" w:rsidP="00331F85">
      <w:pPr>
        <w:ind w:left="284" w:hanging="284"/>
        <w:rPr>
          <w:sz w:val="20"/>
          <w:lang w:val="en-GB"/>
        </w:rPr>
      </w:pPr>
      <w:r w:rsidRPr="000038A7">
        <w:rPr>
          <w:iCs/>
          <w:sz w:val="20"/>
          <w:vertAlign w:val="superscript"/>
          <w:lang w:val="en-GB"/>
        </w:rPr>
        <w:t xml:space="preserve">3 </w:t>
      </w:r>
      <w:r w:rsidR="005420A5" w:rsidRPr="000038A7">
        <w:rPr>
          <w:iCs/>
          <w:sz w:val="20"/>
          <w:vertAlign w:val="superscript"/>
          <w:lang w:val="en-GB"/>
        </w:rPr>
        <w:tab/>
      </w:r>
      <w:r w:rsidRPr="000038A7">
        <w:rPr>
          <w:sz w:val="20"/>
          <w:lang w:val="en-GB"/>
        </w:rPr>
        <w:t>For U01-Td5I-303-LT: percentage of participants with antibodies ≥ 5 EU/mL for PT, ≥ 3 for FHA and ≥ 4 for PRN and for FIM for the 1-year follow-up; ≥ 4 EU/mL for PT, FIM and PRN, and ≥ 3 EU/mL for FHA for the 3-year and 5-year follow-up.</w:t>
      </w:r>
    </w:p>
    <w:p w14:paraId="1EE4C48E" w14:textId="73055345" w:rsidR="0031530D" w:rsidRPr="00273F2B" w:rsidRDefault="00D853AB" w:rsidP="00273F2B">
      <w:pPr>
        <w:ind w:left="284" w:hanging="284"/>
        <w:rPr>
          <w:sz w:val="20"/>
          <w:lang w:val="en-GB"/>
        </w:rPr>
      </w:pPr>
      <w:r w:rsidRPr="000038A7">
        <w:rPr>
          <w:sz w:val="20"/>
          <w:vertAlign w:val="superscript"/>
          <w:lang w:val="en-GB"/>
        </w:rPr>
        <w:t xml:space="preserve">4 </w:t>
      </w:r>
      <w:r w:rsidR="005420A5" w:rsidRPr="000038A7">
        <w:rPr>
          <w:sz w:val="20"/>
          <w:vertAlign w:val="superscript"/>
          <w:lang w:val="en-GB"/>
        </w:rPr>
        <w:tab/>
      </w:r>
      <w:r w:rsidRPr="000038A7">
        <w:rPr>
          <w:sz w:val="20"/>
          <w:lang w:val="en-GB"/>
        </w:rPr>
        <w:t xml:space="preserve">For TD9707-LT: percentage of participants with antibodies ≥ </w:t>
      </w:r>
      <w:r w:rsidRPr="000038A7">
        <w:rPr>
          <w:rFonts w:eastAsia="Calibri"/>
          <w:sz w:val="20"/>
          <w:lang w:val="en-GB"/>
        </w:rPr>
        <w:t xml:space="preserve">5 EU/mL for PT, </w:t>
      </w:r>
      <w:r w:rsidRPr="000038A7">
        <w:rPr>
          <w:sz w:val="20"/>
          <w:lang w:val="en-GB"/>
        </w:rPr>
        <w:t xml:space="preserve">≥ </w:t>
      </w:r>
      <w:r w:rsidRPr="000038A7">
        <w:rPr>
          <w:rFonts w:eastAsia="Calibri"/>
          <w:sz w:val="20"/>
          <w:lang w:val="en-GB"/>
        </w:rPr>
        <w:t xml:space="preserve">3 EU/mL for FHA and PRN, and </w:t>
      </w:r>
      <w:r w:rsidRPr="000038A7">
        <w:rPr>
          <w:sz w:val="20"/>
          <w:lang w:val="en-GB"/>
        </w:rPr>
        <w:t xml:space="preserve">≥ </w:t>
      </w:r>
      <w:r w:rsidRPr="000038A7">
        <w:rPr>
          <w:rFonts w:eastAsia="Calibri"/>
          <w:sz w:val="20"/>
          <w:lang w:val="en-GB"/>
        </w:rPr>
        <w:t xml:space="preserve">17 EU/mL for FIM for all time points except 10 years; </w:t>
      </w:r>
      <w:r w:rsidRPr="000038A7">
        <w:rPr>
          <w:sz w:val="20"/>
          <w:lang w:val="en-GB"/>
        </w:rPr>
        <w:t xml:space="preserve">≥ </w:t>
      </w:r>
      <w:r w:rsidRPr="000038A7">
        <w:rPr>
          <w:rFonts w:eastAsia="Calibri"/>
          <w:sz w:val="20"/>
          <w:lang w:val="en-GB"/>
        </w:rPr>
        <w:t xml:space="preserve">4 EU/mL for PT, FIM and PRN and </w:t>
      </w:r>
      <w:r w:rsidRPr="000038A7">
        <w:rPr>
          <w:sz w:val="20"/>
          <w:lang w:val="en-GB"/>
        </w:rPr>
        <w:t xml:space="preserve">≥ </w:t>
      </w:r>
      <w:r w:rsidRPr="000038A7">
        <w:rPr>
          <w:rFonts w:eastAsia="Calibri"/>
          <w:sz w:val="20"/>
          <w:lang w:val="en-GB"/>
        </w:rPr>
        <w:t>3 EU/mL for FHA for 10-year follow-up.</w:t>
      </w:r>
    </w:p>
    <w:p w14:paraId="63E5CF18" w14:textId="77777777" w:rsidR="00D853AB" w:rsidRPr="00B108A6" w:rsidRDefault="00D853AB" w:rsidP="00331F85">
      <w:pPr>
        <w:pStyle w:val="wcpTablenote"/>
        <w:spacing w:before="0"/>
        <w:ind w:left="0" w:firstLine="0"/>
        <w:rPr>
          <w:sz w:val="24"/>
          <w:szCs w:val="24"/>
          <w:u w:val="single"/>
          <w:lang w:val="en-GB"/>
        </w:rPr>
      </w:pPr>
    </w:p>
    <w:p w14:paraId="4955313C" w14:textId="77777777" w:rsidR="00D853AB" w:rsidRPr="00B108A6" w:rsidRDefault="00D853AB" w:rsidP="00331F85">
      <w:pPr>
        <w:ind w:left="851"/>
        <w:rPr>
          <w:i/>
          <w:sz w:val="24"/>
          <w:szCs w:val="24"/>
          <w:u w:val="single"/>
          <w:lang w:val="en-GB"/>
        </w:rPr>
      </w:pPr>
      <w:r w:rsidRPr="00B108A6">
        <w:rPr>
          <w:i/>
          <w:sz w:val="24"/>
          <w:szCs w:val="24"/>
          <w:u w:val="single"/>
          <w:lang w:val="en-GB"/>
        </w:rPr>
        <w:t>Immunogenicity following repeat vaccination</w:t>
      </w:r>
    </w:p>
    <w:p w14:paraId="644EA6BB" w14:textId="77777777" w:rsidR="00D853AB" w:rsidRPr="00B108A6" w:rsidRDefault="00D853AB" w:rsidP="00331F85">
      <w:pPr>
        <w:ind w:left="851"/>
        <w:rPr>
          <w:sz w:val="24"/>
          <w:szCs w:val="24"/>
          <w:lang w:val="en-GB"/>
        </w:rPr>
      </w:pPr>
    </w:p>
    <w:p w14:paraId="385F4F44" w14:textId="611DF7C5" w:rsidR="00D853AB" w:rsidRPr="00B108A6" w:rsidRDefault="00D853AB" w:rsidP="00331F85">
      <w:pPr>
        <w:ind w:left="851"/>
        <w:rPr>
          <w:sz w:val="24"/>
          <w:szCs w:val="24"/>
          <w:lang w:val="en-GB"/>
        </w:rPr>
      </w:pPr>
      <w:r w:rsidRPr="00B108A6">
        <w:rPr>
          <w:sz w:val="24"/>
          <w:szCs w:val="24"/>
          <w:lang w:val="en-GB"/>
        </w:rPr>
        <w:t xml:space="preserve">The immunogenicity of </w:t>
      </w:r>
      <w:proofErr w:type="spellStart"/>
      <w:r w:rsidRPr="00B108A6">
        <w:rPr>
          <w:sz w:val="24"/>
          <w:szCs w:val="24"/>
          <w:lang w:val="en-GB"/>
        </w:rPr>
        <w:t>COVAXiS</w:t>
      </w:r>
      <w:proofErr w:type="spellEnd"/>
      <w:r w:rsidRPr="00B108A6">
        <w:rPr>
          <w:sz w:val="24"/>
          <w:szCs w:val="24"/>
          <w:lang w:val="en-GB"/>
        </w:rPr>
        <w:t xml:space="preserve"> following repeat vaccination 10 years after a previous dose of </w:t>
      </w:r>
      <w:proofErr w:type="spellStart"/>
      <w:r w:rsidRPr="00B108A6">
        <w:rPr>
          <w:sz w:val="24"/>
          <w:szCs w:val="24"/>
          <w:lang w:val="en-GB"/>
        </w:rPr>
        <w:t>COVAXiS</w:t>
      </w:r>
      <w:proofErr w:type="spellEnd"/>
      <w:r w:rsidRPr="00B108A6">
        <w:rPr>
          <w:sz w:val="24"/>
          <w:szCs w:val="24"/>
          <w:lang w:val="en-GB"/>
        </w:rPr>
        <w:t xml:space="preserve"> or </w:t>
      </w:r>
      <w:proofErr w:type="spellStart"/>
      <w:r w:rsidR="000038A7" w:rsidRPr="00B108A6">
        <w:rPr>
          <w:sz w:val="24"/>
          <w:szCs w:val="24"/>
          <w:lang w:val="en-GB"/>
        </w:rPr>
        <w:t>R</w:t>
      </w:r>
      <w:r w:rsidR="000038A7">
        <w:rPr>
          <w:sz w:val="24"/>
          <w:szCs w:val="24"/>
          <w:lang w:val="en-GB"/>
        </w:rPr>
        <w:t>epevax</w:t>
      </w:r>
      <w:proofErr w:type="spellEnd"/>
      <w:r w:rsidRPr="00B108A6">
        <w:rPr>
          <w:sz w:val="24"/>
          <w:szCs w:val="24"/>
          <w:lang w:val="en-GB"/>
        </w:rPr>
        <w:t xml:space="preserve">, has been evaluated. </w:t>
      </w:r>
      <w:proofErr w:type="gramStart"/>
      <w:r w:rsidRPr="00B108A6">
        <w:rPr>
          <w:sz w:val="24"/>
          <w:szCs w:val="24"/>
          <w:lang w:val="en-GB"/>
        </w:rPr>
        <w:t>One month</w:t>
      </w:r>
      <w:proofErr w:type="gramEnd"/>
      <w:r w:rsidRPr="00B108A6">
        <w:rPr>
          <w:sz w:val="24"/>
          <w:szCs w:val="24"/>
          <w:lang w:val="en-GB"/>
        </w:rPr>
        <w:t xml:space="preserve"> post-vaccination ≥ 98.5% of study participants achieved seroprotective antibody levels (≥ 0.1 IU/mL) for diphtheria and tetanus, and ≥ 84% achieved booster responses to the pertussis antigens. (A pertussis booster response was defined as a post-vaccination antibody concentration ≥ 4 times the LLOQ (Lower Limit </w:t>
      </w:r>
      <w:proofErr w:type="gramStart"/>
      <w:r w:rsidRPr="00B108A6">
        <w:rPr>
          <w:sz w:val="24"/>
          <w:szCs w:val="24"/>
          <w:lang w:val="en-GB"/>
        </w:rPr>
        <w:t>Of</w:t>
      </w:r>
      <w:proofErr w:type="gramEnd"/>
      <w:r w:rsidRPr="00B108A6">
        <w:rPr>
          <w:sz w:val="24"/>
          <w:szCs w:val="24"/>
          <w:lang w:val="en-GB"/>
        </w:rPr>
        <w:t xml:space="preserve"> Quantification) if the pre-vaccination level was &lt; LLOQ; ≥ 4 times the pre-vaccination level if that was ≥ LLOQ but &lt; 4 times LLOQ; or ≥ 2 times the pre-vaccination level if that was ≥ 4 times the LLOQ).</w:t>
      </w:r>
    </w:p>
    <w:p w14:paraId="3B70BCCB" w14:textId="77777777" w:rsidR="00D853AB" w:rsidRPr="00B108A6" w:rsidRDefault="00D853AB" w:rsidP="00331F85">
      <w:pPr>
        <w:pStyle w:val="wcpTablenote"/>
        <w:spacing w:before="0"/>
        <w:ind w:left="851" w:firstLine="0"/>
        <w:rPr>
          <w:sz w:val="24"/>
          <w:szCs w:val="24"/>
          <w:lang w:val="en-GB"/>
        </w:rPr>
      </w:pPr>
    </w:p>
    <w:p w14:paraId="6F079075" w14:textId="6EDB5E2A" w:rsidR="00D853AB" w:rsidRPr="00B108A6" w:rsidRDefault="00D853AB" w:rsidP="00331F85">
      <w:pPr>
        <w:ind w:left="851"/>
        <w:rPr>
          <w:sz w:val="24"/>
          <w:szCs w:val="24"/>
          <w:lang w:val="en-GB"/>
        </w:rPr>
      </w:pPr>
      <w:r w:rsidRPr="00B108A6">
        <w:rPr>
          <w:sz w:val="24"/>
          <w:szCs w:val="24"/>
          <w:lang w:val="en-GB"/>
        </w:rPr>
        <w:lastRenderedPageBreak/>
        <w:t xml:space="preserve">Based on the serology follow-up and repeat vaccination data, </w:t>
      </w:r>
      <w:proofErr w:type="spellStart"/>
      <w:r w:rsidR="000038A7" w:rsidRPr="00B108A6">
        <w:rPr>
          <w:sz w:val="24"/>
          <w:szCs w:val="24"/>
          <w:lang w:val="en-GB"/>
        </w:rPr>
        <w:t>R</w:t>
      </w:r>
      <w:r w:rsidR="000038A7">
        <w:rPr>
          <w:sz w:val="24"/>
          <w:szCs w:val="24"/>
          <w:lang w:val="en-GB"/>
        </w:rPr>
        <w:t>epevax</w:t>
      </w:r>
      <w:proofErr w:type="spellEnd"/>
      <w:r w:rsidRPr="00B108A6">
        <w:rPr>
          <w:sz w:val="24"/>
          <w:szCs w:val="24"/>
          <w:lang w:val="en-GB"/>
        </w:rPr>
        <w:t xml:space="preserve"> can be used instead of a dT vaccine or dT-IPV vaccine to boost immunity to pertussis in addition diphtheria, tetanus and polio.</w:t>
      </w:r>
    </w:p>
    <w:p w14:paraId="103DDB1B" w14:textId="77777777" w:rsidR="00D853AB" w:rsidRPr="00B108A6" w:rsidRDefault="00D853AB" w:rsidP="00331F85">
      <w:pPr>
        <w:ind w:left="851"/>
        <w:rPr>
          <w:sz w:val="24"/>
          <w:szCs w:val="24"/>
          <w:lang w:val="en-GB"/>
        </w:rPr>
      </w:pPr>
    </w:p>
    <w:p w14:paraId="300B655D" w14:textId="77777777" w:rsidR="00D853AB" w:rsidRPr="00B108A6" w:rsidRDefault="00D853AB" w:rsidP="00331F85">
      <w:pPr>
        <w:ind w:left="851"/>
        <w:rPr>
          <w:i/>
          <w:sz w:val="24"/>
          <w:szCs w:val="24"/>
          <w:u w:val="single"/>
          <w:lang w:val="en-GB"/>
        </w:rPr>
      </w:pPr>
      <w:r w:rsidRPr="00B108A6">
        <w:rPr>
          <w:i/>
          <w:sz w:val="24"/>
          <w:szCs w:val="24"/>
          <w:u w:val="single"/>
          <w:lang w:val="en-GB"/>
        </w:rPr>
        <w:t>Immunogenicity in naïve subjects</w:t>
      </w:r>
    </w:p>
    <w:p w14:paraId="403C705C" w14:textId="77777777" w:rsidR="00D853AB" w:rsidRPr="00B108A6" w:rsidRDefault="00D853AB" w:rsidP="00331F85">
      <w:pPr>
        <w:ind w:left="851"/>
        <w:rPr>
          <w:sz w:val="24"/>
          <w:szCs w:val="24"/>
          <w:lang w:val="en-GB"/>
        </w:rPr>
      </w:pPr>
    </w:p>
    <w:p w14:paraId="69AF4F83" w14:textId="6B001A6A" w:rsidR="00D853AB" w:rsidRPr="00B108A6" w:rsidRDefault="00D853AB" w:rsidP="00331F85">
      <w:pPr>
        <w:ind w:left="851"/>
        <w:rPr>
          <w:sz w:val="24"/>
          <w:szCs w:val="24"/>
          <w:lang w:val="en-GB"/>
        </w:rPr>
      </w:pPr>
      <w:r w:rsidRPr="00B108A6">
        <w:rPr>
          <w:sz w:val="24"/>
          <w:szCs w:val="24"/>
          <w:lang w:val="en-GB"/>
        </w:rPr>
        <w:t xml:space="preserve">After administration of one dose of </w:t>
      </w:r>
      <w:proofErr w:type="spellStart"/>
      <w:r w:rsidR="000038A7" w:rsidRPr="00B108A6">
        <w:rPr>
          <w:sz w:val="24"/>
          <w:szCs w:val="24"/>
          <w:lang w:val="en-GB"/>
        </w:rPr>
        <w:t>R</w:t>
      </w:r>
      <w:r w:rsidR="000038A7">
        <w:rPr>
          <w:sz w:val="24"/>
          <w:szCs w:val="24"/>
          <w:lang w:val="en-GB"/>
        </w:rPr>
        <w:t>epevax</w:t>
      </w:r>
      <w:proofErr w:type="spellEnd"/>
      <w:r w:rsidRPr="00B108A6">
        <w:rPr>
          <w:sz w:val="24"/>
          <w:szCs w:val="24"/>
          <w:lang w:val="en-GB"/>
        </w:rPr>
        <w:t xml:space="preserve"> to 330 adults ≥40 years of age that had not received any diphtheria- and tetanus-containing vaccine in the past 20 years: </w:t>
      </w:r>
    </w:p>
    <w:p w14:paraId="058A497B" w14:textId="77777777" w:rsidR="00D853AB" w:rsidRPr="00B108A6" w:rsidRDefault="00D853AB" w:rsidP="00331F85">
      <w:pPr>
        <w:pStyle w:val="Listeafsnit"/>
        <w:numPr>
          <w:ilvl w:val="0"/>
          <w:numId w:val="19"/>
        </w:numPr>
        <w:spacing w:before="0"/>
        <w:ind w:left="1276" w:hanging="425"/>
        <w:rPr>
          <w:szCs w:val="24"/>
          <w:lang w:val="en-GB"/>
        </w:rPr>
      </w:pPr>
      <w:r w:rsidRPr="00B108A6">
        <w:rPr>
          <w:szCs w:val="24"/>
          <w:lang w:val="en-GB"/>
        </w:rPr>
        <w:t>≥95.8% of adults were seropositive (≥ 5 IU/mL) for antibodies to all vaccine-containing pertussis antigens,</w:t>
      </w:r>
    </w:p>
    <w:p w14:paraId="2531B4F3" w14:textId="77777777" w:rsidR="00D853AB" w:rsidRPr="00B108A6" w:rsidRDefault="00D853AB" w:rsidP="00331F85">
      <w:pPr>
        <w:pStyle w:val="Listeafsnit"/>
        <w:numPr>
          <w:ilvl w:val="0"/>
          <w:numId w:val="19"/>
        </w:numPr>
        <w:spacing w:before="0"/>
        <w:ind w:left="1276" w:hanging="425"/>
        <w:rPr>
          <w:szCs w:val="24"/>
          <w:lang w:val="en-GB"/>
        </w:rPr>
      </w:pPr>
      <w:r w:rsidRPr="00B108A6">
        <w:rPr>
          <w:szCs w:val="24"/>
          <w:lang w:val="en-GB"/>
        </w:rPr>
        <w:t>82.4% and 92.7% were seroprotected against diphtheria at a threshold ≥0.1 and ≥0.01 IU/mL, respectively,</w:t>
      </w:r>
    </w:p>
    <w:p w14:paraId="7EF789C4" w14:textId="77777777" w:rsidR="00D853AB" w:rsidRPr="00B108A6" w:rsidRDefault="00D853AB" w:rsidP="00331F85">
      <w:pPr>
        <w:pStyle w:val="Listeafsnit"/>
        <w:numPr>
          <w:ilvl w:val="0"/>
          <w:numId w:val="19"/>
        </w:numPr>
        <w:spacing w:before="0"/>
        <w:ind w:left="1276" w:hanging="425"/>
        <w:rPr>
          <w:szCs w:val="24"/>
          <w:lang w:val="en-GB"/>
        </w:rPr>
      </w:pPr>
      <w:r w:rsidRPr="00B108A6">
        <w:rPr>
          <w:szCs w:val="24"/>
          <w:lang w:val="en-GB"/>
        </w:rPr>
        <w:t>98.5% and 99.7% were seroprotected against tetanus at a threshold ≥0.1 and ≥0.01 IU/mL, respectively,</w:t>
      </w:r>
    </w:p>
    <w:p w14:paraId="796D2CF2" w14:textId="77777777" w:rsidR="00D853AB" w:rsidRPr="00B108A6" w:rsidRDefault="00D853AB" w:rsidP="00331F85">
      <w:pPr>
        <w:pStyle w:val="Listeafsnit"/>
        <w:numPr>
          <w:ilvl w:val="0"/>
          <w:numId w:val="19"/>
        </w:numPr>
        <w:spacing w:before="0"/>
        <w:ind w:left="1276" w:hanging="425"/>
        <w:rPr>
          <w:szCs w:val="24"/>
          <w:lang w:val="en-GB"/>
        </w:rPr>
      </w:pPr>
      <w:r w:rsidRPr="00B108A6">
        <w:rPr>
          <w:szCs w:val="24"/>
          <w:lang w:val="en-GB"/>
        </w:rPr>
        <w:t>and ≥98.8% were seroprotected against polio (types 1, 2 and 3) at a threshold ≥1:8 dilution.</w:t>
      </w:r>
    </w:p>
    <w:p w14:paraId="6C622CC8" w14:textId="77777777" w:rsidR="00D853AB" w:rsidRPr="00B108A6" w:rsidRDefault="00D853AB" w:rsidP="00331F85">
      <w:pPr>
        <w:ind w:left="851"/>
        <w:rPr>
          <w:sz w:val="24"/>
          <w:szCs w:val="24"/>
          <w:lang w:val="en-GB"/>
        </w:rPr>
      </w:pPr>
    </w:p>
    <w:p w14:paraId="0D5CF204" w14:textId="77777777" w:rsidR="00D853AB" w:rsidRPr="00B108A6" w:rsidRDefault="00D853AB" w:rsidP="00331F85">
      <w:pPr>
        <w:ind w:left="851"/>
        <w:rPr>
          <w:sz w:val="24"/>
          <w:szCs w:val="24"/>
          <w:lang w:val="en-GB"/>
        </w:rPr>
      </w:pPr>
      <w:r w:rsidRPr="00B108A6">
        <w:rPr>
          <w:sz w:val="24"/>
          <w:szCs w:val="24"/>
          <w:lang w:val="en-GB"/>
        </w:rPr>
        <w:t xml:space="preserve">After administration of two additional doses of diphtheria- tetanus- and polio-containing vaccine to 316 subjects, one and six months after the first dose, the </w:t>
      </w:r>
      <w:proofErr w:type="spellStart"/>
      <w:r w:rsidRPr="00B108A6">
        <w:rPr>
          <w:sz w:val="24"/>
          <w:szCs w:val="24"/>
          <w:lang w:val="en-GB"/>
        </w:rPr>
        <w:t>seroprotection</w:t>
      </w:r>
      <w:proofErr w:type="spellEnd"/>
      <w:r w:rsidRPr="00B108A6">
        <w:rPr>
          <w:sz w:val="24"/>
          <w:szCs w:val="24"/>
          <w:lang w:val="en-GB"/>
        </w:rPr>
        <w:t xml:space="preserve"> rates against diphtheria were 94.6% and 100% (≥0.1 and ≥ 0.01 IU/mL, respectively), against tetanus 100% (≥0.1 IU/mL), and against polio (types 1, 2 and 3) 100% (≥1:8 dilution) (see Table 4). </w:t>
      </w:r>
    </w:p>
    <w:p w14:paraId="3D6D3586" w14:textId="77777777" w:rsidR="00D35A5A" w:rsidRPr="007B5443" w:rsidRDefault="00D35A5A" w:rsidP="00D35A5A">
      <w:pPr>
        <w:pStyle w:val="Billedtekst"/>
        <w:keepLines/>
        <w:spacing w:before="0" w:after="0"/>
        <w:rPr>
          <w:sz w:val="22"/>
          <w:lang w:val="en-GB"/>
        </w:rPr>
      </w:pPr>
      <w:bookmarkStart w:id="10" w:name="Table_20151204_141116SNPH"/>
      <w:r w:rsidRPr="007B5443">
        <w:rPr>
          <w:sz w:val="22"/>
          <w:lang w:val="en-GB"/>
        </w:rPr>
        <w:lastRenderedPageBreak/>
        <w:t xml:space="preserve">Table </w:t>
      </w:r>
      <w:bookmarkEnd w:id="10"/>
      <w:r w:rsidRPr="007B5443">
        <w:rPr>
          <w:sz w:val="22"/>
          <w:lang w:val="en-GB"/>
        </w:rPr>
        <w:t>5: Serological immune status (</w:t>
      </w:r>
      <w:proofErr w:type="spellStart"/>
      <w:r w:rsidRPr="007B5443">
        <w:rPr>
          <w:sz w:val="22"/>
          <w:lang w:val="en-GB"/>
        </w:rPr>
        <w:t>seroprotection</w:t>
      </w:r>
      <w:proofErr w:type="spellEnd"/>
      <w:r w:rsidRPr="007B5443">
        <w:rPr>
          <w:sz w:val="22"/>
          <w:lang w:val="en-GB"/>
        </w:rPr>
        <w:t>/</w:t>
      </w:r>
      <w:proofErr w:type="spellStart"/>
      <w:r w:rsidRPr="007B5443">
        <w:rPr>
          <w:sz w:val="22"/>
          <w:lang w:val="en-GB"/>
        </w:rPr>
        <w:t>seroresponse</w:t>
      </w:r>
      <w:proofErr w:type="spellEnd"/>
      <w:r w:rsidRPr="007B5443">
        <w:rPr>
          <w:sz w:val="22"/>
          <w:lang w:val="en-GB"/>
        </w:rPr>
        <w:t xml:space="preserve"> rates and GMC/GMT) before vaccination and after each dose of a 3 dose-vaccination schedule including REPEVAX® (Dose 1) followed by 2 doses of REVAXIS® 1 and 6 months later (Dose 2 and 3) in subjects </w:t>
      </w:r>
      <w:r w:rsidRPr="007B5443">
        <w:rPr>
          <w:sz w:val="22"/>
          <w:szCs w:val="22"/>
          <w:lang w:val="en-GB" w:eastAsia="en-GB"/>
        </w:rPr>
        <w:t>vaccinated according to protocol (FAS)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0" w:type="dxa"/>
          <w:right w:w="20" w:type="dxa"/>
        </w:tblCellMar>
        <w:tblLook w:val="0000" w:firstRow="0" w:lastRow="0" w:firstColumn="0" w:lastColumn="0" w:noHBand="0" w:noVBand="0"/>
      </w:tblPr>
      <w:tblGrid>
        <w:gridCol w:w="1577"/>
        <w:gridCol w:w="1134"/>
        <w:gridCol w:w="1697"/>
        <w:gridCol w:w="1698"/>
        <w:gridCol w:w="1698"/>
        <w:gridCol w:w="1698"/>
      </w:tblGrid>
      <w:tr w:rsidR="00D35A5A" w:rsidRPr="007B5443" w14:paraId="111D734A" w14:textId="77777777" w:rsidTr="00BD4497">
        <w:trPr>
          <w:tblHeader/>
          <w:jc w:val="center"/>
        </w:trPr>
        <w:tc>
          <w:tcPr>
            <w:tcW w:w="1577" w:type="dxa"/>
            <w:tcBorders>
              <w:top w:val="single" w:sz="4" w:space="0" w:color="auto"/>
              <w:left w:val="single" w:sz="4" w:space="0" w:color="auto"/>
              <w:bottom w:val="nil"/>
              <w:right w:val="single" w:sz="4" w:space="0" w:color="auto"/>
            </w:tcBorders>
            <w:shd w:val="clear" w:color="auto" w:fill="auto"/>
          </w:tcPr>
          <w:p w14:paraId="21AB3A29" w14:textId="77777777" w:rsidR="00D35A5A" w:rsidRPr="007B5443" w:rsidRDefault="00D35A5A" w:rsidP="00BD4497">
            <w:pPr>
              <w:keepNext/>
              <w:rPr>
                <w:b/>
                <w:sz w:val="20"/>
                <w:lang w:val="en-GB"/>
              </w:rPr>
            </w:pPr>
            <w:r w:rsidRPr="007B5443">
              <w:rPr>
                <w:b/>
                <w:sz w:val="20"/>
                <w:lang w:val="en-GB"/>
              </w:rPr>
              <w:t xml:space="preserve">Antigen </w:t>
            </w:r>
          </w:p>
          <w:p w14:paraId="40E300A0" w14:textId="77777777" w:rsidR="00D35A5A" w:rsidRPr="007B5443" w:rsidRDefault="00D35A5A" w:rsidP="00BD4497">
            <w:pPr>
              <w:keepNext/>
              <w:rPr>
                <w:b/>
                <w:sz w:val="20"/>
                <w:lang w:val="en-GB"/>
              </w:rPr>
            </w:pPr>
          </w:p>
        </w:tc>
        <w:tc>
          <w:tcPr>
            <w:tcW w:w="1134" w:type="dxa"/>
            <w:tcBorders>
              <w:top w:val="single" w:sz="4" w:space="0" w:color="auto"/>
              <w:left w:val="single" w:sz="4" w:space="0" w:color="auto"/>
              <w:bottom w:val="nil"/>
              <w:right w:val="single" w:sz="4" w:space="0" w:color="auto"/>
            </w:tcBorders>
            <w:shd w:val="clear" w:color="auto" w:fill="auto"/>
          </w:tcPr>
          <w:p w14:paraId="5F9BC9C6" w14:textId="77777777" w:rsidR="00D35A5A" w:rsidRPr="007B5443" w:rsidRDefault="00D35A5A" w:rsidP="00BD4497">
            <w:pPr>
              <w:keepNext/>
              <w:jc w:val="center"/>
              <w:rPr>
                <w:b/>
                <w:bCs/>
                <w:sz w:val="20"/>
                <w:lang w:val="en-GB"/>
              </w:rPr>
            </w:pPr>
            <w:r w:rsidRPr="007B5443">
              <w:rPr>
                <w:b/>
                <w:bCs/>
                <w:sz w:val="20"/>
                <w:lang w:val="en-GB"/>
              </w:rPr>
              <w:t>Criteria</w:t>
            </w:r>
          </w:p>
        </w:tc>
        <w:tc>
          <w:tcPr>
            <w:tcW w:w="1697" w:type="dxa"/>
            <w:tcBorders>
              <w:left w:val="single" w:sz="4" w:space="0" w:color="auto"/>
            </w:tcBorders>
            <w:shd w:val="clear" w:color="auto" w:fill="auto"/>
          </w:tcPr>
          <w:p w14:paraId="76988DFD" w14:textId="77777777" w:rsidR="00D35A5A" w:rsidRPr="007B5443" w:rsidRDefault="00D35A5A" w:rsidP="00BD4497">
            <w:pPr>
              <w:keepNext/>
              <w:jc w:val="center"/>
              <w:rPr>
                <w:b/>
                <w:bCs/>
                <w:sz w:val="20"/>
                <w:lang w:val="en-GB"/>
              </w:rPr>
            </w:pPr>
            <w:r w:rsidRPr="007B5443">
              <w:rPr>
                <w:b/>
                <w:bCs/>
                <w:sz w:val="20"/>
                <w:lang w:val="en-GB"/>
              </w:rPr>
              <w:t>Pre-</w:t>
            </w:r>
            <w:r w:rsidRPr="007B5443">
              <w:rPr>
                <w:b/>
                <w:bCs/>
                <w:sz w:val="20"/>
                <w:lang w:val="en-GB"/>
              </w:rPr>
              <w:br/>
              <w:t>vaccination</w:t>
            </w:r>
          </w:p>
        </w:tc>
        <w:tc>
          <w:tcPr>
            <w:tcW w:w="1698" w:type="dxa"/>
            <w:shd w:val="clear" w:color="auto" w:fill="auto"/>
          </w:tcPr>
          <w:p w14:paraId="558C13AD" w14:textId="77777777" w:rsidR="00D35A5A" w:rsidRPr="007B5443" w:rsidRDefault="00D35A5A" w:rsidP="00BD4497">
            <w:pPr>
              <w:keepNext/>
              <w:jc w:val="center"/>
              <w:rPr>
                <w:b/>
                <w:sz w:val="20"/>
                <w:lang w:val="en-GB"/>
              </w:rPr>
            </w:pPr>
            <w:r w:rsidRPr="007B5443">
              <w:rPr>
                <w:b/>
                <w:bCs/>
                <w:sz w:val="20"/>
                <w:lang w:val="en-GB"/>
              </w:rPr>
              <w:t xml:space="preserve">Post-dose 1 </w:t>
            </w:r>
            <w:r w:rsidRPr="007B5443">
              <w:rPr>
                <w:b/>
                <w:bCs/>
                <w:sz w:val="20"/>
                <w:lang w:val="en-GB"/>
              </w:rPr>
              <w:br/>
              <w:t>REPEVAX</w:t>
            </w:r>
            <w:r w:rsidRPr="007B5443">
              <w:rPr>
                <w:b/>
                <w:bCs/>
                <w:sz w:val="20"/>
                <w:vertAlign w:val="superscript"/>
                <w:lang w:val="en-GB"/>
              </w:rPr>
              <w:t>®</w:t>
            </w:r>
          </w:p>
        </w:tc>
        <w:tc>
          <w:tcPr>
            <w:tcW w:w="1698" w:type="dxa"/>
            <w:shd w:val="clear" w:color="auto" w:fill="auto"/>
          </w:tcPr>
          <w:p w14:paraId="79DBBBEB" w14:textId="77777777" w:rsidR="00D35A5A" w:rsidRPr="007B5443" w:rsidRDefault="00D35A5A" w:rsidP="00BD4497">
            <w:pPr>
              <w:keepNext/>
              <w:jc w:val="center"/>
              <w:rPr>
                <w:b/>
                <w:sz w:val="20"/>
                <w:lang w:val="en-GB"/>
              </w:rPr>
            </w:pPr>
            <w:r w:rsidRPr="007B5443">
              <w:rPr>
                <w:b/>
                <w:bCs/>
                <w:sz w:val="20"/>
                <w:lang w:val="en-GB"/>
              </w:rPr>
              <w:t xml:space="preserve">Post-dose 2 </w:t>
            </w:r>
            <w:r w:rsidRPr="007B5443">
              <w:rPr>
                <w:b/>
                <w:bCs/>
                <w:sz w:val="20"/>
                <w:lang w:val="en-GB"/>
              </w:rPr>
              <w:br/>
              <w:t>REVAXIS</w:t>
            </w:r>
            <w:r w:rsidRPr="007B5443">
              <w:rPr>
                <w:b/>
                <w:bCs/>
                <w:sz w:val="20"/>
                <w:vertAlign w:val="superscript"/>
                <w:lang w:val="en-GB"/>
              </w:rPr>
              <w:t>®</w:t>
            </w:r>
          </w:p>
        </w:tc>
        <w:tc>
          <w:tcPr>
            <w:tcW w:w="1698" w:type="dxa"/>
            <w:shd w:val="clear" w:color="auto" w:fill="auto"/>
          </w:tcPr>
          <w:p w14:paraId="7DC53209" w14:textId="77777777" w:rsidR="00D35A5A" w:rsidRPr="007B5443" w:rsidRDefault="00D35A5A" w:rsidP="00BD4497">
            <w:pPr>
              <w:keepNext/>
              <w:jc w:val="center"/>
              <w:rPr>
                <w:b/>
                <w:sz w:val="20"/>
                <w:lang w:val="en-GB"/>
              </w:rPr>
            </w:pPr>
            <w:r w:rsidRPr="007B5443">
              <w:rPr>
                <w:b/>
                <w:bCs/>
                <w:sz w:val="20"/>
                <w:lang w:val="en-GB"/>
              </w:rPr>
              <w:t>Post-dose 3</w:t>
            </w:r>
            <w:r w:rsidRPr="007B5443">
              <w:rPr>
                <w:b/>
                <w:bCs/>
                <w:sz w:val="20"/>
                <w:lang w:val="en-GB"/>
              </w:rPr>
              <w:br/>
              <w:t>REVAXIS</w:t>
            </w:r>
            <w:r w:rsidRPr="007B5443">
              <w:rPr>
                <w:b/>
                <w:bCs/>
                <w:sz w:val="20"/>
                <w:vertAlign w:val="superscript"/>
                <w:lang w:val="en-GB"/>
              </w:rPr>
              <w:t>®</w:t>
            </w:r>
          </w:p>
        </w:tc>
      </w:tr>
      <w:tr w:rsidR="00D35A5A" w:rsidRPr="007B5443" w14:paraId="2395764D" w14:textId="77777777" w:rsidTr="00BD4497">
        <w:trPr>
          <w:tblHeader/>
          <w:jc w:val="center"/>
        </w:trPr>
        <w:tc>
          <w:tcPr>
            <w:tcW w:w="1577" w:type="dxa"/>
            <w:tcBorders>
              <w:top w:val="nil"/>
              <w:left w:val="single" w:sz="4" w:space="0" w:color="auto"/>
              <w:bottom w:val="single" w:sz="4" w:space="0" w:color="auto"/>
              <w:right w:val="single" w:sz="4" w:space="0" w:color="auto"/>
            </w:tcBorders>
            <w:shd w:val="clear" w:color="auto" w:fill="auto"/>
          </w:tcPr>
          <w:p w14:paraId="31DCA6A4" w14:textId="77777777" w:rsidR="00D35A5A" w:rsidRPr="007B5443" w:rsidRDefault="00D35A5A" w:rsidP="00BD4497">
            <w:pPr>
              <w:keepNext/>
              <w:rPr>
                <w:sz w:val="20"/>
                <w:lang w:val="en-GB"/>
              </w:rPr>
            </w:pPr>
          </w:p>
        </w:tc>
        <w:tc>
          <w:tcPr>
            <w:tcW w:w="1134" w:type="dxa"/>
            <w:tcBorders>
              <w:top w:val="nil"/>
              <w:left w:val="single" w:sz="4" w:space="0" w:color="auto"/>
              <w:bottom w:val="single" w:sz="4" w:space="0" w:color="auto"/>
              <w:right w:val="single" w:sz="4" w:space="0" w:color="auto"/>
            </w:tcBorders>
            <w:shd w:val="clear" w:color="auto" w:fill="auto"/>
          </w:tcPr>
          <w:p w14:paraId="78F1A35D" w14:textId="77777777" w:rsidR="00D35A5A" w:rsidRPr="007B5443" w:rsidRDefault="00D35A5A" w:rsidP="00BD4497">
            <w:pPr>
              <w:keepNext/>
              <w:jc w:val="center"/>
              <w:rPr>
                <w:sz w:val="20"/>
                <w:lang w:val="en-GB"/>
              </w:rPr>
            </w:pPr>
          </w:p>
        </w:tc>
        <w:tc>
          <w:tcPr>
            <w:tcW w:w="1697" w:type="dxa"/>
            <w:tcBorders>
              <w:left w:val="single" w:sz="4" w:space="0" w:color="auto"/>
              <w:bottom w:val="single" w:sz="4" w:space="0" w:color="auto"/>
            </w:tcBorders>
            <w:shd w:val="clear" w:color="auto" w:fill="auto"/>
          </w:tcPr>
          <w:p w14:paraId="6915130E" w14:textId="77777777" w:rsidR="00D35A5A" w:rsidRPr="007B5443" w:rsidRDefault="00D35A5A" w:rsidP="00BD4497">
            <w:pPr>
              <w:keepNext/>
              <w:jc w:val="center"/>
              <w:rPr>
                <w:sz w:val="20"/>
                <w:lang w:val="en-GB"/>
              </w:rPr>
            </w:pPr>
            <w:r w:rsidRPr="007B5443">
              <w:rPr>
                <w:sz w:val="20"/>
                <w:lang w:val="en-GB"/>
              </w:rPr>
              <w:t>N=330</w:t>
            </w:r>
          </w:p>
        </w:tc>
        <w:tc>
          <w:tcPr>
            <w:tcW w:w="1698" w:type="dxa"/>
            <w:tcBorders>
              <w:bottom w:val="single" w:sz="4" w:space="0" w:color="auto"/>
            </w:tcBorders>
            <w:shd w:val="clear" w:color="auto" w:fill="auto"/>
          </w:tcPr>
          <w:p w14:paraId="6888EC0E" w14:textId="77777777" w:rsidR="00D35A5A" w:rsidRPr="007B5443" w:rsidRDefault="00D35A5A" w:rsidP="00BD4497">
            <w:pPr>
              <w:keepNext/>
              <w:jc w:val="center"/>
              <w:rPr>
                <w:sz w:val="20"/>
                <w:lang w:val="en-GB"/>
              </w:rPr>
            </w:pPr>
            <w:r w:rsidRPr="007B5443">
              <w:rPr>
                <w:sz w:val="20"/>
                <w:lang w:val="en-GB"/>
              </w:rPr>
              <w:t>N=330</w:t>
            </w:r>
          </w:p>
        </w:tc>
        <w:tc>
          <w:tcPr>
            <w:tcW w:w="1698" w:type="dxa"/>
            <w:tcBorders>
              <w:bottom w:val="single" w:sz="4" w:space="0" w:color="auto"/>
            </w:tcBorders>
            <w:shd w:val="clear" w:color="auto" w:fill="auto"/>
          </w:tcPr>
          <w:p w14:paraId="67D4CB78" w14:textId="77777777" w:rsidR="00D35A5A" w:rsidRPr="007B5443" w:rsidRDefault="00D35A5A" w:rsidP="00BD4497">
            <w:pPr>
              <w:keepNext/>
              <w:jc w:val="center"/>
              <w:rPr>
                <w:sz w:val="20"/>
                <w:lang w:val="en-GB"/>
              </w:rPr>
            </w:pPr>
            <w:r w:rsidRPr="007B5443">
              <w:rPr>
                <w:sz w:val="20"/>
                <w:lang w:val="en-GB"/>
              </w:rPr>
              <w:t>N=325</w:t>
            </w:r>
          </w:p>
        </w:tc>
        <w:tc>
          <w:tcPr>
            <w:tcW w:w="1698" w:type="dxa"/>
            <w:tcBorders>
              <w:bottom w:val="single" w:sz="4" w:space="0" w:color="auto"/>
            </w:tcBorders>
            <w:shd w:val="clear" w:color="auto" w:fill="auto"/>
          </w:tcPr>
          <w:p w14:paraId="698EBA7E" w14:textId="77777777" w:rsidR="00D35A5A" w:rsidRPr="007B5443" w:rsidRDefault="00D35A5A" w:rsidP="00BD4497">
            <w:pPr>
              <w:keepNext/>
              <w:jc w:val="center"/>
              <w:rPr>
                <w:sz w:val="20"/>
                <w:lang w:val="en-GB"/>
              </w:rPr>
            </w:pPr>
            <w:r w:rsidRPr="007B5443">
              <w:rPr>
                <w:sz w:val="20"/>
                <w:lang w:val="en-GB"/>
              </w:rPr>
              <w:t>N=316</w:t>
            </w:r>
          </w:p>
        </w:tc>
      </w:tr>
      <w:tr w:rsidR="00D35A5A" w:rsidRPr="007B5443" w14:paraId="5E6F9B4F" w14:textId="77777777" w:rsidTr="00BD4497">
        <w:trPr>
          <w:tblHeader/>
          <w:jc w:val="center"/>
        </w:trPr>
        <w:tc>
          <w:tcPr>
            <w:tcW w:w="1577" w:type="dxa"/>
            <w:tcBorders>
              <w:top w:val="single" w:sz="4" w:space="0" w:color="auto"/>
              <w:left w:val="single" w:sz="4" w:space="0" w:color="auto"/>
              <w:bottom w:val="nil"/>
              <w:right w:val="single" w:sz="4" w:space="0" w:color="auto"/>
            </w:tcBorders>
            <w:shd w:val="clear" w:color="auto" w:fill="auto"/>
          </w:tcPr>
          <w:p w14:paraId="37E82B7C" w14:textId="77777777" w:rsidR="00D35A5A" w:rsidRPr="007B5443" w:rsidRDefault="00D35A5A" w:rsidP="00BD4497">
            <w:pPr>
              <w:keepNext/>
              <w:rPr>
                <w:b/>
                <w:sz w:val="20"/>
                <w:lang w:val="en-GB"/>
              </w:rPr>
            </w:pPr>
            <w:r w:rsidRPr="007B5443">
              <w:rPr>
                <w:b/>
                <w:sz w:val="20"/>
                <w:lang w:val="en-GB"/>
              </w:rPr>
              <w:t xml:space="preserve">Diphtheria </w:t>
            </w:r>
          </w:p>
        </w:tc>
        <w:tc>
          <w:tcPr>
            <w:tcW w:w="1134" w:type="dxa"/>
            <w:tcBorders>
              <w:top w:val="single" w:sz="4" w:space="0" w:color="auto"/>
              <w:left w:val="single" w:sz="4" w:space="0" w:color="auto"/>
              <w:bottom w:val="nil"/>
              <w:right w:val="single" w:sz="4" w:space="0" w:color="auto"/>
            </w:tcBorders>
            <w:shd w:val="clear" w:color="auto" w:fill="auto"/>
          </w:tcPr>
          <w:p w14:paraId="60D900C6" w14:textId="77777777" w:rsidR="00D35A5A" w:rsidRPr="007B5443" w:rsidRDefault="00D35A5A" w:rsidP="00BD4497">
            <w:pPr>
              <w:keepNext/>
              <w:ind w:left="264"/>
              <w:rPr>
                <w:sz w:val="20"/>
                <w:lang w:val="en-GB"/>
              </w:rPr>
            </w:pPr>
            <w:r w:rsidRPr="007B5443">
              <w:rPr>
                <w:sz w:val="20"/>
                <w:lang w:val="en-GB"/>
              </w:rPr>
              <w:t>GMC</w:t>
            </w:r>
          </w:p>
        </w:tc>
        <w:tc>
          <w:tcPr>
            <w:tcW w:w="1697" w:type="dxa"/>
            <w:tcBorders>
              <w:top w:val="single" w:sz="4" w:space="0" w:color="auto"/>
              <w:left w:val="single" w:sz="4" w:space="0" w:color="auto"/>
              <w:bottom w:val="nil"/>
              <w:right w:val="single" w:sz="4" w:space="0" w:color="auto"/>
            </w:tcBorders>
            <w:shd w:val="clear" w:color="auto" w:fill="auto"/>
          </w:tcPr>
          <w:p w14:paraId="7FFF85C4" w14:textId="77777777" w:rsidR="00D35A5A" w:rsidRPr="007B5443" w:rsidRDefault="00D35A5A" w:rsidP="00BD4497">
            <w:pPr>
              <w:keepNext/>
              <w:jc w:val="center"/>
              <w:rPr>
                <w:sz w:val="20"/>
                <w:lang w:val="en-GB"/>
              </w:rPr>
            </w:pPr>
            <w:r w:rsidRPr="007B5443">
              <w:rPr>
                <w:sz w:val="20"/>
                <w:lang w:val="en-GB"/>
              </w:rPr>
              <w:t>0.059</w:t>
            </w:r>
          </w:p>
        </w:tc>
        <w:tc>
          <w:tcPr>
            <w:tcW w:w="1698" w:type="dxa"/>
            <w:tcBorders>
              <w:top w:val="single" w:sz="4" w:space="0" w:color="auto"/>
              <w:left w:val="single" w:sz="4" w:space="0" w:color="auto"/>
              <w:bottom w:val="nil"/>
              <w:right w:val="single" w:sz="4" w:space="0" w:color="auto"/>
            </w:tcBorders>
            <w:shd w:val="clear" w:color="auto" w:fill="auto"/>
          </w:tcPr>
          <w:p w14:paraId="08BBA83E" w14:textId="77777777" w:rsidR="00D35A5A" w:rsidRPr="007B5443" w:rsidRDefault="00D35A5A" w:rsidP="00BD4497">
            <w:pPr>
              <w:keepNext/>
              <w:jc w:val="center"/>
              <w:rPr>
                <w:sz w:val="20"/>
                <w:lang w:val="en-GB"/>
              </w:rPr>
            </w:pPr>
            <w:r w:rsidRPr="007B5443">
              <w:rPr>
                <w:sz w:val="20"/>
                <w:lang w:val="en-GB"/>
              </w:rPr>
              <w:t>0.813</w:t>
            </w:r>
          </w:p>
        </w:tc>
        <w:tc>
          <w:tcPr>
            <w:tcW w:w="1698" w:type="dxa"/>
            <w:tcBorders>
              <w:top w:val="single" w:sz="4" w:space="0" w:color="auto"/>
              <w:left w:val="single" w:sz="4" w:space="0" w:color="auto"/>
              <w:bottom w:val="nil"/>
              <w:right w:val="single" w:sz="4" w:space="0" w:color="auto"/>
            </w:tcBorders>
            <w:shd w:val="clear" w:color="auto" w:fill="auto"/>
          </w:tcPr>
          <w:p w14:paraId="223205B4" w14:textId="77777777" w:rsidR="00D35A5A" w:rsidRPr="007B5443" w:rsidRDefault="00D35A5A" w:rsidP="00BD4497">
            <w:pPr>
              <w:keepNext/>
              <w:jc w:val="center"/>
              <w:rPr>
                <w:sz w:val="20"/>
                <w:lang w:val="en-GB"/>
              </w:rPr>
            </w:pPr>
            <w:r w:rsidRPr="007B5443">
              <w:rPr>
                <w:sz w:val="20"/>
                <w:lang w:val="en-GB"/>
              </w:rPr>
              <w:t>1.373</w:t>
            </w:r>
          </w:p>
        </w:tc>
        <w:tc>
          <w:tcPr>
            <w:tcW w:w="1698" w:type="dxa"/>
            <w:tcBorders>
              <w:top w:val="single" w:sz="4" w:space="0" w:color="auto"/>
              <w:left w:val="single" w:sz="4" w:space="0" w:color="auto"/>
              <w:bottom w:val="nil"/>
              <w:right w:val="single" w:sz="4" w:space="0" w:color="auto"/>
            </w:tcBorders>
            <w:shd w:val="clear" w:color="auto" w:fill="auto"/>
          </w:tcPr>
          <w:p w14:paraId="74118030" w14:textId="77777777" w:rsidR="00D35A5A" w:rsidRPr="007B5443" w:rsidRDefault="00D35A5A" w:rsidP="00BD4497">
            <w:pPr>
              <w:keepNext/>
              <w:jc w:val="center"/>
              <w:rPr>
                <w:sz w:val="20"/>
                <w:lang w:val="en-GB"/>
              </w:rPr>
            </w:pPr>
            <w:r w:rsidRPr="007B5443">
              <w:rPr>
                <w:sz w:val="20"/>
                <w:lang w:val="en-GB"/>
              </w:rPr>
              <w:t>1.489</w:t>
            </w:r>
          </w:p>
        </w:tc>
      </w:tr>
      <w:tr w:rsidR="00D35A5A" w:rsidRPr="007B5443" w14:paraId="41C0D0EE" w14:textId="77777777" w:rsidTr="00BD4497">
        <w:trPr>
          <w:tblHeader/>
          <w:jc w:val="center"/>
        </w:trPr>
        <w:tc>
          <w:tcPr>
            <w:tcW w:w="1577" w:type="dxa"/>
            <w:tcBorders>
              <w:top w:val="nil"/>
              <w:left w:val="single" w:sz="4" w:space="0" w:color="auto"/>
              <w:bottom w:val="nil"/>
              <w:right w:val="single" w:sz="4" w:space="0" w:color="auto"/>
            </w:tcBorders>
            <w:shd w:val="clear" w:color="auto" w:fill="auto"/>
          </w:tcPr>
          <w:p w14:paraId="7AA618DC" w14:textId="77777777" w:rsidR="00D35A5A" w:rsidRPr="007B5443" w:rsidRDefault="00D35A5A" w:rsidP="00BD4497">
            <w:pPr>
              <w:keepNext/>
              <w:rPr>
                <w:b/>
                <w:sz w:val="20"/>
                <w:lang w:val="en-GB"/>
              </w:rPr>
            </w:pPr>
            <w:r w:rsidRPr="007B5443">
              <w:rPr>
                <w:b/>
                <w:sz w:val="20"/>
                <w:lang w:val="en-GB"/>
              </w:rPr>
              <w:t>(SN, IU/mL)</w:t>
            </w:r>
          </w:p>
        </w:tc>
        <w:tc>
          <w:tcPr>
            <w:tcW w:w="1134" w:type="dxa"/>
            <w:tcBorders>
              <w:top w:val="nil"/>
              <w:left w:val="single" w:sz="4" w:space="0" w:color="auto"/>
              <w:bottom w:val="single" w:sz="4" w:space="0" w:color="auto"/>
              <w:right w:val="single" w:sz="4" w:space="0" w:color="auto"/>
            </w:tcBorders>
            <w:shd w:val="clear" w:color="auto" w:fill="auto"/>
          </w:tcPr>
          <w:p w14:paraId="5114B717" w14:textId="77777777" w:rsidR="00D35A5A" w:rsidRPr="007B5443" w:rsidRDefault="00D35A5A" w:rsidP="00BD4497">
            <w:pPr>
              <w:keepNext/>
              <w:ind w:left="264"/>
              <w:rPr>
                <w:sz w:val="20"/>
                <w:lang w:val="en-GB"/>
              </w:rPr>
            </w:pPr>
            <w:r w:rsidRPr="007B5443">
              <w:rPr>
                <w:sz w:val="20"/>
                <w:lang w:val="en-GB"/>
              </w:rPr>
              <w:t>95%CI</w:t>
            </w:r>
          </w:p>
        </w:tc>
        <w:tc>
          <w:tcPr>
            <w:tcW w:w="1697" w:type="dxa"/>
            <w:tcBorders>
              <w:top w:val="nil"/>
              <w:left w:val="single" w:sz="4" w:space="0" w:color="auto"/>
              <w:bottom w:val="single" w:sz="4" w:space="0" w:color="auto"/>
              <w:right w:val="single" w:sz="4" w:space="0" w:color="auto"/>
            </w:tcBorders>
            <w:shd w:val="clear" w:color="auto" w:fill="auto"/>
          </w:tcPr>
          <w:p w14:paraId="22C0E146" w14:textId="77777777" w:rsidR="00D35A5A" w:rsidRPr="007B5443" w:rsidRDefault="00D35A5A" w:rsidP="00BD4497">
            <w:pPr>
              <w:keepNext/>
              <w:jc w:val="center"/>
              <w:rPr>
                <w:sz w:val="20"/>
                <w:lang w:val="en-GB"/>
              </w:rPr>
            </w:pPr>
            <w:r w:rsidRPr="007B5443">
              <w:rPr>
                <w:sz w:val="20"/>
                <w:lang w:val="en-GB"/>
              </w:rPr>
              <w:t>[0.046; 0.077]</w:t>
            </w:r>
          </w:p>
        </w:tc>
        <w:tc>
          <w:tcPr>
            <w:tcW w:w="1698" w:type="dxa"/>
            <w:tcBorders>
              <w:top w:val="nil"/>
              <w:left w:val="single" w:sz="4" w:space="0" w:color="auto"/>
              <w:bottom w:val="single" w:sz="4" w:space="0" w:color="auto"/>
              <w:right w:val="single" w:sz="4" w:space="0" w:color="auto"/>
            </w:tcBorders>
            <w:shd w:val="clear" w:color="auto" w:fill="auto"/>
          </w:tcPr>
          <w:p w14:paraId="5C8EEDD4" w14:textId="77777777" w:rsidR="00D35A5A" w:rsidRPr="007B5443" w:rsidRDefault="00D35A5A" w:rsidP="00BD4497">
            <w:pPr>
              <w:keepNext/>
              <w:jc w:val="center"/>
              <w:rPr>
                <w:sz w:val="20"/>
                <w:lang w:val="en-GB"/>
              </w:rPr>
            </w:pPr>
            <w:r w:rsidRPr="007B5443">
              <w:rPr>
                <w:sz w:val="20"/>
                <w:lang w:val="en-GB"/>
              </w:rPr>
              <w:t>[0.624; 1.059]</w:t>
            </w:r>
          </w:p>
        </w:tc>
        <w:tc>
          <w:tcPr>
            <w:tcW w:w="1698" w:type="dxa"/>
            <w:tcBorders>
              <w:top w:val="nil"/>
              <w:left w:val="single" w:sz="4" w:space="0" w:color="auto"/>
              <w:bottom w:val="single" w:sz="4" w:space="0" w:color="auto"/>
              <w:right w:val="single" w:sz="4" w:space="0" w:color="auto"/>
            </w:tcBorders>
            <w:shd w:val="clear" w:color="auto" w:fill="auto"/>
          </w:tcPr>
          <w:p w14:paraId="7246CF14" w14:textId="77777777" w:rsidR="00D35A5A" w:rsidRPr="007B5443" w:rsidRDefault="00D35A5A" w:rsidP="00BD4497">
            <w:pPr>
              <w:keepNext/>
              <w:jc w:val="center"/>
              <w:rPr>
                <w:sz w:val="20"/>
                <w:lang w:val="en-GB"/>
              </w:rPr>
            </w:pPr>
            <w:r w:rsidRPr="007B5443">
              <w:rPr>
                <w:sz w:val="20"/>
                <w:lang w:val="en-GB"/>
              </w:rPr>
              <w:t>[1.100; 1.715]</w:t>
            </w:r>
          </w:p>
        </w:tc>
        <w:tc>
          <w:tcPr>
            <w:tcW w:w="1698" w:type="dxa"/>
            <w:tcBorders>
              <w:top w:val="nil"/>
              <w:left w:val="single" w:sz="4" w:space="0" w:color="auto"/>
              <w:bottom w:val="single" w:sz="4" w:space="0" w:color="auto"/>
              <w:right w:val="single" w:sz="4" w:space="0" w:color="auto"/>
            </w:tcBorders>
            <w:shd w:val="clear" w:color="auto" w:fill="auto"/>
          </w:tcPr>
          <w:p w14:paraId="21833624" w14:textId="77777777" w:rsidR="00D35A5A" w:rsidRPr="007B5443" w:rsidRDefault="00D35A5A" w:rsidP="00BD4497">
            <w:pPr>
              <w:keepNext/>
              <w:jc w:val="center"/>
              <w:rPr>
                <w:sz w:val="20"/>
                <w:lang w:val="en-GB"/>
              </w:rPr>
            </w:pPr>
            <w:r w:rsidRPr="007B5443">
              <w:rPr>
                <w:sz w:val="20"/>
                <w:lang w:val="en-GB"/>
              </w:rPr>
              <w:t>[1.262; 1.757]</w:t>
            </w:r>
          </w:p>
        </w:tc>
      </w:tr>
      <w:tr w:rsidR="00D35A5A" w:rsidRPr="007B5443" w14:paraId="71A2BE0F" w14:textId="77777777" w:rsidTr="00BD4497">
        <w:trPr>
          <w:tblHeader/>
          <w:jc w:val="center"/>
        </w:trPr>
        <w:tc>
          <w:tcPr>
            <w:tcW w:w="1577" w:type="dxa"/>
            <w:tcBorders>
              <w:top w:val="nil"/>
              <w:left w:val="single" w:sz="4" w:space="0" w:color="auto"/>
              <w:bottom w:val="nil"/>
              <w:right w:val="single" w:sz="4" w:space="0" w:color="auto"/>
            </w:tcBorders>
            <w:shd w:val="clear" w:color="auto" w:fill="auto"/>
          </w:tcPr>
          <w:p w14:paraId="1D1C09BD" w14:textId="77777777" w:rsidR="00D35A5A" w:rsidRPr="007B5443" w:rsidRDefault="00D35A5A" w:rsidP="00BD4497">
            <w:pPr>
              <w:keepNext/>
              <w:rPr>
                <w:b/>
                <w:sz w:val="20"/>
                <w:lang w:val="en-GB"/>
              </w:rPr>
            </w:pPr>
          </w:p>
        </w:tc>
        <w:tc>
          <w:tcPr>
            <w:tcW w:w="1134" w:type="dxa"/>
            <w:tcBorders>
              <w:top w:val="single" w:sz="4" w:space="0" w:color="auto"/>
              <w:left w:val="single" w:sz="4" w:space="0" w:color="auto"/>
              <w:bottom w:val="nil"/>
              <w:right w:val="single" w:sz="4" w:space="0" w:color="auto"/>
            </w:tcBorders>
            <w:shd w:val="clear" w:color="auto" w:fill="auto"/>
          </w:tcPr>
          <w:p w14:paraId="57AE51E1" w14:textId="77777777" w:rsidR="00D35A5A" w:rsidRPr="007B5443" w:rsidRDefault="00D35A5A" w:rsidP="00BD4497">
            <w:pPr>
              <w:keepNext/>
              <w:ind w:left="264"/>
              <w:rPr>
                <w:sz w:val="20"/>
                <w:lang w:val="en-GB"/>
              </w:rPr>
            </w:pPr>
            <w:r w:rsidRPr="007B5443">
              <w:rPr>
                <w:sz w:val="20"/>
                <w:lang w:val="en-GB"/>
              </w:rPr>
              <w:t>≥0.1 </w:t>
            </w:r>
          </w:p>
        </w:tc>
        <w:tc>
          <w:tcPr>
            <w:tcW w:w="1697" w:type="dxa"/>
            <w:tcBorders>
              <w:top w:val="single" w:sz="4" w:space="0" w:color="auto"/>
              <w:left w:val="single" w:sz="4" w:space="0" w:color="auto"/>
              <w:bottom w:val="nil"/>
              <w:right w:val="single" w:sz="4" w:space="0" w:color="auto"/>
            </w:tcBorders>
            <w:shd w:val="clear" w:color="auto" w:fill="auto"/>
          </w:tcPr>
          <w:p w14:paraId="558803BF" w14:textId="77777777" w:rsidR="00D35A5A" w:rsidRPr="007B5443" w:rsidRDefault="00D35A5A" w:rsidP="00BD4497">
            <w:pPr>
              <w:keepNext/>
              <w:jc w:val="center"/>
              <w:rPr>
                <w:sz w:val="20"/>
                <w:lang w:val="en-GB"/>
              </w:rPr>
            </w:pPr>
            <w:r w:rsidRPr="007B5443">
              <w:rPr>
                <w:sz w:val="20"/>
                <w:lang w:val="en-GB"/>
              </w:rPr>
              <w:t>44.5%</w:t>
            </w:r>
          </w:p>
        </w:tc>
        <w:tc>
          <w:tcPr>
            <w:tcW w:w="1698" w:type="dxa"/>
            <w:tcBorders>
              <w:top w:val="single" w:sz="4" w:space="0" w:color="auto"/>
              <w:left w:val="single" w:sz="4" w:space="0" w:color="auto"/>
              <w:bottom w:val="nil"/>
              <w:right w:val="single" w:sz="4" w:space="0" w:color="auto"/>
            </w:tcBorders>
            <w:shd w:val="clear" w:color="auto" w:fill="auto"/>
          </w:tcPr>
          <w:p w14:paraId="5E049C83" w14:textId="77777777" w:rsidR="00D35A5A" w:rsidRPr="007B5443" w:rsidRDefault="00D35A5A" w:rsidP="00BD4497">
            <w:pPr>
              <w:keepNext/>
              <w:jc w:val="center"/>
              <w:rPr>
                <w:sz w:val="20"/>
                <w:lang w:val="en-GB"/>
              </w:rPr>
            </w:pPr>
            <w:r w:rsidRPr="007B5443">
              <w:rPr>
                <w:sz w:val="20"/>
                <w:lang w:val="en-GB"/>
              </w:rPr>
              <w:t>82.4%</w:t>
            </w:r>
          </w:p>
        </w:tc>
        <w:tc>
          <w:tcPr>
            <w:tcW w:w="1698" w:type="dxa"/>
            <w:tcBorders>
              <w:top w:val="single" w:sz="4" w:space="0" w:color="auto"/>
              <w:left w:val="single" w:sz="4" w:space="0" w:color="auto"/>
              <w:bottom w:val="nil"/>
              <w:right w:val="single" w:sz="4" w:space="0" w:color="auto"/>
            </w:tcBorders>
            <w:shd w:val="clear" w:color="auto" w:fill="auto"/>
          </w:tcPr>
          <w:p w14:paraId="71F53D88" w14:textId="77777777" w:rsidR="00D35A5A" w:rsidRPr="007B5443" w:rsidRDefault="00D35A5A" w:rsidP="00BD4497">
            <w:pPr>
              <w:keepNext/>
              <w:jc w:val="center"/>
              <w:rPr>
                <w:sz w:val="20"/>
                <w:lang w:val="en-GB"/>
              </w:rPr>
            </w:pPr>
            <w:r w:rsidRPr="007B5443">
              <w:rPr>
                <w:sz w:val="20"/>
                <w:lang w:val="en-GB"/>
              </w:rPr>
              <w:t>90.5%</w:t>
            </w:r>
          </w:p>
        </w:tc>
        <w:tc>
          <w:tcPr>
            <w:tcW w:w="1698" w:type="dxa"/>
            <w:tcBorders>
              <w:top w:val="single" w:sz="4" w:space="0" w:color="auto"/>
              <w:left w:val="single" w:sz="4" w:space="0" w:color="auto"/>
              <w:bottom w:val="nil"/>
              <w:right w:val="single" w:sz="4" w:space="0" w:color="auto"/>
            </w:tcBorders>
            <w:shd w:val="clear" w:color="auto" w:fill="auto"/>
          </w:tcPr>
          <w:p w14:paraId="6846727B" w14:textId="77777777" w:rsidR="00D35A5A" w:rsidRPr="007B5443" w:rsidRDefault="00D35A5A" w:rsidP="00BD4497">
            <w:pPr>
              <w:keepNext/>
              <w:jc w:val="center"/>
              <w:rPr>
                <w:sz w:val="20"/>
                <w:lang w:val="en-GB"/>
              </w:rPr>
            </w:pPr>
            <w:r w:rsidRPr="007B5443">
              <w:rPr>
                <w:sz w:val="20"/>
                <w:lang w:val="en-GB"/>
              </w:rPr>
              <w:t>94.6%</w:t>
            </w:r>
          </w:p>
        </w:tc>
      </w:tr>
      <w:tr w:rsidR="00D35A5A" w:rsidRPr="007B5443" w14:paraId="41CE32A2" w14:textId="77777777" w:rsidTr="00BD4497">
        <w:trPr>
          <w:tblHeader/>
          <w:jc w:val="center"/>
        </w:trPr>
        <w:tc>
          <w:tcPr>
            <w:tcW w:w="1577" w:type="dxa"/>
            <w:tcBorders>
              <w:top w:val="nil"/>
              <w:left w:val="single" w:sz="4" w:space="0" w:color="auto"/>
              <w:bottom w:val="nil"/>
              <w:right w:val="single" w:sz="4" w:space="0" w:color="auto"/>
            </w:tcBorders>
            <w:shd w:val="clear" w:color="auto" w:fill="auto"/>
          </w:tcPr>
          <w:p w14:paraId="0B623C70" w14:textId="77777777" w:rsidR="00D35A5A" w:rsidRPr="007B5443" w:rsidRDefault="00D35A5A" w:rsidP="00BD4497">
            <w:pPr>
              <w:keepNext/>
              <w:rPr>
                <w:b/>
                <w:sz w:val="20"/>
                <w:lang w:val="en-GB"/>
              </w:rPr>
            </w:pPr>
          </w:p>
        </w:tc>
        <w:tc>
          <w:tcPr>
            <w:tcW w:w="1134" w:type="dxa"/>
            <w:tcBorders>
              <w:top w:val="nil"/>
              <w:left w:val="single" w:sz="4" w:space="0" w:color="auto"/>
              <w:bottom w:val="single" w:sz="4" w:space="0" w:color="auto"/>
              <w:right w:val="single" w:sz="4" w:space="0" w:color="auto"/>
            </w:tcBorders>
            <w:shd w:val="clear" w:color="auto" w:fill="auto"/>
          </w:tcPr>
          <w:p w14:paraId="52B5593F" w14:textId="77777777" w:rsidR="00D35A5A" w:rsidRPr="007B5443" w:rsidRDefault="00D35A5A" w:rsidP="00BD4497">
            <w:pPr>
              <w:keepNext/>
              <w:ind w:left="264"/>
              <w:rPr>
                <w:sz w:val="20"/>
                <w:lang w:val="en-GB"/>
              </w:rPr>
            </w:pPr>
            <w:r w:rsidRPr="007B5443">
              <w:rPr>
                <w:sz w:val="20"/>
                <w:lang w:val="en-GB"/>
              </w:rPr>
              <w:t>95%CI</w:t>
            </w:r>
          </w:p>
        </w:tc>
        <w:tc>
          <w:tcPr>
            <w:tcW w:w="1697" w:type="dxa"/>
            <w:tcBorders>
              <w:top w:val="nil"/>
              <w:left w:val="single" w:sz="4" w:space="0" w:color="auto"/>
              <w:bottom w:val="single" w:sz="4" w:space="0" w:color="auto"/>
              <w:right w:val="single" w:sz="4" w:space="0" w:color="auto"/>
            </w:tcBorders>
            <w:shd w:val="clear" w:color="auto" w:fill="auto"/>
          </w:tcPr>
          <w:p w14:paraId="122DA772" w14:textId="77777777" w:rsidR="00D35A5A" w:rsidRPr="007B5443" w:rsidRDefault="00D35A5A" w:rsidP="00BD4497">
            <w:pPr>
              <w:keepNext/>
              <w:jc w:val="center"/>
              <w:rPr>
                <w:sz w:val="20"/>
                <w:lang w:val="en-GB"/>
              </w:rPr>
            </w:pPr>
            <w:r w:rsidRPr="007B5443">
              <w:rPr>
                <w:sz w:val="20"/>
                <w:lang w:val="en-GB"/>
              </w:rPr>
              <w:t>[39.1; 50.1]</w:t>
            </w:r>
          </w:p>
        </w:tc>
        <w:tc>
          <w:tcPr>
            <w:tcW w:w="1698" w:type="dxa"/>
            <w:tcBorders>
              <w:top w:val="nil"/>
              <w:left w:val="single" w:sz="4" w:space="0" w:color="auto"/>
              <w:bottom w:val="single" w:sz="4" w:space="0" w:color="auto"/>
              <w:right w:val="single" w:sz="4" w:space="0" w:color="auto"/>
            </w:tcBorders>
            <w:shd w:val="clear" w:color="auto" w:fill="auto"/>
          </w:tcPr>
          <w:p w14:paraId="7C7D86EB" w14:textId="77777777" w:rsidR="00D35A5A" w:rsidRPr="007B5443" w:rsidRDefault="00D35A5A" w:rsidP="00BD4497">
            <w:pPr>
              <w:keepNext/>
              <w:jc w:val="center"/>
              <w:rPr>
                <w:sz w:val="20"/>
                <w:lang w:val="en-GB"/>
              </w:rPr>
            </w:pPr>
            <w:r w:rsidRPr="007B5443">
              <w:rPr>
                <w:sz w:val="20"/>
                <w:lang w:val="en-GB"/>
              </w:rPr>
              <w:t>[77.9; 86.4]</w:t>
            </w:r>
          </w:p>
        </w:tc>
        <w:tc>
          <w:tcPr>
            <w:tcW w:w="1698" w:type="dxa"/>
            <w:tcBorders>
              <w:top w:val="nil"/>
              <w:left w:val="single" w:sz="4" w:space="0" w:color="auto"/>
              <w:bottom w:val="single" w:sz="4" w:space="0" w:color="auto"/>
              <w:right w:val="single" w:sz="4" w:space="0" w:color="auto"/>
            </w:tcBorders>
            <w:shd w:val="clear" w:color="auto" w:fill="auto"/>
          </w:tcPr>
          <w:p w14:paraId="76ADE2A6" w14:textId="77777777" w:rsidR="00D35A5A" w:rsidRPr="007B5443" w:rsidRDefault="00D35A5A" w:rsidP="00BD4497">
            <w:pPr>
              <w:keepNext/>
              <w:jc w:val="center"/>
              <w:rPr>
                <w:sz w:val="20"/>
                <w:lang w:val="en-GB"/>
              </w:rPr>
            </w:pPr>
            <w:r w:rsidRPr="007B5443">
              <w:rPr>
                <w:sz w:val="20"/>
                <w:lang w:val="en-GB"/>
              </w:rPr>
              <w:t>[86.7; 93.4]</w:t>
            </w:r>
          </w:p>
        </w:tc>
        <w:tc>
          <w:tcPr>
            <w:tcW w:w="1698" w:type="dxa"/>
            <w:tcBorders>
              <w:top w:val="nil"/>
              <w:left w:val="single" w:sz="4" w:space="0" w:color="auto"/>
              <w:bottom w:val="single" w:sz="4" w:space="0" w:color="auto"/>
              <w:right w:val="single" w:sz="4" w:space="0" w:color="auto"/>
            </w:tcBorders>
            <w:shd w:val="clear" w:color="auto" w:fill="auto"/>
          </w:tcPr>
          <w:p w14:paraId="07DCEF1F" w14:textId="77777777" w:rsidR="00D35A5A" w:rsidRPr="007B5443" w:rsidRDefault="00D35A5A" w:rsidP="00BD4497">
            <w:pPr>
              <w:keepNext/>
              <w:jc w:val="center"/>
              <w:rPr>
                <w:sz w:val="20"/>
                <w:lang w:val="en-GB"/>
              </w:rPr>
            </w:pPr>
            <w:r w:rsidRPr="007B5443">
              <w:rPr>
                <w:sz w:val="20"/>
                <w:lang w:val="en-GB"/>
              </w:rPr>
              <w:t>[91.5; 96.8]</w:t>
            </w:r>
          </w:p>
        </w:tc>
      </w:tr>
      <w:tr w:rsidR="00D35A5A" w:rsidRPr="007B5443" w14:paraId="7C7B3BE8" w14:textId="77777777" w:rsidTr="00BD4497">
        <w:trPr>
          <w:tblHeader/>
          <w:jc w:val="center"/>
        </w:trPr>
        <w:tc>
          <w:tcPr>
            <w:tcW w:w="1577" w:type="dxa"/>
            <w:tcBorders>
              <w:top w:val="nil"/>
              <w:left w:val="single" w:sz="4" w:space="0" w:color="auto"/>
              <w:bottom w:val="nil"/>
              <w:right w:val="single" w:sz="4" w:space="0" w:color="auto"/>
            </w:tcBorders>
            <w:shd w:val="clear" w:color="auto" w:fill="auto"/>
          </w:tcPr>
          <w:p w14:paraId="1E793770" w14:textId="77777777" w:rsidR="00D35A5A" w:rsidRPr="007B5443" w:rsidRDefault="00D35A5A" w:rsidP="00BD4497">
            <w:pPr>
              <w:keepNext/>
              <w:rPr>
                <w:b/>
                <w:sz w:val="20"/>
                <w:lang w:val="en-GB"/>
              </w:rPr>
            </w:pPr>
          </w:p>
        </w:tc>
        <w:tc>
          <w:tcPr>
            <w:tcW w:w="1134" w:type="dxa"/>
            <w:tcBorders>
              <w:top w:val="single" w:sz="4" w:space="0" w:color="auto"/>
              <w:left w:val="single" w:sz="4" w:space="0" w:color="auto"/>
              <w:bottom w:val="nil"/>
              <w:right w:val="single" w:sz="4" w:space="0" w:color="auto"/>
            </w:tcBorders>
            <w:shd w:val="clear" w:color="auto" w:fill="auto"/>
          </w:tcPr>
          <w:p w14:paraId="2B507B36" w14:textId="77777777" w:rsidR="00D35A5A" w:rsidRPr="007B5443" w:rsidRDefault="00D35A5A" w:rsidP="00BD4497">
            <w:pPr>
              <w:keepNext/>
              <w:ind w:left="264"/>
              <w:rPr>
                <w:sz w:val="20"/>
                <w:lang w:val="en-GB"/>
              </w:rPr>
            </w:pPr>
            <w:r w:rsidRPr="007B5443">
              <w:rPr>
                <w:sz w:val="20"/>
                <w:lang w:val="en-GB"/>
              </w:rPr>
              <w:t>≥0.01 </w:t>
            </w:r>
          </w:p>
        </w:tc>
        <w:tc>
          <w:tcPr>
            <w:tcW w:w="1697" w:type="dxa"/>
            <w:tcBorders>
              <w:top w:val="single" w:sz="4" w:space="0" w:color="auto"/>
              <w:left w:val="single" w:sz="4" w:space="0" w:color="auto"/>
              <w:bottom w:val="nil"/>
              <w:right w:val="single" w:sz="4" w:space="0" w:color="auto"/>
            </w:tcBorders>
            <w:shd w:val="clear" w:color="auto" w:fill="auto"/>
          </w:tcPr>
          <w:p w14:paraId="499390F2" w14:textId="77777777" w:rsidR="00D35A5A" w:rsidRPr="007B5443" w:rsidRDefault="00D35A5A" w:rsidP="00BD4497">
            <w:pPr>
              <w:keepNext/>
              <w:jc w:val="center"/>
              <w:rPr>
                <w:sz w:val="20"/>
                <w:lang w:val="en-GB"/>
              </w:rPr>
            </w:pPr>
            <w:r w:rsidRPr="007B5443">
              <w:rPr>
                <w:sz w:val="20"/>
                <w:lang w:val="en-GB"/>
              </w:rPr>
              <w:t>72.4%</w:t>
            </w:r>
          </w:p>
        </w:tc>
        <w:tc>
          <w:tcPr>
            <w:tcW w:w="1698" w:type="dxa"/>
            <w:tcBorders>
              <w:top w:val="single" w:sz="4" w:space="0" w:color="auto"/>
              <w:left w:val="single" w:sz="4" w:space="0" w:color="auto"/>
              <w:bottom w:val="nil"/>
              <w:right w:val="single" w:sz="4" w:space="0" w:color="auto"/>
            </w:tcBorders>
            <w:shd w:val="clear" w:color="auto" w:fill="auto"/>
          </w:tcPr>
          <w:p w14:paraId="3D2C74F2" w14:textId="77777777" w:rsidR="00D35A5A" w:rsidRPr="007B5443" w:rsidRDefault="00D35A5A" w:rsidP="00BD4497">
            <w:pPr>
              <w:keepNext/>
              <w:jc w:val="center"/>
              <w:rPr>
                <w:sz w:val="20"/>
                <w:lang w:val="en-GB"/>
              </w:rPr>
            </w:pPr>
            <w:r w:rsidRPr="007B5443">
              <w:rPr>
                <w:sz w:val="20"/>
                <w:lang w:val="en-GB"/>
              </w:rPr>
              <w:t>92.7%</w:t>
            </w:r>
          </w:p>
        </w:tc>
        <w:tc>
          <w:tcPr>
            <w:tcW w:w="1698" w:type="dxa"/>
            <w:tcBorders>
              <w:top w:val="single" w:sz="4" w:space="0" w:color="auto"/>
              <w:left w:val="single" w:sz="4" w:space="0" w:color="auto"/>
              <w:bottom w:val="nil"/>
              <w:right w:val="single" w:sz="4" w:space="0" w:color="auto"/>
            </w:tcBorders>
            <w:shd w:val="clear" w:color="auto" w:fill="auto"/>
          </w:tcPr>
          <w:p w14:paraId="6D8F4A5E" w14:textId="77777777" w:rsidR="00D35A5A" w:rsidRPr="007B5443" w:rsidRDefault="00D35A5A" w:rsidP="00BD4497">
            <w:pPr>
              <w:keepNext/>
              <w:jc w:val="center"/>
              <w:rPr>
                <w:sz w:val="20"/>
                <w:lang w:val="en-GB"/>
              </w:rPr>
            </w:pPr>
            <w:r w:rsidRPr="007B5443">
              <w:rPr>
                <w:sz w:val="20"/>
                <w:lang w:val="en-GB"/>
              </w:rPr>
              <w:t>96.0%</w:t>
            </w:r>
          </w:p>
        </w:tc>
        <w:tc>
          <w:tcPr>
            <w:tcW w:w="1698" w:type="dxa"/>
            <w:tcBorders>
              <w:top w:val="single" w:sz="4" w:space="0" w:color="auto"/>
              <w:left w:val="single" w:sz="4" w:space="0" w:color="auto"/>
              <w:bottom w:val="nil"/>
              <w:right w:val="single" w:sz="4" w:space="0" w:color="auto"/>
            </w:tcBorders>
            <w:shd w:val="clear" w:color="auto" w:fill="auto"/>
          </w:tcPr>
          <w:p w14:paraId="2D24EBEA" w14:textId="77777777" w:rsidR="00D35A5A" w:rsidRPr="007B5443" w:rsidRDefault="00D35A5A" w:rsidP="00BD4497">
            <w:pPr>
              <w:keepNext/>
              <w:jc w:val="center"/>
              <w:rPr>
                <w:sz w:val="20"/>
                <w:lang w:val="en-GB"/>
              </w:rPr>
            </w:pPr>
            <w:r w:rsidRPr="007B5443">
              <w:rPr>
                <w:sz w:val="20"/>
                <w:lang w:val="en-GB"/>
              </w:rPr>
              <w:t>100%</w:t>
            </w:r>
          </w:p>
        </w:tc>
      </w:tr>
      <w:tr w:rsidR="00D35A5A" w:rsidRPr="007B5443" w14:paraId="3FF38F82" w14:textId="77777777" w:rsidTr="00BD4497">
        <w:trPr>
          <w:tblHeader/>
          <w:jc w:val="center"/>
        </w:trPr>
        <w:tc>
          <w:tcPr>
            <w:tcW w:w="1577" w:type="dxa"/>
            <w:tcBorders>
              <w:top w:val="nil"/>
              <w:left w:val="single" w:sz="4" w:space="0" w:color="auto"/>
              <w:bottom w:val="single" w:sz="4" w:space="0" w:color="auto"/>
              <w:right w:val="single" w:sz="4" w:space="0" w:color="auto"/>
            </w:tcBorders>
            <w:shd w:val="clear" w:color="auto" w:fill="auto"/>
          </w:tcPr>
          <w:p w14:paraId="1EB63390" w14:textId="77777777" w:rsidR="00D35A5A" w:rsidRPr="007B5443" w:rsidRDefault="00D35A5A" w:rsidP="00BD4497">
            <w:pPr>
              <w:keepNext/>
              <w:rPr>
                <w:b/>
                <w:sz w:val="20"/>
                <w:lang w:val="en-GB"/>
              </w:rPr>
            </w:pPr>
          </w:p>
        </w:tc>
        <w:tc>
          <w:tcPr>
            <w:tcW w:w="1134" w:type="dxa"/>
            <w:tcBorders>
              <w:top w:val="nil"/>
              <w:left w:val="single" w:sz="4" w:space="0" w:color="auto"/>
              <w:bottom w:val="single" w:sz="4" w:space="0" w:color="auto"/>
              <w:right w:val="single" w:sz="4" w:space="0" w:color="auto"/>
            </w:tcBorders>
            <w:shd w:val="clear" w:color="auto" w:fill="auto"/>
          </w:tcPr>
          <w:p w14:paraId="4EE4CD97" w14:textId="77777777" w:rsidR="00D35A5A" w:rsidRPr="007B5443" w:rsidRDefault="00D35A5A" w:rsidP="00BD4497">
            <w:pPr>
              <w:keepNext/>
              <w:ind w:left="264"/>
              <w:rPr>
                <w:sz w:val="20"/>
                <w:lang w:val="en-GB"/>
              </w:rPr>
            </w:pPr>
            <w:r w:rsidRPr="007B5443">
              <w:rPr>
                <w:sz w:val="20"/>
                <w:lang w:val="en-GB"/>
              </w:rPr>
              <w:t>95%CI</w:t>
            </w:r>
          </w:p>
        </w:tc>
        <w:tc>
          <w:tcPr>
            <w:tcW w:w="1697" w:type="dxa"/>
            <w:tcBorders>
              <w:top w:val="nil"/>
              <w:left w:val="single" w:sz="4" w:space="0" w:color="auto"/>
              <w:bottom w:val="single" w:sz="4" w:space="0" w:color="auto"/>
              <w:right w:val="single" w:sz="4" w:space="0" w:color="auto"/>
            </w:tcBorders>
            <w:shd w:val="clear" w:color="auto" w:fill="auto"/>
          </w:tcPr>
          <w:p w14:paraId="3AAFEF20" w14:textId="77777777" w:rsidR="00D35A5A" w:rsidRPr="007B5443" w:rsidRDefault="00D35A5A" w:rsidP="00BD4497">
            <w:pPr>
              <w:keepNext/>
              <w:jc w:val="center"/>
              <w:rPr>
                <w:sz w:val="20"/>
                <w:lang w:val="en-GB"/>
              </w:rPr>
            </w:pPr>
            <w:r w:rsidRPr="007B5443">
              <w:rPr>
                <w:sz w:val="20"/>
                <w:lang w:val="en-GB"/>
              </w:rPr>
              <w:t>[67.3; 77.2]</w:t>
            </w:r>
          </w:p>
        </w:tc>
        <w:tc>
          <w:tcPr>
            <w:tcW w:w="1698" w:type="dxa"/>
            <w:tcBorders>
              <w:top w:val="nil"/>
              <w:left w:val="single" w:sz="4" w:space="0" w:color="auto"/>
              <w:bottom w:val="single" w:sz="4" w:space="0" w:color="auto"/>
              <w:right w:val="single" w:sz="4" w:space="0" w:color="auto"/>
            </w:tcBorders>
            <w:shd w:val="clear" w:color="auto" w:fill="auto"/>
          </w:tcPr>
          <w:p w14:paraId="0A756D3A" w14:textId="77777777" w:rsidR="00D35A5A" w:rsidRPr="007B5443" w:rsidRDefault="00D35A5A" w:rsidP="00BD4497">
            <w:pPr>
              <w:keepNext/>
              <w:jc w:val="center"/>
              <w:rPr>
                <w:sz w:val="20"/>
                <w:lang w:val="en-GB"/>
              </w:rPr>
            </w:pPr>
            <w:r w:rsidRPr="007B5443">
              <w:rPr>
                <w:sz w:val="20"/>
                <w:lang w:val="en-GB"/>
              </w:rPr>
              <w:t>[89.4; 95.3]</w:t>
            </w:r>
          </w:p>
        </w:tc>
        <w:tc>
          <w:tcPr>
            <w:tcW w:w="1698" w:type="dxa"/>
            <w:tcBorders>
              <w:top w:val="nil"/>
              <w:left w:val="single" w:sz="4" w:space="0" w:color="auto"/>
              <w:bottom w:val="single" w:sz="4" w:space="0" w:color="auto"/>
              <w:right w:val="single" w:sz="4" w:space="0" w:color="auto"/>
            </w:tcBorders>
            <w:shd w:val="clear" w:color="auto" w:fill="auto"/>
          </w:tcPr>
          <w:p w14:paraId="55EC124D" w14:textId="77777777" w:rsidR="00D35A5A" w:rsidRPr="007B5443" w:rsidRDefault="00D35A5A" w:rsidP="00BD4497">
            <w:pPr>
              <w:keepNext/>
              <w:jc w:val="center"/>
              <w:rPr>
                <w:sz w:val="20"/>
                <w:lang w:val="en-GB"/>
              </w:rPr>
            </w:pPr>
            <w:r w:rsidRPr="007B5443">
              <w:rPr>
                <w:sz w:val="20"/>
                <w:lang w:val="en-GB"/>
              </w:rPr>
              <w:t>[93.3; 97.9]</w:t>
            </w:r>
          </w:p>
        </w:tc>
        <w:tc>
          <w:tcPr>
            <w:tcW w:w="1698" w:type="dxa"/>
            <w:tcBorders>
              <w:top w:val="nil"/>
              <w:left w:val="single" w:sz="4" w:space="0" w:color="auto"/>
              <w:bottom w:val="single" w:sz="4" w:space="0" w:color="auto"/>
              <w:right w:val="single" w:sz="4" w:space="0" w:color="auto"/>
            </w:tcBorders>
            <w:shd w:val="clear" w:color="auto" w:fill="auto"/>
          </w:tcPr>
          <w:p w14:paraId="5C86F1B5" w14:textId="77777777" w:rsidR="00D35A5A" w:rsidRPr="007B5443" w:rsidRDefault="00D35A5A" w:rsidP="00BD4497">
            <w:pPr>
              <w:keepNext/>
              <w:jc w:val="center"/>
              <w:rPr>
                <w:sz w:val="20"/>
                <w:lang w:val="en-GB"/>
              </w:rPr>
            </w:pPr>
            <w:r w:rsidRPr="007B5443">
              <w:rPr>
                <w:sz w:val="20"/>
                <w:lang w:val="en-GB"/>
              </w:rPr>
              <w:t>[98.8; 100]</w:t>
            </w:r>
          </w:p>
        </w:tc>
      </w:tr>
      <w:tr w:rsidR="00D35A5A" w:rsidRPr="007B5443" w14:paraId="394F3BD1" w14:textId="77777777" w:rsidTr="00BD4497">
        <w:trPr>
          <w:tblHeader/>
          <w:jc w:val="center"/>
        </w:trPr>
        <w:tc>
          <w:tcPr>
            <w:tcW w:w="1577" w:type="dxa"/>
            <w:tcBorders>
              <w:top w:val="single" w:sz="4" w:space="0" w:color="auto"/>
              <w:left w:val="single" w:sz="4" w:space="0" w:color="auto"/>
              <w:bottom w:val="nil"/>
              <w:right w:val="single" w:sz="4" w:space="0" w:color="auto"/>
            </w:tcBorders>
            <w:shd w:val="clear" w:color="auto" w:fill="auto"/>
          </w:tcPr>
          <w:p w14:paraId="7DD5577F" w14:textId="77777777" w:rsidR="00D35A5A" w:rsidRPr="007B5443" w:rsidRDefault="00D35A5A" w:rsidP="00BD4497">
            <w:pPr>
              <w:keepNext/>
              <w:rPr>
                <w:b/>
                <w:sz w:val="20"/>
                <w:lang w:val="en-GB"/>
              </w:rPr>
            </w:pPr>
            <w:r w:rsidRPr="007B5443">
              <w:rPr>
                <w:b/>
                <w:sz w:val="20"/>
                <w:lang w:val="en-GB"/>
              </w:rPr>
              <w:t xml:space="preserve">Tetanus </w:t>
            </w:r>
          </w:p>
        </w:tc>
        <w:tc>
          <w:tcPr>
            <w:tcW w:w="1134" w:type="dxa"/>
            <w:tcBorders>
              <w:top w:val="single" w:sz="4" w:space="0" w:color="auto"/>
              <w:left w:val="single" w:sz="4" w:space="0" w:color="auto"/>
              <w:bottom w:val="nil"/>
              <w:right w:val="single" w:sz="4" w:space="0" w:color="auto"/>
            </w:tcBorders>
            <w:shd w:val="clear" w:color="auto" w:fill="auto"/>
          </w:tcPr>
          <w:p w14:paraId="7C8AAB34" w14:textId="77777777" w:rsidR="00D35A5A" w:rsidRPr="007B5443" w:rsidRDefault="00D35A5A" w:rsidP="00BD4497">
            <w:pPr>
              <w:keepNext/>
              <w:ind w:left="264"/>
              <w:rPr>
                <w:sz w:val="20"/>
                <w:lang w:val="en-GB"/>
              </w:rPr>
            </w:pPr>
            <w:r w:rsidRPr="007B5443">
              <w:rPr>
                <w:sz w:val="20"/>
                <w:lang w:val="en-GB"/>
              </w:rPr>
              <w:t>GMC</w:t>
            </w:r>
          </w:p>
        </w:tc>
        <w:tc>
          <w:tcPr>
            <w:tcW w:w="1697" w:type="dxa"/>
            <w:tcBorders>
              <w:top w:val="single" w:sz="4" w:space="0" w:color="auto"/>
              <w:left w:val="single" w:sz="4" w:space="0" w:color="auto"/>
              <w:bottom w:val="nil"/>
              <w:right w:val="single" w:sz="4" w:space="0" w:color="auto"/>
            </w:tcBorders>
            <w:shd w:val="clear" w:color="auto" w:fill="auto"/>
          </w:tcPr>
          <w:p w14:paraId="6ED6E4B2" w14:textId="77777777" w:rsidR="00D35A5A" w:rsidRPr="007B5443" w:rsidRDefault="00D35A5A" w:rsidP="00BD4497">
            <w:pPr>
              <w:keepNext/>
              <w:jc w:val="center"/>
              <w:rPr>
                <w:sz w:val="20"/>
                <w:lang w:val="en-GB"/>
              </w:rPr>
            </w:pPr>
            <w:r w:rsidRPr="007B5443">
              <w:rPr>
                <w:sz w:val="20"/>
                <w:lang w:val="en-GB"/>
              </w:rPr>
              <w:t>0.48</w:t>
            </w:r>
          </w:p>
        </w:tc>
        <w:tc>
          <w:tcPr>
            <w:tcW w:w="1698" w:type="dxa"/>
            <w:tcBorders>
              <w:top w:val="single" w:sz="4" w:space="0" w:color="auto"/>
              <w:left w:val="single" w:sz="4" w:space="0" w:color="auto"/>
              <w:bottom w:val="nil"/>
              <w:right w:val="single" w:sz="4" w:space="0" w:color="auto"/>
            </w:tcBorders>
            <w:shd w:val="clear" w:color="auto" w:fill="auto"/>
          </w:tcPr>
          <w:p w14:paraId="451075C7" w14:textId="77777777" w:rsidR="00D35A5A" w:rsidRPr="007B5443" w:rsidRDefault="00D35A5A" w:rsidP="00BD4497">
            <w:pPr>
              <w:keepNext/>
              <w:jc w:val="center"/>
              <w:rPr>
                <w:sz w:val="20"/>
                <w:lang w:val="en-GB"/>
              </w:rPr>
            </w:pPr>
            <w:r w:rsidRPr="007B5443">
              <w:rPr>
                <w:sz w:val="20"/>
                <w:lang w:val="en-GB"/>
              </w:rPr>
              <w:t>6.82</w:t>
            </w:r>
          </w:p>
        </w:tc>
        <w:tc>
          <w:tcPr>
            <w:tcW w:w="1698" w:type="dxa"/>
            <w:tcBorders>
              <w:top w:val="single" w:sz="4" w:space="0" w:color="auto"/>
              <w:left w:val="single" w:sz="4" w:space="0" w:color="auto"/>
              <w:bottom w:val="nil"/>
              <w:right w:val="single" w:sz="4" w:space="0" w:color="auto"/>
            </w:tcBorders>
            <w:shd w:val="clear" w:color="auto" w:fill="auto"/>
          </w:tcPr>
          <w:p w14:paraId="2383298A" w14:textId="77777777" w:rsidR="00D35A5A" w:rsidRPr="007B5443" w:rsidRDefault="00D35A5A" w:rsidP="00BD4497">
            <w:pPr>
              <w:keepNext/>
              <w:jc w:val="center"/>
              <w:rPr>
                <w:sz w:val="20"/>
                <w:lang w:val="en-GB"/>
              </w:rPr>
            </w:pPr>
            <w:r w:rsidRPr="007B5443">
              <w:rPr>
                <w:sz w:val="20"/>
                <w:lang w:val="en-GB"/>
              </w:rPr>
              <w:t>7.60</w:t>
            </w:r>
          </w:p>
        </w:tc>
        <w:tc>
          <w:tcPr>
            <w:tcW w:w="1698" w:type="dxa"/>
            <w:tcBorders>
              <w:top w:val="single" w:sz="4" w:space="0" w:color="auto"/>
              <w:left w:val="single" w:sz="4" w:space="0" w:color="auto"/>
              <w:bottom w:val="nil"/>
              <w:right w:val="single" w:sz="4" w:space="0" w:color="auto"/>
            </w:tcBorders>
            <w:shd w:val="clear" w:color="auto" w:fill="auto"/>
          </w:tcPr>
          <w:p w14:paraId="79DD493A" w14:textId="77777777" w:rsidR="00D35A5A" w:rsidRPr="007B5443" w:rsidRDefault="00D35A5A" w:rsidP="00BD4497">
            <w:pPr>
              <w:keepNext/>
              <w:jc w:val="center"/>
              <w:rPr>
                <w:sz w:val="20"/>
                <w:lang w:val="en-GB"/>
              </w:rPr>
            </w:pPr>
            <w:r w:rsidRPr="007B5443">
              <w:rPr>
                <w:sz w:val="20"/>
                <w:lang w:val="en-GB"/>
              </w:rPr>
              <w:t>5.46</w:t>
            </w:r>
          </w:p>
        </w:tc>
      </w:tr>
      <w:tr w:rsidR="00D35A5A" w:rsidRPr="007B5443" w14:paraId="05CBF79E" w14:textId="77777777" w:rsidTr="00BD4497">
        <w:trPr>
          <w:tblHeader/>
          <w:jc w:val="center"/>
        </w:trPr>
        <w:tc>
          <w:tcPr>
            <w:tcW w:w="1577" w:type="dxa"/>
            <w:tcBorders>
              <w:top w:val="nil"/>
              <w:left w:val="single" w:sz="4" w:space="0" w:color="auto"/>
              <w:bottom w:val="nil"/>
              <w:right w:val="single" w:sz="4" w:space="0" w:color="auto"/>
            </w:tcBorders>
            <w:shd w:val="clear" w:color="auto" w:fill="auto"/>
          </w:tcPr>
          <w:p w14:paraId="2FB6A39C" w14:textId="77777777" w:rsidR="00D35A5A" w:rsidRPr="007B5443" w:rsidRDefault="00D35A5A" w:rsidP="00BD4497">
            <w:pPr>
              <w:keepNext/>
              <w:rPr>
                <w:b/>
                <w:sz w:val="20"/>
                <w:lang w:val="en-GB"/>
              </w:rPr>
            </w:pPr>
            <w:r w:rsidRPr="007B5443">
              <w:rPr>
                <w:b/>
                <w:sz w:val="20"/>
                <w:lang w:val="en-GB"/>
              </w:rPr>
              <w:t>(ELISA, IU/mL)</w:t>
            </w:r>
          </w:p>
        </w:tc>
        <w:tc>
          <w:tcPr>
            <w:tcW w:w="1134" w:type="dxa"/>
            <w:tcBorders>
              <w:top w:val="nil"/>
              <w:left w:val="single" w:sz="4" w:space="0" w:color="auto"/>
              <w:bottom w:val="single" w:sz="4" w:space="0" w:color="auto"/>
              <w:right w:val="single" w:sz="4" w:space="0" w:color="auto"/>
            </w:tcBorders>
            <w:shd w:val="clear" w:color="auto" w:fill="auto"/>
          </w:tcPr>
          <w:p w14:paraId="0CAF539E" w14:textId="77777777" w:rsidR="00D35A5A" w:rsidRPr="007B5443" w:rsidRDefault="00D35A5A" w:rsidP="00BD4497">
            <w:pPr>
              <w:keepNext/>
              <w:ind w:left="264"/>
              <w:rPr>
                <w:sz w:val="20"/>
                <w:lang w:val="en-GB"/>
              </w:rPr>
            </w:pPr>
            <w:r w:rsidRPr="007B5443">
              <w:rPr>
                <w:sz w:val="20"/>
                <w:lang w:val="en-GB"/>
              </w:rPr>
              <w:t>95%CI</w:t>
            </w:r>
          </w:p>
        </w:tc>
        <w:tc>
          <w:tcPr>
            <w:tcW w:w="1697" w:type="dxa"/>
            <w:tcBorders>
              <w:top w:val="nil"/>
              <w:left w:val="single" w:sz="4" w:space="0" w:color="auto"/>
              <w:bottom w:val="single" w:sz="4" w:space="0" w:color="auto"/>
              <w:right w:val="single" w:sz="4" w:space="0" w:color="auto"/>
            </w:tcBorders>
            <w:shd w:val="clear" w:color="auto" w:fill="auto"/>
          </w:tcPr>
          <w:p w14:paraId="3D2793DD" w14:textId="77777777" w:rsidR="00D35A5A" w:rsidRPr="007B5443" w:rsidRDefault="00D35A5A" w:rsidP="00BD4497">
            <w:pPr>
              <w:keepNext/>
              <w:jc w:val="center"/>
              <w:rPr>
                <w:sz w:val="20"/>
                <w:lang w:val="en-GB"/>
              </w:rPr>
            </w:pPr>
            <w:r w:rsidRPr="007B5443">
              <w:rPr>
                <w:sz w:val="20"/>
                <w:lang w:val="en-GB"/>
              </w:rPr>
              <w:t>[0.39;0.60]</w:t>
            </w:r>
          </w:p>
        </w:tc>
        <w:tc>
          <w:tcPr>
            <w:tcW w:w="1698" w:type="dxa"/>
            <w:tcBorders>
              <w:top w:val="nil"/>
              <w:left w:val="single" w:sz="4" w:space="0" w:color="auto"/>
              <w:bottom w:val="single" w:sz="4" w:space="0" w:color="auto"/>
              <w:right w:val="single" w:sz="4" w:space="0" w:color="auto"/>
            </w:tcBorders>
            <w:shd w:val="clear" w:color="auto" w:fill="auto"/>
          </w:tcPr>
          <w:p w14:paraId="3260595B" w14:textId="77777777" w:rsidR="00D35A5A" w:rsidRPr="007B5443" w:rsidRDefault="00D35A5A" w:rsidP="00BD4497">
            <w:pPr>
              <w:keepNext/>
              <w:jc w:val="center"/>
              <w:rPr>
                <w:sz w:val="20"/>
                <w:lang w:val="en-GB"/>
              </w:rPr>
            </w:pPr>
            <w:r w:rsidRPr="007B5443">
              <w:rPr>
                <w:sz w:val="20"/>
                <w:lang w:val="en-GB"/>
              </w:rPr>
              <w:t>[5.92;7.87]</w:t>
            </w:r>
          </w:p>
        </w:tc>
        <w:tc>
          <w:tcPr>
            <w:tcW w:w="1698" w:type="dxa"/>
            <w:tcBorders>
              <w:top w:val="nil"/>
              <w:left w:val="single" w:sz="4" w:space="0" w:color="auto"/>
              <w:bottom w:val="single" w:sz="4" w:space="0" w:color="auto"/>
              <w:right w:val="single" w:sz="4" w:space="0" w:color="auto"/>
            </w:tcBorders>
            <w:shd w:val="clear" w:color="auto" w:fill="auto"/>
          </w:tcPr>
          <w:p w14:paraId="3550CA42" w14:textId="77777777" w:rsidR="00D35A5A" w:rsidRPr="007B5443" w:rsidRDefault="00D35A5A" w:rsidP="00BD4497">
            <w:pPr>
              <w:keepNext/>
              <w:jc w:val="center"/>
              <w:rPr>
                <w:sz w:val="20"/>
                <w:lang w:val="en-GB"/>
              </w:rPr>
            </w:pPr>
            <w:r w:rsidRPr="007B5443">
              <w:rPr>
                <w:sz w:val="20"/>
                <w:lang w:val="en-GB"/>
              </w:rPr>
              <w:t>[6.77;8.52]</w:t>
            </w:r>
          </w:p>
        </w:tc>
        <w:tc>
          <w:tcPr>
            <w:tcW w:w="1698" w:type="dxa"/>
            <w:tcBorders>
              <w:top w:val="nil"/>
              <w:left w:val="single" w:sz="4" w:space="0" w:color="auto"/>
              <w:bottom w:val="single" w:sz="4" w:space="0" w:color="auto"/>
              <w:right w:val="single" w:sz="4" w:space="0" w:color="auto"/>
            </w:tcBorders>
            <w:shd w:val="clear" w:color="auto" w:fill="auto"/>
          </w:tcPr>
          <w:p w14:paraId="776C036A" w14:textId="77777777" w:rsidR="00D35A5A" w:rsidRPr="007B5443" w:rsidRDefault="00D35A5A" w:rsidP="00BD4497">
            <w:pPr>
              <w:keepNext/>
              <w:jc w:val="center"/>
              <w:rPr>
                <w:sz w:val="20"/>
                <w:lang w:val="en-GB"/>
              </w:rPr>
            </w:pPr>
            <w:r w:rsidRPr="007B5443">
              <w:rPr>
                <w:sz w:val="20"/>
                <w:lang w:val="en-GB"/>
              </w:rPr>
              <w:t>[5.01;5.96]</w:t>
            </w:r>
          </w:p>
        </w:tc>
      </w:tr>
      <w:tr w:rsidR="00D35A5A" w:rsidRPr="007B5443" w14:paraId="195A5862" w14:textId="77777777" w:rsidTr="00BD4497">
        <w:trPr>
          <w:tblHeader/>
          <w:jc w:val="center"/>
        </w:trPr>
        <w:tc>
          <w:tcPr>
            <w:tcW w:w="1577" w:type="dxa"/>
            <w:tcBorders>
              <w:top w:val="nil"/>
              <w:left w:val="single" w:sz="4" w:space="0" w:color="auto"/>
              <w:bottom w:val="nil"/>
              <w:right w:val="single" w:sz="4" w:space="0" w:color="auto"/>
            </w:tcBorders>
            <w:shd w:val="clear" w:color="auto" w:fill="auto"/>
          </w:tcPr>
          <w:p w14:paraId="7CE7107B" w14:textId="77777777" w:rsidR="00D35A5A" w:rsidRPr="007B5443" w:rsidRDefault="00D35A5A" w:rsidP="00BD4497">
            <w:pPr>
              <w:keepNext/>
              <w:rPr>
                <w:b/>
                <w:sz w:val="20"/>
                <w:lang w:val="en-GB"/>
              </w:rPr>
            </w:pPr>
          </w:p>
        </w:tc>
        <w:tc>
          <w:tcPr>
            <w:tcW w:w="1134" w:type="dxa"/>
            <w:tcBorders>
              <w:top w:val="single" w:sz="4" w:space="0" w:color="auto"/>
              <w:left w:val="single" w:sz="4" w:space="0" w:color="auto"/>
              <w:bottom w:val="nil"/>
              <w:right w:val="single" w:sz="4" w:space="0" w:color="auto"/>
            </w:tcBorders>
            <w:shd w:val="clear" w:color="auto" w:fill="auto"/>
          </w:tcPr>
          <w:p w14:paraId="477045B4" w14:textId="77777777" w:rsidR="00D35A5A" w:rsidRPr="007B5443" w:rsidRDefault="00D35A5A" w:rsidP="00BD4497">
            <w:pPr>
              <w:keepNext/>
              <w:ind w:left="264"/>
              <w:rPr>
                <w:sz w:val="20"/>
                <w:lang w:val="en-GB"/>
              </w:rPr>
            </w:pPr>
            <w:r w:rsidRPr="007B5443">
              <w:rPr>
                <w:sz w:val="20"/>
                <w:lang w:val="en-GB"/>
              </w:rPr>
              <w:t>≥0.1 </w:t>
            </w:r>
          </w:p>
        </w:tc>
        <w:tc>
          <w:tcPr>
            <w:tcW w:w="1697" w:type="dxa"/>
            <w:tcBorders>
              <w:top w:val="single" w:sz="4" w:space="0" w:color="auto"/>
              <w:left w:val="single" w:sz="4" w:space="0" w:color="auto"/>
              <w:bottom w:val="nil"/>
              <w:right w:val="single" w:sz="4" w:space="0" w:color="auto"/>
            </w:tcBorders>
            <w:shd w:val="clear" w:color="auto" w:fill="auto"/>
          </w:tcPr>
          <w:p w14:paraId="392EF085" w14:textId="77777777" w:rsidR="00D35A5A" w:rsidRPr="007B5443" w:rsidRDefault="00D35A5A" w:rsidP="00BD4497">
            <w:pPr>
              <w:keepNext/>
              <w:jc w:val="center"/>
              <w:rPr>
                <w:sz w:val="20"/>
                <w:lang w:val="en-GB"/>
              </w:rPr>
            </w:pPr>
            <w:r w:rsidRPr="007B5443">
              <w:rPr>
                <w:sz w:val="20"/>
                <w:lang w:val="en-GB"/>
              </w:rPr>
              <w:t>81.2%</w:t>
            </w:r>
          </w:p>
        </w:tc>
        <w:tc>
          <w:tcPr>
            <w:tcW w:w="1698" w:type="dxa"/>
            <w:tcBorders>
              <w:top w:val="single" w:sz="4" w:space="0" w:color="auto"/>
              <w:left w:val="single" w:sz="4" w:space="0" w:color="auto"/>
              <w:bottom w:val="nil"/>
              <w:right w:val="single" w:sz="4" w:space="0" w:color="auto"/>
            </w:tcBorders>
            <w:shd w:val="clear" w:color="auto" w:fill="auto"/>
          </w:tcPr>
          <w:p w14:paraId="58CDE7E5" w14:textId="77777777" w:rsidR="00D35A5A" w:rsidRPr="007B5443" w:rsidRDefault="00D35A5A" w:rsidP="00BD4497">
            <w:pPr>
              <w:keepNext/>
              <w:jc w:val="center"/>
              <w:rPr>
                <w:sz w:val="20"/>
                <w:lang w:val="en-GB"/>
              </w:rPr>
            </w:pPr>
            <w:r w:rsidRPr="007B5443">
              <w:rPr>
                <w:sz w:val="20"/>
                <w:lang w:val="en-GB"/>
              </w:rPr>
              <w:t>98.5%</w:t>
            </w:r>
          </w:p>
        </w:tc>
        <w:tc>
          <w:tcPr>
            <w:tcW w:w="1698" w:type="dxa"/>
            <w:tcBorders>
              <w:top w:val="single" w:sz="4" w:space="0" w:color="auto"/>
              <w:left w:val="single" w:sz="4" w:space="0" w:color="auto"/>
              <w:bottom w:val="nil"/>
              <w:right w:val="single" w:sz="4" w:space="0" w:color="auto"/>
            </w:tcBorders>
            <w:shd w:val="clear" w:color="auto" w:fill="auto"/>
          </w:tcPr>
          <w:p w14:paraId="6E462444" w14:textId="77777777" w:rsidR="00D35A5A" w:rsidRPr="007B5443" w:rsidRDefault="00D35A5A" w:rsidP="00BD4497">
            <w:pPr>
              <w:keepNext/>
              <w:jc w:val="center"/>
              <w:rPr>
                <w:sz w:val="20"/>
                <w:lang w:val="en-GB"/>
              </w:rPr>
            </w:pPr>
            <w:r w:rsidRPr="007B5443">
              <w:rPr>
                <w:sz w:val="20"/>
                <w:lang w:val="en-GB"/>
              </w:rPr>
              <w:t>100%</w:t>
            </w:r>
          </w:p>
        </w:tc>
        <w:tc>
          <w:tcPr>
            <w:tcW w:w="1698" w:type="dxa"/>
            <w:tcBorders>
              <w:top w:val="single" w:sz="4" w:space="0" w:color="auto"/>
              <w:left w:val="single" w:sz="4" w:space="0" w:color="auto"/>
              <w:bottom w:val="nil"/>
              <w:right w:val="single" w:sz="4" w:space="0" w:color="auto"/>
            </w:tcBorders>
            <w:shd w:val="clear" w:color="auto" w:fill="auto"/>
          </w:tcPr>
          <w:p w14:paraId="13EA2A02" w14:textId="77777777" w:rsidR="00D35A5A" w:rsidRPr="007B5443" w:rsidRDefault="00D35A5A" w:rsidP="00BD4497">
            <w:pPr>
              <w:keepNext/>
              <w:jc w:val="center"/>
              <w:rPr>
                <w:sz w:val="20"/>
                <w:lang w:val="en-GB"/>
              </w:rPr>
            </w:pPr>
            <w:r w:rsidRPr="007B5443">
              <w:rPr>
                <w:sz w:val="20"/>
                <w:lang w:val="en-GB"/>
              </w:rPr>
              <w:t>100%</w:t>
            </w:r>
          </w:p>
        </w:tc>
      </w:tr>
      <w:tr w:rsidR="00D35A5A" w:rsidRPr="007B5443" w14:paraId="00E598EA" w14:textId="77777777" w:rsidTr="00BD4497">
        <w:trPr>
          <w:tblHeader/>
          <w:jc w:val="center"/>
        </w:trPr>
        <w:tc>
          <w:tcPr>
            <w:tcW w:w="1577" w:type="dxa"/>
            <w:tcBorders>
              <w:top w:val="nil"/>
              <w:left w:val="single" w:sz="4" w:space="0" w:color="auto"/>
              <w:bottom w:val="nil"/>
              <w:right w:val="single" w:sz="4" w:space="0" w:color="auto"/>
            </w:tcBorders>
            <w:shd w:val="clear" w:color="auto" w:fill="auto"/>
          </w:tcPr>
          <w:p w14:paraId="39FD7048" w14:textId="77777777" w:rsidR="00D35A5A" w:rsidRPr="007B5443" w:rsidRDefault="00D35A5A" w:rsidP="00BD4497">
            <w:pPr>
              <w:keepNext/>
              <w:rPr>
                <w:b/>
                <w:sz w:val="20"/>
                <w:lang w:val="en-GB"/>
              </w:rPr>
            </w:pPr>
          </w:p>
        </w:tc>
        <w:tc>
          <w:tcPr>
            <w:tcW w:w="1134" w:type="dxa"/>
            <w:tcBorders>
              <w:top w:val="nil"/>
              <w:left w:val="single" w:sz="4" w:space="0" w:color="auto"/>
              <w:bottom w:val="single" w:sz="4" w:space="0" w:color="auto"/>
              <w:right w:val="single" w:sz="4" w:space="0" w:color="auto"/>
            </w:tcBorders>
            <w:shd w:val="clear" w:color="auto" w:fill="auto"/>
          </w:tcPr>
          <w:p w14:paraId="4AC95B57" w14:textId="77777777" w:rsidR="00D35A5A" w:rsidRPr="007B5443" w:rsidRDefault="00D35A5A" w:rsidP="00BD4497">
            <w:pPr>
              <w:keepNext/>
              <w:ind w:left="264"/>
              <w:rPr>
                <w:sz w:val="20"/>
                <w:lang w:val="en-GB"/>
              </w:rPr>
            </w:pPr>
            <w:r w:rsidRPr="007B5443">
              <w:rPr>
                <w:sz w:val="20"/>
                <w:lang w:val="en-GB"/>
              </w:rPr>
              <w:t>95%CI</w:t>
            </w:r>
          </w:p>
        </w:tc>
        <w:tc>
          <w:tcPr>
            <w:tcW w:w="1697" w:type="dxa"/>
            <w:tcBorders>
              <w:top w:val="nil"/>
              <w:left w:val="single" w:sz="4" w:space="0" w:color="auto"/>
              <w:bottom w:val="single" w:sz="4" w:space="0" w:color="auto"/>
              <w:right w:val="single" w:sz="4" w:space="0" w:color="auto"/>
            </w:tcBorders>
            <w:shd w:val="clear" w:color="auto" w:fill="auto"/>
          </w:tcPr>
          <w:p w14:paraId="29C1E2A3" w14:textId="77777777" w:rsidR="00D35A5A" w:rsidRPr="007B5443" w:rsidRDefault="00D35A5A" w:rsidP="00BD4497">
            <w:pPr>
              <w:keepNext/>
              <w:jc w:val="center"/>
              <w:rPr>
                <w:sz w:val="20"/>
                <w:lang w:val="en-GB"/>
              </w:rPr>
            </w:pPr>
            <w:r w:rsidRPr="007B5443">
              <w:rPr>
                <w:sz w:val="20"/>
                <w:lang w:val="en-GB"/>
              </w:rPr>
              <w:t>[76.6; 85.3]</w:t>
            </w:r>
          </w:p>
        </w:tc>
        <w:tc>
          <w:tcPr>
            <w:tcW w:w="1698" w:type="dxa"/>
            <w:tcBorders>
              <w:top w:val="nil"/>
              <w:left w:val="single" w:sz="4" w:space="0" w:color="auto"/>
              <w:bottom w:val="single" w:sz="4" w:space="0" w:color="auto"/>
              <w:right w:val="single" w:sz="4" w:space="0" w:color="auto"/>
            </w:tcBorders>
            <w:shd w:val="clear" w:color="auto" w:fill="auto"/>
          </w:tcPr>
          <w:p w14:paraId="0E204C61" w14:textId="77777777" w:rsidR="00D35A5A" w:rsidRPr="007B5443" w:rsidRDefault="00D35A5A" w:rsidP="00BD4497">
            <w:pPr>
              <w:keepNext/>
              <w:jc w:val="center"/>
              <w:rPr>
                <w:sz w:val="20"/>
                <w:lang w:val="en-GB"/>
              </w:rPr>
            </w:pPr>
            <w:r w:rsidRPr="007B5443">
              <w:rPr>
                <w:sz w:val="20"/>
                <w:lang w:val="en-GB"/>
              </w:rPr>
              <w:t>[96.5; 99.5]</w:t>
            </w:r>
          </w:p>
        </w:tc>
        <w:tc>
          <w:tcPr>
            <w:tcW w:w="1698" w:type="dxa"/>
            <w:tcBorders>
              <w:top w:val="nil"/>
              <w:left w:val="single" w:sz="4" w:space="0" w:color="auto"/>
              <w:bottom w:val="single" w:sz="4" w:space="0" w:color="auto"/>
              <w:right w:val="single" w:sz="4" w:space="0" w:color="auto"/>
            </w:tcBorders>
            <w:shd w:val="clear" w:color="auto" w:fill="auto"/>
          </w:tcPr>
          <w:p w14:paraId="081ECB75" w14:textId="77777777" w:rsidR="00D35A5A" w:rsidRPr="007B5443" w:rsidRDefault="00D35A5A" w:rsidP="00BD4497">
            <w:pPr>
              <w:keepNext/>
              <w:jc w:val="center"/>
              <w:rPr>
                <w:sz w:val="20"/>
                <w:lang w:val="en-GB"/>
              </w:rPr>
            </w:pPr>
            <w:r w:rsidRPr="007B5443">
              <w:rPr>
                <w:sz w:val="20"/>
                <w:lang w:val="en-GB"/>
              </w:rPr>
              <w:t>[98.9; 100]</w:t>
            </w:r>
          </w:p>
        </w:tc>
        <w:tc>
          <w:tcPr>
            <w:tcW w:w="1698" w:type="dxa"/>
            <w:tcBorders>
              <w:top w:val="nil"/>
              <w:left w:val="single" w:sz="4" w:space="0" w:color="auto"/>
              <w:bottom w:val="single" w:sz="4" w:space="0" w:color="auto"/>
              <w:right w:val="single" w:sz="4" w:space="0" w:color="auto"/>
            </w:tcBorders>
            <w:shd w:val="clear" w:color="auto" w:fill="auto"/>
          </w:tcPr>
          <w:p w14:paraId="206FED0C" w14:textId="77777777" w:rsidR="00D35A5A" w:rsidRPr="007B5443" w:rsidRDefault="00D35A5A" w:rsidP="00BD4497">
            <w:pPr>
              <w:keepNext/>
              <w:jc w:val="center"/>
              <w:rPr>
                <w:sz w:val="20"/>
                <w:lang w:val="en-GB"/>
              </w:rPr>
            </w:pPr>
            <w:r w:rsidRPr="007B5443">
              <w:rPr>
                <w:sz w:val="20"/>
                <w:lang w:val="en-GB"/>
              </w:rPr>
              <w:t>[98.8; 100]</w:t>
            </w:r>
          </w:p>
        </w:tc>
      </w:tr>
      <w:tr w:rsidR="00D35A5A" w:rsidRPr="007B5443" w14:paraId="7F0F97B8" w14:textId="77777777" w:rsidTr="00BD4497">
        <w:trPr>
          <w:tblHeader/>
          <w:jc w:val="center"/>
        </w:trPr>
        <w:tc>
          <w:tcPr>
            <w:tcW w:w="1577" w:type="dxa"/>
            <w:tcBorders>
              <w:top w:val="nil"/>
              <w:left w:val="single" w:sz="4" w:space="0" w:color="auto"/>
              <w:bottom w:val="nil"/>
              <w:right w:val="single" w:sz="4" w:space="0" w:color="auto"/>
            </w:tcBorders>
            <w:shd w:val="clear" w:color="auto" w:fill="auto"/>
          </w:tcPr>
          <w:p w14:paraId="0327FB4A" w14:textId="77777777" w:rsidR="00D35A5A" w:rsidRPr="007B5443" w:rsidRDefault="00D35A5A" w:rsidP="00BD4497">
            <w:pPr>
              <w:keepNext/>
              <w:rPr>
                <w:b/>
                <w:sz w:val="20"/>
                <w:lang w:val="en-GB"/>
              </w:rPr>
            </w:pPr>
          </w:p>
        </w:tc>
        <w:tc>
          <w:tcPr>
            <w:tcW w:w="1134" w:type="dxa"/>
            <w:tcBorders>
              <w:top w:val="single" w:sz="4" w:space="0" w:color="auto"/>
              <w:left w:val="single" w:sz="4" w:space="0" w:color="auto"/>
              <w:bottom w:val="nil"/>
              <w:right w:val="single" w:sz="4" w:space="0" w:color="auto"/>
            </w:tcBorders>
            <w:shd w:val="clear" w:color="auto" w:fill="auto"/>
          </w:tcPr>
          <w:p w14:paraId="2FDFF4CA" w14:textId="77777777" w:rsidR="00D35A5A" w:rsidRPr="007B5443" w:rsidRDefault="00D35A5A" w:rsidP="00BD4497">
            <w:pPr>
              <w:keepNext/>
              <w:ind w:left="264"/>
              <w:rPr>
                <w:sz w:val="20"/>
                <w:lang w:val="en-GB"/>
              </w:rPr>
            </w:pPr>
            <w:r w:rsidRPr="007B5443">
              <w:rPr>
                <w:sz w:val="20"/>
                <w:lang w:val="en-GB"/>
              </w:rPr>
              <w:t>≥0.01 </w:t>
            </w:r>
          </w:p>
        </w:tc>
        <w:tc>
          <w:tcPr>
            <w:tcW w:w="1697" w:type="dxa"/>
            <w:tcBorders>
              <w:top w:val="single" w:sz="4" w:space="0" w:color="auto"/>
              <w:left w:val="single" w:sz="4" w:space="0" w:color="auto"/>
              <w:bottom w:val="nil"/>
              <w:right w:val="single" w:sz="4" w:space="0" w:color="auto"/>
            </w:tcBorders>
            <w:shd w:val="clear" w:color="auto" w:fill="auto"/>
          </w:tcPr>
          <w:p w14:paraId="3DBEC37B" w14:textId="77777777" w:rsidR="00D35A5A" w:rsidRPr="007B5443" w:rsidRDefault="00D35A5A" w:rsidP="00BD4497">
            <w:pPr>
              <w:keepNext/>
              <w:jc w:val="center"/>
              <w:rPr>
                <w:sz w:val="20"/>
                <w:lang w:val="en-GB"/>
              </w:rPr>
            </w:pPr>
            <w:r w:rsidRPr="007B5443">
              <w:rPr>
                <w:sz w:val="20"/>
                <w:lang w:val="en-GB"/>
              </w:rPr>
              <w:t>92.4%</w:t>
            </w:r>
          </w:p>
        </w:tc>
        <w:tc>
          <w:tcPr>
            <w:tcW w:w="1698" w:type="dxa"/>
            <w:tcBorders>
              <w:top w:val="single" w:sz="4" w:space="0" w:color="auto"/>
              <w:left w:val="single" w:sz="4" w:space="0" w:color="auto"/>
              <w:bottom w:val="nil"/>
              <w:right w:val="single" w:sz="4" w:space="0" w:color="auto"/>
            </w:tcBorders>
            <w:shd w:val="clear" w:color="auto" w:fill="auto"/>
          </w:tcPr>
          <w:p w14:paraId="5A5E2BEC" w14:textId="77777777" w:rsidR="00D35A5A" w:rsidRPr="007B5443" w:rsidRDefault="00D35A5A" w:rsidP="00BD4497">
            <w:pPr>
              <w:keepNext/>
              <w:jc w:val="center"/>
              <w:rPr>
                <w:sz w:val="20"/>
                <w:lang w:val="en-GB"/>
              </w:rPr>
            </w:pPr>
            <w:r w:rsidRPr="007B5443">
              <w:rPr>
                <w:sz w:val="20"/>
                <w:lang w:val="en-GB"/>
              </w:rPr>
              <w:t>99.7%</w:t>
            </w:r>
          </w:p>
        </w:tc>
        <w:tc>
          <w:tcPr>
            <w:tcW w:w="1698" w:type="dxa"/>
            <w:tcBorders>
              <w:top w:val="single" w:sz="4" w:space="0" w:color="auto"/>
              <w:left w:val="single" w:sz="4" w:space="0" w:color="auto"/>
              <w:bottom w:val="nil"/>
              <w:right w:val="single" w:sz="4" w:space="0" w:color="auto"/>
            </w:tcBorders>
            <w:shd w:val="clear" w:color="auto" w:fill="auto"/>
          </w:tcPr>
          <w:p w14:paraId="69C7E3FC" w14:textId="77777777" w:rsidR="00D35A5A" w:rsidRPr="007B5443" w:rsidRDefault="00D35A5A" w:rsidP="00BD4497">
            <w:pPr>
              <w:keepNext/>
              <w:jc w:val="center"/>
              <w:rPr>
                <w:sz w:val="20"/>
                <w:lang w:val="en-GB"/>
              </w:rPr>
            </w:pPr>
            <w:r w:rsidRPr="007B5443">
              <w:rPr>
                <w:sz w:val="20"/>
                <w:lang w:val="en-GB"/>
              </w:rPr>
              <w:t>100%</w:t>
            </w:r>
          </w:p>
        </w:tc>
        <w:tc>
          <w:tcPr>
            <w:tcW w:w="1698" w:type="dxa"/>
            <w:tcBorders>
              <w:top w:val="single" w:sz="4" w:space="0" w:color="auto"/>
              <w:left w:val="single" w:sz="4" w:space="0" w:color="auto"/>
              <w:bottom w:val="nil"/>
              <w:right w:val="single" w:sz="4" w:space="0" w:color="auto"/>
            </w:tcBorders>
            <w:shd w:val="clear" w:color="auto" w:fill="auto"/>
          </w:tcPr>
          <w:p w14:paraId="34821FED" w14:textId="77777777" w:rsidR="00D35A5A" w:rsidRPr="007B5443" w:rsidRDefault="00D35A5A" w:rsidP="00BD4497">
            <w:pPr>
              <w:keepNext/>
              <w:jc w:val="center"/>
              <w:rPr>
                <w:sz w:val="20"/>
                <w:lang w:val="en-GB"/>
              </w:rPr>
            </w:pPr>
            <w:r w:rsidRPr="007B5443">
              <w:rPr>
                <w:sz w:val="20"/>
                <w:lang w:val="en-GB"/>
              </w:rPr>
              <w:t>100%</w:t>
            </w:r>
          </w:p>
        </w:tc>
      </w:tr>
      <w:tr w:rsidR="00D35A5A" w:rsidRPr="007B5443" w14:paraId="38C09E75" w14:textId="77777777" w:rsidTr="00BD4497">
        <w:trPr>
          <w:tblHeader/>
          <w:jc w:val="center"/>
        </w:trPr>
        <w:tc>
          <w:tcPr>
            <w:tcW w:w="1577" w:type="dxa"/>
            <w:tcBorders>
              <w:top w:val="nil"/>
              <w:left w:val="single" w:sz="4" w:space="0" w:color="auto"/>
              <w:bottom w:val="single" w:sz="4" w:space="0" w:color="auto"/>
              <w:right w:val="single" w:sz="4" w:space="0" w:color="auto"/>
            </w:tcBorders>
            <w:shd w:val="clear" w:color="auto" w:fill="auto"/>
          </w:tcPr>
          <w:p w14:paraId="143C58C5" w14:textId="77777777" w:rsidR="00D35A5A" w:rsidRPr="007B5443" w:rsidRDefault="00D35A5A" w:rsidP="00BD4497">
            <w:pPr>
              <w:keepNext/>
              <w:rPr>
                <w:b/>
                <w:sz w:val="20"/>
                <w:lang w:val="en-GB"/>
              </w:rPr>
            </w:pPr>
          </w:p>
        </w:tc>
        <w:tc>
          <w:tcPr>
            <w:tcW w:w="1134" w:type="dxa"/>
            <w:tcBorders>
              <w:top w:val="nil"/>
              <w:left w:val="single" w:sz="4" w:space="0" w:color="auto"/>
              <w:bottom w:val="single" w:sz="4" w:space="0" w:color="auto"/>
              <w:right w:val="single" w:sz="4" w:space="0" w:color="auto"/>
            </w:tcBorders>
            <w:shd w:val="clear" w:color="auto" w:fill="auto"/>
          </w:tcPr>
          <w:p w14:paraId="6A2638D5" w14:textId="77777777" w:rsidR="00D35A5A" w:rsidRPr="007B5443" w:rsidRDefault="00D35A5A" w:rsidP="00BD4497">
            <w:pPr>
              <w:keepNext/>
              <w:ind w:left="264"/>
              <w:rPr>
                <w:sz w:val="20"/>
                <w:lang w:val="en-GB"/>
              </w:rPr>
            </w:pPr>
            <w:r w:rsidRPr="007B5443">
              <w:rPr>
                <w:sz w:val="20"/>
                <w:lang w:val="en-GB"/>
              </w:rPr>
              <w:t>95%CI</w:t>
            </w:r>
          </w:p>
        </w:tc>
        <w:tc>
          <w:tcPr>
            <w:tcW w:w="1697" w:type="dxa"/>
            <w:tcBorders>
              <w:top w:val="nil"/>
              <w:left w:val="single" w:sz="4" w:space="0" w:color="auto"/>
              <w:bottom w:val="single" w:sz="4" w:space="0" w:color="auto"/>
              <w:right w:val="single" w:sz="4" w:space="0" w:color="auto"/>
            </w:tcBorders>
            <w:shd w:val="clear" w:color="auto" w:fill="auto"/>
          </w:tcPr>
          <w:p w14:paraId="575F3738" w14:textId="77777777" w:rsidR="00D35A5A" w:rsidRPr="007B5443" w:rsidRDefault="00D35A5A" w:rsidP="00BD4497">
            <w:pPr>
              <w:keepNext/>
              <w:jc w:val="center"/>
              <w:rPr>
                <w:sz w:val="20"/>
                <w:lang w:val="en-GB"/>
              </w:rPr>
            </w:pPr>
            <w:r w:rsidRPr="007B5443">
              <w:rPr>
                <w:sz w:val="20"/>
                <w:lang w:val="en-GB"/>
              </w:rPr>
              <w:t>[89.0; 95.0]</w:t>
            </w:r>
          </w:p>
        </w:tc>
        <w:tc>
          <w:tcPr>
            <w:tcW w:w="1698" w:type="dxa"/>
            <w:tcBorders>
              <w:top w:val="nil"/>
              <w:left w:val="single" w:sz="4" w:space="0" w:color="auto"/>
              <w:bottom w:val="single" w:sz="4" w:space="0" w:color="auto"/>
              <w:right w:val="single" w:sz="4" w:space="0" w:color="auto"/>
            </w:tcBorders>
            <w:shd w:val="clear" w:color="auto" w:fill="auto"/>
          </w:tcPr>
          <w:p w14:paraId="7AD63223" w14:textId="77777777" w:rsidR="00D35A5A" w:rsidRPr="007B5443" w:rsidRDefault="00D35A5A" w:rsidP="00BD4497">
            <w:pPr>
              <w:keepNext/>
              <w:jc w:val="center"/>
              <w:rPr>
                <w:sz w:val="20"/>
                <w:lang w:val="en-GB"/>
              </w:rPr>
            </w:pPr>
            <w:r w:rsidRPr="007B5443">
              <w:rPr>
                <w:sz w:val="20"/>
                <w:lang w:val="en-GB"/>
              </w:rPr>
              <w:t>[98.3; 100]</w:t>
            </w:r>
          </w:p>
        </w:tc>
        <w:tc>
          <w:tcPr>
            <w:tcW w:w="1698" w:type="dxa"/>
            <w:tcBorders>
              <w:top w:val="nil"/>
              <w:left w:val="single" w:sz="4" w:space="0" w:color="auto"/>
              <w:bottom w:val="single" w:sz="4" w:space="0" w:color="auto"/>
              <w:right w:val="single" w:sz="4" w:space="0" w:color="auto"/>
            </w:tcBorders>
            <w:shd w:val="clear" w:color="auto" w:fill="auto"/>
          </w:tcPr>
          <w:p w14:paraId="064E5DE8" w14:textId="77777777" w:rsidR="00D35A5A" w:rsidRPr="007B5443" w:rsidRDefault="00D35A5A" w:rsidP="00BD4497">
            <w:pPr>
              <w:keepNext/>
              <w:jc w:val="center"/>
              <w:rPr>
                <w:sz w:val="20"/>
                <w:lang w:val="en-GB"/>
              </w:rPr>
            </w:pPr>
            <w:r w:rsidRPr="007B5443">
              <w:rPr>
                <w:sz w:val="20"/>
                <w:lang w:val="en-GB"/>
              </w:rPr>
              <w:t>[98.9; 100]</w:t>
            </w:r>
          </w:p>
        </w:tc>
        <w:tc>
          <w:tcPr>
            <w:tcW w:w="1698" w:type="dxa"/>
            <w:tcBorders>
              <w:top w:val="nil"/>
              <w:left w:val="single" w:sz="4" w:space="0" w:color="auto"/>
              <w:bottom w:val="single" w:sz="4" w:space="0" w:color="auto"/>
              <w:right w:val="single" w:sz="4" w:space="0" w:color="auto"/>
            </w:tcBorders>
            <w:shd w:val="clear" w:color="auto" w:fill="auto"/>
          </w:tcPr>
          <w:p w14:paraId="0775440F" w14:textId="77777777" w:rsidR="00D35A5A" w:rsidRPr="007B5443" w:rsidRDefault="00D35A5A" w:rsidP="00BD4497">
            <w:pPr>
              <w:keepNext/>
              <w:jc w:val="center"/>
              <w:rPr>
                <w:sz w:val="20"/>
                <w:lang w:val="en-GB"/>
              </w:rPr>
            </w:pPr>
            <w:r w:rsidRPr="007B5443">
              <w:rPr>
                <w:sz w:val="20"/>
                <w:lang w:val="en-GB"/>
              </w:rPr>
              <w:t>[98.8; 100]</w:t>
            </w:r>
          </w:p>
        </w:tc>
      </w:tr>
      <w:tr w:rsidR="00D35A5A" w:rsidRPr="007B5443" w14:paraId="1F12D850" w14:textId="77777777" w:rsidTr="00BD4497">
        <w:trPr>
          <w:tblHeader/>
          <w:jc w:val="center"/>
        </w:trPr>
        <w:tc>
          <w:tcPr>
            <w:tcW w:w="9502" w:type="dxa"/>
            <w:gridSpan w:val="6"/>
            <w:tcBorders>
              <w:top w:val="single" w:sz="4" w:space="0" w:color="auto"/>
              <w:left w:val="single" w:sz="4" w:space="0" w:color="auto"/>
              <w:bottom w:val="single" w:sz="4" w:space="0" w:color="auto"/>
              <w:right w:val="single" w:sz="4" w:space="0" w:color="auto"/>
            </w:tcBorders>
            <w:shd w:val="clear" w:color="auto" w:fill="auto"/>
          </w:tcPr>
          <w:p w14:paraId="508BD262" w14:textId="77777777" w:rsidR="00D35A5A" w:rsidRPr="007B5443" w:rsidRDefault="00D35A5A" w:rsidP="00BD4497">
            <w:pPr>
              <w:keepNext/>
              <w:rPr>
                <w:b/>
                <w:sz w:val="20"/>
                <w:lang w:val="en-GB"/>
              </w:rPr>
            </w:pPr>
            <w:r w:rsidRPr="007B5443">
              <w:rPr>
                <w:b/>
                <w:sz w:val="20"/>
                <w:lang w:val="en-GB"/>
              </w:rPr>
              <w:t>Poliomyelitis (SN, 1/</w:t>
            </w:r>
            <w:proofErr w:type="spellStart"/>
            <w:r w:rsidRPr="007B5443">
              <w:rPr>
                <w:b/>
                <w:sz w:val="20"/>
                <w:lang w:val="en-GB"/>
              </w:rPr>
              <w:t>dil</w:t>
            </w:r>
            <w:proofErr w:type="spellEnd"/>
            <w:r w:rsidRPr="007B5443">
              <w:rPr>
                <w:b/>
                <w:sz w:val="20"/>
                <w:lang w:val="en-GB"/>
              </w:rPr>
              <w:t>)</w:t>
            </w:r>
          </w:p>
        </w:tc>
      </w:tr>
      <w:tr w:rsidR="00D35A5A" w:rsidRPr="007B5443" w14:paraId="16392C8D" w14:textId="77777777" w:rsidTr="00BD4497">
        <w:trPr>
          <w:tblHeader/>
          <w:jc w:val="center"/>
        </w:trPr>
        <w:tc>
          <w:tcPr>
            <w:tcW w:w="1577" w:type="dxa"/>
            <w:tcBorders>
              <w:top w:val="single" w:sz="4" w:space="0" w:color="auto"/>
              <w:left w:val="single" w:sz="4" w:space="0" w:color="auto"/>
              <w:bottom w:val="nil"/>
              <w:right w:val="single" w:sz="4" w:space="0" w:color="auto"/>
            </w:tcBorders>
            <w:shd w:val="clear" w:color="auto" w:fill="auto"/>
          </w:tcPr>
          <w:p w14:paraId="31013F51" w14:textId="77777777" w:rsidR="00D35A5A" w:rsidRPr="007B5443" w:rsidRDefault="00D35A5A" w:rsidP="00BD4497">
            <w:pPr>
              <w:keepNext/>
              <w:ind w:left="284"/>
              <w:rPr>
                <w:b/>
                <w:sz w:val="20"/>
                <w:lang w:val="en-GB"/>
              </w:rPr>
            </w:pPr>
            <w:r w:rsidRPr="007B5443">
              <w:rPr>
                <w:b/>
                <w:sz w:val="20"/>
                <w:lang w:val="en-GB"/>
              </w:rPr>
              <w:t>Type 1</w:t>
            </w:r>
          </w:p>
        </w:tc>
        <w:tc>
          <w:tcPr>
            <w:tcW w:w="1134" w:type="dxa"/>
            <w:tcBorders>
              <w:top w:val="single" w:sz="4" w:space="0" w:color="auto"/>
              <w:left w:val="single" w:sz="4" w:space="0" w:color="auto"/>
              <w:bottom w:val="nil"/>
              <w:right w:val="single" w:sz="4" w:space="0" w:color="auto"/>
            </w:tcBorders>
            <w:shd w:val="clear" w:color="auto" w:fill="auto"/>
          </w:tcPr>
          <w:p w14:paraId="17E6E07E" w14:textId="77777777" w:rsidR="00D35A5A" w:rsidRPr="007B5443" w:rsidRDefault="00D35A5A" w:rsidP="00BD4497">
            <w:pPr>
              <w:keepNext/>
              <w:ind w:left="264"/>
              <w:rPr>
                <w:sz w:val="20"/>
                <w:lang w:val="en-GB"/>
              </w:rPr>
            </w:pPr>
            <w:r w:rsidRPr="007B5443">
              <w:rPr>
                <w:sz w:val="20"/>
                <w:lang w:val="en-GB"/>
              </w:rPr>
              <w:t>GMT</w:t>
            </w:r>
          </w:p>
        </w:tc>
        <w:tc>
          <w:tcPr>
            <w:tcW w:w="1697" w:type="dxa"/>
            <w:tcBorders>
              <w:top w:val="single" w:sz="4" w:space="0" w:color="auto"/>
              <w:left w:val="single" w:sz="4" w:space="0" w:color="auto"/>
              <w:bottom w:val="nil"/>
              <w:right w:val="single" w:sz="4" w:space="0" w:color="auto"/>
            </w:tcBorders>
            <w:shd w:val="clear" w:color="auto" w:fill="auto"/>
          </w:tcPr>
          <w:p w14:paraId="0F3F01FE" w14:textId="77777777" w:rsidR="00D35A5A" w:rsidRPr="007B5443" w:rsidRDefault="00D35A5A" w:rsidP="00BD4497">
            <w:pPr>
              <w:keepNext/>
              <w:jc w:val="center"/>
              <w:rPr>
                <w:sz w:val="20"/>
                <w:lang w:val="en-GB"/>
              </w:rPr>
            </w:pPr>
            <w:r w:rsidRPr="007B5443">
              <w:rPr>
                <w:sz w:val="20"/>
                <w:lang w:val="en-GB"/>
              </w:rPr>
              <w:t>162.6</w:t>
            </w:r>
          </w:p>
        </w:tc>
        <w:tc>
          <w:tcPr>
            <w:tcW w:w="1698" w:type="dxa"/>
            <w:tcBorders>
              <w:top w:val="single" w:sz="4" w:space="0" w:color="auto"/>
              <w:left w:val="single" w:sz="4" w:space="0" w:color="auto"/>
              <w:bottom w:val="nil"/>
              <w:right w:val="single" w:sz="4" w:space="0" w:color="auto"/>
            </w:tcBorders>
            <w:shd w:val="clear" w:color="auto" w:fill="auto"/>
          </w:tcPr>
          <w:p w14:paraId="7F3C13EF" w14:textId="77777777" w:rsidR="00D35A5A" w:rsidRPr="007B5443" w:rsidRDefault="00D35A5A" w:rsidP="00BD4497">
            <w:pPr>
              <w:keepNext/>
              <w:jc w:val="center"/>
              <w:rPr>
                <w:sz w:val="20"/>
                <w:lang w:val="en-GB"/>
              </w:rPr>
            </w:pPr>
            <w:r w:rsidRPr="007B5443">
              <w:rPr>
                <w:sz w:val="20"/>
                <w:lang w:val="en-GB"/>
              </w:rPr>
              <w:t>2869.0</w:t>
            </w:r>
          </w:p>
        </w:tc>
        <w:tc>
          <w:tcPr>
            <w:tcW w:w="1698" w:type="dxa"/>
            <w:tcBorders>
              <w:top w:val="single" w:sz="4" w:space="0" w:color="auto"/>
              <w:left w:val="single" w:sz="4" w:space="0" w:color="auto"/>
              <w:bottom w:val="nil"/>
              <w:right w:val="single" w:sz="4" w:space="0" w:color="auto"/>
            </w:tcBorders>
            <w:shd w:val="clear" w:color="auto" w:fill="auto"/>
          </w:tcPr>
          <w:p w14:paraId="3ED5AD89" w14:textId="77777777" w:rsidR="00D35A5A" w:rsidRPr="007B5443" w:rsidRDefault="00D35A5A" w:rsidP="00BD4497">
            <w:pPr>
              <w:keepNext/>
              <w:jc w:val="center"/>
              <w:rPr>
                <w:sz w:val="20"/>
                <w:lang w:val="en-GB"/>
              </w:rPr>
            </w:pPr>
            <w:r w:rsidRPr="007B5443">
              <w:rPr>
                <w:sz w:val="20"/>
                <w:lang w:val="en-GB"/>
              </w:rPr>
              <w:t>2320.2</w:t>
            </w:r>
          </w:p>
        </w:tc>
        <w:tc>
          <w:tcPr>
            <w:tcW w:w="1698" w:type="dxa"/>
            <w:tcBorders>
              <w:top w:val="single" w:sz="4" w:space="0" w:color="auto"/>
              <w:left w:val="single" w:sz="4" w:space="0" w:color="auto"/>
              <w:bottom w:val="nil"/>
              <w:right w:val="single" w:sz="4" w:space="0" w:color="auto"/>
            </w:tcBorders>
            <w:shd w:val="clear" w:color="auto" w:fill="auto"/>
          </w:tcPr>
          <w:p w14:paraId="266F4866" w14:textId="77777777" w:rsidR="00D35A5A" w:rsidRPr="007B5443" w:rsidRDefault="00D35A5A" w:rsidP="00BD4497">
            <w:pPr>
              <w:keepNext/>
              <w:jc w:val="center"/>
              <w:rPr>
                <w:sz w:val="20"/>
                <w:lang w:val="en-GB"/>
              </w:rPr>
            </w:pPr>
            <w:r w:rsidRPr="007B5443">
              <w:rPr>
                <w:sz w:val="20"/>
                <w:lang w:val="en-GB"/>
              </w:rPr>
              <w:t>1601.9</w:t>
            </w:r>
          </w:p>
        </w:tc>
      </w:tr>
      <w:tr w:rsidR="00D35A5A" w:rsidRPr="007B5443" w14:paraId="3DBFBB8A" w14:textId="77777777" w:rsidTr="00BD4497">
        <w:trPr>
          <w:tblHeader/>
          <w:jc w:val="center"/>
        </w:trPr>
        <w:tc>
          <w:tcPr>
            <w:tcW w:w="1577" w:type="dxa"/>
            <w:tcBorders>
              <w:top w:val="nil"/>
              <w:left w:val="single" w:sz="4" w:space="0" w:color="auto"/>
              <w:bottom w:val="nil"/>
              <w:right w:val="single" w:sz="4" w:space="0" w:color="auto"/>
            </w:tcBorders>
            <w:shd w:val="clear" w:color="auto" w:fill="auto"/>
          </w:tcPr>
          <w:p w14:paraId="2A6ED93E" w14:textId="77777777" w:rsidR="00D35A5A" w:rsidRPr="007B5443" w:rsidRDefault="00D35A5A" w:rsidP="00BD4497">
            <w:pPr>
              <w:keepNext/>
              <w:rPr>
                <w:b/>
                <w:sz w:val="20"/>
                <w:lang w:val="en-GB"/>
              </w:rPr>
            </w:pPr>
          </w:p>
        </w:tc>
        <w:tc>
          <w:tcPr>
            <w:tcW w:w="1134" w:type="dxa"/>
            <w:tcBorders>
              <w:top w:val="nil"/>
              <w:left w:val="single" w:sz="4" w:space="0" w:color="auto"/>
              <w:bottom w:val="single" w:sz="4" w:space="0" w:color="auto"/>
              <w:right w:val="single" w:sz="4" w:space="0" w:color="auto"/>
            </w:tcBorders>
            <w:shd w:val="clear" w:color="auto" w:fill="auto"/>
          </w:tcPr>
          <w:p w14:paraId="7990E5F4" w14:textId="77777777" w:rsidR="00D35A5A" w:rsidRPr="007B5443" w:rsidRDefault="00D35A5A" w:rsidP="00BD4497">
            <w:pPr>
              <w:pStyle w:val="wcpTableContent"/>
              <w:keepNext/>
              <w:keepLines/>
              <w:spacing w:before="0" w:after="0"/>
              <w:ind w:left="264"/>
              <w:rPr>
                <w:sz w:val="20"/>
                <w:lang w:val="en-GB"/>
              </w:rPr>
            </w:pPr>
            <w:r w:rsidRPr="007B5443">
              <w:rPr>
                <w:sz w:val="20"/>
                <w:lang w:val="en-GB"/>
              </w:rPr>
              <w:t>95%CI</w:t>
            </w:r>
          </w:p>
        </w:tc>
        <w:tc>
          <w:tcPr>
            <w:tcW w:w="1697" w:type="dxa"/>
            <w:tcBorders>
              <w:top w:val="nil"/>
              <w:left w:val="single" w:sz="4" w:space="0" w:color="auto"/>
              <w:bottom w:val="single" w:sz="4" w:space="0" w:color="auto"/>
              <w:right w:val="single" w:sz="4" w:space="0" w:color="auto"/>
            </w:tcBorders>
            <w:shd w:val="clear" w:color="auto" w:fill="auto"/>
          </w:tcPr>
          <w:p w14:paraId="46D2B7F4" w14:textId="77777777" w:rsidR="00D35A5A" w:rsidRPr="007B5443" w:rsidRDefault="00D35A5A" w:rsidP="00BD4497">
            <w:pPr>
              <w:keepNext/>
              <w:jc w:val="center"/>
              <w:rPr>
                <w:sz w:val="20"/>
                <w:lang w:val="en-GB"/>
              </w:rPr>
            </w:pPr>
            <w:r w:rsidRPr="007B5443">
              <w:rPr>
                <w:sz w:val="20"/>
                <w:lang w:val="en-GB"/>
              </w:rPr>
              <w:t>[133.6; 198.0]</w:t>
            </w:r>
          </w:p>
        </w:tc>
        <w:tc>
          <w:tcPr>
            <w:tcW w:w="1698" w:type="dxa"/>
            <w:tcBorders>
              <w:top w:val="nil"/>
              <w:left w:val="single" w:sz="4" w:space="0" w:color="auto"/>
              <w:bottom w:val="single" w:sz="4" w:space="0" w:color="auto"/>
              <w:right w:val="single" w:sz="4" w:space="0" w:color="auto"/>
            </w:tcBorders>
            <w:shd w:val="clear" w:color="auto" w:fill="auto"/>
          </w:tcPr>
          <w:p w14:paraId="1CE7DE4A" w14:textId="77777777" w:rsidR="00D35A5A" w:rsidRPr="007B5443" w:rsidRDefault="00D35A5A" w:rsidP="00BD4497">
            <w:pPr>
              <w:keepNext/>
              <w:jc w:val="center"/>
              <w:rPr>
                <w:sz w:val="20"/>
                <w:lang w:val="en-GB"/>
              </w:rPr>
            </w:pPr>
            <w:r w:rsidRPr="007B5443">
              <w:rPr>
                <w:sz w:val="20"/>
                <w:lang w:val="en-GB"/>
              </w:rPr>
              <w:t>[2432.9; 3383.4]</w:t>
            </w:r>
          </w:p>
        </w:tc>
        <w:tc>
          <w:tcPr>
            <w:tcW w:w="1698" w:type="dxa"/>
            <w:tcBorders>
              <w:top w:val="nil"/>
              <w:left w:val="single" w:sz="4" w:space="0" w:color="auto"/>
              <w:bottom w:val="single" w:sz="4" w:space="0" w:color="auto"/>
              <w:right w:val="single" w:sz="4" w:space="0" w:color="auto"/>
            </w:tcBorders>
            <w:shd w:val="clear" w:color="auto" w:fill="auto"/>
          </w:tcPr>
          <w:p w14:paraId="06477DC6" w14:textId="77777777" w:rsidR="00D35A5A" w:rsidRPr="007B5443" w:rsidRDefault="00D35A5A" w:rsidP="00BD4497">
            <w:pPr>
              <w:keepNext/>
              <w:jc w:val="center"/>
              <w:rPr>
                <w:sz w:val="20"/>
                <w:lang w:val="en-GB"/>
              </w:rPr>
            </w:pPr>
            <w:r w:rsidRPr="007B5443">
              <w:rPr>
                <w:sz w:val="20"/>
                <w:lang w:val="en-GB"/>
              </w:rPr>
              <w:t>[2010.9; 2677.0]</w:t>
            </w:r>
          </w:p>
        </w:tc>
        <w:tc>
          <w:tcPr>
            <w:tcW w:w="1698" w:type="dxa"/>
            <w:tcBorders>
              <w:top w:val="nil"/>
              <w:left w:val="single" w:sz="4" w:space="0" w:color="auto"/>
              <w:bottom w:val="single" w:sz="4" w:space="0" w:color="auto"/>
              <w:right w:val="single" w:sz="4" w:space="0" w:color="auto"/>
            </w:tcBorders>
            <w:shd w:val="clear" w:color="auto" w:fill="auto"/>
          </w:tcPr>
          <w:p w14:paraId="7FB0D3F1" w14:textId="77777777" w:rsidR="00D35A5A" w:rsidRPr="007B5443" w:rsidRDefault="00D35A5A" w:rsidP="00BD4497">
            <w:pPr>
              <w:keepNext/>
              <w:jc w:val="center"/>
              <w:rPr>
                <w:sz w:val="20"/>
                <w:lang w:val="en-GB"/>
              </w:rPr>
            </w:pPr>
            <w:r w:rsidRPr="007B5443">
              <w:rPr>
                <w:sz w:val="20"/>
                <w:lang w:val="en-GB"/>
              </w:rPr>
              <w:t>[1425.4; 1800.3]</w:t>
            </w:r>
          </w:p>
        </w:tc>
      </w:tr>
      <w:tr w:rsidR="00D35A5A" w:rsidRPr="007B5443" w14:paraId="502F3387" w14:textId="77777777" w:rsidTr="00BD4497">
        <w:trPr>
          <w:tblHeader/>
          <w:jc w:val="center"/>
        </w:trPr>
        <w:tc>
          <w:tcPr>
            <w:tcW w:w="1577" w:type="dxa"/>
            <w:tcBorders>
              <w:top w:val="nil"/>
              <w:left w:val="single" w:sz="4" w:space="0" w:color="auto"/>
              <w:bottom w:val="nil"/>
              <w:right w:val="single" w:sz="4" w:space="0" w:color="auto"/>
            </w:tcBorders>
            <w:shd w:val="clear" w:color="auto" w:fill="auto"/>
          </w:tcPr>
          <w:p w14:paraId="7F8A61B0" w14:textId="77777777" w:rsidR="00D35A5A" w:rsidRPr="007B5443" w:rsidRDefault="00D35A5A" w:rsidP="00BD4497">
            <w:pPr>
              <w:keepNext/>
              <w:rPr>
                <w:b/>
                <w:sz w:val="20"/>
                <w:lang w:val="en-GB"/>
              </w:rPr>
            </w:pPr>
          </w:p>
        </w:tc>
        <w:tc>
          <w:tcPr>
            <w:tcW w:w="1134" w:type="dxa"/>
            <w:tcBorders>
              <w:top w:val="single" w:sz="4" w:space="0" w:color="auto"/>
              <w:left w:val="single" w:sz="4" w:space="0" w:color="auto"/>
              <w:bottom w:val="nil"/>
              <w:right w:val="single" w:sz="4" w:space="0" w:color="auto"/>
            </w:tcBorders>
            <w:shd w:val="clear" w:color="auto" w:fill="auto"/>
          </w:tcPr>
          <w:p w14:paraId="7AD2A4DB" w14:textId="77777777" w:rsidR="00D35A5A" w:rsidRPr="007B5443" w:rsidRDefault="00D35A5A" w:rsidP="00BD4497">
            <w:pPr>
              <w:pStyle w:val="wcpTableContent"/>
              <w:keepNext/>
              <w:keepLines/>
              <w:spacing w:before="0" w:after="0"/>
              <w:ind w:left="264"/>
              <w:rPr>
                <w:sz w:val="20"/>
                <w:lang w:val="en-GB"/>
              </w:rPr>
            </w:pPr>
            <w:r w:rsidRPr="007B5443">
              <w:rPr>
                <w:sz w:val="20"/>
                <w:lang w:val="en-GB"/>
              </w:rPr>
              <w:t>≥8</w:t>
            </w:r>
          </w:p>
        </w:tc>
        <w:tc>
          <w:tcPr>
            <w:tcW w:w="1697" w:type="dxa"/>
            <w:tcBorders>
              <w:top w:val="single" w:sz="4" w:space="0" w:color="auto"/>
              <w:left w:val="single" w:sz="4" w:space="0" w:color="auto"/>
              <w:bottom w:val="nil"/>
              <w:right w:val="single" w:sz="4" w:space="0" w:color="auto"/>
            </w:tcBorders>
            <w:shd w:val="clear" w:color="auto" w:fill="auto"/>
          </w:tcPr>
          <w:p w14:paraId="7E0B5293" w14:textId="77777777" w:rsidR="00D35A5A" w:rsidRPr="007B5443" w:rsidRDefault="00D35A5A" w:rsidP="00BD4497">
            <w:pPr>
              <w:keepNext/>
              <w:jc w:val="center"/>
              <w:rPr>
                <w:sz w:val="20"/>
                <w:lang w:val="en-GB"/>
              </w:rPr>
            </w:pPr>
            <w:r w:rsidRPr="007B5443">
              <w:rPr>
                <w:sz w:val="20"/>
                <w:lang w:val="en-GB"/>
              </w:rPr>
              <w:t>93.3%</w:t>
            </w:r>
          </w:p>
        </w:tc>
        <w:tc>
          <w:tcPr>
            <w:tcW w:w="1698" w:type="dxa"/>
            <w:tcBorders>
              <w:top w:val="single" w:sz="4" w:space="0" w:color="auto"/>
              <w:left w:val="single" w:sz="4" w:space="0" w:color="auto"/>
              <w:bottom w:val="nil"/>
              <w:right w:val="single" w:sz="4" w:space="0" w:color="auto"/>
            </w:tcBorders>
            <w:shd w:val="clear" w:color="auto" w:fill="auto"/>
          </w:tcPr>
          <w:p w14:paraId="136BDCB2" w14:textId="77777777" w:rsidR="00D35A5A" w:rsidRPr="007B5443" w:rsidRDefault="00D35A5A" w:rsidP="00BD4497">
            <w:pPr>
              <w:keepNext/>
              <w:jc w:val="center"/>
              <w:rPr>
                <w:sz w:val="20"/>
                <w:lang w:val="en-GB"/>
              </w:rPr>
            </w:pPr>
            <w:r w:rsidRPr="007B5443">
              <w:rPr>
                <w:sz w:val="20"/>
                <w:lang w:val="en-GB"/>
              </w:rPr>
              <w:t>99.4%</w:t>
            </w:r>
          </w:p>
        </w:tc>
        <w:tc>
          <w:tcPr>
            <w:tcW w:w="1698" w:type="dxa"/>
            <w:tcBorders>
              <w:top w:val="single" w:sz="4" w:space="0" w:color="auto"/>
              <w:left w:val="single" w:sz="4" w:space="0" w:color="auto"/>
              <w:bottom w:val="nil"/>
              <w:right w:val="single" w:sz="4" w:space="0" w:color="auto"/>
            </w:tcBorders>
            <w:shd w:val="clear" w:color="auto" w:fill="auto"/>
          </w:tcPr>
          <w:p w14:paraId="2BFE65EB" w14:textId="77777777" w:rsidR="00D35A5A" w:rsidRPr="007B5443" w:rsidRDefault="00D35A5A" w:rsidP="00BD4497">
            <w:pPr>
              <w:keepNext/>
              <w:jc w:val="center"/>
              <w:rPr>
                <w:sz w:val="20"/>
                <w:lang w:val="en-GB"/>
              </w:rPr>
            </w:pPr>
            <w:r w:rsidRPr="007B5443">
              <w:rPr>
                <w:sz w:val="20"/>
                <w:lang w:val="en-GB"/>
              </w:rPr>
              <w:t>100%</w:t>
            </w:r>
          </w:p>
        </w:tc>
        <w:tc>
          <w:tcPr>
            <w:tcW w:w="1698" w:type="dxa"/>
            <w:tcBorders>
              <w:top w:val="single" w:sz="4" w:space="0" w:color="auto"/>
              <w:left w:val="single" w:sz="4" w:space="0" w:color="auto"/>
              <w:bottom w:val="nil"/>
              <w:right w:val="single" w:sz="4" w:space="0" w:color="auto"/>
            </w:tcBorders>
            <w:shd w:val="clear" w:color="auto" w:fill="auto"/>
          </w:tcPr>
          <w:p w14:paraId="5998A643" w14:textId="77777777" w:rsidR="00D35A5A" w:rsidRPr="007B5443" w:rsidRDefault="00D35A5A" w:rsidP="00BD4497">
            <w:pPr>
              <w:keepNext/>
              <w:jc w:val="center"/>
              <w:rPr>
                <w:sz w:val="20"/>
                <w:lang w:val="en-GB"/>
              </w:rPr>
            </w:pPr>
            <w:r w:rsidRPr="007B5443">
              <w:rPr>
                <w:sz w:val="20"/>
                <w:lang w:val="en-GB"/>
              </w:rPr>
              <w:t>100%</w:t>
            </w:r>
          </w:p>
        </w:tc>
      </w:tr>
      <w:tr w:rsidR="00D35A5A" w:rsidRPr="007B5443" w14:paraId="3A65A5CC" w14:textId="77777777" w:rsidTr="00BD4497">
        <w:trPr>
          <w:tblHeader/>
          <w:jc w:val="center"/>
        </w:trPr>
        <w:tc>
          <w:tcPr>
            <w:tcW w:w="1577" w:type="dxa"/>
            <w:tcBorders>
              <w:top w:val="nil"/>
              <w:left w:val="single" w:sz="4" w:space="0" w:color="auto"/>
              <w:bottom w:val="single" w:sz="4" w:space="0" w:color="auto"/>
              <w:right w:val="single" w:sz="4" w:space="0" w:color="auto"/>
            </w:tcBorders>
            <w:shd w:val="clear" w:color="auto" w:fill="auto"/>
          </w:tcPr>
          <w:p w14:paraId="3DD89E0E" w14:textId="77777777" w:rsidR="00D35A5A" w:rsidRPr="007B5443" w:rsidRDefault="00D35A5A" w:rsidP="00BD4497">
            <w:pPr>
              <w:keepNext/>
              <w:ind w:left="284"/>
              <w:rPr>
                <w:b/>
                <w:sz w:val="20"/>
                <w:lang w:val="en-GB"/>
              </w:rPr>
            </w:pPr>
          </w:p>
        </w:tc>
        <w:tc>
          <w:tcPr>
            <w:tcW w:w="1134" w:type="dxa"/>
            <w:tcBorders>
              <w:top w:val="nil"/>
              <w:left w:val="single" w:sz="4" w:space="0" w:color="auto"/>
              <w:bottom w:val="single" w:sz="4" w:space="0" w:color="auto"/>
              <w:right w:val="single" w:sz="4" w:space="0" w:color="auto"/>
            </w:tcBorders>
            <w:shd w:val="clear" w:color="auto" w:fill="auto"/>
          </w:tcPr>
          <w:p w14:paraId="3A345B06" w14:textId="77777777" w:rsidR="00D35A5A" w:rsidRPr="007B5443" w:rsidRDefault="00D35A5A" w:rsidP="00BD4497">
            <w:pPr>
              <w:keepNext/>
              <w:ind w:left="264"/>
              <w:rPr>
                <w:sz w:val="20"/>
                <w:lang w:val="en-GB"/>
              </w:rPr>
            </w:pPr>
            <w:r w:rsidRPr="007B5443">
              <w:rPr>
                <w:sz w:val="20"/>
                <w:lang w:val="en-GB"/>
              </w:rPr>
              <w:t>95%CI</w:t>
            </w:r>
          </w:p>
        </w:tc>
        <w:tc>
          <w:tcPr>
            <w:tcW w:w="1697" w:type="dxa"/>
            <w:tcBorders>
              <w:top w:val="nil"/>
              <w:left w:val="single" w:sz="4" w:space="0" w:color="auto"/>
              <w:bottom w:val="single" w:sz="4" w:space="0" w:color="auto"/>
              <w:right w:val="single" w:sz="4" w:space="0" w:color="auto"/>
            </w:tcBorders>
            <w:shd w:val="clear" w:color="auto" w:fill="auto"/>
          </w:tcPr>
          <w:p w14:paraId="0594CA27" w14:textId="77777777" w:rsidR="00D35A5A" w:rsidRPr="007B5443" w:rsidRDefault="00D35A5A" w:rsidP="00BD4497">
            <w:pPr>
              <w:keepNext/>
              <w:jc w:val="center"/>
              <w:rPr>
                <w:sz w:val="20"/>
                <w:lang w:val="en-GB"/>
              </w:rPr>
            </w:pPr>
            <w:r w:rsidRPr="007B5443">
              <w:rPr>
                <w:sz w:val="20"/>
                <w:lang w:val="en-GB"/>
              </w:rPr>
              <w:t>[90.1; 95.8]</w:t>
            </w:r>
          </w:p>
        </w:tc>
        <w:tc>
          <w:tcPr>
            <w:tcW w:w="1698" w:type="dxa"/>
            <w:tcBorders>
              <w:top w:val="nil"/>
              <w:left w:val="single" w:sz="4" w:space="0" w:color="auto"/>
              <w:bottom w:val="single" w:sz="4" w:space="0" w:color="auto"/>
              <w:right w:val="single" w:sz="4" w:space="0" w:color="auto"/>
            </w:tcBorders>
            <w:shd w:val="clear" w:color="auto" w:fill="auto"/>
          </w:tcPr>
          <w:p w14:paraId="381BECE5" w14:textId="77777777" w:rsidR="00D35A5A" w:rsidRPr="007B5443" w:rsidRDefault="00D35A5A" w:rsidP="00BD4497">
            <w:pPr>
              <w:keepNext/>
              <w:jc w:val="center"/>
              <w:rPr>
                <w:sz w:val="20"/>
                <w:lang w:val="en-GB"/>
              </w:rPr>
            </w:pPr>
            <w:r w:rsidRPr="007B5443">
              <w:rPr>
                <w:sz w:val="20"/>
                <w:lang w:val="en-GB"/>
              </w:rPr>
              <w:t>[97.8; 99.9]</w:t>
            </w:r>
          </w:p>
        </w:tc>
        <w:tc>
          <w:tcPr>
            <w:tcW w:w="1698" w:type="dxa"/>
            <w:tcBorders>
              <w:top w:val="nil"/>
              <w:left w:val="single" w:sz="4" w:space="0" w:color="auto"/>
              <w:bottom w:val="single" w:sz="4" w:space="0" w:color="auto"/>
              <w:right w:val="single" w:sz="4" w:space="0" w:color="auto"/>
            </w:tcBorders>
            <w:shd w:val="clear" w:color="auto" w:fill="auto"/>
          </w:tcPr>
          <w:p w14:paraId="225BE5E9" w14:textId="77777777" w:rsidR="00D35A5A" w:rsidRPr="007B5443" w:rsidRDefault="00D35A5A" w:rsidP="00BD4497">
            <w:pPr>
              <w:keepNext/>
              <w:jc w:val="center"/>
              <w:rPr>
                <w:sz w:val="20"/>
                <w:lang w:val="en-GB"/>
              </w:rPr>
            </w:pPr>
            <w:r w:rsidRPr="007B5443">
              <w:rPr>
                <w:sz w:val="20"/>
                <w:lang w:val="en-GB"/>
              </w:rPr>
              <w:t>[98.9; 100]</w:t>
            </w:r>
          </w:p>
        </w:tc>
        <w:tc>
          <w:tcPr>
            <w:tcW w:w="1698" w:type="dxa"/>
            <w:tcBorders>
              <w:top w:val="nil"/>
              <w:left w:val="single" w:sz="4" w:space="0" w:color="auto"/>
              <w:bottom w:val="single" w:sz="4" w:space="0" w:color="auto"/>
              <w:right w:val="single" w:sz="4" w:space="0" w:color="auto"/>
            </w:tcBorders>
            <w:shd w:val="clear" w:color="auto" w:fill="auto"/>
          </w:tcPr>
          <w:p w14:paraId="3A8FD185" w14:textId="77777777" w:rsidR="00D35A5A" w:rsidRPr="007B5443" w:rsidRDefault="00D35A5A" w:rsidP="00BD4497">
            <w:pPr>
              <w:keepNext/>
              <w:jc w:val="center"/>
              <w:rPr>
                <w:sz w:val="20"/>
                <w:lang w:val="en-GB"/>
              </w:rPr>
            </w:pPr>
            <w:r w:rsidRPr="007B5443">
              <w:rPr>
                <w:sz w:val="20"/>
                <w:lang w:val="en-GB"/>
              </w:rPr>
              <w:t>[98.8; 100]</w:t>
            </w:r>
          </w:p>
        </w:tc>
      </w:tr>
      <w:tr w:rsidR="00D35A5A" w:rsidRPr="007B5443" w14:paraId="442EBC62" w14:textId="77777777" w:rsidTr="00BD4497">
        <w:trPr>
          <w:tblHeader/>
          <w:jc w:val="center"/>
        </w:trPr>
        <w:tc>
          <w:tcPr>
            <w:tcW w:w="1577" w:type="dxa"/>
            <w:tcBorders>
              <w:top w:val="single" w:sz="4" w:space="0" w:color="auto"/>
              <w:left w:val="single" w:sz="4" w:space="0" w:color="auto"/>
              <w:bottom w:val="nil"/>
              <w:right w:val="single" w:sz="4" w:space="0" w:color="auto"/>
            </w:tcBorders>
            <w:shd w:val="clear" w:color="auto" w:fill="auto"/>
          </w:tcPr>
          <w:p w14:paraId="68964BB6" w14:textId="77777777" w:rsidR="00D35A5A" w:rsidRPr="007B5443" w:rsidRDefault="00D35A5A" w:rsidP="00BD4497">
            <w:pPr>
              <w:keepNext/>
              <w:ind w:left="284"/>
              <w:rPr>
                <w:b/>
                <w:sz w:val="20"/>
                <w:lang w:val="en-GB"/>
              </w:rPr>
            </w:pPr>
            <w:r w:rsidRPr="007B5443">
              <w:rPr>
                <w:b/>
                <w:sz w:val="20"/>
                <w:lang w:val="en-GB"/>
              </w:rPr>
              <w:t>Type 2</w:t>
            </w:r>
          </w:p>
        </w:tc>
        <w:tc>
          <w:tcPr>
            <w:tcW w:w="1134" w:type="dxa"/>
            <w:tcBorders>
              <w:top w:val="single" w:sz="4" w:space="0" w:color="auto"/>
              <w:left w:val="single" w:sz="4" w:space="0" w:color="auto"/>
              <w:bottom w:val="nil"/>
              <w:right w:val="single" w:sz="4" w:space="0" w:color="auto"/>
            </w:tcBorders>
            <w:shd w:val="clear" w:color="auto" w:fill="auto"/>
          </w:tcPr>
          <w:p w14:paraId="68E385B1" w14:textId="77777777" w:rsidR="00D35A5A" w:rsidRPr="007B5443" w:rsidRDefault="00D35A5A" w:rsidP="00BD4497">
            <w:pPr>
              <w:keepNext/>
              <w:ind w:left="264"/>
              <w:rPr>
                <w:sz w:val="20"/>
                <w:lang w:val="en-GB"/>
              </w:rPr>
            </w:pPr>
            <w:r w:rsidRPr="007B5443">
              <w:rPr>
                <w:sz w:val="20"/>
                <w:lang w:val="en-GB"/>
              </w:rPr>
              <w:t>GMT</w:t>
            </w:r>
          </w:p>
        </w:tc>
        <w:tc>
          <w:tcPr>
            <w:tcW w:w="1697" w:type="dxa"/>
            <w:tcBorders>
              <w:top w:val="single" w:sz="4" w:space="0" w:color="auto"/>
              <w:left w:val="single" w:sz="4" w:space="0" w:color="auto"/>
              <w:bottom w:val="nil"/>
              <w:right w:val="single" w:sz="4" w:space="0" w:color="auto"/>
            </w:tcBorders>
            <w:shd w:val="clear" w:color="auto" w:fill="auto"/>
          </w:tcPr>
          <w:p w14:paraId="7B8CCBD0" w14:textId="77777777" w:rsidR="00D35A5A" w:rsidRPr="007B5443" w:rsidRDefault="00D35A5A" w:rsidP="00BD4497">
            <w:pPr>
              <w:keepNext/>
              <w:jc w:val="center"/>
              <w:rPr>
                <w:sz w:val="20"/>
                <w:lang w:val="en-GB"/>
              </w:rPr>
            </w:pPr>
            <w:r w:rsidRPr="007B5443">
              <w:rPr>
                <w:sz w:val="20"/>
                <w:lang w:val="en-GB"/>
              </w:rPr>
              <w:t>164.5</w:t>
            </w:r>
          </w:p>
        </w:tc>
        <w:tc>
          <w:tcPr>
            <w:tcW w:w="1698" w:type="dxa"/>
            <w:tcBorders>
              <w:top w:val="single" w:sz="4" w:space="0" w:color="auto"/>
              <w:left w:val="single" w:sz="4" w:space="0" w:color="auto"/>
              <w:bottom w:val="nil"/>
              <w:right w:val="single" w:sz="4" w:space="0" w:color="auto"/>
            </w:tcBorders>
            <w:shd w:val="clear" w:color="auto" w:fill="auto"/>
          </w:tcPr>
          <w:p w14:paraId="6373D5B5" w14:textId="77777777" w:rsidR="00D35A5A" w:rsidRPr="007B5443" w:rsidRDefault="00D35A5A" w:rsidP="00BD4497">
            <w:pPr>
              <w:keepNext/>
              <w:jc w:val="center"/>
              <w:rPr>
                <w:sz w:val="20"/>
                <w:lang w:val="en-GB"/>
              </w:rPr>
            </w:pPr>
            <w:r w:rsidRPr="007B5443">
              <w:rPr>
                <w:sz w:val="20"/>
                <w:lang w:val="en-GB"/>
              </w:rPr>
              <w:t>3829.7</w:t>
            </w:r>
          </w:p>
        </w:tc>
        <w:tc>
          <w:tcPr>
            <w:tcW w:w="1698" w:type="dxa"/>
            <w:tcBorders>
              <w:top w:val="single" w:sz="4" w:space="0" w:color="auto"/>
              <w:left w:val="single" w:sz="4" w:space="0" w:color="auto"/>
              <w:bottom w:val="nil"/>
              <w:right w:val="single" w:sz="4" w:space="0" w:color="auto"/>
            </w:tcBorders>
            <w:shd w:val="clear" w:color="auto" w:fill="auto"/>
          </w:tcPr>
          <w:p w14:paraId="6DDA775D" w14:textId="77777777" w:rsidR="00D35A5A" w:rsidRPr="007B5443" w:rsidRDefault="00D35A5A" w:rsidP="00BD4497">
            <w:pPr>
              <w:keepNext/>
              <w:jc w:val="center"/>
              <w:rPr>
                <w:sz w:val="20"/>
                <w:lang w:val="en-GB"/>
              </w:rPr>
            </w:pPr>
            <w:r w:rsidRPr="007B5443">
              <w:rPr>
                <w:sz w:val="20"/>
                <w:lang w:val="en-GB"/>
              </w:rPr>
              <w:t>3256.0</w:t>
            </w:r>
          </w:p>
        </w:tc>
        <w:tc>
          <w:tcPr>
            <w:tcW w:w="1698" w:type="dxa"/>
            <w:tcBorders>
              <w:top w:val="single" w:sz="4" w:space="0" w:color="auto"/>
              <w:left w:val="single" w:sz="4" w:space="0" w:color="auto"/>
              <w:bottom w:val="nil"/>
              <w:right w:val="single" w:sz="4" w:space="0" w:color="auto"/>
            </w:tcBorders>
            <w:shd w:val="clear" w:color="auto" w:fill="auto"/>
          </w:tcPr>
          <w:p w14:paraId="7122193A" w14:textId="77777777" w:rsidR="00D35A5A" w:rsidRPr="007B5443" w:rsidRDefault="00D35A5A" w:rsidP="00BD4497">
            <w:pPr>
              <w:keepNext/>
              <w:jc w:val="center"/>
              <w:rPr>
                <w:sz w:val="20"/>
                <w:lang w:val="en-GB"/>
              </w:rPr>
            </w:pPr>
            <w:r w:rsidRPr="007B5443">
              <w:rPr>
                <w:sz w:val="20"/>
                <w:lang w:val="en-GB"/>
              </w:rPr>
              <w:t>2107.2</w:t>
            </w:r>
          </w:p>
        </w:tc>
      </w:tr>
      <w:tr w:rsidR="00D35A5A" w:rsidRPr="007B5443" w14:paraId="00F5A175" w14:textId="77777777" w:rsidTr="00BD4497">
        <w:trPr>
          <w:tblHeader/>
          <w:jc w:val="center"/>
        </w:trPr>
        <w:tc>
          <w:tcPr>
            <w:tcW w:w="1577" w:type="dxa"/>
            <w:tcBorders>
              <w:top w:val="nil"/>
              <w:left w:val="single" w:sz="4" w:space="0" w:color="auto"/>
              <w:bottom w:val="nil"/>
              <w:right w:val="single" w:sz="4" w:space="0" w:color="auto"/>
            </w:tcBorders>
            <w:shd w:val="clear" w:color="auto" w:fill="auto"/>
          </w:tcPr>
          <w:p w14:paraId="4FFDCE3F" w14:textId="77777777" w:rsidR="00D35A5A" w:rsidRPr="007B5443" w:rsidRDefault="00D35A5A" w:rsidP="00BD4497">
            <w:pPr>
              <w:keepNext/>
              <w:rPr>
                <w:b/>
                <w:sz w:val="20"/>
                <w:lang w:val="en-GB"/>
              </w:rPr>
            </w:pPr>
          </w:p>
        </w:tc>
        <w:tc>
          <w:tcPr>
            <w:tcW w:w="1134" w:type="dxa"/>
            <w:tcBorders>
              <w:top w:val="nil"/>
              <w:left w:val="single" w:sz="4" w:space="0" w:color="auto"/>
              <w:bottom w:val="single" w:sz="4" w:space="0" w:color="auto"/>
              <w:right w:val="single" w:sz="4" w:space="0" w:color="auto"/>
            </w:tcBorders>
            <w:shd w:val="clear" w:color="auto" w:fill="auto"/>
          </w:tcPr>
          <w:p w14:paraId="56DE2E23" w14:textId="77777777" w:rsidR="00D35A5A" w:rsidRPr="007B5443" w:rsidRDefault="00D35A5A" w:rsidP="00BD4497">
            <w:pPr>
              <w:pStyle w:val="wcpTableContent"/>
              <w:keepNext/>
              <w:keepLines/>
              <w:spacing w:before="0" w:after="0"/>
              <w:ind w:left="264"/>
              <w:rPr>
                <w:sz w:val="20"/>
                <w:lang w:val="en-GB"/>
              </w:rPr>
            </w:pPr>
            <w:r w:rsidRPr="007B5443">
              <w:rPr>
                <w:sz w:val="20"/>
                <w:lang w:val="en-GB"/>
              </w:rPr>
              <w:t>95%CI</w:t>
            </w:r>
          </w:p>
        </w:tc>
        <w:tc>
          <w:tcPr>
            <w:tcW w:w="1697" w:type="dxa"/>
            <w:tcBorders>
              <w:top w:val="nil"/>
              <w:left w:val="single" w:sz="4" w:space="0" w:color="auto"/>
              <w:bottom w:val="single" w:sz="4" w:space="0" w:color="auto"/>
              <w:right w:val="single" w:sz="4" w:space="0" w:color="auto"/>
            </w:tcBorders>
            <w:shd w:val="clear" w:color="auto" w:fill="auto"/>
          </w:tcPr>
          <w:p w14:paraId="249CDA18" w14:textId="77777777" w:rsidR="00D35A5A" w:rsidRPr="007B5443" w:rsidRDefault="00D35A5A" w:rsidP="00BD4497">
            <w:pPr>
              <w:keepNext/>
              <w:jc w:val="center"/>
              <w:rPr>
                <w:sz w:val="20"/>
                <w:lang w:val="en-GB"/>
              </w:rPr>
            </w:pPr>
            <w:r w:rsidRPr="007B5443">
              <w:rPr>
                <w:sz w:val="20"/>
                <w:lang w:val="en-GB"/>
              </w:rPr>
              <w:t>[137.6;196.8]</w:t>
            </w:r>
          </w:p>
        </w:tc>
        <w:tc>
          <w:tcPr>
            <w:tcW w:w="1698" w:type="dxa"/>
            <w:tcBorders>
              <w:top w:val="nil"/>
              <w:left w:val="single" w:sz="4" w:space="0" w:color="auto"/>
              <w:bottom w:val="single" w:sz="4" w:space="0" w:color="auto"/>
              <w:right w:val="single" w:sz="4" w:space="0" w:color="auto"/>
            </w:tcBorders>
            <w:shd w:val="clear" w:color="auto" w:fill="auto"/>
          </w:tcPr>
          <w:p w14:paraId="30679B58" w14:textId="77777777" w:rsidR="00D35A5A" w:rsidRPr="007B5443" w:rsidRDefault="00D35A5A" w:rsidP="00BD4497">
            <w:pPr>
              <w:keepNext/>
              <w:jc w:val="center"/>
              <w:rPr>
                <w:sz w:val="20"/>
                <w:lang w:val="en-GB"/>
              </w:rPr>
            </w:pPr>
            <w:r w:rsidRPr="007B5443">
              <w:rPr>
                <w:sz w:val="20"/>
                <w:lang w:val="en-GB"/>
              </w:rPr>
              <w:t>[3258.5;4501.1]</w:t>
            </w:r>
          </w:p>
        </w:tc>
        <w:tc>
          <w:tcPr>
            <w:tcW w:w="1698" w:type="dxa"/>
            <w:tcBorders>
              <w:top w:val="nil"/>
              <w:left w:val="single" w:sz="4" w:space="0" w:color="auto"/>
              <w:bottom w:val="single" w:sz="4" w:space="0" w:color="auto"/>
              <w:right w:val="single" w:sz="4" w:space="0" w:color="auto"/>
            </w:tcBorders>
            <w:shd w:val="clear" w:color="auto" w:fill="auto"/>
          </w:tcPr>
          <w:p w14:paraId="11BF4388" w14:textId="77777777" w:rsidR="00D35A5A" w:rsidRPr="007B5443" w:rsidRDefault="00D35A5A" w:rsidP="00BD4497">
            <w:pPr>
              <w:keepNext/>
              <w:jc w:val="center"/>
              <w:rPr>
                <w:sz w:val="20"/>
                <w:lang w:val="en-GB"/>
              </w:rPr>
            </w:pPr>
            <w:r w:rsidRPr="007B5443">
              <w:rPr>
                <w:sz w:val="20"/>
                <w:lang w:val="en-GB"/>
              </w:rPr>
              <w:t>[2818.2;3761.7]</w:t>
            </w:r>
          </w:p>
        </w:tc>
        <w:tc>
          <w:tcPr>
            <w:tcW w:w="1698" w:type="dxa"/>
            <w:tcBorders>
              <w:top w:val="nil"/>
              <w:left w:val="single" w:sz="4" w:space="0" w:color="auto"/>
              <w:bottom w:val="single" w:sz="4" w:space="0" w:color="auto"/>
              <w:right w:val="single" w:sz="4" w:space="0" w:color="auto"/>
            </w:tcBorders>
            <w:shd w:val="clear" w:color="auto" w:fill="auto"/>
          </w:tcPr>
          <w:p w14:paraId="718E7399" w14:textId="77777777" w:rsidR="00D35A5A" w:rsidRPr="007B5443" w:rsidRDefault="00D35A5A" w:rsidP="00BD4497">
            <w:pPr>
              <w:keepNext/>
              <w:jc w:val="center"/>
              <w:rPr>
                <w:sz w:val="20"/>
                <w:lang w:val="en-GB"/>
              </w:rPr>
            </w:pPr>
            <w:r w:rsidRPr="007B5443">
              <w:rPr>
                <w:sz w:val="20"/>
                <w:lang w:val="en-GB"/>
              </w:rPr>
              <w:t>[1855.7;2392.8]</w:t>
            </w:r>
          </w:p>
        </w:tc>
      </w:tr>
      <w:tr w:rsidR="00D35A5A" w:rsidRPr="007B5443" w14:paraId="21D0FA16" w14:textId="77777777" w:rsidTr="00BD4497">
        <w:trPr>
          <w:tblHeader/>
          <w:jc w:val="center"/>
        </w:trPr>
        <w:tc>
          <w:tcPr>
            <w:tcW w:w="1577" w:type="dxa"/>
            <w:tcBorders>
              <w:top w:val="nil"/>
              <w:left w:val="single" w:sz="4" w:space="0" w:color="auto"/>
              <w:bottom w:val="nil"/>
              <w:right w:val="single" w:sz="4" w:space="0" w:color="auto"/>
            </w:tcBorders>
            <w:shd w:val="clear" w:color="auto" w:fill="auto"/>
          </w:tcPr>
          <w:p w14:paraId="6A3FB621" w14:textId="77777777" w:rsidR="00D35A5A" w:rsidRPr="007B5443" w:rsidRDefault="00D35A5A" w:rsidP="00BD4497">
            <w:pPr>
              <w:keepNext/>
              <w:rPr>
                <w:b/>
                <w:sz w:val="20"/>
                <w:lang w:val="en-GB"/>
              </w:rPr>
            </w:pPr>
          </w:p>
        </w:tc>
        <w:tc>
          <w:tcPr>
            <w:tcW w:w="1134" w:type="dxa"/>
            <w:tcBorders>
              <w:top w:val="single" w:sz="4" w:space="0" w:color="auto"/>
              <w:left w:val="single" w:sz="4" w:space="0" w:color="auto"/>
              <w:bottom w:val="nil"/>
              <w:right w:val="single" w:sz="4" w:space="0" w:color="auto"/>
            </w:tcBorders>
            <w:shd w:val="clear" w:color="auto" w:fill="auto"/>
          </w:tcPr>
          <w:p w14:paraId="293B0BC6" w14:textId="77777777" w:rsidR="00D35A5A" w:rsidRPr="007B5443" w:rsidRDefault="00D35A5A" w:rsidP="00BD4497">
            <w:pPr>
              <w:pStyle w:val="wcpTableContent"/>
              <w:keepNext/>
              <w:keepLines/>
              <w:spacing w:before="0" w:after="0"/>
              <w:ind w:left="264"/>
              <w:rPr>
                <w:sz w:val="20"/>
                <w:lang w:val="en-GB"/>
              </w:rPr>
            </w:pPr>
            <w:r w:rsidRPr="007B5443">
              <w:rPr>
                <w:sz w:val="20"/>
                <w:lang w:val="en-GB"/>
              </w:rPr>
              <w:t>≥8</w:t>
            </w:r>
          </w:p>
        </w:tc>
        <w:tc>
          <w:tcPr>
            <w:tcW w:w="1697" w:type="dxa"/>
            <w:tcBorders>
              <w:top w:val="single" w:sz="4" w:space="0" w:color="auto"/>
              <w:left w:val="single" w:sz="4" w:space="0" w:color="auto"/>
              <w:bottom w:val="nil"/>
              <w:right w:val="single" w:sz="4" w:space="0" w:color="auto"/>
            </w:tcBorders>
            <w:shd w:val="clear" w:color="auto" w:fill="auto"/>
          </w:tcPr>
          <w:p w14:paraId="593F6C91" w14:textId="77777777" w:rsidR="00D35A5A" w:rsidRPr="007B5443" w:rsidRDefault="00D35A5A" w:rsidP="00BD4497">
            <w:pPr>
              <w:keepNext/>
              <w:jc w:val="center"/>
              <w:rPr>
                <w:sz w:val="20"/>
                <w:lang w:val="en-GB"/>
              </w:rPr>
            </w:pPr>
            <w:r w:rsidRPr="007B5443">
              <w:rPr>
                <w:sz w:val="20"/>
                <w:lang w:val="en-GB"/>
              </w:rPr>
              <w:t>95.5%</w:t>
            </w:r>
          </w:p>
        </w:tc>
        <w:tc>
          <w:tcPr>
            <w:tcW w:w="1698" w:type="dxa"/>
            <w:tcBorders>
              <w:top w:val="single" w:sz="4" w:space="0" w:color="auto"/>
              <w:left w:val="single" w:sz="4" w:space="0" w:color="auto"/>
              <w:bottom w:val="nil"/>
              <w:right w:val="single" w:sz="4" w:space="0" w:color="auto"/>
            </w:tcBorders>
            <w:shd w:val="clear" w:color="auto" w:fill="auto"/>
          </w:tcPr>
          <w:p w14:paraId="7134D502" w14:textId="77777777" w:rsidR="00D35A5A" w:rsidRPr="007B5443" w:rsidRDefault="00D35A5A" w:rsidP="00BD4497">
            <w:pPr>
              <w:keepNext/>
              <w:jc w:val="center"/>
              <w:rPr>
                <w:sz w:val="20"/>
                <w:lang w:val="en-GB"/>
              </w:rPr>
            </w:pPr>
            <w:r w:rsidRPr="007B5443">
              <w:rPr>
                <w:sz w:val="20"/>
                <w:lang w:val="en-GB"/>
              </w:rPr>
              <w:t>100%</w:t>
            </w:r>
          </w:p>
        </w:tc>
        <w:tc>
          <w:tcPr>
            <w:tcW w:w="1698" w:type="dxa"/>
            <w:tcBorders>
              <w:top w:val="single" w:sz="4" w:space="0" w:color="auto"/>
              <w:left w:val="single" w:sz="4" w:space="0" w:color="auto"/>
              <w:bottom w:val="nil"/>
              <w:right w:val="single" w:sz="4" w:space="0" w:color="auto"/>
            </w:tcBorders>
            <w:shd w:val="clear" w:color="auto" w:fill="auto"/>
          </w:tcPr>
          <w:p w14:paraId="12DCA1DE" w14:textId="77777777" w:rsidR="00D35A5A" w:rsidRPr="007B5443" w:rsidRDefault="00D35A5A" w:rsidP="00BD4497">
            <w:pPr>
              <w:keepNext/>
              <w:jc w:val="center"/>
              <w:rPr>
                <w:sz w:val="20"/>
                <w:lang w:val="en-GB"/>
              </w:rPr>
            </w:pPr>
            <w:r w:rsidRPr="007B5443">
              <w:rPr>
                <w:sz w:val="20"/>
                <w:lang w:val="en-GB"/>
              </w:rPr>
              <w:t>100%</w:t>
            </w:r>
          </w:p>
        </w:tc>
        <w:tc>
          <w:tcPr>
            <w:tcW w:w="1698" w:type="dxa"/>
            <w:tcBorders>
              <w:top w:val="single" w:sz="4" w:space="0" w:color="auto"/>
              <w:left w:val="single" w:sz="4" w:space="0" w:color="auto"/>
              <w:bottom w:val="nil"/>
              <w:right w:val="single" w:sz="4" w:space="0" w:color="auto"/>
            </w:tcBorders>
            <w:shd w:val="clear" w:color="auto" w:fill="auto"/>
          </w:tcPr>
          <w:p w14:paraId="353A8A1B" w14:textId="77777777" w:rsidR="00D35A5A" w:rsidRPr="007B5443" w:rsidRDefault="00D35A5A" w:rsidP="00BD4497">
            <w:pPr>
              <w:keepNext/>
              <w:jc w:val="center"/>
              <w:rPr>
                <w:sz w:val="20"/>
                <w:lang w:val="en-GB"/>
              </w:rPr>
            </w:pPr>
            <w:r w:rsidRPr="007B5443">
              <w:rPr>
                <w:sz w:val="20"/>
                <w:lang w:val="en-GB"/>
              </w:rPr>
              <w:t>100%</w:t>
            </w:r>
          </w:p>
        </w:tc>
      </w:tr>
      <w:tr w:rsidR="00D35A5A" w:rsidRPr="007B5443" w14:paraId="785FA4CF" w14:textId="77777777" w:rsidTr="00BD4497">
        <w:trPr>
          <w:tblHeader/>
          <w:jc w:val="center"/>
        </w:trPr>
        <w:tc>
          <w:tcPr>
            <w:tcW w:w="1577" w:type="dxa"/>
            <w:tcBorders>
              <w:top w:val="nil"/>
              <w:left w:val="single" w:sz="4" w:space="0" w:color="auto"/>
              <w:bottom w:val="single" w:sz="4" w:space="0" w:color="auto"/>
              <w:right w:val="single" w:sz="4" w:space="0" w:color="auto"/>
            </w:tcBorders>
            <w:shd w:val="clear" w:color="auto" w:fill="auto"/>
          </w:tcPr>
          <w:p w14:paraId="6916F462" w14:textId="77777777" w:rsidR="00D35A5A" w:rsidRPr="007B5443" w:rsidRDefault="00D35A5A" w:rsidP="00BD4497">
            <w:pPr>
              <w:keepNext/>
              <w:ind w:left="284"/>
              <w:rPr>
                <w:b/>
                <w:sz w:val="20"/>
                <w:lang w:val="en-GB"/>
              </w:rPr>
            </w:pPr>
          </w:p>
        </w:tc>
        <w:tc>
          <w:tcPr>
            <w:tcW w:w="1134" w:type="dxa"/>
            <w:tcBorders>
              <w:top w:val="nil"/>
              <w:left w:val="single" w:sz="4" w:space="0" w:color="auto"/>
              <w:bottom w:val="single" w:sz="4" w:space="0" w:color="auto"/>
              <w:right w:val="single" w:sz="4" w:space="0" w:color="auto"/>
            </w:tcBorders>
            <w:shd w:val="clear" w:color="auto" w:fill="auto"/>
          </w:tcPr>
          <w:p w14:paraId="30AA3E00" w14:textId="77777777" w:rsidR="00D35A5A" w:rsidRPr="007B5443" w:rsidRDefault="00D35A5A" w:rsidP="00BD4497">
            <w:pPr>
              <w:keepNext/>
              <w:ind w:left="264"/>
              <w:rPr>
                <w:sz w:val="20"/>
                <w:lang w:val="en-GB"/>
              </w:rPr>
            </w:pPr>
            <w:r w:rsidRPr="007B5443">
              <w:rPr>
                <w:sz w:val="20"/>
                <w:lang w:val="en-GB"/>
              </w:rPr>
              <w:t>95%CI</w:t>
            </w:r>
          </w:p>
        </w:tc>
        <w:tc>
          <w:tcPr>
            <w:tcW w:w="1697" w:type="dxa"/>
            <w:tcBorders>
              <w:top w:val="nil"/>
              <w:left w:val="single" w:sz="4" w:space="0" w:color="auto"/>
              <w:bottom w:val="single" w:sz="4" w:space="0" w:color="auto"/>
              <w:right w:val="single" w:sz="4" w:space="0" w:color="auto"/>
            </w:tcBorders>
            <w:shd w:val="clear" w:color="auto" w:fill="auto"/>
          </w:tcPr>
          <w:p w14:paraId="0E195D25" w14:textId="77777777" w:rsidR="00D35A5A" w:rsidRPr="007B5443" w:rsidRDefault="00D35A5A" w:rsidP="00BD4497">
            <w:pPr>
              <w:keepNext/>
              <w:jc w:val="center"/>
              <w:rPr>
                <w:sz w:val="20"/>
                <w:lang w:val="en-GB"/>
              </w:rPr>
            </w:pPr>
            <w:r w:rsidRPr="007B5443">
              <w:rPr>
                <w:sz w:val="20"/>
                <w:lang w:val="en-GB"/>
              </w:rPr>
              <w:t>[92.6; 97.4]</w:t>
            </w:r>
          </w:p>
        </w:tc>
        <w:tc>
          <w:tcPr>
            <w:tcW w:w="1698" w:type="dxa"/>
            <w:tcBorders>
              <w:top w:val="nil"/>
              <w:left w:val="single" w:sz="4" w:space="0" w:color="auto"/>
              <w:bottom w:val="single" w:sz="4" w:space="0" w:color="auto"/>
              <w:right w:val="single" w:sz="4" w:space="0" w:color="auto"/>
            </w:tcBorders>
            <w:shd w:val="clear" w:color="auto" w:fill="auto"/>
          </w:tcPr>
          <w:p w14:paraId="7E17116E" w14:textId="77777777" w:rsidR="00D35A5A" w:rsidRPr="007B5443" w:rsidRDefault="00D35A5A" w:rsidP="00BD4497">
            <w:pPr>
              <w:keepNext/>
              <w:jc w:val="center"/>
              <w:rPr>
                <w:sz w:val="20"/>
                <w:lang w:val="en-GB"/>
              </w:rPr>
            </w:pPr>
            <w:r w:rsidRPr="007B5443">
              <w:rPr>
                <w:sz w:val="20"/>
                <w:lang w:val="en-GB"/>
              </w:rPr>
              <w:t>[98.9; 100]</w:t>
            </w:r>
          </w:p>
        </w:tc>
        <w:tc>
          <w:tcPr>
            <w:tcW w:w="1698" w:type="dxa"/>
            <w:tcBorders>
              <w:top w:val="nil"/>
              <w:left w:val="single" w:sz="4" w:space="0" w:color="auto"/>
              <w:bottom w:val="single" w:sz="4" w:space="0" w:color="auto"/>
              <w:right w:val="single" w:sz="4" w:space="0" w:color="auto"/>
            </w:tcBorders>
            <w:shd w:val="clear" w:color="auto" w:fill="auto"/>
          </w:tcPr>
          <w:p w14:paraId="5604A39E" w14:textId="77777777" w:rsidR="00D35A5A" w:rsidRPr="007B5443" w:rsidRDefault="00D35A5A" w:rsidP="00BD4497">
            <w:pPr>
              <w:keepNext/>
              <w:jc w:val="center"/>
              <w:rPr>
                <w:sz w:val="20"/>
                <w:lang w:val="en-GB"/>
              </w:rPr>
            </w:pPr>
            <w:r w:rsidRPr="007B5443">
              <w:rPr>
                <w:sz w:val="20"/>
                <w:lang w:val="en-GB"/>
              </w:rPr>
              <w:t>[98.9; 100]</w:t>
            </w:r>
          </w:p>
        </w:tc>
        <w:tc>
          <w:tcPr>
            <w:tcW w:w="1698" w:type="dxa"/>
            <w:tcBorders>
              <w:top w:val="nil"/>
              <w:left w:val="single" w:sz="4" w:space="0" w:color="auto"/>
              <w:bottom w:val="single" w:sz="4" w:space="0" w:color="auto"/>
              <w:right w:val="single" w:sz="4" w:space="0" w:color="auto"/>
            </w:tcBorders>
            <w:shd w:val="clear" w:color="auto" w:fill="auto"/>
          </w:tcPr>
          <w:p w14:paraId="0B05CB94" w14:textId="77777777" w:rsidR="00D35A5A" w:rsidRPr="007B5443" w:rsidRDefault="00D35A5A" w:rsidP="00BD4497">
            <w:pPr>
              <w:keepNext/>
              <w:jc w:val="center"/>
              <w:rPr>
                <w:sz w:val="20"/>
                <w:lang w:val="en-GB"/>
              </w:rPr>
            </w:pPr>
            <w:r w:rsidRPr="007B5443">
              <w:rPr>
                <w:sz w:val="20"/>
                <w:lang w:val="en-GB"/>
              </w:rPr>
              <w:t>[98.8; 100]</w:t>
            </w:r>
          </w:p>
        </w:tc>
      </w:tr>
      <w:tr w:rsidR="00D35A5A" w:rsidRPr="007B5443" w14:paraId="7AF68C2F" w14:textId="77777777" w:rsidTr="00BD4497">
        <w:trPr>
          <w:tblHeader/>
          <w:jc w:val="center"/>
        </w:trPr>
        <w:tc>
          <w:tcPr>
            <w:tcW w:w="1577" w:type="dxa"/>
            <w:tcBorders>
              <w:top w:val="single" w:sz="4" w:space="0" w:color="auto"/>
              <w:left w:val="single" w:sz="4" w:space="0" w:color="auto"/>
              <w:bottom w:val="nil"/>
              <w:right w:val="single" w:sz="4" w:space="0" w:color="auto"/>
            </w:tcBorders>
            <w:shd w:val="clear" w:color="auto" w:fill="auto"/>
          </w:tcPr>
          <w:p w14:paraId="0842944F" w14:textId="77777777" w:rsidR="00D35A5A" w:rsidRPr="007B5443" w:rsidRDefault="00D35A5A" w:rsidP="00BD4497">
            <w:pPr>
              <w:keepNext/>
              <w:ind w:left="284"/>
              <w:rPr>
                <w:b/>
                <w:sz w:val="20"/>
                <w:lang w:val="en-GB"/>
              </w:rPr>
            </w:pPr>
            <w:r w:rsidRPr="007B5443">
              <w:rPr>
                <w:b/>
                <w:sz w:val="20"/>
                <w:lang w:val="en-GB"/>
              </w:rPr>
              <w:t>Type 3</w:t>
            </w:r>
          </w:p>
        </w:tc>
        <w:tc>
          <w:tcPr>
            <w:tcW w:w="1134" w:type="dxa"/>
            <w:tcBorders>
              <w:top w:val="single" w:sz="4" w:space="0" w:color="auto"/>
              <w:left w:val="single" w:sz="4" w:space="0" w:color="auto"/>
              <w:bottom w:val="nil"/>
              <w:right w:val="single" w:sz="4" w:space="0" w:color="auto"/>
            </w:tcBorders>
            <w:shd w:val="clear" w:color="auto" w:fill="auto"/>
          </w:tcPr>
          <w:p w14:paraId="7D405EF5" w14:textId="77777777" w:rsidR="00D35A5A" w:rsidRPr="007B5443" w:rsidRDefault="00D35A5A" w:rsidP="00BD4497">
            <w:pPr>
              <w:keepNext/>
              <w:ind w:left="264"/>
              <w:rPr>
                <w:sz w:val="20"/>
                <w:lang w:val="en-GB"/>
              </w:rPr>
            </w:pPr>
            <w:r w:rsidRPr="007B5443">
              <w:rPr>
                <w:sz w:val="20"/>
                <w:lang w:val="en-GB"/>
              </w:rPr>
              <w:t>GMT</w:t>
            </w:r>
          </w:p>
        </w:tc>
        <w:tc>
          <w:tcPr>
            <w:tcW w:w="1697" w:type="dxa"/>
            <w:tcBorders>
              <w:top w:val="single" w:sz="4" w:space="0" w:color="auto"/>
              <w:left w:val="single" w:sz="4" w:space="0" w:color="auto"/>
              <w:bottom w:val="nil"/>
              <w:right w:val="single" w:sz="4" w:space="0" w:color="auto"/>
            </w:tcBorders>
            <w:shd w:val="clear" w:color="auto" w:fill="auto"/>
          </w:tcPr>
          <w:p w14:paraId="2987C90D" w14:textId="77777777" w:rsidR="00D35A5A" w:rsidRPr="007B5443" w:rsidRDefault="00D35A5A" w:rsidP="00BD4497">
            <w:pPr>
              <w:keepNext/>
              <w:jc w:val="center"/>
              <w:rPr>
                <w:sz w:val="20"/>
                <w:lang w:val="en-GB"/>
              </w:rPr>
            </w:pPr>
            <w:r w:rsidRPr="007B5443">
              <w:rPr>
                <w:sz w:val="20"/>
                <w:lang w:val="en-GB"/>
              </w:rPr>
              <w:t>69.0</w:t>
            </w:r>
          </w:p>
        </w:tc>
        <w:tc>
          <w:tcPr>
            <w:tcW w:w="1698" w:type="dxa"/>
            <w:tcBorders>
              <w:top w:val="single" w:sz="4" w:space="0" w:color="auto"/>
              <w:left w:val="single" w:sz="4" w:space="0" w:color="auto"/>
              <w:bottom w:val="nil"/>
              <w:right w:val="single" w:sz="4" w:space="0" w:color="auto"/>
            </w:tcBorders>
            <w:shd w:val="clear" w:color="auto" w:fill="auto"/>
          </w:tcPr>
          <w:p w14:paraId="5938CEDD" w14:textId="77777777" w:rsidR="00D35A5A" w:rsidRPr="007B5443" w:rsidRDefault="00D35A5A" w:rsidP="00BD4497">
            <w:pPr>
              <w:keepNext/>
              <w:jc w:val="center"/>
              <w:rPr>
                <w:sz w:val="20"/>
                <w:lang w:val="en-GB"/>
              </w:rPr>
            </w:pPr>
            <w:r w:rsidRPr="007B5443">
              <w:rPr>
                <w:sz w:val="20"/>
                <w:lang w:val="en-GB"/>
              </w:rPr>
              <w:t>5011.4</w:t>
            </w:r>
          </w:p>
        </w:tc>
        <w:tc>
          <w:tcPr>
            <w:tcW w:w="1698" w:type="dxa"/>
            <w:tcBorders>
              <w:top w:val="single" w:sz="4" w:space="0" w:color="auto"/>
              <w:left w:val="single" w:sz="4" w:space="0" w:color="auto"/>
              <w:bottom w:val="nil"/>
              <w:right w:val="single" w:sz="4" w:space="0" w:color="auto"/>
            </w:tcBorders>
            <w:shd w:val="clear" w:color="auto" w:fill="auto"/>
          </w:tcPr>
          <w:p w14:paraId="7364D7A3" w14:textId="77777777" w:rsidR="00D35A5A" w:rsidRPr="007B5443" w:rsidRDefault="00D35A5A" w:rsidP="00BD4497">
            <w:pPr>
              <w:keepNext/>
              <w:jc w:val="center"/>
              <w:rPr>
                <w:sz w:val="20"/>
                <w:lang w:val="en-GB"/>
              </w:rPr>
            </w:pPr>
            <w:r w:rsidRPr="007B5443">
              <w:rPr>
                <w:sz w:val="20"/>
                <w:lang w:val="en-GB"/>
              </w:rPr>
              <w:t>3615.6</w:t>
            </w:r>
          </w:p>
        </w:tc>
        <w:tc>
          <w:tcPr>
            <w:tcW w:w="1698" w:type="dxa"/>
            <w:tcBorders>
              <w:top w:val="single" w:sz="4" w:space="0" w:color="auto"/>
              <w:left w:val="single" w:sz="4" w:space="0" w:color="auto"/>
              <w:bottom w:val="nil"/>
              <w:right w:val="single" w:sz="4" w:space="0" w:color="auto"/>
            </w:tcBorders>
            <w:shd w:val="clear" w:color="auto" w:fill="auto"/>
          </w:tcPr>
          <w:p w14:paraId="7EB182DE" w14:textId="77777777" w:rsidR="00D35A5A" w:rsidRPr="007B5443" w:rsidRDefault="00D35A5A" w:rsidP="00BD4497">
            <w:pPr>
              <w:keepNext/>
              <w:jc w:val="center"/>
              <w:rPr>
                <w:sz w:val="20"/>
                <w:lang w:val="en-GB"/>
              </w:rPr>
            </w:pPr>
            <w:r w:rsidRPr="007B5443">
              <w:rPr>
                <w:sz w:val="20"/>
                <w:lang w:val="en-GB"/>
              </w:rPr>
              <w:t>2125.8</w:t>
            </w:r>
          </w:p>
        </w:tc>
      </w:tr>
      <w:tr w:rsidR="00D35A5A" w:rsidRPr="007B5443" w14:paraId="4CB4DA67" w14:textId="77777777" w:rsidTr="00BD4497">
        <w:trPr>
          <w:tblHeader/>
          <w:jc w:val="center"/>
        </w:trPr>
        <w:tc>
          <w:tcPr>
            <w:tcW w:w="1577" w:type="dxa"/>
            <w:tcBorders>
              <w:top w:val="nil"/>
              <w:left w:val="single" w:sz="4" w:space="0" w:color="auto"/>
              <w:bottom w:val="nil"/>
              <w:right w:val="single" w:sz="4" w:space="0" w:color="auto"/>
            </w:tcBorders>
            <w:shd w:val="clear" w:color="auto" w:fill="auto"/>
          </w:tcPr>
          <w:p w14:paraId="5F6CEBEC" w14:textId="77777777" w:rsidR="00D35A5A" w:rsidRPr="007B5443" w:rsidRDefault="00D35A5A" w:rsidP="00BD4497">
            <w:pPr>
              <w:keepNext/>
              <w:rPr>
                <w:b/>
                <w:sz w:val="20"/>
                <w:lang w:val="en-GB"/>
              </w:rPr>
            </w:pPr>
          </w:p>
        </w:tc>
        <w:tc>
          <w:tcPr>
            <w:tcW w:w="1134" w:type="dxa"/>
            <w:tcBorders>
              <w:top w:val="nil"/>
              <w:left w:val="single" w:sz="4" w:space="0" w:color="auto"/>
              <w:bottom w:val="single" w:sz="4" w:space="0" w:color="auto"/>
              <w:right w:val="single" w:sz="4" w:space="0" w:color="auto"/>
            </w:tcBorders>
            <w:shd w:val="clear" w:color="auto" w:fill="auto"/>
          </w:tcPr>
          <w:p w14:paraId="70A39885" w14:textId="77777777" w:rsidR="00D35A5A" w:rsidRPr="007B5443" w:rsidRDefault="00D35A5A" w:rsidP="00BD4497">
            <w:pPr>
              <w:keepNext/>
              <w:ind w:left="264"/>
              <w:rPr>
                <w:sz w:val="20"/>
                <w:lang w:val="en-GB"/>
              </w:rPr>
            </w:pPr>
            <w:r w:rsidRPr="007B5443">
              <w:rPr>
                <w:sz w:val="20"/>
                <w:lang w:val="en-GB"/>
              </w:rPr>
              <w:t>95%CI</w:t>
            </w:r>
          </w:p>
        </w:tc>
        <w:tc>
          <w:tcPr>
            <w:tcW w:w="1697" w:type="dxa"/>
            <w:tcBorders>
              <w:top w:val="nil"/>
              <w:left w:val="single" w:sz="4" w:space="0" w:color="auto"/>
              <w:bottom w:val="single" w:sz="4" w:space="0" w:color="auto"/>
              <w:right w:val="single" w:sz="4" w:space="0" w:color="auto"/>
            </w:tcBorders>
            <w:shd w:val="clear" w:color="auto" w:fill="auto"/>
          </w:tcPr>
          <w:p w14:paraId="4F1F13B6" w14:textId="77777777" w:rsidR="00D35A5A" w:rsidRPr="007B5443" w:rsidRDefault="00D35A5A" w:rsidP="00BD4497">
            <w:pPr>
              <w:keepNext/>
              <w:jc w:val="center"/>
              <w:rPr>
                <w:sz w:val="20"/>
                <w:lang w:val="en-GB"/>
              </w:rPr>
            </w:pPr>
            <w:r w:rsidRPr="007B5443">
              <w:rPr>
                <w:sz w:val="20"/>
                <w:lang w:val="en-GB"/>
              </w:rPr>
              <w:t>[56.9; 83.6]</w:t>
            </w:r>
          </w:p>
        </w:tc>
        <w:tc>
          <w:tcPr>
            <w:tcW w:w="1698" w:type="dxa"/>
            <w:tcBorders>
              <w:top w:val="nil"/>
              <w:left w:val="single" w:sz="4" w:space="0" w:color="auto"/>
              <w:bottom w:val="single" w:sz="4" w:space="0" w:color="auto"/>
              <w:right w:val="single" w:sz="4" w:space="0" w:color="auto"/>
            </w:tcBorders>
            <w:shd w:val="clear" w:color="auto" w:fill="auto"/>
          </w:tcPr>
          <w:p w14:paraId="76440E72" w14:textId="77777777" w:rsidR="00D35A5A" w:rsidRPr="007B5443" w:rsidRDefault="00D35A5A" w:rsidP="00BD4497">
            <w:pPr>
              <w:keepNext/>
              <w:jc w:val="center"/>
              <w:rPr>
                <w:sz w:val="20"/>
                <w:lang w:val="en-GB"/>
              </w:rPr>
            </w:pPr>
            <w:r w:rsidRPr="007B5443">
              <w:rPr>
                <w:sz w:val="20"/>
                <w:lang w:val="en-GB"/>
              </w:rPr>
              <w:t>[4177.4; 6012.0]</w:t>
            </w:r>
          </w:p>
        </w:tc>
        <w:tc>
          <w:tcPr>
            <w:tcW w:w="1698" w:type="dxa"/>
            <w:tcBorders>
              <w:top w:val="nil"/>
              <w:left w:val="single" w:sz="4" w:space="0" w:color="auto"/>
              <w:bottom w:val="single" w:sz="4" w:space="0" w:color="auto"/>
              <w:right w:val="single" w:sz="4" w:space="0" w:color="auto"/>
            </w:tcBorders>
            <w:shd w:val="clear" w:color="auto" w:fill="auto"/>
          </w:tcPr>
          <w:p w14:paraId="2BEB29BF" w14:textId="77777777" w:rsidR="00D35A5A" w:rsidRPr="007B5443" w:rsidRDefault="00D35A5A" w:rsidP="00BD4497">
            <w:pPr>
              <w:keepNext/>
              <w:jc w:val="center"/>
              <w:rPr>
                <w:sz w:val="20"/>
                <w:lang w:val="en-GB"/>
              </w:rPr>
            </w:pPr>
            <w:r w:rsidRPr="007B5443">
              <w:rPr>
                <w:sz w:val="20"/>
                <w:lang w:val="en-GB"/>
              </w:rPr>
              <w:t>[3100.5; 4216.4]</w:t>
            </w:r>
          </w:p>
        </w:tc>
        <w:tc>
          <w:tcPr>
            <w:tcW w:w="1698" w:type="dxa"/>
            <w:tcBorders>
              <w:top w:val="nil"/>
              <w:left w:val="single" w:sz="4" w:space="0" w:color="auto"/>
              <w:bottom w:val="single" w:sz="4" w:space="0" w:color="auto"/>
              <w:right w:val="single" w:sz="4" w:space="0" w:color="auto"/>
            </w:tcBorders>
            <w:shd w:val="clear" w:color="auto" w:fill="auto"/>
          </w:tcPr>
          <w:p w14:paraId="77AD4173" w14:textId="77777777" w:rsidR="00D35A5A" w:rsidRPr="007B5443" w:rsidRDefault="00D35A5A" w:rsidP="00BD4497">
            <w:pPr>
              <w:keepNext/>
              <w:jc w:val="center"/>
              <w:rPr>
                <w:sz w:val="20"/>
                <w:lang w:val="en-GB"/>
              </w:rPr>
            </w:pPr>
            <w:r w:rsidRPr="007B5443">
              <w:rPr>
                <w:sz w:val="20"/>
                <w:lang w:val="en-GB"/>
              </w:rPr>
              <w:t>[1875.5; 2409.6]</w:t>
            </w:r>
          </w:p>
        </w:tc>
      </w:tr>
      <w:tr w:rsidR="00D35A5A" w:rsidRPr="007B5443" w14:paraId="2C8EC4D8" w14:textId="77777777" w:rsidTr="00BD4497">
        <w:trPr>
          <w:tblHeader/>
          <w:jc w:val="center"/>
        </w:trPr>
        <w:tc>
          <w:tcPr>
            <w:tcW w:w="1577" w:type="dxa"/>
            <w:tcBorders>
              <w:top w:val="nil"/>
              <w:left w:val="single" w:sz="4" w:space="0" w:color="auto"/>
              <w:bottom w:val="nil"/>
              <w:right w:val="single" w:sz="4" w:space="0" w:color="auto"/>
            </w:tcBorders>
            <w:shd w:val="clear" w:color="auto" w:fill="auto"/>
          </w:tcPr>
          <w:p w14:paraId="512B848C" w14:textId="77777777" w:rsidR="00D35A5A" w:rsidRPr="007B5443" w:rsidRDefault="00D35A5A" w:rsidP="00BD4497">
            <w:pPr>
              <w:keepNext/>
              <w:rPr>
                <w:b/>
                <w:sz w:val="20"/>
                <w:lang w:val="en-GB"/>
              </w:rPr>
            </w:pPr>
          </w:p>
        </w:tc>
        <w:tc>
          <w:tcPr>
            <w:tcW w:w="1134" w:type="dxa"/>
            <w:tcBorders>
              <w:top w:val="single" w:sz="4" w:space="0" w:color="auto"/>
              <w:left w:val="single" w:sz="4" w:space="0" w:color="auto"/>
              <w:bottom w:val="nil"/>
              <w:right w:val="single" w:sz="4" w:space="0" w:color="auto"/>
            </w:tcBorders>
            <w:shd w:val="clear" w:color="auto" w:fill="auto"/>
          </w:tcPr>
          <w:p w14:paraId="0D88D49E" w14:textId="77777777" w:rsidR="00D35A5A" w:rsidRPr="007B5443" w:rsidRDefault="00D35A5A" w:rsidP="00BD4497">
            <w:pPr>
              <w:keepNext/>
              <w:ind w:left="264"/>
              <w:rPr>
                <w:sz w:val="20"/>
                <w:lang w:val="en-GB"/>
              </w:rPr>
            </w:pPr>
            <w:r w:rsidRPr="007B5443">
              <w:rPr>
                <w:sz w:val="20"/>
                <w:lang w:val="en-GB"/>
              </w:rPr>
              <w:t>≥8</w:t>
            </w:r>
          </w:p>
        </w:tc>
        <w:tc>
          <w:tcPr>
            <w:tcW w:w="1697" w:type="dxa"/>
            <w:tcBorders>
              <w:top w:val="single" w:sz="4" w:space="0" w:color="auto"/>
              <w:left w:val="single" w:sz="4" w:space="0" w:color="auto"/>
              <w:bottom w:val="nil"/>
              <w:right w:val="single" w:sz="4" w:space="0" w:color="auto"/>
            </w:tcBorders>
            <w:shd w:val="clear" w:color="auto" w:fill="auto"/>
          </w:tcPr>
          <w:p w14:paraId="55515823" w14:textId="77777777" w:rsidR="00D35A5A" w:rsidRPr="007B5443" w:rsidRDefault="00D35A5A" w:rsidP="00BD4497">
            <w:pPr>
              <w:keepNext/>
              <w:jc w:val="center"/>
              <w:rPr>
                <w:sz w:val="20"/>
                <w:lang w:val="en-GB"/>
              </w:rPr>
            </w:pPr>
            <w:r w:rsidRPr="007B5443">
              <w:rPr>
                <w:sz w:val="20"/>
                <w:lang w:val="en-GB"/>
              </w:rPr>
              <w:t>89.1%</w:t>
            </w:r>
          </w:p>
        </w:tc>
        <w:tc>
          <w:tcPr>
            <w:tcW w:w="1698" w:type="dxa"/>
            <w:tcBorders>
              <w:top w:val="single" w:sz="4" w:space="0" w:color="auto"/>
              <w:left w:val="single" w:sz="4" w:space="0" w:color="auto"/>
              <w:bottom w:val="nil"/>
              <w:right w:val="single" w:sz="4" w:space="0" w:color="auto"/>
            </w:tcBorders>
            <w:shd w:val="clear" w:color="auto" w:fill="auto"/>
          </w:tcPr>
          <w:p w14:paraId="2CAF0D09" w14:textId="77777777" w:rsidR="00D35A5A" w:rsidRPr="007B5443" w:rsidRDefault="00D35A5A" w:rsidP="00BD4497">
            <w:pPr>
              <w:keepNext/>
              <w:jc w:val="center"/>
              <w:rPr>
                <w:sz w:val="20"/>
                <w:lang w:val="en-GB"/>
              </w:rPr>
            </w:pPr>
            <w:r w:rsidRPr="007B5443">
              <w:rPr>
                <w:sz w:val="20"/>
                <w:lang w:val="en-GB"/>
              </w:rPr>
              <w:t>98.8%</w:t>
            </w:r>
          </w:p>
        </w:tc>
        <w:tc>
          <w:tcPr>
            <w:tcW w:w="1698" w:type="dxa"/>
            <w:tcBorders>
              <w:top w:val="single" w:sz="4" w:space="0" w:color="auto"/>
              <w:left w:val="single" w:sz="4" w:space="0" w:color="auto"/>
              <w:bottom w:val="nil"/>
              <w:right w:val="single" w:sz="4" w:space="0" w:color="auto"/>
            </w:tcBorders>
            <w:shd w:val="clear" w:color="auto" w:fill="auto"/>
          </w:tcPr>
          <w:p w14:paraId="5293CF56" w14:textId="77777777" w:rsidR="00D35A5A" w:rsidRPr="007B5443" w:rsidRDefault="00D35A5A" w:rsidP="00BD4497">
            <w:pPr>
              <w:keepNext/>
              <w:jc w:val="center"/>
              <w:rPr>
                <w:sz w:val="20"/>
                <w:lang w:val="en-GB"/>
              </w:rPr>
            </w:pPr>
            <w:r w:rsidRPr="007B5443">
              <w:rPr>
                <w:sz w:val="20"/>
                <w:lang w:val="en-GB"/>
              </w:rPr>
              <w:t>99.7%</w:t>
            </w:r>
          </w:p>
        </w:tc>
        <w:tc>
          <w:tcPr>
            <w:tcW w:w="1698" w:type="dxa"/>
            <w:tcBorders>
              <w:top w:val="single" w:sz="4" w:space="0" w:color="auto"/>
              <w:left w:val="single" w:sz="4" w:space="0" w:color="auto"/>
              <w:bottom w:val="nil"/>
              <w:right w:val="single" w:sz="4" w:space="0" w:color="auto"/>
            </w:tcBorders>
            <w:shd w:val="clear" w:color="auto" w:fill="auto"/>
          </w:tcPr>
          <w:p w14:paraId="0B85F182" w14:textId="77777777" w:rsidR="00D35A5A" w:rsidRPr="007B5443" w:rsidRDefault="00D35A5A" w:rsidP="00BD4497">
            <w:pPr>
              <w:keepNext/>
              <w:jc w:val="center"/>
              <w:rPr>
                <w:sz w:val="20"/>
                <w:lang w:val="en-GB"/>
              </w:rPr>
            </w:pPr>
            <w:r w:rsidRPr="007B5443">
              <w:rPr>
                <w:sz w:val="20"/>
                <w:lang w:val="en-GB"/>
              </w:rPr>
              <w:t>100%</w:t>
            </w:r>
          </w:p>
        </w:tc>
      </w:tr>
      <w:tr w:rsidR="00D35A5A" w:rsidRPr="007B5443" w14:paraId="643832F0" w14:textId="77777777" w:rsidTr="00BD4497">
        <w:trPr>
          <w:tblHeader/>
          <w:jc w:val="center"/>
        </w:trPr>
        <w:tc>
          <w:tcPr>
            <w:tcW w:w="1577" w:type="dxa"/>
            <w:tcBorders>
              <w:top w:val="nil"/>
              <w:left w:val="single" w:sz="4" w:space="0" w:color="auto"/>
              <w:bottom w:val="single" w:sz="4" w:space="0" w:color="auto"/>
              <w:right w:val="single" w:sz="4" w:space="0" w:color="auto"/>
            </w:tcBorders>
            <w:shd w:val="clear" w:color="auto" w:fill="auto"/>
          </w:tcPr>
          <w:p w14:paraId="7C226A48" w14:textId="77777777" w:rsidR="00D35A5A" w:rsidRPr="007B5443" w:rsidRDefault="00D35A5A" w:rsidP="00BD4497">
            <w:pPr>
              <w:keepNext/>
              <w:rPr>
                <w:b/>
                <w:sz w:val="20"/>
                <w:lang w:val="en-GB"/>
              </w:rPr>
            </w:pPr>
          </w:p>
        </w:tc>
        <w:tc>
          <w:tcPr>
            <w:tcW w:w="1134" w:type="dxa"/>
            <w:tcBorders>
              <w:top w:val="nil"/>
              <w:left w:val="single" w:sz="4" w:space="0" w:color="auto"/>
              <w:bottom w:val="single" w:sz="4" w:space="0" w:color="auto"/>
              <w:right w:val="single" w:sz="4" w:space="0" w:color="auto"/>
            </w:tcBorders>
            <w:shd w:val="clear" w:color="auto" w:fill="auto"/>
          </w:tcPr>
          <w:p w14:paraId="4F5447DD" w14:textId="77777777" w:rsidR="00D35A5A" w:rsidRPr="007B5443" w:rsidRDefault="00D35A5A" w:rsidP="00BD4497">
            <w:pPr>
              <w:keepNext/>
              <w:ind w:left="264"/>
              <w:rPr>
                <w:sz w:val="20"/>
                <w:lang w:val="en-GB"/>
              </w:rPr>
            </w:pPr>
            <w:r w:rsidRPr="007B5443">
              <w:rPr>
                <w:sz w:val="20"/>
                <w:lang w:val="en-GB"/>
              </w:rPr>
              <w:t>95%CI</w:t>
            </w:r>
          </w:p>
        </w:tc>
        <w:tc>
          <w:tcPr>
            <w:tcW w:w="1697" w:type="dxa"/>
            <w:tcBorders>
              <w:top w:val="nil"/>
              <w:left w:val="single" w:sz="4" w:space="0" w:color="auto"/>
              <w:bottom w:val="single" w:sz="4" w:space="0" w:color="auto"/>
              <w:right w:val="single" w:sz="4" w:space="0" w:color="auto"/>
            </w:tcBorders>
            <w:shd w:val="clear" w:color="auto" w:fill="auto"/>
          </w:tcPr>
          <w:p w14:paraId="6F55BEED" w14:textId="77777777" w:rsidR="00D35A5A" w:rsidRPr="007B5443" w:rsidRDefault="00D35A5A" w:rsidP="00BD4497">
            <w:pPr>
              <w:keepNext/>
              <w:jc w:val="center"/>
              <w:rPr>
                <w:sz w:val="20"/>
                <w:lang w:val="en-GB"/>
              </w:rPr>
            </w:pPr>
            <w:r w:rsidRPr="007B5443">
              <w:rPr>
                <w:sz w:val="20"/>
                <w:lang w:val="en-GB"/>
              </w:rPr>
              <w:t>[85.2; 92.2]</w:t>
            </w:r>
          </w:p>
        </w:tc>
        <w:tc>
          <w:tcPr>
            <w:tcW w:w="1698" w:type="dxa"/>
            <w:tcBorders>
              <w:top w:val="nil"/>
              <w:left w:val="single" w:sz="4" w:space="0" w:color="auto"/>
              <w:bottom w:val="single" w:sz="4" w:space="0" w:color="auto"/>
              <w:right w:val="single" w:sz="4" w:space="0" w:color="auto"/>
            </w:tcBorders>
            <w:shd w:val="clear" w:color="auto" w:fill="auto"/>
          </w:tcPr>
          <w:p w14:paraId="478A7B8A" w14:textId="77777777" w:rsidR="00D35A5A" w:rsidRPr="007B5443" w:rsidRDefault="00D35A5A" w:rsidP="00BD4497">
            <w:pPr>
              <w:keepNext/>
              <w:jc w:val="center"/>
              <w:rPr>
                <w:sz w:val="20"/>
                <w:lang w:val="en-GB"/>
              </w:rPr>
            </w:pPr>
            <w:r w:rsidRPr="007B5443">
              <w:rPr>
                <w:sz w:val="20"/>
                <w:lang w:val="en-GB"/>
              </w:rPr>
              <w:t>[96.9; 99.7]</w:t>
            </w:r>
          </w:p>
        </w:tc>
        <w:tc>
          <w:tcPr>
            <w:tcW w:w="1698" w:type="dxa"/>
            <w:tcBorders>
              <w:top w:val="nil"/>
              <w:left w:val="single" w:sz="4" w:space="0" w:color="auto"/>
              <w:bottom w:val="single" w:sz="4" w:space="0" w:color="auto"/>
              <w:right w:val="single" w:sz="4" w:space="0" w:color="auto"/>
            </w:tcBorders>
            <w:shd w:val="clear" w:color="auto" w:fill="auto"/>
          </w:tcPr>
          <w:p w14:paraId="26B23746" w14:textId="77777777" w:rsidR="00D35A5A" w:rsidRPr="007B5443" w:rsidRDefault="00D35A5A" w:rsidP="00BD4497">
            <w:pPr>
              <w:keepNext/>
              <w:jc w:val="center"/>
              <w:rPr>
                <w:sz w:val="20"/>
                <w:lang w:val="en-GB"/>
              </w:rPr>
            </w:pPr>
            <w:r w:rsidRPr="007B5443">
              <w:rPr>
                <w:sz w:val="20"/>
                <w:lang w:val="en-GB"/>
              </w:rPr>
              <w:t>[98.3; 100]</w:t>
            </w:r>
          </w:p>
        </w:tc>
        <w:tc>
          <w:tcPr>
            <w:tcW w:w="1698" w:type="dxa"/>
            <w:tcBorders>
              <w:top w:val="nil"/>
              <w:left w:val="single" w:sz="4" w:space="0" w:color="auto"/>
              <w:bottom w:val="single" w:sz="4" w:space="0" w:color="auto"/>
              <w:right w:val="single" w:sz="4" w:space="0" w:color="auto"/>
            </w:tcBorders>
            <w:shd w:val="clear" w:color="auto" w:fill="auto"/>
          </w:tcPr>
          <w:p w14:paraId="1DFF3F9D" w14:textId="77777777" w:rsidR="00D35A5A" w:rsidRPr="007B5443" w:rsidRDefault="00D35A5A" w:rsidP="00BD4497">
            <w:pPr>
              <w:keepNext/>
              <w:jc w:val="center"/>
              <w:rPr>
                <w:sz w:val="20"/>
                <w:lang w:val="en-GB"/>
              </w:rPr>
            </w:pPr>
            <w:r w:rsidRPr="007B5443">
              <w:rPr>
                <w:sz w:val="20"/>
                <w:lang w:val="en-GB"/>
              </w:rPr>
              <w:t>[98.8; 100]</w:t>
            </w:r>
          </w:p>
        </w:tc>
      </w:tr>
      <w:tr w:rsidR="00D35A5A" w:rsidRPr="007B5443" w14:paraId="3A14BC76" w14:textId="77777777" w:rsidTr="00BD4497">
        <w:trPr>
          <w:tblHeader/>
          <w:jc w:val="center"/>
        </w:trPr>
        <w:tc>
          <w:tcPr>
            <w:tcW w:w="9502" w:type="dxa"/>
            <w:gridSpan w:val="6"/>
            <w:tcBorders>
              <w:top w:val="single" w:sz="4" w:space="0" w:color="auto"/>
              <w:left w:val="single" w:sz="4" w:space="0" w:color="auto"/>
              <w:bottom w:val="single" w:sz="4" w:space="0" w:color="auto"/>
              <w:right w:val="single" w:sz="4" w:space="0" w:color="auto"/>
            </w:tcBorders>
            <w:shd w:val="clear" w:color="auto" w:fill="auto"/>
          </w:tcPr>
          <w:p w14:paraId="5B071746" w14:textId="77777777" w:rsidR="00D35A5A" w:rsidRPr="007B5443" w:rsidRDefault="00D35A5A" w:rsidP="00BD4497">
            <w:pPr>
              <w:keepNext/>
              <w:rPr>
                <w:b/>
                <w:sz w:val="20"/>
                <w:lang w:val="en-GB"/>
              </w:rPr>
            </w:pPr>
            <w:r w:rsidRPr="007B5443">
              <w:rPr>
                <w:b/>
                <w:sz w:val="20"/>
                <w:lang w:val="en-GB"/>
              </w:rPr>
              <w:t>Pertussis (ELISA, EU/mL)</w:t>
            </w:r>
          </w:p>
        </w:tc>
      </w:tr>
      <w:tr w:rsidR="00D35A5A" w:rsidRPr="007B5443" w14:paraId="1079F5B0" w14:textId="77777777" w:rsidTr="00BD4497">
        <w:trPr>
          <w:tblHeader/>
          <w:jc w:val="center"/>
        </w:trPr>
        <w:tc>
          <w:tcPr>
            <w:tcW w:w="1577" w:type="dxa"/>
            <w:tcBorders>
              <w:top w:val="single" w:sz="4" w:space="0" w:color="auto"/>
              <w:left w:val="single" w:sz="4" w:space="0" w:color="auto"/>
              <w:bottom w:val="nil"/>
              <w:right w:val="single" w:sz="4" w:space="0" w:color="auto"/>
            </w:tcBorders>
            <w:shd w:val="clear" w:color="auto" w:fill="auto"/>
          </w:tcPr>
          <w:p w14:paraId="488EC126" w14:textId="77777777" w:rsidR="00D35A5A" w:rsidRPr="007B5443" w:rsidRDefault="00D35A5A" w:rsidP="00BD4497">
            <w:pPr>
              <w:keepNext/>
              <w:ind w:left="284"/>
              <w:rPr>
                <w:b/>
                <w:sz w:val="20"/>
                <w:lang w:val="en-GB"/>
              </w:rPr>
            </w:pPr>
            <w:r w:rsidRPr="007B5443">
              <w:rPr>
                <w:b/>
                <w:sz w:val="20"/>
                <w:lang w:val="en-GB"/>
              </w:rPr>
              <w:t xml:space="preserve">PT </w:t>
            </w:r>
          </w:p>
        </w:tc>
        <w:tc>
          <w:tcPr>
            <w:tcW w:w="1134" w:type="dxa"/>
            <w:tcBorders>
              <w:top w:val="single" w:sz="4" w:space="0" w:color="auto"/>
              <w:left w:val="single" w:sz="4" w:space="0" w:color="auto"/>
              <w:bottom w:val="nil"/>
              <w:right w:val="single" w:sz="4" w:space="0" w:color="auto"/>
            </w:tcBorders>
            <w:shd w:val="clear" w:color="auto" w:fill="auto"/>
          </w:tcPr>
          <w:p w14:paraId="2794B72E" w14:textId="77777777" w:rsidR="00D35A5A" w:rsidRPr="007B5443" w:rsidRDefault="00D35A5A" w:rsidP="00BD4497">
            <w:pPr>
              <w:keepNext/>
              <w:ind w:left="264"/>
              <w:rPr>
                <w:sz w:val="20"/>
                <w:lang w:val="en-GB"/>
              </w:rPr>
            </w:pPr>
            <w:r w:rsidRPr="007B5443">
              <w:rPr>
                <w:sz w:val="20"/>
                <w:lang w:val="en-GB"/>
              </w:rPr>
              <w:t xml:space="preserve">GMC </w:t>
            </w:r>
          </w:p>
        </w:tc>
        <w:tc>
          <w:tcPr>
            <w:tcW w:w="1697" w:type="dxa"/>
            <w:tcBorders>
              <w:top w:val="single" w:sz="4" w:space="0" w:color="auto"/>
              <w:left w:val="single" w:sz="4" w:space="0" w:color="auto"/>
              <w:bottom w:val="nil"/>
              <w:right w:val="single" w:sz="4" w:space="0" w:color="auto"/>
            </w:tcBorders>
            <w:shd w:val="clear" w:color="auto" w:fill="auto"/>
          </w:tcPr>
          <w:p w14:paraId="0F443A87" w14:textId="77777777" w:rsidR="00D35A5A" w:rsidRPr="007B5443" w:rsidRDefault="00D35A5A" w:rsidP="00BD4497">
            <w:pPr>
              <w:keepNext/>
              <w:jc w:val="center"/>
              <w:rPr>
                <w:sz w:val="20"/>
                <w:lang w:val="en-GB"/>
              </w:rPr>
            </w:pPr>
            <w:r w:rsidRPr="007B5443">
              <w:rPr>
                <w:sz w:val="20"/>
                <w:lang w:val="en-GB"/>
              </w:rPr>
              <w:t>7.7</w:t>
            </w:r>
          </w:p>
        </w:tc>
        <w:tc>
          <w:tcPr>
            <w:tcW w:w="1698" w:type="dxa"/>
            <w:tcBorders>
              <w:top w:val="single" w:sz="4" w:space="0" w:color="auto"/>
              <w:left w:val="single" w:sz="4" w:space="0" w:color="auto"/>
              <w:bottom w:val="nil"/>
              <w:right w:val="single" w:sz="4" w:space="0" w:color="auto"/>
            </w:tcBorders>
            <w:shd w:val="clear" w:color="auto" w:fill="auto"/>
          </w:tcPr>
          <w:p w14:paraId="47860637" w14:textId="77777777" w:rsidR="00D35A5A" w:rsidRPr="007B5443" w:rsidRDefault="00D35A5A" w:rsidP="00BD4497">
            <w:pPr>
              <w:keepNext/>
              <w:jc w:val="center"/>
              <w:rPr>
                <w:sz w:val="20"/>
                <w:lang w:val="en-GB"/>
              </w:rPr>
            </w:pPr>
            <w:r w:rsidRPr="007B5443">
              <w:rPr>
                <w:sz w:val="20"/>
                <w:lang w:val="en-GB"/>
              </w:rPr>
              <w:t>41.3</w:t>
            </w:r>
          </w:p>
        </w:tc>
        <w:tc>
          <w:tcPr>
            <w:tcW w:w="1698" w:type="dxa"/>
            <w:tcBorders>
              <w:top w:val="single" w:sz="4" w:space="0" w:color="auto"/>
              <w:left w:val="single" w:sz="4" w:space="0" w:color="auto"/>
              <w:bottom w:val="nil"/>
              <w:right w:val="single" w:sz="4" w:space="0" w:color="auto"/>
            </w:tcBorders>
            <w:shd w:val="clear" w:color="auto" w:fill="auto"/>
          </w:tcPr>
          <w:p w14:paraId="7BA93628" w14:textId="77777777" w:rsidR="00D35A5A" w:rsidRPr="007B5443" w:rsidRDefault="00D35A5A" w:rsidP="00BD4497">
            <w:pPr>
              <w:keepNext/>
              <w:jc w:val="center"/>
              <w:rPr>
                <w:sz w:val="20"/>
                <w:lang w:val="en-GB"/>
              </w:rPr>
            </w:pPr>
          </w:p>
        </w:tc>
        <w:tc>
          <w:tcPr>
            <w:tcW w:w="1698" w:type="dxa"/>
            <w:tcBorders>
              <w:top w:val="single" w:sz="4" w:space="0" w:color="auto"/>
              <w:left w:val="single" w:sz="4" w:space="0" w:color="auto"/>
              <w:bottom w:val="nil"/>
              <w:right w:val="single" w:sz="4" w:space="0" w:color="auto"/>
            </w:tcBorders>
            <w:shd w:val="clear" w:color="auto" w:fill="auto"/>
          </w:tcPr>
          <w:p w14:paraId="258F95FE" w14:textId="77777777" w:rsidR="00D35A5A" w:rsidRPr="007B5443" w:rsidRDefault="00D35A5A" w:rsidP="00BD4497">
            <w:pPr>
              <w:keepNext/>
              <w:jc w:val="center"/>
              <w:rPr>
                <w:sz w:val="20"/>
                <w:lang w:val="en-GB"/>
              </w:rPr>
            </w:pPr>
          </w:p>
        </w:tc>
      </w:tr>
      <w:tr w:rsidR="00D35A5A" w:rsidRPr="007B5443" w14:paraId="355DD9C7" w14:textId="77777777" w:rsidTr="00BD4497">
        <w:trPr>
          <w:tblHeader/>
          <w:jc w:val="center"/>
        </w:trPr>
        <w:tc>
          <w:tcPr>
            <w:tcW w:w="1577" w:type="dxa"/>
            <w:tcBorders>
              <w:top w:val="nil"/>
              <w:left w:val="single" w:sz="4" w:space="0" w:color="auto"/>
              <w:bottom w:val="nil"/>
              <w:right w:val="single" w:sz="4" w:space="0" w:color="auto"/>
            </w:tcBorders>
            <w:shd w:val="clear" w:color="auto" w:fill="auto"/>
          </w:tcPr>
          <w:p w14:paraId="31D30E32" w14:textId="77777777" w:rsidR="00D35A5A" w:rsidRPr="007B5443" w:rsidRDefault="00D35A5A" w:rsidP="00BD4497">
            <w:pPr>
              <w:keepNext/>
              <w:ind w:left="284"/>
              <w:rPr>
                <w:b/>
                <w:sz w:val="20"/>
                <w:lang w:val="en-GB"/>
              </w:rPr>
            </w:pPr>
          </w:p>
        </w:tc>
        <w:tc>
          <w:tcPr>
            <w:tcW w:w="1134" w:type="dxa"/>
            <w:tcBorders>
              <w:top w:val="nil"/>
              <w:left w:val="single" w:sz="4" w:space="0" w:color="auto"/>
              <w:bottom w:val="single" w:sz="4" w:space="0" w:color="auto"/>
              <w:right w:val="single" w:sz="4" w:space="0" w:color="auto"/>
            </w:tcBorders>
            <w:shd w:val="clear" w:color="auto" w:fill="auto"/>
          </w:tcPr>
          <w:p w14:paraId="08D462EB" w14:textId="77777777" w:rsidR="00D35A5A" w:rsidRPr="007B5443" w:rsidRDefault="00D35A5A" w:rsidP="00BD4497">
            <w:pPr>
              <w:pStyle w:val="wcpTableContent"/>
              <w:keepNext/>
              <w:keepLines/>
              <w:spacing w:before="0" w:after="0"/>
              <w:ind w:left="264"/>
              <w:rPr>
                <w:sz w:val="20"/>
                <w:lang w:val="en-GB"/>
              </w:rPr>
            </w:pPr>
            <w:r w:rsidRPr="007B5443">
              <w:rPr>
                <w:sz w:val="20"/>
                <w:lang w:val="en-GB"/>
              </w:rPr>
              <w:t>95%CI</w:t>
            </w:r>
          </w:p>
        </w:tc>
        <w:tc>
          <w:tcPr>
            <w:tcW w:w="1697" w:type="dxa"/>
            <w:tcBorders>
              <w:top w:val="nil"/>
              <w:left w:val="single" w:sz="4" w:space="0" w:color="auto"/>
              <w:bottom w:val="single" w:sz="4" w:space="0" w:color="auto"/>
              <w:right w:val="single" w:sz="4" w:space="0" w:color="auto"/>
            </w:tcBorders>
            <w:shd w:val="clear" w:color="auto" w:fill="auto"/>
          </w:tcPr>
          <w:p w14:paraId="56E3812D" w14:textId="77777777" w:rsidR="00D35A5A" w:rsidRPr="007B5443" w:rsidRDefault="00D35A5A" w:rsidP="00BD4497">
            <w:pPr>
              <w:autoSpaceDE w:val="0"/>
              <w:autoSpaceDN w:val="0"/>
              <w:adjustRightInd w:val="0"/>
              <w:jc w:val="center"/>
              <w:rPr>
                <w:sz w:val="20"/>
                <w:lang w:val="en-GB"/>
              </w:rPr>
            </w:pPr>
            <w:r w:rsidRPr="007B5443">
              <w:rPr>
                <w:sz w:val="20"/>
                <w:lang w:val="en-GB"/>
              </w:rPr>
              <w:t>[6.8; 8.7]</w:t>
            </w:r>
          </w:p>
        </w:tc>
        <w:tc>
          <w:tcPr>
            <w:tcW w:w="1698" w:type="dxa"/>
            <w:tcBorders>
              <w:top w:val="nil"/>
              <w:left w:val="single" w:sz="4" w:space="0" w:color="auto"/>
              <w:bottom w:val="single" w:sz="4" w:space="0" w:color="auto"/>
              <w:right w:val="single" w:sz="4" w:space="0" w:color="auto"/>
            </w:tcBorders>
            <w:shd w:val="clear" w:color="auto" w:fill="auto"/>
          </w:tcPr>
          <w:p w14:paraId="70DF70D7" w14:textId="77777777" w:rsidR="00D35A5A" w:rsidRPr="007B5443" w:rsidRDefault="00D35A5A" w:rsidP="00BD4497">
            <w:pPr>
              <w:autoSpaceDE w:val="0"/>
              <w:autoSpaceDN w:val="0"/>
              <w:adjustRightInd w:val="0"/>
              <w:jc w:val="center"/>
              <w:rPr>
                <w:sz w:val="20"/>
                <w:lang w:val="en-GB"/>
              </w:rPr>
            </w:pPr>
            <w:r w:rsidRPr="007B5443">
              <w:rPr>
                <w:sz w:val="20"/>
                <w:lang w:val="en-GB"/>
              </w:rPr>
              <w:t>[36.7; 46.5]</w:t>
            </w:r>
          </w:p>
        </w:tc>
        <w:tc>
          <w:tcPr>
            <w:tcW w:w="1698" w:type="dxa"/>
            <w:tcBorders>
              <w:top w:val="nil"/>
              <w:left w:val="single" w:sz="4" w:space="0" w:color="auto"/>
              <w:bottom w:val="single" w:sz="4" w:space="0" w:color="auto"/>
              <w:right w:val="single" w:sz="4" w:space="0" w:color="auto"/>
            </w:tcBorders>
            <w:shd w:val="clear" w:color="auto" w:fill="auto"/>
          </w:tcPr>
          <w:p w14:paraId="46F8CB9C" w14:textId="77777777" w:rsidR="00D35A5A" w:rsidRPr="007B5443" w:rsidRDefault="00D35A5A" w:rsidP="00BD4497">
            <w:pPr>
              <w:keepNext/>
              <w:jc w:val="center"/>
              <w:rPr>
                <w:sz w:val="20"/>
                <w:lang w:val="en-GB"/>
              </w:rPr>
            </w:pPr>
          </w:p>
        </w:tc>
        <w:tc>
          <w:tcPr>
            <w:tcW w:w="1698" w:type="dxa"/>
            <w:tcBorders>
              <w:top w:val="nil"/>
              <w:left w:val="single" w:sz="4" w:space="0" w:color="auto"/>
              <w:bottom w:val="single" w:sz="4" w:space="0" w:color="auto"/>
              <w:right w:val="single" w:sz="4" w:space="0" w:color="auto"/>
            </w:tcBorders>
            <w:shd w:val="clear" w:color="auto" w:fill="auto"/>
          </w:tcPr>
          <w:p w14:paraId="51A801E7" w14:textId="77777777" w:rsidR="00D35A5A" w:rsidRPr="007B5443" w:rsidRDefault="00D35A5A" w:rsidP="00BD4497">
            <w:pPr>
              <w:keepNext/>
              <w:jc w:val="center"/>
              <w:rPr>
                <w:sz w:val="20"/>
                <w:lang w:val="en-GB"/>
              </w:rPr>
            </w:pPr>
          </w:p>
        </w:tc>
      </w:tr>
      <w:tr w:rsidR="00D35A5A" w:rsidRPr="007B5443" w14:paraId="496FE9C8" w14:textId="77777777" w:rsidTr="00BD4497">
        <w:trPr>
          <w:tblHeader/>
          <w:jc w:val="center"/>
        </w:trPr>
        <w:tc>
          <w:tcPr>
            <w:tcW w:w="1577" w:type="dxa"/>
            <w:tcBorders>
              <w:top w:val="nil"/>
              <w:left w:val="single" w:sz="4" w:space="0" w:color="auto"/>
              <w:bottom w:val="nil"/>
              <w:right w:val="single" w:sz="4" w:space="0" w:color="auto"/>
            </w:tcBorders>
            <w:shd w:val="clear" w:color="auto" w:fill="auto"/>
          </w:tcPr>
          <w:p w14:paraId="6C787F7B" w14:textId="77777777" w:rsidR="00D35A5A" w:rsidRPr="007B5443" w:rsidRDefault="00D35A5A" w:rsidP="00BD4497">
            <w:pPr>
              <w:keepNext/>
              <w:ind w:left="284"/>
              <w:rPr>
                <w:b/>
                <w:sz w:val="20"/>
                <w:lang w:val="en-GB"/>
              </w:rPr>
            </w:pPr>
          </w:p>
        </w:tc>
        <w:tc>
          <w:tcPr>
            <w:tcW w:w="1134" w:type="dxa"/>
            <w:tcBorders>
              <w:top w:val="single" w:sz="4" w:space="0" w:color="auto"/>
              <w:left w:val="single" w:sz="4" w:space="0" w:color="auto"/>
              <w:bottom w:val="nil"/>
              <w:right w:val="single" w:sz="4" w:space="0" w:color="auto"/>
            </w:tcBorders>
            <w:shd w:val="clear" w:color="auto" w:fill="auto"/>
          </w:tcPr>
          <w:p w14:paraId="65BF89DE" w14:textId="77777777" w:rsidR="00D35A5A" w:rsidRPr="007B5443" w:rsidRDefault="00D35A5A" w:rsidP="00BD4497">
            <w:pPr>
              <w:pStyle w:val="wcpTableContent"/>
              <w:keepNext/>
              <w:keepLines/>
              <w:spacing w:before="0" w:after="0"/>
              <w:ind w:left="264"/>
              <w:rPr>
                <w:sz w:val="20"/>
                <w:lang w:val="en-GB"/>
              </w:rPr>
            </w:pPr>
            <w:r w:rsidRPr="007B5443">
              <w:rPr>
                <w:sz w:val="20"/>
                <w:lang w:val="en-GB"/>
              </w:rPr>
              <w:t xml:space="preserve">≥5 </w:t>
            </w:r>
          </w:p>
        </w:tc>
        <w:tc>
          <w:tcPr>
            <w:tcW w:w="1697" w:type="dxa"/>
            <w:tcBorders>
              <w:top w:val="single" w:sz="4" w:space="0" w:color="auto"/>
              <w:left w:val="single" w:sz="4" w:space="0" w:color="auto"/>
              <w:bottom w:val="nil"/>
              <w:right w:val="single" w:sz="4" w:space="0" w:color="auto"/>
            </w:tcBorders>
            <w:shd w:val="clear" w:color="auto" w:fill="auto"/>
          </w:tcPr>
          <w:p w14:paraId="0018F0FB" w14:textId="77777777" w:rsidR="00D35A5A" w:rsidRPr="007B5443" w:rsidRDefault="00D35A5A" w:rsidP="00BD4497">
            <w:pPr>
              <w:keepNext/>
              <w:jc w:val="center"/>
              <w:rPr>
                <w:sz w:val="20"/>
                <w:lang w:val="en-GB"/>
              </w:rPr>
            </w:pPr>
            <w:r w:rsidRPr="007B5443">
              <w:rPr>
                <w:sz w:val="20"/>
                <w:lang w:val="en-GB"/>
              </w:rPr>
              <w:t>-</w:t>
            </w:r>
          </w:p>
        </w:tc>
        <w:tc>
          <w:tcPr>
            <w:tcW w:w="1698" w:type="dxa"/>
            <w:tcBorders>
              <w:top w:val="single" w:sz="4" w:space="0" w:color="auto"/>
              <w:left w:val="single" w:sz="4" w:space="0" w:color="auto"/>
              <w:bottom w:val="nil"/>
              <w:right w:val="single" w:sz="4" w:space="0" w:color="auto"/>
            </w:tcBorders>
            <w:shd w:val="clear" w:color="auto" w:fill="auto"/>
          </w:tcPr>
          <w:p w14:paraId="57E16CCD" w14:textId="77777777" w:rsidR="00D35A5A" w:rsidRPr="007B5443" w:rsidRDefault="00D35A5A" w:rsidP="00BD4497">
            <w:pPr>
              <w:keepNext/>
              <w:jc w:val="center"/>
              <w:rPr>
                <w:sz w:val="20"/>
                <w:lang w:val="en-GB"/>
              </w:rPr>
            </w:pPr>
            <w:r w:rsidRPr="007B5443">
              <w:rPr>
                <w:sz w:val="20"/>
                <w:lang w:val="en-GB"/>
              </w:rPr>
              <w:t>96.3%</w:t>
            </w:r>
          </w:p>
        </w:tc>
        <w:tc>
          <w:tcPr>
            <w:tcW w:w="1698" w:type="dxa"/>
            <w:tcBorders>
              <w:top w:val="single" w:sz="4" w:space="0" w:color="auto"/>
              <w:left w:val="single" w:sz="4" w:space="0" w:color="auto"/>
              <w:bottom w:val="nil"/>
              <w:right w:val="single" w:sz="4" w:space="0" w:color="auto"/>
            </w:tcBorders>
            <w:shd w:val="clear" w:color="auto" w:fill="auto"/>
          </w:tcPr>
          <w:p w14:paraId="7E17E756" w14:textId="77777777" w:rsidR="00D35A5A" w:rsidRPr="007B5443" w:rsidRDefault="00D35A5A" w:rsidP="00BD4497">
            <w:pPr>
              <w:keepNext/>
              <w:jc w:val="center"/>
              <w:rPr>
                <w:sz w:val="20"/>
                <w:lang w:val="en-GB"/>
              </w:rPr>
            </w:pPr>
            <w:r w:rsidRPr="007B5443">
              <w:rPr>
                <w:sz w:val="20"/>
                <w:lang w:val="en-GB"/>
              </w:rPr>
              <w:t>-</w:t>
            </w:r>
          </w:p>
        </w:tc>
        <w:tc>
          <w:tcPr>
            <w:tcW w:w="1698" w:type="dxa"/>
            <w:tcBorders>
              <w:top w:val="single" w:sz="4" w:space="0" w:color="auto"/>
              <w:left w:val="single" w:sz="4" w:space="0" w:color="auto"/>
              <w:bottom w:val="nil"/>
              <w:right w:val="single" w:sz="4" w:space="0" w:color="auto"/>
            </w:tcBorders>
            <w:shd w:val="clear" w:color="auto" w:fill="auto"/>
          </w:tcPr>
          <w:p w14:paraId="7612C72C" w14:textId="77777777" w:rsidR="00D35A5A" w:rsidRPr="007B5443" w:rsidRDefault="00D35A5A" w:rsidP="00BD4497">
            <w:pPr>
              <w:keepNext/>
              <w:jc w:val="center"/>
              <w:rPr>
                <w:sz w:val="20"/>
                <w:lang w:val="en-GB"/>
              </w:rPr>
            </w:pPr>
            <w:r w:rsidRPr="007B5443">
              <w:rPr>
                <w:sz w:val="20"/>
                <w:lang w:val="en-GB"/>
              </w:rPr>
              <w:t>-</w:t>
            </w:r>
          </w:p>
        </w:tc>
      </w:tr>
      <w:tr w:rsidR="00D35A5A" w:rsidRPr="007B5443" w14:paraId="7AFE21EE" w14:textId="77777777" w:rsidTr="00BD4497">
        <w:trPr>
          <w:tblHeader/>
          <w:jc w:val="center"/>
        </w:trPr>
        <w:tc>
          <w:tcPr>
            <w:tcW w:w="1577" w:type="dxa"/>
            <w:tcBorders>
              <w:top w:val="nil"/>
              <w:left w:val="single" w:sz="4" w:space="0" w:color="auto"/>
              <w:bottom w:val="single" w:sz="4" w:space="0" w:color="auto"/>
              <w:right w:val="single" w:sz="4" w:space="0" w:color="auto"/>
            </w:tcBorders>
            <w:shd w:val="clear" w:color="auto" w:fill="auto"/>
          </w:tcPr>
          <w:p w14:paraId="65686ECD" w14:textId="77777777" w:rsidR="00D35A5A" w:rsidRPr="007B5443" w:rsidRDefault="00D35A5A" w:rsidP="00BD4497">
            <w:pPr>
              <w:keepNext/>
              <w:ind w:left="284"/>
              <w:rPr>
                <w:b/>
                <w:sz w:val="20"/>
                <w:lang w:val="en-GB"/>
              </w:rPr>
            </w:pPr>
          </w:p>
        </w:tc>
        <w:tc>
          <w:tcPr>
            <w:tcW w:w="1134" w:type="dxa"/>
            <w:tcBorders>
              <w:top w:val="nil"/>
              <w:left w:val="single" w:sz="4" w:space="0" w:color="auto"/>
              <w:bottom w:val="single" w:sz="4" w:space="0" w:color="auto"/>
              <w:right w:val="single" w:sz="4" w:space="0" w:color="auto"/>
            </w:tcBorders>
            <w:shd w:val="clear" w:color="auto" w:fill="auto"/>
          </w:tcPr>
          <w:p w14:paraId="726FA3CF" w14:textId="77777777" w:rsidR="00D35A5A" w:rsidRPr="007B5443" w:rsidRDefault="00D35A5A" w:rsidP="00BD4497">
            <w:pPr>
              <w:pStyle w:val="wcpTableContent"/>
              <w:keepNext/>
              <w:keepLines/>
              <w:spacing w:before="0" w:after="0"/>
              <w:ind w:left="264"/>
              <w:rPr>
                <w:sz w:val="20"/>
                <w:lang w:val="en-GB"/>
              </w:rPr>
            </w:pPr>
            <w:r w:rsidRPr="007B5443">
              <w:rPr>
                <w:sz w:val="20"/>
                <w:lang w:val="en-GB"/>
              </w:rPr>
              <w:t>95%CI</w:t>
            </w:r>
          </w:p>
        </w:tc>
        <w:tc>
          <w:tcPr>
            <w:tcW w:w="1697" w:type="dxa"/>
            <w:tcBorders>
              <w:top w:val="nil"/>
              <w:left w:val="single" w:sz="4" w:space="0" w:color="auto"/>
              <w:bottom w:val="single" w:sz="4" w:space="0" w:color="auto"/>
              <w:right w:val="single" w:sz="4" w:space="0" w:color="auto"/>
            </w:tcBorders>
            <w:shd w:val="clear" w:color="auto" w:fill="auto"/>
          </w:tcPr>
          <w:p w14:paraId="3FEC2746" w14:textId="77777777" w:rsidR="00D35A5A" w:rsidRPr="007B5443" w:rsidRDefault="00D35A5A" w:rsidP="00BD4497">
            <w:pPr>
              <w:keepNext/>
              <w:jc w:val="center"/>
              <w:rPr>
                <w:sz w:val="20"/>
                <w:lang w:val="en-GB"/>
              </w:rPr>
            </w:pPr>
          </w:p>
        </w:tc>
        <w:tc>
          <w:tcPr>
            <w:tcW w:w="1698" w:type="dxa"/>
            <w:tcBorders>
              <w:top w:val="nil"/>
              <w:left w:val="single" w:sz="4" w:space="0" w:color="auto"/>
              <w:bottom w:val="single" w:sz="4" w:space="0" w:color="auto"/>
              <w:right w:val="single" w:sz="4" w:space="0" w:color="auto"/>
            </w:tcBorders>
            <w:shd w:val="clear" w:color="auto" w:fill="auto"/>
          </w:tcPr>
          <w:p w14:paraId="61AB71A2" w14:textId="77777777" w:rsidR="00D35A5A" w:rsidRPr="007B5443" w:rsidRDefault="00D35A5A" w:rsidP="00BD4497">
            <w:pPr>
              <w:keepNext/>
              <w:jc w:val="center"/>
              <w:rPr>
                <w:sz w:val="20"/>
                <w:lang w:val="en-GB"/>
              </w:rPr>
            </w:pPr>
            <w:r w:rsidRPr="007B5443">
              <w:rPr>
                <w:sz w:val="20"/>
                <w:lang w:val="en-GB"/>
              </w:rPr>
              <w:t>[93.6; 98.1]</w:t>
            </w:r>
          </w:p>
        </w:tc>
        <w:tc>
          <w:tcPr>
            <w:tcW w:w="1698" w:type="dxa"/>
            <w:tcBorders>
              <w:top w:val="nil"/>
              <w:left w:val="single" w:sz="4" w:space="0" w:color="auto"/>
              <w:bottom w:val="single" w:sz="4" w:space="0" w:color="auto"/>
              <w:right w:val="single" w:sz="4" w:space="0" w:color="auto"/>
            </w:tcBorders>
            <w:shd w:val="clear" w:color="auto" w:fill="auto"/>
          </w:tcPr>
          <w:p w14:paraId="09333F74" w14:textId="77777777" w:rsidR="00D35A5A" w:rsidRPr="007B5443" w:rsidRDefault="00D35A5A" w:rsidP="00BD4497">
            <w:pPr>
              <w:keepNext/>
              <w:jc w:val="center"/>
              <w:rPr>
                <w:sz w:val="20"/>
                <w:lang w:val="en-GB"/>
              </w:rPr>
            </w:pPr>
          </w:p>
        </w:tc>
        <w:tc>
          <w:tcPr>
            <w:tcW w:w="1698" w:type="dxa"/>
            <w:tcBorders>
              <w:top w:val="nil"/>
              <w:left w:val="single" w:sz="4" w:space="0" w:color="auto"/>
              <w:bottom w:val="single" w:sz="4" w:space="0" w:color="auto"/>
              <w:right w:val="single" w:sz="4" w:space="0" w:color="auto"/>
            </w:tcBorders>
            <w:shd w:val="clear" w:color="auto" w:fill="auto"/>
          </w:tcPr>
          <w:p w14:paraId="0E15F253" w14:textId="77777777" w:rsidR="00D35A5A" w:rsidRPr="007B5443" w:rsidRDefault="00D35A5A" w:rsidP="00BD4497">
            <w:pPr>
              <w:keepNext/>
              <w:jc w:val="center"/>
              <w:rPr>
                <w:sz w:val="20"/>
                <w:lang w:val="en-GB"/>
              </w:rPr>
            </w:pPr>
          </w:p>
        </w:tc>
      </w:tr>
      <w:tr w:rsidR="00D35A5A" w:rsidRPr="007B5443" w14:paraId="05C75BFB" w14:textId="77777777" w:rsidTr="00BD4497">
        <w:trPr>
          <w:tblHeader/>
          <w:jc w:val="center"/>
        </w:trPr>
        <w:tc>
          <w:tcPr>
            <w:tcW w:w="1577" w:type="dxa"/>
            <w:tcBorders>
              <w:top w:val="single" w:sz="4" w:space="0" w:color="auto"/>
              <w:left w:val="single" w:sz="4" w:space="0" w:color="auto"/>
              <w:bottom w:val="nil"/>
              <w:right w:val="single" w:sz="4" w:space="0" w:color="auto"/>
            </w:tcBorders>
            <w:shd w:val="clear" w:color="auto" w:fill="auto"/>
          </w:tcPr>
          <w:p w14:paraId="0268A81E" w14:textId="77777777" w:rsidR="00D35A5A" w:rsidRPr="007B5443" w:rsidRDefault="00D35A5A" w:rsidP="00BD4497">
            <w:pPr>
              <w:keepNext/>
              <w:ind w:left="284"/>
              <w:rPr>
                <w:b/>
                <w:sz w:val="20"/>
                <w:lang w:val="en-GB"/>
              </w:rPr>
            </w:pPr>
            <w:r w:rsidRPr="007B5443">
              <w:rPr>
                <w:b/>
                <w:sz w:val="20"/>
                <w:lang w:val="en-GB"/>
              </w:rPr>
              <w:t>FHA</w:t>
            </w:r>
          </w:p>
        </w:tc>
        <w:tc>
          <w:tcPr>
            <w:tcW w:w="1134" w:type="dxa"/>
            <w:tcBorders>
              <w:top w:val="single" w:sz="4" w:space="0" w:color="auto"/>
              <w:left w:val="single" w:sz="4" w:space="0" w:color="auto"/>
              <w:bottom w:val="nil"/>
              <w:right w:val="single" w:sz="4" w:space="0" w:color="auto"/>
            </w:tcBorders>
            <w:shd w:val="clear" w:color="auto" w:fill="auto"/>
          </w:tcPr>
          <w:p w14:paraId="040635BC" w14:textId="77777777" w:rsidR="00D35A5A" w:rsidRPr="007B5443" w:rsidRDefault="00D35A5A" w:rsidP="00BD4497">
            <w:pPr>
              <w:pStyle w:val="wcpTableContent"/>
              <w:keepNext/>
              <w:keepLines/>
              <w:spacing w:before="0" w:after="0"/>
              <w:ind w:left="264"/>
              <w:rPr>
                <w:sz w:val="20"/>
                <w:lang w:val="en-GB"/>
              </w:rPr>
            </w:pPr>
            <w:r w:rsidRPr="007B5443">
              <w:rPr>
                <w:sz w:val="20"/>
                <w:lang w:val="en-GB"/>
              </w:rPr>
              <w:t xml:space="preserve">GMC </w:t>
            </w:r>
          </w:p>
        </w:tc>
        <w:tc>
          <w:tcPr>
            <w:tcW w:w="1697" w:type="dxa"/>
            <w:tcBorders>
              <w:top w:val="single" w:sz="4" w:space="0" w:color="auto"/>
              <w:left w:val="single" w:sz="4" w:space="0" w:color="auto"/>
              <w:bottom w:val="nil"/>
              <w:right w:val="single" w:sz="4" w:space="0" w:color="auto"/>
            </w:tcBorders>
            <w:shd w:val="clear" w:color="auto" w:fill="auto"/>
          </w:tcPr>
          <w:p w14:paraId="7D480E90" w14:textId="77777777" w:rsidR="00D35A5A" w:rsidRPr="007B5443" w:rsidRDefault="00D35A5A" w:rsidP="00BD4497">
            <w:pPr>
              <w:keepNext/>
              <w:jc w:val="center"/>
              <w:rPr>
                <w:sz w:val="20"/>
                <w:lang w:val="en-GB"/>
              </w:rPr>
            </w:pPr>
            <w:r w:rsidRPr="007B5443">
              <w:rPr>
                <w:sz w:val="20"/>
                <w:lang w:val="en-GB"/>
              </w:rPr>
              <w:t>28.5</w:t>
            </w:r>
          </w:p>
        </w:tc>
        <w:tc>
          <w:tcPr>
            <w:tcW w:w="1698" w:type="dxa"/>
            <w:tcBorders>
              <w:top w:val="single" w:sz="4" w:space="0" w:color="auto"/>
              <w:left w:val="single" w:sz="4" w:space="0" w:color="auto"/>
              <w:bottom w:val="nil"/>
              <w:right w:val="single" w:sz="4" w:space="0" w:color="auto"/>
            </w:tcBorders>
            <w:shd w:val="clear" w:color="auto" w:fill="auto"/>
          </w:tcPr>
          <w:p w14:paraId="5063B405" w14:textId="77777777" w:rsidR="00D35A5A" w:rsidRPr="007B5443" w:rsidRDefault="00D35A5A" w:rsidP="00BD4497">
            <w:pPr>
              <w:keepNext/>
              <w:jc w:val="center"/>
              <w:rPr>
                <w:sz w:val="20"/>
                <w:lang w:val="en-GB"/>
              </w:rPr>
            </w:pPr>
            <w:r w:rsidRPr="007B5443">
              <w:rPr>
                <w:sz w:val="20"/>
                <w:lang w:val="en-GB"/>
              </w:rPr>
              <w:t>186.7</w:t>
            </w:r>
          </w:p>
        </w:tc>
        <w:tc>
          <w:tcPr>
            <w:tcW w:w="1698" w:type="dxa"/>
            <w:tcBorders>
              <w:top w:val="single" w:sz="4" w:space="0" w:color="auto"/>
              <w:left w:val="single" w:sz="4" w:space="0" w:color="auto"/>
              <w:bottom w:val="nil"/>
              <w:right w:val="single" w:sz="4" w:space="0" w:color="auto"/>
            </w:tcBorders>
            <w:shd w:val="clear" w:color="auto" w:fill="auto"/>
          </w:tcPr>
          <w:p w14:paraId="1BFE0F57" w14:textId="77777777" w:rsidR="00D35A5A" w:rsidRPr="007B5443" w:rsidRDefault="00D35A5A" w:rsidP="00BD4497">
            <w:pPr>
              <w:keepNext/>
              <w:jc w:val="center"/>
              <w:rPr>
                <w:sz w:val="20"/>
                <w:lang w:val="en-GB"/>
              </w:rPr>
            </w:pPr>
          </w:p>
        </w:tc>
        <w:tc>
          <w:tcPr>
            <w:tcW w:w="1698" w:type="dxa"/>
            <w:tcBorders>
              <w:top w:val="single" w:sz="4" w:space="0" w:color="auto"/>
              <w:left w:val="single" w:sz="4" w:space="0" w:color="auto"/>
              <w:bottom w:val="nil"/>
              <w:right w:val="single" w:sz="4" w:space="0" w:color="auto"/>
            </w:tcBorders>
            <w:shd w:val="clear" w:color="auto" w:fill="auto"/>
          </w:tcPr>
          <w:p w14:paraId="7C9F492E" w14:textId="77777777" w:rsidR="00D35A5A" w:rsidRPr="007B5443" w:rsidRDefault="00D35A5A" w:rsidP="00BD4497">
            <w:pPr>
              <w:keepNext/>
              <w:jc w:val="center"/>
              <w:rPr>
                <w:sz w:val="20"/>
                <w:lang w:val="en-GB"/>
              </w:rPr>
            </w:pPr>
          </w:p>
        </w:tc>
      </w:tr>
      <w:tr w:rsidR="00D35A5A" w:rsidRPr="007B5443" w14:paraId="3DAC300F" w14:textId="77777777" w:rsidTr="00BD4497">
        <w:trPr>
          <w:tblHeader/>
          <w:jc w:val="center"/>
        </w:trPr>
        <w:tc>
          <w:tcPr>
            <w:tcW w:w="1577" w:type="dxa"/>
            <w:tcBorders>
              <w:top w:val="nil"/>
              <w:left w:val="single" w:sz="4" w:space="0" w:color="auto"/>
              <w:bottom w:val="nil"/>
              <w:right w:val="single" w:sz="4" w:space="0" w:color="auto"/>
            </w:tcBorders>
            <w:shd w:val="clear" w:color="auto" w:fill="auto"/>
          </w:tcPr>
          <w:p w14:paraId="4C205FCF" w14:textId="77777777" w:rsidR="00D35A5A" w:rsidRPr="007B5443" w:rsidRDefault="00D35A5A" w:rsidP="00BD4497">
            <w:pPr>
              <w:keepNext/>
              <w:ind w:left="284"/>
              <w:rPr>
                <w:b/>
                <w:sz w:val="20"/>
                <w:lang w:val="en-GB"/>
              </w:rPr>
            </w:pPr>
          </w:p>
        </w:tc>
        <w:tc>
          <w:tcPr>
            <w:tcW w:w="1134" w:type="dxa"/>
            <w:tcBorders>
              <w:top w:val="nil"/>
              <w:left w:val="single" w:sz="4" w:space="0" w:color="auto"/>
              <w:bottom w:val="single" w:sz="4" w:space="0" w:color="auto"/>
              <w:right w:val="single" w:sz="4" w:space="0" w:color="auto"/>
            </w:tcBorders>
            <w:shd w:val="clear" w:color="auto" w:fill="auto"/>
          </w:tcPr>
          <w:p w14:paraId="110867D0" w14:textId="77777777" w:rsidR="00D35A5A" w:rsidRPr="007B5443" w:rsidRDefault="00D35A5A" w:rsidP="00BD4497">
            <w:pPr>
              <w:pStyle w:val="wcpTableContent"/>
              <w:keepNext/>
              <w:keepLines/>
              <w:spacing w:before="0" w:after="0"/>
              <w:ind w:left="264"/>
              <w:rPr>
                <w:sz w:val="20"/>
                <w:lang w:val="en-GB"/>
              </w:rPr>
            </w:pPr>
            <w:r w:rsidRPr="007B5443">
              <w:rPr>
                <w:sz w:val="20"/>
                <w:lang w:val="en-GB"/>
              </w:rPr>
              <w:t>95%CI</w:t>
            </w:r>
          </w:p>
        </w:tc>
        <w:tc>
          <w:tcPr>
            <w:tcW w:w="1697" w:type="dxa"/>
            <w:tcBorders>
              <w:top w:val="nil"/>
              <w:left w:val="single" w:sz="4" w:space="0" w:color="auto"/>
              <w:bottom w:val="single" w:sz="4" w:space="0" w:color="auto"/>
              <w:right w:val="single" w:sz="4" w:space="0" w:color="auto"/>
            </w:tcBorders>
            <w:shd w:val="clear" w:color="auto" w:fill="auto"/>
          </w:tcPr>
          <w:p w14:paraId="0A83415A" w14:textId="77777777" w:rsidR="00D35A5A" w:rsidRPr="007B5443" w:rsidRDefault="00D35A5A" w:rsidP="00BD4497">
            <w:pPr>
              <w:keepNext/>
              <w:autoSpaceDE w:val="0"/>
              <w:autoSpaceDN w:val="0"/>
              <w:adjustRightInd w:val="0"/>
              <w:jc w:val="center"/>
              <w:rPr>
                <w:sz w:val="20"/>
                <w:lang w:val="en-GB"/>
              </w:rPr>
            </w:pPr>
            <w:r w:rsidRPr="007B5443">
              <w:rPr>
                <w:sz w:val="20"/>
                <w:lang w:val="en-GB"/>
              </w:rPr>
              <w:t>[25.5; 31.8]</w:t>
            </w:r>
          </w:p>
        </w:tc>
        <w:tc>
          <w:tcPr>
            <w:tcW w:w="1698" w:type="dxa"/>
            <w:tcBorders>
              <w:top w:val="nil"/>
              <w:left w:val="single" w:sz="4" w:space="0" w:color="auto"/>
              <w:bottom w:val="single" w:sz="4" w:space="0" w:color="auto"/>
              <w:right w:val="single" w:sz="4" w:space="0" w:color="auto"/>
            </w:tcBorders>
            <w:shd w:val="clear" w:color="auto" w:fill="auto"/>
          </w:tcPr>
          <w:p w14:paraId="686EC24E" w14:textId="77777777" w:rsidR="00D35A5A" w:rsidRPr="007B5443" w:rsidRDefault="00D35A5A" w:rsidP="00BD4497">
            <w:pPr>
              <w:keepNext/>
              <w:autoSpaceDE w:val="0"/>
              <w:autoSpaceDN w:val="0"/>
              <w:adjustRightInd w:val="0"/>
              <w:jc w:val="center"/>
              <w:rPr>
                <w:sz w:val="20"/>
                <w:lang w:val="en-GB"/>
              </w:rPr>
            </w:pPr>
            <w:r w:rsidRPr="007B5443">
              <w:rPr>
                <w:sz w:val="20"/>
                <w:lang w:val="en-GB"/>
              </w:rPr>
              <w:t>[169.6; 205.6]</w:t>
            </w:r>
          </w:p>
        </w:tc>
        <w:tc>
          <w:tcPr>
            <w:tcW w:w="1698" w:type="dxa"/>
            <w:tcBorders>
              <w:top w:val="nil"/>
              <w:left w:val="single" w:sz="4" w:space="0" w:color="auto"/>
              <w:bottom w:val="single" w:sz="4" w:space="0" w:color="auto"/>
              <w:right w:val="single" w:sz="4" w:space="0" w:color="auto"/>
            </w:tcBorders>
            <w:shd w:val="clear" w:color="auto" w:fill="auto"/>
          </w:tcPr>
          <w:p w14:paraId="7C211568" w14:textId="77777777" w:rsidR="00D35A5A" w:rsidRPr="007B5443" w:rsidRDefault="00D35A5A" w:rsidP="00BD4497">
            <w:pPr>
              <w:keepNext/>
              <w:jc w:val="center"/>
              <w:rPr>
                <w:sz w:val="20"/>
                <w:lang w:val="en-GB"/>
              </w:rPr>
            </w:pPr>
          </w:p>
        </w:tc>
        <w:tc>
          <w:tcPr>
            <w:tcW w:w="1698" w:type="dxa"/>
            <w:tcBorders>
              <w:top w:val="nil"/>
              <w:left w:val="single" w:sz="4" w:space="0" w:color="auto"/>
              <w:bottom w:val="single" w:sz="4" w:space="0" w:color="auto"/>
              <w:right w:val="single" w:sz="4" w:space="0" w:color="auto"/>
            </w:tcBorders>
            <w:shd w:val="clear" w:color="auto" w:fill="auto"/>
          </w:tcPr>
          <w:p w14:paraId="1C3F2647" w14:textId="77777777" w:rsidR="00D35A5A" w:rsidRPr="007B5443" w:rsidRDefault="00D35A5A" w:rsidP="00BD4497">
            <w:pPr>
              <w:keepNext/>
              <w:jc w:val="center"/>
              <w:rPr>
                <w:sz w:val="20"/>
                <w:lang w:val="en-GB"/>
              </w:rPr>
            </w:pPr>
          </w:p>
        </w:tc>
      </w:tr>
      <w:tr w:rsidR="00D35A5A" w:rsidRPr="007B5443" w14:paraId="70E0CC11" w14:textId="77777777" w:rsidTr="00BD4497">
        <w:trPr>
          <w:tblHeader/>
          <w:jc w:val="center"/>
        </w:trPr>
        <w:tc>
          <w:tcPr>
            <w:tcW w:w="1577" w:type="dxa"/>
            <w:tcBorders>
              <w:top w:val="nil"/>
              <w:left w:val="single" w:sz="4" w:space="0" w:color="auto"/>
              <w:bottom w:val="nil"/>
              <w:right w:val="single" w:sz="4" w:space="0" w:color="auto"/>
            </w:tcBorders>
            <w:shd w:val="clear" w:color="auto" w:fill="auto"/>
          </w:tcPr>
          <w:p w14:paraId="11BC871E" w14:textId="77777777" w:rsidR="00D35A5A" w:rsidRPr="007B5443" w:rsidRDefault="00D35A5A" w:rsidP="00BD4497">
            <w:pPr>
              <w:keepNext/>
              <w:ind w:left="284"/>
              <w:rPr>
                <w:b/>
                <w:sz w:val="20"/>
                <w:lang w:val="en-GB"/>
              </w:rPr>
            </w:pPr>
          </w:p>
        </w:tc>
        <w:tc>
          <w:tcPr>
            <w:tcW w:w="1134" w:type="dxa"/>
            <w:tcBorders>
              <w:top w:val="single" w:sz="4" w:space="0" w:color="auto"/>
              <w:left w:val="single" w:sz="4" w:space="0" w:color="auto"/>
              <w:bottom w:val="nil"/>
              <w:right w:val="single" w:sz="4" w:space="0" w:color="auto"/>
            </w:tcBorders>
            <w:shd w:val="clear" w:color="auto" w:fill="auto"/>
          </w:tcPr>
          <w:p w14:paraId="0898514F" w14:textId="77777777" w:rsidR="00D35A5A" w:rsidRPr="007B5443" w:rsidRDefault="00D35A5A" w:rsidP="00BD4497">
            <w:pPr>
              <w:pStyle w:val="wcpTableContent"/>
              <w:keepNext/>
              <w:keepLines/>
              <w:spacing w:before="0" w:after="0"/>
              <w:ind w:left="264"/>
              <w:rPr>
                <w:sz w:val="20"/>
                <w:lang w:val="en-GB"/>
              </w:rPr>
            </w:pPr>
            <w:r w:rsidRPr="007B5443">
              <w:rPr>
                <w:sz w:val="20"/>
                <w:lang w:val="en-GB"/>
              </w:rPr>
              <w:t xml:space="preserve">≥5 </w:t>
            </w:r>
          </w:p>
        </w:tc>
        <w:tc>
          <w:tcPr>
            <w:tcW w:w="1697" w:type="dxa"/>
            <w:tcBorders>
              <w:top w:val="single" w:sz="4" w:space="0" w:color="auto"/>
              <w:left w:val="single" w:sz="4" w:space="0" w:color="auto"/>
              <w:bottom w:val="nil"/>
              <w:right w:val="single" w:sz="4" w:space="0" w:color="auto"/>
            </w:tcBorders>
            <w:shd w:val="clear" w:color="auto" w:fill="auto"/>
          </w:tcPr>
          <w:p w14:paraId="5673FB25" w14:textId="77777777" w:rsidR="00D35A5A" w:rsidRPr="007B5443" w:rsidRDefault="00D35A5A" w:rsidP="00BD4497">
            <w:pPr>
              <w:keepNext/>
              <w:jc w:val="center"/>
              <w:rPr>
                <w:sz w:val="20"/>
                <w:lang w:val="en-GB"/>
              </w:rPr>
            </w:pPr>
            <w:r w:rsidRPr="007B5443">
              <w:rPr>
                <w:sz w:val="20"/>
                <w:lang w:val="en-GB"/>
              </w:rPr>
              <w:t>-</w:t>
            </w:r>
          </w:p>
        </w:tc>
        <w:tc>
          <w:tcPr>
            <w:tcW w:w="1698" w:type="dxa"/>
            <w:tcBorders>
              <w:top w:val="single" w:sz="4" w:space="0" w:color="auto"/>
              <w:left w:val="single" w:sz="4" w:space="0" w:color="auto"/>
              <w:bottom w:val="nil"/>
              <w:right w:val="single" w:sz="4" w:space="0" w:color="auto"/>
            </w:tcBorders>
            <w:shd w:val="clear" w:color="auto" w:fill="auto"/>
          </w:tcPr>
          <w:p w14:paraId="3A76A42A" w14:textId="77777777" w:rsidR="00D35A5A" w:rsidRPr="007B5443" w:rsidRDefault="00D35A5A" w:rsidP="00BD4497">
            <w:pPr>
              <w:keepNext/>
              <w:jc w:val="center"/>
              <w:rPr>
                <w:sz w:val="20"/>
                <w:lang w:val="en-GB"/>
              </w:rPr>
            </w:pPr>
            <w:r w:rsidRPr="007B5443">
              <w:rPr>
                <w:sz w:val="20"/>
                <w:lang w:val="en-GB"/>
              </w:rPr>
              <w:t>100%</w:t>
            </w:r>
          </w:p>
        </w:tc>
        <w:tc>
          <w:tcPr>
            <w:tcW w:w="1698" w:type="dxa"/>
            <w:tcBorders>
              <w:top w:val="single" w:sz="4" w:space="0" w:color="auto"/>
              <w:left w:val="single" w:sz="4" w:space="0" w:color="auto"/>
              <w:bottom w:val="nil"/>
              <w:right w:val="single" w:sz="4" w:space="0" w:color="auto"/>
            </w:tcBorders>
            <w:shd w:val="clear" w:color="auto" w:fill="auto"/>
          </w:tcPr>
          <w:p w14:paraId="7484C468" w14:textId="77777777" w:rsidR="00D35A5A" w:rsidRPr="007B5443" w:rsidRDefault="00D35A5A" w:rsidP="00BD4497">
            <w:pPr>
              <w:keepNext/>
              <w:jc w:val="center"/>
              <w:rPr>
                <w:sz w:val="20"/>
                <w:lang w:val="en-GB"/>
              </w:rPr>
            </w:pPr>
            <w:r w:rsidRPr="007B5443">
              <w:rPr>
                <w:sz w:val="20"/>
                <w:lang w:val="en-GB"/>
              </w:rPr>
              <w:t>-</w:t>
            </w:r>
          </w:p>
        </w:tc>
        <w:tc>
          <w:tcPr>
            <w:tcW w:w="1698" w:type="dxa"/>
            <w:tcBorders>
              <w:top w:val="single" w:sz="4" w:space="0" w:color="auto"/>
              <w:left w:val="single" w:sz="4" w:space="0" w:color="auto"/>
              <w:bottom w:val="nil"/>
              <w:right w:val="single" w:sz="4" w:space="0" w:color="auto"/>
            </w:tcBorders>
            <w:shd w:val="clear" w:color="auto" w:fill="auto"/>
          </w:tcPr>
          <w:p w14:paraId="246FD23A" w14:textId="77777777" w:rsidR="00D35A5A" w:rsidRPr="007B5443" w:rsidRDefault="00D35A5A" w:rsidP="00BD4497">
            <w:pPr>
              <w:keepNext/>
              <w:jc w:val="center"/>
              <w:rPr>
                <w:sz w:val="20"/>
                <w:lang w:val="en-GB"/>
              </w:rPr>
            </w:pPr>
            <w:r w:rsidRPr="007B5443">
              <w:rPr>
                <w:sz w:val="20"/>
                <w:lang w:val="en-GB"/>
              </w:rPr>
              <w:t>-</w:t>
            </w:r>
          </w:p>
        </w:tc>
      </w:tr>
      <w:tr w:rsidR="00D35A5A" w:rsidRPr="007B5443" w14:paraId="30FCADF7" w14:textId="77777777" w:rsidTr="00BD4497">
        <w:trPr>
          <w:tblHeader/>
          <w:jc w:val="center"/>
        </w:trPr>
        <w:tc>
          <w:tcPr>
            <w:tcW w:w="1577" w:type="dxa"/>
            <w:tcBorders>
              <w:top w:val="nil"/>
              <w:left w:val="single" w:sz="4" w:space="0" w:color="auto"/>
              <w:bottom w:val="single" w:sz="4" w:space="0" w:color="auto"/>
              <w:right w:val="single" w:sz="4" w:space="0" w:color="auto"/>
            </w:tcBorders>
            <w:shd w:val="clear" w:color="auto" w:fill="auto"/>
          </w:tcPr>
          <w:p w14:paraId="7B018F93" w14:textId="77777777" w:rsidR="00D35A5A" w:rsidRPr="007B5443" w:rsidRDefault="00D35A5A" w:rsidP="00BD4497">
            <w:pPr>
              <w:keepNext/>
              <w:ind w:left="284"/>
              <w:rPr>
                <w:b/>
                <w:sz w:val="20"/>
                <w:lang w:val="en-GB"/>
              </w:rPr>
            </w:pPr>
          </w:p>
        </w:tc>
        <w:tc>
          <w:tcPr>
            <w:tcW w:w="1134" w:type="dxa"/>
            <w:tcBorders>
              <w:top w:val="nil"/>
              <w:left w:val="single" w:sz="4" w:space="0" w:color="auto"/>
              <w:bottom w:val="single" w:sz="4" w:space="0" w:color="auto"/>
              <w:right w:val="single" w:sz="4" w:space="0" w:color="auto"/>
            </w:tcBorders>
            <w:shd w:val="clear" w:color="auto" w:fill="auto"/>
          </w:tcPr>
          <w:p w14:paraId="05EDEDB9" w14:textId="77777777" w:rsidR="00D35A5A" w:rsidRPr="007B5443" w:rsidRDefault="00D35A5A" w:rsidP="00BD4497">
            <w:pPr>
              <w:pStyle w:val="wcpTableContent"/>
              <w:keepNext/>
              <w:keepLines/>
              <w:spacing w:before="0" w:after="0"/>
              <w:ind w:left="264"/>
              <w:rPr>
                <w:sz w:val="20"/>
                <w:lang w:val="en-GB"/>
              </w:rPr>
            </w:pPr>
            <w:r w:rsidRPr="007B5443">
              <w:rPr>
                <w:sz w:val="20"/>
                <w:lang w:val="en-GB"/>
              </w:rPr>
              <w:t>95%CI</w:t>
            </w:r>
          </w:p>
        </w:tc>
        <w:tc>
          <w:tcPr>
            <w:tcW w:w="1697" w:type="dxa"/>
            <w:tcBorders>
              <w:top w:val="nil"/>
              <w:left w:val="single" w:sz="4" w:space="0" w:color="auto"/>
              <w:bottom w:val="single" w:sz="4" w:space="0" w:color="auto"/>
              <w:right w:val="single" w:sz="4" w:space="0" w:color="auto"/>
            </w:tcBorders>
            <w:shd w:val="clear" w:color="auto" w:fill="auto"/>
          </w:tcPr>
          <w:p w14:paraId="13C5744D" w14:textId="77777777" w:rsidR="00D35A5A" w:rsidRPr="007B5443" w:rsidRDefault="00D35A5A" w:rsidP="00BD4497">
            <w:pPr>
              <w:keepNext/>
              <w:jc w:val="center"/>
              <w:rPr>
                <w:sz w:val="20"/>
                <w:lang w:val="en-GB"/>
              </w:rPr>
            </w:pPr>
          </w:p>
        </w:tc>
        <w:tc>
          <w:tcPr>
            <w:tcW w:w="1698" w:type="dxa"/>
            <w:tcBorders>
              <w:top w:val="nil"/>
              <w:left w:val="single" w:sz="4" w:space="0" w:color="auto"/>
              <w:bottom w:val="single" w:sz="4" w:space="0" w:color="auto"/>
              <w:right w:val="single" w:sz="4" w:space="0" w:color="auto"/>
            </w:tcBorders>
            <w:shd w:val="clear" w:color="auto" w:fill="auto"/>
          </w:tcPr>
          <w:p w14:paraId="190B7A41" w14:textId="77777777" w:rsidR="00D35A5A" w:rsidRPr="007B5443" w:rsidRDefault="00D35A5A" w:rsidP="00BD4497">
            <w:pPr>
              <w:keepNext/>
              <w:jc w:val="center"/>
              <w:rPr>
                <w:sz w:val="20"/>
                <w:lang w:val="en-GB"/>
              </w:rPr>
            </w:pPr>
            <w:r w:rsidRPr="007B5443">
              <w:rPr>
                <w:sz w:val="20"/>
                <w:lang w:val="en-GB"/>
              </w:rPr>
              <w:t>[98.9; 100]</w:t>
            </w:r>
          </w:p>
        </w:tc>
        <w:tc>
          <w:tcPr>
            <w:tcW w:w="1698" w:type="dxa"/>
            <w:tcBorders>
              <w:top w:val="nil"/>
              <w:left w:val="single" w:sz="4" w:space="0" w:color="auto"/>
              <w:bottom w:val="single" w:sz="4" w:space="0" w:color="auto"/>
              <w:right w:val="single" w:sz="4" w:space="0" w:color="auto"/>
            </w:tcBorders>
            <w:shd w:val="clear" w:color="auto" w:fill="auto"/>
          </w:tcPr>
          <w:p w14:paraId="685DBFA4" w14:textId="77777777" w:rsidR="00D35A5A" w:rsidRPr="007B5443" w:rsidRDefault="00D35A5A" w:rsidP="00BD4497">
            <w:pPr>
              <w:keepNext/>
              <w:jc w:val="center"/>
              <w:rPr>
                <w:sz w:val="20"/>
                <w:lang w:val="en-GB"/>
              </w:rPr>
            </w:pPr>
          </w:p>
        </w:tc>
        <w:tc>
          <w:tcPr>
            <w:tcW w:w="1698" w:type="dxa"/>
            <w:tcBorders>
              <w:top w:val="nil"/>
              <w:left w:val="single" w:sz="4" w:space="0" w:color="auto"/>
              <w:bottom w:val="single" w:sz="4" w:space="0" w:color="auto"/>
              <w:right w:val="single" w:sz="4" w:space="0" w:color="auto"/>
            </w:tcBorders>
            <w:shd w:val="clear" w:color="auto" w:fill="auto"/>
          </w:tcPr>
          <w:p w14:paraId="6F8DE0F9" w14:textId="77777777" w:rsidR="00D35A5A" w:rsidRPr="007B5443" w:rsidRDefault="00D35A5A" w:rsidP="00BD4497">
            <w:pPr>
              <w:keepNext/>
              <w:jc w:val="center"/>
              <w:rPr>
                <w:sz w:val="20"/>
                <w:lang w:val="en-GB"/>
              </w:rPr>
            </w:pPr>
          </w:p>
        </w:tc>
      </w:tr>
      <w:tr w:rsidR="00D35A5A" w:rsidRPr="007B5443" w14:paraId="2EDB9165" w14:textId="77777777" w:rsidTr="00BD4497">
        <w:trPr>
          <w:tblHeader/>
          <w:jc w:val="center"/>
        </w:trPr>
        <w:tc>
          <w:tcPr>
            <w:tcW w:w="1577" w:type="dxa"/>
            <w:tcBorders>
              <w:top w:val="single" w:sz="4" w:space="0" w:color="auto"/>
              <w:left w:val="single" w:sz="4" w:space="0" w:color="auto"/>
              <w:bottom w:val="nil"/>
              <w:right w:val="single" w:sz="4" w:space="0" w:color="auto"/>
            </w:tcBorders>
            <w:shd w:val="clear" w:color="auto" w:fill="auto"/>
          </w:tcPr>
          <w:p w14:paraId="68AA99CB" w14:textId="77777777" w:rsidR="00D35A5A" w:rsidRPr="007B5443" w:rsidRDefault="00D35A5A" w:rsidP="00BD4497">
            <w:pPr>
              <w:keepNext/>
              <w:ind w:left="284"/>
              <w:rPr>
                <w:b/>
                <w:sz w:val="20"/>
                <w:lang w:val="en-GB"/>
              </w:rPr>
            </w:pPr>
            <w:r w:rsidRPr="007B5443">
              <w:rPr>
                <w:b/>
                <w:sz w:val="20"/>
                <w:lang w:val="en-GB"/>
              </w:rPr>
              <w:t>PRN</w:t>
            </w:r>
          </w:p>
        </w:tc>
        <w:tc>
          <w:tcPr>
            <w:tcW w:w="1134" w:type="dxa"/>
            <w:tcBorders>
              <w:top w:val="single" w:sz="4" w:space="0" w:color="auto"/>
              <w:left w:val="single" w:sz="4" w:space="0" w:color="auto"/>
              <w:bottom w:val="nil"/>
              <w:right w:val="single" w:sz="4" w:space="0" w:color="auto"/>
            </w:tcBorders>
            <w:shd w:val="clear" w:color="auto" w:fill="auto"/>
          </w:tcPr>
          <w:p w14:paraId="73DB025F" w14:textId="77777777" w:rsidR="00D35A5A" w:rsidRPr="007B5443" w:rsidRDefault="00D35A5A" w:rsidP="00BD4497">
            <w:pPr>
              <w:pStyle w:val="wcpTableContent"/>
              <w:keepNext/>
              <w:keepLines/>
              <w:spacing w:before="0" w:after="0"/>
              <w:ind w:left="264"/>
              <w:rPr>
                <w:sz w:val="20"/>
                <w:lang w:val="en-GB"/>
              </w:rPr>
            </w:pPr>
            <w:r w:rsidRPr="007B5443">
              <w:rPr>
                <w:sz w:val="20"/>
                <w:lang w:val="en-GB"/>
              </w:rPr>
              <w:t xml:space="preserve">GMC </w:t>
            </w:r>
          </w:p>
        </w:tc>
        <w:tc>
          <w:tcPr>
            <w:tcW w:w="1697" w:type="dxa"/>
            <w:tcBorders>
              <w:top w:val="single" w:sz="4" w:space="0" w:color="auto"/>
              <w:left w:val="single" w:sz="4" w:space="0" w:color="auto"/>
              <w:bottom w:val="nil"/>
              <w:right w:val="single" w:sz="4" w:space="0" w:color="auto"/>
            </w:tcBorders>
            <w:shd w:val="clear" w:color="auto" w:fill="auto"/>
          </w:tcPr>
          <w:p w14:paraId="33F6D97E" w14:textId="77777777" w:rsidR="00D35A5A" w:rsidRPr="007B5443" w:rsidRDefault="00D35A5A" w:rsidP="00BD4497">
            <w:pPr>
              <w:keepNext/>
              <w:jc w:val="center"/>
              <w:rPr>
                <w:sz w:val="20"/>
                <w:lang w:val="en-GB"/>
              </w:rPr>
            </w:pPr>
            <w:r w:rsidRPr="007B5443">
              <w:rPr>
                <w:sz w:val="20"/>
                <w:lang w:val="en-GB"/>
              </w:rPr>
              <w:t>7.7</w:t>
            </w:r>
          </w:p>
        </w:tc>
        <w:tc>
          <w:tcPr>
            <w:tcW w:w="1698" w:type="dxa"/>
            <w:tcBorders>
              <w:top w:val="single" w:sz="4" w:space="0" w:color="auto"/>
              <w:left w:val="single" w:sz="4" w:space="0" w:color="auto"/>
              <w:bottom w:val="nil"/>
              <w:right w:val="single" w:sz="4" w:space="0" w:color="auto"/>
            </w:tcBorders>
            <w:shd w:val="clear" w:color="auto" w:fill="auto"/>
          </w:tcPr>
          <w:p w14:paraId="20028EAB" w14:textId="77777777" w:rsidR="00D35A5A" w:rsidRPr="007B5443" w:rsidRDefault="00D35A5A" w:rsidP="00BD4497">
            <w:pPr>
              <w:keepNext/>
              <w:jc w:val="center"/>
              <w:rPr>
                <w:sz w:val="20"/>
                <w:lang w:val="en-GB"/>
              </w:rPr>
            </w:pPr>
            <w:r w:rsidRPr="007B5443">
              <w:rPr>
                <w:sz w:val="20"/>
                <w:lang w:val="en-GB"/>
              </w:rPr>
              <w:t>328.6</w:t>
            </w:r>
          </w:p>
        </w:tc>
        <w:tc>
          <w:tcPr>
            <w:tcW w:w="1698" w:type="dxa"/>
            <w:tcBorders>
              <w:top w:val="single" w:sz="4" w:space="0" w:color="auto"/>
              <w:left w:val="single" w:sz="4" w:space="0" w:color="auto"/>
              <w:bottom w:val="nil"/>
              <w:right w:val="single" w:sz="4" w:space="0" w:color="auto"/>
            </w:tcBorders>
            <w:shd w:val="clear" w:color="auto" w:fill="auto"/>
          </w:tcPr>
          <w:p w14:paraId="1D27EC12" w14:textId="77777777" w:rsidR="00D35A5A" w:rsidRPr="007B5443" w:rsidRDefault="00D35A5A" w:rsidP="00BD4497">
            <w:pPr>
              <w:keepNext/>
              <w:jc w:val="center"/>
              <w:rPr>
                <w:sz w:val="20"/>
                <w:lang w:val="en-GB"/>
              </w:rPr>
            </w:pPr>
          </w:p>
        </w:tc>
        <w:tc>
          <w:tcPr>
            <w:tcW w:w="1698" w:type="dxa"/>
            <w:tcBorders>
              <w:top w:val="single" w:sz="4" w:space="0" w:color="auto"/>
              <w:left w:val="single" w:sz="4" w:space="0" w:color="auto"/>
              <w:bottom w:val="nil"/>
              <w:right w:val="single" w:sz="4" w:space="0" w:color="auto"/>
            </w:tcBorders>
            <w:shd w:val="clear" w:color="auto" w:fill="auto"/>
          </w:tcPr>
          <w:p w14:paraId="1F983FFD" w14:textId="77777777" w:rsidR="00D35A5A" w:rsidRPr="007B5443" w:rsidRDefault="00D35A5A" w:rsidP="00BD4497">
            <w:pPr>
              <w:keepNext/>
              <w:jc w:val="center"/>
              <w:rPr>
                <w:sz w:val="20"/>
                <w:lang w:val="en-GB"/>
              </w:rPr>
            </w:pPr>
          </w:p>
        </w:tc>
      </w:tr>
      <w:tr w:rsidR="00D35A5A" w:rsidRPr="007B5443" w14:paraId="09F69813" w14:textId="77777777" w:rsidTr="00BD4497">
        <w:trPr>
          <w:tblHeader/>
          <w:jc w:val="center"/>
        </w:trPr>
        <w:tc>
          <w:tcPr>
            <w:tcW w:w="1577" w:type="dxa"/>
            <w:tcBorders>
              <w:top w:val="nil"/>
              <w:left w:val="single" w:sz="4" w:space="0" w:color="auto"/>
              <w:bottom w:val="nil"/>
              <w:right w:val="single" w:sz="4" w:space="0" w:color="auto"/>
            </w:tcBorders>
            <w:shd w:val="clear" w:color="auto" w:fill="auto"/>
          </w:tcPr>
          <w:p w14:paraId="3865AA48" w14:textId="77777777" w:rsidR="00D35A5A" w:rsidRPr="007B5443" w:rsidRDefault="00D35A5A" w:rsidP="00BD4497">
            <w:pPr>
              <w:keepNext/>
              <w:ind w:left="284"/>
              <w:rPr>
                <w:b/>
                <w:sz w:val="20"/>
                <w:lang w:val="en-GB"/>
              </w:rPr>
            </w:pPr>
          </w:p>
        </w:tc>
        <w:tc>
          <w:tcPr>
            <w:tcW w:w="1134" w:type="dxa"/>
            <w:tcBorders>
              <w:top w:val="nil"/>
              <w:left w:val="single" w:sz="4" w:space="0" w:color="auto"/>
              <w:bottom w:val="single" w:sz="4" w:space="0" w:color="auto"/>
              <w:right w:val="single" w:sz="4" w:space="0" w:color="auto"/>
            </w:tcBorders>
            <w:shd w:val="clear" w:color="auto" w:fill="auto"/>
          </w:tcPr>
          <w:p w14:paraId="2F4256C9" w14:textId="77777777" w:rsidR="00D35A5A" w:rsidRPr="007B5443" w:rsidRDefault="00D35A5A" w:rsidP="00BD4497">
            <w:pPr>
              <w:pStyle w:val="wcpTableContent"/>
              <w:keepNext/>
              <w:keepLines/>
              <w:spacing w:before="0" w:after="0"/>
              <w:ind w:left="264"/>
              <w:rPr>
                <w:sz w:val="20"/>
                <w:lang w:val="en-GB"/>
              </w:rPr>
            </w:pPr>
            <w:r w:rsidRPr="007B5443">
              <w:rPr>
                <w:sz w:val="20"/>
                <w:lang w:val="en-GB"/>
              </w:rPr>
              <w:t>95%CI</w:t>
            </w:r>
          </w:p>
        </w:tc>
        <w:tc>
          <w:tcPr>
            <w:tcW w:w="1697" w:type="dxa"/>
            <w:tcBorders>
              <w:top w:val="nil"/>
              <w:left w:val="single" w:sz="4" w:space="0" w:color="auto"/>
              <w:bottom w:val="single" w:sz="4" w:space="0" w:color="auto"/>
              <w:right w:val="single" w:sz="4" w:space="0" w:color="auto"/>
            </w:tcBorders>
            <w:shd w:val="clear" w:color="auto" w:fill="auto"/>
          </w:tcPr>
          <w:p w14:paraId="1F083390" w14:textId="77777777" w:rsidR="00D35A5A" w:rsidRPr="007B5443" w:rsidRDefault="00D35A5A" w:rsidP="00BD4497">
            <w:pPr>
              <w:autoSpaceDE w:val="0"/>
              <w:autoSpaceDN w:val="0"/>
              <w:adjustRightInd w:val="0"/>
              <w:jc w:val="center"/>
              <w:rPr>
                <w:sz w:val="20"/>
                <w:lang w:val="en-GB"/>
              </w:rPr>
            </w:pPr>
            <w:r w:rsidRPr="007B5443">
              <w:rPr>
                <w:sz w:val="20"/>
                <w:lang w:val="en-GB"/>
              </w:rPr>
              <w:t>[6.7; 8.9]</w:t>
            </w:r>
          </w:p>
        </w:tc>
        <w:tc>
          <w:tcPr>
            <w:tcW w:w="1698" w:type="dxa"/>
            <w:tcBorders>
              <w:top w:val="nil"/>
              <w:left w:val="single" w:sz="4" w:space="0" w:color="auto"/>
              <w:bottom w:val="single" w:sz="4" w:space="0" w:color="auto"/>
              <w:right w:val="single" w:sz="4" w:space="0" w:color="auto"/>
            </w:tcBorders>
            <w:shd w:val="clear" w:color="auto" w:fill="auto"/>
          </w:tcPr>
          <w:p w14:paraId="18AEED49" w14:textId="77777777" w:rsidR="00D35A5A" w:rsidRPr="007B5443" w:rsidRDefault="00D35A5A" w:rsidP="00BD4497">
            <w:pPr>
              <w:autoSpaceDE w:val="0"/>
              <w:autoSpaceDN w:val="0"/>
              <w:adjustRightInd w:val="0"/>
              <w:jc w:val="center"/>
              <w:rPr>
                <w:sz w:val="20"/>
                <w:lang w:val="en-GB"/>
              </w:rPr>
            </w:pPr>
            <w:r w:rsidRPr="007B5443">
              <w:rPr>
                <w:sz w:val="20"/>
                <w:lang w:val="en-GB"/>
              </w:rPr>
              <w:t>[273.0; 395.6]</w:t>
            </w:r>
          </w:p>
        </w:tc>
        <w:tc>
          <w:tcPr>
            <w:tcW w:w="1698" w:type="dxa"/>
            <w:tcBorders>
              <w:top w:val="nil"/>
              <w:left w:val="single" w:sz="4" w:space="0" w:color="auto"/>
              <w:bottom w:val="single" w:sz="4" w:space="0" w:color="auto"/>
              <w:right w:val="single" w:sz="4" w:space="0" w:color="auto"/>
            </w:tcBorders>
            <w:shd w:val="clear" w:color="auto" w:fill="auto"/>
          </w:tcPr>
          <w:p w14:paraId="09D1D86C" w14:textId="77777777" w:rsidR="00D35A5A" w:rsidRPr="007B5443" w:rsidRDefault="00D35A5A" w:rsidP="00BD4497">
            <w:pPr>
              <w:keepNext/>
              <w:jc w:val="center"/>
              <w:rPr>
                <w:sz w:val="20"/>
                <w:lang w:val="en-GB"/>
              </w:rPr>
            </w:pPr>
          </w:p>
        </w:tc>
        <w:tc>
          <w:tcPr>
            <w:tcW w:w="1698" w:type="dxa"/>
            <w:tcBorders>
              <w:top w:val="nil"/>
              <w:left w:val="single" w:sz="4" w:space="0" w:color="auto"/>
              <w:bottom w:val="single" w:sz="4" w:space="0" w:color="auto"/>
              <w:right w:val="single" w:sz="4" w:space="0" w:color="auto"/>
            </w:tcBorders>
            <w:shd w:val="clear" w:color="auto" w:fill="auto"/>
          </w:tcPr>
          <w:p w14:paraId="526864F9" w14:textId="77777777" w:rsidR="00D35A5A" w:rsidRPr="007B5443" w:rsidRDefault="00D35A5A" w:rsidP="00BD4497">
            <w:pPr>
              <w:keepNext/>
              <w:jc w:val="center"/>
              <w:rPr>
                <w:sz w:val="20"/>
                <w:lang w:val="en-GB"/>
              </w:rPr>
            </w:pPr>
          </w:p>
        </w:tc>
      </w:tr>
      <w:tr w:rsidR="00D35A5A" w:rsidRPr="007B5443" w14:paraId="6B325B2F" w14:textId="77777777" w:rsidTr="00BD4497">
        <w:trPr>
          <w:tblHeader/>
          <w:jc w:val="center"/>
        </w:trPr>
        <w:tc>
          <w:tcPr>
            <w:tcW w:w="1577" w:type="dxa"/>
            <w:tcBorders>
              <w:top w:val="nil"/>
              <w:left w:val="single" w:sz="4" w:space="0" w:color="auto"/>
              <w:bottom w:val="nil"/>
              <w:right w:val="single" w:sz="4" w:space="0" w:color="auto"/>
            </w:tcBorders>
            <w:shd w:val="clear" w:color="auto" w:fill="auto"/>
          </w:tcPr>
          <w:p w14:paraId="5434CECB" w14:textId="77777777" w:rsidR="00D35A5A" w:rsidRPr="007B5443" w:rsidRDefault="00D35A5A" w:rsidP="00BD4497">
            <w:pPr>
              <w:keepNext/>
              <w:ind w:left="284"/>
              <w:rPr>
                <w:b/>
                <w:sz w:val="20"/>
                <w:lang w:val="en-GB"/>
              </w:rPr>
            </w:pPr>
          </w:p>
        </w:tc>
        <w:tc>
          <w:tcPr>
            <w:tcW w:w="1134" w:type="dxa"/>
            <w:tcBorders>
              <w:top w:val="single" w:sz="4" w:space="0" w:color="auto"/>
              <w:left w:val="single" w:sz="4" w:space="0" w:color="auto"/>
              <w:bottom w:val="nil"/>
              <w:right w:val="single" w:sz="4" w:space="0" w:color="auto"/>
            </w:tcBorders>
            <w:shd w:val="clear" w:color="auto" w:fill="auto"/>
          </w:tcPr>
          <w:p w14:paraId="08EE1CF0" w14:textId="77777777" w:rsidR="00D35A5A" w:rsidRPr="007B5443" w:rsidRDefault="00D35A5A" w:rsidP="00BD4497">
            <w:pPr>
              <w:pStyle w:val="wcpTableContent"/>
              <w:keepNext/>
              <w:keepLines/>
              <w:spacing w:before="0" w:after="0"/>
              <w:ind w:left="264"/>
              <w:rPr>
                <w:sz w:val="20"/>
                <w:lang w:val="en-GB"/>
              </w:rPr>
            </w:pPr>
            <w:r w:rsidRPr="007B5443">
              <w:rPr>
                <w:sz w:val="20"/>
                <w:lang w:val="en-GB"/>
              </w:rPr>
              <w:t xml:space="preserve">≥5 </w:t>
            </w:r>
          </w:p>
        </w:tc>
        <w:tc>
          <w:tcPr>
            <w:tcW w:w="1697" w:type="dxa"/>
            <w:tcBorders>
              <w:top w:val="single" w:sz="4" w:space="0" w:color="auto"/>
              <w:left w:val="single" w:sz="4" w:space="0" w:color="auto"/>
              <w:bottom w:val="nil"/>
              <w:right w:val="single" w:sz="4" w:space="0" w:color="auto"/>
            </w:tcBorders>
            <w:shd w:val="clear" w:color="auto" w:fill="auto"/>
          </w:tcPr>
          <w:p w14:paraId="31D8D8D6" w14:textId="77777777" w:rsidR="00D35A5A" w:rsidRPr="007B5443" w:rsidRDefault="00D35A5A" w:rsidP="00BD4497">
            <w:pPr>
              <w:keepNext/>
              <w:jc w:val="center"/>
              <w:rPr>
                <w:sz w:val="20"/>
                <w:lang w:val="en-GB"/>
              </w:rPr>
            </w:pPr>
            <w:r w:rsidRPr="007B5443">
              <w:rPr>
                <w:sz w:val="20"/>
                <w:lang w:val="en-GB"/>
              </w:rPr>
              <w:t>-</w:t>
            </w:r>
          </w:p>
        </w:tc>
        <w:tc>
          <w:tcPr>
            <w:tcW w:w="1698" w:type="dxa"/>
            <w:tcBorders>
              <w:top w:val="single" w:sz="4" w:space="0" w:color="auto"/>
              <w:left w:val="single" w:sz="4" w:space="0" w:color="auto"/>
              <w:bottom w:val="nil"/>
              <w:right w:val="single" w:sz="4" w:space="0" w:color="auto"/>
            </w:tcBorders>
            <w:shd w:val="clear" w:color="auto" w:fill="auto"/>
          </w:tcPr>
          <w:p w14:paraId="670365AD" w14:textId="77777777" w:rsidR="00D35A5A" w:rsidRPr="007B5443" w:rsidRDefault="00D35A5A" w:rsidP="00BD4497">
            <w:pPr>
              <w:keepNext/>
              <w:jc w:val="center"/>
              <w:rPr>
                <w:sz w:val="20"/>
                <w:lang w:val="en-GB"/>
              </w:rPr>
            </w:pPr>
            <w:r w:rsidRPr="007B5443">
              <w:rPr>
                <w:sz w:val="20"/>
                <w:lang w:val="en-GB"/>
              </w:rPr>
              <w:t>99.4%</w:t>
            </w:r>
          </w:p>
        </w:tc>
        <w:tc>
          <w:tcPr>
            <w:tcW w:w="1698" w:type="dxa"/>
            <w:tcBorders>
              <w:top w:val="single" w:sz="4" w:space="0" w:color="auto"/>
              <w:left w:val="single" w:sz="4" w:space="0" w:color="auto"/>
              <w:bottom w:val="nil"/>
              <w:right w:val="single" w:sz="4" w:space="0" w:color="auto"/>
            </w:tcBorders>
            <w:shd w:val="clear" w:color="auto" w:fill="auto"/>
          </w:tcPr>
          <w:p w14:paraId="0860992F" w14:textId="77777777" w:rsidR="00D35A5A" w:rsidRPr="007B5443" w:rsidRDefault="00D35A5A" w:rsidP="00BD4497">
            <w:pPr>
              <w:keepNext/>
              <w:jc w:val="center"/>
              <w:rPr>
                <w:sz w:val="20"/>
                <w:lang w:val="en-GB"/>
              </w:rPr>
            </w:pPr>
            <w:r w:rsidRPr="007B5443">
              <w:rPr>
                <w:sz w:val="20"/>
                <w:lang w:val="en-GB"/>
              </w:rPr>
              <w:t>-</w:t>
            </w:r>
          </w:p>
        </w:tc>
        <w:tc>
          <w:tcPr>
            <w:tcW w:w="1698" w:type="dxa"/>
            <w:tcBorders>
              <w:top w:val="single" w:sz="4" w:space="0" w:color="auto"/>
              <w:left w:val="single" w:sz="4" w:space="0" w:color="auto"/>
              <w:bottom w:val="nil"/>
              <w:right w:val="single" w:sz="4" w:space="0" w:color="auto"/>
            </w:tcBorders>
            <w:shd w:val="clear" w:color="auto" w:fill="auto"/>
          </w:tcPr>
          <w:p w14:paraId="7CE152CC" w14:textId="77777777" w:rsidR="00D35A5A" w:rsidRPr="007B5443" w:rsidRDefault="00D35A5A" w:rsidP="00BD4497">
            <w:pPr>
              <w:keepNext/>
              <w:jc w:val="center"/>
              <w:rPr>
                <w:sz w:val="20"/>
                <w:lang w:val="en-GB"/>
              </w:rPr>
            </w:pPr>
            <w:r w:rsidRPr="007B5443">
              <w:rPr>
                <w:sz w:val="20"/>
                <w:lang w:val="en-GB"/>
              </w:rPr>
              <w:t>-</w:t>
            </w:r>
          </w:p>
        </w:tc>
      </w:tr>
      <w:tr w:rsidR="00D35A5A" w:rsidRPr="007B5443" w14:paraId="0A099108" w14:textId="77777777" w:rsidTr="00BD4497">
        <w:trPr>
          <w:tblHeader/>
          <w:jc w:val="center"/>
        </w:trPr>
        <w:tc>
          <w:tcPr>
            <w:tcW w:w="1577" w:type="dxa"/>
            <w:tcBorders>
              <w:top w:val="nil"/>
              <w:left w:val="single" w:sz="4" w:space="0" w:color="auto"/>
              <w:bottom w:val="single" w:sz="4" w:space="0" w:color="auto"/>
              <w:right w:val="single" w:sz="4" w:space="0" w:color="auto"/>
            </w:tcBorders>
            <w:shd w:val="clear" w:color="auto" w:fill="auto"/>
          </w:tcPr>
          <w:p w14:paraId="05E11CAE" w14:textId="77777777" w:rsidR="00D35A5A" w:rsidRPr="007B5443" w:rsidRDefault="00D35A5A" w:rsidP="00BD4497">
            <w:pPr>
              <w:keepNext/>
              <w:ind w:left="284"/>
              <w:rPr>
                <w:b/>
                <w:sz w:val="20"/>
                <w:lang w:val="en-GB"/>
              </w:rPr>
            </w:pPr>
          </w:p>
        </w:tc>
        <w:tc>
          <w:tcPr>
            <w:tcW w:w="1134" w:type="dxa"/>
            <w:tcBorders>
              <w:top w:val="nil"/>
              <w:left w:val="single" w:sz="4" w:space="0" w:color="auto"/>
              <w:bottom w:val="single" w:sz="4" w:space="0" w:color="auto"/>
              <w:right w:val="single" w:sz="4" w:space="0" w:color="auto"/>
            </w:tcBorders>
            <w:shd w:val="clear" w:color="auto" w:fill="auto"/>
          </w:tcPr>
          <w:p w14:paraId="2815E367" w14:textId="77777777" w:rsidR="00D35A5A" w:rsidRPr="007B5443" w:rsidRDefault="00D35A5A" w:rsidP="00BD4497">
            <w:pPr>
              <w:pStyle w:val="wcpTableContent"/>
              <w:keepNext/>
              <w:keepLines/>
              <w:spacing w:before="0" w:after="0"/>
              <w:ind w:left="264"/>
              <w:rPr>
                <w:sz w:val="20"/>
                <w:lang w:val="en-GB"/>
              </w:rPr>
            </w:pPr>
            <w:r w:rsidRPr="007B5443">
              <w:rPr>
                <w:sz w:val="20"/>
                <w:lang w:val="en-GB"/>
              </w:rPr>
              <w:t>95%CI</w:t>
            </w:r>
          </w:p>
        </w:tc>
        <w:tc>
          <w:tcPr>
            <w:tcW w:w="1697" w:type="dxa"/>
            <w:tcBorders>
              <w:top w:val="nil"/>
              <w:left w:val="single" w:sz="4" w:space="0" w:color="auto"/>
              <w:bottom w:val="single" w:sz="4" w:space="0" w:color="auto"/>
              <w:right w:val="single" w:sz="4" w:space="0" w:color="auto"/>
            </w:tcBorders>
            <w:shd w:val="clear" w:color="auto" w:fill="auto"/>
          </w:tcPr>
          <w:p w14:paraId="6AC1B5FD" w14:textId="77777777" w:rsidR="00D35A5A" w:rsidRPr="007B5443" w:rsidRDefault="00D35A5A" w:rsidP="00BD4497">
            <w:pPr>
              <w:keepNext/>
              <w:jc w:val="center"/>
              <w:rPr>
                <w:sz w:val="20"/>
                <w:lang w:val="en-GB"/>
              </w:rPr>
            </w:pPr>
          </w:p>
        </w:tc>
        <w:tc>
          <w:tcPr>
            <w:tcW w:w="1698" w:type="dxa"/>
            <w:tcBorders>
              <w:top w:val="nil"/>
              <w:left w:val="single" w:sz="4" w:space="0" w:color="auto"/>
              <w:bottom w:val="single" w:sz="4" w:space="0" w:color="auto"/>
              <w:right w:val="single" w:sz="4" w:space="0" w:color="auto"/>
            </w:tcBorders>
            <w:shd w:val="clear" w:color="auto" w:fill="auto"/>
          </w:tcPr>
          <w:p w14:paraId="246FA75E" w14:textId="77777777" w:rsidR="00D35A5A" w:rsidRPr="007B5443" w:rsidRDefault="00D35A5A" w:rsidP="00BD4497">
            <w:pPr>
              <w:keepNext/>
              <w:jc w:val="center"/>
              <w:rPr>
                <w:sz w:val="20"/>
                <w:lang w:val="en-GB"/>
              </w:rPr>
            </w:pPr>
            <w:r w:rsidRPr="007B5443">
              <w:rPr>
                <w:sz w:val="20"/>
                <w:lang w:val="en-GB"/>
              </w:rPr>
              <w:t>[97.8; 99.9]</w:t>
            </w:r>
          </w:p>
        </w:tc>
        <w:tc>
          <w:tcPr>
            <w:tcW w:w="1698" w:type="dxa"/>
            <w:tcBorders>
              <w:top w:val="nil"/>
              <w:left w:val="single" w:sz="4" w:space="0" w:color="auto"/>
              <w:bottom w:val="single" w:sz="4" w:space="0" w:color="auto"/>
              <w:right w:val="single" w:sz="4" w:space="0" w:color="auto"/>
            </w:tcBorders>
            <w:shd w:val="clear" w:color="auto" w:fill="auto"/>
          </w:tcPr>
          <w:p w14:paraId="6A748FAC" w14:textId="77777777" w:rsidR="00D35A5A" w:rsidRPr="007B5443" w:rsidRDefault="00D35A5A" w:rsidP="00BD4497">
            <w:pPr>
              <w:keepNext/>
              <w:jc w:val="center"/>
              <w:rPr>
                <w:sz w:val="20"/>
                <w:lang w:val="en-GB"/>
              </w:rPr>
            </w:pPr>
          </w:p>
        </w:tc>
        <w:tc>
          <w:tcPr>
            <w:tcW w:w="1698" w:type="dxa"/>
            <w:tcBorders>
              <w:top w:val="nil"/>
              <w:left w:val="single" w:sz="4" w:space="0" w:color="auto"/>
              <w:bottom w:val="single" w:sz="4" w:space="0" w:color="auto"/>
              <w:right w:val="single" w:sz="4" w:space="0" w:color="auto"/>
            </w:tcBorders>
            <w:shd w:val="clear" w:color="auto" w:fill="auto"/>
          </w:tcPr>
          <w:p w14:paraId="14B8A11D" w14:textId="77777777" w:rsidR="00D35A5A" w:rsidRPr="007B5443" w:rsidRDefault="00D35A5A" w:rsidP="00BD4497">
            <w:pPr>
              <w:keepNext/>
              <w:jc w:val="center"/>
              <w:rPr>
                <w:sz w:val="20"/>
                <w:lang w:val="en-GB"/>
              </w:rPr>
            </w:pPr>
          </w:p>
        </w:tc>
      </w:tr>
      <w:tr w:rsidR="00D35A5A" w:rsidRPr="007B5443" w14:paraId="569A7234" w14:textId="77777777" w:rsidTr="00BD4497">
        <w:trPr>
          <w:tblHeader/>
          <w:jc w:val="center"/>
        </w:trPr>
        <w:tc>
          <w:tcPr>
            <w:tcW w:w="1577" w:type="dxa"/>
            <w:tcBorders>
              <w:top w:val="single" w:sz="4" w:space="0" w:color="auto"/>
              <w:left w:val="single" w:sz="4" w:space="0" w:color="auto"/>
              <w:bottom w:val="nil"/>
              <w:right w:val="single" w:sz="4" w:space="0" w:color="auto"/>
            </w:tcBorders>
            <w:shd w:val="clear" w:color="auto" w:fill="auto"/>
          </w:tcPr>
          <w:p w14:paraId="2C0D9BED" w14:textId="77777777" w:rsidR="00D35A5A" w:rsidRPr="007B5443" w:rsidRDefault="00D35A5A" w:rsidP="00BD4497">
            <w:pPr>
              <w:keepNext/>
              <w:ind w:left="284"/>
              <w:rPr>
                <w:b/>
                <w:sz w:val="20"/>
                <w:lang w:val="en-GB"/>
              </w:rPr>
            </w:pPr>
            <w:r w:rsidRPr="007B5443">
              <w:rPr>
                <w:b/>
                <w:sz w:val="20"/>
                <w:lang w:val="en-GB"/>
              </w:rPr>
              <w:t>FIM</w:t>
            </w:r>
          </w:p>
        </w:tc>
        <w:tc>
          <w:tcPr>
            <w:tcW w:w="1134" w:type="dxa"/>
            <w:tcBorders>
              <w:top w:val="single" w:sz="4" w:space="0" w:color="auto"/>
              <w:left w:val="single" w:sz="4" w:space="0" w:color="auto"/>
              <w:bottom w:val="nil"/>
              <w:right w:val="single" w:sz="4" w:space="0" w:color="auto"/>
            </w:tcBorders>
            <w:shd w:val="clear" w:color="auto" w:fill="auto"/>
          </w:tcPr>
          <w:p w14:paraId="21239988" w14:textId="77777777" w:rsidR="00D35A5A" w:rsidRPr="007B5443" w:rsidRDefault="00D35A5A" w:rsidP="00BD4497">
            <w:pPr>
              <w:pStyle w:val="wcpTableContent"/>
              <w:keepNext/>
              <w:keepLines/>
              <w:spacing w:before="0" w:after="0"/>
              <w:ind w:left="264"/>
              <w:rPr>
                <w:bCs/>
                <w:sz w:val="20"/>
                <w:lang w:val="en-GB"/>
              </w:rPr>
            </w:pPr>
            <w:r w:rsidRPr="007B5443">
              <w:rPr>
                <w:sz w:val="20"/>
                <w:lang w:val="en-GB"/>
              </w:rPr>
              <w:t xml:space="preserve">GMC </w:t>
            </w:r>
          </w:p>
        </w:tc>
        <w:tc>
          <w:tcPr>
            <w:tcW w:w="1697" w:type="dxa"/>
            <w:tcBorders>
              <w:top w:val="single" w:sz="4" w:space="0" w:color="auto"/>
              <w:left w:val="single" w:sz="4" w:space="0" w:color="auto"/>
              <w:bottom w:val="nil"/>
              <w:right w:val="single" w:sz="4" w:space="0" w:color="auto"/>
            </w:tcBorders>
            <w:shd w:val="clear" w:color="auto" w:fill="auto"/>
          </w:tcPr>
          <w:p w14:paraId="6DC5C65A" w14:textId="77777777" w:rsidR="00D35A5A" w:rsidRPr="007B5443" w:rsidRDefault="00D35A5A" w:rsidP="00BD4497">
            <w:pPr>
              <w:keepNext/>
              <w:jc w:val="center"/>
              <w:rPr>
                <w:sz w:val="20"/>
                <w:lang w:val="en-GB"/>
              </w:rPr>
            </w:pPr>
            <w:r w:rsidRPr="007B5443">
              <w:rPr>
                <w:sz w:val="20"/>
                <w:lang w:val="en-GB"/>
              </w:rPr>
              <w:t>6.1</w:t>
            </w:r>
          </w:p>
        </w:tc>
        <w:tc>
          <w:tcPr>
            <w:tcW w:w="1698" w:type="dxa"/>
            <w:tcBorders>
              <w:top w:val="single" w:sz="4" w:space="0" w:color="auto"/>
              <w:left w:val="single" w:sz="4" w:space="0" w:color="auto"/>
              <w:bottom w:val="nil"/>
              <w:right w:val="single" w:sz="4" w:space="0" w:color="auto"/>
            </w:tcBorders>
            <w:shd w:val="clear" w:color="auto" w:fill="auto"/>
          </w:tcPr>
          <w:p w14:paraId="575763A1" w14:textId="77777777" w:rsidR="00D35A5A" w:rsidRPr="007B5443" w:rsidRDefault="00D35A5A" w:rsidP="00BD4497">
            <w:pPr>
              <w:keepNext/>
              <w:jc w:val="center"/>
              <w:rPr>
                <w:sz w:val="20"/>
                <w:lang w:val="en-GB"/>
              </w:rPr>
            </w:pPr>
            <w:r w:rsidRPr="007B5443">
              <w:rPr>
                <w:sz w:val="20"/>
                <w:lang w:val="en-GB"/>
              </w:rPr>
              <w:t>149.6</w:t>
            </w:r>
          </w:p>
        </w:tc>
        <w:tc>
          <w:tcPr>
            <w:tcW w:w="1698" w:type="dxa"/>
            <w:tcBorders>
              <w:top w:val="single" w:sz="4" w:space="0" w:color="auto"/>
              <w:left w:val="single" w:sz="4" w:space="0" w:color="auto"/>
              <w:bottom w:val="nil"/>
              <w:right w:val="single" w:sz="4" w:space="0" w:color="auto"/>
            </w:tcBorders>
            <w:shd w:val="clear" w:color="auto" w:fill="auto"/>
          </w:tcPr>
          <w:p w14:paraId="4E95F7EC" w14:textId="77777777" w:rsidR="00D35A5A" w:rsidRPr="007B5443" w:rsidRDefault="00D35A5A" w:rsidP="00BD4497">
            <w:pPr>
              <w:keepNext/>
              <w:jc w:val="center"/>
              <w:rPr>
                <w:sz w:val="20"/>
                <w:lang w:val="en-GB"/>
              </w:rPr>
            </w:pPr>
          </w:p>
        </w:tc>
        <w:tc>
          <w:tcPr>
            <w:tcW w:w="1698" w:type="dxa"/>
            <w:tcBorders>
              <w:top w:val="single" w:sz="4" w:space="0" w:color="auto"/>
              <w:left w:val="single" w:sz="4" w:space="0" w:color="auto"/>
              <w:bottom w:val="nil"/>
              <w:right w:val="single" w:sz="4" w:space="0" w:color="auto"/>
            </w:tcBorders>
            <w:shd w:val="clear" w:color="auto" w:fill="auto"/>
          </w:tcPr>
          <w:p w14:paraId="6A54E9CE" w14:textId="77777777" w:rsidR="00D35A5A" w:rsidRPr="007B5443" w:rsidRDefault="00D35A5A" w:rsidP="00BD4497">
            <w:pPr>
              <w:keepNext/>
              <w:jc w:val="center"/>
              <w:rPr>
                <w:sz w:val="20"/>
                <w:lang w:val="en-GB"/>
              </w:rPr>
            </w:pPr>
          </w:p>
        </w:tc>
      </w:tr>
      <w:tr w:rsidR="00D35A5A" w:rsidRPr="007B5443" w14:paraId="5CF6FFD4" w14:textId="77777777" w:rsidTr="00BD4497">
        <w:trPr>
          <w:tblHeader/>
          <w:jc w:val="center"/>
        </w:trPr>
        <w:tc>
          <w:tcPr>
            <w:tcW w:w="1577" w:type="dxa"/>
            <w:tcBorders>
              <w:top w:val="nil"/>
              <w:left w:val="single" w:sz="4" w:space="0" w:color="auto"/>
              <w:bottom w:val="nil"/>
              <w:right w:val="single" w:sz="4" w:space="0" w:color="auto"/>
            </w:tcBorders>
            <w:shd w:val="clear" w:color="auto" w:fill="auto"/>
          </w:tcPr>
          <w:p w14:paraId="7E1C2415" w14:textId="77777777" w:rsidR="00D35A5A" w:rsidRPr="007B5443" w:rsidRDefault="00D35A5A" w:rsidP="00BD4497">
            <w:pPr>
              <w:keepNext/>
              <w:ind w:left="284"/>
              <w:rPr>
                <w:b/>
                <w:sz w:val="20"/>
                <w:lang w:val="en-GB"/>
              </w:rPr>
            </w:pPr>
          </w:p>
        </w:tc>
        <w:tc>
          <w:tcPr>
            <w:tcW w:w="1134" w:type="dxa"/>
            <w:tcBorders>
              <w:top w:val="nil"/>
              <w:left w:val="single" w:sz="4" w:space="0" w:color="auto"/>
              <w:bottom w:val="single" w:sz="4" w:space="0" w:color="auto"/>
              <w:right w:val="single" w:sz="4" w:space="0" w:color="auto"/>
            </w:tcBorders>
            <w:shd w:val="clear" w:color="auto" w:fill="auto"/>
          </w:tcPr>
          <w:p w14:paraId="18A128C0" w14:textId="77777777" w:rsidR="00D35A5A" w:rsidRPr="007B5443" w:rsidRDefault="00D35A5A" w:rsidP="00BD4497">
            <w:pPr>
              <w:pStyle w:val="wcpTableContent"/>
              <w:keepNext/>
              <w:keepLines/>
              <w:spacing w:before="0" w:after="0"/>
              <w:ind w:left="264"/>
              <w:rPr>
                <w:sz w:val="20"/>
                <w:lang w:val="en-GB"/>
              </w:rPr>
            </w:pPr>
            <w:r w:rsidRPr="007B5443">
              <w:rPr>
                <w:sz w:val="20"/>
                <w:lang w:val="en-GB"/>
              </w:rPr>
              <w:t>95%CI</w:t>
            </w:r>
          </w:p>
        </w:tc>
        <w:tc>
          <w:tcPr>
            <w:tcW w:w="1697" w:type="dxa"/>
            <w:tcBorders>
              <w:top w:val="nil"/>
              <w:left w:val="single" w:sz="4" w:space="0" w:color="auto"/>
              <w:bottom w:val="single" w:sz="4" w:space="0" w:color="auto"/>
              <w:right w:val="single" w:sz="4" w:space="0" w:color="auto"/>
            </w:tcBorders>
            <w:shd w:val="clear" w:color="auto" w:fill="auto"/>
          </w:tcPr>
          <w:p w14:paraId="79A50F9C" w14:textId="77777777" w:rsidR="00D35A5A" w:rsidRPr="007B5443" w:rsidRDefault="00D35A5A" w:rsidP="00BD4497">
            <w:pPr>
              <w:keepNext/>
              <w:jc w:val="center"/>
              <w:rPr>
                <w:sz w:val="20"/>
                <w:lang w:val="en-GB"/>
              </w:rPr>
            </w:pPr>
            <w:r w:rsidRPr="007B5443">
              <w:rPr>
                <w:sz w:val="20"/>
                <w:lang w:val="en-GB"/>
              </w:rPr>
              <w:t>[5.2; 7.1]</w:t>
            </w:r>
          </w:p>
        </w:tc>
        <w:tc>
          <w:tcPr>
            <w:tcW w:w="1698" w:type="dxa"/>
            <w:tcBorders>
              <w:top w:val="nil"/>
              <w:left w:val="single" w:sz="4" w:space="0" w:color="auto"/>
              <w:bottom w:val="single" w:sz="4" w:space="0" w:color="auto"/>
              <w:right w:val="single" w:sz="4" w:space="0" w:color="auto"/>
            </w:tcBorders>
            <w:shd w:val="clear" w:color="auto" w:fill="auto"/>
          </w:tcPr>
          <w:p w14:paraId="4C54C6E9" w14:textId="77777777" w:rsidR="00D35A5A" w:rsidRPr="007B5443" w:rsidRDefault="00D35A5A" w:rsidP="00BD4497">
            <w:pPr>
              <w:keepNext/>
              <w:jc w:val="center"/>
              <w:rPr>
                <w:sz w:val="20"/>
                <w:lang w:val="en-GB"/>
              </w:rPr>
            </w:pPr>
            <w:r w:rsidRPr="007B5443">
              <w:rPr>
                <w:sz w:val="20"/>
                <w:lang w:val="en-GB"/>
              </w:rPr>
              <w:t>[123.6; 181.0]</w:t>
            </w:r>
          </w:p>
        </w:tc>
        <w:tc>
          <w:tcPr>
            <w:tcW w:w="1698" w:type="dxa"/>
            <w:tcBorders>
              <w:top w:val="nil"/>
              <w:left w:val="single" w:sz="4" w:space="0" w:color="auto"/>
              <w:bottom w:val="single" w:sz="4" w:space="0" w:color="auto"/>
              <w:right w:val="single" w:sz="4" w:space="0" w:color="auto"/>
            </w:tcBorders>
            <w:shd w:val="clear" w:color="auto" w:fill="auto"/>
          </w:tcPr>
          <w:p w14:paraId="6B5FC091" w14:textId="77777777" w:rsidR="00D35A5A" w:rsidRPr="007B5443" w:rsidRDefault="00D35A5A" w:rsidP="00BD4497">
            <w:pPr>
              <w:keepNext/>
              <w:jc w:val="center"/>
              <w:rPr>
                <w:sz w:val="20"/>
                <w:lang w:val="en-GB"/>
              </w:rPr>
            </w:pPr>
          </w:p>
        </w:tc>
        <w:tc>
          <w:tcPr>
            <w:tcW w:w="1698" w:type="dxa"/>
            <w:tcBorders>
              <w:top w:val="nil"/>
              <w:left w:val="single" w:sz="4" w:space="0" w:color="auto"/>
              <w:bottom w:val="single" w:sz="4" w:space="0" w:color="auto"/>
              <w:right w:val="single" w:sz="4" w:space="0" w:color="auto"/>
            </w:tcBorders>
            <w:shd w:val="clear" w:color="auto" w:fill="auto"/>
          </w:tcPr>
          <w:p w14:paraId="536B7868" w14:textId="77777777" w:rsidR="00D35A5A" w:rsidRPr="007B5443" w:rsidRDefault="00D35A5A" w:rsidP="00BD4497">
            <w:pPr>
              <w:keepNext/>
              <w:jc w:val="center"/>
              <w:rPr>
                <w:sz w:val="20"/>
                <w:lang w:val="en-GB"/>
              </w:rPr>
            </w:pPr>
          </w:p>
        </w:tc>
      </w:tr>
      <w:tr w:rsidR="00D35A5A" w:rsidRPr="007B5443" w14:paraId="7DAF9E84" w14:textId="77777777" w:rsidTr="00BD4497">
        <w:trPr>
          <w:tblHeader/>
          <w:jc w:val="center"/>
        </w:trPr>
        <w:tc>
          <w:tcPr>
            <w:tcW w:w="1577" w:type="dxa"/>
            <w:tcBorders>
              <w:top w:val="nil"/>
              <w:left w:val="single" w:sz="4" w:space="0" w:color="auto"/>
              <w:bottom w:val="nil"/>
              <w:right w:val="single" w:sz="4" w:space="0" w:color="auto"/>
            </w:tcBorders>
            <w:shd w:val="clear" w:color="auto" w:fill="auto"/>
          </w:tcPr>
          <w:p w14:paraId="0AC13DE3" w14:textId="77777777" w:rsidR="00D35A5A" w:rsidRPr="007B5443" w:rsidRDefault="00D35A5A" w:rsidP="00BD4497">
            <w:pPr>
              <w:keepNext/>
              <w:ind w:left="284"/>
              <w:rPr>
                <w:sz w:val="20"/>
                <w:lang w:val="en-GB"/>
              </w:rPr>
            </w:pPr>
          </w:p>
        </w:tc>
        <w:tc>
          <w:tcPr>
            <w:tcW w:w="1134" w:type="dxa"/>
            <w:tcBorders>
              <w:top w:val="single" w:sz="4" w:space="0" w:color="auto"/>
              <w:left w:val="single" w:sz="4" w:space="0" w:color="auto"/>
              <w:bottom w:val="nil"/>
              <w:right w:val="single" w:sz="4" w:space="0" w:color="auto"/>
            </w:tcBorders>
            <w:shd w:val="clear" w:color="auto" w:fill="auto"/>
          </w:tcPr>
          <w:p w14:paraId="326FE716" w14:textId="77777777" w:rsidR="00D35A5A" w:rsidRPr="007B5443" w:rsidRDefault="00D35A5A" w:rsidP="00BD4497">
            <w:pPr>
              <w:pStyle w:val="wcpTableContent"/>
              <w:keepNext/>
              <w:keepLines/>
              <w:spacing w:before="0" w:after="0"/>
              <w:ind w:left="264"/>
              <w:rPr>
                <w:sz w:val="20"/>
                <w:lang w:val="en-GB"/>
              </w:rPr>
            </w:pPr>
            <w:r w:rsidRPr="007B5443">
              <w:rPr>
                <w:sz w:val="20"/>
                <w:lang w:val="en-GB"/>
              </w:rPr>
              <w:t>≥</w:t>
            </w:r>
            <w:r w:rsidRPr="007B5443">
              <w:rPr>
                <w:bCs/>
                <w:sz w:val="20"/>
                <w:lang w:val="en-GB"/>
              </w:rPr>
              <w:t xml:space="preserve">5 </w:t>
            </w:r>
          </w:p>
        </w:tc>
        <w:tc>
          <w:tcPr>
            <w:tcW w:w="1697" w:type="dxa"/>
            <w:tcBorders>
              <w:top w:val="single" w:sz="4" w:space="0" w:color="auto"/>
              <w:left w:val="single" w:sz="4" w:space="0" w:color="auto"/>
              <w:bottom w:val="nil"/>
              <w:right w:val="single" w:sz="4" w:space="0" w:color="auto"/>
            </w:tcBorders>
            <w:shd w:val="clear" w:color="auto" w:fill="auto"/>
          </w:tcPr>
          <w:p w14:paraId="0A01049F" w14:textId="77777777" w:rsidR="00D35A5A" w:rsidRPr="007B5443" w:rsidRDefault="00D35A5A" w:rsidP="00BD4497">
            <w:pPr>
              <w:keepNext/>
              <w:jc w:val="center"/>
              <w:rPr>
                <w:sz w:val="20"/>
                <w:lang w:val="en-GB"/>
              </w:rPr>
            </w:pPr>
            <w:r w:rsidRPr="007B5443">
              <w:rPr>
                <w:sz w:val="20"/>
                <w:lang w:val="en-GB"/>
              </w:rPr>
              <w:t>-</w:t>
            </w:r>
          </w:p>
        </w:tc>
        <w:tc>
          <w:tcPr>
            <w:tcW w:w="1698" w:type="dxa"/>
            <w:tcBorders>
              <w:top w:val="single" w:sz="4" w:space="0" w:color="auto"/>
              <w:left w:val="single" w:sz="4" w:space="0" w:color="auto"/>
              <w:bottom w:val="nil"/>
              <w:right w:val="single" w:sz="4" w:space="0" w:color="auto"/>
            </w:tcBorders>
            <w:shd w:val="clear" w:color="auto" w:fill="auto"/>
          </w:tcPr>
          <w:p w14:paraId="641B0221" w14:textId="77777777" w:rsidR="00D35A5A" w:rsidRPr="007B5443" w:rsidRDefault="00D35A5A" w:rsidP="00BD4497">
            <w:pPr>
              <w:keepNext/>
              <w:jc w:val="center"/>
              <w:rPr>
                <w:sz w:val="20"/>
                <w:lang w:val="en-GB"/>
              </w:rPr>
            </w:pPr>
            <w:r w:rsidRPr="007B5443">
              <w:rPr>
                <w:sz w:val="20"/>
                <w:lang w:val="en-GB"/>
              </w:rPr>
              <w:t>95.8%</w:t>
            </w:r>
          </w:p>
        </w:tc>
        <w:tc>
          <w:tcPr>
            <w:tcW w:w="1698" w:type="dxa"/>
            <w:tcBorders>
              <w:top w:val="single" w:sz="4" w:space="0" w:color="auto"/>
              <w:left w:val="single" w:sz="4" w:space="0" w:color="auto"/>
              <w:bottom w:val="nil"/>
              <w:right w:val="single" w:sz="4" w:space="0" w:color="auto"/>
            </w:tcBorders>
            <w:shd w:val="clear" w:color="auto" w:fill="auto"/>
          </w:tcPr>
          <w:p w14:paraId="7B2D98EE" w14:textId="77777777" w:rsidR="00D35A5A" w:rsidRPr="007B5443" w:rsidRDefault="00D35A5A" w:rsidP="00BD4497">
            <w:pPr>
              <w:keepNext/>
              <w:jc w:val="center"/>
              <w:rPr>
                <w:sz w:val="20"/>
                <w:lang w:val="en-GB"/>
              </w:rPr>
            </w:pPr>
            <w:r w:rsidRPr="007B5443">
              <w:rPr>
                <w:sz w:val="20"/>
                <w:lang w:val="en-GB"/>
              </w:rPr>
              <w:t>-</w:t>
            </w:r>
          </w:p>
        </w:tc>
        <w:tc>
          <w:tcPr>
            <w:tcW w:w="1698" w:type="dxa"/>
            <w:tcBorders>
              <w:top w:val="single" w:sz="4" w:space="0" w:color="auto"/>
              <w:left w:val="single" w:sz="4" w:space="0" w:color="auto"/>
              <w:bottom w:val="nil"/>
              <w:right w:val="single" w:sz="4" w:space="0" w:color="auto"/>
            </w:tcBorders>
            <w:shd w:val="clear" w:color="auto" w:fill="auto"/>
          </w:tcPr>
          <w:p w14:paraId="1F50E6B6" w14:textId="77777777" w:rsidR="00D35A5A" w:rsidRPr="007B5443" w:rsidRDefault="00D35A5A" w:rsidP="00BD4497">
            <w:pPr>
              <w:keepNext/>
              <w:jc w:val="center"/>
              <w:rPr>
                <w:sz w:val="20"/>
                <w:lang w:val="en-GB"/>
              </w:rPr>
            </w:pPr>
            <w:r w:rsidRPr="007B5443">
              <w:rPr>
                <w:sz w:val="20"/>
                <w:lang w:val="en-GB"/>
              </w:rPr>
              <w:t>-</w:t>
            </w:r>
          </w:p>
        </w:tc>
      </w:tr>
      <w:tr w:rsidR="00D35A5A" w:rsidRPr="007B5443" w14:paraId="30EAE76C" w14:textId="77777777" w:rsidTr="00BD4497">
        <w:trPr>
          <w:tblHeader/>
          <w:jc w:val="center"/>
        </w:trPr>
        <w:tc>
          <w:tcPr>
            <w:tcW w:w="1577" w:type="dxa"/>
            <w:tcBorders>
              <w:top w:val="nil"/>
              <w:left w:val="single" w:sz="4" w:space="0" w:color="auto"/>
              <w:bottom w:val="single" w:sz="4" w:space="0" w:color="auto"/>
              <w:right w:val="single" w:sz="4" w:space="0" w:color="auto"/>
            </w:tcBorders>
            <w:shd w:val="clear" w:color="auto" w:fill="auto"/>
          </w:tcPr>
          <w:p w14:paraId="55613C51" w14:textId="77777777" w:rsidR="00D35A5A" w:rsidRPr="007B5443" w:rsidRDefault="00D35A5A" w:rsidP="00BD4497">
            <w:pPr>
              <w:keepNext/>
              <w:ind w:left="284"/>
              <w:rPr>
                <w:sz w:val="20"/>
                <w:lang w:val="en-GB"/>
              </w:rPr>
            </w:pPr>
          </w:p>
        </w:tc>
        <w:tc>
          <w:tcPr>
            <w:tcW w:w="1134" w:type="dxa"/>
            <w:tcBorders>
              <w:top w:val="nil"/>
              <w:left w:val="single" w:sz="4" w:space="0" w:color="auto"/>
              <w:bottom w:val="single" w:sz="4" w:space="0" w:color="auto"/>
              <w:right w:val="single" w:sz="4" w:space="0" w:color="auto"/>
            </w:tcBorders>
            <w:shd w:val="clear" w:color="auto" w:fill="auto"/>
          </w:tcPr>
          <w:p w14:paraId="0E53CDC4" w14:textId="77777777" w:rsidR="00D35A5A" w:rsidRPr="007B5443" w:rsidRDefault="00D35A5A" w:rsidP="00BD4497">
            <w:pPr>
              <w:pStyle w:val="wcpTableContent"/>
              <w:keepNext/>
              <w:keepLines/>
              <w:spacing w:before="0" w:after="0"/>
              <w:ind w:left="264"/>
              <w:rPr>
                <w:sz w:val="20"/>
                <w:lang w:val="en-GB"/>
              </w:rPr>
            </w:pPr>
            <w:r w:rsidRPr="007B5443">
              <w:rPr>
                <w:sz w:val="20"/>
                <w:lang w:val="en-GB"/>
              </w:rPr>
              <w:t>95%CI</w:t>
            </w:r>
          </w:p>
        </w:tc>
        <w:tc>
          <w:tcPr>
            <w:tcW w:w="1697" w:type="dxa"/>
            <w:tcBorders>
              <w:top w:val="nil"/>
              <w:left w:val="single" w:sz="4" w:space="0" w:color="auto"/>
              <w:bottom w:val="single" w:sz="4" w:space="0" w:color="auto"/>
              <w:right w:val="single" w:sz="4" w:space="0" w:color="auto"/>
            </w:tcBorders>
            <w:shd w:val="clear" w:color="auto" w:fill="auto"/>
          </w:tcPr>
          <w:p w14:paraId="40097F9E" w14:textId="77777777" w:rsidR="00D35A5A" w:rsidRPr="007B5443" w:rsidRDefault="00D35A5A" w:rsidP="00BD4497">
            <w:pPr>
              <w:autoSpaceDE w:val="0"/>
              <w:autoSpaceDN w:val="0"/>
              <w:adjustRightInd w:val="0"/>
              <w:jc w:val="center"/>
              <w:rPr>
                <w:sz w:val="20"/>
                <w:lang w:val="en-GB"/>
              </w:rPr>
            </w:pPr>
          </w:p>
        </w:tc>
        <w:tc>
          <w:tcPr>
            <w:tcW w:w="1698" w:type="dxa"/>
            <w:tcBorders>
              <w:top w:val="nil"/>
              <w:left w:val="single" w:sz="4" w:space="0" w:color="auto"/>
              <w:bottom w:val="single" w:sz="4" w:space="0" w:color="auto"/>
              <w:right w:val="single" w:sz="4" w:space="0" w:color="auto"/>
            </w:tcBorders>
            <w:shd w:val="clear" w:color="auto" w:fill="auto"/>
          </w:tcPr>
          <w:p w14:paraId="477198B4" w14:textId="77777777" w:rsidR="00D35A5A" w:rsidRPr="007B5443" w:rsidRDefault="00D35A5A" w:rsidP="00BD4497">
            <w:pPr>
              <w:autoSpaceDE w:val="0"/>
              <w:autoSpaceDN w:val="0"/>
              <w:adjustRightInd w:val="0"/>
              <w:jc w:val="center"/>
              <w:rPr>
                <w:sz w:val="20"/>
                <w:lang w:val="en-GB"/>
              </w:rPr>
            </w:pPr>
            <w:r w:rsidRPr="007B5443">
              <w:rPr>
                <w:sz w:val="20"/>
                <w:lang w:val="en-GB"/>
              </w:rPr>
              <w:t xml:space="preserve"> [93.0; 97.7]</w:t>
            </w:r>
          </w:p>
        </w:tc>
        <w:tc>
          <w:tcPr>
            <w:tcW w:w="1698" w:type="dxa"/>
            <w:tcBorders>
              <w:top w:val="nil"/>
              <w:left w:val="single" w:sz="4" w:space="0" w:color="auto"/>
              <w:bottom w:val="single" w:sz="4" w:space="0" w:color="auto"/>
              <w:right w:val="single" w:sz="4" w:space="0" w:color="auto"/>
            </w:tcBorders>
            <w:shd w:val="clear" w:color="auto" w:fill="auto"/>
          </w:tcPr>
          <w:p w14:paraId="6BFC1618" w14:textId="77777777" w:rsidR="00D35A5A" w:rsidRPr="007B5443" w:rsidRDefault="00D35A5A" w:rsidP="00BD4497">
            <w:pPr>
              <w:keepNext/>
              <w:jc w:val="center"/>
              <w:rPr>
                <w:sz w:val="20"/>
                <w:highlight w:val="yellow"/>
                <w:lang w:val="en-GB"/>
              </w:rPr>
            </w:pPr>
          </w:p>
        </w:tc>
        <w:tc>
          <w:tcPr>
            <w:tcW w:w="1698" w:type="dxa"/>
            <w:tcBorders>
              <w:top w:val="nil"/>
              <w:left w:val="single" w:sz="4" w:space="0" w:color="auto"/>
              <w:bottom w:val="single" w:sz="4" w:space="0" w:color="auto"/>
              <w:right w:val="single" w:sz="4" w:space="0" w:color="auto"/>
            </w:tcBorders>
            <w:shd w:val="clear" w:color="auto" w:fill="auto"/>
          </w:tcPr>
          <w:p w14:paraId="40E8755A" w14:textId="77777777" w:rsidR="00D35A5A" w:rsidRPr="007B5443" w:rsidRDefault="00D35A5A" w:rsidP="00BD4497">
            <w:pPr>
              <w:keepNext/>
              <w:jc w:val="center"/>
              <w:rPr>
                <w:sz w:val="20"/>
                <w:lang w:val="en-GB"/>
              </w:rPr>
            </w:pPr>
          </w:p>
        </w:tc>
      </w:tr>
    </w:tbl>
    <w:p w14:paraId="3EBCD906" w14:textId="77777777" w:rsidR="00D35A5A" w:rsidRPr="007B5443" w:rsidRDefault="00D35A5A" w:rsidP="00D35A5A">
      <w:pPr>
        <w:rPr>
          <w:sz w:val="18"/>
          <w:lang w:val="en-GB"/>
        </w:rPr>
      </w:pPr>
      <w:r w:rsidRPr="007B5443">
        <w:rPr>
          <w:sz w:val="18"/>
          <w:lang w:val="en-GB"/>
        </w:rPr>
        <w:t xml:space="preserve">GMC: Geometric mean of antibody concentrations; GMT: Geometric mean of antibody titres; CI: Confidence Interval; SN: </w:t>
      </w:r>
      <w:proofErr w:type="spellStart"/>
      <w:r w:rsidRPr="007B5443">
        <w:rPr>
          <w:sz w:val="18"/>
          <w:lang w:val="en-GB"/>
        </w:rPr>
        <w:t>seroneutralisation</w:t>
      </w:r>
      <w:proofErr w:type="spellEnd"/>
      <w:r w:rsidRPr="007B5443">
        <w:rPr>
          <w:sz w:val="18"/>
          <w:lang w:val="en-GB"/>
        </w:rPr>
        <w:t xml:space="preserve">; ELISA: Enzyme Linked Immunoassay; </w:t>
      </w:r>
      <w:proofErr w:type="spellStart"/>
      <w:r w:rsidRPr="007B5443">
        <w:rPr>
          <w:sz w:val="18"/>
          <w:lang w:val="en-GB"/>
        </w:rPr>
        <w:t>dil</w:t>
      </w:r>
      <w:proofErr w:type="spellEnd"/>
      <w:r w:rsidRPr="007B5443">
        <w:rPr>
          <w:sz w:val="18"/>
          <w:lang w:val="en-GB"/>
        </w:rPr>
        <w:t>: dilution</w:t>
      </w:r>
    </w:p>
    <w:p w14:paraId="6DDE9D42" w14:textId="77777777" w:rsidR="00D35A5A" w:rsidRPr="007B5443" w:rsidRDefault="00D35A5A" w:rsidP="00D35A5A">
      <w:pPr>
        <w:rPr>
          <w:sz w:val="18"/>
          <w:lang w:val="en-GB"/>
        </w:rPr>
      </w:pPr>
    </w:p>
    <w:p w14:paraId="1043E444" w14:textId="77777777" w:rsidR="00D35A5A" w:rsidRPr="007B5443" w:rsidRDefault="00D35A5A" w:rsidP="00D35A5A">
      <w:pPr>
        <w:rPr>
          <w:sz w:val="18"/>
          <w:lang w:val="en-GB"/>
        </w:rPr>
      </w:pPr>
      <w:r w:rsidRPr="007B5443">
        <w:rPr>
          <w:sz w:val="18"/>
          <w:lang w:val="en-GB"/>
        </w:rPr>
        <w:t>FAS: Full Analysis Set – includes all subjects who received the study vaccine dose and for whom the post-vaccination immunogenicity evaluation was available.</w:t>
      </w:r>
    </w:p>
    <w:p w14:paraId="5B61D2B5" w14:textId="77777777" w:rsidR="00D35A5A" w:rsidRPr="00D35A5A" w:rsidRDefault="00D35A5A" w:rsidP="00D35A5A">
      <w:pPr>
        <w:rPr>
          <w:i/>
          <w:color w:val="0070C0"/>
          <w:sz w:val="24"/>
          <w:szCs w:val="22"/>
          <w:lang w:val="en-US"/>
        </w:rPr>
      </w:pPr>
    </w:p>
    <w:p w14:paraId="1798BEC6" w14:textId="145591A5" w:rsidR="00D35A5A" w:rsidRPr="00D35A5A" w:rsidRDefault="00D35A5A" w:rsidP="00D35A5A">
      <w:pPr>
        <w:keepNext/>
        <w:ind w:left="851"/>
        <w:rPr>
          <w:i/>
          <w:sz w:val="24"/>
          <w:szCs w:val="22"/>
          <w:lang w:val="en-US"/>
        </w:rPr>
      </w:pPr>
      <w:r w:rsidRPr="00D35A5A">
        <w:rPr>
          <w:i/>
          <w:sz w:val="24"/>
          <w:szCs w:val="22"/>
          <w:lang w:val="en-US"/>
        </w:rPr>
        <w:t>Immunogenicity in pregnant women</w:t>
      </w:r>
    </w:p>
    <w:p w14:paraId="59DB8300" w14:textId="0ED5DAC2" w:rsidR="00D35A5A" w:rsidRPr="00D35A5A" w:rsidRDefault="00D35A5A" w:rsidP="00D35A5A">
      <w:pPr>
        <w:ind w:left="851"/>
        <w:rPr>
          <w:iCs/>
          <w:sz w:val="24"/>
          <w:szCs w:val="22"/>
          <w:lang w:val="en-US"/>
        </w:rPr>
      </w:pPr>
      <w:r w:rsidRPr="00D35A5A">
        <w:rPr>
          <w:iCs/>
          <w:sz w:val="24"/>
          <w:szCs w:val="22"/>
          <w:lang w:val="en-US"/>
        </w:rPr>
        <w:t>Pertussis antibody responses in pregnant women are generally similar to those in non-pregnant women. Vaccination during the second or third trimester of pregnancy is optimal for antibody transfer to the developing fetus.</w:t>
      </w:r>
    </w:p>
    <w:p w14:paraId="553D855E" w14:textId="77777777" w:rsidR="00D35A5A" w:rsidRPr="00D35A5A" w:rsidRDefault="00D35A5A" w:rsidP="00D35A5A">
      <w:pPr>
        <w:ind w:left="851"/>
        <w:rPr>
          <w:iCs/>
          <w:sz w:val="24"/>
          <w:szCs w:val="22"/>
          <w:lang w:val="en-US"/>
        </w:rPr>
      </w:pPr>
    </w:p>
    <w:p w14:paraId="34325658" w14:textId="77777777" w:rsidR="00D35A5A" w:rsidRPr="00D35A5A" w:rsidRDefault="00D35A5A" w:rsidP="00D35A5A">
      <w:pPr>
        <w:ind w:left="851"/>
        <w:rPr>
          <w:i/>
          <w:sz w:val="24"/>
          <w:szCs w:val="22"/>
          <w:lang w:val="en-US"/>
        </w:rPr>
      </w:pPr>
      <w:r w:rsidRPr="00D35A5A">
        <w:rPr>
          <w:i/>
          <w:sz w:val="24"/>
          <w:szCs w:val="22"/>
          <w:lang w:val="en-US"/>
        </w:rPr>
        <w:t>Immunogenicity against pertussis in infants (&lt;3 months of age) born to women vaccinated during pregnancy</w:t>
      </w:r>
    </w:p>
    <w:p w14:paraId="0A2736BA" w14:textId="77777777" w:rsidR="00D35A5A" w:rsidRPr="00D35A5A" w:rsidRDefault="00D35A5A" w:rsidP="00D35A5A">
      <w:pPr>
        <w:spacing w:after="160"/>
        <w:ind w:left="851"/>
        <w:rPr>
          <w:rFonts w:eastAsia="Calibri"/>
          <w:iCs/>
          <w:sz w:val="24"/>
          <w:szCs w:val="22"/>
          <w:lang w:val="en-US"/>
        </w:rPr>
      </w:pPr>
      <w:r w:rsidRPr="00D35A5A">
        <w:rPr>
          <w:rFonts w:eastAsia="Calibri"/>
          <w:iCs/>
          <w:sz w:val="24"/>
          <w:szCs w:val="22"/>
          <w:lang w:val="en-US"/>
        </w:rPr>
        <w:t>Data from 2 published randomized controlled trials demonstrate higher pertussis antibody concentrations at birth and at 2 months of age, (</w:t>
      </w:r>
      <w:proofErr w:type="spellStart"/>
      <w:r w:rsidRPr="00D35A5A">
        <w:rPr>
          <w:rFonts w:eastAsia="Calibri"/>
          <w:iCs/>
          <w:sz w:val="24"/>
          <w:szCs w:val="22"/>
          <w:lang w:val="en-US"/>
        </w:rPr>
        <w:t>ie</w:t>
      </w:r>
      <w:proofErr w:type="spellEnd"/>
      <w:r w:rsidRPr="00D35A5A">
        <w:rPr>
          <w:rFonts w:eastAsia="Calibri"/>
          <w:iCs/>
          <w:sz w:val="24"/>
          <w:szCs w:val="22"/>
          <w:lang w:val="en-US"/>
        </w:rPr>
        <w:t xml:space="preserve">, prior to the start of their primary vaccinations) in infants of women vaccinated with </w:t>
      </w:r>
      <w:proofErr w:type="spellStart"/>
      <w:r w:rsidRPr="00D35A5A">
        <w:rPr>
          <w:rFonts w:eastAsia="Calibri"/>
          <w:iCs/>
          <w:sz w:val="24"/>
          <w:szCs w:val="22"/>
          <w:lang w:val="en-US"/>
        </w:rPr>
        <w:t>COVAXiS</w:t>
      </w:r>
      <w:proofErr w:type="spellEnd"/>
      <w:r w:rsidRPr="00D35A5A">
        <w:rPr>
          <w:rFonts w:eastAsia="Calibri"/>
          <w:iCs/>
          <w:sz w:val="24"/>
          <w:szCs w:val="22"/>
          <w:lang w:val="en-US"/>
        </w:rPr>
        <w:t xml:space="preserve"> during pregnancy compared with infants of women not vaccinated against pertussis during pregnancy.</w:t>
      </w:r>
    </w:p>
    <w:p w14:paraId="1D6B3F5C" w14:textId="77777777" w:rsidR="00D35A5A" w:rsidRPr="00D35A5A" w:rsidRDefault="00D35A5A" w:rsidP="00D35A5A">
      <w:pPr>
        <w:spacing w:after="160"/>
        <w:ind w:left="851"/>
        <w:rPr>
          <w:rFonts w:eastAsia="Calibri"/>
          <w:iCs/>
          <w:sz w:val="24"/>
          <w:szCs w:val="22"/>
          <w:lang w:val="en-US"/>
        </w:rPr>
      </w:pPr>
      <w:r w:rsidRPr="00D35A5A">
        <w:rPr>
          <w:rFonts w:eastAsia="Calibri"/>
          <w:iCs/>
          <w:sz w:val="24"/>
          <w:szCs w:val="22"/>
          <w:lang w:val="en-US"/>
        </w:rPr>
        <w:t xml:space="preserve">In the first study, 33 pregnant women received </w:t>
      </w:r>
      <w:proofErr w:type="spellStart"/>
      <w:r w:rsidRPr="00D35A5A">
        <w:rPr>
          <w:rFonts w:eastAsia="Calibri"/>
          <w:iCs/>
          <w:sz w:val="24"/>
          <w:szCs w:val="22"/>
          <w:lang w:val="en-US"/>
        </w:rPr>
        <w:t>COVAXiS</w:t>
      </w:r>
      <w:proofErr w:type="spellEnd"/>
      <w:r w:rsidRPr="00D35A5A">
        <w:rPr>
          <w:rFonts w:eastAsia="Calibri"/>
          <w:iCs/>
          <w:sz w:val="24"/>
          <w:szCs w:val="22"/>
          <w:lang w:val="en-US"/>
        </w:rPr>
        <w:t xml:space="preserve"> and 15 received saline placebo at 30 to 32 weeks gestation. The geometric mean concentrations (GMC) in EU/mL for the anti-pertussis antibodies to the PT, FHA, PRN, and FIM antigens in infants of vaccinated women were, respectively, 68.8, 234.2, 226.8, and 1867.0 at birth, and 20.6, 99.1, 75.7, and 510.4 at 2 months of age. In the control-group infants, the corresponding GMCs were 14.0, 25.1, 14.4, and 48.5 at birth, and 5.3, 6.6, 5.2, and 12.0 at 2 months. The GMC ratios (</w:t>
      </w:r>
      <w:proofErr w:type="spellStart"/>
      <w:r w:rsidRPr="00D35A5A">
        <w:rPr>
          <w:rFonts w:eastAsia="Calibri"/>
          <w:iCs/>
          <w:sz w:val="24"/>
          <w:szCs w:val="22"/>
          <w:lang w:val="en-US"/>
        </w:rPr>
        <w:t>COVAXiS</w:t>
      </w:r>
      <w:proofErr w:type="spellEnd"/>
      <w:r w:rsidRPr="00D35A5A">
        <w:rPr>
          <w:rFonts w:eastAsia="Calibri"/>
          <w:iCs/>
          <w:sz w:val="24"/>
          <w:szCs w:val="22"/>
          <w:lang w:val="en-US"/>
        </w:rPr>
        <w:t>/control group) were 4.9, 9.3, 15.8, and 38.5 at birth, and 3.9, 15.0, 14.6, and 42.5 at 2 months.</w:t>
      </w:r>
    </w:p>
    <w:p w14:paraId="366A7255" w14:textId="77777777" w:rsidR="00D35A5A" w:rsidRPr="00D35A5A" w:rsidRDefault="00D35A5A" w:rsidP="00D35A5A">
      <w:pPr>
        <w:spacing w:after="160"/>
        <w:ind w:left="851"/>
        <w:rPr>
          <w:rFonts w:eastAsia="Calibri"/>
          <w:iCs/>
          <w:sz w:val="24"/>
          <w:szCs w:val="22"/>
          <w:lang w:val="en-US"/>
        </w:rPr>
      </w:pPr>
      <w:r w:rsidRPr="00D35A5A">
        <w:rPr>
          <w:rFonts w:eastAsia="Calibri"/>
          <w:iCs/>
          <w:sz w:val="24"/>
          <w:szCs w:val="22"/>
          <w:lang w:val="en-US"/>
        </w:rPr>
        <w:t xml:space="preserve">In the second study, 134 pregnant women received </w:t>
      </w:r>
      <w:proofErr w:type="spellStart"/>
      <w:r w:rsidRPr="00D35A5A">
        <w:rPr>
          <w:rFonts w:eastAsia="Calibri"/>
          <w:iCs/>
          <w:sz w:val="24"/>
          <w:szCs w:val="22"/>
          <w:lang w:val="en-US"/>
        </w:rPr>
        <w:t>COVAXiS</w:t>
      </w:r>
      <w:proofErr w:type="spellEnd"/>
      <w:r w:rsidRPr="00D35A5A">
        <w:rPr>
          <w:rFonts w:eastAsia="Calibri"/>
          <w:iCs/>
          <w:sz w:val="24"/>
          <w:szCs w:val="22"/>
          <w:lang w:val="en-US"/>
        </w:rPr>
        <w:t xml:space="preserve"> and 138 received a tetanus and diphtheria control vaccine at a mean gestational age of 34.5 weeks. The GMCs (EU/mL) for the anti-pertussis antibodies to the PT, FHA, PRN, and FIM antigens in infants of vaccinated women were, respectively, 54.2, 184.2, 294.1, and 939.6 at birth, and 14.1, 51.0, 76.8, and 220.0 at 2 months of age. In the control-group infants, the corresponding GMCs were 9.5, 21.4, 11.2, and 31.5 at birth, and 3.6, 6.1, 4.4, and 9.0 at 2 months. The GMC ratios (</w:t>
      </w:r>
      <w:proofErr w:type="spellStart"/>
      <w:r w:rsidRPr="00D35A5A">
        <w:rPr>
          <w:rFonts w:eastAsia="Calibri"/>
          <w:iCs/>
          <w:sz w:val="24"/>
          <w:szCs w:val="22"/>
          <w:lang w:val="en-US"/>
        </w:rPr>
        <w:t>COVAXiS</w:t>
      </w:r>
      <w:proofErr w:type="spellEnd"/>
      <w:r w:rsidRPr="00D35A5A">
        <w:rPr>
          <w:rFonts w:eastAsia="Calibri"/>
          <w:iCs/>
          <w:sz w:val="24"/>
          <w:szCs w:val="22"/>
          <w:lang w:val="en-US"/>
        </w:rPr>
        <w:t xml:space="preserve">/control group) were 5.7, 8.6, 26.3, and 29.8 at birth, and 3.9, 8.4, 17.5, and 24.4 at 2 months. </w:t>
      </w:r>
    </w:p>
    <w:p w14:paraId="2CB0EC6A" w14:textId="77777777" w:rsidR="00D35A5A" w:rsidRPr="00D35A5A" w:rsidRDefault="00D35A5A" w:rsidP="00D35A5A">
      <w:pPr>
        <w:spacing w:after="160"/>
        <w:ind w:left="851"/>
        <w:rPr>
          <w:rFonts w:eastAsia="Calibri"/>
          <w:i/>
          <w:iCs/>
          <w:sz w:val="24"/>
          <w:szCs w:val="22"/>
          <w:u w:val="single"/>
          <w:lang w:val="en-US"/>
        </w:rPr>
      </w:pPr>
      <w:r w:rsidRPr="00D35A5A">
        <w:rPr>
          <w:rFonts w:eastAsia="Calibri"/>
          <w:iCs/>
          <w:sz w:val="24"/>
          <w:szCs w:val="22"/>
          <w:lang w:val="en-US"/>
        </w:rPr>
        <w:t>These higher antibody concentrations should provide passive immunity against pertussis for the infant during the first 2 to 3 months of life, as has been shown by observational effectiveness studies.</w:t>
      </w:r>
    </w:p>
    <w:p w14:paraId="1A6A6791" w14:textId="77777777" w:rsidR="00D35A5A" w:rsidRPr="00D35A5A" w:rsidRDefault="00D35A5A" w:rsidP="00D35A5A">
      <w:pPr>
        <w:ind w:left="851"/>
        <w:rPr>
          <w:rFonts w:eastAsia="Calibri"/>
          <w:i/>
          <w:iCs/>
          <w:sz w:val="24"/>
          <w:szCs w:val="22"/>
          <w:u w:val="single"/>
          <w:lang w:val="en-US"/>
        </w:rPr>
      </w:pPr>
      <w:r w:rsidRPr="00D35A5A">
        <w:rPr>
          <w:rFonts w:eastAsia="Calibri"/>
          <w:i/>
          <w:iCs/>
          <w:sz w:val="24"/>
          <w:szCs w:val="22"/>
          <w:u w:val="single"/>
          <w:lang w:val="en-US"/>
        </w:rPr>
        <w:t>Immunogenicity in infants and toddlers born to women vaccinated during pregnancy</w:t>
      </w:r>
    </w:p>
    <w:p w14:paraId="7F13DCF8" w14:textId="53CD453D" w:rsidR="00D35A5A" w:rsidRPr="00D35A5A" w:rsidRDefault="00D35A5A" w:rsidP="00D35A5A">
      <w:pPr>
        <w:spacing w:after="160"/>
        <w:ind w:left="851"/>
        <w:rPr>
          <w:rFonts w:eastAsia="Calibri"/>
          <w:sz w:val="24"/>
          <w:szCs w:val="22"/>
          <w:lang w:val="en-US"/>
        </w:rPr>
      </w:pPr>
      <w:r w:rsidRPr="00D35A5A">
        <w:rPr>
          <w:rFonts w:eastAsia="Calibri"/>
          <w:sz w:val="24"/>
          <w:szCs w:val="22"/>
          <w:lang w:val="en-US"/>
        </w:rPr>
        <w:t xml:space="preserve">For infants of women vaccinated with </w:t>
      </w:r>
      <w:proofErr w:type="spellStart"/>
      <w:r w:rsidRPr="00D35A5A">
        <w:rPr>
          <w:rFonts w:eastAsia="Calibri"/>
          <w:sz w:val="24"/>
          <w:szCs w:val="22"/>
          <w:lang w:val="en-US"/>
        </w:rPr>
        <w:t>Repevax</w:t>
      </w:r>
      <w:proofErr w:type="spellEnd"/>
      <w:r w:rsidRPr="00D35A5A">
        <w:rPr>
          <w:rFonts w:eastAsia="Calibri"/>
          <w:sz w:val="24"/>
          <w:szCs w:val="22"/>
          <w:lang w:val="en-US"/>
        </w:rPr>
        <w:t xml:space="preserve"> or </w:t>
      </w:r>
      <w:proofErr w:type="spellStart"/>
      <w:r w:rsidRPr="00D35A5A">
        <w:rPr>
          <w:rFonts w:eastAsia="Calibri"/>
          <w:sz w:val="24"/>
          <w:szCs w:val="22"/>
          <w:lang w:val="en-US"/>
        </w:rPr>
        <w:t>COVAXiS</w:t>
      </w:r>
      <w:proofErr w:type="spellEnd"/>
      <w:r w:rsidRPr="00D35A5A">
        <w:rPr>
          <w:rFonts w:eastAsia="Calibri"/>
          <w:sz w:val="24"/>
          <w:szCs w:val="22"/>
          <w:lang w:val="en-US"/>
        </w:rPr>
        <w:t xml:space="preserve"> during pregnancy, the immunogenicity of routine infant vaccination was assessed in several published studies. Data on the infant response to pertussis and non-pertussis antigens were evaluated during the first year of life. </w:t>
      </w:r>
    </w:p>
    <w:p w14:paraId="3811183F" w14:textId="5368735D" w:rsidR="00D35A5A" w:rsidRPr="00D35A5A" w:rsidRDefault="00D35A5A" w:rsidP="00D35A5A">
      <w:pPr>
        <w:spacing w:after="160"/>
        <w:ind w:left="851"/>
        <w:rPr>
          <w:rFonts w:eastAsia="Calibri"/>
          <w:sz w:val="24"/>
          <w:szCs w:val="22"/>
          <w:lang w:val="en-US"/>
        </w:rPr>
      </w:pPr>
      <w:r w:rsidRPr="00D35A5A">
        <w:rPr>
          <w:rFonts w:eastAsia="Calibri"/>
          <w:sz w:val="24"/>
          <w:szCs w:val="22"/>
          <w:lang w:val="en-US"/>
        </w:rPr>
        <w:t xml:space="preserve">Maternal antibodies derived after </w:t>
      </w:r>
      <w:proofErr w:type="spellStart"/>
      <w:r w:rsidRPr="00D35A5A">
        <w:rPr>
          <w:rFonts w:eastAsia="Calibri"/>
          <w:sz w:val="24"/>
          <w:szCs w:val="22"/>
          <w:lang w:val="en-US"/>
        </w:rPr>
        <w:t>Repevax</w:t>
      </w:r>
      <w:proofErr w:type="spellEnd"/>
      <w:r w:rsidRPr="00D35A5A">
        <w:rPr>
          <w:rFonts w:eastAsia="Calibri"/>
          <w:sz w:val="24"/>
          <w:szCs w:val="22"/>
          <w:lang w:val="en-US"/>
        </w:rPr>
        <w:t xml:space="preserve"> or </w:t>
      </w:r>
      <w:proofErr w:type="spellStart"/>
      <w:r w:rsidRPr="00D35A5A">
        <w:rPr>
          <w:rFonts w:eastAsia="Calibri"/>
          <w:sz w:val="24"/>
          <w:szCs w:val="22"/>
          <w:lang w:val="en-US"/>
        </w:rPr>
        <w:t>COVAXiS</w:t>
      </w:r>
      <w:proofErr w:type="spellEnd"/>
      <w:r w:rsidRPr="00D35A5A">
        <w:rPr>
          <w:rFonts w:eastAsia="Calibri"/>
          <w:sz w:val="24"/>
          <w:szCs w:val="22"/>
          <w:lang w:val="en-US"/>
        </w:rPr>
        <w:t xml:space="preserve"> vaccination in pregnancy may be associated with blunting of the infant immune response to active immunization against pertussis. Based on current epidemiological studies, this blunting may not have clinical relevance.  </w:t>
      </w:r>
    </w:p>
    <w:p w14:paraId="096D31D0" w14:textId="52DD4A7C" w:rsidR="00D35A5A" w:rsidRPr="00D35A5A" w:rsidRDefault="00D35A5A" w:rsidP="00D35A5A">
      <w:pPr>
        <w:spacing w:after="160"/>
        <w:ind w:left="851"/>
        <w:rPr>
          <w:rFonts w:eastAsia="Calibri"/>
          <w:sz w:val="24"/>
          <w:szCs w:val="22"/>
          <w:lang w:val="en-US"/>
        </w:rPr>
      </w:pPr>
      <w:r w:rsidRPr="00D35A5A">
        <w:rPr>
          <w:rFonts w:eastAsia="Calibri"/>
          <w:sz w:val="24"/>
          <w:szCs w:val="22"/>
          <w:lang w:val="en-US"/>
        </w:rPr>
        <w:t xml:space="preserve">Data from several studies did not show any clinically relevant blunting from vaccination in pregnancy with </w:t>
      </w:r>
      <w:proofErr w:type="spellStart"/>
      <w:r w:rsidRPr="00D35A5A">
        <w:rPr>
          <w:rFonts w:eastAsia="Calibri"/>
          <w:sz w:val="24"/>
          <w:szCs w:val="22"/>
          <w:lang w:val="en-US"/>
        </w:rPr>
        <w:t>Repevax</w:t>
      </w:r>
      <w:proofErr w:type="spellEnd"/>
      <w:r w:rsidRPr="00D35A5A">
        <w:rPr>
          <w:rFonts w:eastAsia="Calibri"/>
          <w:sz w:val="24"/>
          <w:szCs w:val="22"/>
          <w:lang w:val="en-US"/>
        </w:rPr>
        <w:t xml:space="preserve"> or </w:t>
      </w:r>
      <w:proofErr w:type="spellStart"/>
      <w:r w:rsidRPr="00D35A5A">
        <w:rPr>
          <w:rFonts w:eastAsia="Calibri"/>
          <w:sz w:val="24"/>
          <w:szCs w:val="22"/>
          <w:lang w:val="en-US"/>
        </w:rPr>
        <w:t>COVAXiS</w:t>
      </w:r>
      <w:proofErr w:type="spellEnd"/>
      <w:r w:rsidRPr="00D35A5A">
        <w:rPr>
          <w:rFonts w:eastAsia="Calibri"/>
          <w:sz w:val="24"/>
          <w:szCs w:val="22"/>
          <w:lang w:val="en-US"/>
        </w:rPr>
        <w:t xml:space="preserve"> and the infants’ or toddlers’ responses to diphtheria, tetanus, </w:t>
      </w:r>
      <w:proofErr w:type="spellStart"/>
      <w:r w:rsidRPr="00D35A5A">
        <w:rPr>
          <w:rFonts w:eastAsia="Calibri"/>
          <w:i/>
          <w:iCs/>
          <w:sz w:val="24"/>
          <w:szCs w:val="22"/>
          <w:lang w:val="en-US"/>
        </w:rPr>
        <w:t>Haemophilus</w:t>
      </w:r>
      <w:proofErr w:type="spellEnd"/>
      <w:r w:rsidRPr="00D35A5A">
        <w:rPr>
          <w:rFonts w:eastAsia="Calibri"/>
          <w:sz w:val="24"/>
          <w:szCs w:val="22"/>
          <w:lang w:val="en-US"/>
        </w:rPr>
        <w:t xml:space="preserve"> </w:t>
      </w:r>
      <w:r w:rsidRPr="00D35A5A">
        <w:rPr>
          <w:rFonts w:eastAsia="Calibri"/>
          <w:i/>
          <w:iCs/>
          <w:sz w:val="24"/>
          <w:szCs w:val="22"/>
          <w:lang w:val="en-US"/>
        </w:rPr>
        <w:t>influenzae</w:t>
      </w:r>
      <w:r w:rsidRPr="00D35A5A">
        <w:rPr>
          <w:rFonts w:eastAsia="Calibri"/>
          <w:sz w:val="24"/>
          <w:szCs w:val="22"/>
          <w:lang w:val="en-US"/>
        </w:rPr>
        <w:t xml:space="preserve"> type b, inactivated poliovirus, or pneumococcal antigens.</w:t>
      </w:r>
    </w:p>
    <w:p w14:paraId="7C989A3F" w14:textId="77777777" w:rsidR="00D35A5A" w:rsidRPr="00D35A5A" w:rsidRDefault="00D35A5A" w:rsidP="00D35A5A">
      <w:pPr>
        <w:ind w:left="851"/>
        <w:rPr>
          <w:i/>
          <w:sz w:val="24"/>
          <w:szCs w:val="22"/>
          <w:lang w:val="en-US"/>
        </w:rPr>
      </w:pPr>
      <w:r w:rsidRPr="00D35A5A">
        <w:rPr>
          <w:i/>
          <w:sz w:val="24"/>
          <w:szCs w:val="22"/>
          <w:lang w:val="en-US"/>
        </w:rPr>
        <w:t>Effectiveness against pertussis in infants born to women vaccinated during pregnancy</w:t>
      </w:r>
    </w:p>
    <w:p w14:paraId="29AB84AD" w14:textId="31B6649C" w:rsidR="00D35A5A" w:rsidRPr="00D35A5A" w:rsidRDefault="00D35A5A" w:rsidP="00D35A5A">
      <w:pPr>
        <w:spacing w:after="160"/>
        <w:ind w:left="851"/>
        <w:rPr>
          <w:rFonts w:eastAsia="Calibri"/>
          <w:sz w:val="24"/>
          <w:szCs w:val="22"/>
          <w:lang w:val="en-US"/>
        </w:rPr>
      </w:pPr>
      <w:r w:rsidRPr="00D35A5A">
        <w:rPr>
          <w:rFonts w:eastAsia="Calibri"/>
          <w:sz w:val="24"/>
          <w:szCs w:val="22"/>
          <w:lang w:val="en-US"/>
        </w:rPr>
        <w:t>The vaccine effectiveness in the first 2-3 months of life for infants born to women vaccinated against pertussis during the third trimester of pregnancy has been evaluated in 3 observational studies. The overall effectiveness is &gt; 90%.</w:t>
      </w:r>
    </w:p>
    <w:p w14:paraId="340D98E5" w14:textId="77777777" w:rsidR="00D35A5A" w:rsidRPr="007B5443" w:rsidRDefault="00D35A5A" w:rsidP="00D35A5A">
      <w:pPr>
        <w:pStyle w:val="wcpTablenote"/>
        <w:spacing w:before="0"/>
        <w:ind w:left="851" w:firstLine="0"/>
        <w:rPr>
          <w:sz w:val="22"/>
          <w:szCs w:val="22"/>
          <w:lang w:val="en-GB"/>
        </w:rPr>
      </w:pPr>
    </w:p>
    <w:p w14:paraId="08AF5DF0" w14:textId="77777777" w:rsidR="00D35A5A" w:rsidRPr="007B5443" w:rsidRDefault="00D35A5A" w:rsidP="00D35A5A">
      <w:pPr>
        <w:ind w:left="851"/>
        <w:rPr>
          <w:b/>
          <w:sz w:val="22"/>
          <w:szCs w:val="22"/>
          <w:lang w:val="en-GB"/>
        </w:rPr>
      </w:pPr>
      <w:r w:rsidRPr="007B5443">
        <w:rPr>
          <w:b/>
          <w:bCs/>
          <w:sz w:val="22"/>
          <w:szCs w:val="22"/>
          <w:lang w:val="en-GB"/>
        </w:rPr>
        <w:t>Table 6: </w:t>
      </w:r>
      <w:r w:rsidRPr="007B5443">
        <w:rPr>
          <w:b/>
          <w:sz w:val="22"/>
          <w:szCs w:val="22"/>
          <w:lang w:val="en-GB"/>
        </w:rPr>
        <w:t xml:space="preserve">Vaccine effectiveness (VE) against pertussis disease in young infants born to mothers vaccinated during pregnancy with REPEVAX or </w:t>
      </w:r>
      <w:proofErr w:type="spellStart"/>
      <w:r w:rsidRPr="007B5443">
        <w:rPr>
          <w:b/>
          <w:sz w:val="22"/>
          <w:szCs w:val="22"/>
          <w:lang w:val="en-GB"/>
        </w:rPr>
        <w:t>COVAXiS</w:t>
      </w:r>
      <w:proofErr w:type="spellEnd"/>
      <w:r w:rsidRPr="007B5443">
        <w:rPr>
          <w:b/>
          <w:sz w:val="22"/>
          <w:szCs w:val="22"/>
          <w:lang w:val="en-GB"/>
        </w:rPr>
        <w:t xml:space="preserve"> in 3 retrospective studies.</w:t>
      </w:r>
    </w:p>
    <w:p w14:paraId="4AB3845F" w14:textId="77777777" w:rsidR="00D35A5A" w:rsidRPr="007B5443" w:rsidRDefault="00D35A5A" w:rsidP="00D35A5A">
      <w:pPr>
        <w:ind w:left="851"/>
        <w:rPr>
          <w:b/>
          <w:sz w:val="22"/>
          <w:szCs w:val="22"/>
          <w:lang w:val="en-GB"/>
        </w:rPr>
      </w:pPr>
    </w:p>
    <w:tbl>
      <w:tblPr>
        <w:tblW w:w="8665" w:type="dxa"/>
        <w:tblBorders>
          <w:top w:val="outset" w:sz="6" w:space="0" w:color="7B7B7B"/>
          <w:left w:val="outset" w:sz="6" w:space="0" w:color="7B7B7B"/>
          <w:bottom w:val="outset" w:sz="6" w:space="0" w:color="7B7B7B"/>
          <w:right w:val="outset" w:sz="6" w:space="0" w:color="7B7B7B"/>
        </w:tblBorders>
        <w:shd w:val="clear" w:color="auto" w:fill="FFFFFF"/>
        <w:tblCellMar>
          <w:left w:w="115" w:type="dxa"/>
          <w:right w:w="115" w:type="dxa"/>
        </w:tblCellMar>
        <w:tblLook w:val="04A0" w:firstRow="1" w:lastRow="0" w:firstColumn="1" w:lastColumn="0" w:noHBand="0" w:noVBand="1"/>
      </w:tblPr>
      <w:tblGrid>
        <w:gridCol w:w="1059"/>
        <w:gridCol w:w="1218"/>
        <w:gridCol w:w="1801"/>
        <w:gridCol w:w="2338"/>
        <w:gridCol w:w="2249"/>
      </w:tblGrid>
      <w:tr w:rsidR="00D35A5A" w:rsidRPr="007B5443" w14:paraId="0BB8D64B" w14:textId="77777777" w:rsidTr="00BD4497">
        <w:trPr>
          <w:trHeight w:val="324"/>
        </w:trPr>
        <w:tc>
          <w:tcPr>
            <w:tcW w:w="611" w:type="pct"/>
            <w:tcBorders>
              <w:top w:val="outset" w:sz="6" w:space="0" w:color="7B7B7B"/>
              <w:left w:val="outset" w:sz="6" w:space="0" w:color="7B7B7B"/>
              <w:bottom w:val="outset" w:sz="6" w:space="0" w:color="7B7B7B"/>
              <w:right w:val="outset" w:sz="6" w:space="0" w:color="7B7B7B"/>
            </w:tcBorders>
            <w:shd w:val="clear" w:color="auto" w:fill="FFFFFF"/>
            <w:vAlign w:val="center"/>
            <w:hideMark/>
          </w:tcPr>
          <w:p w14:paraId="63EA1597" w14:textId="77777777" w:rsidR="00D35A5A" w:rsidRPr="007B5443" w:rsidRDefault="00D35A5A" w:rsidP="00D35A5A">
            <w:pPr>
              <w:pStyle w:val="wcpTablenote"/>
              <w:spacing w:before="0"/>
              <w:ind w:left="851"/>
              <w:rPr>
                <w:szCs w:val="22"/>
                <w:lang w:val="en-GB"/>
              </w:rPr>
            </w:pPr>
            <w:r w:rsidRPr="007B5443">
              <w:rPr>
                <w:b/>
                <w:bCs/>
                <w:szCs w:val="22"/>
                <w:lang w:val="en-GB"/>
              </w:rPr>
              <w:t>Location</w:t>
            </w:r>
          </w:p>
        </w:tc>
        <w:tc>
          <w:tcPr>
            <w:tcW w:w="703" w:type="pct"/>
            <w:tcBorders>
              <w:top w:val="outset" w:sz="6" w:space="0" w:color="7B7B7B"/>
              <w:left w:val="outset" w:sz="6" w:space="0" w:color="7B7B7B"/>
              <w:bottom w:val="outset" w:sz="6" w:space="0" w:color="7B7B7B"/>
              <w:right w:val="outset" w:sz="6" w:space="0" w:color="7B7B7B"/>
            </w:tcBorders>
            <w:shd w:val="clear" w:color="auto" w:fill="FFFFFF"/>
            <w:vAlign w:val="center"/>
            <w:hideMark/>
          </w:tcPr>
          <w:p w14:paraId="264B1CF8" w14:textId="77777777" w:rsidR="00D35A5A" w:rsidRPr="007B5443" w:rsidRDefault="00D35A5A" w:rsidP="00D35A5A">
            <w:pPr>
              <w:pStyle w:val="wcpTablenote"/>
              <w:spacing w:before="0"/>
              <w:ind w:left="851"/>
              <w:rPr>
                <w:szCs w:val="22"/>
                <w:lang w:val="en-GB"/>
              </w:rPr>
            </w:pPr>
            <w:r w:rsidRPr="007B5443">
              <w:rPr>
                <w:b/>
                <w:bCs/>
                <w:szCs w:val="22"/>
                <w:lang w:val="en-GB"/>
              </w:rPr>
              <w:t>Vaccine</w:t>
            </w:r>
          </w:p>
        </w:tc>
        <w:tc>
          <w:tcPr>
            <w:tcW w:w="1039" w:type="pct"/>
            <w:tcBorders>
              <w:top w:val="outset" w:sz="6" w:space="0" w:color="7B7B7B"/>
              <w:left w:val="outset" w:sz="6" w:space="0" w:color="7B7B7B"/>
              <w:bottom w:val="outset" w:sz="6" w:space="0" w:color="7B7B7B"/>
              <w:right w:val="outset" w:sz="6" w:space="0" w:color="7B7B7B"/>
            </w:tcBorders>
            <w:shd w:val="clear" w:color="auto" w:fill="FFFFFF"/>
            <w:vAlign w:val="center"/>
          </w:tcPr>
          <w:p w14:paraId="2AA32B24" w14:textId="77777777" w:rsidR="00D35A5A" w:rsidRPr="007B5443" w:rsidRDefault="00D35A5A" w:rsidP="00D35A5A">
            <w:pPr>
              <w:pStyle w:val="wcpTablenote"/>
              <w:spacing w:before="0"/>
              <w:ind w:left="851"/>
              <w:rPr>
                <w:szCs w:val="22"/>
                <w:lang w:val="en-GB"/>
              </w:rPr>
            </w:pPr>
            <w:r w:rsidRPr="007B5443">
              <w:rPr>
                <w:b/>
                <w:bCs/>
                <w:szCs w:val="22"/>
                <w:lang w:val="en-GB"/>
              </w:rPr>
              <w:t>VE (95% CI)</w:t>
            </w:r>
          </w:p>
        </w:tc>
        <w:tc>
          <w:tcPr>
            <w:tcW w:w="1349" w:type="pct"/>
            <w:tcBorders>
              <w:top w:val="outset" w:sz="6" w:space="0" w:color="7B7B7B"/>
              <w:left w:val="outset" w:sz="6" w:space="0" w:color="7B7B7B"/>
              <w:bottom w:val="outset" w:sz="6" w:space="0" w:color="7B7B7B"/>
              <w:right w:val="outset" w:sz="6" w:space="0" w:color="7B7B7B"/>
            </w:tcBorders>
            <w:shd w:val="clear" w:color="auto" w:fill="FFFFFF"/>
            <w:vAlign w:val="center"/>
          </w:tcPr>
          <w:p w14:paraId="50BABDC6" w14:textId="77777777" w:rsidR="00D35A5A" w:rsidRPr="007B5443" w:rsidRDefault="00D35A5A" w:rsidP="00D35A5A">
            <w:pPr>
              <w:pStyle w:val="wcpTablenote"/>
              <w:spacing w:before="0"/>
              <w:ind w:left="851"/>
              <w:rPr>
                <w:szCs w:val="22"/>
                <w:lang w:val="en-GB"/>
              </w:rPr>
            </w:pPr>
            <w:r w:rsidRPr="007B5443">
              <w:rPr>
                <w:b/>
                <w:bCs/>
                <w:szCs w:val="22"/>
                <w:lang w:val="en-GB"/>
              </w:rPr>
              <w:t>VE estimation method</w:t>
            </w:r>
          </w:p>
        </w:tc>
        <w:tc>
          <w:tcPr>
            <w:tcW w:w="1298" w:type="pct"/>
            <w:tcBorders>
              <w:top w:val="outset" w:sz="6" w:space="0" w:color="7B7B7B"/>
              <w:left w:val="outset" w:sz="6" w:space="0" w:color="7B7B7B"/>
              <w:bottom w:val="outset" w:sz="6" w:space="0" w:color="7B7B7B"/>
              <w:right w:val="outset" w:sz="6" w:space="0" w:color="7B7B7B"/>
            </w:tcBorders>
            <w:shd w:val="clear" w:color="auto" w:fill="FFFFFF"/>
            <w:vAlign w:val="center"/>
          </w:tcPr>
          <w:p w14:paraId="270F2987" w14:textId="77777777" w:rsidR="00D35A5A" w:rsidRPr="007B5443" w:rsidRDefault="00D35A5A" w:rsidP="00D35A5A">
            <w:pPr>
              <w:pStyle w:val="wcpTablenote"/>
              <w:spacing w:before="0"/>
              <w:ind w:left="851"/>
              <w:rPr>
                <w:b/>
                <w:szCs w:val="22"/>
                <w:lang w:val="en-GB"/>
              </w:rPr>
            </w:pPr>
            <w:r w:rsidRPr="007B5443">
              <w:rPr>
                <w:b/>
                <w:szCs w:val="22"/>
                <w:lang w:val="en-GB"/>
              </w:rPr>
              <w:t>Infant follow-up period</w:t>
            </w:r>
          </w:p>
        </w:tc>
      </w:tr>
      <w:tr w:rsidR="00D35A5A" w:rsidRPr="007B5443" w14:paraId="26D49CF4" w14:textId="77777777" w:rsidTr="00BD4497">
        <w:trPr>
          <w:trHeight w:val="324"/>
        </w:trPr>
        <w:tc>
          <w:tcPr>
            <w:tcW w:w="611" w:type="pct"/>
            <w:tcBorders>
              <w:top w:val="outset" w:sz="6" w:space="0" w:color="7B7B7B"/>
              <w:left w:val="outset" w:sz="6" w:space="0" w:color="7B7B7B"/>
              <w:bottom w:val="outset" w:sz="6" w:space="0" w:color="7B7B7B"/>
              <w:right w:val="outset" w:sz="6" w:space="0" w:color="7B7B7B"/>
            </w:tcBorders>
            <w:shd w:val="clear" w:color="auto" w:fill="FFFFFF"/>
            <w:vAlign w:val="center"/>
          </w:tcPr>
          <w:p w14:paraId="4D01C234" w14:textId="77777777" w:rsidR="00D35A5A" w:rsidRPr="007B5443" w:rsidRDefault="00D35A5A" w:rsidP="00D35A5A">
            <w:pPr>
              <w:pStyle w:val="wcpTablenote"/>
              <w:spacing w:before="0"/>
              <w:ind w:left="851"/>
              <w:rPr>
                <w:b/>
                <w:bCs/>
                <w:szCs w:val="22"/>
                <w:lang w:val="en-GB"/>
              </w:rPr>
            </w:pPr>
            <w:r w:rsidRPr="007B5443">
              <w:rPr>
                <w:b/>
                <w:bCs/>
                <w:szCs w:val="22"/>
                <w:lang w:val="en-GB"/>
              </w:rPr>
              <w:t>UK</w:t>
            </w:r>
          </w:p>
        </w:tc>
        <w:tc>
          <w:tcPr>
            <w:tcW w:w="703" w:type="pct"/>
            <w:tcBorders>
              <w:top w:val="outset" w:sz="6" w:space="0" w:color="7B7B7B"/>
              <w:left w:val="outset" w:sz="6" w:space="0" w:color="7B7B7B"/>
              <w:bottom w:val="outset" w:sz="6" w:space="0" w:color="7B7B7B"/>
              <w:right w:val="outset" w:sz="6" w:space="0" w:color="7B7B7B"/>
            </w:tcBorders>
            <w:shd w:val="clear" w:color="auto" w:fill="FFFFFF"/>
            <w:vAlign w:val="center"/>
          </w:tcPr>
          <w:p w14:paraId="57841F41" w14:textId="77777777" w:rsidR="00D35A5A" w:rsidRPr="007B5443" w:rsidRDefault="00D35A5A" w:rsidP="00D35A5A">
            <w:pPr>
              <w:pStyle w:val="wcpTablenote"/>
              <w:spacing w:before="0"/>
              <w:ind w:left="851"/>
              <w:rPr>
                <w:iCs/>
                <w:szCs w:val="22"/>
                <w:lang w:val="en-GB"/>
              </w:rPr>
            </w:pPr>
            <w:r w:rsidRPr="007B5443">
              <w:rPr>
                <w:iCs/>
                <w:szCs w:val="22"/>
                <w:lang w:val="en-GB"/>
              </w:rPr>
              <w:t>REPEVAX</w:t>
            </w:r>
          </w:p>
        </w:tc>
        <w:tc>
          <w:tcPr>
            <w:tcW w:w="1039" w:type="pct"/>
            <w:tcBorders>
              <w:top w:val="outset" w:sz="6" w:space="0" w:color="7B7B7B"/>
              <w:left w:val="outset" w:sz="6" w:space="0" w:color="7B7B7B"/>
              <w:bottom w:val="outset" w:sz="6" w:space="0" w:color="7B7B7B"/>
              <w:right w:val="outset" w:sz="6" w:space="0" w:color="7B7B7B"/>
            </w:tcBorders>
            <w:shd w:val="clear" w:color="auto" w:fill="FFFFFF"/>
            <w:vAlign w:val="center"/>
          </w:tcPr>
          <w:p w14:paraId="02AFDCB4" w14:textId="77777777" w:rsidR="00D35A5A" w:rsidRPr="007B5443" w:rsidRDefault="00D35A5A" w:rsidP="00D35A5A">
            <w:pPr>
              <w:pStyle w:val="wcpTablenote"/>
              <w:spacing w:before="0"/>
              <w:ind w:left="851"/>
              <w:rPr>
                <w:szCs w:val="22"/>
                <w:lang w:val="en-GB"/>
              </w:rPr>
            </w:pPr>
            <w:r w:rsidRPr="007B5443">
              <w:rPr>
                <w:szCs w:val="22"/>
                <w:lang w:val="en-GB"/>
              </w:rPr>
              <w:t>93% (81, 97)</w:t>
            </w:r>
          </w:p>
        </w:tc>
        <w:tc>
          <w:tcPr>
            <w:tcW w:w="1349" w:type="pct"/>
            <w:tcBorders>
              <w:top w:val="outset" w:sz="6" w:space="0" w:color="7B7B7B"/>
              <w:left w:val="outset" w:sz="6" w:space="0" w:color="7B7B7B"/>
              <w:bottom w:val="outset" w:sz="6" w:space="0" w:color="7B7B7B"/>
              <w:right w:val="outset" w:sz="6" w:space="0" w:color="7B7B7B"/>
            </w:tcBorders>
            <w:shd w:val="clear" w:color="auto" w:fill="FFFFFF"/>
            <w:vAlign w:val="center"/>
          </w:tcPr>
          <w:p w14:paraId="2FB2A1EF" w14:textId="77777777" w:rsidR="00D35A5A" w:rsidRPr="007B5443" w:rsidRDefault="00D35A5A" w:rsidP="00D35A5A">
            <w:pPr>
              <w:pStyle w:val="wcpTablenote"/>
              <w:spacing w:before="0"/>
              <w:ind w:left="851"/>
              <w:rPr>
                <w:szCs w:val="22"/>
                <w:lang w:val="en-GB"/>
              </w:rPr>
            </w:pPr>
            <w:r w:rsidRPr="007B5443">
              <w:rPr>
                <w:szCs w:val="22"/>
                <w:lang w:val="en-GB"/>
              </w:rPr>
              <w:t>unmatched case-control</w:t>
            </w:r>
          </w:p>
        </w:tc>
        <w:tc>
          <w:tcPr>
            <w:tcW w:w="1298" w:type="pct"/>
            <w:tcBorders>
              <w:top w:val="outset" w:sz="6" w:space="0" w:color="7B7B7B"/>
              <w:left w:val="outset" w:sz="6" w:space="0" w:color="7B7B7B"/>
              <w:bottom w:val="outset" w:sz="6" w:space="0" w:color="7B7B7B"/>
              <w:right w:val="outset" w:sz="6" w:space="0" w:color="7B7B7B"/>
            </w:tcBorders>
            <w:shd w:val="clear" w:color="auto" w:fill="FFFFFF"/>
            <w:vAlign w:val="center"/>
          </w:tcPr>
          <w:p w14:paraId="72FB1EAC" w14:textId="77777777" w:rsidR="00D35A5A" w:rsidRPr="007B5443" w:rsidRDefault="00D35A5A" w:rsidP="00D35A5A">
            <w:pPr>
              <w:pStyle w:val="wcpTablenote"/>
              <w:spacing w:before="0"/>
              <w:ind w:left="851"/>
              <w:rPr>
                <w:szCs w:val="22"/>
                <w:lang w:val="en-GB"/>
              </w:rPr>
            </w:pPr>
            <w:r>
              <w:rPr>
                <w:szCs w:val="22"/>
                <w:lang w:val="en-GB"/>
              </w:rPr>
              <w:t>2</w:t>
            </w:r>
            <w:r w:rsidRPr="007B5443">
              <w:rPr>
                <w:szCs w:val="22"/>
                <w:lang w:val="en-GB"/>
              </w:rPr>
              <w:t xml:space="preserve"> months</w:t>
            </w:r>
          </w:p>
        </w:tc>
      </w:tr>
      <w:tr w:rsidR="00D35A5A" w:rsidRPr="007B5443" w14:paraId="0BB787E8" w14:textId="77777777" w:rsidTr="00BD4497">
        <w:trPr>
          <w:trHeight w:val="324"/>
        </w:trPr>
        <w:tc>
          <w:tcPr>
            <w:tcW w:w="611" w:type="pct"/>
            <w:tcBorders>
              <w:top w:val="outset" w:sz="6" w:space="0" w:color="7B7B7B"/>
              <w:left w:val="outset" w:sz="6" w:space="0" w:color="7B7B7B"/>
              <w:bottom w:val="outset" w:sz="6" w:space="0" w:color="7B7B7B"/>
              <w:right w:val="outset" w:sz="6" w:space="0" w:color="7B7B7B"/>
            </w:tcBorders>
            <w:shd w:val="clear" w:color="auto" w:fill="FFFFFF"/>
            <w:vAlign w:val="center"/>
          </w:tcPr>
          <w:p w14:paraId="459608D8" w14:textId="77777777" w:rsidR="00D35A5A" w:rsidRPr="007B5443" w:rsidRDefault="00D35A5A" w:rsidP="00D35A5A">
            <w:pPr>
              <w:pStyle w:val="wcpTablenote"/>
              <w:spacing w:before="0"/>
              <w:ind w:left="851"/>
              <w:rPr>
                <w:b/>
                <w:szCs w:val="22"/>
                <w:lang w:val="en-GB"/>
              </w:rPr>
            </w:pPr>
            <w:r w:rsidRPr="007B5443">
              <w:rPr>
                <w:b/>
                <w:bCs/>
                <w:szCs w:val="22"/>
                <w:lang w:val="en-GB"/>
              </w:rPr>
              <w:t>US</w:t>
            </w:r>
          </w:p>
        </w:tc>
        <w:tc>
          <w:tcPr>
            <w:tcW w:w="703" w:type="pct"/>
            <w:tcBorders>
              <w:top w:val="outset" w:sz="6" w:space="0" w:color="7B7B7B"/>
              <w:left w:val="outset" w:sz="6" w:space="0" w:color="7B7B7B"/>
              <w:bottom w:val="outset" w:sz="6" w:space="0" w:color="7B7B7B"/>
              <w:right w:val="outset" w:sz="6" w:space="0" w:color="7B7B7B"/>
            </w:tcBorders>
            <w:shd w:val="clear" w:color="auto" w:fill="FFFFFF"/>
            <w:vAlign w:val="center"/>
          </w:tcPr>
          <w:p w14:paraId="27DE15E5" w14:textId="77777777" w:rsidR="00D35A5A" w:rsidRPr="007B5443" w:rsidRDefault="00D35A5A" w:rsidP="00D35A5A">
            <w:pPr>
              <w:pStyle w:val="wcpTablenote"/>
              <w:spacing w:before="0"/>
              <w:ind w:left="851"/>
              <w:rPr>
                <w:szCs w:val="22"/>
                <w:lang w:val="en-GB"/>
              </w:rPr>
            </w:pPr>
            <w:proofErr w:type="spellStart"/>
            <w:r w:rsidRPr="007B5443">
              <w:rPr>
                <w:iCs/>
                <w:szCs w:val="22"/>
                <w:lang w:val="en-GB"/>
              </w:rPr>
              <w:t>COVAXiS</w:t>
            </w:r>
            <w:proofErr w:type="spellEnd"/>
            <w:r w:rsidRPr="007B5443">
              <w:rPr>
                <w:iCs/>
                <w:szCs w:val="22"/>
                <w:lang w:val="en-GB"/>
              </w:rPr>
              <w:t>*</w:t>
            </w:r>
          </w:p>
        </w:tc>
        <w:tc>
          <w:tcPr>
            <w:tcW w:w="1039" w:type="pct"/>
            <w:tcBorders>
              <w:top w:val="outset" w:sz="6" w:space="0" w:color="7B7B7B"/>
              <w:left w:val="outset" w:sz="6" w:space="0" w:color="7B7B7B"/>
              <w:bottom w:val="outset" w:sz="6" w:space="0" w:color="7B7B7B"/>
              <w:right w:val="outset" w:sz="6" w:space="0" w:color="7B7B7B"/>
            </w:tcBorders>
            <w:shd w:val="clear" w:color="auto" w:fill="FFFFFF"/>
            <w:vAlign w:val="center"/>
          </w:tcPr>
          <w:p w14:paraId="0DFABA5A" w14:textId="77777777" w:rsidR="00D35A5A" w:rsidRPr="007B5443" w:rsidRDefault="00D35A5A" w:rsidP="00D35A5A">
            <w:pPr>
              <w:pStyle w:val="wcpTablenote"/>
              <w:spacing w:before="0"/>
              <w:ind w:left="851"/>
              <w:rPr>
                <w:szCs w:val="22"/>
                <w:lang w:val="en-GB"/>
              </w:rPr>
            </w:pPr>
            <w:r w:rsidRPr="007B5443">
              <w:rPr>
                <w:szCs w:val="22"/>
                <w:lang w:val="en-GB"/>
              </w:rPr>
              <w:t>91.4% (19.5, 99.1)</w:t>
            </w:r>
          </w:p>
        </w:tc>
        <w:tc>
          <w:tcPr>
            <w:tcW w:w="1349" w:type="pct"/>
            <w:tcBorders>
              <w:top w:val="outset" w:sz="6" w:space="0" w:color="7B7B7B"/>
              <w:left w:val="outset" w:sz="6" w:space="0" w:color="7B7B7B"/>
              <w:bottom w:val="outset" w:sz="6" w:space="0" w:color="7B7B7B"/>
              <w:right w:val="outset" w:sz="6" w:space="0" w:color="7B7B7B"/>
            </w:tcBorders>
            <w:shd w:val="clear" w:color="auto" w:fill="FFFFFF"/>
            <w:vAlign w:val="center"/>
          </w:tcPr>
          <w:p w14:paraId="66CBBF19" w14:textId="77777777" w:rsidR="00D35A5A" w:rsidRPr="007B5443" w:rsidRDefault="00D35A5A" w:rsidP="00D35A5A">
            <w:pPr>
              <w:pStyle w:val="wcpTablenote"/>
              <w:spacing w:before="0"/>
              <w:ind w:left="851"/>
              <w:rPr>
                <w:szCs w:val="22"/>
                <w:lang w:val="en-GB"/>
              </w:rPr>
            </w:pPr>
            <w:r w:rsidRPr="007B5443">
              <w:rPr>
                <w:szCs w:val="22"/>
                <w:lang w:val="en-GB"/>
              </w:rPr>
              <w:t>cohort regression model</w:t>
            </w:r>
          </w:p>
        </w:tc>
        <w:tc>
          <w:tcPr>
            <w:tcW w:w="1298" w:type="pct"/>
            <w:tcBorders>
              <w:top w:val="outset" w:sz="6" w:space="0" w:color="7B7B7B"/>
              <w:left w:val="outset" w:sz="6" w:space="0" w:color="7B7B7B"/>
              <w:bottom w:val="outset" w:sz="6" w:space="0" w:color="7B7B7B"/>
              <w:right w:val="outset" w:sz="6" w:space="0" w:color="7B7B7B"/>
            </w:tcBorders>
            <w:shd w:val="clear" w:color="auto" w:fill="FFFFFF"/>
            <w:vAlign w:val="center"/>
          </w:tcPr>
          <w:p w14:paraId="316F08F6" w14:textId="77777777" w:rsidR="00D35A5A" w:rsidRPr="007B5443" w:rsidRDefault="00D35A5A" w:rsidP="00D35A5A">
            <w:pPr>
              <w:pStyle w:val="wcpTablenote"/>
              <w:spacing w:before="0"/>
              <w:ind w:left="851"/>
              <w:rPr>
                <w:szCs w:val="22"/>
                <w:lang w:val="en-GB"/>
              </w:rPr>
            </w:pPr>
            <w:r w:rsidRPr="007B5443">
              <w:rPr>
                <w:szCs w:val="22"/>
                <w:lang w:val="en-GB"/>
              </w:rPr>
              <w:t>2 months</w:t>
            </w:r>
          </w:p>
        </w:tc>
      </w:tr>
      <w:tr w:rsidR="00D35A5A" w:rsidRPr="007B5443" w14:paraId="5CB69E46" w14:textId="77777777" w:rsidTr="00BD4497">
        <w:trPr>
          <w:trHeight w:val="324"/>
        </w:trPr>
        <w:tc>
          <w:tcPr>
            <w:tcW w:w="611" w:type="pct"/>
            <w:tcBorders>
              <w:top w:val="outset" w:sz="6" w:space="0" w:color="7B7B7B"/>
              <w:left w:val="outset" w:sz="6" w:space="0" w:color="7B7B7B"/>
              <w:bottom w:val="outset" w:sz="6" w:space="0" w:color="7B7B7B"/>
              <w:right w:val="outset" w:sz="6" w:space="0" w:color="7B7B7B"/>
            </w:tcBorders>
            <w:shd w:val="clear" w:color="auto" w:fill="FFFFFF"/>
            <w:vAlign w:val="center"/>
          </w:tcPr>
          <w:p w14:paraId="1AE58E26" w14:textId="77777777" w:rsidR="00D35A5A" w:rsidRPr="007B5443" w:rsidRDefault="00D35A5A" w:rsidP="00D35A5A">
            <w:pPr>
              <w:pStyle w:val="wcpTablenote"/>
              <w:spacing w:before="0"/>
              <w:ind w:left="851"/>
              <w:rPr>
                <w:b/>
                <w:szCs w:val="22"/>
                <w:lang w:val="en-GB"/>
              </w:rPr>
            </w:pPr>
            <w:r w:rsidRPr="007B5443">
              <w:rPr>
                <w:b/>
                <w:bCs/>
                <w:szCs w:val="22"/>
                <w:lang w:val="en-GB"/>
              </w:rPr>
              <w:t>UK</w:t>
            </w:r>
          </w:p>
        </w:tc>
        <w:tc>
          <w:tcPr>
            <w:tcW w:w="703" w:type="pct"/>
            <w:tcBorders>
              <w:top w:val="outset" w:sz="6" w:space="0" w:color="7B7B7B"/>
              <w:left w:val="outset" w:sz="6" w:space="0" w:color="7B7B7B"/>
              <w:bottom w:val="outset" w:sz="6" w:space="0" w:color="7B7B7B"/>
              <w:right w:val="outset" w:sz="6" w:space="0" w:color="7B7B7B"/>
            </w:tcBorders>
            <w:shd w:val="clear" w:color="auto" w:fill="FFFFFF"/>
            <w:vAlign w:val="center"/>
          </w:tcPr>
          <w:p w14:paraId="738B0A7D" w14:textId="77777777" w:rsidR="00D35A5A" w:rsidRPr="007B5443" w:rsidRDefault="00D35A5A" w:rsidP="00D35A5A">
            <w:pPr>
              <w:pStyle w:val="wcpTablenote"/>
              <w:spacing w:before="0"/>
              <w:ind w:left="851"/>
              <w:rPr>
                <w:szCs w:val="22"/>
                <w:lang w:val="en-GB"/>
              </w:rPr>
            </w:pPr>
            <w:r w:rsidRPr="007B5443">
              <w:rPr>
                <w:iCs/>
                <w:szCs w:val="22"/>
                <w:lang w:val="en-GB"/>
              </w:rPr>
              <w:t>REPEVAX</w:t>
            </w:r>
          </w:p>
        </w:tc>
        <w:tc>
          <w:tcPr>
            <w:tcW w:w="1039" w:type="pct"/>
            <w:tcBorders>
              <w:top w:val="outset" w:sz="6" w:space="0" w:color="7B7B7B"/>
              <w:left w:val="outset" w:sz="6" w:space="0" w:color="7B7B7B"/>
              <w:bottom w:val="outset" w:sz="6" w:space="0" w:color="7B7B7B"/>
              <w:right w:val="outset" w:sz="6" w:space="0" w:color="7B7B7B"/>
            </w:tcBorders>
            <w:shd w:val="clear" w:color="auto" w:fill="FFFFFF"/>
            <w:vAlign w:val="center"/>
          </w:tcPr>
          <w:p w14:paraId="381E5093" w14:textId="77777777" w:rsidR="00D35A5A" w:rsidRPr="007B5443" w:rsidRDefault="00D35A5A" w:rsidP="00D35A5A">
            <w:pPr>
              <w:pStyle w:val="wcpTablenote"/>
              <w:spacing w:before="0"/>
              <w:ind w:left="851"/>
              <w:rPr>
                <w:szCs w:val="22"/>
                <w:lang w:val="en-GB"/>
              </w:rPr>
            </w:pPr>
            <w:r w:rsidRPr="007B5443">
              <w:rPr>
                <w:szCs w:val="22"/>
                <w:lang w:val="en-GB"/>
              </w:rPr>
              <w:t>93% (89, 95)</w:t>
            </w:r>
          </w:p>
        </w:tc>
        <w:tc>
          <w:tcPr>
            <w:tcW w:w="1349" w:type="pct"/>
            <w:tcBorders>
              <w:top w:val="outset" w:sz="6" w:space="0" w:color="7B7B7B"/>
              <w:left w:val="outset" w:sz="6" w:space="0" w:color="7B7B7B"/>
              <w:bottom w:val="outset" w:sz="6" w:space="0" w:color="7B7B7B"/>
              <w:right w:val="outset" w:sz="6" w:space="0" w:color="7B7B7B"/>
            </w:tcBorders>
            <w:shd w:val="clear" w:color="auto" w:fill="FFFFFF"/>
            <w:vAlign w:val="center"/>
          </w:tcPr>
          <w:p w14:paraId="7E05F848" w14:textId="77777777" w:rsidR="00D35A5A" w:rsidRPr="007B5443" w:rsidRDefault="00D35A5A" w:rsidP="00D35A5A">
            <w:pPr>
              <w:pStyle w:val="wcpTablenote"/>
              <w:spacing w:before="0"/>
              <w:ind w:left="851"/>
              <w:rPr>
                <w:szCs w:val="22"/>
                <w:lang w:val="en-GB"/>
              </w:rPr>
            </w:pPr>
            <w:r w:rsidRPr="007B5443">
              <w:rPr>
                <w:szCs w:val="22"/>
                <w:lang w:val="en-GB"/>
              </w:rPr>
              <w:t>screening (case-coverage)</w:t>
            </w:r>
          </w:p>
        </w:tc>
        <w:tc>
          <w:tcPr>
            <w:tcW w:w="1298" w:type="pct"/>
            <w:tcBorders>
              <w:top w:val="outset" w:sz="6" w:space="0" w:color="7B7B7B"/>
              <w:left w:val="outset" w:sz="6" w:space="0" w:color="7B7B7B"/>
              <w:bottom w:val="outset" w:sz="6" w:space="0" w:color="7B7B7B"/>
              <w:right w:val="outset" w:sz="6" w:space="0" w:color="7B7B7B"/>
            </w:tcBorders>
            <w:shd w:val="clear" w:color="auto" w:fill="FFFFFF"/>
            <w:vAlign w:val="center"/>
          </w:tcPr>
          <w:p w14:paraId="4612DD0A" w14:textId="77777777" w:rsidR="00D35A5A" w:rsidRPr="007B5443" w:rsidRDefault="00D35A5A" w:rsidP="00D35A5A">
            <w:pPr>
              <w:pStyle w:val="wcpTablenote"/>
              <w:spacing w:before="0"/>
              <w:ind w:left="851"/>
              <w:rPr>
                <w:szCs w:val="22"/>
                <w:lang w:val="en-GB"/>
              </w:rPr>
            </w:pPr>
            <w:r w:rsidRPr="007B5443">
              <w:rPr>
                <w:szCs w:val="22"/>
                <w:lang w:val="en-GB"/>
              </w:rPr>
              <w:t>3 months</w:t>
            </w:r>
          </w:p>
        </w:tc>
      </w:tr>
      <w:tr w:rsidR="00D35A5A" w:rsidRPr="00BC706D" w14:paraId="6D0D4900" w14:textId="77777777" w:rsidTr="00BD4497">
        <w:trPr>
          <w:trHeight w:val="324"/>
        </w:trPr>
        <w:tc>
          <w:tcPr>
            <w:tcW w:w="5000" w:type="pct"/>
            <w:gridSpan w:val="5"/>
            <w:tcBorders>
              <w:top w:val="outset" w:sz="6" w:space="0" w:color="7B7B7B"/>
              <w:left w:val="nil"/>
              <w:bottom w:val="nil"/>
              <w:right w:val="nil"/>
            </w:tcBorders>
            <w:shd w:val="clear" w:color="auto" w:fill="FFFFFF"/>
            <w:vAlign w:val="center"/>
          </w:tcPr>
          <w:p w14:paraId="64E2D4DF" w14:textId="77777777" w:rsidR="00D35A5A" w:rsidRPr="007B5443" w:rsidRDefault="00D35A5A" w:rsidP="00D35A5A">
            <w:pPr>
              <w:pStyle w:val="wcpTablenote"/>
              <w:spacing w:before="0"/>
              <w:ind w:left="851"/>
              <w:rPr>
                <w:sz w:val="18"/>
                <w:szCs w:val="18"/>
                <w:lang w:val="en-GB"/>
              </w:rPr>
            </w:pPr>
            <w:r w:rsidRPr="007B5443">
              <w:rPr>
                <w:sz w:val="18"/>
                <w:szCs w:val="18"/>
                <w:lang w:val="en-GB"/>
              </w:rPr>
              <w:t>*</w:t>
            </w:r>
            <w:r>
              <w:t xml:space="preserve"> </w:t>
            </w:r>
            <w:r w:rsidRPr="0076694C">
              <w:rPr>
                <w:sz w:val="18"/>
                <w:szCs w:val="18"/>
                <w:lang w:val="en-GB"/>
              </w:rPr>
              <w:t xml:space="preserve">Approximately </w:t>
            </w:r>
            <w:r>
              <w:rPr>
                <w:sz w:val="18"/>
                <w:szCs w:val="18"/>
                <w:lang w:val="en-GB"/>
              </w:rPr>
              <w:t>99</w:t>
            </w:r>
            <w:r w:rsidRPr="0076694C">
              <w:rPr>
                <w:sz w:val="18"/>
                <w:szCs w:val="18"/>
                <w:lang w:val="en-GB"/>
              </w:rPr>
              <w:t xml:space="preserve">% of women were vaccinated with </w:t>
            </w:r>
            <w:proofErr w:type="spellStart"/>
            <w:r w:rsidRPr="0076694C">
              <w:rPr>
                <w:sz w:val="18"/>
                <w:szCs w:val="18"/>
                <w:lang w:val="en-GB"/>
              </w:rPr>
              <w:t>COVAXiS</w:t>
            </w:r>
            <w:proofErr w:type="spellEnd"/>
          </w:p>
        </w:tc>
      </w:tr>
    </w:tbl>
    <w:p w14:paraId="66777DC0" w14:textId="77777777" w:rsidR="007C5D2A" w:rsidRPr="00B108A6" w:rsidRDefault="007C5D2A" w:rsidP="00331F85">
      <w:pPr>
        <w:tabs>
          <w:tab w:val="left" w:pos="851"/>
        </w:tabs>
        <w:ind w:left="851"/>
        <w:rPr>
          <w:sz w:val="24"/>
          <w:szCs w:val="24"/>
          <w:lang w:val="en-GB"/>
        </w:rPr>
      </w:pPr>
    </w:p>
    <w:p w14:paraId="11201B06" w14:textId="77777777" w:rsidR="007C5D2A" w:rsidRPr="00B108A6" w:rsidRDefault="007C5D2A" w:rsidP="00331F85">
      <w:pPr>
        <w:tabs>
          <w:tab w:val="left" w:pos="851"/>
        </w:tabs>
        <w:ind w:left="851" w:hanging="851"/>
        <w:rPr>
          <w:b/>
          <w:sz w:val="24"/>
          <w:szCs w:val="24"/>
          <w:lang w:val="en-GB"/>
        </w:rPr>
      </w:pPr>
      <w:r w:rsidRPr="00B108A6">
        <w:rPr>
          <w:b/>
          <w:sz w:val="24"/>
          <w:szCs w:val="24"/>
          <w:lang w:val="en-GB"/>
        </w:rPr>
        <w:t>5.2</w:t>
      </w:r>
      <w:r w:rsidRPr="00B108A6">
        <w:rPr>
          <w:b/>
          <w:sz w:val="24"/>
          <w:szCs w:val="24"/>
          <w:lang w:val="en-GB"/>
        </w:rPr>
        <w:tab/>
        <w:t>Pharmacokinetic properties</w:t>
      </w:r>
      <w:r w:rsidRPr="00B108A6">
        <w:rPr>
          <w:b/>
          <w:sz w:val="24"/>
          <w:szCs w:val="24"/>
          <w:lang w:val="en-GB"/>
        </w:rPr>
        <w:tab/>
      </w:r>
    </w:p>
    <w:p w14:paraId="139C6377" w14:textId="77777777" w:rsidR="00D853AB" w:rsidRPr="00B108A6" w:rsidRDefault="00D853AB" w:rsidP="00331F85">
      <w:pPr>
        <w:ind w:left="851"/>
        <w:rPr>
          <w:sz w:val="24"/>
          <w:szCs w:val="24"/>
          <w:lang w:val="en-GB"/>
        </w:rPr>
      </w:pPr>
      <w:r w:rsidRPr="00B108A6">
        <w:rPr>
          <w:sz w:val="24"/>
          <w:szCs w:val="24"/>
          <w:lang w:val="en-GB"/>
        </w:rPr>
        <w:t>Evaluation of pharmacokinetic properties is not required for vaccines.</w:t>
      </w:r>
    </w:p>
    <w:p w14:paraId="41A58789" w14:textId="77777777" w:rsidR="007C5D2A" w:rsidRPr="00B108A6" w:rsidRDefault="007C5D2A" w:rsidP="00331F85">
      <w:pPr>
        <w:tabs>
          <w:tab w:val="left" w:pos="851"/>
        </w:tabs>
        <w:ind w:left="851"/>
        <w:rPr>
          <w:sz w:val="24"/>
          <w:szCs w:val="24"/>
          <w:lang w:val="en-GB"/>
        </w:rPr>
      </w:pPr>
    </w:p>
    <w:p w14:paraId="064D706F" w14:textId="77777777" w:rsidR="007C5D2A" w:rsidRPr="00B108A6" w:rsidRDefault="00180A12" w:rsidP="00331F85">
      <w:pPr>
        <w:tabs>
          <w:tab w:val="left" w:pos="851"/>
        </w:tabs>
        <w:ind w:left="851" w:hanging="851"/>
        <w:rPr>
          <w:b/>
          <w:sz w:val="24"/>
          <w:szCs w:val="24"/>
          <w:lang w:val="en-GB"/>
        </w:rPr>
      </w:pPr>
      <w:r w:rsidRPr="00B108A6">
        <w:rPr>
          <w:b/>
          <w:sz w:val="24"/>
          <w:szCs w:val="24"/>
          <w:lang w:val="en-GB"/>
        </w:rPr>
        <w:t>5.3</w:t>
      </w:r>
      <w:r w:rsidRPr="00B108A6">
        <w:rPr>
          <w:b/>
          <w:sz w:val="24"/>
          <w:szCs w:val="24"/>
          <w:lang w:val="en-GB"/>
        </w:rPr>
        <w:tab/>
        <w:t>Preclinical safety data</w:t>
      </w:r>
    </w:p>
    <w:p w14:paraId="3A74D8F2" w14:textId="77777777" w:rsidR="00D853AB" w:rsidRPr="00B108A6" w:rsidRDefault="00D853AB" w:rsidP="00331F85">
      <w:pPr>
        <w:ind w:left="851"/>
        <w:rPr>
          <w:sz w:val="24"/>
          <w:szCs w:val="24"/>
          <w:lang w:val="en-GB"/>
        </w:rPr>
      </w:pPr>
      <w:r w:rsidRPr="00B108A6">
        <w:rPr>
          <w:sz w:val="24"/>
          <w:szCs w:val="24"/>
          <w:lang w:val="en-GB"/>
        </w:rPr>
        <w:t>Non-clinical data revealed no special hazard for humans based on conventional studies of repeated doses toxicity.</w:t>
      </w:r>
    </w:p>
    <w:p w14:paraId="7E3917C7" w14:textId="77777777" w:rsidR="007C5D2A" w:rsidRPr="00B108A6" w:rsidRDefault="007C5D2A" w:rsidP="00331F85">
      <w:pPr>
        <w:tabs>
          <w:tab w:val="left" w:pos="851"/>
        </w:tabs>
        <w:ind w:left="851"/>
        <w:rPr>
          <w:sz w:val="24"/>
          <w:szCs w:val="24"/>
          <w:lang w:val="en-GB"/>
        </w:rPr>
      </w:pPr>
    </w:p>
    <w:p w14:paraId="6F5234FC" w14:textId="77777777" w:rsidR="007C5D2A" w:rsidRPr="00B108A6" w:rsidRDefault="007C5D2A" w:rsidP="00331F85">
      <w:pPr>
        <w:tabs>
          <w:tab w:val="left" w:pos="851"/>
        </w:tabs>
        <w:ind w:left="851"/>
        <w:rPr>
          <w:sz w:val="24"/>
          <w:szCs w:val="24"/>
          <w:lang w:val="en-GB"/>
        </w:rPr>
      </w:pPr>
    </w:p>
    <w:p w14:paraId="3FC7A5F4" w14:textId="77777777" w:rsidR="007C5D2A" w:rsidRPr="00B108A6" w:rsidRDefault="009925C9" w:rsidP="00331F85">
      <w:pPr>
        <w:ind w:left="851" w:hanging="851"/>
        <w:rPr>
          <w:b/>
          <w:sz w:val="24"/>
          <w:szCs w:val="24"/>
          <w:lang w:val="en-GB"/>
        </w:rPr>
      </w:pPr>
      <w:r w:rsidRPr="00B108A6">
        <w:rPr>
          <w:b/>
          <w:sz w:val="24"/>
          <w:szCs w:val="24"/>
          <w:lang w:val="en-GB"/>
        </w:rPr>
        <w:t>6.</w:t>
      </w:r>
      <w:r w:rsidR="007C5D2A" w:rsidRPr="00B108A6">
        <w:rPr>
          <w:b/>
          <w:sz w:val="24"/>
          <w:szCs w:val="24"/>
          <w:lang w:val="en-GB"/>
        </w:rPr>
        <w:tab/>
        <w:t>PHARMACEUTICAL PARTICULARS</w:t>
      </w:r>
    </w:p>
    <w:p w14:paraId="69364599" w14:textId="77777777" w:rsidR="007C5D2A" w:rsidRPr="00B108A6" w:rsidRDefault="007C5D2A" w:rsidP="00331F85">
      <w:pPr>
        <w:tabs>
          <w:tab w:val="left" w:pos="851"/>
        </w:tabs>
        <w:ind w:left="851"/>
        <w:rPr>
          <w:sz w:val="24"/>
          <w:szCs w:val="24"/>
          <w:lang w:val="en-GB"/>
        </w:rPr>
      </w:pPr>
    </w:p>
    <w:p w14:paraId="6218F51E" w14:textId="77777777" w:rsidR="007C5D2A" w:rsidRPr="00B108A6" w:rsidRDefault="007C5D2A" w:rsidP="00331F85">
      <w:pPr>
        <w:ind w:left="851" w:hanging="851"/>
        <w:rPr>
          <w:b/>
          <w:sz w:val="24"/>
          <w:szCs w:val="24"/>
          <w:lang w:val="en-GB"/>
        </w:rPr>
      </w:pPr>
      <w:r w:rsidRPr="00B108A6">
        <w:rPr>
          <w:b/>
          <w:sz w:val="24"/>
          <w:szCs w:val="24"/>
          <w:lang w:val="en-GB"/>
        </w:rPr>
        <w:t>6.1</w:t>
      </w:r>
      <w:r w:rsidRPr="00B108A6">
        <w:rPr>
          <w:b/>
          <w:sz w:val="24"/>
          <w:szCs w:val="24"/>
          <w:lang w:val="en-GB"/>
        </w:rPr>
        <w:tab/>
        <w:t>List of excipients</w:t>
      </w:r>
    </w:p>
    <w:p w14:paraId="72870AA7" w14:textId="77777777" w:rsidR="00D853AB" w:rsidRPr="00B108A6" w:rsidRDefault="00D853AB" w:rsidP="00331F85">
      <w:pPr>
        <w:ind w:left="851"/>
        <w:rPr>
          <w:sz w:val="24"/>
          <w:szCs w:val="24"/>
          <w:lang w:val="en-GB"/>
        </w:rPr>
      </w:pPr>
      <w:r w:rsidRPr="00B108A6">
        <w:rPr>
          <w:sz w:val="24"/>
          <w:szCs w:val="24"/>
          <w:lang w:val="en-GB"/>
        </w:rPr>
        <w:t xml:space="preserve">Phenoxyethanol </w:t>
      </w:r>
      <w:r w:rsidRPr="00B108A6">
        <w:rPr>
          <w:sz w:val="24"/>
          <w:szCs w:val="24"/>
          <w:lang w:val="en-GB"/>
        </w:rPr>
        <w:br/>
        <w:t xml:space="preserve">Ethanol </w:t>
      </w:r>
      <w:r w:rsidRPr="00B108A6">
        <w:rPr>
          <w:sz w:val="24"/>
          <w:szCs w:val="24"/>
          <w:lang w:val="en-GB"/>
        </w:rPr>
        <w:br/>
        <w:t>Polysorbate 80</w:t>
      </w:r>
      <w:r w:rsidRPr="00B108A6">
        <w:rPr>
          <w:sz w:val="24"/>
          <w:szCs w:val="24"/>
          <w:lang w:val="en-GB"/>
        </w:rPr>
        <w:br/>
        <w:t>Water for injections</w:t>
      </w:r>
    </w:p>
    <w:p w14:paraId="41B0AC8B" w14:textId="77777777" w:rsidR="00D853AB" w:rsidRPr="00B108A6" w:rsidRDefault="00D853AB" w:rsidP="00331F85">
      <w:pPr>
        <w:ind w:left="851"/>
        <w:rPr>
          <w:sz w:val="24"/>
          <w:szCs w:val="24"/>
          <w:lang w:val="en-GB"/>
        </w:rPr>
      </w:pPr>
      <w:r w:rsidRPr="00B108A6">
        <w:rPr>
          <w:sz w:val="24"/>
          <w:szCs w:val="24"/>
          <w:lang w:val="en-GB"/>
        </w:rPr>
        <w:t>For adjuvant see section 2</w:t>
      </w:r>
    </w:p>
    <w:p w14:paraId="430AA1CB" w14:textId="77777777" w:rsidR="007C5D2A" w:rsidRPr="00B108A6" w:rsidRDefault="007C5D2A" w:rsidP="00331F85">
      <w:pPr>
        <w:tabs>
          <w:tab w:val="left" w:pos="851"/>
        </w:tabs>
        <w:ind w:left="851"/>
        <w:rPr>
          <w:sz w:val="24"/>
          <w:szCs w:val="24"/>
          <w:lang w:val="en-GB"/>
        </w:rPr>
      </w:pPr>
    </w:p>
    <w:p w14:paraId="09EDD35F" w14:textId="77777777" w:rsidR="007C5D2A" w:rsidRPr="00B108A6" w:rsidRDefault="007C5D2A" w:rsidP="00331F85">
      <w:pPr>
        <w:ind w:left="851" w:hanging="851"/>
        <w:rPr>
          <w:b/>
          <w:sz w:val="24"/>
          <w:szCs w:val="24"/>
          <w:lang w:val="en-GB"/>
        </w:rPr>
      </w:pPr>
      <w:r w:rsidRPr="00B108A6">
        <w:rPr>
          <w:b/>
          <w:sz w:val="24"/>
          <w:szCs w:val="24"/>
          <w:lang w:val="en-GB"/>
        </w:rPr>
        <w:t>6.2</w:t>
      </w:r>
      <w:r w:rsidRPr="00B108A6">
        <w:rPr>
          <w:b/>
          <w:sz w:val="24"/>
          <w:szCs w:val="24"/>
          <w:lang w:val="en-GB"/>
        </w:rPr>
        <w:tab/>
        <w:t>Incompatibilities</w:t>
      </w:r>
    </w:p>
    <w:p w14:paraId="2CF01CC4" w14:textId="5E6178DB" w:rsidR="00D853AB" w:rsidRPr="00B108A6" w:rsidRDefault="00D853AB" w:rsidP="00331F85">
      <w:pPr>
        <w:ind w:left="851"/>
        <w:rPr>
          <w:sz w:val="24"/>
          <w:szCs w:val="24"/>
          <w:lang w:val="en-GB"/>
        </w:rPr>
      </w:pPr>
      <w:r w:rsidRPr="00B108A6">
        <w:rPr>
          <w:sz w:val="24"/>
          <w:szCs w:val="24"/>
          <w:lang w:val="en-GB"/>
        </w:rPr>
        <w:t xml:space="preserve">In the absence of compatibility studies, </w:t>
      </w:r>
      <w:proofErr w:type="spellStart"/>
      <w:r w:rsidR="000038A7" w:rsidRPr="00B108A6">
        <w:rPr>
          <w:sz w:val="24"/>
          <w:szCs w:val="24"/>
          <w:lang w:val="en-GB"/>
        </w:rPr>
        <w:t>R</w:t>
      </w:r>
      <w:r w:rsidR="000038A7">
        <w:rPr>
          <w:sz w:val="24"/>
          <w:szCs w:val="24"/>
          <w:lang w:val="en-GB"/>
        </w:rPr>
        <w:t>epevax</w:t>
      </w:r>
      <w:proofErr w:type="spellEnd"/>
      <w:r w:rsidRPr="00B108A6">
        <w:rPr>
          <w:sz w:val="24"/>
          <w:szCs w:val="24"/>
          <w:lang w:val="en-GB"/>
        </w:rPr>
        <w:t xml:space="preserve"> must not be mixed with other medicinal products.</w:t>
      </w:r>
    </w:p>
    <w:p w14:paraId="43B1BA28" w14:textId="77777777" w:rsidR="007C5D2A" w:rsidRPr="00B108A6" w:rsidRDefault="007C5D2A" w:rsidP="00331F85">
      <w:pPr>
        <w:tabs>
          <w:tab w:val="left" w:pos="851"/>
        </w:tabs>
        <w:ind w:left="851"/>
        <w:rPr>
          <w:sz w:val="24"/>
          <w:szCs w:val="24"/>
          <w:lang w:val="en-GB"/>
        </w:rPr>
      </w:pPr>
    </w:p>
    <w:p w14:paraId="143F65F4" w14:textId="77777777" w:rsidR="007C5D2A" w:rsidRPr="00B108A6" w:rsidRDefault="007C5D2A" w:rsidP="00331F85">
      <w:pPr>
        <w:ind w:left="851" w:hanging="851"/>
        <w:rPr>
          <w:b/>
          <w:sz w:val="24"/>
          <w:szCs w:val="24"/>
          <w:lang w:val="en-GB"/>
        </w:rPr>
      </w:pPr>
      <w:r w:rsidRPr="00B108A6">
        <w:rPr>
          <w:b/>
          <w:sz w:val="24"/>
          <w:szCs w:val="24"/>
          <w:lang w:val="en-GB"/>
        </w:rPr>
        <w:t>6.3</w:t>
      </w:r>
      <w:r w:rsidRPr="00B108A6">
        <w:rPr>
          <w:b/>
          <w:sz w:val="24"/>
          <w:szCs w:val="24"/>
          <w:lang w:val="en-GB"/>
        </w:rPr>
        <w:tab/>
        <w:t>Shelf</w:t>
      </w:r>
      <w:r w:rsidR="00B45DC5" w:rsidRPr="00B108A6">
        <w:rPr>
          <w:b/>
          <w:sz w:val="24"/>
          <w:szCs w:val="24"/>
          <w:lang w:val="en-GB"/>
        </w:rPr>
        <w:t xml:space="preserve"> </w:t>
      </w:r>
      <w:r w:rsidRPr="00B108A6">
        <w:rPr>
          <w:b/>
          <w:sz w:val="24"/>
          <w:szCs w:val="24"/>
          <w:lang w:val="en-GB"/>
        </w:rPr>
        <w:t>life</w:t>
      </w:r>
    </w:p>
    <w:p w14:paraId="76D6B4F4" w14:textId="135A1383" w:rsidR="00D853AB" w:rsidRPr="00B108A6" w:rsidRDefault="005D12FD" w:rsidP="00331F85">
      <w:pPr>
        <w:ind w:left="851"/>
        <w:rPr>
          <w:sz w:val="24"/>
          <w:szCs w:val="24"/>
          <w:lang w:val="en-GB"/>
        </w:rPr>
      </w:pPr>
      <w:r>
        <w:rPr>
          <w:sz w:val="24"/>
          <w:szCs w:val="24"/>
          <w:lang w:val="en-GB"/>
        </w:rPr>
        <w:t>4</w:t>
      </w:r>
      <w:r w:rsidR="00D853AB" w:rsidRPr="00B108A6">
        <w:rPr>
          <w:sz w:val="24"/>
          <w:szCs w:val="24"/>
          <w:lang w:val="en-GB"/>
        </w:rPr>
        <w:t xml:space="preserve"> years. </w:t>
      </w:r>
    </w:p>
    <w:p w14:paraId="5ACDCCEA" w14:textId="77777777" w:rsidR="007C5D2A" w:rsidRPr="00B108A6" w:rsidRDefault="007C5D2A" w:rsidP="00331F85">
      <w:pPr>
        <w:tabs>
          <w:tab w:val="left" w:pos="851"/>
        </w:tabs>
        <w:ind w:left="851"/>
        <w:rPr>
          <w:sz w:val="24"/>
          <w:szCs w:val="24"/>
          <w:lang w:val="en-GB"/>
        </w:rPr>
      </w:pPr>
    </w:p>
    <w:p w14:paraId="243B0B7F" w14:textId="77777777" w:rsidR="007C5D2A" w:rsidRPr="00B108A6" w:rsidRDefault="007C5D2A" w:rsidP="00331F85">
      <w:pPr>
        <w:ind w:left="851" w:hanging="851"/>
        <w:rPr>
          <w:b/>
          <w:sz w:val="24"/>
          <w:szCs w:val="24"/>
          <w:lang w:val="en-GB"/>
        </w:rPr>
      </w:pPr>
      <w:r w:rsidRPr="00B108A6">
        <w:rPr>
          <w:b/>
          <w:sz w:val="24"/>
          <w:szCs w:val="24"/>
          <w:lang w:val="en-GB"/>
        </w:rPr>
        <w:t>6.4</w:t>
      </w:r>
      <w:r w:rsidRPr="00B108A6">
        <w:rPr>
          <w:b/>
          <w:sz w:val="24"/>
          <w:szCs w:val="24"/>
          <w:lang w:val="en-GB"/>
        </w:rPr>
        <w:tab/>
        <w:t>Special precautions for storage</w:t>
      </w:r>
    </w:p>
    <w:p w14:paraId="44646BF4" w14:textId="77777777" w:rsidR="00D853AB" w:rsidRPr="00B108A6" w:rsidRDefault="00D853AB" w:rsidP="00331F85">
      <w:pPr>
        <w:ind w:left="851"/>
        <w:rPr>
          <w:sz w:val="24"/>
          <w:szCs w:val="24"/>
          <w:lang w:val="en-GB"/>
        </w:rPr>
      </w:pPr>
      <w:r w:rsidRPr="00B108A6">
        <w:rPr>
          <w:sz w:val="24"/>
          <w:szCs w:val="24"/>
          <w:lang w:val="en-GB"/>
        </w:rPr>
        <w:t xml:space="preserve">Store in a refrigerator at 2°C to 8°C. </w:t>
      </w:r>
    </w:p>
    <w:p w14:paraId="5B8E4ECC" w14:textId="77777777" w:rsidR="00D853AB" w:rsidRPr="00B108A6" w:rsidRDefault="00D853AB" w:rsidP="00331F85">
      <w:pPr>
        <w:ind w:left="851"/>
        <w:rPr>
          <w:sz w:val="24"/>
          <w:szCs w:val="24"/>
          <w:lang w:val="en-GB"/>
        </w:rPr>
      </w:pPr>
      <w:r w:rsidRPr="00B108A6">
        <w:rPr>
          <w:sz w:val="24"/>
          <w:szCs w:val="24"/>
          <w:lang w:val="en-GB"/>
        </w:rPr>
        <w:t>Do not freeze. Discard the vaccine if it has been frozen.</w:t>
      </w:r>
    </w:p>
    <w:p w14:paraId="7D71DC2B" w14:textId="77777777" w:rsidR="00D853AB" w:rsidRPr="00B108A6" w:rsidRDefault="00D853AB" w:rsidP="00331F85">
      <w:pPr>
        <w:ind w:left="851"/>
        <w:rPr>
          <w:sz w:val="24"/>
          <w:szCs w:val="24"/>
          <w:lang w:val="en-GB"/>
        </w:rPr>
      </w:pPr>
      <w:r w:rsidRPr="00B108A6">
        <w:rPr>
          <w:sz w:val="24"/>
          <w:szCs w:val="24"/>
          <w:lang w:val="en-GB"/>
        </w:rPr>
        <w:t>Keep the container in the outer carton in order to protect from light.</w:t>
      </w:r>
    </w:p>
    <w:p w14:paraId="6A2FC779" w14:textId="77777777" w:rsidR="007C5D2A" w:rsidRPr="00B108A6" w:rsidRDefault="007C5D2A" w:rsidP="00331F85">
      <w:pPr>
        <w:tabs>
          <w:tab w:val="left" w:pos="851"/>
        </w:tabs>
        <w:ind w:left="851"/>
        <w:rPr>
          <w:sz w:val="24"/>
          <w:szCs w:val="24"/>
          <w:lang w:val="en-GB"/>
        </w:rPr>
      </w:pPr>
    </w:p>
    <w:p w14:paraId="46045269" w14:textId="77777777" w:rsidR="007C5D2A" w:rsidRPr="00B108A6" w:rsidRDefault="007C5D2A" w:rsidP="00331F85">
      <w:pPr>
        <w:ind w:left="851" w:hanging="851"/>
        <w:rPr>
          <w:b/>
          <w:sz w:val="24"/>
          <w:szCs w:val="24"/>
          <w:lang w:val="en-GB"/>
        </w:rPr>
      </w:pPr>
      <w:r w:rsidRPr="00B108A6">
        <w:rPr>
          <w:b/>
          <w:sz w:val="24"/>
          <w:szCs w:val="24"/>
          <w:lang w:val="en-GB"/>
        </w:rPr>
        <w:t>6.5</w:t>
      </w:r>
      <w:r w:rsidRPr="00B108A6">
        <w:rPr>
          <w:b/>
          <w:sz w:val="24"/>
          <w:szCs w:val="24"/>
          <w:lang w:val="en-GB"/>
        </w:rPr>
        <w:tab/>
        <w:t>Nature and contents of container</w:t>
      </w:r>
    </w:p>
    <w:p w14:paraId="792D4F97" w14:textId="77777777" w:rsidR="00D853AB" w:rsidRPr="00B108A6" w:rsidRDefault="00D853AB" w:rsidP="00331F85">
      <w:pPr>
        <w:ind w:left="851"/>
        <w:rPr>
          <w:sz w:val="24"/>
          <w:szCs w:val="24"/>
          <w:lang w:val="en-GB"/>
        </w:rPr>
      </w:pPr>
      <w:r w:rsidRPr="00B108A6">
        <w:rPr>
          <w:sz w:val="24"/>
          <w:szCs w:val="24"/>
          <w:lang w:val="en-GB"/>
        </w:rPr>
        <w:t>0.5 mL of suspension in pre-filled syringe (glass) with a plunger stopper (</w:t>
      </w:r>
      <w:proofErr w:type="spellStart"/>
      <w:r w:rsidRPr="00B108A6">
        <w:rPr>
          <w:sz w:val="24"/>
          <w:szCs w:val="24"/>
          <w:lang w:val="en-GB"/>
        </w:rPr>
        <w:t>chlorobromobutyl</w:t>
      </w:r>
      <w:proofErr w:type="spellEnd"/>
      <w:r w:rsidRPr="00B108A6">
        <w:rPr>
          <w:sz w:val="24"/>
          <w:szCs w:val="24"/>
          <w:lang w:val="en-GB"/>
        </w:rPr>
        <w:t xml:space="preserve"> or </w:t>
      </w:r>
      <w:proofErr w:type="spellStart"/>
      <w:r w:rsidRPr="00B108A6">
        <w:rPr>
          <w:sz w:val="24"/>
          <w:szCs w:val="24"/>
          <w:lang w:val="en-GB"/>
        </w:rPr>
        <w:t>bromobutyl</w:t>
      </w:r>
      <w:proofErr w:type="spellEnd"/>
      <w:r w:rsidRPr="00B108A6">
        <w:rPr>
          <w:sz w:val="24"/>
          <w:szCs w:val="24"/>
          <w:lang w:val="en-GB"/>
        </w:rPr>
        <w:t xml:space="preserve"> or </w:t>
      </w:r>
      <w:proofErr w:type="spellStart"/>
      <w:r w:rsidRPr="00B108A6">
        <w:rPr>
          <w:sz w:val="24"/>
          <w:szCs w:val="24"/>
          <w:lang w:val="en-GB"/>
        </w:rPr>
        <w:t>chlorobutyl</w:t>
      </w:r>
      <w:proofErr w:type="spellEnd"/>
      <w:r w:rsidRPr="00B108A6">
        <w:rPr>
          <w:sz w:val="24"/>
          <w:szCs w:val="24"/>
          <w:lang w:val="en-GB"/>
        </w:rPr>
        <w:t xml:space="preserve"> elastomer), without attached needle, with a tip-cap (</w:t>
      </w:r>
      <w:proofErr w:type="spellStart"/>
      <w:r w:rsidRPr="00B108A6">
        <w:rPr>
          <w:sz w:val="24"/>
          <w:szCs w:val="24"/>
          <w:lang w:val="en-GB"/>
        </w:rPr>
        <w:t>chlorobromobutyl</w:t>
      </w:r>
      <w:proofErr w:type="spellEnd"/>
      <w:r w:rsidRPr="00B108A6">
        <w:rPr>
          <w:sz w:val="24"/>
          <w:szCs w:val="24"/>
          <w:lang w:val="en-GB"/>
        </w:rPr>
        <w:t xml:space="preserve"> elastomer or synthetic isoprene-</w:t>
      </w:r>
      <w:proofErr w:type="spellStart"/>
      <w:r w:rsidRPr="00B108A6">
        <w:rPr>
          <w:sz w:val="24"/>
          <w:szCs w:val="24"/>
          <w:lang w:val="en-GB"/>
        </w:rPr>
        <w:t>bromobutyl</w:t>
      </w:r>
      <w:proofErr w:type="spellEnd"/>
      <w:r w:rsidRPr="00B108A6">
        <w:rPr>
          <w:sz w:val="24"/>
          <w:szCs w:val="24"/>
          <w:lang w:val="en-GB"/>
        </w:rPr>
        <w:t xml:space="preserve"> elastomer) - pack size of 1, 10 or 20.</w:t>
      </w:r>
    </w:p>
    <w:p w14:paraId="5A53491E" w14:textId="77777777" w:rsidR="00D853AB" w:rsidRPr="00B108A6" w:rsidRDefault="00D853AB" w:rsidP="00331F85">
      <w:pPr>
        <w:ind w:left="851"/>
        <w:rPr>
          <w:sz w:val="24"/>
          <w:szCs w:val="24"/>
          <w:lang w:val="en-GB"/>
        </w:rPr>
      </w:pPr>
    </w:p>
    <w:p w14:paraId="4828E814" w14:textId="2DFEF8A9" w:rsidR="00D853AB" w:rsidRPr="00B108A6" w:rsidRDefault="00D853AB" w:rsidP="00331F85">
      <w:pPr>
        <w:ind w:left="851"/>
        <w:rPr>
          <w:sz w:val="24"/>
          <w:szCs w:val="24"/>
          <w:lang w:val="en-GB"/>
        </w:rPr>
      </w:pPr>
      <w:r w:rsidRPr="00B108A6">
        <w:rPr>
          <w:sz w:val="24"/>
          <w:szCs w:val="24"/>
          <w:lang w:val="en-GB"/>
        </w:rPr>
        <w:t>0.5 mL of suspension in pre-filled syringe (glass) with a plunger stopper (</w:t>
      </w:r>
      <w:proofErr w:type="spellStart"/>
      <w:r w:rsidRPr="00B108A6">
        <w:rPr>
          <w:sz w:val="24"/>
          <w:szCs w:val="24"/>
          <w:lang w:val="en-GB"/>
        </w:rPr>
        <w:t>chlorobromobutyl</w:t>
      </w:r>
      <w:proofErr w:type="spellEnd"/>
      <w:r w:rsidRPr="00B108A6">
        <w:rPr>
          <w:sz w:val="24"/>
          <w:szCs w:val="24"/>
          <w:lang w:val="en-GB"/>
        </w:rPr>
        <w:t xml:space="preserve"> or </w:t>
      </w:r>
      <w:proofErr w:type="spellStart"/>
      <w:r w:rsidRPr="00B108A6">
        <w:rPr>
          <w:sz w:val="24"/>
          <w:szCs w:val="24"/>
          <w:lang w:val="en-GB"/>
        </w:rPr>
        <w:t>bromobutyl</w:t>
      </w:r>
      <w:proofErr w:type="spellEnd"/>
      <w:r w:rsidRPr="00B108A6">
        <w:rPr>
          <w:sz w:val="24"/>
          <w:szCs w:val="24"/>
          <w:lang w:val="en-GB"/>
        </w:rPr>
        <w:t xml:space="preserve"> or </w:t>
      </w:r>
      <w:proofErr w:type="spellStart"/>
      <w:r w:rsidRPr="00B108A6">
        <w:rPr>
          <w:sz w:val="24"/>
          <w:szCs w:val="24"/>
          <w:lang w:val="en-GB"/>
        </w:rPr>
        <w:t>chlorobutyl</w:t>
      </w:r>
      <w:proofErr w:type="spellEnd"/>
      <w:r w:rsidRPr="00B108A6">
        <w:rPr>
          <w:sz w:val="24"/>
          <w:szCs w:val="24"/>
          <w:lang w:val="en-GB"/>
        </w:rPr>
        <w:t xml:space="preserve"> elastomer), without attached needle, with a tip-cap (</w:t>
      </w:r>
      <w:proofErr w:type="spellStart"/>
      <w:r w:rsidRPr="00B108A6">
        <w:rPr>
          <w:sz w:val="24"/>
          <w:szCs w:val="24"/>
          <w:lang w:val="en-GB"/>
        </w:rPr>
        <w:t>chlorobromobutyl</w:t>
      </w:r>
      <w:proofErr w:type="spellEnd"/>
      <w:r w:rsidRPr="00B108A6">
        <w:rPr>
          <w:sz w:val="24"/>
          <w:szCs w:val="24"/>
          <w:lang w:val="en-GB"/>
        </w:rPr>
        <w:t xml:space="preserve"> elastomer or synthetic isoprene-</w:t>
      </w:r>
      <w:proofErr w:type="spellStart"/>
      <w:r w:rsidRPr="00B108A6">
        <w:rPr>
          <w:sz w:val="24"/>
          <w:szCs w:val="24"/>
          <w:lang w:val="en-GB"/>
        </w:rPr>
        <w:t>bromobutyl</w:t>
      </w:r>
      <w:proofErr w:type="spellEnd"/>
      <w:r w:rsidRPr="00B108A6">
        <w:rPr>
          <w:sz w:val="24"/>
          <w:szCs w:val="24"/>
          <w:lang w:val="en-GB"/>
        </w:rPr>
        <w:t xml:space="preserve"> elastomer) and 1 or 2 separate needles - pack size of 1 or 10.</w:t>
      </w:r>
    </w:p>
    <w:p w14:paraId="645C1B7C" w14:textId="77777777" w:rsidR="00D853AB" w:rsidRPr="00B108A6" w:rsidRDefault="00D853AB" w:rsidP="00331F85">
      <w:pPr>
        <w:ind w:left="851"/>
        <w:rPr>
          <w:sz w:val="24"/>
          <w:szCs w:val="24"/>
          <w:lang w:val="en-GB"/>
        </w:rPr>
      </w:pPr>
    </w:p>
    <w:p w14:paraId="3C97442E" w14:textId="77777777" w:rsidR="00D853AB" w:rsidRPr="00B108A6" w:rsidRDefault="00D853AB" w:rsidP="00331F85">
      <w:pPr>
        <w:ind w:left="851"/>
        <w:rPr>
          <w:sz w:val="24"/>
          <w:szCs w:val="24"/>
          <w:lang w:val="en-GB"/>
        </w:rPr>
      </w:pPr>
      <w:r w:rsidRPr="00B108A6">
        <w:rPr>
          <w:sz w:val="24"/>
          <w:szCs w:val="24"/>
          <w:lang w:val="en-GB"/>
        </w:rPr>
        <w:t>0.5 mL of suspension in pre-filled syringe (glass) with a plunger stopper (</w:t>
      </w:r>
      <w:proofErr w:type="spellStart"/>
      <w:r w:rsidRPr="00B108A6">
        <w:rPr>
          <w:sz w:val="24"/>
          <w:szCs w:val="24"/>
          <w:lang w:val="en-GB"/>
        </w:rPr>
        <w:t>chlorobromobutyl</w:t>
      </w:r>
      <w:proofErr w:type="spellEnd"/>
      <w:r w:rsidRPr="00B108A6">
        <w:rPr>
          <w:sz w:val="24"/>
          <w:szCs w:val="24"/>
          <w:lang w:val="en-GB"/>
        </w:rPr>
        <w:t xml:space="preserve"> or </w:t>
      </w:r>
      <w:proofErr w:type="spellStart"/>
      <w:r w:rsidRPr="00B108A6">
        <w:rPr>
          <w:sz w:val="24"/>
          <w:szCs w:val="24"/>
          <w:lang w:val="en-GB"/>
        </w:rPr>
        <w:t>bromobutyl</w:t>
      </w:r>
      <w:proofErr w:type="spellEnd"/>
      <w:r w:rsidRPr="00B108A6">
        <w:rPr>
          <w:sz w:val="24"/>
          <w:szCs w:val="24"/>
          <w:lang w:val="en-GB"/>
        </w:rPr>
        <w:t xml:space="preserve"> or </w:t>
      </w:r>
      <w:proofErr w:type="spellStart"/>
      <w:r w:rsidRPr="00B108A6">
        <w:rPr>
          <w:sz w:val="24"/>
          <w:szCs w:val="24"/>
          <w:lang w:val="en-GB"/>
        </w:rPr>
        <w:t>chlorobutyl</w:t>
      </w:r>
      <w:proofErr w:type="spellEnd"/>
      <w:r w:rsidRPr="00B108A6">
        <w:rPr>
          <w:sz w:val="24"/>
          <w:szCs w:val="24"/>
          <w:lang w:val="en-GB"/>
        </w:rPr>
        <w:t xml:space="preserve"> elastomer) with attached needle and </w:t>
      </w:r>
      <w:r w:rsidRPr="00B108A6">
        <w:rPr>
          <w:sz w:val="24"/>
          <w:szCs w:val="24"/>
          <w:lang w:val="en-GB"/>
        </w:rPr>
        <w:lastRenderedPageBreak/>
        <w:t xml:space="preserve">needle guard (translucent polypropylene rigid </w:t>
      </w:r>
      <w:proofErr w:type="spellStart"/>
      <w:r w:rsidRPr="00B108A6">
        <w:rPr>
          <w:sz w:val="24"/>
          <w:szCs w:val="24"/>
          <w:lang w:val="en-GB"/>
        </w:rPr>
        <w:t>safeshield</w:t>
      </w:r>
      <w:proofErr w:type="spellEnd"/>
      <w:r w:rsidRPr="00B108A6">
        <w:rPr>
          <w:sz w:val="24"/>
          <w:szCs w:val="24"/>
          <w:lang w:val="en-GB"/>
        </w:rPr>
        <w:t xml:space="preserve"> and polyisoprene) - pack size of 1, 10 or 20.</w:t>
      </w:r>
    </w:p>
    <w:p w14:paraId="689E1A10" w14:textId="77777777" w:rsidR="00D853AB" w:rsidRPr="00B108A6" w:rsidRDefault="00D853AB" w:rsidP="00331F85">
      <w:pPr>
        <w:ind w:left="851"/>
        <w:rPr>
          <w:sz w:val="24"/>
          <w:szCs w:val="24"/>
          <w:lang w:val="en-GB"/>
        </w:rPr>
      </w:pPr>
    </w:p>
    <w:p w14:paraId="145AD505" w14:textId="77777777" w:rsidR="00D853AB" w:rsidRPr="00B108A6" w:rsidRDefault="00D853AB" w:rsidP="00331F85">
      <w:pPr>
        <w:ind w:left="851"/>
        <w:rPr>
          <w:sz w:val="24"/>
          <w:szCs w:val="24"/>
          <w:lang w:val="en-GB"/>
        </w:rPr>
      </w:pPr>
      <w:r w:rsidRPr="00B108A6">
        <w:rPr>
          <w:sz w:val="24"/>
          <w:szCs w:val="24"/>
          <w:lang w:val="en-GB"/>
        </w:rPr>
        <w:t>Not all pack sizes may be marketed.</w:t>
      </w:r>
    </w:p>
    <w:p w14:paraId="0A4ADC1A" w14:textId="77777777" w:rsidR="007C5D2A" w:rsidRPr="00B108A6" w:rsidRDefault="007C5D2A" w:rsidP="00331F85">
      <w:pPr>
        <w:tabs>
          <w:tab w:val="left" w:pos="851"/>
        </w:tabs>
        <w:ind w:left="851"/>
        <w:rPr>
          <w:sz w:val="24"/>
          <w:szCs w:val="24"/>
          <w:lang w:val="en-GB"/>
        </w:rPr>
      </w:pPr>
    </w:p>
    <w:p w14:paraId="74EA8D03" w14:textId="77777777" w:rsidR="007C5D2A" w:rsidRPr="00B108A6" w:rsidRDefault="007C5D2A" w:rsidP="00331F85">
      <w:pPr>
        <w:ind w:left="851" w:hanging="851"/>
        <w:rPr>
          <w:b/>
          <w:sz w:val="24"/>
          <w:szCs w:val="24"/>
          <w:lang w:val="en-GB"/>
        </w:rPr>
      </w:pPr>
      <w:r w:rsidRPr="00B108A6">
        <w:rPr>
          <w:b/>
          <w:sz w:val="24"/>
          <w:szCs w:val="24"/>
          <w:lang w:val="en-GB"/>
        </w:rPr>
        <w:t>6.6</w:t>
      </w:r>
      <w:r w:rsidRPr="00B108A6">
        <w:rPr>
          <w:b/>
          <w:sz w:val="24"/>
          <w:szCs w:val="24"/>
          <w:lang w:val="en-GB"/>
        </w:rPr>
        <w:tab/>
        <w:t>Special precautions for disposal and other handling</w:t>
      </w:r>
    </w:p>
    <w:p w14:paraId="0449E7B7" w14:textId="77777777" w:rsidR="005740FB" w:rsidRPr="00B108A6" w:rsidRDefault="005740FB" w:rsidP="00331F85">
      <w:pPr>
        <w:ind w:left="851"/>
        <w:rPr>
          <w:sz w:val="24"/>
          <w:szCs w:val="24"/>
          <w:u w:val="single"/>
          <w:lang w:val="en-GB"/>
        </w:rPr>
      </w:pPr>
    </w:p>
    <w:p w14:paraId="390FE2C5" w14:textId="2996410A" w:rsidR="00D853AB" w:rsidRPr="00B108A6" w:rsidRDefault="00D853AB" w:rsidP="00331F85">
      <w:pPr>
        <w:ind w:left="851"/>
        <w:rPr>
          <w:sz w:val="24"/>
          <w:szCs w:val="24"/>
          <w:u w:val="single"/>
          <w:lang w:val="en-GB"/>
        </w:rPr>
      </w:pPr>
      <w:r w:rsidRPr="00B108A6">
        <w:rPr>
          <w:sz w:val="24"/>
          <w:szCs w:val="24"/>
          <w:u w:val="single"/>
          <w:lang w:val="en-GB"/>
        </w:rPr>
        <w:t>Instructions for use</w:t>
      </w:r>
    </w:p>
    <w:p w14:paraId="317B8013" w14:textId="77777777" w:rsidR="00D853AB" w:rsidRPr="00B108A6" w:rsidRDefault="00D853AB" w:rsidP="00331F85">
      <w:pPr>
        <w:ind w:left="851"/>
        <w:rPr>
          <w:sz w:val="24"/>
          <w:szCs w:val="24"/>
          <w:lang w:val="en-GB"/>
        </w:rPr>
      </w:pPr>
    </w:p>
    <w:p w14:paraId="69ED30F1" w14:textId="77777777" w:rsidR="00D853AB" w:rsidRPr="00B108A6" w:rsidRDefault="00D853AB" w:rsidP="00331F85">
      <w:pPr>
        <w:ind w:left="851"/>
        <w:rPr>
          <w:sz w:val="24"/>
          <w:szCs w:val="24"/>
          <w:lang w:val="en-GB"/>
        </w:rPr>
      </w:pPr>
      <w:r w:rsidRPr="00B108A6">
        <w:rPr>
          <w:sz w:val="24"/>
          <w:szCs w:val="24"/>
          <w:lang w:val="en-GB"/>
        </w:rPr>
        <w:t>Parenteral products should be inspected visually for extraneous particulate matter and/or discoloration prior to administration. In the event of either being observed, discard the medicinal product.</w:t>
      </w:r>
    </w:p>
    <w:p w14:paraId="4B7B77CC" w14:textId="77777777" w:rsidR="00D853AB" w:rsidRPr="00B108A6" w:rsidRDefault="00D853AB" w:rsidP="00331F85">
      <w:pPr>
        <w:ind w:left="851"/>
        <w:rPr>
          <w:sz w:val="24"/>
          <w:szCs w:val="24"/>
          <w:lang w:val="en-GB"/>
        </w:rPr>
      </w:pPr>
    </w:p>
    <w:p w14:paraId="5AAFBCAD" w14:textId="77777777" w:rsidR="00D853AB" w:rsidRPr="00B108A6" w:rsidRDefault="00D853AB" w:rsidP="00331F85">
      <w:pPr>
        <w:ind w:left="851"/>
        <w:rPr>
          <w:sz w:val="24"/>
          <w:szCs w:val="24"/>
          <w:lang w:val="en-GB"/>
        </w:rPr>
      </w:pPr>
      <w:r w:rsidRPr="00B108A6">
        <w:rPr>
          <w:sz w:val="24"/>
          <w:szCs w:val="24"/>
          <w:lang w:val="en-GB"/>
        </w:rPr>
        <w:t>The normal appearance of the vaccine is a uniform cloudy, white suspension which may sediment during storage. Shake the prefilled syringe well to uniformly distribute the suspension before administering the vaccine.</w:t>
      </w:r>
    </w:p>
    <w:p w14:paraId="22E62472" w14:textId="77777777" w:rsidR="00D853AB" w:rsidRPr="00B108A6" w:rsidRDefault="00D853AB" w:rsidP="00331F85">
      <w:pPr>
        <w:ind w:left="851"/>
        <w:rPr>
          <w:sz w:val="24"/>
          <w:szCs w:val="24"/>
          <w:lang w:val="en-GB"/>
        </w:rPr>
      </w:pPr>
    </w:p>
    <w:p w14:paraId="7210FCF5" w14:textId="77777777" w:rsidR="00D853AB" w:rsidRPr="00B108A6" w:rsidRDefault="00D853AB" w:rsidP="00331F85">
      <w:pPr>
        <w:ind w:left="851"/>
        <w:rPr>
          <w:sz w:val="24"/>
          <w:szCs w:val="24"/>
          <w:lang w:val="en-GB"/>
        </w:rPr>
      </w:pPr>
      <w:r w:rsidRPr="00B108A6">
        <w:rPr>
          <w:sz w:val="24"/>
          <w:szCs w:val="24"/>
          <w:lang w:val="en-GB"/>
        </w:rPr>
        <w:t>For needle free syringes, the needle should be pushed firmly on to the end of the prefilled syringe and rotated through 90 degrees.</w:t>
      </w:r>
    </w:p>
    <w:p w14:paraId="10C53127" w14:textId="77777777" w:rsidR="00D853AB" w:rsidRPr="00B108A6" w:rsidRDefault="00D853AB" w:rsidP="00331F85">
      <w:pPr>
        <w:ind w:left="851"/>
        <w:rPr>
          <w:sz w:val="24"/>
          <w:szCs w:val="24"/>
          <w:lang w:val="en-GB"/>
        </w:rPr>
      </w:pPr>
    </w:p>
    <w:p w14:paraId="77FB593D" w14:textId="77777777" w:rsidR="00D853AB" w:rsidRPr="00B108A6" w:rsidRDefault="00D853AB" w:rsidP="00331F85">
      <w:pPr>
        <w:ind w:left="851"/>
        <w:rPr>
          <w:sz w:val="24"/>
          <w:szCs w:val="24"/>
          <w:u w:val="single"/>
          <w:lang w:val="en-GB"/>
        </w:rPr>
      </w:pPr>
      <w:r w:rsidRPr="00B108A6">
        <w:rPr>
          <w:sz w:val="24"/>
          <w:szCs w:val="24"/>
          <w:u w:val="single"/>
          <w:lang w:val="en-GB"/>
        </w:rPr>
        <w:t>Disposal</w:t>
      </w:r>
    </w:p>
    <w:p w14:paraId="009B8295" w14:textId="77777777" w:rsidR="00D853AB" w:rsidRPr="00B108A6" w:rsidRDefault="00D853AB" w:rsidP="00331F85">
      <w:pPr>
        <w:ind w:left="851"/>
        <w:rPr>
          <w:sz w:val="24"/>
          <w:szCs w:val="24"/>
          <w:lang w:val="en-GB"/>
        </w:rPr>
      </w:pPr>
    </w:p>
    <w:p w14:paraId="68ED46B3" w14:textId="77777777" w:rsidR="00D853AB" w:rsidRPr="00B108A6" w:rsidRDefault="00D853AB" w:rsidP="00331F85">
      <w:pPr>
        <w:ind w:left="851"/>
        <w:rPr>
          <w:sz w:val="24"/>
          <w:szCs w:val="24"/>
          <w:lang w:val="en-GB"/>
        </w:rPr>
      </w:pPr>
      <w:r w:rsidRPr="00B108A6">
        <w:rPr>
          <w:sz w:val="24"/>
          <w:szCs w:val="24"/>
          <w:lang w:val="en-GB"/>
        </w:rPr>
        <w:t xml:space="preserve">Any unused medicinal product or waste material should be disposed of in accordance with local requirements. </w:t>
      </w:r>
    </w:p>
    <w:p w14:paraId="71BE202F" w14:textId="77777777" w:rsidR="00D853AB" w:rsidRPr="00B108A6" w:rsidRDefault="00D853AB" w:rsidP="00331F85">
      <w:pPr>
        <w:ind w:left="851"/>
        <w:rPr>
          <w:sz w:val="24"/>
          <w:szCs w:val="24"/>
          <w:lang w:val="en-GB"/>
        </w:rPr>
      </w:pPr>
    </w:p>
    <w:p w14:paraId="25E5AA9B" w14:textId="77777777" w:rsidR="00D853AB" w:rsidRPr="00B108A6" w:rsidRDefault="00D853AB" w:rsidP="00331F85">
      <w:pPr>
        <w:ind w:left="851"/>
        <w:rPr>
          <w:sz w:val="24"/>
          <w:szCs w:val="24"/>
          <w:lang w:val="en-GB"/>
        </w:rPr>
      </w:pPr>
      <w:r w:rsidRPr="00B108A6">
        <w:rPr>
          <w:sz w:val="24"/>
          <w:szCs w:val="24"/>
          <w:lang w:val="en-GB"/>
        </w:rPr>
        <w:t>Needles should not be recapped.</w:t>
      </w:r>
    </w:p>
    <w:p w14:paraId="13E1D284" w14:textId="77777777" w:rsidR="007C5D2A" w:rsidRPr="00B108A6" w:rsidRDefault="007C5D2A" w:rsidP="00331F85">
      <w:pPr>
        <w:tabs>
          <w:tab w:val="left" w:pos="851"/>
        </w:tabs>
        <w:ind w:left="851"/>
        <w:rPr>
          <w:sz w:val="24"/>
          <w:szCs w:val="24"/>
          <w:lang w:val="en-GB"/>
        </w:rPr>
      </w:pPr>
    </w:p>
    <w:p w14:paraId="5955C9D9" w14:textId="77777777" w:rsidR="007C5D2A" w:rsidRPr="00B108A6" w:rsidRDefault="007C5D2A" w:rsidP="00331F85">
      <w:pPr>
        <w:tabs>
          <w:tab w:val="left" w:pos="851"/>
        </w:tabs>
        <w:ind w:left="851" w:hanging="851"/>
        <w:jc w:val="both"/>
        <w:rPr>
          <w:b/>
          <w:sz w:val="24"/>
          <w:szCs w:val="24"/>
          <w:lang w:val="en-GB"/>
        </w:rPr>
      </w:pPr>
      <w:r w:rsidRPr="00B108A6">
        <w:rPr>
          <w:b/>
          <w:sz w:val="24"/>
          <w:szCs w:val="24"/>
          <w:lang w:val="en-GB"/>
        </w:rPr>
        <w:t>7.</w:t>
      </w:r>
      <w:r w:rsidRPr="00B108A6">
        <w:rPr>
          <w:b/>
          <w:sz w:val="24"/>
          <w:szCs w:val="24"/>
          <w:lang w:val="en-GB"/>
        </w:rPr>
        <w:tab/>
        <w:t>MARKETING AUTHORISATION HOLDER</w:t>
      </w:r>
    </w:p>
    <w:p w14:paraId="5899A462" w14:textId="77777777" w:rsidR="00273F2B" w:rsidRPr="00273F2B" w:rsidRDefault="00273F2B" w:rsidP="00273F2B">
      <w:pPr>
        <w:ind w:left="851"/>
        <w:rPr>
          <w:sz w:val="24"/>
          <w:szCs w:val="24"/>
          <w:lang w:val="en-US"/>
        </w:rPr>
      </w:pPr>
      <w:r w:rsidRPr="00273F2B">
        <w:rPr>
          <w:sz w:val="24"/>
          <w:szCs w:val="24"/>
          <w:lang w:val="en-US"/>
        </w:rPr>
        <w:t xml:space="preserve">Sanofi Winthrop </w:t>
      </w:r>
      <w:proofErr w:type="spellStart"/>
      <w:r w:rsidRPr="00273F2B">
        <w:rPr>
          <w:sz w:val="24"/>
          <w:szCs w:val="24"/>
          <w:lang w:val="en-US"/>
        </w:rPr>
        <w:t>Industrie</w:t>
      </w:r>
      <w:proofErr w:type="spellEnd"/>
      <w:r w:rsidRPr="00273F2B">
        <w:rPr>
          <w:sz w:val="24"/>
          <w:szCs w:val="24"/>
          <w:lang w:val="en-US"/>
        </w:rPr>
        <w:t xml:space="preserve"> </w:t>
      </w:r>
    </w:p>
    <w:p w14:paraId="19442071" w14:textId="77777777" w:rsidR="00273F2B" w:rsidRPr="00273F2B" w:rsidRDefault="00273F2B" w:rsidP="00273F2B">
      <w:pPr>
        <w:ind w:left="851"/>
        <w:rPr>
          <w:sz w:val="24"/>
          <w:szCs w:val="24"/>
          <w:lang w:val="en-US"/>
        </w:rPr>
      </w:pPr>
      <w:r w:rsidRPr="00273F2B">
        <w:rPr>
          <w:sz w:val="24"/>
          <w:szCs w:val="24"/>
          <w:lang w:val="en-US"/>
        </w:rPr>
        <w:t xml:space="preserve">82 Avenue </w:t>
      </w:r>
      <w:proofErr w:type="spellStart"/>
      <w:r w:rsidRPr="00273F2B">
        <w:rPr>
          <w:sz w:val="24"/>
          <w:szCs w:val="24"/>
          <w:lang w:val="en-US"/>
        </w:rPr>
        <w:t>Raspail</w:t>
      </w:r>
      <w:proofErr w:type="spellEnd"/>
      <w:r w:rsidRPr="00273F2B">
        <w:rPr>
          <w:sz w:val="24"/>
          <w:szCs w:val="24"/>
          <w:lang w:val="en-US"/>
        </w:rPr>
        <w:t xml:space="preserve"> </w:t>
      </w:r>
    </w:p>
    <w:p w14:paraId="659D448C" w14:textId="77777777" w:rsidR="00273F2B" w:rsidRPr="00273F2B" w:rsidRDefault="00273F2B" w:rsidP="00273F2B">
      <w:pPr>
        <w:ind w:left="851"/>
        <w:rPr>
          <w:sz w:val="24"/>
          <w:szCs w:val="24"/>
          <w:lang w:val="en-US"/>
        </w:rPr>
      </w:pPr>
      <w:r w:rsidRPr="00273F2B">
        <w:rPr>
          <w:sz w:val="24"/>
          <w:szCs w:val="24"/>
          <w:lang w:val="en-US"/>
        </w:rPr>
        <w:t>94250 Gentilly</w:t>
      </w:r>
    </w:p>
    <w:p w14:paraId="7651F170" w14:textId="4AD2A6E0" w:rsidR="007C5D2A" w:rsidRDefault="00273F2B" w:rsidP="00273F2B">
      <w:pPr>
        <w:ind w:left="851"/>
        <w:rPr>
          <w:sz w:val="24"/>
          <w:szCs w:val="24"/>
          <w:lang w:val="en-US"/>
        </w:rPr>
      </w:pPr>
      <w:proofErr w:type="spellStart"/>
      <w:r w:rsidRPr="00273F2B">
        <w:rPr>
          <w:sz w:val="24"/>
          <w:szCs w:val="24"/>
          <w:lang w:val="en-US"/>
        </w:rPr>
        <w:t>Frankrig</w:t>
      </w:r>
      <w:proofErr w:type="spellEnd"/>
    </w:p>
    <w:p w14:paraId="0E58BE76" w14:textId="77777777" w:rsidR="00273F2B" w:rsidRPr="00B108A6" w:rsidRDefault="00273F2B" w:rsidP="00273F2B">
      <w:pPr>
        <w:ind w:left="851"/>
        <w:rPr>
          <w:sz w:val="24"/>
          <w:szCs w:val="24"/>
          <w:lang w:val="en-GB"/>
        </w:rPr>
      </w:pPr>
    </w:p>
    <w:p w14:paraId="3B5882B6" w14:textId="77777777" w:rsidR="008A24F6" w:rsidRPr="00B108A6" w:rsidRDefault="005A498B" w:rsidP="00331F85">
      <w:pPr>
        <w:ind w:left="851"/>
        <w:rPr>
          <w:b/>
          <w:sz w:val="24"/>
          <w:szCs w:val="24"/>
          <w:lang w:val="en-GB"/>
        </w:rPr>
      </w:pPr>
      <w:r w:rsidRPr="00B108A6">
        <w:rPr>
          <w:b/>
          <w:sz w:val="24"/>
          <w:szCs w:val="24"/>
          <w:lang w:val="en-GB"/>
        </w:rPr>
        <w:t>Representative</w:t>
      </w:r>
    </w:p>
    <w:p w14:paraId="6798148A" w14:textId="77777777" w:rsidR="005E09AD" w:rsidRPr="00B108A6" w:rsidRDefault="005E09AD" w:rsidP="00331F85">
      <w:pPr>
        <w:ind w:left="851"/>
        <w:rPr>
          <w:sz w:val="24"/>
          <w:szCs w:val="24"/>
          <w:lang w:val="en-US"/>
        </w:rPr>
      </w:pPr>
      <w:r w:rsidRPr="00B108A6">
        <w:rPr>
          <w:sz w:val="24"/>
          <w:szCs w:val="24"/>
          <w:lang w:val="en-US"/>
        </w:rPr>
        <w:t>Sanofi A/S</w:t>
      </w:r>
    </w:p>
    <w:p w14:paraId="5058DBA2" w14:textId="2CBB7ACB" w:rsidR="005E09AD" w:rsidRPr="00B108A6" w:rsidRDefault="005E09AD" w:rsidP="00331F85">
      <w:pPr>
        <w:ind w:left="851"/>
        <w:rPr>
          <w:sz w:val="24"/>
          <w:szCs w:val="24"/>
        </w:rPr>
      </w:pPr>
      <w:r w:rsidRPr="00B108A6">
        <w:rPr>
          <w:sz w:val="24"/>
          <w:szCs w:val="24"/>
        </w:rPr>
        <w:t>Lyngbyvej 2</w:t>
      </w:r>
    </w:p>
    <w:p w14:paraId="7BEEA619" w14:textId="2F62829B" w:rsidR="005E09AD" w:rsidRPr="00B108A6" w:rsidRDefault="005E09AD" w:rsidP="00331F85">
      <w:pPr>
        <w:ind w:left="851"/>
        <w:rPr>
          <w:sz w:val="24"/>
          <w:szCs w:val="24"/>
        </w:rPr>
      </w:pPr>
      <w:r w:rsidRPr="00B108A6">
        <w:rPr>
          <w:sz w:val="24"/>
          <w:szCs w:val="24"/>
        </w:rPr>
        <w:t>2100 København Ø</w:t>
      </w:r>
    </w:p>
    <w:p w14:paraId="5D15EF52" w14:textId="77777777" w:rsidR="008A24F6" w:rsidRPr="00B108A6" w:rsidRDefault="008A24F6" w:rsidP="00331F85">
      <w:pPr>
        <w:tabs>
          <w:tab w:val="left" w:pos="851"/>
        </w:tabs>
        <w:ind w:left="851"/>
        <w:jc w:val="both"/>
        <w:rPr>
          <w:sz w:val="24"/>
          <w:szCs w:val="24"/>
        </w:rPr>
      </w:pPr>
    </w:p>
    <w:p w14:paraId="2D8AF91A" w14:textId="77777777" w:rsidR="007C5D2A" w:rsidRPr="00B108A6" w:rsidRDefault="007C5D2A" w:rsidP="00331F85">
      <w:pPr>
        <w:ind w:left="851" w:hanging="851"/>
        <w:jc w:val="both"/>
        <w:rPr>
          <w:b/>
          <w:sz w:val="24"/>
          <w:szCs w:val="24"/>
        </w:rPr>
      </w:pPr>
      <w:r w:rsidRPr="00B108A6">
        <w:rPr>
          <w:b/>
          <w:sz w:val="24"/>
          <w:szCs w:val="24"/>
        </w:rPr>
        <w:t>8.</w:t>
      </w:r>
      <w:r w:rsidRPr="00B108A6">
        <w:rPr>
          <w:b/>
          <w:sz w:val="24"/>
          <w:szCs w:val="24"/>
        </w:rPr>
        <w:tab/>
        <w:t>MARKETING AUTHORISATION NUMBER(S)</w:t>
      </w:r>
    </w:p>
    <w:p w14:paraId="47832BE4" w14:textId="0AB89B80" w:rsidR="007C5D2A" w:rsidRPr="008B6773" w:rsidRDefault="005E09AD" w:rsidP="00331F85">
      <w:pPr>
        <w:tabs>
          <w:tab w:val="left" w:pos="851"/>
        </w:tabs>
        <w:ind w:left="851"/>
        <w:jc w:val="both"/>
        <w:rPr>
          <w:sz w:val="24"/>
          <w:szCs w:val="24"/>
          <w:lang w:val="en-US"/>
        </w:rPr>
      </w:pPr>
      <w:r w:rsidRPr="008B6773">
        <w:rPr>
          <w:sz w:val="24"/>
          <w:szCs w:val="24"/>
          <w:lang w:val="en-US"/>
        </w:rPr>
        <w:t>33442</w:t>
      </w:r>
    </w:p>
    <w:p w14:paraId="0E37B4AE" w14:textId="77777777" w:rsidR="007C5D2A" w:rsidRPr="008B6773" w:rsidRDefault="007C5D2A" w:rsidP="00331F85">
      <w:pPr>
        <w:tabs>
          <w:tab w:val="left" w:pos="851"/>
        </w:tabs>
        <w:ind w:left="851"/>
        <w:jc w:val="both"/>
        <w:rPr>
          <w:sz w:val="24"/>
          <w:szCs w:val="24"/>
          <w:lang w:val="en-US"/>
        </w:rPr>
      </w:pPr>
    </w:p>
    <w:p w14:paraId="0A1B2B71" w14:textId="77777777" w:rsidR="007C5D2A" w:rsidRPr="00B108A6" w:rsidRDefault="007C5D2A" w:rsidP="00331F85">
      <w:pPr>
        <w:tabs>
          <w:tab w:val="left" w:pos="851"/>
        </w:tabs>
        <w:jc w:val="both"/>
        <w:rPr>
          <w:sz w:val="24"/>
          <w:szCs w:val="24"/>
          <w:lang w:val="en-GB"/>
        </w:rPr>
      </w:pPr>
      <w:r w:rsidRPr="00B108A6">
        <w:rPr>
          <w:b/>
          <w:sz w:val="24"/>
          <w:szCs w:val="24"/>
          <w:lang w:val="en-GB"/>
        </w:rPr>
        <w:t>9.</w:t>
      </w:r>
      <w:r w:rsidRPr="00B108A6">
        <w:rPr>
          <w:b/>
          <w:sz w:val="24"/>
          <w:szCs w:val="24"/>
          <w:lang w:val="en-GB"/>
        </w:rPr>
        <w:tab/>
        <w:t>DATE OF FIRST AUTHORISATION</w:t>
      </w:r>
    </w:p>
    <w:p w14:paraId="4F5E3251" w14:textId="0D036517" w:rsidR="007C5D2A" w:rsidRPr="00B108A6" w:rsidRDefault="005E09AD" w:rsidP="00331F85">
      <w:pPr>
        <w:ind w:left="851"/>
        <w:jc w:val="both"/>
        <w:rPr>
          <w:sz w:val="24"/>
          <w:szCs w:val="24"/>
          <w:lang w:val="en-GB"/>
        </w:rPr>
      </w:pPr>
      <w:r w:rsidRPr="00B108A6">
        <w:rPr>
          <w:sz w:val="24"/>
          <w:szCs w:val="24"/>
          <w:lang w:val="en-GB"/>
        </w:rPr>
        <w:t>6 March 2003</w:t>
      </w:r>
    </w:p>
    <w:p w14:paraId="6BBD23F7" w14:textId="77777777" w:rsidR="007C5D2A" w:rsidRPr="00B108A6" w:rsidRDefault="007C5D2A" w:rsidP="00331F85">
      <w:pPr>
        <w:tabs>
          <w:tab w:val="left" w:pos="851"/>
        </w:tabs>
        <w:ind w:left="851"/>
        <w:jc w:val="both"/>
        <w:rPr>
          <w:sz w:val="24"/>
          <w:szCs w:val="24"/>
          <w:lang w:val="en-GB"/>
        </w:rPr>
      </w:pPr>
    </w:p>
    <w:p w14:paraId="5219B311" w14:textId="77777777" w:rsidR="007C5D2A" w:rsidRPr="00B108A6" w:rsidRDefault="007C5D2A" w:rsidP="00331F85">
      <w:pPr>
        <w:tabs>
          <w:tab w:val="left" w:pos="851"/>
        </w:tabs>
        <w:jc w:val="both"/>
        <w:rPr>
          <w:sz w:val="24"/>
          <w:szCs w:val="24"/>
          <w:lang w:val="en-GB"/>
        </w:rPr>
      </w:pPr>
      <w:r w:rsidRPr="00B108A6">
        <w:rPr>
          <w:b/>
          <w:sz w:val="24"/>
          <w:szCs w:val="24"/>
          <w:lang w:val="en-GB"/>
        </w:rPr>
        <w:t>10.</w:t>
      </w:r>
      <w:r w:rsidRPr="00B108A6">
        <w:rPr>
          <w:b/>
          <w:sz w:val="24"/>
          <w:szCs w:val="24"/>
          <w:lang w:val="en-GB"/>
        </w:rPr>
        <w:tab/>
        <w:t>DATE OF REVISION OF THE TEXT</w:t>
      </w:r>
    </w:p>
    <w:p w14:paraId="3EF7623A" w14:textId="4D2BCA1C" w:rsidR="007C5D2A" w:rsidRPr="00B108A6" w:rsidRDefault="00273F2B" w:rsidP="00F34CCE">
      <w:pPr>
        <w:tabs>
          <w:tab w:val="left" w:pos="851"/>
        </w:tabs>
        <w:ind w:left="851"/>
        <w:jc w:val="both"/>
        <w:rPr>
          <w:sz w:val="24"/>
          <w:szCs w:val="24"/>
          <w:lang w:val="en-GB"/>
        </w:rPr>
      </w:pPr>
      <w:r>
        <w:rPr>
          <w:sz w:val="24"/>
          <w:szCs w:val="24"/>
          <w:lang w:val="en-GB"/>
        </w:rPr>
        <w:t>14</w:t>
      </w:r>
      <w:r w:rsidR="00F34CCE" w:rsidRPr="00F34CCE">
        <w:rPr>
          <w:sz w:val="24"/>
          <w:szCs w:val="24"/>
          <w:lang w:val="en-GB"/>
        </w:rPr>
        <w:t xml:space="preserve"> </w:t>
      </w:r>
      <w:r>
        <w:rPr>
          <w:sz w:val="24"/>
          <w:szCs w:val="24"/>
          <w:lang w:val="en-GB"/>
        </w:rPr>
        <w:t>January</w:t>
      </w:r>
      <w:r w:rsidR="00F34CCE" w:rsidRPr="00F34CCE">
        <w:rPr>
          <w:sz w:val="24"/>
          <w:szCs w:val="24"/>
          <w:lang w:val="en-GB"/>
        </w:rPr>
        <w:t xml:space="preserve"> 202</w:t>
      </w:r>
      <w:r>
        <w:rPr>
          <w:sz w:val="24"/>
          <w:szCs w:val="24"/>
          <w:lang w:val="en-GB"/>
        </w:rPr>
        <w:t>5</w:t>
      </w:r>
      <w:bookmarkStart w:id="11" w:name="_GoBack"/>
      <w:bookmarkEnd w:id="11"/>
    </w:p>
    <w:sectPr w:rsidR="007C5D2A" w:rsidRPr="00B108A6" w:rsidSect="004A3BF4">
      <w:headerReference w:type="default" r:id="rId8"/>
      <w:footerReference w:type="default" r:id="rId9"/>
      <w:footerReference w:type="first" r:id="rId10"/>
      <w:pgSz w:w="11906" w:h="16838" w:code="9"/>
      <w:pgMar w:top="851" w:right="1134" w:bottom="170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F56099" w14:textId="77777777" w:rsidR="00F34CCE" w:rsidRDefault="00F34CCE">
      <w:r>
        <w:separator/>
      </w:r>
    </w:p>
  </w:endnote>
  <w:endnote w:type="continuationSeparator" w:id="0">
    <w:p w14:paraId="7A19DEC5" w14:textId="77777777" w:rsidR="00F34CCE" w:rsidRDefault="00F34C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3676A4" w14:textId="77777777" w:rsidR="00F34CCE" w:rsidRDefault="00F34CCE">
    <w:pPr>
      <w:pStyle w:val="Sidefod"/>
      <w:pBdr>
        <w:bottom w:val="single" w:sz="6" w:space="1" w:color="auto"/>
      </w:pBdr>
    </w:pPr>
  </w:p>
  <w:p w14:paraId="66722B1F" w14:textId="77777777" w:rsidR="00F34CCE" w:rsidRDefault="00F34CCE">
    <w:pPr>
      <w:pStyle w:val="Sidefod"/>
      <w:tabs>
        <w:tab w:val="clear" w:pos="4819"/>
        <w:tab w:val="left" w:pos="8647"/>
      </w:tabs>
      <w:rPr>
        <w:i/>
        <w:snapToGrid w:val="0"/>
        <w:sz w:val="18"/>
      </w:rPr>
    </w:pPr>
  </w:p>
  <w:p w14:paraId="44ED3148" w14:textId="5BF0A169" w:rsidR="00F34CCE" w:rsidRDefault="00F34CCE" w:rsidP="00AC033C">
    <w:pPr>
      <w:pStyle w:val="Sidefod"/>
      <w:tabs>
        <w:tab w:val="clear" w:pos="4819"/>
        <w:tab w:val="left" w:pos="8364"/>
      </w:tabs>
      <w:rPr>
        <w:i/>
        <w:sz w:val="18"/>
      </w:rPr>
    </w:pPr>
    <w:r>
      <w:rPr>
        <w:i/>
        <w:snapToGrid w:val="0"/>
        <w:sz w:val="18"/>
      </w:rPr>
      <w:fldChar w:fldCharType="begin"/>
    </w:r>
    <w:r>
      <w:rPr>
        <w:i/>
        <w:snapToGrid w:val="0"/>
        <w:sz w:val="18"/>
      </w:rPr>
      <w:instrText xml:space="preserve"> FILENAME </w:instrText>
    </w:r>
    <w:r>
      <w:rPr>
        <w:i/>
        <w:snapToGrid w:val="0"/>
        <w:sz w:val="18"/>
      </w:rPr>
      <w:fldChar w:fldCharType="separate"/>
    </w:r>
    <w:r w:rsidR="000F5286">
      <w:rPr>
        <w:i/>
        <w:noProof/>
        <w:snapToGrid w:val="0"/>
        <w:sz w:val="18"/>
      </w:rPr>
      <w:t>Repevax, injektionsvæske, suspension i fyldt injektionssprøjte</w:t>
    </w:r>
    <w:r>
      <w:rPr>
        <w:i/>
        <w:snapToGrid w:val="0"/>
        <w:sz w:val="18"/>
      </w:rPr>
      <w:fldChar w:fldCharType="end"/>
    </w:r>
    <w:r>
      <w:rPr>
        <w:i/>
        <w:snapToGrid w:val="0"/>
        <w:sz w:val="18"/>
      </w:rPr>
      <w:tab/>
      <w:t xml:space="preserve">Page </w:t>
    </w:r>
    <w:r>
      <w:rPr>
        <w:i/>
        <w:snapToGrid w:val="0"/>
        <w:sz w:val="18"/>
      </w:rPr>
      <w:fldChar w:fldCharType="begin"/>
    </w:r>
    <w:r>
      <w:rPr>
        <w:i/>
        <w:snapToGrid w:val="0"/>
        <w:sz w:val="18"/>
      </w:rPr>
      <w:instrText xml:space="preserve"> PAGE </w:instrText>
    </w:r>
    <w:r>
      <w:rPr>
        <w:i/>
        <w:snapToGrid w:val="0"/>
        <w:sz w:val="18"/>
      </w:rPr>
      <w:fldChar w:fldCharType="separate"/>
    </w:r>
    <w:r>
      <w:rPr>
        <w:i/>
        <w:noProof/>
        <w:snapToGrid w:val="0"/>
        <w:sz w:val="18"/>
      </w:rPr>
      <w:t>1</w:t>
    </w:r>
    <w:r>
      <w:rPr>
        <w:i/>
        <w:snapToGrid w:val="0"/>
        <w:sz w:val="18"/>
      </w:rPr>
      <w:fldChar w:fldCharType="end"/>
    </w:r>
    <w:r>
      <w:rPr>
        <w:i/>
        <w:snapToGrid w:val="0"/>
        <w:sz w:val="18"/>
      </w:rPr>
      <w:t xml:space="preserve"> of </w:t>
    </w:r>
    <w:r>
      <w:rPr>
        <w:i/>
        <w:snapToGrid w:val="0"/>
        <w:sz w:val="18"/>
      </w:rPr>
      <w:fldChar w:fldCharType="begin"/>
    </w:r>
    <w:r>
      <w:rPr>
        <w:i/>
        <w:snapToGrid w:val="0"/>
        <w:sz w:val="18"/>
      </w:rPr>
      <w:instrText xml:space="preserve"> NUMPAGES </w:instrText>
    </w:r>
    <w:r>
      <w:rPr>
        <w:i/>
        <w:snapToGrid w:val="0"/>
        <w:sz w:val="18"/>
      </w:rPr>
      <w:fldChar w:fldCharType="separate"/>
    </w:r>
    <w:r>
      <w:rPr>
        <w:i/>
        <w:noProof/>
        <w:snapToGrid w:val="0"/>
        <w:sz w:val="18"/>
      </w:rPr>
      <w:t>3</w:t>
    </w:r>
    <w:r>
      <w:rPr>
        <w:i/>
        <w:snapToGrid w:val="0"/>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1DB664" w14:textId="77777777" w:rsidR="00F34CCE" w:rsidRDefault="00F34CCE">
    <w:pPr>
      <w:pStyle w:val="Sidefod"/>
      <w:pBdr>
        <w:bottom w:val="single" w:sz="6" w:space="1" w:color="auto"/>
      </w:pBdr>
      <w:tabs>
        <w:tab w:val="clear" w:pos="4819"/>
        <w:tab w:val="left" w:pos="8789"/>
      </w:tabs>
      <w:rPr>
        <w:i/>
        <w:snapToGrid w:val="0"/>
        <w:sz w:val="18"/>
      </w:rPr>
    </w:pPr>
  </w:p>
  <w:p w14:paraId="44EAD320" w14:textId="77777777" w:rsidR="00F34CCE" w:rsidRDefault="00F34CCE">
    <w:pPr>
      <w:pStyle w:val="Sidefod"/>
      <w:tabs>
        <w:tab w:val="clear" w:pos="4819"/>
        <w:tab w:val="left" w:pos="8789"/>
      </w:tabs>
      <w:rPr>
        <w:i/>
        <w:snapToGrid w:val="0"/>
        <w:sz w:val="18"/>
      </w:rPr>
    </w:pPr>
  </w:p>
  <w:p w14:paraId="7FB24052" w14:textId="2825033B" w:rsidR="00F34CCE" w:rsidRDefault="00F34CCE">
    <w:pPr>
      <w:pStyle w:val="Sidefod"/>
      <w:tabs>
        <w:tab w:val="clear" w:pos="4819"/>
        <w:tab w:val="left" w:pos="8647"/>
      </w:tabs>
      <w:rPr>
        <w:i/>
        <w:sz w:val="18"/>
      </w:rPr>
    </w:pPr>
    <w:r>
      <w:rPr>
        <w:i/>
        <w:snapToGrid w:val="0"/>
        <w:sz w:val="18"/>
      </w:rPr>
      <w:fldChar w:fldCharType="begin"/>
    </w:r>
    <w:r>
      <w:rPr>
        <w:i/>
        <w:snapToGrid w:val="0"/>
        <w:sz w:val="18"/>
      </w:rPr>
      <w:instrText xml:space="preserve"> FILENAME </w:instrText>
    </w:r>
    <w:r>
      <w:rPr>
        <w:i/>
        <w:snapToGrid w:val="0"/>
        <w:sz w:val="18"/>
      </w:rPr>
      <w:fldChar w:fldCharType="separate"/>
    </w:r>
    <w:r w:rsidR="000F5286">
      <w:rPr>
        <w:i/>
        <w:noProof/>
        <w:snapToGrid w:val="0"/>
        <w:sz w:val="18"/>
      </w:rPr>
      <w:t>Repevax, injektionsvæske, suspension i fyldt injektionssprøjte</w:t>
    </w:r>
    <w:r>
      <w:rPr>
        <w:i/>
        <w:snapToGrid w:val="0"/>
        <w:sz w:val="18"/>
      </w:rPr>
      <w:fldChar w:fldCharType="end"/>
    </w:r>
    <w:r>
      <w:rPr>
        <w:i/>
        <w:snapToGrid w:val="0"/>
        <w:sz w:val="18"/>
      </w:rPr>
      <w:tab/>
      <w:t xml:space="preserve">Page </w:t>
    </w:r>
    <w:r>
      <w:rPr>
        <w:i/>
        <w:snapToGrid w:val="0"/>
        <w:sz w:val="18"/>
      </w:rPr>
      <w:fldChar w:fldCharType="begin"/>
    </w:r>
    <w:r>
      <w:rPr>
        <w:i/>
        <w:snapToGrid w:val="0"/>
        <w:sz w:val="18"/>
      </w:rPr>
      <w:instrText xml:space="preserve"> PAGE </w:instrText>
    </w:r>
    <w:r>
      <w:rPr>
        <w:i/>
        <w:snapToGrid w:val="0"/>
        <w:sz w:val="18"/>
      </w:rPr>
      <w:fldChar w:fldCharType="separate"/>
    </w:r>
    <w:r>
      <w:rPr>
        <w:i/>
        <w:noProof/>
        <w:snapToGrid w:val="0"/>
        <w:sz w:val="18"/>
      </w:rPr>
      <w:t>1</w:t>
    </w:r>
    <w:r>
      <w:rPr>
        <w:i/>
        <w:snapToGrid w:val="0"/>
        <w:sz w:val="18"/>
      </w:rPr>
      <w:fldChar w:fldCharType="end"/>
    </w:r>
    <w:r>
      <w:rPr>
        <w:i/>
        <w:snapToGrid w:val="0"/>
        <w:sz w:val="18"/>
      </w:rPr>
      <w:t xml:space="preserve"> of </w:t>
    </w:r>
    <w:r>
      <w:rPr>
        <w:i/>
        <w:snapToGrid w:val="0"/>
        <w:sz w:val="18"/>
      </w:rPr>
      <w:fldChar w:fldCharType="begin"/>
    </w:r>
    <w:r>
      <w:rPr>
        <w:i/>
        <w:snapToGrid w:val="0"/>
        <w:sz w:val="18"/>
      </w:rPr>
      <w:instrText xml:space="preserve"> NUMPAGES </w:instrText>
    </w:r>
    <w:r>
      <w:rPr>
        <w:i/>
        <w:snapToGrid w:val="0"/>
        <w:sz w:val="18"/>
      </w:rPr>
      <w:fldChar w:fldCharType="separate"/>
    </w:r>
    <w:r>
      <w:rPr>
        <w:i/>
        <w:noProof/>
        <w:snapToGrid w:val="0"/>
        <w:sz w:val="18"/>
      </w:rPr>
      <w:t>3</w:t>
    </w:r>
    <w:r>
      <w:rPr>
        <w:i/>
        <w:snapToGrid w:val="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31EB2D" w14:textId="77777777" w:rsidR="00F34CCE" w:rsidRDefault="00F34CCE">
      <w:r>
        <w:separator/>
      </w:r>
    </w:p>
  </w:footnote>
  <w:footnote w:type="continuationSeparator" w:id="0">
    <w:p w14:paraId="27B0A2FD" w14:textId="77777777" w:rsidR="00F34CCE" w:rsidRDefault="00F34C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434E1D" w14:textId="77777777" w:rsidR="00F34CCE" w:rsidRDefault="00F34CCE">
    <w:pPr>
      <w:pStyle w:val="Sidehoved"/>
      <w:jc w:val="right"/>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01F08B80"/>
    <w:lvl w:ilvl="0">
      <w:start w:val="1"/>
      <w:numFmt w:val="bullet"/>
      <w:pStyle w:val="Opstilling-punkttegn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A3FEED2A"/>
    <w:lvl w:ilvl="0">
      <w:start w:val="1"/>
      <w:numFmt w:val="bullet"/>
      <w:pStyle w:val="Opstilling-punkttegn4"/>
      <w:lvlText w:val=""/>
      <w:lvlJc w:val="left"/>
      <w:pPr>
        <w:tabs>
          <w:tab w:val="num" w:pos="1209"/>
        </w:tabs>
        <w:ind w:left="1209" w:hanging="360"/>
      </w:pPr>
      <w:rPr>
        <w:rFonts w:ascii="Symbol" w:hAnsi="Symbol" w:hint="default"/>
      </w:rPr>
    </w:lvl>
  </w:abstractNum>
  <w:abstractNum w:abstractNumId="2" w15:restartNumberingAfterBreak="0">
    <w:nsid w:val="FFFFFF89"/>
    <w:multiLevelType w:val="singleLevel"/>
    <w:tmpl w:val="AB4C2990"/>
    <w:lvl w:ilvl="0">
      <w:start w:val="1"/>
      <w:numFmt w:val="bullet"/>
      <w:pStyle w:val="Opstilling-punkttegn"/>
      <w:lvlText w:val=""/>
      <w:lvlJc w:val="left"/>
      <w:pPr>
        <w:tabs>
          <w:tab w:val="num" w:pos="360"/>
        </w:tabs>
        <w:ind w:left="360" w:hanging="360"/>
      </w:pPr>
      <w:rPr>
        <w:rFonts w:ascii="Symbol" w:hAnsi="Symbol" w:hint="default"/>
      </w:rPr>
    </w:lvl>
  </w:abstractNum>
  <w:abstractNum w:abstractNumId="3" w15:restartNumberingAfterBreak="0">
    <w:nsid w:val="01931A86"/>
    <w:multiLevelType w:val="multilevel"/>
    <w:tmpl w:val="D4ECF4E0"/>
    <w:lvl w:ilvl="0">
      <w:start w:val="4"/>
      <w:numFmt w:val="decimal"/>
      <w:lvlText w:val="%1."/>
      <w:lvlJc w:val="left"/>
      <w:pPr>
        <w:tabs>
          <w:tab w:val="num" w:pos="855"/>
        </w:tabs>
        <w:ind w:left="855" w:hanging="855"/>
      </w:pPr>
      <w:rPr>
        <w:rFonts w:hint="default"/>
      </w:rPr>
    </w:lvl>
    <w:lvl w:ilvl="1">
      <w:start w:val="1"/>
      <w:numFmt w:val="decimal"/>
      <w:isLgl/>
      <w:lvlText w:val="%1.%2"/>
      <w:lvlJc w:val="left"/>
      <w:pPr>
        <w:tabs>
          <w:tab w:val="num" w:pos="360"/>
        </w:tabs>
        <w:ind w:left="360" w:hanging="360"/>
      </w:pPr>
      <w:rPr>
        <w:rFonts w:hint="default"/>
        <w:u w:val="none"/>
      </w:rPr>
    </w:lvl>
    <w:lvl w:ilvl="2">
      <w:start w:val="1"/>
      <w:numFmt w:val="decimal"/>
      <w:isLgl/>
      <w:lvlText w:val="%1.%2.%3"/>
      <w:lvlJc w:val="left"/>
      <w:pPr>
        <w:tabs>
          <w:tab w:val="num" w:pos="720"/>
        </w:tabs>
        <w:ind w:left="720" w:hanging="720"/>
      </w:pPr>
      <w:rPr>
        <w:rFonts w:hint="default"/>
        <w:u w:val="none"/>
      </w:rPr>
    </w:lvl>
    <w:lvl w:ilvl="3">
      <w:start w:val="1"/>
      <w:numFmt w:val="decimal"/>
      <w:isLgl/>
      <w:lvlText w:val="%1.%2.%3.%4"/>
      <w:lvlJc w:val="left"/>
      <w:pPr>
        <w:tabs>
          <w:tab w:val="num" w:pos="720"/>
        </w:tabs>
        <w:ind w:left="720" w:hanging="720"/>
      </w:pPr>
      <w:rPr>
        <w:rFonts w:hint="default"/>
        <w:u w:val="none"/>
      </w:rPr>
    </w:lvl>
    <w:lvl w:ilvl="4">
      <w:start w:val="1"/>
      <w:numFmt w:val="decimal"/>
      <w:isLgl/>
      <w:lvlText w:val="%1.%2.%3.%4.%5"/>
      <w:lvlJc w:val="left"/>
      <w:pPr>
        <w:tabs>
          <w:tab w:val="num" w:pos="1080"/>
        </w:tabs>
        <w:ind w:left="1080" w:hanging="1080"/>
      </w:pPr>
      <w:rPr>
        <w:rFonts w:hint="default"/>
        <w:u w:val="none"/>
      </w:rPr>
    </w:lvl>
    <w:lvl w:ilvl="5">
      <w:start w:val="1"/>
      <w:numFmt w:val="decimal"/>
      <w:isLgl/>
      <w:lvlText w:val="%1.%2.%3.%4.%5.%6"/>
      <w:lvlJc w:val="left"/>
      <w:pPr>
        <w:tabs>
          <w:tab w:val="num" w:pos="1080"/>
        </w:tabs>
        <w:ind w:left="1080" w:hanging="1080"/>
      </w:pPr>
      <w:rPr>
        <w:rFonts w:hint="default"/>
        <w:u w:val="none"/>
      </w:rPr>
    </w:lvl>
    <w:lvl w:ilvl="6">
      <w:start w:val="1"/>
      <w:numFmt w:val="decimal"/>
      <w:isLgl/>
      <w:lvlText w:val="%1.%2.%3.%4.%5.%6.%7"/>
      <w:lvlJc w:val="left"/>
      <w:pPr>
        <w:tabs>
          <w:tab w:val="num" w:pos="1440"/>
        </w:tabs>
        <w:ind w:left="1440" w:hanging="1440"/>
      </w:pPr>
      <w:rPr>
        <w:rFonts w:hint="default"/>
        <w:u w:val="none"/>
      </w:rPr>
    </w:lvl>
    <w:lvl w:ilvl="7">
      <w:start w:val="1"/>
      <w:numFmt w:val="decimal"/>
      <w:isLgl/>
      <w:lvlText w:val="%1.%2.%3.%4.%5.%6.%7.%8"/>
      <w:lvlJc w:val="left"/>
      <w:pPr>
        <w:tabs>
          <w:tab w:val="num" w:pos="1440"/>
        </w:tabs>
        <w:ind w:left="1440" w:hanging="1440"/>
      </w:pPr>
      <w:rPr>
        <w:rFonts w:hint="default"/>
        <w:u w:val="none"/>
      </w:rPr>
    </w:lvl>
    <w:lvl w:ilvl="8">
      <w:start w:val="1"/>
      <w:numFmt w:val="decimal"/>
      <w:isLgl/>
      <w:lvlText w:val="%1.%2.%3.%4.%5.%6.%7.%8.%9"/>
      <w:lvlJc w:val="left"/>
      <w:pPr>
        <w:tabs>
          <w:tab w:val="num" w:pos="1800"/>
        </w:tabs>
        <w:ind w:left="1800" w:hanging="1800"/>
      </w:pPr>
      <w:rPr>
        <w:rFonts w:hint="default"/>
        <w:u w:val="none"/>
      </w:rPr>
    </w:lvl>
  </w:abstractNum>
  <w:abstractNum w:abstractNumId="4" w15:restartNumberingAfterBreak="0">
    <w:nsid w:val="03C2602A"/>
    <w:multiLevelType w:val="hybridMultilevel"/>
    <w:tmpl w:val="EC8C595A"/>
    <w:lvl w:ilvl="0" w:tplc="0406000F">
      <w:start w:val="1"/>
      <w:numFmt w:val="decimal"/>
      <w:lvlText w:val="%1."/>
      <w:lvlJc w:val="left"/>
      <w:pPr>
        <w:tabs>
          <w:tab w:val="num" w:pos="360"/>
        </w:tabs>
        <w:ind w:left="360" w:hanging="360"/>
      </w:pPr>
    </w:lvl>
    <w:lvl w:ilvl="1" w:tplc="04060019" w:tentative="1">
      <w:start w:val="1"/>
      <w:numFmt w:val="lowerLetter"/>
      <w:lvlText w:val="%2."/>
      <w:lvlJc w:val="left"/>
      <w:pPr>
        <w:tabs>
          <w:tab w:val="num" w:pos="1080"/>
        </w:tabs>
        <w:ind w:left="1080" w:hanging="360"/>
      </w:pPr>
    </w:lvl>
    <w:lvl w:ilvl="2" w:tplc="0406001B" w:tentative="1">
      <w:start w:val="1"/>
      <w:numFmt w:val="lowerRoman"/>
      <w:lvlText w:val="%3."/>
      <w:lvlJc w:val="right"/>
      <w:pPr>
        <w:tabs>
          <w:tab w:val="num" w:pos="1800"/>
        </w:tabs>
        <w:ind w:left="1800" w:hanging="180"/>
      </w:pPr>
    </w:lvl>
    <w:lvl w:ilvl="3" w:tplc="0406000F" w:tentative="1">
      <w:start w:val="1"/>
      <w:numFmt w:val="decimal"/>
      <w:lvlText w:val="%4."/>
      <w:lvlJc w:val="left"/>
      <w:pPr>
        <w:tabs>
          <w:tab w:val="num" w:pos="2520"/>
        </w:tabs>
        <w:ind w:left="2520" w:hanging="360"/>
      </w:pPr>
    </w:lvl>
    <w:lvl w:ilvl="4" w:tplc="04060019" w:tentative="1">
      <w:start w:val="1"/>
      <w:numFmt w:val="lowerLetter"/>
      <w:lvlText w:val="%5."/>
      <w:lvlJc w:val="left"/>
      <w:pPr>
        <w:tabs>
          <w:tab w:val="num" w:pos="3240"/>
        </w:tabs>
        <w:ind w:left="3240" w:hanging="360"/>
      </w:pPr>
    </w:lvl>
    <w:lvl w:ilvl="5" w:tplc="0406001B" w:tentative="1">
      <w:start w:val="1"/>
      <w:numFmt w:val="lowerRoman"/>
      <w:lvlText w:val="%6."/>
      <w:lvlJc w:val="right"/>
      <w:pPr>
        <w:tabs>
          <w:tab w:val="num" w:pos="3960"/>
        </w:tabs>
        <w:ind w:left="3960" w:hanging="180"/>
      </w:pPr>
    </w:lvl>
    <w:lvl w:ilvl="6" w:tplc="0406000F" w:tentative="1">
      <w:start w:val="1"/>
      <w:numFmt w:val="decimal"/>
      <w:lvlText w:val="%7."/>
      <w:lvlJc w:val="left"/>
      <w:pPr>
        <w:tabs>
          <w:tab w:val="num" w:pos="4680"/>
        </w:tabs>
        <w:ind w:left="4680" w:hanging="360"/>
      </w:pPr>
    </w:lvl>
    <w:lvl w:ilvl="7" w:tplc="04060019" w:tentative="1">
      <w:start w:val="1"/>
      <w:numFmt w:val="lowerLetter"/>
      <w:lvlText w:val="%8."/>
      <w:lvlJc w:val="left"/>
      <w:pPr>
        <w:tabs>
          <w:tab w:val="num" w:pos="5400"/>
        </w:tabs>
        <w:ind w:left="5400" w:hanging="360"/>
      </w:pPr>
    </w:lvl>
    <w:lvl w:ilvl="8" w:tplc="0406001B" w:tentative="1">
      <w:start w:val="1"/>
      <w:numFmt w:val="lowerRoman"/>
      <w:lvlText w:val="%9."/>
      <w:lvlJc w:val="right"/>
      <w:pPr>
        <w:tabs>
          <w:tab w:val="num" w:pos="6120"/>
        </w:tabs>
        <w:ind w:left="6120" w:hanging="180"/>
      </w:pPr>
    </w:lvl>
  </w:abstractNum>
  <w:abstractNum w:abstractNumId="5" w15:restartNumberingAfterBreak="0">
    <w:nsid w:val="0839362E"/>
    <w:multiLevelType w:val="singleLevel"/>
    <w:tmpl w:val="98E61804"/>
    <w:lvl w:ilvl="0">
      <w:start w:val="1"/>
      <w:numFmt w:val="bullet"/>
      <w:pStyle w:val="Opstilling-punkttegn3"/>
      <w:lvlText w:val=""/>
      <w:lvlJc w:val="left"/>
      <w:pPr>
        <w:tabs>
          <w:tab w:val="num" w:pos="360"/>
        </w:tabs>
        <w:ind w:left="216" w:hanging="216"/>
      </w:pPr>
      <w:rPr>
        <w:rFonts w:ascii="Symbol" w:hAnsi="Symbol" w:hint="default"/>
      </w:rPr>
    </w:lvl>
  </w:abstractNum>
  <w:abstractNum w:abstractNumId="6" w15:restartNumberingAfterBreak="0">
    <w:nsid w:val="0B3A60A4"/>
    <w:multiLevelType w:val="hybridMultilevel"/>
    <w:tmpl w:val="985214D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7" w15:restartNumberingAfterBreak="0">
    <w:nsid w:val="14C1732C"/>
    <w:multiLevelType w:val="multilevel"/>
    <w:tmpl w:val="7BE2F61C"/>
    <w:lvl w:ilvl="0">
      <w:start w:val="6"/>
      <w:numFmt w:val="decimal"/>
      <w:lvlText w:val="%1"/>
      <w:lvlJc w:val="left"/>
      <w:pPr>
        <w:tabs>
          <w:tab w:val="num" w:pos="855"/>
        </w:tabs>
        <w:ind w:left="855" w:hanging="855"/>
      </w:pPr>
      <w:rPr>
        <w:rFonts w:hint="default"/>
      </w:rPr>
    </w:lvl>
    <w:lvl w:ilvl="1">
      <w:start w:val="1"/>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17B94438"/>
    <w:multiLevelType w:val="hybridMultilevel"/>
    <w:tmpl w:val="C696F632"/>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9" w15:restartNumberingAfterBreak="0">
    <w:nsid w:val="19187563"/>
    <w:multiLevelType w:val="hybridMultilevel"/>
    <w:tmpl w:val="7FE281B2"/>
    <w:lvl w:ilvl="0" w:tplc="FFFFFFFF">
      <w:start w:val="1"/>
      <w:numFmt w:val="lowerLetter"/>
      <w:pStyle w:val="Opstilling-talellerbogst2"/>
      <w:lvlText w:val="%1)"/>
      <w:lvlJc w:val="left"/>
      <w:pPr>
        <w:tabs>
          <w:tab w:val="num" w:pos="851"/>
        </w:tabs>
        <w:ind w:left="851" w:hanging="426"/>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0" w15:restartNumberingAfterBreak="0">
    <w:nsid w:val="1EB8244A"/>
    <w:multiLevelType w:val="multilevel"/>
    <w:tmpl w:val="C62E82D2"/>
    <w:lvl w:ilvl="0">
      <w:start w:val="1"/>
      <w:numFmt w:val="bullet"/>
      <w:lvlText w:val=""/>
      <w:lvlJc w:val="left"/>
      <w:pPr>
        <w:ind w:left="360" w:hanging="360"/>
      </w:pPr>
      <w:rPr>
        <w:rFonts w:ascii="Symbol" w:hAnsi="Symbol" w:hint="default"/>
      </w:rPr>
    </w:lvl>
    <w:lvl w:ilvl="1">
      <w:start w:val="2"/>
      <w:numFmt w:val="decimal"/>
      <w:isLgl/>
      <w:lvlText w:val="%1.%2"/>
      <w:lvlJc w:val="left"/>
      <w:pPr>
        <w:ind w:left="360" w:hanging="36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11" w15:restartNumberingAfterBreak="0">
    <w:nsid w:val="202B3A5E"/>
    <w:multiLevelType w:val="multilevel"/>
    <w:tmpl w:val="76263460"/>
    <w:lvl w:ilvl="0">
      <w:start w:val="1"/>
      <w:numFmt w:val="upperRoman"/>
      <w:pStyle w:val="AHeader1"/>
      <w:lvlText w:val="%1"/>
      <w:lvlJc w:val="left"/>
      <w:pPr>
        <w:tabs>
          <w:tab w:val="num" w:pos="720"/>
        </w:tabs>
        <w:ind w:left="284" w:hanging="284"/>
      </w:pPr>
      <w:rPr>
        <w:rFonts w:ascii="Arial" w:hAnsi="Arial" w:cs="Times New Roman" w:hint="default"/>
        <w:b/>
        <w:i w:val="0"/>
        <w:sz w:val="24"/>
      </w:rPr>
    </w:lvl>
    <w:lvl w:ilvl="1">
      <w:start w:val="1"/>
      <w:numFmt w:val="decimal"/>
      <w:pStyle w:val="AHeader2"/>
      <w:lvlText w:val="%1.%2"/>
      <w:lvlJc w:val="left"/>
      <w:pPr>
        <w:tabs>
          <w:tab w:val="num" w:pos="709"/>
        </w:tabs>
        <w:ind w:left="709" w:hanging="425"/>
      </w:pPr>
      <w:rPr>
        <w:rFonts w:ascii="Arial" w:hAnsi="Arial" w:cs="Times New Roman" w:hint="default"/>
        <w:b/>
        <w:i w:val="0"/>
        <w:sz w:val="22"/>
      </w:rPr>
    </w:lvl>
    <w:lvl w:ilvl="2">
      <w:start w:val="1"/>
      <w:numFmt w:val="decimal"/>
      <w:pStyle w:val="AHeader3"/>
      <w:lvlText w:val="%1.%2.%3"/>
      <w:lvlJc w:val="left"/>
      <w:pPr>
        <w:tabs>
          <w:tab w:val="num" w:pos="1276"/>
        </w:tabs>
        <w:ind w:left="1276" w:hanging="567"/>
      </w:pPr>
      <w:rPr>
        <w:rFonts w:ascii="Arial" w:hAnsi="Arial" w:cs="Times New Roman" w:hint="default"/>
        <w:b/>
        <w:i w:val="0"/>
        <w:sz w:val="22"/>
      </w:rPr>
    </w:lvl>
    <w:lvl w:ilvl="3">
      <w:start w:val="1"/>
      <w:numFmt w:val="lowerLetter"/>
      <w:pStyle w:val="AHeader2abc"/>
      <w:lvlText w:val="%4)"/>
      <w:lvlJc w:val="left"/>
      <w:pPr>
        <w:tabs>
          <w:tab w:val="num" w:pos="1276"/>
        </w:tabs>
        <w:ind w:left="1276" w:hanging="567"/>
      </w:pPr>
      <w:rPr>
        <w:rFonts w:ascii="Arial" w:hAnsi="Arial" w:cs="Times New Roman" w:hint="default"/>
        <w:b w:val="0"/>
        <w:i w:val="0"/>
        <w:sz w:val="22"/>
      </w:rPr>
    </w:lvl>
    <w:lvl w:ilvl="4">
      <w:start w:val="1"/>
      <w:numFmt w:val="lowerLetter"/>
      <w:lvlRestart w:val="2"/>
      <w:pStyle w:val="AHeader3abc"/>
      <w:lvlText w:val="%5)"/>
      <w:lvlJc w:val="left"/>
      <w:pPr>
        <w:tabs>
          <w:tab w:val="num" w:pos="1701"/>
        </w:tabs>
        <w:ind w:left="1701" w:hanging="425"/>
      </w:pPr>
    </w:lvl>
    <w:lvl w:ilvl="5">
      <w:start w:val="1"/>
      <w:numFmt w:val="lowerLetter"/>
      <w:lvlText w:val="%6)"/>
      <w:lvlJc w:val="left"/>
      <w:pPr>
        <w:tabs>
          <w:tab w:val="num" w:pos="1663"/>
        </w:tabs>
        <w:ind w:left="1663" w:hanging="432"/>
      </w:pPr>
    </w:lvl>
    <w:lvl w:ilvl="6">
      <w:start w:val="1"/>
      <w:numFmt w:val="lowerRoman"/>
      <w:lvlText w:val="%7)"/>
      <w:lvlJc w:val="right"/>
      <w:pPr>
        <w:tabs>
          <w:tab w:val="num" w:pos="1807"/>
        </w:tabs>
        <w:ind w:left="1807" w:hanging="288"/>
      </w:pPr>
    </w:lvl>
    <w:lvl w:ilvl="7">
      <w:start w:val="1"/>
      <w:numFmt w:val="lowerLetter"/>
      <w:lvlText w:val="%8."/>
      <w:lvlJc w:val="left"/>
      <w:pPr>
        <w:tabs>
          <w:tab w:val="num" w:pos="1951"/>
        </w:tabs>
        <w:ind w:left="1951" w:hanging="432"/>
      </w:pPr>
    </w:lvl>
    <w:lvl w:ilvl="8">
      <w:start w:val="1"/>
      <w:numFmt w:val="lowerRoman"/>
      <w:lvlText w:val="%9."/>
      <w:lvlJc w:val="left"/>
      <w:pPr>
        <w:tabs>
          <w:tab w:val="num" w:pos="2671"/>
        </w:tabs>
        <w:ind w:left="2311" w:hanging="360"/>
      </w:pPr>
      <w:rPr>
        <w:rFonts w:ascii="Arial" w:hAnsi="Arial" w:cs="Times New Roman" w:hint="default"/>
        <w:b w:val="0"/>
        <w:i w:val="0"/>
        <w:sz w:val="22"/>
      </w:rPr>
    </w:lvl>
  </w:abstractNum>
  <w:abstractNum w:abstractNumId="12" w15:restartNumberingAfterBreak="0">
    <w:nsid w:val="24DE0D04"/>
    <w:multiLevelType w:val="hybridMultilevel"/>
    <w:tmpl w:val="EEA244E6"/>
    <w:lvl w:ilvl="0" w:tplc="FFFFFFFF">
      <w:start w:val="1"/>
      <w:numFmt w:val="lowerRoman"/>
      <w:pStyle w:val="Opstilling-talellerbogst3"/>
      <w:lvlText w:val="%1)"/>
      <w:lvlJc w:val="left"/>
      <w:pPr>
        <w:tabs>
          <w:tab w:val="num" w:pos="1571"/>
        </w:tabs>
        <w:ind w:left="1276" w:hanging="425"/>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3" w15:restartNumberingAfterBreak="0">
    <w:nsid w:val="29AA2B95"/>
    <w:multiLevelType w:val="hybridMultilevel"/>
    <w:tmpl w:val="5DD08B2C"/>
    <w:lvl w:ilvl="0" w:tplc="600ADFF8">
      <w:numFmt w:val="bullet"/>
      <w:lvlText w:val="-"/>
      <w:lvlJc w:val="left"/>
      <w:pPr>
        <w:ind w:left="1571" w:hanging="360"/>
      </w:pPr>
      <w:rPr>
        <w:rFonts w:ascii="Times New Roman" w:eastAsia="Times New Roman" w:hAnsi="Times New Roman" w:cs="Times New Roman" w:hint="default"/>
        <w:sz w:val="18"/>
        <w:szCs w:val="18"/>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14" w15:restartNumberingAfterBreak="0">
    <w:nsid w:val="2E6F1763"/>
    <w:multiLevelType w:val="multilevel"/>
    <w:tmpl w:val="24AAF2DA"/>
    <w:lvl w:ilvl="0">
      <w:start w:val="1"/>
      <w:numFmt w:val="decimal"/>
      <w:pStyle w:val="Overskrift1"/>
      <w:lvlText w:val="%1."/>
      <w:lvlJc w:val="left"/>
      <w:pPr>
        <w:tabs>
          <w:tab w:val="num" w:pos="567"/>
        </w:tabs>
        <w:ind w:left="567" w:hanging="567"/>
      </w:pPr>
    </w:lvl>
    <w:lvl w:ilvl="1">
      <w:start w:val="1"/>
      <w:numFmt w:val="decimal"/>
      <w:pStyle w:val="Overskrift2"/>
      <w:isLgl/>
      <w:lvlText w:val="%1.%2"/>
      <w:lvlJc w:val="left"/>
      <w:pPr>
        <w:tabs>
          <w:tab w:val="num" w:pos="709"/>
        </w:tabs>
        <w:ind w:left="709" w:hanging="709"/>
      </w:pPr>
    </w:lvl>
    <w:lvl w:ilvl="2">
      <w:start w:val="1"/>
      <w:numFmt w:val="decimal"/>
      <w:pStyle w:val="Overskrift3"/>
      <w:isLgl/>
      <w:lvlText w:val="%1.%2.%3"/>
      <w:lvlJc w:val="left"/>
      <w:pPr>
        <w:tabs>
          <w:tab w:val="num" w:pos="851"/>
        </w:tabs>
        <w:ind w:left="851" w:hanging="851"/>
      </w:pPr>
    </w:lvl>
    <w:lvl w:ilvl="3">
      <w:start w:val="1"/>
      <w:numFmt w:val="decimal"/>
      <w:pStyle w:val="Overskrift4"/>
      <w:isLgl/>
      <w:lvlText w:val="%1.%2.%3.%4"/>
      <w:lvlJc w:val="left"/>
      <w:pPr>
        <w:tabs>
          <w:tab w:val="num" w:pos="992"/>
        </w:tabs>
        <w:ind w:left="992" w:hanging="992"/>
      </w:pPr>
    </w:lvl>
    <w:lvl w:ilvl="4">
      <w:start w:val="1"/>
      <w:numFmt w:val="decimal"/>
      <w:pStyle w:val="Overskrift5"/>
      <w:isLgl/>
      <w:lvlText w:val="%1.%2.%3.%4.%5"/>
      <w:lvlJc w:val="left"/>
      <w:pPr>
        <w:tabs>
          <w:tab w:val="num" w:pos="1134"/>
        </w:tabs>
        <w:ind w:left="1134" w:hanging="1134"/>
      </w:pPr>
    </w:lvl>
    <w:lvl w:ilvl="5">
      <w:start w:val="1"/>
      <w:numFmt w:val="decimal"/>
      <w:pStyle w:val="Overskrift6"/>
      <w:isLgl/>
      <w:lvlText w:val="%1.%2.%3.%4.%5.%6"/>
      <w:lvlJc w:val="left"/>
      <w:pPr>
        <w:tabs>
          <w:tab w:val="num" w:pos="1276"/>
        </w:tabs>
        <w:ind w:left="1276" w:hanging="1276"/>
      </w:pPr>
    </w:lvl>
    <w:lvl w:ilvl="6">
      <w:start w:val="1"/>
      <w:numFmt w:val="decimal"/>
      <w:pStyle w:val="Overskrift7"/>
      <w:isLgl/>
      <w:lvlText w:val="%1.%2.%3.%4.%5.%6.%7"/>
      <w:lvlJc w:val="left"/>
      <w:pPr>
        <w:tabs>
          <w:tab w:val="num" w:pos="1800"/>
        </w:tabs>
        <w:ind w:left="1418" w:hanging="1418"/>
      </w:pPr>
    </w:lvl>
    <w:lvl w:ilvl="7">
      <w:start w:val="1"/>
      <w:numFmt w:val="decimal"/>
      <w:pStyle w:val="Overskrift8"/>
      <w:isLgl/>
      <w:lvlText w:val="%1.%2.%3.%4.%5.%6.%7.%8"/>
      <w:lvlJc w:val="left"/>
      <w:pPr>
        <w:tabs>
          <w:tab w:val="num" w:pos="1800"/>
        </w:tabs>
        <w:ind w:left="1559" w:hanging="1559"/>
      </w:pPr>
    </w:lvl>
    <w:lvl w:ilvl="8">
      <w:start w:val="1"/>
      <w:numFmt w:val="decimal"/>
      <w:isLgl/>
      <w:lvlText w:val="%1.%2.%3.%4.%5.%6.%7.%8.%9"/>
      <w:lvlJc w:val="left"/>
      <w:pPr>
        <w:tabs>
          <w:tab w:val="num" w:pos="2160"/>
        </w:tabs>
        <w:ind w:left="1584" w:hanging="1584"/>
      </w:pPr>
    </w:lvl>
  </w:abstractNum>
  <w:abstractNum w:abstractNumId="15" w15:restartNumberingAfterBreak="0">
    <w:nsid w:val="312400E7"/>
    <w:multiLevelType w:val="hybridMultilevel"/>
    <w:tmpl w:val="7BBC6B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35F358EE"/>
    <w:multiLevelType w:val="multilevel"/>
    <w:tmpl w:val="7D26781E"/>
    <w:lvl w:ilvl="0">
      <w:start w:val="1"/>
      <w:numFmt w:val="decimal"/>
      <w:isLgl/>
      <w:lvlText w:val="%1"/>
      <w:lvlJc w:val="left"/>
      <w:pPr>
        <w:tabs>
          <w:tab w:val="num" w:pos="567"/>
        </w:tabs>
        <w:ind w:left="567" w:hanging="567"/>
      </w:pPr>
    </w:lvl>
    <w:lvl w:ilvl="1">
      <w:start w:val="1"/>
      <w:numFmt w:val="decimal"/>
      <w:lvlRestart w:val="0"/>
      <w:isLgl/>
      <w:lvlText w:val="%1.%2"/>
      <w:lvlJc w:val="left"/>
      <w:pPr>
        <w:tabs>
          <w:tab w:val="num" w:pos="709"/>
        </w:tabs>
        <w:ind w:left="709" w:hanging="709"/>
      </w:pPr>
    </w:lvl>
    <w:lvl w:ilvl="2">
      <w:start w:val="1"/>
      <w:numFmt w:val="decimal"/>
      <w:isLgl/>
      <w:lvlText w:val="%1.%2.%3"/>
      <w:lvlJc w:val="left"/>
      <w:pPr>
        <w:tabs>
          <w:tab w:val="num" w:pos="851"/>
        </w:tabs>
        <w:ind w:left="851" w:hanging="851"/>
      </w:pPr>
    </w:lvl>
    <w:lvl w:ilvl="3">
      <w:start w:val="1"/>
      <w:numFmt w:val="decimal"/>
      <w:isLgl/>
      <w:lvlText w:val="%1.%2.%3.%4"/>
      <w:lvlJc w:val="left"/>
      <w:pPr>
        <w:tabs>
          <w:tab w:val="num" w:pos="992"/>
        </w:tabs>
        <w:ind w:left="992" w:hanging="992"/>
      </w:pPr>
    </w:lvl>
    <w:lvl w:ilvl="4">
      <w:start w:val="1"/>
      <w:numFmt w:val="decimal"/>
      <w:isLgl/>
      <w:lvlText w:val="%1.%2.%3.%4.%5"/>
      <w:lvlJc w:val="left"/>
      <w:pPr>
        <w:tabs>
          <w:tab w:val="num" w:pos="1134"/>
        </w:tabs>
        <w:ind w:left="1134" w:hanging="1134"/>
      </w:pPr>
    </w:lvl>
    <w:lvl w:ilvl="5">
      <w:start w:val="1"/>
      <w:numFmt w:val="decimal"/>
      <w:isLgl/>
      <w:lvlText w:val="%1.%2.%3.%4.%5.%6"/>
      <w:lvlJc w:val="left"/>
      <w:pPr>
        <w:tabs>
          <w:tab w:val="num" w:pos="1276"/>
        </w:tabs>
        <w:ind w:left="1276" w:hanging="1276"/>
      </w:pPr>
    </w:lvl>
    <w:lvl w:ilvl="6">
      <w:start w:val="1"/>
      <w:numFmt w:val="decimal"/>
      <w:isLgl/>
      <w:lvlText w:val="%1.%2.%3.%4.%5.%6.%7"/>
      <w:lvlJc w:val="left"/>
      <w:pPr>
        <w:tabs>
          <w:tab w:val="num" w:pos="1800"/>
        </w:tabs>
        <w:ind w:left="1418" w:hanging="1418"/>
      </w:pPr>
    </w:lvl>
    <w:lvl w:ilvl="7">
      <w:start w:val="1"/>
      <w:numFmt w:val="decimal"/>
      <w:isLgl/>
      <w:lvlText w:val="%1.%2.%3.%4.%5.%6.%7.%8"/>
      <w:lvlJc w:val="left"/>
      <w:pPr>
        <w:tabs>
          <w:tab w:val="num" w:pos="1800"/>
        </w:tabs>
        <w:ind w:left="1559" w:hanging="1559"/>
      </w:pPr>
    </w:lvl>
    <w:lvl w:ilvl="8">
      <w:start w:val="1"/>
      <w:numFmt w:val="decimal"/>
      <w:pStyle w:val="Overskrift9"/>
      <w:isLgl/>
      <w:lvlText w:val="%1.%2.%3.%4.%5.%6.%7.%8.%9"/>
      <w:lvlJc w:val="left"/>
      <w:pPr>
        <w:tabs>
          <w:tab w:val="num" w:pos="2160"/>
        </w:tabs>
        <w:ind w:left="1584" w:hanging="1584"/>
      </w:pPr>
    </w:lvl>
  </w:abstractNum>
  <w:abstractNum w:abstractNumId="17" w15:restartNumberingAfterBreak="0">
    <w:nsid w:val="3619251A"/>
    <w:multiLevelType w:val="hybridMultilevel"/>
    <w:tmpl w:val="2DA6B5D0"/>
    <w:lvl w:ilvl="0" w:tplc="FFFFFFFF">
      <w:start w:val="1"/>
      <w:numFmt w:val="decimal"/>
      <w:pStyle w:val="Opstilling-talellerbogst"/>
      <w:lvlText w:val="%1)"/>
      <w:lvlJc w:val="left"/>
      <w:pPr>
        <w:tabs>
          <w:tab w:val="num" w:pos="425"/>
        </w:tabs>
        <w:ind w:left="425" w:hanging="425"/>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8" w15:restartNumberingAfterBreak="0">
    <w:nsid w:val="3A3B1C80"/>
    <w:multiLevelType w:val="multilevel"/>
    <w:tmpl w:val="0409001D"/>
    <w:styleLink w:val="Style1"/>
    <w:lvl w:ilvl="0">
      <w:start w:val="4"/>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3AE21E74"/>
    <w:multiLevelType w:val="singleLevel"/>
    <w:tmpl w:val="E404EAAE"/>
    <w:lvl w:ilvl="0">
      <w:start w:val="1"/>
      <w:numFmt w:val="bullet"/>
      <w:pStyle w:val="Opstilling-punkttegn2"/>
      <w:lvlText w:val=""/>
      <w:lvlJc w:val="left"/>
      <w:pPr>
        <w:tabs>
          <w:tab w:val="num" w:pos="360"/>
        </w:tabs>
        <w:ind w:left="216" w:hanging="216"/>
      </w:pPr>
      <w:rPr>
        <w:rFonts w:ascii="Symbol" w:hAnsi="Symbol" w:hint="default"/>
      </w:rPr>
    </w:lvl>
  </w:abstractNum>
  <w:abstractNum w:abstractNumId="20" w15:restartNumberingAfterBreak="0">
    <w:nsid w:val="4BE14E48"/>
    <w:multiLevelType w:val="hybridMultilevel"/>
    <w:tmpl w:val="E5B267D8"/>
    <w:lvl w:ilvl="0" w:tplc="0409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21" w15:restartNumberingAfterBreak="0">
    <w:nsid w:val="4C077F34"/>
    <w:multiLevelType w:val="multilevel"/>
    <w:tmpl w:val="CF86DF7E"/>
    <w:styleLink w:val="Style2"/>
    <w:lvl w:ilvl="0">
      <w:start w:val="4"/>
      <w:numFmt w:val="decimal"/>
      <w:lvlText w:val="%1.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 w15:restartNumberingAfterBreak="0">
    <w:nsid w:val="4E9F6FCD"/>
    <w:multiLevelType w:val="hybridMultilevel"/>
    <w:tmpl w:val="9240129C"/>
    <w:lvl w:ilvl="0" w:tplc="FFFFFFFF">
      <w:start w:val="1"/>
      <w:numFmt w:val="bullet"/>
      <w:lvlText w:val="-"/>
      <w:lvlJc w:val="left"/>
      <w:pPr>
        <w:ind w:left="1080" w:hanging="360"/>
      </w:pPr>
    </w:lvl>
    <w:lvl w:ilvl="1" w:tplc="040C0003">
      <w:start w:val="1"/>
      <w:numFmt w:val="bullet"/>
      <w:lvlText w:val="o"/>
      <w:lvlJc w:val="left"/>
      <w:pPr>
        <w:ind w:left="1800" w:hanging="360"/>
      </w:pPr>
      <w:rPr>
        <w:rFonts w:ascii="Courier New" w:hAnsi="Courier New" w:cs="Courier New" w:hint="default"/>
      </w:rPr>
    </w:lvl>
    <w:lvl w:ilvl="2" w:tplc="040C0005">
      <w:start w:val="1"/>
      <w:numFmt w:val="bullet"/>
      <w:lvlText w:val=""/>
      <w:lvlJc w:val="left"/>
      <w:pPr>
        <w:ind w:left="2520" w:hanging="360"/>
      </w:pPr>
      <w:rPr>
        <w:rFonts w:ascii="Wingdings" w:hAnsi="Wingdings" w:hint="default"/>
      </w:rPr>
    </w:lvl>
    <w:lvl w:ilvl="3" w:tplc="040C0001">
      <w:start w:val="1"/>
      <w:numFmt w:val="bullet"/>
      <w:lvlText w:val=""/>
      <w:lvlJc w:val="left"/>
      <w:pPr>
        <w:ind w:left="3240" w:hanging="360"/>
      </w:pPr>
      <w:rPr>
        <w:rFonts w:ascii="Symbol" w:hAnsi="Symbol" w:hint="default"/>
      </w:rPr>
    </w:lvl>
    <w:lvl w:ilvl="4" w:tplc="040C0003">
      <w:start w:val="1"/>
      <w:numFmt w:val="bullet"/>
      <w:lvlText w:val="o"/>
      <w:lvlJc w:val="left"/>
      <w:pPr>
        <w:ind w:left="3960" w:hanging="360"/>
      </w:pPr>
      <w:rPr>
        <w:rFonts w:ascii="Courier New" w:hAnsi="Courier New" w:cs="Courier New" w:hint="default"/>
      </w:rPr>
    </w:lvl>
    <w:lvl w:ilvl="5" w:tplc="040C0005">
      <w:start w:val="1"/>
      <w:numFmt w:val="bullet"/>
      <w:lvlText w:val=""/>
      <w:lvlJc w:val="left"/>
      <w:pPr>
        <w:ind w:left="4680" w:hanging="360"/>
      </w:pPr>
      <w:rPr>
        <w:rFonts w:ascii="Wingdings" w:hAnsi="Wingdings" w:hint="default"/>
      </w:rPr>
    </w:lvl>
    <w:lvl w:ilvl="6" w:tplc="040C0001">
      <w:start w:val="1"/>
      <w:numFmt w:val="bullet"/>
      <w:lvlText w:val=""/>
      <w:lvlJc w:val="left"/>
      <w:pPr>
        <w:ind w:left="5400" w:hanging="360"/>
      </w:pPr>
      <w:rPr>
        <w:rFonts w:ascii="Symbol" w:hAnsi="Symbol" w:hint="default"/>
      </w:rPr>
    </w:lvl>
    <w:lvl w:ilvl="7" w:tplc="040C0003">
      <w:start w:val="1"/>
      <w:numFmt w:val="bullet"/>
      <w:lvlText w:val="o"/>
      <w:lvlJc w:val="left"/>
      <w:pPr>
        <w:ind w:left="6120" w:hanging="360"/>
      </w:pPr>
      <w:rPr>
        <w:rFonts w:ascii="Courier New" w:hAnsi="Courier New" w:cs="Courier New" w:hint="default"/>
      </w:rPr>
    </w:lvl>
    <w:lvl w:ilvl="8" w:tplc="040C0005">
      <w:start w:val="1"/>
      <w:numFmt w:val="bullet"/>
      <w:lvlText w:val=""/>
      <w:lvlJc w:val="left"/>
      <w:pPr>
        <w:ind w:left="6840" w:hanging="360"/>
      </w:pPr>
      <w:rPr>
        <w:rFonts w:ascii="Wingdings" w:hAnsi="Wingdings" w:hint="default"/>
      </w:rPr>
    </w:lvl>
  </w:abstractNum>
  <w:abstractNum w:abstractNumId="23" w15:restartNumberingAfterBreak="0">
    <w:nsid w:val="60D2130D"/>
    <w:multiLevelType w:val="hybridMultilevel"/>
    <w:tmpl w:val="3642D564"/>
    <w:lvl w:ilvl="0" w:tplc="600ADFF8">
      <w:numFmt w:val="bullet"/>
      <w:lvlText w:val="-"/>
      <w:lvlJc w:val="left"/>
      <w:pPr>
        <w:ind w:left="720" w:hanging="360"/>
      </w:pPr>
      <w:rPr>
        <w:rFonts w:ascii="Times New Roman" w:eastAsia="Times New Roman" w:hAnsi="Times New Roman" w:cs="Times New Roman" w:hint="default"/>
        <w:sz w:val="18"/>
        <w:szCs w:val="18"/>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69BE6F9D"/>
    <w:multiLevelType w:val="multilevel"/>
    <w:tmpl w:val="5D748B46"/>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u w:val="none"/>
      </w:rPr>
    </w:lvl>
    <w:lvl w:ilvl="2">
      <w:start w:val="1"/>
      <w:numFmt w:val="decimal"/>
      <w:isLgl/>
      <w:lvlText w:val="%1.%2.%3"/>
      <w:lvlJc w:val="left"/>
      <w:pPr>
        <w:tabs>
          <w:tab w:val="num" w:pos="720"/>
        </w:tabs>
        <w:ind w:left="720" w:hanging="720"/>
      </w:pPr>
      <w:rPr>
        <w:rFonts w:hint="default"/>
        <w:u w:val="none"/>
      </w:rPr>
    </w:lvl>
    <w:lvl w:ilvl="3">
      <w:start w:val="1"/>
      <w:numFmt w:val="decimal"/>
      <w:isLgl/>
      <w:lvlText w:val="%1.%2.%3.%4"/>
      <w:lvlJc w:val="left"/>
      <w:pPr>
        <w:tabs>
          <w:tab w:val="num" w:pos="720"/>
        </w:tabs>
        <w:ind w:left="720" w:hanging="720"/>
      </w:pPr>
      <w:rPr>
        <w:rFonts w:hint="default"/>
        <w:u w:val="none"/>
      </w:rPr>
    </w:lvl>
    <w:lvl w:ilvl="4">
      <w:start w:val="1"/>
      <w:numFmt w:val="decimal"/>
      <w:isLgl/>
      <w:lvlText w:val="%1.%2.%3.%4.%5"/>
      <w:lvlJc w:val="left"/>
      <w:pPr>
        <w:tabs>
          <w:tab w:val="num" w:pos="1080"/>
        </w:tabs>
        <w:ind w:left="1080" w:hanging="1080"/>
      </w:pPr>
      <w:rPr>
        <w:rFonts w:hint="default"/>
        <w:u w:val="none"/>
      </w:rPr>
    </w:lvl>
    <w:lvl w:ilvl="5">
      <w:start w:val="1"/>
      <w:numFmt w:val="decimal"/>
      <w:isLgl/>
      <w:lvlText w:val="%1.%2.%3.%4.%5.%6"/>
      <w:lvlJc w:val="left"/>
      <w:pPr>
        <w:tabs>
          <w:tab w:val="num" w:pos="1080"/>
        </w:tabs>
        <w:ind w:left="1080" w:hanging="1080"/>
      </w:pPr>
      <w:rPr>
        <w:rFonts w:hint="default"/>
        <w:u w:val="none"/>
      </w:rPr>
    </w:lvl>
    <w:lvl w:ilvl="6">
      <w:start w:val="1"/>
      <w:numFmt w:val="decimal"/>
      <w:isLgl/>
      <w:lvlText w:val="%1.%2.%3.%4.%5.%6.%7"/>
      <w:lvlJc w:val="left"/>
      <w:pPr>
        <w:tabs>
          <w:tab w:val="num" w:pos="1440"/>
        </w:tabs>
        <w:ind w:left="1440" w:hanging="1440"/>
      </w:pPr>
      <w:rPr>
        <w:rFonts w:hint="default"/>
        <w:u w:val="none"/>
      </w:rPr>
    </w:lvl>
    <w:lvl w:ilvl="7">
      <w:start w:val="1"/>
      <w:numFmt w:val="decimal"/>
      <w:isLgl/>
      <w:lvlText w:val="%1.%2.%3.%4.%5.%6.%7.%8"/>
      <w:lvlJc w:val="left"/>
      <w:pPr>
        <w:tabs>
          <w:tab w:val="num" w:pos="1440"/>
        </w:tabs>
        <w:ind w:left="1440" w:hanging="1440"/>
      </w:pPr>
      <w:rPr>
        <w:rFonts w:hint="default"/>
        <w:u w:val="none"/>
      </w:rPr>
    </w:lvl>
    <w:lvl w:ilvl="8">
      <w:start w:val="1"/>
      <w:numFmt w:val="decimal"/>
      <w:isLgl/>
      <w:lvlText w:val="%1.%2.%3.%4.%5.%6.%7.%8.%9"/>
      <w:lvlJc w:val="left"/>
      <w:pPr>
        <w:tabs>
          <w:tab w:val="num" w:pos="1800"/>
        </w:tabs>
        <w:ind w:left="1800" w:hanging="1800"/>
      </w:pPr>
      <w:rPr>
        <w:rFonts w:hint="default"/>
        <w:u w:val="none"/>
      </w:rPr>
    </w:lvl>
  </w:abstractNum>
  <w:num w:numId="1">
    <w:abstractNumId w:val="7"/>
  </w:num>
  <w:num w:numId="2">
    <w:abstractNumId w:val="3"/>
  </w:num>
  <w:num w:numId="3">
    <w:abstractNumId w:val="24"/>
  </w:num>
  <w:num w:numId="4">
    <w:abstractNumId w:val="4"/>
  </w:num>
  <w:num w:numId="5">
    <w:abstractNumId w:val="10"/>
    <w:lvlOverride w:ilvl="0"/>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2"/>
  </w:num>
  <w:num w:numId="7">
    <w:abstractNumId w:val="23"/>
  </w:num>
  <w:num w:numId="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num>
  <w:num w:numId="13">
    <w:abstractNumId w:val="5"/>
  </w:num>
  <w:num w:numId="14">
    <w:abstractNumId w:val="1"/>
  </w:num>
  <w:num w:numId="15">
    <w:abstractNumId w:val="0"/>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num>
  <w:num w:numId="20">
    <w:abstractNumId w:val="6"/>
  </w:num>
  <w:num w:numId="21">
    <w:abstractNumId w:val="18"/>
  </w:num>
  <w:num w:numId="22">
    <w:abstractNumId w:val="21"/>
  </w:num>
  <w:num w:numId="23">
    <w:abstractNumId w:val="8"/>
  </w:num>
  <w:num w:numId="24">
    <w:abstractNumId w:val="6"/>
  </w:num>
  <w:num w:numId="25">
    <w:abstractNumId w:val="20"/>
  </w:num>
  <w:num w:numId="26">
    <w:abstractNumId w:val="23"/>
  </w:num>
  <w:num w:numId="2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020A"/>
    <w:rsid w:val="000038A7"/>
    <w:rsid w:val="00056601"/>
    <w:rsid w:val="000A3C99"/>
    <w:rsid w:val="000C3846"/>
    <w:rsid w:val="000C6218"/>
    <w:rsid w:val="000D3C9D"/>
    <w:rsid w:val="000F0D47"/>
    <w:rsid w:val="000F5286"/>
    <w:rsid w:val="001242DE"/>
    <w:rsid w:val="00145965"/>
    <w:rsid w:val="00180A12"/>
    <w:rsid w:val="00214331"/>
    <w:rsid w:val="00214CF4"/>
    <w:rsid w:val="00273F2B"/>
    <w:rsid w:val="00281F03"/>
    <w:rsid w:val="0029458A"/>
    <w:rsid w:val="002A1587"/>
    <w:rsid w:val="002B27C5"/>
    <w:rsid w:val="002F6D9C"/>
    <w:rsid w:val="00303008"/>
    <w:rsid w:val="0031530D"/>
    <w:rsid w:val="00331F85"/>
    <w:rsid w:val="00373B55"/>
    <w:rsid w:val="003D3C3D"/>
    <w:rsid w:val="003D727E"/>
    <w:rsid w:val="003E0341"/>
    <w:rsid w:val="003E3402"/>
    <w:rsid w:val="003F4736"/>
    <w:rsid w:val="00401B49"/>
    <w:rsid w:val="0042292D"/>
    <w:rsid w:val="00437D5B"/>
    <w:rsid w:val="00440254"/>
    <w:rsid w:val="004860D3"/>
    <w:rsid w:val="004A3BF4"/>
    <w:rsid w:val="004A5DB3"/>
    <w:rsid w:val="005152D9"/>
    <w:rsid w:val="00533AD4"/>
    <w:rsid w:val="00534849"/>
    <w:rsid w:val="005420A5"/>
    <w:rsid w:val="00560102"/>
    <w:rsid w:val="00562EA1"/>
    <w:rsid w:val="005740FB"/>
    <w:rsid w:val="005A498B"/>
    <w:rsid w:val="005D12FD"/>
    <w:rsid w:val="005E09AD"/>
    <w:rsid w:val="00617BB8"/>
    <w:rsid w:val="006207FF"/>
    <w:rsid w:val="00680052"/>
    <w:rsid w:val="00683267"/>
    <w:rsid w:val="006844E9"/>
    <w:rsid w:val="006B3847"/>
    <w:rsid w:val="0075453D"/>
    <w:rsid w:val="007A4CC6"/>
    <w:rsid w:val="007C3623"/>
    <w:rsid w:val="007C5D2A"/>
    <w:rsid w:val="007F1E00"/>
    <w:rsid w:val="00827444"/>
    <w:rsid w:val="0083020A"/>
    <w:rsid w:val="008400E3"/>
    <w:rsid w:val="00864538"/>
    <w:rsid w:val="00873B4F"/>
    <w:rsid w:val="008A24F6"/>
    <w:rsid w:val="008B6773"/>
    <w:rsid w:val="008E51AE"/>
    <w:rsid w:val="008F2F8C"/>
    <w:rsid w:val="009925C9"/>
    <w:rsid w:val="00A179D0"/>
    <w:rsid w:val="00A358A3"/>
    <w:rsid w:val="00A46747"/>
    <w:rsid w:val="00A80446"/>
    <w:rsid w:val="00A85D26"/>
    <w:rsid w:val="00A9153A"/>
    <w:rsid w:val="00AB4376"/>
    <w:rsid w:val="00AC033C"/>
    <w:rsid w:val="00AD2E36"/>
    <w:rsid w:val="00B108A6"/>
    <w:rsid w:val="00B45DC5"/>
    <w:rsid w:val="00B80897"/>
    <w:rsid w:val="00BC706D"/>
    <w:rsid w:val="00BD3490"/>
    <w:rsid w:val="00C26226"/>
    <w:rsid w:val="00C3571D"/>
    <w:rsid w:val="00C54F0B"/>
    <w:rsid w:val="00C82621"/>
    <w:rsid w:val="00CB1423"/>
    <w:rsid w:val="00CB2986"/>
    <w:rsid w:val="00D02508"/>
    <w:rsid w:val="00D35A5A"/>
    <w:rsid w:val="00D6538A"/>
    <w:rsid w:val="00D778CC"/>
    <w:rsid w:val="00D82FE9"/>
    <w:rsid w:val="00D853AB"/>
    <w:rsid w:val="00D97B77"/>
    <w:rsid w:val="00DB6A85"/>
    <w:rsid w:val="00E06B32"/>
    <w:rsid w:val="00E1290F"/>
    <w:rsid w:val="00E36A80"/>
    <w:rsid w:val="00EB21D7"/>
    <w:rsid w:val="00EE3EB7"/>
    <w:rsid w:val="00F34CCE"/>
    <w:rsid w:val="00F52C80"/>
    <w:rsid w:val="00F57E16"/>
    <w:rsid w:val="00F60336"/>
    <w:rsid w:val="00FD652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4332F1"/>
  <w15:chartTrackingRefBased/>
  <w15:docId w15:val="{F9A9F45B-59AE-4635-A93E-34DA81C50F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iPriority="99"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5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73B55"/>
    <w:rPr>
      <w:sz w:val="23"/>
    </w:rPr>
  </w:style>
  <w:style w:type="paragraph" w:styleId="Overskrift1">
    <w:name w:val="heading 1"/>
    <w:aliases w:val="wcp_Heading1"/>
    <w:basedOn w:val="Normal"/>
    <w:next w:val="Normal"/>
    <w:link w:val="Overskrift1Tegn"/>
    <w:qFormat/>
    <w:rsid w:val="00D853AB"/>
    <w:pPr>
      <w:keepNext/>
      <w:numPr>
        <w:numId w:val="8"/>
      </w:numPr>
      <w:spacing w:before="480" w:after="120"/>
      <w:outlineLvl w:val="0"/>
    </w:pPr>
    <w:rPr>
      <w:sz w:val="30"/>
      <w:lang w:val="en-US" w:eastAsia="en-US"/>
    </w:rPr>
  </w:style>
  <w:style w:type="paragraph" w:styleId="Overskrift2">
    <w:name w:val="heading 2"/>
    <w:aliases w:val="wcp_Heading2"/>
    <w:basedOn w:val="Overskrift1"/>
    <w:next w:val="Normal"/>
    <w:link w:val="Overskrift2Tegn"/>
    <w:semiHidden/>
    <w:unhideWhenUsed/>
    <w:qFormat/>
    <w:rsid w:val="00D853AB"/>
    <w:pPr>
      <w:numPr>
        <w:ilvl w:val="1"/>
      </w:numPr>
      <w:spacing w:before="360"/>
      <w:outlineLvl w:val="1"/>
    </w:pPr>
    <w:rPr>
      <w:sz w:val="26"/>
    </w:rPr>
  </w:style>
  <w:style w:type="paragraph" w:styleId="Overskrift3">
    <w:name w:val="heading 3"/>
    <w:aliases w:val="wcp_Heading3"/>
    <w:basedOn w:val="Overskrift2"/>
    <w:next w:val="Normal"/>
    <w:link w:val="Overskrift3Tegn"/>
    <w:semiHidden/>
    <w:unhideWhenUsed/>
    <w:qFormat/>
    <w:rsid w:val="00D853AB"/>
    <w:pPr>
      <w:numPr>
        <w:ilvl w:val="2"/>
      </w:numPr>
      <w:spacing w:before="240"/>
      <w:outlineLvl w:val="2"/>
    </w:pPr>
    <w:rPr>
      <w:sz w:val="24"/>
    </w:rPr>
  </w:style>
  <w:style w:type="paragraph" w:styleId="Overskrift4">
    <w:name w:val="heading 4"/>
    <w:aliases w:val="wcp_Heading4"/>
    <w:basedOn w:val="Overskrift3"/>
    <w:next w:val="Normal"/>
    <w:link w:val="Overskrift4Tegn"/>
    <w:semiHidden/>
    <w:unhideWhenUsed/>
    <w:qFormat/>
    <w:rsid w:val="00D853AB"/>
    <w:pPr>
      <w:numPr>
        <w:ilvl w:val="3"/>
      </w:numPr>
      <w:outlineLvl w:val="3"/>
    </w:pPr>
  </w:style>
  <w:style w:type="paragraph" w:styleId="Overskrift5">
    <w:name w:val="heading 5"/>
    <w:aliases w:val="wcp_Heading5"/>
    <w:basedOn w:val="Overskrift3"/>
    <w:next w:val="Normal"/>
    <w:link w:val="Overskrift5Tegn"/>
    <w:semiHidden/>
    <w:unhideWhenUsed/>
    <w:qFormat/>
    <w:rsid w:val="00D853AB"/>
    <w:pPr>
      <w:numPr>
        <w:ilvl w:val="4"/>
      </w:numPr>
      <w:outlineLvl w:val="4"/>
    </w:pPr>
  </w:style>
  <w:style w:type="paragraph" w:styleId="Overskrift6">
    <w:name w:val="heading 6"/>
    <w:aliases w:val="wcp_Heading6"/>
    <w:basedOn w:val="Overskrift3"/>
    <w:next w:val="Normal"/>
    <w:link w:val="Overskrift6Tegn"/>
    <w:semiHidden/>
    <w:unhideWhenUsed/>
    <w:qFormat/>
    <w:rsid w:val="00D853AB"/>
    <w:pPr>
      <w:numPr>
        <w:ilvl w:val="5"/>
      </w:numPr>
      <w:outlineLvl w:val="5"/>
    </w:pPr>
  </w:style>
  <w:style w:type="paragraph" w:styleId="Overskrift7">
    <w:name w:val="heading 7"/>
    <w:aliases w:val="wcp_Heading7"/>
    <w:basedOn w:val="Overskrift3"/>
    <w:next w:val="Normal"/>
    <w:link w:val="Overskrift7Tegn"/>
    <w:semiHidden/>
    <w:unhideWhenUsed/>
    <w:qFormat/>
    <w:rsid w:val="00D853AB"/>
    <w:pPr>
      <w:numPr>
        <w:ilvl w:val="6"/>
      </w:numPr>
      <w:tabs>
        <w:tab w:val="left" w:pos="1418"/>
      </w:tabs>
      <w:outlineLvl w:val="6"/>
    </w:pPr>
    <w:rPr>
      <w:b/>
    </w:rPr>
  </w:style>
  <w:style w:type="paragraph" w:styleId="Overskrift8">
    <w:name w:val="heading 8"/>
    <w:aliases w:val="wcp_Heading8"/>
    <w:basedOn w:val="Overskrift3"/>
    <w:next w:val="Normal"/>
    <w:link w:val="Overskrift8Tegn"/>
    <w:semiHidden/>
    <w:unhideWhenUsed/>
    <w:qFormat/>
    <w:rsid w:val="00D853AB"/>
    <w:pPr>
      <w:numPr>
        <w:ilvl w:val="7"/>
      </w:numPr>
      <w:tabs>
        <w:tab w:val="left" w:pos="1559"/>
      </w:tabs>
      <w:outlineLvl w:val="7"/>
    </w:pPr>
    <w:rPr>
      <w:b/>
    </w:rPr>
  </w:style>
  <w:style w:type="paragraph" w:styleId="Overskrift9">
    <w:name w:val="heading 9"/>
    <w:aliases w:val="wcp_Heading9,Heading9_Titre9"/>
    <w:basedOn w:val="Normal"/>
    <w:next w:val="Normal"/>
    <w:link w:val="Overskrift9Tegn"/>
    <w:semiHidden/>
    <w:unhideWhenUsed/>
    <w:qFormat/>
    <w:rsid w:val="00D853AB"/>
    <w:pPr>
      <w:numPr>
        <w:ilvl w:val="8"/>
        <w:numId w:val="9"/>
      </w:numPr>
      <w:spacing w:before="240" w:after="60"/>
      <w:outlineLvl w:val="8"/>
    </w:pPr>
    <w:rPr>
      <w:b/>
      <w:i/>
      <w:sz w:val="18"/>
      <w:lang w:val="en-US" w:eastAsia="en-US"/>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Titel">
    <w:name w:val="Title"/>
    <w:aliases w:val="wcp_Title"/>
    <w:basedOn w:val="Normal"/>
    <w:link w:val="TitelTegn"/>
    <w:qFormat/>
    <w:rsid w:val="00373B55"/>
    <w:pPr>
      <w:jc w:val="center"/>
    </w:pPr>
    <w:rPr>
      <w:b/>
      <w:sz w:val="24"/>
    </w:rPr>
  </w:style>
  <w:style w:type="paragraph" w:styleId="Sidehoved">
    <w:name w:val="header"/>
    <w:aliases w:val="wcp_Header,Header_En tete"/>
    <w:basedOn w:val="Normal"/>
    <w:link w:val="SidehovedTegn"/>
    <w:rsid w:val="00373B55"/>
    <w:pPr>
      <w:tabs>
        <w:tab w:val="center" w:pos="4819"/>
        <w:tab w:val="right" w:pos="9638"/>
      </w:tabs>
    </w:pPr>
    <w:rPr>
      <w:sz w:val="24"/>
    </w:rPr>
  </w:style>
  <w:style w:type="paragraph" w:styleId="Sidefod">
    <w:name w:val="footer"/>
    <w:aliases w:val="wcp_Footer,Footer_Pied Page"/>
    <w:basedOn w:val="Normal"/>
    <w:link w:val="SidefodTegn"/>
    <w:uiPriority w:val="99"/>
    <w:rsid w:val="00373B55"/>
    <w:pPr>
      <w:tabs>
        <w:tab w:val="center" w:pos="4819"/>
        <w:tab w:val="right" w:pos="9638"/>
      </w:tabs>
    </w:pPr>
    <w:rPr>
      <w:sz w:val="24"/>
    </w:rPr>
  </w:style>
  <w:style w:type="character" w:styleId="Sidetal">
    <w:name w:val="page number"/>
    <w:basedOn w:val="Standardskrifttypeiafsnit"/>
    <w:rsid w:val="00373B55"/>
  </w:style>
  <w:style w:type="character" w:styleId="Kommentarhenvisning">
    <w:name w:val="annotation reference"/>
    <w:basedOn w:val="Standardskrifttypeiafsnit"/>
    <w:semiHidden/>
    <w:rsid w:val="00373B55"/>
    <w:rPr>
      <w:sz w:val="16"/>
    </w:rPr>
  </w:style>
  <w:style w:type="paragraph" w:styleId="Kommentartekst">
    <w:name w:val="annotation text"/>
    <w:basedOn w:val="Normal"/>
    <w:link w:val="KommentartekstTegn"/>
    <w:uiPriority w:val="99"/>
    <w:semiHidden/>
    <w:rsid w:val="00373B55"/>
    <w:rPr>
      <w:sz w:val="20"/>
    </w:rPr>
  </w:style>
  <w:style w:type="paragraph" w:styleId="Markeringsbobletekst">
    <w:name w:val="Balloon Text"/>
    <w:basedOn w:val="Normal"/>
    <w:link w:val="MarkeringsbobletekstTegn"/>
    <w:semiHidden/>
    <w:unhideWhenUsed/>
    <w:rsid w:val="004A5DB3"/>
    <w:rPr>
      <w:rFonts w:ascii="Tahoma" w:hAnsi="Tahoma" w:cs="Tahoma"/>
      <w:sz w:val="16"/>
      <w:szCs w:val="16"/>
    </w:rPr>
  </w:style>
  <w:style w:type="character" w:customStyle="1" w:styleId="MarkeringsbobletekstTegn">
    <w:name w:val="Markeringsbobletekst Tegn"/>
    <w:basedOn w:val="Standardskrifttypeiafsnit"/>
    <w:link w:val="Markeringsbobletekst"/>
    <w:semiHidden/>
    <w:rsid w:val="004A5DB3"/>
    <w:rPr>
      <w:rFonts w:ascii="Tahoma" w:hAnsi="Tahoma" w:cs="Tahoma"/>
      <w:sz w:val="16"/>
      <w:szCs w:val="16"/>
    </w:rPr>
  </w:style>
  <w:style w:type="paragraph" w:styleId="Kommentaremne">
    <w:name w:val="annotation subject"/>
    <w:basedOn w:val="Kommentartekst"/>
    <w:next w:val="Kommentartekst"/>
    <w:link w:val="KommentaremneTegn"/>
    <w:semiHidden/>
    <w:unhideWhenUsed/>
    <w:rsid w:val="00873B4F"/>
    <w:rPr>
      <w:b/>
      <w:bCs/>
    </w:rPr>
  </w:style>
  <w:style w:type="character" w:customStyle="1" w:styleId="KommentartekstTegn">
    <w:name w:val="Kommentartekst Tegn"/>
    <w:basedOn w:val="Standardskrifttypeiafsnit"/>
    <w:link w:val="Kommentartekst"/>
    <w:uiPriority w:val="99"/>
    <w:semiHidden/>
    <w:rsid w:val="00873B4F"/>
  </w:style>
  <w:style w:type="character" w:customStyle="1" w:styleId="KommentaremneTegn">
    <w:name w:val="Kommentaremne Tegn"/>
    <w:basedOn w:val="KommentartekstTegn"/>
    <w:link w:val="Kommentaremne"/>
    <w:semiHidden/>
    <w:rsid w:val="00873B4F"/>
    <w:rPr>
      <w:b/>
      <w:bCs/>
    </w:rPr>
  </w:style>
  <w:style w:type="character" w:styleId="Hyperlink">
    <w:name w:val="Hyperlink"/>
    <w:semiHidden/>
    <w:unhideWhenUsed/>
    <w:rsid w:val="00D853AB"/>
    <w:rPr>
      <w:strike w:val="0"/>
      <w:dstrike w:val="0"/>
      <w:color w:val="0000FF"/>
      <w:u w:val="none"/>
      <w:effect w:val="none"/>
    </w:rPr>
  </w:style>
  <w:style w:type="paragraph" w:styleId="Billedtekst">
    <w:name w:val="caption"/>
    <w:aliases w:val="wcp_Caption,Légende_Legend"/>
    <w:basedOn w:val="Normal"/>
    <w:next w:val="Normal"/>
    <w:unhideWhenUsed/>
    <w:qFormat/>
    <w:rsid w:val="00D853AB"/>
    <w:pPr>
      <w:keepNext/>
      <w:spacing w:before="360" w:after="240"/>
    </w:pPr>
    <w:rPr>
      <w:b/>
      <w:sz w:val="24"/>
      <w:lang w:val="en-US" w:eastAsia="en-US"/>
    </w:rPr>
  </w:style>
  <w:style w:type="paragraph" w:styleId="Listeafsnit">
    <w:name w:val="List Paragraph"/>
    <w:basedOn w:val="Normal"/>
    <w:uiPriority w:val="34"/>
    <w:qFormat/>
    <w:rsid w:val="00D853AB"/>
    <w:pPr>
      <w:spacing w:before="120"/>
      <w:ind w:left="720"/>
      <w:contextualSpacing/>
    </w:pPr>
    <w:rPr>
      <w:sz w:val="24"/>
      <w:lang w:val="en-US" w:eastAsia="en-US"/>
    </w:rPr>
  </w:style>
  <w:style w:type="character" w:customStyle="1" w:styleId="Overskrift1Tegn">
    <w:name w:val="Overskrift 1 Tegn"/>
    <w:aliases w:val="wcp_Heading1 Tegn1"/>
    <w:basedOn w:val="Standardskrifttypeiafsnit"/>
    <w:link w:val="Overskrift1"/>
    <w:rsid w:val="00D853AB"/>
    <w:rPr>
      <w:sz w:val="30"/>
      <w:lang w:val="en-US" w:eastAsia="en-US"/>
    </w:rPr>
  </w:style>
  <w:style w:type="character" w:customStyle="1" w:styleId="Overskrift2Tegn">
    <w:name w:val="Overskrift 2 Tegn"/>
    <w:aliases w:val="wcp_Heading2 Tegn1"/>
    <w:basedOn w:val="Standardskrifttypeiafsnit"/>
    <w:link w:val="Overskrift2"/>
    <w:semiHidden/>
    <w:rsid w:val="00D853AB"/>
    <w:rPr>
      <w:sz w:val="26"/>
      <w:lang w:val="en-US" w:eastAsia="en-US"/>
    </w:rPr>
  </w:style>
  <w:style w:type="character" w:customStyle="1" w:styleId="Overskrift3Tegn">
    <w:name w:val="Overskrift 3 Tegn"/>
    <w:aliases w:val="wcp_Heading3 Tegn1"/>
    <w:basedOn w:val="Standardskrifttypeiafsnit"/>
    <w:link w:val="Overskrift3"/>
    <w:semiHidden/>
    <w:rsid w:val="00D853AB"/>
    <w:rPr>
      <w:sz w:val="24"/>
      <w:lang w:val="en-US" w:eastAsia="en-US"/>
    </w:rPr>
  </w:style>
  <w:style w:type="character" w:customStyle="1" w:styleId="Overskrift4Tegn">
    <w:name w:val="Overskrift 4 Tegn"/>
    <w:aliases w:val="wcp_Heading4 Tegn1"/>
    <w:basedOn w:val="Standardskrifttypeiafsnit"/>
    <w:link w:val="Overskrift4"/>
    <w:semiHidden/>
    <w:rsid w:val="00D853AB"/>
    <w:rPr>
      <w:sz w:val="24"/>
      <w:lang w:val="en-US" w:eastAsia="en-US"/>
    </w:rPr>
  </w:style>
  <w:style w:type="character" w:customStyle="1" w:styleId="Overskrift5Tegn">
    <w:name w:val="Overskrift 5 Tegn"/>
    <w:aliases w:val="wcp_Heading5 Tegn1"/>
    <w:basedOn w:val="Standardskrifttypeiafsnit"/>
    <w:link w:val="Overskrift5"/>
    <w:semiHidden/>
    <w:rsid w:val="00D853AB"/>
    <w:rPr>
      <w:sz w:val="24"/>
      <w:lang w:val="en-US" w:eastAsia="en-US"/>
    </w:rPr>
  </w:style>
  <w:style w:type="character" w:customStyle="1" w:styleId="Overskrift6Tegn">
    <w:name w:val="Overskrift 6 Tegn"/>
    <w:aliases w:val="wcp_Heading6 Tegn1"/>
    <w:basedOn w:val="Standardskrifttypeiafsnit"/>
    <w:link w:val="Overskrift6"/>
    <w:semiHidden/>
    <w:rsid w:val="00D853AB"/>
    <w:rPr>
      <w:sz w:val="24"/>
      <w:lang w:val="en-US" w:eastAsia="en-US"/>
    </w:rPr>
  </w:style>
  <w:style w:type="character" w:customStyle="1" w:styleId="Overskrift7Tegn">
    <w:name w:val="Overskrift 7 Tegn"/>
    <w:aliases w:val="wcp_Heading7 Tegn1"/>
    <w:basedOn w:val="Standardskrifttypeiafsnit"/>
    <w:link w:val="Overskrift7"/>
    <w:semiHidden/>
    <w:rsid w:val="00D853AB"/>
    <w:rPr>
      <w:b/>
      <w:sz w:val="24"/>
      <w:lang w:val="en-US" w:eastAsia="en-US"/>
    </w:rPr>
  </w:style>
  <w:style w:type="character" w:customStyle="1" w:styleId="Overskrift8Tegn">
    <w:name w:val="Overskrift 8 Tegn"/>
    <w:aliases w:val="wcp_Heading8 Tegn1"/>
    <w:basedOn w:val="Standardskrifttypeiafsnit"/>
    <w:link w:val="Overskrift8"/>
    <w:semiHidden/>
    <w:rsid w:val="00D853AB"/>
    <w:rPr>
      <w:b/>
      <w:sz w:val="24"/>
      <w:lang w:val="en-US" w:eastAsia="en-US"/>
    </w:rPr>
  </w:style>
  <w:style w:type="character" w:customStyle="1" w:styleId="Overskrift9Tegn">
    <w:name w:val="Overskrift 9 Tegn"/>
    <w:aliases w:val="wcp_Heading9 Tegn1,Heading9_Titre9 Tegn1"/>
    <w:basedOn w:val="Standardskrifttypeiafsnit"/>
    <w:link w:val="Overskrift9"/>
    <w:semiHidden/>
    <w:rsid w:val="00D853AB"/>
    <w:rPr>
      <w:b/>
      <w:i/>
      <w:sz w:val="18"/>
      <w:lang w:val="en-US" w:eastAsia="en-US"/>
    </w:rPr>
  </w:style>
  <w:style w:type="character" w:styleId="BesgtLink">
    <w:name w:val="FollowedHyperlink"/>
    <w:semiHidden/>
    <w:unhideWhenUsed/>
    <w:rsid w:val="00D853AB"/>
    <w:rPr>
      <w:color w:val="800080"/>
      <w:u w:val="single"/>
    </w:rPr>
  </w:style>
  <w:style w:type="character" w:styleId="Fremhv">
    <w:name w:val="Emphasis"/>
    <w:qFormat/>
    <w:rsid w:val="00D853AB"/>
    <w:rPr>
      <w:i/>
      <w:iCs w:val="0"/>
    </w:rPr>
  </w:style>
  <w:style w:type="character" w:customStyle="1" w:styleId="Overskrift1Tegn1">
    <w:name w:val="Overskrift 1 Tegn1"/>
    <w:aliases w:val="wcp_Heading1 Tegn"/>
    <w:basedOn w:val="Standardskrifttypeiafsnit"/>
    <w:rsid w:val="00D853AB"/>
    <w:rPr>
      <w:rFonts w:asciiTheme="majorHAnsi" w:eastAsiaTheme="majorEastAsia" w:hAnsiTheme="majorHAnsi" w:cstheme="majorBidi"/>
      <w:color w:val="2E74B5" w:themeColor="accent1" w:themeShade="BF"/>
      <w:sz w:val="32"/>
      <w:szCs w:val="32"/>
      <w:lang w:val="en-US" w:eastAsia="en-US"/>
    </w:rPr>
  </w:style>
  <w:style w:type="character" w:customStyle="1" w:styleId="Overskrift2Tegn1">
    <w:name w:val="Overskrift 2 Tegn1"/>
    <w:aliases w:val="wcp_Heading2 Tegn"/>
    <w:basedOn w:val="Standardskrifttypeiafsnit"/>
    <w:semiHidden/>
    <w:rsid w:val="00D853AB"/>
    <w:rPr>
      <w:rFonts w:asciiTheme="majorHAnsi" w:eastAsiaTheme="majorEastAsia" w:hAnsiTheme="majorHAnsi" w:cstheme="majorBidi"/>
      <w:color w:val="2E74B5" w:themeColor="accent1" w:themeShade="BF"/>
      <w:sz w:val="26"/>
      <w:szCs w:val="26"/>
      <w:lang w:val="en-US" w:eastAsia="en-US"/>
    </w:rPr>
  </w:style>
  <w:style w:type="character" w:customStyle="1" w:styleId="Overskrift3Tegn1">
    <w:name w:val="Overskrift 3 Tegn1"/>
    <w:aliases w:val="wcp_Heading3 Tegn"/>
    <w:basedOn w:val="Standardskrifttypeiafsnit"/>
    <w:semiHidden/>
    <w:rsid w:val="00D853AB"/>
    <w:rPr>
      <w:rFonts w:asciiTheme="majorHAnsi" w:eastAsiaTheme="majorEastAsia" w:hAnsiTheme="majorHAnsi" w:cstheme="majorBidi"/>
      <w:color w:val="1F4D78" w:themeColor="accent1" w:themeShade="7F"/>
      <w:sz w:val="24"/>
      <w:szCs w:val="24"/>
      <w:lang w:val="en-US" w:eastAsia="en-US"/>
    </w:rPr>
  </w:style>
  <w:style w:type="character" w:customStyle="1" w:styleId="Overskrift4Tegn1">
    <w:name w:val="Overskrift 4 Tegn1"/>
    <w:aliases w:val="wcp_Heading4 Tegn"/>
    <w:basedOn w:val="Standardskrifttypeiafsnit"/>
    <w:semiHidden/>
    <w:rsid w:val="00D853AB"/>
    <w:rPr>
      <w:rFonts w:asciiTheme="majorHAnsi" w:eastAsiaTheme="majorEastAsia" w:hAnsiTheme="majorHAnsi" w:cstheme="majorBidi"/>
      <w:i/>
      <w:iCs/>
      <w:color w:val="2E74B5" w:themeColor="accent1" w:themeShade="BF"/>
      <w:sz w:val="24"/>
      <w:lang w:val="en-US" w:eastAsia="en-US"/>
    </w:rPr>
  </w:style>
  <w:style w:type="character" w:customStyle="1" w:styleId="Overskrift5Tegn1">
    <w:name w:val="Overskrift 5 Tegn1"/>
    <w:aliases w:val="wcp_Heading5 Tegn"/>
    <w:basedOn w:val="Standardskrifttypeiafsnit"/>
    <w:semiHidden/>
    <w:rsid w:val="00D853AB"/>
    <w:rPr>
      <w:rFonts w:asciiTheme="majorHAnsi" w:eastAsiaTheme="majorEastAsia" w:hAnsiTheme="majorHAnsi" w:cstheme="majorBidi"/>
      <w:color w:val="2E74B5" w:themeColor="accent1" w:themeShade="BF"/>
      <w:sz w:val="24"/>
      <w:lang w:val="en-US" w:eastAsia="en-US"/>
    </w:rPr>
  </w:style>
  <w:style w:type="character" w:customStyle="1" w:styleId="Overskrift6Tegn1">
    <w:name w:val="Overskrift 6 Tegn1"/>
    <w:aliases w:val="wcp_Heading6 Tegn"/>
    <w:basedOn w:val="Standardskrifttypeiafsnit"/>
    <w:semiHidden/>
    <w:rsid w:val="00D853AB"/>
    <w:rPr>
      <w:rFonts w:asciiTheme="majorHAnsi" w:eastAsiaTheme="majorEastAsia" w:hAnsiTheme="majorHAnsi" w:cstheme="majorBidi"/>
      <w:color w:val="1F4D78" w:themeColor="accent1" w:themeShade="7F"/>
      <w:sz w:val="24"/>
      <w:lang w:val="en-US" w:eastAsia="en-US"/>
    </w:rPr>
  </w:style>
  <w:style w:type="character" w:styleId="Strk">
    <w:name w:val="Strong"/>
    <w:qFormat/>
    <w:rsid w:val="00D853AB"/>
    <w:rPr>
      <w:b/>
      <w:bCs w:val="0"/>
    </w:rPr>
  </w:style>
  <w:style w:type="paragraph" w:customStyle="1" w:styleId="msonormal0">
    <w:name w:val="msonormal"/>
    <w:basedOn w:val="Normal"/>
    <w:rsid w:val="00D853AB"/>
    <w:pPr>
      <w:spacing w:before="100" w:beforeAutospacing="1" w:after="100" w:afterAutospacing="1"/>
    </w:pPr>
    <w:rPr>
      <w:sz w:val="24"/>
      <w:szCs w:val="24"/>
    </w:rPr>
  </w:style>
  <w:style w:type="character" w:customStyle="1" w:styleId="Overskrift7Tegn1">
    <w:name w:val="Overskrift 7 Tegn1"/>
    <w:aliases w:val="wcp_Heading7 Tegn"/>
    <w:basedOn w:val="Standardskrifttypeiafsnit"/>
    <w:semiHidden/>
    <w:rsid w:val="00D853AB"/>
    <w:rPr>
      <w:rFonts w:asciiTheme="majorHAnsi" w:eastAsiaTheme="majorEastAsia" w:hAnsiTheme="majorHAnsi" w:cstheme="majorBidi"/>
      <w:i/>
      <w:iCs/>
      <w:color w:val="1F4D78" w:themeColor="accent1" w:themeShade="7F"/>
      <w:sz w:val="24"/>
      <w:lang w:val="en-US" w:eastAsia="en-US"/>
    </w:rPr>
  </w:style>
  <w:style w:type="character" w:customStyle="1" w:styleId="Overskrift8Tegn1">
    <w:name w:val="Overskrift 8 Tegn1"/>
    <w:aliases w:val="wcp_Heading8 Tegn"/>
    <w:basedOn w:val="Standardskrifttypeiafsnit"/>
    <w:semiHidden/>
    <w:rsid w:val="00D853AB"/>
    <w:rPr>
      <w:rFonts w:asciiTheme="majorHAnsi" w:eastAsiaTheme="majorEastAsia" w:hAnsiTheme="majorHAnsi" w:cstheme="majorBidi"/>
      <w:color w:val="272727" w:themeColor="text1" w:themeTint="D8"/>
      <w:sz w:val="21"/>
      <w:szCs w:val="21"/>
      <w:lang w:val="en-US" w:eastAsia="en-US"/>
    </w:rPr>
  </w:style>
  <w:style w:type="character" w:customStyle="1" w:styleId="Overskrift9Tegn1">
    <w:name w:val="Overskrift 9 Tegn1"/>
    <w:aliases w:val="wcp_Heading9 Tegn,Heading9_Titre9 Tegn"/>
    <w:basedOn w:val="Standardskrifttypeiafsnit"/>
    <w:semiHidden/>
    <w:rsid w:val="00D853AB"/>
    <w:rPr>
      <w:rFonts w:asciiTheme="majorHAnsi" w:eastAsiaTheme="majorEastAsia" w:hAnsiTheme="majorHAnsi" w:cstheme="majorBidi"/>
      <w:i/>
      <w:iCs/>
      <w:color w:val="272727" w:themeColor="text1" w:themeTint="D8"/>
      <w:sz w:val="21"/>
      <w:szCs w:val="21"/>
      <w:lang w:val="en-US" w:eastAsia="en-US"/>
    </w:rPr>
  </w:style>
  <w:style w:type="paragraph" w:styleId="Indeks1">
    <w:name w:val="index 1"/>
    <w:basedOn w:val="Normal"/>
    <w:next w:val="Normal"/>
    <w:autoRedefine/>
    <w:semiHidden/>
    <w:unhideWhenUsed/>
    <w:rsid w:val="00D853AB"/>
    <w:pPr>
      <w:spacing w:before="120"/>
      <w:ind w:left="240" w:hanging="240"/>
    </w:pPr>
    <w:rPr>
      <w:sz w:val="24"/>
      <w:lang w:val="en-US" w:eastAsia="en-US"/>
    </w:rPr>
  </w:style>
  <w:style w:type="paragraph" w:styleId="Indeks2">
    <w:name w:val="index 2"/>
    <w:basedOn w:val="Normal"/>
    <w:next w:val="Normal"/>
    <w:autoRedefine/>
    <w:semiHidden/>
    <w:unhideWhenUsed/>
    <w:rsid w:val="00D853AB"/>
    <w:pPr>
      <w:spacing w:before="120"/>
      <w:ind w:left="480" w:hanging="240"/>
    </w:pPr>
    <w:rPr>
      <w:sz w:val="24"/>
      <w:lang w:val="en-US" w:eastAsia="en-US"/>
    </w:rPr>
  </w:style>
  <w:style w:type="paragraph" w:styleId="Indeks3">
    <w:name w:val="index 3"/>
    <w:basedOn w:val="Normal"/>
    <w:next w:val="Normal"/>
    <w:autoRedefine/>
    <w:semiHidden/>
    <w:unhideWhenUsed/>
    <w:rsid w:val="00D853AB"/>
    <w:pPr>
      <w:spacing w:before="120"/>
      <w:ind w:left="720" w:hanging="240"/>
    </w:pPr>
    <w:rPr>
      <w:sz w:val="24"/>
      <w:lang w:val="en-US" w:eastAsia="en-US"/>
    </w:rPr>
  </w:style>
  <w:style w:type="paragraph" w:styleId="Indeks4">
    <w:name w:val="index 4"/>
    <w:basedOn w:val="Normal"/>
    <w:next w:val="Normal"/>
    <w:autoRedefine/>
    <w:semiHidden/>
    <w:unhideWhenUsed/>
    <w:rsid w:val="00D853AB"/>
    <w:pPr>
      <w:spacing w:before="120"/>
      <w:ind w:left="960" w:hanging="240"/>
    </w:pPr>
    <w:rPr>
      <w:sz w:val="24"/>
      <w:lang w:val="en-US" w:eastAsia="en-US"/>
    </w:rPr>
  </w:style>
  <w:style w:type="paragraph" w:styleId="Indeks5">
    <w:name w:val="index 5"/>
    <w:basedOn w:val="Normal"/>
    <w:next w:val="Normal"/>
    <w:autoRedefine/>
    <w:semiHidden/>
    <w:unhideWhenUsed/>
    <w:rsid w:val="00D853AB"/>
    <w:pPr>
      <w:spacing w:before="120"/>
      <w:ind w:left="1200" w:hanging="240"/>
    </w:pPr>
    <w:rPr>
      <w:sz w:val="24"/>
      <w:lang w:val="en-US" w:eastAsia="en-US"/>
    </w:rPr>
  </w:style>
  <w:style w:type="paragraph" w:styleId="Indeks6">
    <w:name w:val="index 6"/>
    <w:basedOn w:val="Normal"/>
    <w:next w:val="Normal"/>
    <w:autoRedefine/>
    <w:semiHidden/>
    <w:unhideWhenUsed/>
    <w:rsid w:val="00D853AB"/>
    <w:pPr>
      <w:spacing w:before="120"/>
      <w:ind w:left="1440" w:hanging="240"/>
    </w:pPr>
    <w:rPr>
      <w:sz w:val="24"/>
      <w:lang w:val="en-US" w:eastAsia="en-US"/>
    </w:rPr>
  </w:style>
  <w:style w:type="paragraph" w:styleId="Indeks7">
    <w:name w:val="index 7"/>
    <w:basedOn w:val="Normal"/>
    <w:next w:val="Normal"/>
    <w:autoRedefine/>
    <w:semiHidden/>
    <w:unhideWhenUsed/>
    <w:rsid w:val="00D853AB"/>
    <w:pPr>
      <w:spacing w:before="120"/>
      <w:ind w:left="1680" w:hanging="240"/>
    </w:pPr>
    <w:rPr>
      <w:sz w:val="24"/>
      <w:lang w:val="en-US" w:eastAsia="en-US"/>
    </w:rPr>
  </w:style>
  <w:style w:type="paragraph" w:styleId="Indeks8">
    <w:name w:val="index 8"/>
    <w:basedOn w:val="Normal"/>
    <w:next w:val="Normal"/>
    <w:autoRedefine/>
    <w:semiHidden/>
    <w:unhideWhenUsed/>
    <w:rsid w:val="00D853AB"/>
    <w:pPr>
      <w:spacing w:before="120"/>
      <w:ind w:left="1920" w:hanging="240"/>
    </w:pPr>
    <w:rPr>
      <w:sz w:val="24"/>
      <w:lang w:val="en-US" w:eastAsia="en-US"/>
    </w:rPr>
  </w:style>
  <w:style w:type="paragraph" w:styleId="Indeks9">
    <w:name w:val="index 9"/>
    <w:basedOn w:val="Normal"/>
    <w:next w:val="Normal"/>
    <w:autoRedefine/>
    <w:semiHidden/>
    <w:unhideWhenUsed/>
    <w:rsid w:val="00D853AB"/>
    <w:pPr>
      <w:spacing w:before="120"/>
      <w:ind w:left="2160" w:hanging="240"/>
    </w:pPr>
    <w:rPr>
      <w:sz w:val="24"/>
      <w:lang w:val="en-US" w:eastAsia="en-US"/>
    </w:rPr>
  </w:style>
  <w:style w:type="paragraph" w:styleId="Indholdsfortegnelse1">
    <w:name w:val="toc 1"/>
    <w:aliases w:val="wcp_TOC1"/>
    <w:basedOn w:val="Normal"/>
    <w:next w:val="Normal"/>
    <w:autoRedefine/>
    <w:uiPriority w:val="39"/>
    <w:semiHidden/>
    <w:unhideWhenUsed/>
    <w:rsid w:val="00D853AB"/>
    <w:pPr>
      <w:tabs>
        <w:tab w:val="left" w:pos="851"/>
        <w:tab w:val="right" w:leader="dot" w:pos="9468"/>
      </w:tabs>
      <w:spacing w:before="240"/>
      <w:ind w:left="851" w:right="567" w:hanging="851"/>
    </w:pPr>
    <w:rPr>
      <w:b/>
      <w:color w:val="0000FF"/>
      <w:sz w:val="24"/>
      <w:lang w:val="en-US" w:eastAsia="en-US"/>
    </w:rPr>
  </w:style>
  <w:style w:type="paragraph" w:styleId="Indholdsfortegnelse2">
    <w:name w:val="toc 2"/>
    <w:aliases w:val="wcp_TOC2"/>
    <w:basedOn w:val="Indholdsfortegnelse1"/>
    <w:next w:val="Normal"/>
    <w:autoRedefine/>
    <w:semiHidden/>
    <w:unhideWhenUsed/>
    <w:rsid w:val="00D853AB"/>
    <w:pPr>
      <w:tabs>
        <w:tab w:val="clear" w:pos="851"/>
        <w:tab w:val="left" w:pos="992"/>
      </w:tabs>
      <w:spacing w:before="120"/>
      <w:ind w:left="994" w:right="562" w:hanging="994"/>
    </w:pPr>
    <w:rPr>
      <w:b w:val="0"/>
    </w:rPr>
  </w:style>
  <w:style w:type="paragraph" w:styleId="Indholdsfortegnelse3">
    <w:name w:val="toc 3"/>
    <w:aliases w:val="wcp_TOC3"/>
    <w:basedOn w:val="Indholdsfortegnelse2"/>
    <w:next w:val="Normal"/>
    <w:autoRedefine/>
    <w:semiHidden/>
    <w:unhideWhenUsed/>
    <w:rsid w:val="00D853AB"/>
    <w:pPr>
      <w:tabs>
        <w:tab w:val="clear" w:pos="992"/>
        <w:tab w:val="left" w:pos="1134"/>
      </w:tabs>
      <w:spacing w:before="0"/>
      <w:ind w:left="1138" w:hanging="1138"/>
    </w:pPr>
  </w:style>
  <w:style w:type="paragraph" w:styleId="Indholdsfortegnelse4">
    <w:name w:val="toc 4"/>
    <w:aliases w:val="wcp_TOC4"/>
    <w:basedOn w:val="Indholdsfortegnelse3"/>
    <w:next w:val="Normal"/>
    <w:autoRedefine/>
    <w:semiHidden/>
    <w:unhideWhenUsed/>
    <w:rsid w:val="00D853AB"/>
    <w:pPr>
      <w:tabs>
        <w:tab w:val="clear" w:pos="1134"/>
        <w:tab w:val="left" w:pos="1276"/>
      </w:tabs>
      <w:spacing w:before="40"/>
      <w:ind w:left="1276" w:hanging="1276"/>
    </w:pPr>
  </w:style>
  <w:style w:type="paragraph" w:styleId="Indholdsfortegnelse5">
    <w:name w:val="toc 5"/>
    <w:aliases w:val="wcp_TOC5"/>
    <w:basedOn w:val="Indholdsfortegnelse4"/>
    <w:next w:val="Normal"/>
    <w:autoRedefine/>
    <w:semiHidden/>
    <w:unhideWhenUsed/>
    <w:rsid w:val="00D853AB"/>
    <w:pPr>
      <w:tabs>
        <w:tab w:val="clear" w:pos="1276"/>
        <w:tab w:val="left" w:pos="1418"/>
      </w:tabs>
      <w:ind w:left="1418" w:hanging="1418"/>
    </w:pPr>
  </w:style>
  <w:style w:type="paragraph" w:styleId="Indholdsfortegnelse6">
    <w:name w:val="toc 6"/>
    <w:aliases w:val="wcp_TOC6"/>
    <w:basedOn w:val="Indholdsfortegnelse4"/>
    <w:next w:val="Normal"/>
    <w:autoRedefine/>
    <w:semiHidden/>
    <w:unhideWhenUsed/>
    <w:rsid w:val="00D853AB"/>
    <w:pPr>
      <w:tabs>
        <w:tab w:val="clear" w:pos="1276"/>
        <w:tab w:val="left" w:pos="1559"/>
      </w:tabs>
      <w:ind w:left="1559" w:hanging="1559"/>
    </w:pPr>
  </w:style>
  <w:style w:type="paragraph" w:styleId="Indholdsfortegnelse7">
    <w:name w:val="toc 7"/>
    <w:aliases w:val="wcp_TOC7"/>
    <w:basedOn w:val="Indholdsfortegnelse4"/>
    <w:next w:val="Normal"/>
    <w:autoRedefine/>
    <w:semiHidden/>
    <w:unhideWhenUsed/>
    <w:rsid w:val="00D853AB"/>
    <w:pPr>
      <w:tabs>
        <w:tab w:val="clear" w:pos="1276"/>
        <w:tab w:val="left" w:pos="1701"/>
      </w:tabs>
      <w:ind w:left="1701" w:hanging="1701"/>
    </w:pPr>
  </w:style>
  <w:style w:type="paragraph" w:styleId="Indholdsfortegnelse8">
    <w:name w:val="toc 8"/>
    <w:aliases w:val="wcp_TOC8,wcp_TOC"/>
    <w:basedOn w:val="Indholdsfortegnelse4"/>
    <w:next w:val="Normal"/>
    <w:autoRedefine/>
    <w:semiHidden/>
    <w:unhideWhenUsed/>
    <w:rsid w:val="00D853AB"/>
    <w:pPr>
      <w:tabs>
        <w:tab w:val="clear" w:pos="1276"/>
        <w:tab w:val="left" w:pos="1843"/>
      </w:tabs>
      <w:ind w:left="1843" w:hanging="1843"/>
    </w:pPr>
  </w:style>
  <w:style w:type="paragraph" w:styleId="Indholdsfortegnelse9">
    <w:name w:val="toc 9"/>
    <w:aliases w:val="wcp_TOC9,TOC9_TM9"/>
    <w:basedOn w:val="Normal"/>
    <w:next w:val="Normal"/>
    <w:autoRedefine/>
    <w:semiHidden/>
    <w:unhideWhenUsed/>
    <w:rsid w:val="00D853AB"/>
    <w:pPr>
      <w:ind w:left="1760"/>
    </w:pPr>
    <w:rPr>
      <w:sz w:val="18"/>
      <w:lang w:val="en-US" w:eastAsia="en-US"/>
    </w:rPr>
  </w:style>
  <w:style w:type="paragraph" w:styleId="Normalindrykning">
    <w:name w:val="Normal Indent"/>
    <w:basedOn w:val="Normal"/>
    <w:semiHidden/>
    <w:unhideWhenUsed/>
    <w:rsid w:val="00D853AB"/>
    <w:pPr>
      <w:spacing w:before="120"/>
      <w:ind w:left="708"/>
    </w:pPr>
    <w:rPr>
      <w:sz w:val="24"/>
      <w:lang w:val="en-US" w:eastAsia="en-US"/>
    </w:rPr>
  </w:style>
  <w:style w:type="character" w:customStyle="1" w:styleId="FodnotetekstTegn">
    <w:name w:val="Fodnotetekst Tegn"/>
    <w:aliases w:val="wcp_Footnote Tegn"/>
    <w:basedOn w:val="Standardskrifttypeiafsnit"/>
    <w:link w:val="Fodnotetekst"/>
    <w:semiHidden/>
    <w:locked/>
    <w:rsid w:val="00D853AB"/>
    <w:rPr>
      <w:lang w:val="en-US" w:eastAsia="en-US"/>
    </w:rPr>
  </w:style>
  <w:style w:type="paragraph" w:styleId="Fodnotetekst">
    <w:name w:val="footnote text"/>
    <w:aliases w:val="wcp_Footnote"/>
    <w:basedOn w:val="Normal"/>
    <w:link w:val="FodnotetekstTegn"/>
    <w:semiHidden/>
    <w:unhideWhenUsed/>
    <w:rsid w:val="00D853AB"/>
    <w:pPr>
      <w:spacing w:before="60"/>
      <w:ind w:left="284" w:hanging="284"/>
    </w:pPr>
    <w:rPr>
      <w:sz w:val="20"/>
      <w:lang w:val="en-US" w:eastAsia="en-US"/>
    </w:rPr>
  </w:style>
  <w:style w:type="character" w:customStyle="1" w:styleId="FodnotetekstTegn1">
    <w:name w:val="Fodnotetekst Tegn1"/>
    <w:aliases w:val="wcp_Footnote Tegn1"/>
    <w:basedOn w:val="Standardskrifttypeiafsnit"/>
    <w:semiHidden/>
    <w:rsid w:val="00D853AB"/>
  </w:style>
  <w:style w:type="character" w:customStyle="1" w:styleId="SidehovedTegn">
    <w:name w:val="Sidehoved Tegn"/>
    <w:aliases w:val="wcp_Header Tegn1,Header_En tete Tegn1"/>
    <w:basedOn w:val="Standardskrifttypeiafsnit"/>
    <w:link w:val="Sidehoved"/>
    <w:locked/>
    <w:rsid w:val="00D853AB"/>
    <w:rPr>
      <w:sz w:val="24"/>
    </w:rPr>
  </w:style>
  <w:style w:type="character" w:customStyle="1" w:styleId="SidehovedTegn1">
    <w:name w:val="Sidehoved Tegn1"/>
    <w:aliases w:val="wcp_Header Tegn,Header_En tete Tegn"/>
    <w:basedOn w:val="Standardskrifttypeiafsnit"/>
    <w:semiHidden/>
    <w:rsid w:val="00D853AB"/>
    <w:rPr>
      <w:sz w:val="24"/>
      <w:lang w:val="en-US" w:eastAsia="en-US"/>
    </w:rPr>
  </w:style>
  <w:style w:type="character" w:customStyle="1" w:styleId="SidefodTegn">
    <w:name w:val="Sidefod Tegn"/>
    <w:aliases w:val="wcp_Footer Tegn,Footer_Pied Page Tegn"/>
    <w:basedOn w:val="Standardskrifttypeiafsnit"/>
    <w:link w:val="Sidefod"/>
    <w:uiPriority w:val="99"/>
    <w:locked/>
    <w:rsid w:val="00D853AB"/>
    <w:rPr>
      <w:sz w:val="24"/>
    </w:rPr>
  </w:style>
  <w:style w:type="character" w:customStyle="1" w:styleId="SidefodTegn1">
    <w:name w:val="Sidefod Tegn1"/>
    <w:aliases w:val="wcp_Footer Tegn1,Footer_Pied Page Tegn1"/>
    <w:basedOn w:val="Standardskrifttypeiafsnit"/>
    <w:uiPriority w:val="99"/>
    <w:semiHidden/>
    <w:rsid w:val="00D853AB"/>
    <w:rPr>
      <w:sz w:val="24"/>
      <w:lang w:val="en-US" w:eastAsia="en-US"/>
    </w:rPr>
  </w:style>
  <w:style w:type="paragraph" w:styleId="Indeksoverskrift">
    <w:name w:val="index heading"/>
    <w:basedOn w:val="Normal"/>
    <w:next w:val="Indeks1"/>
    <w:semiHidden/>
    <w:unhideWhenUsed/>
    <w:rsid w:val="00D853AB"/>
    <w:pPr>
      <w:spacing w:before="120"/>
    </w:pPr>
    <w:rPr>
      <w:rFonts w:ascii="Arial" w:hAnsi="Arial"/>
      <w:b/>
      <w:sz w:val="24"/>
      <w:lang w:val="en-US" w:eastAsia="en-US"/>
    </w:rPr>
  </w:style>
  <w:style w:type="paragraph" w:styleId="Listeoverfigurer">
    <w:name w:val="table of figures"/>
    <w:aliases w:val="wcp_TOF"/>
    <w:basedOn w:val="Normal"/>
    <w:next w:val="Normal"/>
    <w:semiHidden/>
    <w:unhideWhenUsed/>
    <w:rsid w:val="00D853AB"/>
    <w:pPr>
      <w:spacing w:before="120"/>
    </w:pPr>
    <w:rPr>
      <w:color w:val="0000FF"/>
      <w:sz w:val="24"/>
      <w:lang w:val="en-US" w:eastAsia="en-US"/>
    </w:rPr>
  </w:style>
  <w:style w:type="paragraph" w:styleId="Modtageradresse">
    <w:name w:val="envelope address"/>
    <w:basedOn w:val="Normal"/>
    <w:semiHidden/>
    <w:unhideWhenUsed/>
    <w:rsid w:val="00D853AB"/>
    <w:pPr>
      <w:framePr w:w="7938" w:h="1985" w:hSpace="141" w:wrap="auto" w:hAnchor="page" w:xAlign="center" w:yAlign="bottom"/>
      <w:spacing w:before="120"/>
      <w:ind w:left="2835"/>
    </w:pPr>
    <w:rPr>
      <w:rFonts w:ascii="Arial" w:hAnsi="Arial"/>
      <w:sz w:val="24"/>
      <w:lang w:val="en-US" w:eastAsia="en-US"/>
    </w:rPr>
  </w:style>
  <w:style w:type="paragraph" w:styleId="Afsenderadresse">
    <w:name w:val="envelope return"/>
    <w:basedOn w:val="Normal"/>
    <w:semiHidden/>
    <w:unhideWhenUsed/>
    <w:rsid w:val="00D853AB"/>
    <w:pPr>
      <w:spacing w:before="120"/>
    </w:pPr>
    <w:rPr>
      <w:rFonts w:ascii="Arial" w:hAnsi="Arial"/>
      <w:sz w:val="20"/>
      <w:lang w:val="en-US" w:eastAsia="en-US"/>
    </w:rPr>
  </w:style>
  <w:style w:type="character" w:customStyle="1" w:styleId="SlutnotetekstTegn">
    <w:name w:val="Slutnotetekst Tegn"/>
    <w:aliases w:val="wcp_Endnote Tegn,Ref list Tegn"/>
    <w:basedOn w:val="Standardskrifttypeiafsnit"/>
    <w:link w:val="Slutnotetekst"/>
    <w:semiHidden/>
    <w:locked/>
    <w:rsid w:val="00D853AB"/>
    <w:rPr>
      <w:sz w:val="24"/>
      <w:lang w:val="en-US" w:eastAsia="en-US"/>
    </w:rPr>
  </w:style>
  <w:style w:type="paragraph" w:styleId="Slutnotetekst">
    <w:name w:val="endnote text"/>
    <w:aliases w:val="wcp_Endnote,Ref list"/>
    <w:basedOn w:val="Normal"/>
    <w:link w:val="SlutnotetekstTegn"/>
    <w:semiHidden/>
    <w:unhideWhenUsed/>
    <w:rsid w:val="00D853AB"/>
    <w:pPr>
      <w:spacing w:before="120"/>
    </w:pPr>
    <w:rPr>
      <w:sz w:val="24"/>
      <w:lang w:val="en-US" w:eastAsia="en-US"/>
    </w:rPr>
  </w:style>
  <w:style w:type="character" w:customStyle="1" w:styleId="SlutnotetekstTegn1">
    <w:name w:val="Slutnotetekst Tegn1"/>
    <w:aliases w:val="wcp_Endnote Tegn1,Ref list Tegn1"/>
    <w:basedOn w:val="Standardskrifttypeiafsnit"/>
    <w:semiHidden/>
    <w:rsid w:val="00D853AB"/>
  </w:style>
  <w:style w:type="paragraph" w:styleId="Citatsamling">
    <w:name w:val="table of authorities"/>
    <w:basedOn w:val="Normal"/>
    <w:next w:val="Normal"/>
    <w:semiHidden/>
    <w:unhideWhenUsed/>
    <w:rsid w:val="00D853AB"/>
    <w:pPr>
      <w:spacing w:before="120"/>
      <w:ind w:left="240" w:hanging="240"/>
    </w:pPr>
    <w:rPr>
      <w:sz w:val="24"/>
      <w:lang w:val="en-US" w:eastAsia="en-US"/>
    </w:rPr>
  </w:style>
  <w:style w:type="paragraph" w:styleId="Makrotekst">
    <w:name w:val="macro"/>
    <w:link w:val="MakrotekstTegn"/>
    <w:semiHidden/>
    <w:unhideWhenUsed/>
    <w:rsid w:val="00D853AB"/>
    <w:pPr>
      <w:tabs>
        <w:tab w:val="left" w:pos="480"/>
        <w:tab w:val="left" w:pos="960"/>
        <w:tab w:val="left" w:pos="1440"/>
        <w:tab w:val="left" w:pos="1920"/>
        <w:tab w:val="left" w:pos="2400"/>
        <w:tab w:val="left" w:pos="2880"/>
        <w:tab w:val="left" w:pos="3360"/>
        <w:tab w:val="left" w:pos="3840"/>
        <w:tab w:val="left" w:pos="4320"/>
      </w:tabs>
      <w:spacing w:before="120"/>
    </w:pPr>
    <w:rPr>
      <w:rFonts w:ascii="Courier New" w:hAnsi="Courier New"/>
      <w:lang w:val="fr-FR" w:eastAsia="en-US"/>
    </w:rPr>
  </w:style>
  <w:style w:type="character" w:customStyle="1" w:styleId="MakrotekstTegn">
    <w:name w:val="Makrotekst Tegn"/>
    <w:basedOn w:val="Standardskrifttypeiafsnit"/>
    <w:link w:val="Makrotekst"/>
    <w:semiHidden/>
    <w:rsid w:val="00D853AB"/>
    <w:rPr>
      <w:rFonts w:ascii="Courier New" w:hAnsi="Courier New"/>
      <w:lang w:val="fr-FR" w:eastAsia="en-US"/>
    </w:rPr>
  </w:style>
  <w:style w:type="paragraph" w:styleId="Citatoverskrift">
    <w:name w:val="toa heading"/>
    <w:basedOn w:val="Normal"/>
    <w:next w:val="Normal"/>
    <w:semiHidden/>
    <w:unhideWhenUsed/>
    <w:rsid w:val="00D853AB"/>
    <w:pPr>
      <w:spacing w:before="120"/>
    </w:pPr>
    <w:rPr>
      <w:rFonts w:ascii="Arial" w:hAnsi="Arial"/>
      <w:b/>
      <w:sz w:val="24"/>
      <w:lang w:val="en-US" w:eastAsia="en-US"/>
    </w:rPr>
  </w:style>
  <w:style w:type="paragraph" w:styleId="Liste">
    <w:name w:val="List"/>
    <w:basedOn w:val="Normal"/>
    <w:semiHidden/>
    <w:unhideWhenUsed/>
    <w:rsid w:val="00D853AB"/>
    <w:pPr>
      <w:spacing w:before="120"/>
      <w:ind w:left="360" w:hanging="360"/>
    </w:pPr>
    <w:rPr>
      <w:sz w:val="24"/>
      <w:lang w:val="en-US" w:eastAsia="en-US"/>
    </w:rPr>
  </w:style>
  <w:style w:type="paragraph" w:styleId="Opstilling-punkttegn">
    <w:name w:val="List Bullet"/>
    <w:aliases w:val="wcp_ListBulleted1,List dot_point"/>
    <w:basedOn w:val="Normal"/>
    <w:semiHidden/>
    <w:unhideWhenUsed/>
    <w:rsid w:val="00D853AB"/>
    <w:pPr>
      <w:numPr>
        <w:numId w:val="10"/>
      </w:numPr>
      <w:spacing w:before="120"/>
    </w:pPr>
    <w:rPr>
      <w:sz w:val="24"/>
      <w:lang w:val="en-US" w:eastAsia="en-US"/>
    </w:rPr>
  </w:style>
  <w:style w:type="paragraph" w:styleId="Opstilling-talellerbogst">
    <w:name w:val="List Number"/>
    <w:aliases w:val="wcp_ListNumbered1,List 1"/>
    <w:basedOn w:val="Normal"/>
    <w:semiHidden/>
    <w:unhideWhenUsed/>
    <w:rsid w:val="00D853AB"/>
    <w:pPr>
      <w:numPr>
        <w:numId w:val="11"/>
      </w:numPr>
      <w:spacing w:before="120"/>
    </w:pPr>
    <w:rPr>
      <w:sz w:val="24"/>
      <w:lang w:val="en-US" w:eastAsia="en-US"/>
    </w:rPr>
  </w:style>
  <w:style w:type="paragraph" w:styleId="Liste2">
    <w:name w:val="List 2"/>
    <w:basedOn w:val="Normal"/>
    <w:semiHidden/>
    <w:unhideWhenUsed/>
    <w:rsid w:val="00D853AB"/>
    <w:pPr>
      <w:spacing w:before="120"/>
      <w:ind w:left="720" w:hanging="360"/>
    </w:pPr>
    <w:rPr>
      <w:sz w:val="24"/>
      <w:lang w:val="en-US" w:eastAsia="en-US"/>
    </w:rPr>
  </w:style>
  <w:style w:type="paragraph" w:styleId="Liste3">
    <w:name w:val="List 3"/>
    <w:basedOn w:val="Normal"/>
    <w:semiHidden/>
    <w:unhideWhenUsed/>
    <w:rsid w:val="00D853AB"/>
    <w:pPr>
      <w:spacing w:before="120"/>
      <w:ind w:left="1080" w:hanging="360"/>
    </w:pPr>
    <w:rPr>
      <w:sz w:val="24"/>
      <w:lang w:val="en-US" w:eastAsia="en-US"/>
    </w:rPr>
  </w:style>
  <w:style w:type="paragraph" w:styleId="Liste4">
    <w:name w:val="List 4"/>
    <w:basedOn w:val="Normal"/>
    <w:semiHidden/>
    <w:unhideWhenUsed/>
    <w:rsid w:val="00D853AB"/>
    <w:pPr>
      <w:spacing w:before="120"/>
      <w:ind w:left="1440" w:hanging="360"/>
    </w:pPr>
    <w:rPr>
      <w:sz w:val="24"/>
      <w:lang w:val="en-US" w:eastAsia="en-US"/>
    </w:rPr>
  </w:style>
  <w:style w:type="paragraph" w:styleId="Liste5">
    <w:name w:val="List 5"/>
    <w:basedOn w:val="Normal"/>
    <w:semiHidden/>
    <w:unhideWhenUsed/>
    <w:rsid w:val="00D853AB"/>
    <w:pPr>
      <w:spacing w:before="120"/>
      <w:ind w:left="1800" w:hanging="360"/>
    </w:pPr>
    <w:rPr>
      <w:sz w:val="24"/>
      <w:lang w:val="en-US" w:eastAsia="en-US"/>
    </w:rPr>
  </w:style>
  <w:style w:type="paragraph" w:styleId="Opstilling-punkttegn2">
    <w:name w:val="List Bullet 2"/>
    <w:aliases w:val="wcp_ListBulleted2,List dot_point 2"/>
    <w:basedOn w:val="Opstilling-punkttegn"/>
    <w:semiHidden/>
    <w:unhideWhenUsed/>
    <w:rsid w:val="00D853AB"/>
    <w:pPr>
      <w:numPr>
        <w:numId w:val="12"/>
      </w:numPr>
      <w:tabs>
        <w:tab w:val="clear" w:pos="360"/>
        <w:tab w:val="left" w:pos="851"/>
      </w:tabs>
      <w:spacing w:before="60"/>
      <w:ind w:left="850" w:hanging="425"/>
    </w:pPr>
  </w:style>
  <w:style w:type="paragraph" w:styleId="Opstilling-punkttegn3">
    <w:name w:val="List Bullet 3"/>
    <w:aliases w:val="wcp_ListBulleted3,List dot_point 3"/>
    <w:basedOn w:val="Opstilling-punkttegn2"/>
    <w:semiHidden/>
    <w:unhideWhenUsed/>
    <w:rsid w:val="00D853AB"/>
    <w:pPr>
      <w:numPr>
        <w:numId w:val="13"/>
      </w:numPr>
      <w:tabs>
        <w:tab w:val="clear" w:pos="360"/>
        <w:tab w:val="clear" w:pos="851"/>
        <w:tab w:val="num" w:pos="1276"/>
      </w:tabs>
      <w:spacing w:before="0"/>
      <w:ind w:left="1276" w:hanging="425"/>
    </w:pPr>
  </w:style>
  <w:style w:type="paragraph" w:styleId="Opstilling-punkttegn4">
    <w:name w:val="List Bullet 4"/>
    <w:basedOn w:val="Normal"/>
    <w:semiHidden/>
    <w:unhideWhenUsed/>
    <w:rsid w:val="00D853AB"/>
    <w:pPr>
      <w:numPr>
        <w:numId w:val="14"/>
      </w:numPr>
      <w:spacing w:before="120"/>
    </w:pPr>
    <w:rPr>
      <w:sz w:val="24"/>
      <w:lang w:val="en-US" w:eastAsia="en-US"/>
    </w:rPr>
  </w:style>
  <w:style w:type="paragraph" w:styleId="Opstilling-punkttegn5">
    <w:name w:val="List Bullet 5"/>
    <w:basedOn w:val="Normal"/>
    <w:semiHidden/>
    <w:unhideWhenUsed/>
    <w:rsid w:val="00D853AB"/>
    <w:pPr>
      <w:numPr>
        <w:numId w:val="15"/>
      </w:numPr>
      <w:spacing w:before="120"/>
    </w:pPr>
    <w:rPr>
      <w:sz w:val="24"/>
      <w:lang w:val="en-US" w:eastAsia="en-US"/>
    </w:rPr>
  </w:style>
  <w:style w:type="paragraph" w:styleId="Opstilling-talellerbogst2">
    <w:name w:val="List Number 2"/>
    <w:aliases w:val="wcp_ListNumbered2"/>
    <w:basedOn w:val="Opstilling-talellerbogst"/>
    <w:semiHidden/>
    <w:unhideWhenUsed/>
    <w:rsid w:val="00D853AB"/>
    <w:pPr>
      <w:numPr>
        <w:numId w:val="16"/>
      </w:numPr>
      <w:spacing w:before="60"/>
    </w:pPr>
  </w:style>
  <w:style w:type="paragraph" w:styleId="Opstilling-talellerbogst3">
    <w:name w:val="List Number 3"/>
    <w:aliases w:val="wcp_ListNumbered3"/>
    <w:basedOn w:val="Opstilling-talellerbogst2"/>
    <w:semiHidden/>
    <w:unhideWhenUsed/>
    <w:rsid w:val="00D853AB"/>
    <w:pPr>
      <w:numPr>
        <w:numId w:val="17"/>
      </w:numPr>
      <w:tabs>
        <w:tab w:val="left" w:pos="1276"/>
      </w:tabs>
      <w:spacing w:before="0"/>
    </w:pPr>
  </w:style>
  <w:style w:type="paragraph" w:styleId="Opstilling-talellerbogst4">
    <w:name w:val="List Number 4"/>
    <w:aliases w:val="List 41"/>
    <w:basedOn w:val="Normal"/>
    <w:semiHidden/>
    <w:unhideWhenUsed/>
    <w:rsid w:val="00D853AB"/>
    <w:pPr>
      <w:tabs>
        <w:tab w:val="num" w:pos="1492"/>
      </w:tabs>
      <w:spacing w:before="120"/>
      <w:ind w:left="1492" w:hanging="360"/>
    </w:pPr>
    <w:rPr>
      <w:sz w:val="24"/>
      <w:lang w:val="en-US" w:eastAsia="en-US"/>
    </w:rPr>
  </w:style>
  <w:style w:type="paragraph" w:styleId="Opstilling-talellerbogst5">
    <w:name w:val="List Number 5"/>
    <w:aliases w:val="List 51"/>
    <w:basedOn w:val="Normal"/>
    <w:semiHidden/>
    <w:unhideWhenUsed/>
    <w:rsid w:val="00D853AB"/>
    <w:pPr>
      <w:tabs>
        <w:tab w:val="num" w:pos="926"/>
      </w:tabs>
      <w:spacing w:before="120"/>
      <w:ind w:left="926" w:hanging="360"/>
    </w:pPr>
    <w:rPr>
      <w:sz w:val="24"/>
      <w:lang w:val="en-US" w:eastAsia="en-US"/>
    </w:rPr>
  </w:style>
  <w:style w:type="character" w:customStyle="1" w:styleId="TitelTegn">
    <w:name w:val="Titel Tegn"/>
    <w:aliases w:val="wcp_Title Tegn"/>
    <w:basedOn w:val="Standardskrifttypeiafsnit"/>
    <w:link w:val="Titel"/>
    <w:locked/>
    <w:rsid w:val="00D853AB"/>
    <w:rPr>
      <w:b/>
      <w:sz w:val="24"/>
    </w:rPr>
  </w:style>
  <w:style w:type="character" w:customStyle="1" w:styleId="TitelTegn1">
    <w:name w:val="Titel Tegn1"/>
    <w:aliases w:val="wcp_Title Tegn1"/>
    <w:basedOn w:val="Standardskrifttypeiafsnit"/>
    <w:rsid w:val="00D853AB"/>
    <w:rPr>
      <w:rFonts w:asciiTheme="majorHAnsi" w:eastAsiaTheme="majorEastAsia" w:hAnsiTheme="majorHAnsi" w:cstheme="majorBidi"/>
      <w:spacing w:val="-10"/>
      <w:kern w:val="28"/>
      <w:sz w:val="56"/>
      <w:szCs w:val="56"/>
      <w:lang w:val="en-US" w:eastAsia="en-US"/>
    </w:rPr>
  </w:style>
  <w:style w:type="paragraph" w:styleId="Sluthilsen">
    <w:name w:val="Closing"/>
    <w:basedOn w:val="Normal"/>
    <w:link w:val="SluthilsenTegn"/>
    <w:semiHidden/>
    <w:unhideWhenUsed/>
    <w:rsid w:val="00D853AB"/>
    <w:pPr>
      <w:spacing w:before="120"/>
      <w:ind w:left="4320"/>
    </w:pPr>
    <w:rPr>
      <w:sz w:val="24"/>
      <w:lang w:val="en-US" w:eastAsia="en-US"/>
    </w:rPr>
  </w:style>
  <w:style w:type="character" w:customStyle="1" w:styleId="SluthilsenTegn">
    <w:name w:val="Sluthilsen Tegn"/>
    <w:basedOn w:val="Standardskrifttypeiafsnit"/>
    <w:link w:val="Sluthilsen"/>
    <w:semiHidden/>
    <w:rsid w:val="00D853AB"/>
    <w:rPr>
      <w:sz w:val="24"/>
      <w:lang w:val="en-US" w:eastAsia="en-US"/>
    </w:rPr>
  </w:style>
  <w:style w:type="character" w:customStyle="1" w:styleId="UnderskriftTegn">
    <w:name w:val="Underskrift Tegn"/>
    <w:aliases w:val="wcp_HandwrittenSignature Tegn1"/>
    <w:basedOn w:val="Standardskrifttypeiafsnit"/>
    <w:link w:val="Underskrift"/>
    <w:semiHidden/>
    <w:locked/>
    <w:rsid w:val="00D853AB"/>
    <w:rPr>
      <w:sz w:val="24"/>
      <w:lang w:val="en-US" w:eastAsia="en-US"/>
    </w:rPr>
  </w:style>
  <w:style w:type="paragraph" w:styleId="Underskrift">
    <w:name w:val="Signature"/>
    <w:aliases w:val="wcp_HandwrittenSignature"/>
    <w:basedOn w:val="Normal"/>
    <w:next w:val="Normal"/>
    <w:link w:val="UnderskriftTegn"/>
    <w:semiHidden/>
    <w:unhideWhenUsed/>
    <w:rsid w:val="00D853AB"/>
    <w:pPr>
      <w:framePr w:hSpace="142" w:vSpace="142" w:wrap="notBeside" w:vAnchor="text" w:hAnchor="text" w:y="1" w:anchorLock="1"/>
      <w:spacing w:before="120"/>
      <w:ind w:left="4252"/>
    </w:pPr>
    <w:rPr>
      <w:sz w:val="24"/>
      <w:lang w:val="en-US" w:eastAsia="en-US"/>
    </w:rPr>
  </w:style>
  <w:style w:type="character" w:customStyle="1" w:styleId="UnderskriftTegn1">
    <w:name w:val="Underskrift Tegn1"/>
    <w:aliases w:val="wcp_HandwrittenSignature Tegn"/>
    <w:basedOn w:val="Standardskrifttypeiafsnit"/>
    <w:semiHidden/>
    <w:rsid w:val="00D853AB"/>
    <w:rPr>
      <w:sz w:val="23"/>
    </w:rPr>
  </w:style>
  <w:style w:type="paragraph" w:styleId="Brdtekst">
    <w:name w:val="Body Text"/>
    <w:basedOn w:val="Normal"/>
    <w:link w:val="BrdtekstTegn"/>
    <w:semiHidden/>
    <w:unhideWhenUsed/>
    <w:rsid w:val="00D853AB"/>
    <w:pPr>
      <w:spacing w:before="120" w:after="60"/>
      <w:jc w:val="both"/>
    </w:pPr>
    <w:rPr>
      <w:sz w:val="24"/>
      <w:lang w:val="en-US" w:eastAsia="en-US"/>
    </w:rPr>
  </w:style>
  <w:style w:type="character" w:customStyle="1" w:styleId="BrdtekstTegn">
    <w:name w:val="Brødtekst Tegn"/>
    <w:basedOn w:val="Standardskrifttypeiafsnit"/>
    <w:link w:val="Brdtekst"/>
    <w:semiHidden/>
    <w:rsid w:val="00D853AB"/>
    <w:rPr>
      <w:sz w:val="24"/>
      <w:lang w:val="en-US" w:eastAsia="en-US"/>
    </w:rPr>
  </w:style>
  <w:style w:type="paragraph" w:styleId="Brdtekstindrykning">
    <w:name w:val="Body Text Indent"/>
    <w:basedOn w:val="Normal"/>
    <w:link w:val="BrdtekstindrykningTegn"/>
    <w:semiHidden/>
    <w:unhideWhenUsed/>
    <w:rsid w:val="00D853AB"/>
    <w:pPr>
      <w:spacing w:before="120" w:after="120"/>
      <w:ind w:left="360"/>
    </w:pPr>
    <w:rPr>
      <w:sz w:val="24"/>
      <w:lang w:val="en-US" w:eastAsia="en-US"/>
    </w:rPr>
  </w:style>
  <w:style w:type="character" w:customStyle="1" w:styleId="BrdtekstindrykningTegn">
    <w:name w:val="Brødtekstindrykning Tegn"/>
    <w:basedOn w:val="Standardskrifttypeiafsnit"/>
    <w:link w:val="Brdtekstindrykning"/>
    <w:semiHidden/>
    <w:rsid w:val="00D853AB"/>
    <w:rPr>
      <w:sz w:val="24"/>
      <w:lang w:val="en-US" w:eastAsia="en-US"/>
    </w:rPr>
  </w:style>
  <w:style w:type="paragraph" w:styleId="Opstilling-forts">
    <w:name w:val="List Continue"/>
    <w:basedOn w:val="Normal"/>
    <w:semiHidden/>
    <w:unhideWhenUsed/>
    <w:rsid w:val="00D853AB"/>
    <w:pPr>
      <w:spacing w:before="120" w:after="120"/>
      <w:ind w:left="360"/>
    </w:pPr>
    <w:rPr>
      <w:sz w:val="24"/>
      <w:lang w:val="en-US" w:eastAsia="en-US"/>
    </w:rPr>
  </w:style>
  <w:style w:type="paragraph" w:styleId="Opstilling-forts2">
    <w:name w:val="List Continue 2"/>
    <w:basedOn w:val="Normal"/>
    <w:semiHidden/>
    <w:unhideWhenUsed/>
    <w:rsid w:val="00D853AB"/>
    <w:pPr>
      <w:spacing w:before="120" w:after="120"/>
      <w:ind w:left="720"/>
    </w:pPr>
    <w:rPr>
      <w:sz w:val="24"/>
      <w:lang w:val="en-US" w:eastAsia="en-US"/>
    </w:rPr>
  </w:style>
  <w:style w:type="paragraph" w:styleId="Opstilling-forts3">
    <w:name w:val="List Continue 3"/>
    <w:basedOn w:val="Normal"/>
    <w:semiHidden/>
    <w:unhideWhenUsed/>
    <w:rsid w:val="00D853AB"/>
    <w:pPr>
      <w:spacing w:before="120" w:after="120"/>
      <w:ind w:left="1080"/>
    </w:pPr>
    <w:rPr>
      <w:sz w:val="24"/>
      <w:lang w:val="en-US" w:eastAsia="en-US"/>
    </w:rPr>
  </w:style>
  <w:style w:type="paragraph" w:styleId="Opstilling-forts4">
    <w:name w:val="List Continue 4"/>
    <w:basedOn w:val="Normal"/>
    <w:semiHidden/>
    <w:unhideWhenUsed/>
    <w:rsid w:val="00D853AB"/>
    <w:pPr>
      <w:spacing w:before="120" w:after="120"/>
      <w:ind w:left="1440"/>
    </w:pPr>
    <w:rPr>
      <w:sz w:val="24"/>
      <w:lang w:val="en-US" w:eastAsia="en-US"/>
    </w:rPr>
  </w:style>
  <w:style w:type="paragraph" w:styleId="Opstilling-forts5">
    <w:name w:val="List Continue 5"/>
    <w:basedOn w:val="Normal"/>
    <w:semiHidden/>
    <w:unhideWhenUsed/>
    <w:rsid w:val="00D853AB"/>
    <w:pPr>
      <w:spacing w:before="120" w:after="120"/>
      <w:ind w:left="1800"/>
    </w:pPr>
    <w:rPr>
      <w:sz w:val="24"/>
      <w:lang w:val="en-US" w:eastAsia="en-US"/>
    </w:rPr>
  </w:style>
  <w:style w:type="paragraph" w:styleId="Brevhoved">
    <w:name w:val="Message Header"/>
    <w:basedOn w:val="Normal"/>
    <w:link w:val="BrevhovedTegn"/>
    <w:semiHidden/>
    <w:unhideWhenUsed/>
    <w:rsid w:val="00D853AB"/>
    <w:pPr>
      <w:pBdr>
        <w:top w:val="single" w:sz="6" w:space="1" w:color="auto"/>
        <w:left w:val="single" w:sz="6" w:space="1" w:color="auto"/>
        <w:bottom w:val="single" w:sz="6" w:space="1" w:color="auto"/>
        <w:right w:val="single" w:sz="6" w:space="1" w:color="auto"/>
      </w:pBdr>
      <w:shd w:val="pct20" w:color="auto" w:fill="auto"/>
      <w:spacing w:before="120"/>
      <w:ind w:left="1080" w:hanging="1080"/>
    </w:pPr>
    <w:rPr>
      <w:rFonts w:ascii="Arial" w:hAnsi="Arial"/>
      <w:sz w:val="24"/>
      <w:lang w:val="en-US" w:eastAsia="en-US"/>
    </w:rPr>
  </w:style>
  <w:style w:type="character" w:customStyle="1" w:styleId="BrevhovedTegn">
    <w:name w:val="Brevhoved Tegn"/>
    <w:basedOn w:val="Standardskrifttypeiafsnit"/>
    <w:link w:val="Brevhoved"/>
    <w:semiHidden/>
    <w:rsid w:val="00D853AB"/>
    <w:rPr>
      <w:rFonts w:ascii="Arial" w:hAnsi="Arial"/>
      <w:sz w:val="24"/>
      <w:shd w:val="pct20" w:color="auto" w:fill="auto"/>
      <w:lang w:val="en-US" w:eastAsia="en-US"/>
    </w:rPr>
  </w:style>
  <w:style w:type="paragraph" w:styleId="Undertitel">
    <w:name w:val="Subtitle"/>
    <w:basedOn w:val="Normal"/>
    <w:link w:val="UndertitelTegn"/>
    <w:qFormat/>
    <w:rsid w:val="00D853AB"/>
    <w:pPr>
      <w:spacing w:before="120" w:after="60"/>
      <w:jc w:val="center"/>
      <w:outlineLvl w:val="1"/>
    </w:pPr>
    <w:rPr>
      <w:rFonts w:ascii="Arial" w:hAnsi="Arial"/>
      <w:sz w:val="24"/>
      <w:lang w:val="en-US" w:eastAsia="en-US"/>
    </w:rPr>
  </w:style>
  <w:style w:type="character" w:customStyle="1" w:styleId="UndertitelTegn">
    <w:name w:val="Undertitel Tegn"/>
    <w:basedOn w:val="Standardskrifttypeiafsnit"/>
    <w:link w:val="Undertitel"/>
    <w:rsid w:val="00D853AB"/>
    <w:rPr>
      <w:rFonts w:ascii="Arial" w:hAnsi="Arial"/>
      <w:sz w:val="24"/>
      <w:lang w:val="en-US" w:eastAsia="en-US"/>
    </w:rPr>
  </w:style>
  <w:style w:type="paragraph" w:styleId="Starthilsen">
    <w:name w:val="Salutation"/>
    <w:basedOn w:val="Normal"/>
    <w:next w:val="Normal"/>
    <w:link w:val="StarthilsenTegn"/>
    <w:semiHidden/>
    <w:unhideWhenUsed/>
    <w:rsid w:val="00D853AB"/>
    <w:pPr>
      <w:spacing w:before="120"/>
    </w:pPr>
    <w:rPr>
      <w:sz w:val="24"/>
      <w:lang w:val="en-US" w:eastAsia="en-US"/>
    </w:rPr>
  </w:style>
  <w:style w:type="character" w:customStyle="1" w:styleId="StarthilsenTegn">
    <w:name w:val="Starthilsen Tegn"/>
    <w:basedOn w:val="Standardskrifttypeiafsnit"/>
    <w:link w:val="Starthilsen"/>
    <w:semiHidden/>
    <w:rsid w:val="00D853AB"/>
    <w:rPr>
      <w:sz w:val="24"/>
      <w:lang w:val="en-US" w:eastAsia="en-US"/>
    </w:rPr>
  </w:style>
  <w:style w:type="paragraph" w:styleId="Dato">
    <w:name w:val="Date"/>
    <w:basedOn w:val="Normal"/>
    <w:next w:val="Normal"/>
    <w:link w:val="DatoTegn"/>
    <w:semiHidden/>
    <w:unhideWhenUsed/>
    <w:rsid w:val="00D853AB"/>
    <w:pPr>
      <w:spacing w:before="120"/>
    </w:pPr>
    <w:rPr>
      <w:sz w:val="24"/>
      <w:lang w:val="en-US" w:eastAsia="en-US"/>
    </w:rPr>
  </w:style>
  <w:style w:type="character" w:customStyle="1" w:styleId="DatoTegn">
    <w:name w:val="Dato Tegn"/>
    <w:basedOn w:val="Standardskrifttypeiafsnit"/>
    <w:link w:val="Dato"/>
    <w:semiHidden/>
    <w:rsid w:val="00D853AB"/>
    <w:rPr>
      <w:sz w:val="24"/>
      <w:lang w:val="en-US" w:eastAsia="en-US"/>
    </w:rPr>
  </w:style>
  <w:style w:type="paragraph" w:styleId="Brdtekst-frstelinjeindrykning1">
    <w:name w:val="Body Text First Indent"/>
    <w:basedOn w:val="Brdtekst"/>
    <w:link w:val="Brdtekst-frstelinjeindrykning1Tegn"/>
    <w:semiHidden/>
    <w:unhideWhenUsed/>
    <w:rsid w:val="00D853AB"/>
    <w:pPr>
      <w:spacing w:after="120"/>
      <w:ind w:firstLine="210"/>
      <w:jc w:val="left"/>
    </w:pPr>
    <w:rPr>
      <w:lang w:val="fr-FR"/>
    </w:rPr>
  </w:style>
  <w:style w:type="character" w:customStyle="1" w:styleId="Brdtekst-frstelinjeindrykning1Tegn">
    <w:name w:val="Brødtekst - førstelinjeindrykning 1 Tegn"/>
    <w:basedOn w:val="BrdtekstTegn"/>
    <w:link w:val="Brdtekst-frstelinjeindrykning1"/>
    <w:semiHidden/>
    <w:rsid w:val="00D853AB"/>
    <w:rPr>
      <w:sz w:val="24"/>
      <w:lang w:val="fr-FR" w:eastAsia="en-US"/>
    </w:rPr>
  </w:style>
  <w:style w:type="paragraph" w:styleId="Brdtekst-frstelinjeindrykning2">
    <w:name w:val="Body Text First Indent 2"/>
    <w:basedOn w:val="Brdtekstindrykning"/>
    <w:link w:val="Brdtekst-frstelinjeindrykning2Tegn"/>
    <w:semiHidden/>
    <w:unhideWhenUsed/>
    <w:rsid w:val="00D853AB"/>
    <w:pPr>
      <w:ind w:firstLine="210"/>
    </w:pPr>
  </w:style>
  <w:style w:type="character" w:customStyle="1" w:styleId="Brdtekst-frstelinjeindrykning2Tegn">
    <w:name w:val="Brødtekst - førstelinjeindrykning 2 Tegn"/>
    <w:basedOn w:val="BrdtekstindrykningTegn"/>
    <w:link w:val="Brdtekst-frstelinjeindrykning2"/>
    <w:semiHidden/>
    <w:rsid w:val="00D853AB"/>
    <w:rPr>
      <w:sz w:val="24"/>
      <w:lang w:val="en-US" w:eastAsia="en-US"/>
    </w:rPr>
  </w:style>
  <w:style w:type="paragraph" w:styleId="Noteoverskrift">
    <w:name w:val="Note Heading"/>
    <w:basedOn w:val="Normal"/>
    <w:next w:val="Normal"/>
    <w:link w:val="NoteoverskriftTegn"/>
    <w:semiHidden/>
    <w:unhideWhenUsed/>
    <w:rsid w:val="00D853AB"/>
    <w:pPr>
      <w:spacing w:before="120"/>
    </w:pPr>
    <w:rPr>
      <w:sz w:val="24"/>
      <w:lang w:val="en-US" w:eastAsia="en-US"/>
    </w:rPr>
  </w:style>
  <w:style w:type="character" w:customStyle="1" w:styleId="NoteoverskriftTegn">
    <w:name w:val="Noteoverskrift Tegn"/>
    <w:basedOn w:val="Standardskrifttypeiafsnit"/>
    <w:link w:val="Noteoverskrift"/>
    <w:semiHidden/>
    <w:rsid w:val="00D853AB"/>
    <w:rPr>
      <w:sz w:val="24"/>
      <w:lang w:val="en-US" w:eastAsia="en-US"/>
    </w:rPr>
  </w:style>
  <w:style w:type="paragraph" w:styleId="Brdtekst2">
    <w:name w:val="Body Text 2"/>
    <w:basedOn w:val="Normal"/>
    <w:link w:val="Brdtekst2Tegn"/>
    <w:semiHidden/>
    <w:unhideWhenUsed/>
    <w:rsid w:val="00D853AB"/>
    <w:pPr>
      <w:pBdr>
        <w:top w:val="single" w:sz="4" w:space="1" w:color="auto"/>
        <w:left w:val="single" w:sz="4" w:space="4" w:color="auto"/>
        <w:bottom w:val="single" w:sz="4" w:space="1" w:color="auto"/>
        <w:right w:val="single" w:sz="4" w:space="4" w:color="auto"/>
      </w:pBdr>
      <w:jc w:val="both"/>
    </w:pPr>
    <w:rPr>
      <w:sz w:val="14"/>
      <w:lang w:val="en-US" w:eastAsia="en-US"/>
    </w:rPr>
  </w:style>
  <w:style w:type="character" w:customStyle="1" w:styleId="Brdtekst2Tegn">
    <w:name w:val="Brødtekst 2 Tegn"/>
    <w:basedOn w:val="Standardskrifttypeiafsnit"/>
    <w:link w:val="Brdtekst2"/>
    <w:semiHidden/>
    <w:rsid w:val="00D853AB"/>
    <w:rPr>
      <w:sz w:val="14"/>
      <w:lang w:val="en-US" w:eastAsia="en-US"/>
    </w:rPr>
  </w:style>
  <w:style w:type="paragraph" w:styleId="Brdtekst3">
    <w:name w:val="Body Text 3"/>
    <w:basedOn w:val="Normal"/>
    <w:link w:val="Brdtekst3Tegn"/>
    <w:semiHidden/>
    <w:unhideWhenUsed/>
    <w:rsid w:val="00D853AB"/>
    <w:pPr>
      <w:spacing w:before="120" w:after="120"/>
    </w:pPr>
    <w:rPr>
      <w:sz w:val="16"/>
      <w:lang w:val="en-US" w:eastAsia="en-US"/>
    </w:rPr>
  </w:style>
  <w:style w:type="character" w:customStyle="1" w:styleId="Brdtekst3Tegn">
    <w:name w:val="Brødtekst 3 Tegn"/>
    <w:basedOn w:val="Standardskrifttypeiafsnit"/>
    <w:link w:val="Brdtekst3"/>
    <w:semiHidden/>
    <w:rsid w:val="00D853AB"/>
    <w:rPr>
      <w:sz w:val="16"/>
      <w:lang w:val="en-US" w:eastAsia="en-US"/>
    </w:rPr>
  </w:style>
  <w:style w:type="paragraph" w:styleId="Brdtekstindrykning2">
    <w:name w:val="Body Text Indent 2"/>
    <w:basedOn w:val="Normal"/>
    <w:link w:val="Brdtekstindrykning2Tegn"/>
    <w:semiHidden/>
    <w:unhideWhenUsed/>
    <w:rsid w:val="00D853AB"/>
    <w:pPr>
      <w:spacing w:before="120" w:after="120" w:line="480" w:lineRule="auto"/>
      <w:ind w:left="360"/>
    </w:pPr>
    <w:rPr>
      <w:sz w:val="24"/>
      <w:lang w:val="en-US" w:eastAsia="en-US"/>
    </w:rPr>
  </w:style>
  <w:style w:type="character" w:customStyle="1" w:styleId="Brdtekstindrykning2Tegn">
    <w:name w:val="Brødtekstindrykning 2 Tegn"/>
    <w:basedOn w:val="Standardskrifttypeiafsnit"/>
    <w:link w:val="Brdtekstindrykning2"/>
    <w:semiHidden/>
    <w:rsid w:val="00D853AB"/>
    <w:rPr>
      <w:sz w:val="24"/>
      <w:lang w:val="en-US" w:eastAsia="en-US"/>
    </w:rPr>
  </w:style>
  <w:style w:type="paragraph" w:styleId="Brdtekstindrykning3">
    <w:name w:val="Body Text Indent 3"/>
    <w:basedOn w:val="Normal"/>
    <w:link w:val="Brdtekstindrykning3Tegn"/>
    <w:semiHidden/>
    <w:unhideWhenUsed/>
    <w:rsid w:val="00D853AB"/>
    <w:pPr>
      <w:spacing w:before="120" w:after="120"/>
      <w:ind w:left="360"/>
    </w:pPr>
    <w:rPr>
      <w:sz w:val="16"/>
      <w:lang w:val="en-US" w:eastAsia="en-US"/>
    </w:rPr>
  </w:style>
  <w:style w:type="character" w:customStyle="1" w:styleId="Brdtekstindrykning3Tegn">
    <w:name w:val="Brødtekstindrykning 3 Tegn"/>
    <w:basedOn w:val="Standardskrifttypeiafsnit"/>
    <w:link w:val="Brdtekstindrykning3"/>
    <w:semiHidden/>
    <w:rsid w:val="00D853AB"/>
    <w:rPr>
      <w:sz w:val="16"/>
      <w:lang w:val="en-US" w:eastAsia="en-US"/>
    </w:rPr>
  </w:style>
  <w:style w:type="paragraph" w:styleId="Bloktekst">
    <w:name w:val="Block Text"/>
    <w:basedOn w:val="Normal"/>
    <w:semiHidden/>
    <w:unhideWhenUsed/>
    <w:rsid w:val="00D853AB"/>
    <w:pPr>
      <w:spacing w:before="120" w:after="120"/>
      <w:ind w:left="1440" w:right="1440"/>
    </w:pPr>
    <w:rPr>
      <w:sz w:val="24"/>
      <w:lang w:val="en-US" w:eastAsia="en-US"/>
    </w:rPr>
  </w:style>
  <w:style w:type="paragraph" w:styleId="Dokumentoversigt">
    <w:name w:val="Document Map"/>
    <w:basedOn w:val="Normal"/>
    <w:link w:val="DokumentoversigtTegn"/>
    <w:semiHidden/>
    <w:unhideWhenUsed/>
    <w:rsid w:val="00D853AB"/>
    <w:pPr>
      <w:shd w:val="clear" w:color="auto" w:fill="000080"/>
      <w:spacing w:before="120"/>
    </w:pPr>
    <w:rPr>
      <w:rFonts w:ascii="Tahoma" w:hAnsi="Tahoma"/>
      <w:sz w:val="24"/>
      <w:lang w:val="en-US" w:eastAsia="en-US"/>
    </w:rPr>
  </w:style>
  <w:style w:type="character" w:customStyle="1" w:styleId="DokumentoversigtTegn">
    <w:name w:val="Dokumentoversigt Tegn"/>
    <w:basedOn w:val="Standardskrifttypeiafsnit"/>
    <w:link w:val="Dokumentoversigt"/>
    <w:semiHidden/>
    <w:rsid w:val="00D853AB"/>
    <w:rPr>
      <w:rFonts w:ascii="Tahoma" w:hAnsi="Tahoma"/>
      <w:sz w:val="24"/>
      <w:shd w:val="clear" w:color="auto" w:fill="000080"/>
      <w:lang w:val="en-US" w:eastAsia="en-US"/>
    </w:rPr>
  </w:style>
  <w:style w:type="paragraph" w:styleId="Almindeligtekst">
    <w:name w:val="Plain Text"/>
    <w:basedOn w:val="Normal"/>
    <w:link w:val="AlmindeligtekstTegn"/>
    <w:semiHidden/>
    <w:unhideWhenUsed/>
    <w:rsid w:val="00D853AB"/>
    <w:pPr>
      <w:spacing w:before="120"/>
    </w:pPr>
    <w:rPr>
      <w:rFonts w:ascii="Courier New" w:hAnsi="Courier New"/>
      <w:sz w:val="20"/>
      <w:lang w:val="en-US" w:eastAsia="en-US"/>
    </w:rPr>
  </w:style>
  <w:style w:type="character" w:customStyle="1" w:styleId="AlmindeligtekstTegn">
    <w:name w:val="Almindelig tekst Tegn"/>
    <w:basedOn w:val="Standardskrifttypeiafsnit"/>
    <w:link w:val="Almindeligtekst"/>
    <w:semiHidden/>
    <w:rsid w:val="00D853AB"/>
    <w:rPr>
      <w:rFonts w:ascii="Courier New" w:hAnsi="Courier New"/>
      <w:lang w:val="en-US" w:eastAsia="en-US"/>
    </w:rPr>
  </w:style>
  <w:style w:type="paragraph" w:styleId="Korrektur">
    <w:name w:val="Revision"/>
    <w:uiPriority w:val="99"/>
    <w:semiHidden/>
    <w:rsid w:val="00D853AB"/>
    <w:rPr>
      <w:sz w:val="24"/>
      <w:lang w:val="en-US" w:eastAsia="en-US"/>
    </w:rPr>
  </w:style>
  <w:style w:type="paragraph" w:customStyle="1" w:styleId="wcpTableContent">
    <w:name w:val="wcp_TableContent"/>
    <w:basedOn w:val="Normal"/>
    <w:rsid w:val="00D853AB"/>
    <w:pPr>
      <w:spacing w:before="40" w:after="40"/>
    </w:pPr>
    <w:rPr>
      <w:sz w:val="22"/>
      <w:lang w:val="en-US" w:eastAsia="en-US"/>
    </w:rPr>
  </w:style>
  <w:style w:type="paragraph" w:customStyle="1" w:styleId="wcpData">
    <w:name w:val="wcp_Data"/>
    <w:basedOn w:val="wcpTableContent"/>
    <w:rsid w:val="00D853AB"/>
    <w:rPr>
      <w:rFonts w:ascii="Courier New" w:hAnsi="Courier New"/>
      <w:sz w:val="20"/>
    </w:rPr>
  </w:style>
  <w:style w:type="paragraph" w:customStyle="1" w:styleId="wcpEquation">
    <w:name w:val="wcp_Equation"/>
    <w:basedOn w:val="Normal"/>
    <w:next w:val="Normal"/>
    <w:rsid w:val="00D853AB"/>
    <w:pPr>
      <w:spacing w:before="120"/>
    </w:pPr>
    <w:rPr>
      <w:sz w:val="24"/>
      <w:lang w:val="en-US" w:eastAsia="en-US"/>
    </w:rPr>
  </w:style>
  <w:style w:type="paragraph" w:customStyle="1" w:styleId="wcpHiddenText">
    <w:name w:val="wcp_HiddenText"/>
    <w:basedOn w:val="Normal"/>
    <w:next w:val="Normal"/>
    <w:rsid w:val="00D853AB"/>
    <w:pPr>
      <w:spacing w:before="120"/>
    </w:pPr>
    <w:rPr>
      <w:i/>
      <w:vanish/>
      <w:color w:val="0000FF"/>
      <w:sz w:val="24"/>
      <w:lang w:val="en-US" w:eastAsia="en-US"/>
    </w:rPr>
  </w:style>
  <w:style w:type="paragraph" w:customStyle="1" w:styleId="wcpDottedLeaders">
    <w:name w:val="wcp_DottedLeaders"/>
    <w:basedOn w:val="Normal"/>
    <w:rsid w:val="00D853AB"/>
    <w:pPr>
      <w:tabs>
        <w:tab w:val="left" w:leader="dot" w:pos="6379"/>
        <w:tab w:val="decimal" w:pos="7371"/>
        <w:tab w:val="left" w:pos="7938"/>
      </w:tabs>
      <w:spacing w:before="120"/>
    </w:pPr>
    <w:rPr>
      <w:sz w:val="24"/>
      <w:lang w:val="en-US" w:eastAsia="en-US"/>
    </w:rPr>
  </w:style>
  <w:style w:type="paragraph" w:customStyle="1" w:styleId="wcpListSubText1">
    <w:name w:val="wcp_ListSubText1"/>
    <w:basedOn w:val="Normal"/>
    <w:rsid w:val="00D853AB"/>
    <w:pPr>
      <w:spacing w:before="120"/>
      <w:ind w:left="425"/>
    </w:pPr>
    <w:rPr>
      <w:sz w:val="24"/>
      <w:lang w:val="en-US" w:eastAsia="en-US"/>
    </w:rPr>
  </w:style>
  <w:style w:type="paragraph" w:customStyle="1" w:styleId="wcpListSubText2">
    <w:name w:val="wcp_ListSubText2"/>
    <w:basedOn w:val="wcpListSubText1"/>
    <w:rsid w:val="00D853AB"/>
    <w:pPr>
      <w:ind w:left="851"/>
    </w:pPr>
  </w:style>
  <w:style w:type="paragraph" w:customStyle="1" w:styleId="wcpListSubText3">
    <w:name w:val="wcp_ListSubText3"/>
    <w:basedOn w:val="wcpListSubText2"/>
    <w:rsid w:val="00D853AB"/>
    <w:pPr>
      <w:ind w:left="1276"/>
    </w:pPr>
  </w:style>
  <w:style w:type="paragraph" w:customStyle="1" w:styleId="wcpAbbreviation">
    <w:name w:val="wcp_Abbreviation"/>
    <w:basedOn w:val="Normal"/>
    <w:rsid w:val="00D853AB"/>
    <w:pPr>
      <w:spacing w:before="120"/>
      <w:ind w:left="1418" w:hanging="1418"/>
    </w:pPr>
    <w:rPr>
      <w:sz w:val="24"/>
      <w:lang w:val="en-US" w:eastAsia="en-US"/>
    </w:rPr>
  </w:style>
  <w:style w:type="paragraph" w:customStyle="1" w:styleId="wcpSubTitle">
    <w:name w:val="wcp_SubTitle"/>
    <w:basedOn w:val="Titel"/>
    <w:next w:val="Normal"/>
    <w:rsid w:val="00D853AB"/>
    <w:pPr>
      <w:keepNext/>
      <w:spacing w:after="480"/>
    </w:pPr>
    <w:rPr>
      <w:sz w:val="30"/>
      <w:lang w:val="en-US" w:eastAsia="en-US"/>
    </w:rPr>
  </w:style>
  <w:style w:type="paragraph" w:customStyle="1" w:styleId="wcpObject">
    <w:name w:val="wcp_Object"/>
    <w:basedOn w:val="Normal"/>
    <w:next w:val="Normal"/>
    <w:rsid w:val="00D853AB"/>
    <w:pPr>
      <w:spacing w:before="120"/>
    </w:pPr>
    <w:rPr>
      <w:sz w:val="24"/>
      <w:lang w:val="en-US" w:eastAsia="en-US"/>
    </w:rPr>
  </w:style>
  <w:style w:type="paragraph" w:customStyle="1" w:styleId="wcpQuote">
    <w:name w:val="wcp_Quote"/>
    <w:basedOn w:val="Normal"/>
    <w:next w:val="Normal"/>
    <w:rsid w:val="00D853AB"/>
    <w:pPr>
      <w:spacing w:before="120"/>
    </w:pPr>
    <w:rPr>
      <w:sz w:val="24"/>
      <w:lang w:val="en-US" w:eastAsia="en-US"/>
    </w:rPr>
  </w:style>
  <w:style w:type="paragraph" w:customStyle="1" w:styleId="wcpTableRowHeader">
    <w:name w:val="wcp_TableRowHeader"/>
    <w:basedOn w:val="Normal"/>
    <w:rsid w:val="00D853AB"/>
    <w:pPr>
      <w:spacing w:before="40" w:after="40"/>
    </w:pPr>
    <w:rPr>
      <w:b/>
      <w:sz w:val="22"/>
      <w:lang w:val="en-US" w:eastAsia="en-US"/>
    </w:rPr>
  </w:style>
  <w:style w:type="paragraph" w:customStyle="1" w:styleId="wcpTableColHeader">
    <w:name w:val="wcp_TableColHeader"/>
    <w:basedOn w:val="Normal"/>
    <w:rsid w:val="00D853AB"/>
    <w:pPr>
      <w:keepNext/>
      <w:spacing w:before="120" w:after="120"/>
      <w:jc w:val="center"/>
    </w:pPr>
    <w:rPr>
      <w:b/>
      <w:sz w:val="22"/>
      <w:lang w:val="en-US" w:eastAsia="en-US"/>
    </w:rPr>
  </w:style>
  <w:style w:type="paragraph" w:customStyle="1" w:styleId="wcpTablenote">
    <w:name w:val="wcp_Tablenote"/>
    <w:basedOn w:val="Fodnotetekst"/>
    <w:rsid w:val="00D853AB"/>
    <w:pPr>
      <w:ind w:left="850" w:hanging="850"/>
    </w:pPr>
  </w:style>
  <w:style w:type="paragraph" w:customStyle="1" w:styleId="wcpTOA">
    <w:name w:val="wcp_TOA"/>
    <w:basedOn w:val="Normal"/>
    <w:next w:val="Normal"/>
    <w:rsid w:val="00D853AB"/>
    <w:pPr>
      <w:spacing w:before="120"/>
    </w:pPr>
    <w:rPr>
      <w:sz w:val="24"/>
      <w:lang w:val="en-US" w:eastAsia="en-US"/>
    </w:rPr>
  </w:style>
  <w:style w:type="paragraph" w:customStyle="1" w:styleId="cliListing6">
    <w:name w:val="cli_Listing6"/>
    <w:basedOn w:val="wcpData"/>
    <w:rsid w:val="00D853AB"/>
    <w:pPr>
      <w:spacing w:before="0" w:after="0"/>
    </w:pPr>
    <w:rPr>
      <w:sz w:val="12"/>
    </w:rPr>
  </w:style>
  <w:style w:type="paragraph" w:customStyle="1" w:styleId="cliListing8">
    <w:name w:val="cli_Listing8"/>
    <w:basedOn w:val="wcpData"/>
    <w:rsid w:val="00D853AB"/>
    <w:pPr>
      <w:spacing w:before="0" w:after="0"/>
    </w:pPr>
    <w:rPr>
      <w:sz w:val="16"/>
    </w:rPr>
  </w:style>
  <w:style w:type="paragraph" w:customStyle="1" w:styleId="cliRTF10">
    <w:name w:val="cli_RTF10"/>
    <w:basedOn w:val="Normal"/>
    <w:rsid w:val="00D853AB"/>
    <w:rPr>
      <w:sz w:val="20"/>
      <w:lang w:val="en-US" w:eastAsia="en-US"/>
    </w:rPr>
  </w:style>
  <w:style w:type="paragraph" w:customStyle="1" w:styleId="cliRTF8">
    <w:name w:val="cli_RTF8"/>
    <w:basedOn w:val="Normal"/>
    <w:rsid w:val="00D853AB"/>
    <w:rPr>
      <w:sz w:val="16"/>
      <w:lang w:val="en-US" w:eastAsia="en-US"/>
    </w:rPr>
  </w:style>
  <w:style w:type="paragraph" w:customStyle="1" w:styleId="cliStatRef">
    <w:name w:val="cli_StatRef"/>
    <w:basedOn w:val="wcpData"/>
    <w:next w:val="Normal"/>
    <w:rsid w:val="00D853AB"/>
    <w:pPr>
      <w:spacing w:before="120" w:after="0"/>
    </w:pPr>
    <w:rPr>
      <w:sz w:val="12"/>
    </w:rPr>
  </w:style>
  <w:style w:type="paragraph" w:customStyle="1" w:styleId="wcpAnnotation">
    <w:name w:val="wcp_Annotation"/>
    <w:basedOn w:val="Normal"/>
    <w:rsid w:val="00D853AB"/>
    <w:pPr>
      <w:spacing w:before="120"/>
    </w:pPr>
    <w:rPr>
      <w:sz w:val="24"/>
      <w:lang w:val="en-US" w:eastAsia="en-US"/>
    </w:rPr>
  </w:style>
  <w:style w:type="paragraph" w:customStyle="1" w:styleId="wcpBibliographicReference">
    <w:name w:val="wcp_BibliographicReference"/>
    <w:basedOn w:val="Normal"/>
    <w:rsid w:val="00D853AB"/>
    <w:pPr>
      <w:spacing w:before="60"/>
      <w:ind w:left="567" w:hanging="567"/>
    </w:pPr>
    <w:rPr>
      <w:sz w:val="24"/>
      <w:lang w:val="en-US" w:eastAsia="en-US"/>
    </w:rPr>
  </w:style>
  <w:style w:type="paragraph" w:customStyle="1" w:styleId="wcpLists">
    <w:name w:val="wcp_Lists"/>
    <w:basedOn w:val="Normal"/>
    <w:next w:val="Normal"/>
    <w:rsid w:val="00D853AB"/>
    <w:pPr>
      <w:keepNext/>
      <w:spacing w:after="480"/>
      <w:jc w:val="center"/>
      <w:outlineLvl w:val="0"/>
    </w:pPr>
    <w:rPr>
      <w:b/>
      <w:sz w:val="30"/>
      <w:lang w:val="en-US" w:eastAsia="en-US"/>
    </w:rPr>
  </w:style>
  <w:style w:type="paragraph" w:customStyle="1" w:styleId="wcpSubHeading">
    <w:name w:val="wcp_SubHeading"/>
    <w:basedOn w:val="Normal"/>
    <w:next w:val="Normal"/>
    <w:rsid w:val="00D853AB"/>
    <w:pPr>
      <w:keepNext/>
      <w:spacing w:before="120"/>
    </w:pPr>
    <w:rPr>
      <w:b/>
      <w:i/>
      <w:sz w:val="24"/>
      <w:lang w:val="en-US" w:eastAsia="en-US"/>
    </w:rPr>
  </w:style>
  <w:style w:type="paragraph" w:customStyle="1" w:styleId="wcpLegend">
    <w:name w:val="wcp_Legend"/>
    <w:basedOn w:val="Normal"/>
    <w:rsid w:val="00D853AB"/>
    <w:pPr>
      <w:spacing w:before="120"/>
    </w:pPr>
    <w:rPr>
      <w:sz w:val="24"/>
      <w:lang w:val="en-US" w:eastAsia="en-US"/>
    </w:rPr>
  </w:style>
  <w:style w:type="paragraph" w:customStyle="1" w:styleId="wcpNote">
    <w:name w:val="wcp_Note"/>
    <w:basedOn w:val="Normal"/>
    <w:rsid w:val="00D853AB"/>
    <w:pPr>
      <w:spacing w:before="120"/>
    </w:pPr>
    <w:rPr>
      <w:sz w:val="24"/>
      <w:lang w:val="en-US" w:eastAsia="en-US"/>
    </w:rPr>
  </w:style>
  <w:style w:type="paragraph" w:customStyle="1" w:styleId="wcpAttachmentTitle">
    <w:name w:val="wcp_AttachmentTitle"/>
    <w:basedOn w:val="Normal"/>
    <w:next w:val="Normal"/>
    <w:rsid w:val="00D853AB"/>
    <w:pPr>
      <w:keepNext/>
      <w:spacing w:before="360" w:after="240"/>
    </w:pPr>
    <w:rPr>
      <w:b/>
      <w:sz w:val="24"/>
      <w:lang w:val="en-US" w:eastAsia="en-US"/>
    </w:rPr>
  </w:style>
  <w:style w:type="paragraph" w:customStyle="1" w:styleId="qainstruction1">
    <w:name w:val="qa_instruction1"/>
    <w:basedOn w:val="Overskrift1"/>
    <w:rsid w:val="00D853AB"/>
    <w:pPr>
      <w:keepNext w:val="0"/>
      <w:spacing w:before="120" w:after="0"/>
      <w:outlineLvl w:val="9"/>
    </w:pPr>
    <w:rPr>
      <w:sz w:val="24"/>
    </w:rPr>
  </w:style>
  <w:style w:type="paragraph" w:customStyle="1" w:styleId="qainstruction2">
    <w:name w:val="qa_instruction2"/>
    <w:basedOn w:val="Overskrift2"/>
    <w:rsid w:val="00D853AB"/>
    <w:pPr>
      <w:keepNext w:val="0"/>
      <w:spacing w:before="120" w:after="0"/>
      <w:outlineLvl w:val="9"/>
    </w:pPr>
    <w:rPr>
      <w:sz w:val="24"/>
    </w:rPr>
  </w:style>
  <w:style w:type="paragraph" w:customStyle="1" w:styleId="qainstruction3">
    <w:name w:val="qa_instruction3"/>
    <w:basedOn w:val="Overskrift3"/>
    <w:rsid w:val="00D853AB"/>
    <w:pPr>
      <w:keepNext w:val="0"/>
      <w:spacing w:before="120" w:after="0"/>
      <w:outlineLvl w:val="9"/>
    </w:pPr>
  </w:style>
  <w:style w:type="paragraph" w:customStyle="1" w:styleId="qainstruction4">
    <w:name w:val="qa_instruction4"/>
    <w:basedOn w:val="Overskrift4"/>
    <w:rsid w:val="00D853AB"/>
    <w:pPr>
      <w:keepNext w:val="0"/>
      <w:spacing w:before="120" w:after="0"/>
      <w:outlineLvl w:val="9"/>
    </w:pPr>
  </w:style>
  <w:style w:type="paragraph" w:customStyle="1" w:styleId="qainstruction5">
    <w:name w:val="qa_instruction5"/>
    <w:basedOn w:val="Overskrift5"/>
    <w:rsid w:val="00D853AB"/>
    <w:pPr>
      <w:keepNext w:val="0"/>
      <w:spacing w:before="120" w:after="0"/>
      <w:outlineLvl w:val="9"/>
    </w:pPr>
  </w:style>
  <w:style w:type="paragraph" w:customStyle="1" w:styleId="qainstruction6">
    <w:name w:val="qa_instruction6"/>
    <w:basedOn w:val="Overskrift6"/>
    <w:rsid w:val="00D853AB"/>
    <w:pPr>
      <w:keepNext w:val="0"/>
      <w:spacing w:before="120" w:after="0"/>
      <w:outlineLvl w:val="9"/>
    </w:pPr>
  </w:style>
  <w:style w:type="paragraph" w:customStyle="1" w:styleId="qainstruction7">
    <w:name w:val="qa_instruction7"/>
    <w:basedOn w:val="Overskrift7"/>
    <w:rsid w:val="00D853AB"/>
    <w:pPr>
      <w:keepNext w:val="0"/>
      <w:spacing w:before="120" w:after="0"/>
      <w:outlineLvl w:val="9"/>
    </w:pPr>
    <w:rPr>
      <w:b w:val="0"/>
    </w:rPr>
  </w:style>
  <w:style w:type="paragraph" w:customStyle="1" w:styleId="qainstruction8">
    <w:name w:val="qa_instruction8"/>
    <w:basedOn w:val="Overskrift8"/>
    <w:rsid w:val="00D853AB"/>
    <w:pPr>
      <w:keepNext w:val="0"/>
      <w:spacing w:before="120" w:after="0"/>
      <w:outlineLvl w:val="9"/>
    </w:pPr>
    <w:rPr>
      <w:b w:val="0"/>
    </w:rPr>
  </w:style>
  <w:style w:type="paragraph" w:customStyle="1" w:styleId="wcpTableContentSmall">
    <w:name w:val="wcp_TableContentSmall"/>
    <w:basedOn w:val="wcpTableContent"/>
    <w:rsid w:val="00D853AB"/>
    <w:rPr>
      <w:sz w:val="18"/>
    </w:rPr>
  </w:style>
  <w:style w:type="paragraph" w:customStyle="1" w:styleId="wcpTableColHeaderSmall">
    <w:name w:val="wcp_TableColHeaderSmall"/>
    <w:basedOn w:val="wcpTableColHeader"/>
    <w:rsid w:val="00D853AB"/>
    <w:rPr>
      <w:sz w:val="18"/>
    </w:rPr>
  </w:style>
  <w:style w:type="paragraph" w:customStyle="1" w:styleId="wcpTableRowHeaderSmall">
    <w:name w:val="wcp_TableRowHeaderSmall"/>
    <w:basedOn w:val="wcpTableRowHeader"/>
    <w:rsid w:val="00D853AB"/>
    <w:rPr>
      <w:sz w:val="18"/>
    </w:rPr>
  </w:style>
  <w:style w:type="paragraph" w:customStyle="1" w:styleId="wcpTOCTitle">
    <w:name w:val="wcp_TOCTitle"/>
    <w:basedOn w:val="wcpSubTitle"/>
    <w:rsid w:val="00D853AB"/>
    <w:pPr>
      <w:outlineLvl w:val="8"/>
    </w:pPr>
  </w:style>
  <w:style w:type="paragraph" w:customStyle="1" w:styleId="avpqmtCoverPageText">
    <w:name w:val="avpqmt_CoverPageText"/>
    <w:basedOn w:val="wcpTableContent"/>
    <w:rsid w:val="00D853AB"/>
    <w:pPr>
      <w:jc w:val="center"/>
    </w:pPr>
    <w:rPr>
      <w:noProof/>
    </w:rPr>
  </w:style>
  <w:style w:type="paragraph" w:customStyle="1" w:styleId="avpqmtCoverPageDocType">
    <w:name w:val="avpqmt_CoverPageDocType"/>
    <w:basedOn w:val="avpqmtCoverPageText"/>
    <w:rsid w:val="00D853AB"/>
    <w:rPr>
      <w:b/>
      <w:caps/>
      <w:spacing w:val="40"/>
    </w:rPr>
  </w:style>
  <w:style w:type="paragraph" w:customStyle="1" w:styleId="avpqmtCoverPageImportantText">
    <w:name w:val="avpqmt_CoverPageImportantText"/>
    <w:basedOn w:val="avpqmtCoverPageText"/>
    <w:rsid w:val="00D853AB"/>
    <w:rPr>
      <w:b/>
    </w:rPr>
  </w:style>
  <w:style w:type="paragraph" w:customStyle="1" w:styleId="avpqmtCoverPageLabel">
    <w:name w:val="avpqmt_CoverPageLabel"/>
    <w:basedOn w:val="Normal"/>
    <w:rsid w:val="00D853AB"/>
    <w:pPr>
      <w:keepNext/>
      <w:spacing w:before="40" w:after="40"/>
      <w:jc w:val="center"/>
    </w:pPr>
    <w:rPr>
      <w:noProof/>
      <w:sz w:val="22"/>
      <w:lang w:val="en-US" w:eastAsia="en-US"/>
    </w:rPr>
  </w:style>
  <w:style w:type="paragraph" w:customStyle="1" w:styleId="avpqmtCoverPageTitle">
    <w:name w:val="avpqmt_CoverPageTitle"/>
    <w:basedOn w:val="avpqmtCoverPageLabel"/>
    <w:rsid w:val="00D853AB"/>
  </w:style>
  <w:style w:type="paragraph" w:customStyle="1" w:styleId="EMEAEnBodyText">
    <w:name w:val="EMEA En Body Text"/>
    <w:basedOn w:val="Normal"/>
    <w:rsid w:val="00D853AB"/>
    <w:pPr>
      <w:spacing w:before="120" w:after="120"/>
      <w:jc w:val="both"/>
    </w:pPr>
    <w:rPr>
      <w:sz w:val="22"/>
      <w:lang w:val="en-US" w:eastAsia="en-US"/>
    </w:rPr>
  </w:style>
  <w:style w:type="paragraph" w:customStyle="1" w:styleId="AHeader1">
    <w:name w:val="AHeader 1"/>
    <w:basedOn w:val="Normal"/>
    <w:rsid w:val="00D853AB"/>
    <w:pPr>
      <w:numPr>
        <w:numId w:val="18"/>
      </w:numPr>
      <w:spacing w:after="120"/>
    </w:pPr>
    <w:rPr>
      <w:rFonts w:ascii="Arial" w:hAnsi="Arial" w:cs="Arial"/>
      <w:b/>
      <w:bCs/>
      <w:sz w:val="24"/>
      <w:lang w:val="en-GB" w:eastAsia="en-US"/>
    </w:rPr>
  </w:style>
  <w:style w:type="paragraph" w:customStyle="1" w:styleId="AHeader2">
    <w:name w:val="AHeader 2"/>
    <w:basedOn w:val="AHeader1"/>
    <w:rsid w:val="00D853AB"/>
    <w:pPr>
      <w:numPr>
        <w:ilvl w:val="1"/>
      </w:numPr>
      <w:tabs>
        <w:tab w:val="num" w:pos="360"/>
      </w:tabs>
    </w:pPr>
    <w:rPr>
      <w:sz w:val="22"/>
    </w:rPr>
  </w:style>
  <w:style w:type="paragraph" w:customStyle="1" w:styleId="AHeader3">
    <w:name w:val="AHeader 3"/>
    <w:basedOn w:val="AHeader2"/>
    <w:rsid w:val="00D853AB"/>
    <w:pPr>
      <w:numPr>
        <w:ilvl w:val="2"/>
      </w:numPr>
      <w:tabs>
        <w:tab w:val="num" w:pos="360"/>
        <w:tab w:val="num" w:pos="709"/>
      </w:tabs>
    </w:pPr>
  </w:style>
  <w:style w:type="paragraph" w:customStyle="1" w:styleId="AHeader2abc">
    <w:name w:val="AHeader 2 abc"/>
    <w:basedOn w:val="AHeader3"/>
    <w:rsid w:val="00D853AB"/>
    <w:pPr>
      <w:numPr>
        <w:ilvl w:val="3"/>
      </w:numPr>
      <w:tabs>
        <w:tab w:val="num" w:pos="360"/>
        <w:tab w:val="num" w:pos="709"/>
      </w:tabs>
      <w:jc w:val="both"/>
    </w:pPr>
    <w:rPr>
      <w:b w:val="0"/>
      <w:bCs w:val="0"/>
    </w:rPr>
  </w:style>
  <w:style w:type="paragraph" w:customStyle="1" w:styleId="AHeader3abc">
    <w:name w:val="AHeader 3 abc"/>
    <w:basedOn w:val="AHeader2abc"/>
    <w:rsid w:val="00D853AB"/>
    <w:pPr>
      <w:numPr>
        <w:ilvl w:val="4"/>
      </w:numPr>
      <w:tabs>
        <w:tab w:val="num" w:pos="360"/>
        <w:tab w:val="num" w:pos="709"/>
      </w:tabs>
    </w:pPr>
  </w:style>
  <w:style w:type="paragraph" w:customStyle="1" w:styleId="Default">
    <w:name w:val="Default"/>
    <w:rsid w:val="00D853AB"/>
    <w:pPr>
      <w:autoSpaceDE w:val="0"/>
      <w:autoSpaceDN w:val="0"/>
      <w:adjustRightInd w:val="0"/>
    </w:pPr>
    <w:rPr>
      <w:lang w:val="en-US" w:eastAsia="en-US"/>
    </w:rPr>
  </w:style>
  <w:style w:type="character" w:customStyle="1" w:styleId="BodytextAgencyChar">
    <w:name w:val="Body text (Agency) Char"/>
    <w:link w:val="BodytextAgency"/>
    <w:locked/>
    <w:rsid w:val="00D853AB"/>
    <w:rPr>
      <w:rFonts w:ascii="Verdana" w:eastAsia="Verdana" w:hAnsi="Verdana" w:cs="Verdana"/>
      <w:sz w:val="18"/>
      <w:szCs w:val="18"/>
      <w:lang w:val="en-GB" w:eastAsia="en-GB"/>
    </w:rPr>
  </w:style>
  <w:style w:type="paragraph" w:customStyle="1" w:styleId="BodytextAgency">
    <w:name w:val="Body text (Agency)"/>
    <w:basedOn w:val="Normal"/>
    <w:link w:val="BodytextAgencyChar"/>
    <w:rsid w:val="00D853AB"/>
    <w:pPr>
      <w:spacing w:after="140" w:line="280" w:lineRule="atLeast"/>
    </w:pPr>
    <w:rPr>
      <w:rFonts w:ascii="Verdana" w:eastAsia="Verdana" w:hAnsi="Verdana" w:cs="Verdana"/>
      <w:sz w:val="18"/>
      <w:szCs w:val="18"/>
      <w:lang w:val="en-GB" w:eastAsia="en-GB"/>
    </w:rPr>
  </w:style>
  <w:style w:type="character" w:styleId="Fodnotehenvisning">
    <w:name w:val="footnote reference"/>
    <w:aliases w:val="wcpc_FootnoteMark"/>
    <w:semiHidden/>
    <w:unhideWhenUsed/>
    <w:rsid w:val="00D853AB"/>
    <w:rPr>
      <w:rFonts w:ascii="Times New Roman" w:hAnsi="Times New Roman" w:cs="Times New Roman" w:hint="default"/>
      <w:strike w:val="0"/>
      <w:dstrike w:val="0"/>
      <w:color w:val="auto"/>
      <w:spacing w:val="0"/>
      <w:w w:val="100"/>
      <w:kern w:val="0"/>
      <w:position w:val="0"/>
      <w:sz w:val="24"/>
      <w:u w:val="none"/>
      <w:effect w:val="none"/>
      <w:vertAlign w:val="superscript"/>
    </w:rPr>
  </w:style>
  <w:style w:type="character" w:styleId="Slutnotehenvisning">
    <w:name w:val="endnote reference"/>
    <w:aliases w:val="wcpc_EndnoteMark,Ref CAll_Appel Ref"/>
    <w:semiHidden/>
    <w:unhideWhenUsed/>
    <w:rsid w:val="00D853AB"/>
    <w:rPr>
      <w:rFonts w:ascii="Arial" w:hAnsi="Arial" w:cs="Arial" w:hint="default"/>
      <w:strike w:val="0"/>
      <w:dstrike w:val="0"/>
      <w:color w:val="auto"/>
      <w:sz w:val="22"/>
      <w:u w:val="none"/>
      <w:effect w:val="none"/>
      <w:vertAlign w:val="baseline"/>
    </w:rPr>
  </w:style>
  <w:style w:type="character" w:customStyle="1" w:styleId="wcpcTablenoteMark">
    <w:name w:val="wcpc_TablenoteMark"/>
    <w:rsid w:val="00D853AB"/>
    <w:rPr>
      <w:rFonts w:ascii="Times New Roman" w:hAnsi="Times New Roman" w:cs="Times New Roman" w:hint="default"/>
      <w:strike w:val="0"/>
      <w:dstrike w:val="0"/>
      <w:color w:val="auto"/>
      <w:spacing w:val="0"/>
      <w:w w:val="100"/>
      <w:kern w:val="0"/>
      <w:position w:val="0"/>
      <w:sz w:val="22"/>
      <w:u w:val="none"/>
      <w:effect w:val="none"/>
      <w:vertAlign w:val="superscript"/>
    </w:rPr>
  </w:style>
  <w:style w:type="character" w:customStyle="1" w:styleId="wcpWisdomInternal">
    <w:name w:val="wcp_WisdomInternal"/>
    <w:rsid w:val="00D853AB"/>
    <w:rPr>
      <w:rFonts w:ascii="Times New Roman" w:hAnsi="Times New Roman" w:cs="Times New Roman" w:hint="default"/>
      <w:noProof/>
      <w:vanish/>
      <w:webHidden w:val="0"/>
      <w:color w:val="800000"/>
      <w:sz w:val="16"/>
      <w:effect w:val="none"/>
      <w:bdr w:val="none" w:sz="0" w:space="0" w:color="auto" w:frame="1"/>
      <w:vertAlign w:val="baseline"/>
      <w:specVanish w:val="0"/>
    </w:rPr>
  </w:style>
  <w:style w:type="character" w:customStyle="1" w:styleId="wcpcAuthoringInstruction">
    <w:name w:val="wcpc_AuthoringInstruction"/>
    <w:rsid w:val="00D853AB"/>
    <w:rPr>
      <w:i/>
      <w:iCs w:val="0"/>
      <w:vanish/>
      <w:webHidden w:val="0"/>
      <w:color w:val="0000FF"/>
      <w:specVanish w:val="0"/>
    </w:rPr>
  </w:style>
  <w:style w:type="character" w:customStyle="1" w:styleId="wcpcBibliographicReferenceMark">
    <w:name w:val="wcpc_BibliographicReferenceMark"/>
    <w:rsid w:val="00D853AB"/>
    <w:rPr>
      <w:rFonts w:ascii="Times New Roman" w:hAnsi="Times New Roman" w:cs="Times New Roman" w:hint="default"/>
      <w:strike w:val="0"/>
      <w:dstrike w:val="0"/>
      <w:color w:val="auto"/>
      <w:spacing w:val="0"/>
      <w:w w:val="100"/>
      <w:kern w:val="0"/>
      <w:position w:val="0"/>
      <w:sz w:val="24"/>
      <w:u w:val="none"/>
      <w:effect w:val="none"/>
      <w:vertAlign w:val="baseline"/>
    </w:rPr>
  </w:style>
  <w:style w:type="character" w:customStyle="1" w:styleId="wcpchyperlink">
    <w:name w:val="wcpc_hyperlink"/>
    <w:rsid w:val="00D853AB"/>
    <w:rPr>
      <w:rFonts w:ascii="Times New Roman" w:hAnsi="Times New Roman" w:cs="Times New Roman" w:hint="default"/>
      <w:color w:val="0000FF"/>
      <w:sz w:val="24"/>
      <w:bdr w:val="none" w:sz="0" w:space="0" w:color="auto" w:frame="1"/>
    </w:rPr>
  </w:style>
  <w:style w:type="numbering" w:customStyle="1" w:styleId="Style1">
    <w:name w:val="Style1"/>
    <w:rsid w:val="00D853AB"/>
    <w:pPr>
      <w:numPr>
        <w:numId w:val="21"/>
      </w:numPr>
    </w:pPr>
  </w:style>
  <w:style w:type="numbering" w:customStyle="1" w:styleId="Style2">
    <w:name w:val="Style2"/>
    <w:rsid w:val="00D853AB"/>
    <w:pPr>
      <w:numPr>
        <w:numId w:val="2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974254">
      <w:bodyDiv w:val="1"/>
      <w:marLeft w:val="0"/>
      <w:marRight w:val="0"/>
      <w:marTop w:val="0"/>
      <w:marBottom w:val="0"/>
      <w:divBdr>
        <w:top w:val="none" w:sz="0" w:space="0" w:color="auto"/>
        <w:left w:val="none" w:sz="0" w:space="0" w:color="auto"/>
        <w:bottom w:val="none" w:sz="0" w:space="0" w:color="auto"/>
        <w:right w:val="none" w:sz="0" w:space="0" w:color="auto"/>
      </w:divBdr>
    </w:div>
    <w:div w:id="229190673">
      <w:bodyDiv w:val="1"/>
      <w:marLeft w:val="0"/>
      <w:marRight w:val="0"/>
      <w:marTop w:val="0"/>
      <w:marBottom w:val="0"/>
      <w:divBdr>
        <w:top w:val="none" w:sz="0" w:space="0" w:color="auto"/>
        <w:left w:val="none" w:sz="0" w:space="0" w:color="auto"/>
        <w:bottom w:val="none" w:sz="0" w:space="0" w:color="auto"/>
        <w:right w:val="none" w:sz="0" w:space="0" w:color="auto"/>
      </w:divBdr>
    </w:div>
    <w:div w:id="354695188">
      <w:bodyDiv w:val="1"/>
      <w:marLeft w:val="0"/>
      <w:marRight w:val="0"/>
      <w:marTop w:val="0"/>
      <w:marBottom w:val="0"/>
      <w:divBdr>
        <w:top w:val="none" w:sz="0" w:space="0" w:color="auto"/>
        <w:left w:val="none" w:sz="0" w:space="0" w:color="auto"/>
        <w:bottom w:val="none" w:sz="0" w:space="0" w:color="auto"/>
        <w:right w:val="none" w:sz="0" w:space="0" w:color="auto"/>
      </w:divBdr>
    </w:div>
    <w:div w:id="434252175">
      <w:bodyDiv w:val="1"/>
      <w:marLeft w:val="0"/>
      <w:marRight w:val="0"/>
      <w:marTop w:val="0"/>
      <w:marBottom w:val="0"/>
      <w:divBdr>
        <w:top w:val="none" w:sz="0" w:space="0" w:color="auto"/>
        <w:left w:val="none" w:sz="0" w:space="0" w:color="auto"/>
        <w:bottom w:val="none" w:sz="0" w:space="0" w:color="auto"/>
        <w:right w:val="none" w:sz="0" w:space="0" w:color="auto"/>
      </w:divBdr>
    </w:div>
    <w:div w:id="460613001">
      <w:bodyDiv w:val="1"/>
      <w:marLeft w:val="0"/>
      <w:marRight w:val="0"/>
      <w:marTop w:val="0"/>
      <w:marBottom w:val="0"/>
      <w:divBdr>
        <w:top w:val="none" w:sz="0" w:space="0" w:color="auto"/>
        <w:left w:val="none" w:sz="0" w:space="0" w:color="auto"/>
        <w:bottom w:val="none" w:sz="0" w:space="0" w:color="auto"/>
        <w:right w:val="none" w:sz="0" w:space="0" w:color="auto"/>
      </w:divBdr>
    </w:div>
    <w:div w:id="572160024">
      <w:bodyDiv w:val="1"/>
      <w:marLeft w:val="0"/>
      <w:marRight w:val="0"/>
      <w:marTop w:val="0"/>
      <w:marBottom w:val="0"/>
      <w:divBdr>
        <w:top w:val="none" w:sz="0" w:space="0" w:color="auto"/>
        <w:left w:val="none" w:sz="0" w:space="0" w:color="auto"/>
        <w:bottom w:val="none" w:sz="0" w:space="0" w:color="auto"/>
        <w:right w:val="none" w:sz="0" w:space="0" w:color="auto"/>
      </w:divBdr>
    </w:div>
    <w:div w:id="695884105">
      <w:bodyDiv w:val="1"/>
      <w:marLeft w:val="0"/>
      <w:marRight w:val="0"/>
      <w:marTop w:val="0"/>
      <w:marBottom w:val="0"/>
      <w:divBdr>
        <w:top w:val="none" w:sz="0" w:space="0" w:color="auto"/>
        <w:left w:val="none" w:sz="0" w:space="0" w:color="auto"/>
        <w:bottom w:val="none" w:sz="0" w:space="0" w:color="auto"/>
        <w:right w:val="none" w:sz="0" w:space="0" w:color="auto"/>
      </w:divBdr>
    </w:div>
    <w:div w:id="857692791">
      <w:bodyDiv w:val="1"/>
      <w:marLeft w:val="0"/>
      <w:marRight w:val="0"/>
      <w:marTop w:val="0"/>
      <w:marBottom w:val="0"/>
      <w:divBdr>
        <w:top w:val="none" w:sz="0" w:space="0" w:color="auto"/>
        <w:left w:val="none" w:sz="0" w:space="0" w:color="auto"/>
        <w:bottom w:val="none" w:sz="0" w:space="0" w:color="auto"/>
        <w:right w:val="none" w:sz="0" w:space="0" w:color="auto"/>
      </w:divBdr>
    </w:div>
    <w:div w:id="908883158">
      <w:bodyDiv w:val="1"/>
      <w:marLeft w:val="0"/>
      <w:marRight w:val="0"/>
      <w:marTop w:val="0"/>
      <w:marBottom w:val="0"/>
      <w:divBdr>
        <w:top w:val="none" w:sz="0" w:space="0" w:color="auto"/>
        <w:left w:val="none" w:sz="0" w:space="0" w:color="auto"/>
        <w:bottom w:val="none" w:sz="0" w:space="0" w:color="auto"/>
        <w:right w:val="none" w:sz="0" w:space="0" w:color="auto"/>
      </w:divBdr>
    </w:div>
    <w:div w:id="1185173967">
      <w:bodyDiv w:val="1"/>
      <w:marLeft w:val="0"/>
      <w:marRight w:val="0"/>
      <w:marTop w:val="0"/>
      <w:marBottom w:val="0"/>
      <w:divBdr>
        <w:top w:val="none" w:sz="0" w:space="0" w:color="auto"/>
        <w:left w:val="none" w:sz="0" w:space="0" w:color="auto"/>
        <w:bottom w:val="none" w:sz="0" w:space="0" w:color="auto"/>
        <w:right w:val="none" w:sz="0" w:space="0" w:color="auto"/>
      </w:divBdr>
    </w:div>
    <w:div w:id="1203714258">
      <w:bodyDiv w:val="1"/>
      <w:marLeft w:val="0"/>
      <w:marRight w:val="0"/>
      <w:marTop w:val="0"/>
      <w:marBottom w:val="0"/>
      <w:divBdr>
        <w:top w:val="none" w:sz="0" w:space="0" w:color="auto"/>
        <w:left w:val="none" w:sz="0" w:space="0" w:color="auto"/>
        <w:bottom w:val="none" w:sz="0" w:space="0" w:color="auto"/>
        <w:right w:val="none" w:sz="0" w:space="0" w:color="auto"/>
      </w:divBdr>
    </w:div>
    <w:div w:id="1247150378">
      <w:bodyDiv w:val="1"/>
      <w:marLeft w:val="0"/>
      <w:marRight w:val="0"/>
      <w:marTop w:val="0"/>
      <w:marBottom w:val="0"/>
      <w:divBdr>
        <w:top w:val="none" w:sz="0" w:space="0" w:color="auto"/>
        <w:left w:val="none" w:sz="0" w:space="0" w:color="auto"/>
        <w:bottom w:val="none" w:sz="0" w:space="0" w:color="auto"/>
        <w:right w:val="none" w:sz="0" w:space="0" w:color="auto"/>
      </w:divBdr>
    </w:div>
    <w:div w:id="1272786548">
      <w:bodyDiv w:val="1"/>
      <w:marLeft w:val="0"/>
      <w:marRight w:val="0"/>
      <w:marTop w:val="0"/>
      <w:marBottom w:val="0"/>
      <w:divBdr>
        <w:top w:val="none" w:sz="0" w:space="0" w:color="auto"/>
        <w:left w:val="none" w:sz="0" w:space="0" w:color="auto"/>
        <w:bottom w:val="none" w:sz="0" w:space="0" w:color="auto"/>
        <w:right w:val="none" w:sz="0" w:space="0" w:color="auto"/>
      </w:divBdr>
    </w:div>
    <w:div w:id="1510565094">
      <w:bodyDiv w:val="1"/>
      <w:marLeft w:val="0"/>
      <w:marRight w:val="0"/>
      <w:marTop w:val="0"/>
      <w:marBottom w:val="0"/>
      <w:divBdr>
        <w:top w:val="none" w:sz="0" w:space="0" w:color="auto"/>
        <w:left w:val="none" w:sz="0" w:space="0" w:color="auto"/>
        <w:bottom w:val="none" w:sz="0" w:space="0" w:color="auto"/>
        <w:right w:val="none" w:sz="0" w:space="0" w:color="auto"/>
      </w:divBdr>
    </w:div>
    <w:div w:id="1658142539">
      <w:bodyDiv w:val="1"/>
      <w:marLeft w:val="0"/>
      <w:marRight w:val="0"/>
      <w:marTop w:val="0"/>
      <w:marBottom w:val="0"/>
      <w:divBdr>
        <w:top w:val="none" w:sz="0" w:space="0" w:color="auto"/>
        <w:left w:val="none" w:sz="0" w:space="0" w:color="auto"/>
        <w:bottom w:val="none" w:sz="0" w:space="0" w:color="auto"/>
        <w:right w:val="none" w:sz="0" w:space="0" w:color="auto"/>
      </w:divBdr>
    </w:div>
    <w:div w:id="1672873434">
      <w:bodyDiv w:val="1"/>
      <w:marLeft w:val="0"/>
      <w:marRight w:val="0"/>
      <w:marTop w:val="0"/>
      <w:marBottom w:val="0"/>
      <w:divBdr>
        <w:top w:val="none" w:sz="0" w:space="0" w:color="auto"/>
        <w:left w:val="none" w:sz="0" w:space="0" w:color="auto"/>
        <w:bottom w:val="none" w:sz="0" w:space="0" w:color="auto"/>
        <w:right w:val="none" w:sz="0" w:space="0" w:color="auto"/>
      </w:divBdr>
    </w:div>
    <w:div w:id="1735814955">
      <w:bodyDiv w:val="1"/>
      <w:marLeft w:val="0"/>
      <w:marRight w:val="0"/>
      <w:marTop w:val="0"/>
      <w:marBottom w:val="0"/>
      <w:divBdr>
        <w:top w:val="none" w:sz="0" w:space="0" w:color="auto"/>
        <w:left w:val="none" w:sz="0" w:space="0" w:color="auto"/>
        <w:bottom w:val="none" w:sz="0" w:space="0" w:color="auto"/>
        <w:right w:val="none" w:sz="0" w:space="0" w:color="auto"/>
      </w:divBdr>
    </w:div>
    <w:div w:id="1775124631">
      <w:bodyDiv w:val="1"/>
      <w:marLeft w:val="0"/>
      <w:marRight w:val="0"/>
      <w:marTop w:val="0"/>
      <w:marBottom w:val="0"/>
      <w:divBdr>
        <w:top w:val="none" w:sz="0" w:space="0" w:color="auto"/>
        <w:left w:val="none" w:sz="0" w:space="0" w:color="auto"/>
        <w:bottom w:val="none" w:sz="0" w:space="0" w:color="auto"/>
        <w:right w:val="none" w:sz="0" w:space="0" w:color="auto"/>
      </w:divBdr>
    </w:div>
    <w:div w:id="1777140824">
      <w:bodyDiv w:val="1"/>
      <w:marLeft w:val="0"/>
      <w:marRight w:val="0"/>
      <w:marTop w:val="0"/>
      <w:marBottom w:val="0"/>
      <w:divBdr>
        <w:top w:val="none" w:sz="0" w:space="0" w:color="auto"/>
        <w:left w:val="none" w:sz="0" w:space="0" w:color="auto"/>
        <w:bottom w:val="none" w:sz="0" w:space="0" w:color="auto"/>
        <w:right w:val="none" w:sz="0" w:space="0" w:color="auto"/>
      </w:divBdr>
    </w:div>
    <w:div w:id="1787387651">
      <w:bodyDiv w:val="1"/>
      <w:marLeft w:val="0"/>
      <w:marRight w:val="0"/>
      <w:marTop w:val="0"/>
      <w:marBottom w:val="0"/>
      <w:divBdr>
        <w:top w:val="none" w:sz="0" w:space="0" w:color="auto"/>
        <w:left w:val="none" w:sz="0" w:space="0" w:color="auto"/>
        <w:bottom w:val="none" w:sz="0" w:space="0" w:color="auto"/>
        <w:right w:val="none" w:sz="0" w:space="0" w:color="auto"/>
      </w:divBdr>
    </w:div>
    <w:div w:id="1813325002">
      <w:bodyDiv w:val="1"/>
      <w:marLeft w:val="0"/>
      <w:marRight w:val="0"/>
      <w:marTop w:val="0"/>
      <w:marBottom w:val="0"/>
      <w:divBdr>
        <w:top w:val="none" w:sz="0" w:space="0" w:color="auto"/>
        <w:left w:val="none" w:sz="0" w:space="0" w:color="auto"/>
        <w:bottom w:val="none" w:sz="0" w:space="0" w:color="auto"/>
        <w:right w:val="none" w:sz="0" w:space="0" w:color="auto"/>
      </w:divBdr>
    </w:div>
    <w:div w:id="1886062653">
      <w:bodyDiv w:val="1"/>
      <w:marLeft w:val="0"/>
      <w:marRight w:val="0"/>
      <w:marTop w:val="0"/>
      <w:marBottom w:val="0"/>
      <w:divBdr>
        <w:top w:val="none" w:sz="0" w:space="0" w:color="auto"/>
        <w:left w:val="none" w:sz="0" w:space="0" w:color="auto"/>
        <w:bottom w:val="none" w:sz="0" w:space="0" w:color="auto"/>
        <w:right w:val="none" w:sz="0" w:space="0" w:color="auto"/>
      </w:divBdr>
    </w:div>
    <w:div w:id="1901747124">
      <w:bodyDiv w:val="1"/>
      <w:marLeft w:val="0"/>
      <w:marRight w:val="0"/>
      <w:marTop w:val="0"/>
      <w:marBottom w:val="0"/>
      <w:divBdr>
        <w:top w:val="none" w:sz="0" w:space="0" w:color="auto"/>
        <w:left w:val="none" w:sz="0" w:space="0" w:color="auto"/>
        <w:bottom w:val="none" w:sz="0" w:space="0" w:color="auto"/>
        <w:right w:val="none" w:sz="0" w:space="0" w:color="auto"/>
      </w:divBdr>
    </w:div>
    <w:div w:id="2109307189">
      <w:bodyDiv w:val="1"/>
      <w:marLeft w:val="0"/>
      <w:marRight w:val="0"/>
      <w:marTop w:val="0"/>
      <w:marBottom w:val="0"/>
      <w:divBdr>
        <w:top w:val="none" w:sz="0" w:space="0" w:color="auto"/>
        <w:left w:val="none" w:sz="0" w:space="0" w:color="auto"/>
        <w:bottom w:val="none" w:sz="0" w:space="0" w:color="auto"/>
        <w:right w:val="none" w:sz="0" w:space="0" w:color="auto"/>
      </w:divBdr>
    </w:div>
    <w:div w:id="2135363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006-01-SKB%20SPC%20Hum%20skabelon%20-%20engelsk.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006-01-SKB SPC Hum skabelon - engelsk</Template>
  <TotalTime>2</TotalTime>
  <Pages>16</Pages>
  <Words>5463</Words>
  <Characters>30973</Characters>
  <Application>Microsoft Office Word</Application>
  <DocSecurity>0</DocSecurity>
  <Lines>258</Lines>
  <Paragraphs>72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Marianne Ott Jensen</dc:creator>
  <cp:keywords/>
  <dc:description>2025010190_x000d_
Skift af MAH fra Sanofi Pasteur</dc:description>
  <cp:lastModifiedBy>Marianne Ott Jensen</cp:lastModifiedBy>
  <cp:revision>3</cp:revision>
  <cp:lastPrinted>2006-02-24T09:31:00Z</cp:lastPrinted>
  <dcterms:created xsi:type="dcterms:W3CDTF">2025-01-14T09:38:00Z</dcterms:created>
  <dcterms:modified xsi:type="dcterms:W3CDTF">2025-01-14T09:40:00Z</dcterms:modified>
</cp:coreProperties>
</file>