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BC804"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3DE0DBDC" wp14:editId="765F6D32">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5EBFD08B" w14:textId="49FFF37E"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D13DDF">
        <w:rPr>
          <w:szCs w:val="24"/>
        </w:rPr>
        <w:t>30. oktober 2025</w:t>
      </w:r>
    </w:p>
    <w:p w14:paraId="7FB03E42" w14:textId="77777777" w:rsidR="009260DE" w:rsidRPr="00C84483" w:rsidRDefault="009260DE" w:rsidP="009260DE">
      <w:pPr>
        <w:pStyle w:val="Titel"/>
        <w:tabs>
          <w:tab w:val="left" w:pos="8222"/>
        </w:tabs>
        <w:jc w:val="left"/>
        <w:rPr>
          <w:b w:val="0"/>
          <w:szCs w:val="24"/>
        </w:rPr>
      </w:pPr>
    </w:p>
    <w:p w14:paraId="771E9294" w14:textId="77777777" w:rsidR="009260DE" w:rsidRPr="00C84483" w:rsidRDefault="009260DE" w:rsidP="009260DE">
      <w:pPr>
        <w:pStyle w:val="Titel"/>
        <w:jc w:val="left"/>
        <w:rPr>
          <w:b w:val="0"/>
          <w:szCs w:val="24"/>
        </w:rPr>
      </w:pPr>
    </w:p>
    <w:p w14:paraId="6AEA32F2" w14:textId="77777777" w:rsidR="009260DE" w:rsidRPr="00C84483" w:rsidRDefault="009260DE" w:rsidP="009260DE">
      <w:pPr>
        <w:jc w:val="center"/>
        <w:rPr>
          <w:b/>
          <w:sz w:val="24"/>
          <w:szCs w:val="24"/>
        </w:rPr>
      </w:pPr>
      <w:r w:rsidRPr="00C84483">
        <w:rPr>
          <w:b/>
          <w:sz w:val="24"/>
          <w:szCs w:val="24"/>
        </w:rPr>
        <w:t>PRODUKTRESUMÉ</w:t>
      </w:r>
    </w:p>
    <w:p w14:paraId="35B15F6E" w14:textId="77777777" w:rsidR="009260DE" w:rsidRPr="00C84483" w:rsidRDefault="009260DE" w:rsidP="009260DE">
      <w:pPr>
        <w:jc w:val="center"/>
        <w:rPr>
          <w:b/>
          <w:sz w:val="24"/>
          <w:szCs w:val="24"/>
        </w:rPr>
      </w:pPr>
    </w:p>
    <w:p w14:paraId="70A6DFFE" w14:textId="77777777" w:rsidR="009260DE" w:rsidRDefault="009260DE" w:rsidP="009260DE">
      <w:pPr>
        <w:jc w:val="center"/>
        <w:rPr>
          <w:b/>
          <w:sz w:val="24"/>
          <w:szCs w:val="24"/>
        </w:rPr>
      </w:pPr>
      <w:r w:rsidRPr="00C84483">
        <w:rPr>
          <w:b/>
          <w:sz w:val="24"/>
          <w:szCs w:val="24"/>
        </w:rPr>
        <w:t>for</w:t>
      </w:r>
    </w:p>
    <w:p w14:paraId="4CEBF5BB" w14:textId="77777777" w:rsidR="000B058C" w:rsidRPr="00C84483" w:rsidRDefault="000B058C" w:rsidP="009260DE">
      <w:pPr>
        <w:jc w:val="center"/>
        <w:rPr>
          <w:b/>
          <w:sz w:val="24"/>
          <w:szCs w:val="24"/>
        </w:rPr>
      </w:pPr>
    </w:p>
    <w:p w14:paraId="133ED47D" w14:textId="5187FBF9" w:rsidR="009260DE" w:rsidRPr="00C84483" w:rsidRDefault="00EE5C18" w:rsidP="009260DE">
      <w:pPr>
        <w:jc w:val="center"/>
        <w:rPr>
          <w:b/>
          <w:sz w:val="24"/>
          <w:szCs w:val="24"/>
        </w:rPr>
      </w:pPr>
      <w:r>
        <w:rPr>
          <w:b/>
          <w:sz w:val="24"/>
          <w:szCs w:val="24"/>
        </w:rPr>
        <w:t xml:space="preserve">Riastap, </w:t>
      </w:r>
      <w:bookmarkStart w:id="0" w:name="_Hlk212719806"/>
      <w:r w:rsidR="00956F08">
        <w:rPr>
          <w:b/>
          <w:sz w:val="24"/>
          <w:szCs w:val="24"/>
        </w:rPr>
        <w:t xml:space="preserve">pulver til </w:t>
      </w:r>
      <w:r>
        <w:rPr>
          <w:b/>
          <w:sz w:val="24"/>
          <w:szCs w:val="24"/>
        </w:rPr>
        <w:t xml:space="preserve">injektions-/infusionsvæske, opløsning </w:t>
      </w:r>
      <w:bookmarkEnd w:id="0"/>
      <w:r>
        <w:rPr>
          <w:b/>
          <w:sz w:val="24"/>
          <w:szCs w:val="24"/>
        </w:rPr>
        <w:t>2 g</w:t>
      </w:r>
    </w:p>
    <w:p w14:paraId="6C6A72CF" w14:textId="77777777" w:rsidR="009260DE" w:rsidRPr="00C84483" w:rsidRDefault="009260DE" w:rsidP="009260DE">
      <w:pPr>
        <w:jc w:val="both"/>
        <w:rPr>
          <w:sz w:val="24"/>
          <w:szCs w:val="24"/>
        </w:rPr>
      </w:pPr>
    </w:p>
    <w:p w14:paraId="4AC36044" w14:textId="77777777" w:rsidR="009260DE" w:rsidRPr="00C84483" w:rsidRDefault="009260DE" w:rsidP="009260DE">
      <w:pPr>
        <w:jc w:val="both"/>
        <w:rPr>
          <w:sz w:val="24"/>
          <w:szCs w:val="24"/>
        </w:rPr>
      </w:pPr>
    </w:p>
    <w:p w14:paraId="4450EE4A"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6FD261B3" w14:textId="66306401" w:rsidR="009260DE" w:rsidRPr="00C84483" w:rsidRDefault="00A4370D" w:rsidP="009260DE">
      <w:pPr>
        <w:tabs>
          <w:tab w:val="left" w:pos="851"/>
        </w:tabs>
        <w:ind w:left="851"/>
        <w:rPr>
          <w:sz w:val="24"/>
          <w:szCs w:val="24"/>
        </w:rPr>
      </w:pPr>
      <w:r>
        <w:rPr>
          <w:sz w:val="24"/>
          <w:szCs w:val="24"/>
        </w:rPr>
        <w:t>27217</w:t>
      </w:r>
    </w:p>
    <w:p w14:paraId="74FB018A" w14:textId="77777777" w:rsidR="009260DE" w:rsidRPr="00C84483" w:rsidRDefault="009260DE" w:rsidP="009260DE">
      <w:pPr>
        <w:tabs>
          <w:tab w:val="left" w:pos="851"/>
        </w:tabs>
        <w:ind w:left="851"/>
        <w:rPr>
          <w:sz w:val="24"/>
          <w:szCs w:val="24"/>
        </w:rPr>
      </w:pPr>
    </w:p>
    <w:p w14:paraId="5C771287"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F0EA792" w14:textId="00B28E73" w:rsidR="009260DE" w:rsidRPr="00C84483" w:rsidRDefault="00A4370D" w:rsidP="009260DE">
      <w:pPr>
        <w:tabs>
          <w:tab w:val="left" w:pos="851"/>
        </w:tabs>
        <w:ind w:left="851"/>
        <w:rPr>
          <w:sz w:val="24"/>
          <w:szCs w:val="24"/>
        </w:rPr>
      </w:pPr>
      <w:r>
        <w:rPr>
          <w:sz w:val="24"/>
          <w:szCs w:val="24"/>
        </w:rPr>
        <w:t>Riastap</w:t>
      </w:r>
    </w:p>
    <w:p w14:paraId="503F86C5" w14:textId="77777777" w:rsidR="009260DE" w:rsidRPr="00C84483" w:rsidRDefault="009260DE" w:rsidP="009260DE">
      <w:pPr>
        <w:tabs>
          <w:tab w:val="left" w:pos="851"/>
        </w:tabs>
        <w:ind w:left="851"/>
        <w:rPr>
          <w:sz w:val="24"/>
          <w:szCs w:val="24"/>
        </w:rPr>
      </w:pPr>
    </w:p>
    <w:p w14:paraId="302221A3"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45F20C25" w14:textId="77777777" w:rsidR="00A4370D" w:rsidRPr="00A4370D" w:rsidRDefault="00A4370D" w:rsidP="00A4370D">
      <w:pPr>
        <w:tabs>
          <w:tab w:val="left" w:pos="851"/>
        </w:tabs>
        <w:ind w:left="851"/>
        <w:rPr>
          <w:sz w:val="24"/>
          <w:szCs w:val="24"/>
        </w:rPr>
      </w:pPr>
      <w:r w:rsidRPr="00A4370D">
        <w:rPr>
          <w:sz w:val="24"/>
          <w:szCs w:val="24"/>
        </w:rPr>
        <w:t>Riastap er formuleret som et pulver til injektionsvæske eller infusionsvæske i et hætteglas, der indeholder 2 g humant fibrinogen.</w:t>
      </w:r>
    </w:p>
    <w:p w14:paraId="71C8BC08" w14:textId="77777777" w:rsidR="00A4370D" w:rsidRPr="00A4370D" w:rsidRDefault="00A4370D" w:rsidP="00A4370D">
      <w:pPr>
        <w:tabs>
          <w:tab w:val="left" w:pos="851"/>
        </w:tabs>
        <w:ind w:left="851"/>
        <w:rPr>
          <w:sz w:val="24"/>
          <w:szCs w:val="24"/>
        </w:rPr>
      </w:pPr>
    </w:p>
    <w:p w14:paraId="3CE281E2" w14:textId="324DB17F" w:rsidR="00A4370D" w:rsidRPr="00A4370D" w:rsidRDefault="00A4370D" w:rsidP="00A4370D">
      <w:pPr>
        <w:tabs>
          <w:tab w:val="left" w:pos="851"/>
        </w:tabs>
        <w:ind w:left="851"/>
        <w:rPr>
          <w:sz w:val="24"/>
          <w:szCs w:val="24"/>
        </w:rPr>
      </w:pPr>
      <w:r w:rsidRPr="00A4370D">
        <w:rPr>
          <w:sz w:val="24"/>
          <w:szCs w:val="24"/>
        </w:rPr>
        <w:t>Efter rekonstitution med 100 ml vand til injektionsvæsker er lægemidlets indhold af humant fibrinogen ca. 20 mg/ml.</w:t>
      </w:r>
    </w:p>
    <w:p w14:paraId="589D820F" w14:textId="77777777" w:rsidR="00A4370D" w:rsidRPr="00A4370D" w:rsidRDefault="00A4370D" w:rsidP="00A4370D">
      <w:pPr>
        <w:tabs>
          <w:tab w:val="left" w:pos="851"/>
        </w:tabs>
        <w:ind w:left="851"/>
        <w:rPr>
          <w:sz w:val="24"/>
          <w:szCs w:val="24"/>
        </w:rPr>
      </w:pPr>
    </w:p>
    <w:p w14:paraId="2D9353D0" w14:textId="699F1FFD" w:rsidR="00A4370D" w:rsidRPr="00A4370D" w:rsidRDefault="00A4370D" w:rsidP="00A4370D">
      <w:pPr>
        <w:tabs>
          <w:tab w:val="left" w:pos="851"/>
        </w:tabs>
        <w:ind w:left="851"/>
        <w:rPr>
          <w:sz w:val="24"/>
          <w:szCs w:val="24"/>
        </w:rPr>
      </w:pPr>
      <w:bookmarkStart w:id="1" w:name="OLE_LINK4"/>
      <w:bookmarkStart w:id="2" w:name="OLE_LINK3"/>
      <w:r w:rsidRPr="00A4370D">
        <w:rPr>
          <w:sz w:val="24"/>
          <w:szCs w:val="24"/>
        </w:rPr>
        <w:t>Indholdet af koagulerbart fibrinogen bestemmes i henhold til forskriften i den europæiske farmakopé for humant fibrinogen.</w:t>
      </w:r>
    </w:p>
    <w:bookmarkEnd w:id="1"/>
    <w:bookmarkEnd w:id="2"/>
    <w:p w14:paraId="08032EA7" w14:textId="77777777" w:rsidR="00A4370D" w:rsidRPr="00A4370D" w:rsidRDefault="00A4370D" w:rsidP="00A4370D">
      <w:pPr>
        <w:tabs>
          <w:tab w:val="left" w:pos="851"/>
        </w:tabs>
        <w:ind w:left="851"/>
        <w:rPr>
          <w:sz w:val="24"/>
          <w:szCs w:val="24"/>
        </w:rPr>
      </w:pPr>
    </w:p>
    <w:p w14:paraId="7D217935" w14:textId="1F6BCDEF" w:rsidR="00A4370D" w:rsidRPr="00A4370D" w:rsidRDefault="00A4370D" w:rsidP="00A4370D">
      <w:pPr>
        <w:tabs>
          <w:tab w:val="left" w:pos="851"/>
        </w:tabs>
        <w:ind w:left="851"/>
        <w:rPr>
          <w:sz w:val="24"/>
          <w:szCs w:val="24"/>
          <w:u w:val="single"/>
        </w:rPr>
      </w:pPr>
      <w:r w:rsidRPr="00A4370D">
        <w:rPr>
          <w:sz w:val="24"/>
          <w:szCs w:val="24"/>
          <w:u w:val="single"/>
        </w:rPr>
        <w:t>Hjælpestof, som behandleren skal være opmærksom på</w:t>
      </w:r>
    </w:p>
    <w:p w14:paraId="0833DD78" w14:textId="11024709" w:rsidR="00A4370D" w:rsidRPr="00A4370D" w:rsidRDefault="00A4370D" w:rsidP="00A4370D">
      <w:pPr>
        <w:tabs>
          <w:tab w:val="left" w:pos="851"/>
        </w:tabs>
        <w:ind w:left="851"/>
        <w:rPr>
          <w:sz w:val="24"/>
          <w:szCs w:val="24"/>
        </w:rPr>
      </w:pPr>
      <w:r w:rsidRPr="00A4370D">
        <w:rPr>
          <w:sz w:val="24"/>
          <w:szCs w:val="24"/>
        </w:rPr>
        <w:t>Natrium op til 328 mg (14,3 mmol) pr. hætteglas.</w:t>
      </w:r>
    </w:p>
    <w:p w14:paraId="48C3F7C5" w14:textId="21D221DE" w:rsidR="00A4370D" w:rsidRPr="00A4370D" w:rsidRDefault="00A4370D" w:rsidP="00A4370D">
      <w:pPr>
        <w:tabs>
          <w:tab w:val="left" w:pos="851"/>
        </w:tabs>
        <w:ind w:left="851"/>
        <w:rPr>
          <w:sz w:val="24"/>
          <w:szCs w:val="24"/>
        </w:rPr>
      </w:pPr>
    </w:p>
    <w:p w14:paraId="21051CBB" w14:textId="77777777" w:rsidR="00A4370D" w:rsidRPr="00A4370D" w:rsidRDefault="00A4370D" w:rsidP="00A4370D">
      <w:pPr>
        <w:tabs>
          <w:tab w:val="left" w:pos="851"/>
        </w:tabs>
        <w:ind w:left="851"/>
        <w:rPr>
          <w:sz w:val="24"/>
          <w:szCs w:val="24"/>
        </w:rPr>
      </w:pPr>
      <w:r w:rsidRPr="00A4370D">
        <w:rPr>
          <w:sz w:val="24"/>
          <w:szCs w:val="24"/>
        </w:rPr>
        <w:t>Alle hjælpestoffer er anført under pkt. 6.1.</w:t>
      </w:r>
    </w:p>
    <w:p w14:paraId="1B528A03" w14:textId="77777777" w:rsidR="009260DE" w:rsidRPr="00C84483" w:rsidRDefault="009260DE" w:rsidP="009260DE">
      <w:pPr>
        <w:tabs>
          <w:tab w:val="left" w:pos="851"/>
        </w:tabs>
        <w:ind w:left="851"/>
        <w:rPr>
          <w:sz w:val="24"/>
          <w:szCs w:val="24"/>
        </w:rPr>
      </w:pPr>
    </w:p>
    <w:p w14:paraId="48855561"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3E293E3C" w14:textId="64E81916" w:rsidR="009260DE" w:rsidRPr="00A4370D" w:rsidRDefault="00A4370D" w:rsidP="009260DE">
      <w:pPr>
        <w:tabs>
          <w:tab w:val="left" w:pos="851"/>
        </w:tabs>
        <w:ind w:left="851"/>
        <w:rPr>
          <w:sz w:val="24"/>
          <w:szCs w:val="24"/>
        </w:rPr>
      </w:pPr>
      <w:r w:rsidRPr="00A4370D">
        <w:rPr>
          <w:sz w:val="24"/>
          <w:szCs w:val="24"/>
        </w:rPr>
        <w:t>Pulver til injektions-/infusionsvæske, opløsning</w:t>
      </w:r>
    </w:p>
    <w:p w14:paraId="425D58BE" w14:textId="77777777" w:rsidR="00005FC0" w:rsidRDefault="00005FC0" w:rsidP="003445BC">
      <w:pPr>
        <w:tabs>
          <w:tab w:val="left" w:pos="851"/>
        </w:tabs>
        <w:ind w:left="851"/>
        <w:rPr>
          <w:sz w:val="24"/>
          <w:szCs w:val="24"/>
        </w:rPr>
      </w:pPr>
    </w:p>
    <w:p w14:paraId="2A99E848" w14:textId="1DF7B166" w:rsidR="003445BC" w:rsidRPr="003445BC" w:rsidRDefault="003445BC" w:rsidP="003445BC">
      <w:pPr>
        <w:tabs>
          <w:tab w:val="left" w:pos="851"/>
        </w:tabs>
        <w:ind w:left="851"/>
        <w:rPr>
          <w:sz w:val="24"/>
          <w:szCs w:val="24"/>
        </w:rPr>
      </w:pPr>
      <w:r w:rsidRPr="003445BC">
        <w:rPr>
          <w:sz w:val="24"/>
          <w:szCs w:val="24"/>
        </w:rPr>
        <w:t>Hvidt pulver.</w:t>
      </w:r>
    </w:p>
    <w:p w14:paraId="4F454F06" w14:textId="77777777" w:rsidR="009260DE" w:rsidRPr="00C84483" w:rsidRDefault="009260DE" w:rsidP="009260DE">
      <w:pPr>
        <w:tabs>
          <w:tab w:val="left" w:pos="851"/>
        </w:tabs>
        <w:ind w:left="851"/>
        <w:rPr>
          <w:sz w:val="24"/>
          <w:szCs w:val="24"/>
        </w:rPr>
      </w:pPr>
    </w:p>
    <w:p w14:paraId="30F5811B" w14:textId="77777777" w:rsidR="009260DE" w:rsidRPr="00C84483" w:rsidRDefault="009260DE" w:rsidP="009260DE">
      <w:pPr>
        <w:tabs>
          <w:tab w:val="left" w:pos="851"/>
        </w:tabs>
        <w:ind w:left="851"/>
        <w:rPr>
          <w:sz w:val="24"/>
          <w:szCs w:val="24"/>
        </w:rPr>
      </w:pPr>
    </w:p>
    <w:p w14:paraId="5566C02D"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61E7503E" w14:textId="77777777" w:rsidR="009260DE" w:rsidRPr="00C84483" w:rsidRDefault="009260DE" w:rsidP="009260DE">
      <w:pPr>
        <w:tabs>
          <w:tab w:val="left" w:pos="851"/>
        </w:tabs>
        <w:ind w:left="851"/>
        <w:rPr>
          <w:b/>
          <w:sz w:val="24"/>
          <w:szCs w:val="24"/>
        </w:rPr>
      </w:pPr>
    </w:p>
    <w:p w14:paraId="01FE48D2"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7FEADF9A" w14:textId="0709F763" w:rsidR="00005FC0" w:rsidRPr="00005FC0" w:rsidRDefault="00005FC0" w:rsidP="00005FC0">
      <w:pPr>
        <w:tabs>
          <w:tab w:val="left" w:pos="851"/>
        </w:tabs>
        <w:ind w:left="851"/>
        <w:rPr>
          <w:sz w:val="24"/>
          <w:szCs w:val="24"/>
        </w:rPr>
      </w:pPr>
      <w:r w:rsidRPr="00005FC0">
        <w:rPr>
          <w:sz w:val="24"/>
          <w:szCs w:val="24"/>
        </w:rPr>
        <w:t>Behandling af blødninger hos patienter med medfødt hypo- eller afibrinogenæmi med blødningstendens.</w:t>
      </w:r>
    </w:p>
    <w:p w14:paraId="0E8E3F0D" w14:textId="77777777" w:rsidR="009260DE" w:rsidRPr="00C84483" w:rsidRDefault="009260DE" w:rsidP="009260DE">
      <w:pPr>
        <w:tabs>
          <w:tab w:val="left" w:pos="851"/>
        </w:tabs>
        <w:ind w:left="851"/>
        <w:rPr>
          <w:sz w:val="24"/>
          <w:szCs w:val="24"/>
        </w:rPr>
      </w:pPr>
    </w:p>
    <w:p w14:paraId="021587C7"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6C28F750" w14:textId="6E0E0442" w:rsidR="00005FC0" w:rsidRPr="00005FC0" w:rsidRDefault="00005FC0" w:rsidP="00005FC0">
      <w:pPr>
        <w:tabs>
          <w:tab w:val="left" w:pos="851"/>
        </w:tabs>
        <w:ind w:left="851"/>
        <w:rPr>
          <w:sz w:val="24"/>
          <w:szCs w:val="24"/>
        </w:rPr>
      </w:pPr>
      <w:r w:rsidRPr="00005FC0">
        <w:rPr>
          <w:sz w:val="24"/>
          <w:szCs w:val="24"/>
        </w:rPr>
        <w:t>Behandlingen bør indledes under overvågning af en speciallæge med erfaring i koagulations</w:t>
      </w:r>
      <w:r w:rsidRPr="00005FC0">
        <w:rPr>
          <w:sz w:val="24"/>
          <w:szCs w:val="24"/>
        </w:rPr>
        <w:softHyphen/>
        <w:t>forstyrrelser.</w:t>
      </w:r>
    </w:p>
    <w:p w14:paraId="7AA4B843" w14:textId="77777777" w:rsidR="00005FC0" w:rsidRPr="00005FC0" w:rsidRDefault="00005FC0" w:rsidP="00005FC0">
      <w:pPr>
        <w:tabs>
          <w:tab w:val="left" w:pos="851"/>
        </w:tabs>
        <w:ind w:left="851"/>
        <w:rPr>
          <w:sz w:val="24"/>
          <w:szCs w:val="24"/>
        </w:rPr>
      </w:pPr>
    </w:p>
    <w:p w14:paraId="1C3DDA74" w14:textId="77777777" w:rsidR="00005FC0" w:rsidRPr="00005FC0" w:rsidRDefault="00005FC0" w:rsidP="00005FC0">
      <w:pPr>
        <w:tabs>
          <w:tab w:val="left" w:pos="851"/>
        </w:tabs>
        <w:ind w:left="851"/>
        <w:rPr>
          <w:bCs/>
          <w:iCs/>
          <w:sz w:val="24"/>
          <w:szCs w:val="24"/>
          <w:u w:val="single"/>
        </w:rPr>
      </w:pPr>
      <w:r w:rsidRPr="00005FC0">
        <w:rPr>
          <w:bCs/>
          <w:iCs/>
          <w:sz w:val="24"/>
          <w:szCs w:val="24"/>
          <w:u w:val="single"/>
        </w:rPr>
        <w:t>Dosering</w:t>
      </w:r>
    </w:p>
    <w:p w14:paraId="69AF3EB0" w14:textId="77777777" w:rsidR="00005FC0" w:rsidRPr="00005FC0" w:rsidRDefault="00005FC0" w:rsidP="00005FC0">
      <w:pPr>
        <w:tabs>
          <w:tab w:val="left" w:pos="851"/>
        </w:tabs>
        <w:ind w:left="851"/>
        <w:rPr>
          <w:sz w:val="24"/>
          <w:szCs w:val="24"/>
        </w:rPr>
      </w:pPr>
      <w:r w:rsidRPr="00005FC0">
        <w:rPr>
          <w:sz w:val="24"/>
          <w:szCs w:val="24"/>
        </w:rPr>
        <w:t>Dosis og varighed af substitutionsterapien afhænger af sygdommens sværhedsgrad, lokalisering og blødningens omfang samt af patientens kliniske tilstand.</w:t>
      </w:r>
    </w:p>
    <w:p w14:paraId="0304D450" w14:textId="77777777" w:rsidR="00005FC0" w:rsidRPr="00005FC0" w:rsidRDefault="00005FC0" w:rsidP="00005FC0">
      <w:pPr>
        <w:tabs>
          <w:tab w:val="left" w:pos="851"/>
        </w:tabs>
        <w:ind w:left="851"/>
        <w:rPr>
          <w:sz w:val="24"/>
          <w:szCs w:val="24"/>
        </w:rPr>
      </w:pPr>
    </w:p>
    <w:p w14:paraId="6B51A387" w14:textId="77777777" w:rsidR="00005FC0" w:rsidRPr="00005FC0" w:rsidRDefault="00005FC0" w:rsidP="00005FC0">
      <w:pPr>
        <w:tabs>
          <w:tab w:val="left" w:pos="851"/>
        </w:tabs>
        <w:ind w:left="851"/>
        <w:rPr>
          <w:sz w:val="24"/>
          <w:szCs w:val="24"/>
        </w:rPr>
      </w:pPr>
      <w:bookmarkStart w:id="3" w:name="OLE_LINK6"/>
      <w:bookmarkStart w:id="4" w:name="OLE_LINK5"/>
      <w:r w:rsidRPr="00005FC0">
        <w:rPr>
          <w:sz w:val="24"/>
          <w:szCs w:val="24"/>
        </w:rPr>
        <w:t>Niveauet af (funktionelt) fibrinogen skal bestemmes med henblik på beregning af den individuelle dosis samt indgivelsesmængde og -hyppighed for den enkelte patient ved regelmæssig måling af fibrinogens plasmakoncentration og løbende monitoring af patientens kliniske tilstand og eventuelle andre substitutionsterapier.</w:t>
      </w:r>
    </w:p>
    <w:bookmarkEnd w:id="3"/>
    <w:bookmarkEnd w:id="4"/>
    <w:p w14:paraId="35FB612A" w14:textId="77777777" w:rsidR="00005FC0" w:rsidRPr="00005FC0" w:rsidRDefault="00005FC0" w:rsidP="00005FC0">
      <w:pPr>
        <w:tabs>
          <w:tab w:val="left" w:pos="851"/>
        </w:tabs>
        <w:ind w:left="851"/>
        <w:rPr>
          <w:sz w:val="24"/>
          <w:szCs w:val="24"/>
        </w:rPr>
      </w:pPr>
    </w:p>
    <w:p w14:paraId="07CB610D" w14:textId="32AD1F4D" w:rsidR="00005FC0" w:rsidRPr="00005FC0" w:rsidRDefault="00005FC0" w:rsidP="00005FC0">
      <w:pPr>
        <w:tabs>
          <w:tab w:val="left" w:pos="851"/>
        </w:tabs>
        <w:ind w:left="851"/>
        <w:rPr>
          <w:sz w:val="24"/>
          <w:szCs w:val="24"/>
        </w:rPr>
      </w:pPr>
      <w:bookmarkStart w:id="5" w:name="OLE_LINK7"/>
      <w:bookmarkStart w:id="6" w:name="OLE_LINK8"/>
      <w:r w:rsidRPr="00005FC0">
        <w:rPr>
          <w:sz w:val="24"/>
          <w:szCs w:val="24"/>
        </w:rPr>
        <w:t>Normalt ligger fibrinogens plasmakoncentration i området 1,5</w:t>
      </w:r>
      <w:r>
        <w:rPr>
          <w:sz w:val="24"/>
          <w:szCs w:val="24"/>
        </w:rPr>
        <w:t>-</w:t>
      </w:r>
      <w:r w:rsidRPr="00005FC0">
        <w:rPr>
          <w:sz w:val="24"/>
          <w:szCs w:val="24"/>
        </w:rPr>
        <w:t>4,5 g/l.  Den kritiske plasmakoncentration er ca. 0,5</w:t>
      </w:r>
      <w:r>
        <w:rPr>
          <w:sz w:val="24"/>
          <w:szCs w:val="24"/>
        </w:rPr>
        <w:t>-</w:t>
      </w:r>
      <w:r w:rsidRPr="00005FC0">
        <w:rPr>
          <w:sz w:val="24"/>
          <w:szCs w:val="24"/>
        </w:rPr>
        <w:t>1,0 g/l, og under dette niveau kan der opstå blødninger. Ved større kirurgiske indgreb er det yderst vigtigt med præcis monitorering af substitutionsterapien ved hjælp af koagulationsanalyser.</w:t>
      </w:r>
    </w:p>
    <w:bookmarkEnd w:id="5"/>
    <w:bookmarkEnd w:id="6"/>
    <w:p w14:paraId="2056EC91" w14:textId="77777777" w:rsidR="00005FC0" w:rsidRPr="00005FC0" w:rsidRDefault="00005FC0" w:rsidP="00005FC0">
      <w:pPr>
        <w:tabs>
          <w:tab w:val="left" w:pos="851"/>
        </w:tabs>
        <w:ind w:left="851"/>
        <w:rPr>
          <w:sz w:val="24"/>
          <w:szCs w:val="24"/>
        </w:rPr>
      </w:pPr>
    </w:p>
    <w:p w14:paraId="41BE3D09" w14:textId="77777777" w:rsidR="00005FC0" w:rsidRPr="00005FC0" w:rsidRDefault="00005FC0" w:rsidP="00005FC0">
      <w:pPr>
        <w:tabs>
          <w:tab w:val="left" w:pos="851"/>
        </w:tabs>
        <w:ind w:left="851"/>
        <w:rPr>
          <w:bCs/>
          <w:i/>
          <w:sz w:val="24"/>
          <w:szCs w:val="24"/>
        </w:rPr>
      </w:pPr>
      <w:r w:rsidRPr="00005FC0">
        <w:rPr>
          <w:bCs/>
          <w:i/>
          <w:sz w:val="24"/>
          <w:szCs w:val="24"/>
        </w:rPr>
        <w:t>Initialdosis</w:t>
      </w:r>
    </w:p>
    <w:p w14:paraId="3A384B40" w14:textId="77777777" w:rsidR="00005FC0" w:rsidRPr="00005FC0" w:rsidRDefault="00005FC0" w:rsidP="00005FC0">
      <w:pPr>
        <w:tabs>
          <w:tab w:val="left" w:pos="851"/>
        </w:tabs>
        <w:ind w:left="851"/>
        <w:rPr>
          <w:sz w:val="24"/>
          <w:szCs w:val="24"/>
        </w:rPr>
      </w:pPr>
      <w:r w:rsidRPr="00005FC0">
        <w:rPr>
          <w:sz w:val="24"/>
          <w:szCs w:val="24"/>
        </w:rPr>
        <w:t>Hvis patientens fibrinogenværdi ikke foreligger, er den anbefalede dosis 70 mg/kg legemsvægt, som gives intravenøst.</w:t>
      </w:r>
    </w:p>
    <w:p w14:paraId="1CABACF2" w14:textId="77777777" w:rsidR="00005FC0" w:rsidRPr="00005FC0" w:rsidRDefault="00005FC0" w:rsidP="00005FC0">
      <w:pPr>
        <w:tabs>
          <w:tab w:val="left" w:pos="851"/>
        </w:tabs>
        <w:ind w:left="851"/>
        <w:rPr>
          <w:sz w:val="24"/>
          <w:szCs w:val="24"/>
        </w:rPr>
      </w:pPr>
    </w:p>
    <w:p w14:paraId="01167977" w14:textId="77777777" w:rsidR="00005FC0" w:rsidRPr="00005FC0" w:rsidRDefault="00005FC0" w:rsidP="00005FC0">
      <w:pPr>
        <w:tabs>
          <w:tab w:val="left" w:pos="851"/>
        </w:tabs>
        <w:ind w:left="851"/>
        <w:rPr>
          <w:i/>
          <w:sz w:val="24"/>
          <w:szCs w:val="24"/>
        </w:rPr>
      </w:pPr>
      <w:r w:rsidRPr="00005FC0">
        <w:rPr>
          <w:i/>
          <w:sz w:val="24"/>
          <w:szCs w:val="24"/>
        </w:rPr>
        <w:t xml:space="preserve">Efterfølgende doser </w:t>
      </w:r>
    </w:p>
    <w:p w14:paraId="563E6A86" w14:textId="77777777" w:rsidR="00005FC0" w:rsidRPr="00005FC0" w:rsidRDefault="00005FC0" w:rsidP="00005FC0">
      <w:pPr>
        <w:tabs>
          <w:tab w:val="left" w:pos="851"/>
        </w:tabs>
        <w:ind w:left="851"/>
        <w:rPr>
          <w:sz w:val="24"/>
          <w:szCs w:val="24"/>
        </w:rPr>
      </w:pPr>
      <w:r w:rsidRPr="00005FC0">
        <w:rPr>
          <w:sz w:val="24"/>
          <w:szCs w:val="24"/>
        </w:rPr>
        <w:t>Målniveau (1 g/l) ved mindre hændelser (f.eks. epistaxis, intramuskulær blødning eller menoragi) bør opretholdes i mindst tre dage. Målniveauet (1,5 g/l) ved større hændelser (f.eks. hovedtraume eller intrakraniel blødning) bør opretholdes i syv dage.</w:t>
      </w:r>
    </w:p>
    <w:p w14:paraId="33897B89" w14:textId="77777777" w:rsidR="00005FC0" w:rsidRPr="00005FC0" w:rsidRDefault="00005FC0" w:rsidP="00005FC0">
      <w:pPr>
        <w:tabs>
          <w:tab w:val="left" w:pos="851"/>
        </w:tabs>
        <w:ind w:left="851"/>
        <w:rPr>
          <w:sz w:val="24"/>
          <w:szCs w:val="24"/>
        </w:rPr>
      </w:pPr>
    </w:p>
    <w:p w14:paraId="3C550871" w14:textId="77777777" w:rsidR="00005FC0" w:rsidRPr="00005FC0" w:rsidRDefault="00005FC0" w:rsidP="00005FC0">
      <w:pPr>
        <w:tabs>
          <w:tab w:val="left" w:pos="851"/>
        </w:tabs>
        <w:ind w:left="851"/>
        <w:rPr>
          <w:sz w:val="24"/>
          <w:szCs w:val="24"/>
        </w:rPr>
      </w:pPr>
      <w:r w:rsidRPr="00005FC0">
        <w:rPr>
          <w:sz w:val="24"/>
          <w:szCs w:val="24"/>
        </w:rPr>
        <w:t>Fibrinogendosis</w:t>
      </w:r>
      <w:r w:rsidRPr="00005FC0">
        <w:rPr>
          <w:sz w:val="24"/>
          <w:szCs w:val="24"/>
        </w:rPr>
        <w:tab/>
        <w:t>=</w:t>
      </w:r>
      <w:r w:rsidRPr="00005FC0">
        <w:rPr>
          <w:sz w:val="24"/>
          <w:szCs w:val="24"/>
        </w:rPr>
        <w:tab/>
      </w:r>
      <w:r w:rsidRPr="00005FC0">
        <w:rPr>
          <w:sz w:val="24"/>
          <w:szCs w:val="24"/>
          <w:u w:val="single"/>
        </w:rPr>
        <w:t>[målniveau (g/l) – målt koncentration (g/l)]</w:t>
      </w:r>
      <w:r w:rsidRPr="00005FC0">
        <w:rPr>
          <w:sz w:val="24"/>
          <w:szCs w:val="24"/>
        </w:rPr>
        <w:t xml:space="preserve"> </w:t>
      </w:r>
    </w:p>
    <w:p w14:paraId="2531B071" w14:textId="77777777" w:rsidR="00005FC0" w:rsidRPr="00005FC0" w:rsidRDefault="00005FC0" w:rsidP="00005FC0">
      <w:pPr>
        <w:tabs>
          <w:tab w:val="left" w:pos="851"/>
        </w:tabs>
        <w:ind w:left="851"/>
        <w:rPr>
          <w:sz w:val="24"/>
          <w:szCs w:val="24"/>
        </w:rPr>
      </w:pPr>
      <w:r w:rsidRPr="00005FC0">
        <w:rPr>
          <w:sz w:val="24"/>
          <w:szCs w:val="24"/>
        </w:rPr>
        <w:t>(mg/kg legemsvægt)</w:t>
      </w:r>
      <w:r w:rsidRPr="00005FC0">
        <w:rPr>
          <w:sz w:val="24"/>
          <w:szCs w:val="24"/>
        </w:rPr>
        <w:tab/>
        <w:t xml:space="preserve">0,017 (g/l pr. mg/kg legemsvægt) </w:t>
      </w:r>
    </w:p>
    <w:p w14:paraId="7E4AAD46" w14:textId="77777777" w:rsidR="00005FC0" w:rsidRPr="00005FC0" w:rsidRDefault="00005FC0" w:rsidP="00005FC0">
      <w:pPr>
        <w:tabs>
          <w:tab w:val="left" w:pos="851"/>
        </w:tabs>
        <w:ind w:left="851"/>
        <w:rPr>
          <w:sz w:val="24"/>
          <w:szCs w:val="24"/>
        </w:rPr>
      </w:pPr>
    </w:p>
    <w:p w14:paraId="11E6488C" w14:textId="77777777" w:rsidR="00005FC0" w:rsidRPr="00005FC0" w:rsidRDefault="00005FC0" w:rsidP="00005FC0">
      <w:pPr>
        <w:tabs>
          <w:tab w:val="left" w:pos="851"/>
        </w:tabs>
        <w:ind w:left="851"/>
        <w:rPr>
          <w:i/>
          <w:iCs/>
          <w:sz w:val="24"/>
          <w:szCs w:val="24"/>
        </w:rPr>
      </w:pPr>
      <w:r w:rsidRPr="00005FC0">
        <w:rPr>
          <w:i/>
          <w:iCs/>
          <w:sz w:val="24"/>
          <w:szCs w:val="24"/>
        </w:rPr>
        <w:t>Pædiatrisk population</w:t>
      </w:r>
    </w:p>
    <w:p w14:paraId="4A79EEE9" w14:textId="77777777" w:rsidR="00005FC0" w:rsidRPr="00005FC0" w:rsidRDefault="00005FC0" w:rsidP="00005FC0">
      <w:pPr>
        <w:tabs>
          <w:tab w:val="left" w:pos="851"/>
        </w:tabs>
        <w:ind w:left="851"/>
        <w:rPr>
          <w:sz w:val="24"/>
          <w:szCs w:val="24"/>
        </w:rPr>
      </w:pPr>
      <w:bookmarkStart w:id="7" w:name="OLE_LINK9"/>
      <w:bookmarkStart w:id="8" w:name="OLE_LINK10"/>
      <w:r w:rsidRPr="00005FC0">
        <w:rPr>
          <w:sz w:val="24"/>
          <w:szCs w:val="24"/>
        </w:rPr>
        <w:t>Der foreligger begrænsede data fra kliniske forsøg om dosering af Riastap til børn. Baseret på disse forsøg samt på længere tids klinisk erfaring med fibrinogen</w:t>
      </w:r>
      <w:r w:rsidRPr="00005FC0">
        <w:rPr>
          <w:sz w:val="24"/>
          <w:szCs w:val="24"/>
        </w:rPr>
        <w:softHyphen/>
        <w:t>præparater er dosis</w:t>
      </w:r>
      <w:r w:rsidRPr="00005FC0">
        <w:rPr>
          <w:sz w:val="24"/>
          <w:szCs w:val="24"/>
        </w:rPr>
        <w:softHyphen/>
        <w:t xml:space="preserve">anbefalingerne </w:t>
      </w:r>
      <w:r w:rsidRPr="00005FC0">
        <w:rPr>
          <w:sz w:val="24"/>
          <w:szCs w:val="24"/>
        </w:rPr>
        <w:softHyphen/>
        <w:t>for behandling af børn de samme som for voksne.</w:t>
      </w:r>
    </w:p>
    <w:bookmarkEnd w:id="7"/>
    <w:bookmarkEnd w:id="8"/>
    <w:p w14:paraId="42CF487F" w14:textId="77777777" w:rsidR="00005FC0" w:rsidRPr="00005FC0" w:rsidRDefault="00005FC0" w:rsidP="00005FC0">
      <w:pPr>
        <w:tabs>
          <w:tab w:val="left" w:pos="851"/>
        </w:tabs>
        <w:ind w:left="851"/>
        <w:rPr>
          <w:sz w:val="24"/>
          <w:szCs w:val="24"/>
        </w:rPr>
      </w:pPr>
    </w:p>
    <w:p w14:paraId="251D0089" w14:textId="77777777" w:rsidR="00005FC0" w:rsidRPr="00005FC0" w:rsidRDefault="00005FC0" w:rsidP="00005FC0">
      <w:pPr>
        <w:tabs>
          <w:tab w:val="left" w:pos="851"/>
        </w:tabs>
        <w:ind w:left="851"/>
        <w:rPr>
          <w:bCs/>
          <w:iCs/>
          <w:sz w:val="24"/>
          <w:szCs w:val="24"/>
          <w:u w:val="single"/>
        </w:rPr>
      </w:pPr>
      <w:r w:rsidRPr="00005FC0">
        <w:rPr>
          <w:bCs/>
          <w:iCs/>
          <w:sz w:val="24"/>
          <w:szCs w:val="24"/>
          <w:u w:val="single"/>
        </w:rPr>
        <w:t xml:space="preserve">Administration </w:t>
      </w:r>
    </w:p>
    <w:p w14:paraId="64AA5DC9" w14:textId="77777777" w:rsidR="00005FC0" w:rsidRPr="00005FC0" w:rsidRDefault="00005FC0" w:rsidP="00005FC0">
      <w:pPr>
        <w:tabs>
          <w:tab w:val="left" w:pos="851"/>
        </w:tabs>
        <w:ind w:left="851"/>
        <w:rPr>
          <w:sz w:val="24"/>
          <w:szCs w:val="24"/>
        </w:rPr>
      </w:pPr>
      <w:r w:rsidRPr="00005FC0">
        <w:rPr>
          <w:sz w:val="24"/>
          <w:szCs w:val="24"/>
        </w:rPr>
        <w:t>Intravenøs infusion eller injektion.</w:t>
      </w:r>
    </w:p>
    <w:p w14:paraId="76DCD5F0" w14:textId="77777777" w:rsidR="00005FC0" w:rsidRPr="00005FC0" w:rsidRDefault="00005FC0" w:rsidP="00005FC0">
      <w:pPr>
        <w:tabs>
          <w:tab w:val="left" w:pos="851"/>
        </w:tabs>
        <w:ind w:left="851"/>
        <w:rPr>
          <w:sz w:val="24"/>
          <w:szCs w:val="24"/>
        </w:rPr>
      </w:pPr>
      <w:r w:rsidRPr="00005FC0">
        <w:rPr>
          <w:sz w:val="24"/>
          <w:szCs w:val="24"/>
        </w:rPr>
        <w:t>Riastap skal rekonstitueres før brug – se pkt. 6.6. Den rekonstituerede opløsning bør opvarmes til stue- eller legemstemperatur før indgivelse, hvorefter den injiceres eller infunderes langsomt i et tempo, som er behageligt for patienten. Injektions- eller infusionshastigheden må ikke overstige omkring 5 ml/minut.</w:t>
      </w:r>
    </w:p>
    <w:p w14:paraId="0BDB1100" w14:textId="77777777" w:rsidR="009260DE" w:rsidRPr="00C84483" w:rsidRDefault="009260DE" w:rsidP="009260DE">
      <w:pPr>
        <w:tabs>
          <w:tab w:val="left" w:pos="851"/>
        </w:tabs>
        <w:ind w:left="851"/>
        <w:rPr>
          <w:sz w:val="24"/>
          <w:szCs w:val="24"/>
        </w:rPr>
      </w:pPr>
    </w:p>
    <w:p w14:paraId="6E27E4BF"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1C80B01C" w14:textId="29E71D70" w:rsidR="00005FC0" w:rsidRPr="00005FC0" w:rsidRDefault="00005FC0" w:rsidP="00005FC0">
      <w:pPr>
        <w:tabs>
          <w:tab w:val="left" w:pos="851"/>
        </w:tabs>
        <w:ind w:left="851"/>
        <w:rPr>
          <w:sz w:val="24"/>
          <w:szCs w:val="24"/>
          <w:lang w:eastAsia="da-DK"/>
        </w:rPr>
      </w:pPr>
      <w:r w:rsidRPr="00005FC0">
        <w:rPr>
          <w:sz w:val="24"/>
          <w:szCs w:val="24"/>
          <w:lang w:eastAsia="da-DK"/>
        </w:rPr>
        <w:t>Overfølsomhed over for de aktive stoffer eller over for et eller flere af hjælpestofferne anført i pkt. 6.1.</w:t>
      </w:r>
    </w:p>
    <w:p w14:paraId="2E917282" w14:textId="77777777" w:rsidR="009260DE" w:rsidRPr="00C84483" w:rsidRDefault="009260DE" w:rsidP="009260DE">
      <w:pPr>
        <w:tabs>
          <w:tab w:val="left" w:pos="851"/>
        </w:tabs>
        <w:ind w:left="851"/>
        <w:rPr>
          <w:sz w:val="24"/>
          <w:szCs w:val="24"/>
        </w:rPr>
      </w:pPr>
    </w:p>
    <w:p w14:paraId="1CE2A96A"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4607D7B9" w14:textId="77777777" w:rsidR="00005FC0" w:rsidRPr="00005FC0" w:rsidRDefault="00005FC0" w:rsidP="00005FC0">
      <w:pPr>
        <w:tabs>
          <w:tab w:val="left" w:pos="851"/>
        </w:tabs>
        <w:ind w:left="851"/>
        <w:rPr>
          <w:sz w:val="24"/>
          <w:szCs w:val="24"/>
          <w:lang w:eastAsia="da-DK"/>
        </w:rPr>
      </w:pPr>
      <w:r w:rsidRPr="00005FC0">
        <w:rPr>
          <w:sz w:val="24"/>
          <w:szCs w:val="24"/>
          <w:lang w:eastAsia="da-DK"/>
        </w:rPr>
        <w:t>Når patienter med medfødt fibrinogenmangel behandles med humant fibrinogen</w:t>
      </w:r>
      <w:r w:rsidRPr="00005FC0">
        <w:rPr>
          <w:sz w:val="24"/>
          <w:szCs w:val="24"/>
          <w:lang w:eastAsia="da-DK"/>
        </w:rPr>
        <w:softHyphen/>
        <w:t>koncentrat, indebærer det en risiko for trombose – især ved høje eller gentagne doser. Patienter, der får humant fibrinogenkoncentrat, bør observeres nøje for trombosesymptomer.</w:t>
      </w:r>
    </w:p>
    <w:p w14:paraId="35EBAFFF" w14:textId="77777777" w:rsidR="00005FC0" w:rsidRPr="00005FC0" w:rsidRDefault="00005FC0" w:rsidP="00005FC0">
      <w:pPr>
        <w:tabs>
          <w:tab w:val="left" w:pos="851"/>
        </w:tabs>
        <w:ind w:left="851"/>
        <w:rPr>
          <w:sz w:val="24"/>
          <w:szCs w:val="24"/>
          <w:lang w:eastAsia="da-DK"/>
        </w:rPr>
      </w:pPr>
    </w:p>
    <w:p w14:paraId="2DCB90AC" w14:textId="77777777" w:rsidR="00005FC0" w:rsidRPr="00005FC0" w:rsidRDefault="00005FC0" w:rsidP="00005FC0">
      <w:pPr>
        <w:tabs>
          <w:tab w:val="left" w:pos="851"/>
        </w:tabs>
        <w:ind w:left="851"/>
        <w:rPr>
          <w:sz w:val="24"/>
          <w:szCs w:val="24"/>
          <w:lang w:eastAsia="da-DK"/>
        </w:rPr>
      </w:pPr>
      <w:bookmarkStart w:id="9" w:name="OLE_LINK11"/>
      <w:bookmarkStart w:id="10" w:name="OLE_LINK12"/>
      <w:r w:rsidRPr="00005FC0">
        <w:rPr>
          <w:sz w:val="24"/>
          <w:szCs w:val="24"/>
          <w:lang w:eastAsia="da-DK"/>
        </w:rPr>
        <w:t xml:space="preserve">Hos patienter med koronar hjertesygdom eller myokardieinfarkt i anamnesen, patienter med leversygdom, peri- eller postoperative patienter, nyfødte eller patienter med risiko for tromboemboliske hændelser eller dissemineret intravaskulær koagulation bør den </w:t>
      </w:r>
      <w:r w:rsidRPr="00005FC0">
        <w:rPr>
          <w:sz w:val="24"/>
          <w:szCs w:val="24"/>
          <w:lang w:eastAsia="da-DK"/>
        </w:rPr>
        <w:lastRenderedPageBreak/>
        <w:t>potentielle terapeutiske fordel ved humant plasmafibrinogenkoncentrat afvejes mod risikoen for tromboemboliske komplikationer. Forsigtighed og tæt monitorering tilrådes.</w:t>
      </w:r>
    </w:p>
    <w:bookmarkEnd w:id="9"/>
    <w:bookmarkEnd w:id="10"/>
    <w:p w14:paraId="7579D173" w14:textId="77777777" w:rsidR="00005FC0" w:rsidRPr="00005FC0" w:rsidRDefault="00005FC0" w:rsidP="00005FC0">
      <w:pPr>
        <w:tabs>
          <w:tab w:val="left" w:pos="851"/>
        </w:tabs>
        <w:ind w:left="851"/>
        <w:rPr>
          <w:sz w:val="24"/>
          <w:szCs w:val="24"/>
          <w:lang w:eastAsia="da-DK"/>
        </w:rPr>
      </w:pPr>
    </w:p>
    <w:p w14:paraId="5D65271B" w14:textId="77777777" w:rsidR="00005FC0" w:rsidRPr="00005FC0" w:rsidRDefault="00005FC0" w:rsidP="00005FC0">
      <w:pPr>
        <w:tabs>
          <w:tab w:val="left" w:pos="851"/>
        </w:tabs>
        <w:ind w:left="851"/>
        <w:rPr>
          <w:sz w:val="24"/>
          <w:szCs w:val="24"/>
          <w:lang w:eastAsia="da-DK"/>
        </w:rPr>
      </w:pPr>
      <w:r w:rsidRPr="00005FC0">
        <w:rPr>
          <w:sz w:val="24"/>
          <w:szCs w:val="24"/>
          <w:lang w:eastAsia="da-DK"/>
        </w:rPr>
        <w:t>Injektionen/infusionen skal stoppes omgående i tilfælde af allergiske eller anafylaktoide reaktioner. I tilfælde af anafylaktisk shock indledes gældende medicinsk shockbehandling.</w:t>
      </w:r>
    </w:p>
    <w:p w14:paraId="0C9A1A3E" w14:textId="77777777" w:rsidR="00005FC0" w:rsidRPr="00005FC0" w:rsidRDefault="00005FC0" w:rsidP="00005FC0">
      <w:pPr>
        <w:tabs>
          <w:tab w:val="left" w:pos="851"/>
        </w:tabs>
        <w:ind w:left="851"/>
        <w:rPr>
          <w:sz w:val="24"/>
          <w:szCs w:val="24"/>
          <w:lang w:eastAsia="da-DK"/>
        </w:rPr>
      </w:pPr>
    </w:p>
    <w:p w14:paraId="0EED716D" w14:textId="77777777" w:rsidR="00005FC0" w:rsidRPr="00005FC0" w:rsidRDefault="00005FC0" w:rsidP="00005FC0">
      <w:pPr>
        <w:tabs>
          <w:tab w:val="left" w:pos="851"/>
        </w:tabs>
        <w:ind w:left="851"/>
        <w:rPr>
          <w:sz w:val="24"/>
          <w:szCs w:val="24"/>
          <w:lang w:eastAsia="da-DK"/>
        </w:rPr>
      </w:pPr>
      <w:bookmarkStart w:id="11" w:name="OLE_LINK14"/>
      <w:bookmarkStart w:id="12" w:name="OLE_LINK13"/>
      <w:r w:rsidRPr="00005FC0">
        <w:rPr>
          <w:sz w:val="24"/>
          <w:szCs w:val="24"/>
          <w:lang w:eastAsia="da-DK"/>
        </w:rPr>
        <w:t>Der er set antistofreaktioner i forbindelse med substitutionsterapi med koagulationsfaktorer mod andre medfødte koagulationsforstyrrelser, men aktuelt foreligger der ingen data for fibrinogen.</w:t>
      </w:r>
    </w:p>
    <w:bookmarkEnd w:id="11"/>
    <w:bookmarkEnd w:id="12"/>
    <w:p w14:paraId="46251F37" w14:textId="77777777" w:rsidR="00005FC0" w:rsidRPr="00005FC0" w:rsidRDefault="00005FC0" w:rsidP="00005FC0">
      <w:pPr>
        <w:tabs>
          <w:tab w:val="left" w:pos="851"/>
        </w:tabs>
        <w:ind w:left="851"/>
        <w:rPr>
          <w:i/>
          <w:sz w:val="24"/>
          <w:szCs w:val="24"/>
          <w:lang w:eastAsia="da-DK"/>
        </w:rPr>
      </w:pPr>
    </w:p>
    <w:p w14:paraId="192B58CD" w14:textId="77777777" w:rsidR="00005FC0" w:rsidRPr="00005FC0" w:rsidRDefault="00005FC0" w:rsidP="00005FC0">
      <w:pPr>
        <w:tabs>
          <w:tab w:val="left" w:pos="851"/>
        </w:tabs>
        <w:ind w:left="851"/>
        <w:rPr>
          <w:sz w:val="24"/>
          <w:szCs w:val="24"/>
          <w:lang w:eastAsia="da-DK"/>
        </w:rPr>
      </w:pPr>
      <w:r w:rsidRPr="00005FC0">
        <w:rPr>
          <w:sz w:val="24"/>
          <w:szCs w:val="24"/>
          <w:lang w:eastAsia="da-DK"/>
        </w:rPr>
        <w:t xml:space="preserve">Dette lægemiddel indeholder op til 328 mg natrium pr. hætteglas, svarende til 16,4 % af den WHO anbefalede maximale daglige indtagelse af 2 g natrium for en voksen. </w:t>
      </w:r>
    </w:p>
    <w:p w14:paraId="2EFA5F74" w14:textId="77777777" w:rsidR="00005FC0" w:rsidRPr="00005FC0" w:rsidRDefault="00005FC0" w:rsidP="00005FC0">
      <w:pPr>
        <w:tabs>
          <w:tab w:val="left" w:pos="851"/>
        </w:tabs>
        <w:ind w:left="851"/>
        <w:rPr>
          <w:sz w:val="24"/>
          <w:szCs w:val="24"/>
          <w:lang w:eastAsia="da-DK"/>
        </w:rPr>
      </w:pPr>
    </w:p>
    <w:p w14:paraId="562CBAB5" w14:textId="77777777" w:rsidR="00005FC0" w:rsidRPr="001D71FA" w:rsidRDefault="00005FC0" w:rsidP="00005FC0">
      <w:pPr>
        <w:tabs>
          <w:tab w:val="left" w:pos="851"/>
        </w:tabs>
        <w:ind w:left="851"/>
        <w:rPr>
          <w:sz w:val="24"/>
          <w:szCs w:val="24"/>
          <w:u w:val="single"/>
          <w:lang w:eastAsia="da-DK"/>
        </w:rPr>
      </w:pPr>
      <w:r w:rsidRPr="001D71FA">
        <w:rPr>
          <w:sz w:val="24"/>
          <w:szCs w:val="24"/>
          <w:u w:val="single"/>
          <w:lang w:eastAsia="da-DK"/>
        </w:rPr>
        <w:t>Virussikkerhed</w:t>
      </w:r>
    </w:p>
    <w:p w14:paraId="0D039C3B" w14:textId="77777777" w:rsidR="00005FC0" w:rsidRPr="00005FC0" w:rsidRDefault="00005FC0" w:rsidP="00005FC0">
      <w:pPr>
        <w:tabs>
          <w:tab w:val="left" w:pos="851"/>
        </w:tabs>
        <w:ind w:left="851"/>
        <w:rPr>
          <w:sz w:val="24"/>
          <w:szCs w:val="24"/>
          <w:lang w:eastAsia="da-DK"/>
        </w:rPr>
      </w:pPr>
      <w:r w:rsidRPr="00005FC0">
        <w:rPr>
          <w:sz w:val="24"/>
          <w:szCs w:val="24"/>
          <w:lang w:eastAsia="da-DK"/>
        </w:rPr>
        <w:t>Standardmetoder til forebyggelse af infektioner, der skyldes brug af lægemidler tilberedt ud fra humant blod eller plasma, omfatter udvælgelse af donorer, screening af enkeltdonationer og plasmapools for specifikke markører for infektion samt inklusion af effektive metoder som led i fremstillingen til inaktivering/fjernelse af virus. Til trods herfor kan muligheden for overførsel af infektionskilder ikke fuldstændig udelukkes ved administration af lægemidler fremstillet ud fra humant blod eller plasma. Det gælder også for ukendte eller nytilkomne vira og andre patogener.</w:t>
      </w:r>
    </w:p>
    <w:p w14:paraId="5E8D3B2E" w14:textId="77777777" w:rsidR="00005FC0" w:rsidRPr="00005FC0" w:rsidRDefault="00005FC0" w:rsidP="00005FC0">
      <w:pPr>
        <w:tabs>
          <w:tab w:val="left" w:pos="851"/>
        </w:tabs>
        <w:ind w:left="851"/>
        <w:rPr>
          <w:sz w:val="24"/>
          <w:szCs w:val="24"/>
          <w:lang w:eastAsia="da-DK"/>
        </w:rPr>
      </w:pPr>
    </w:p>
    <w:p w14:paraId="6B2432F1" w14:textId="77777777" w:rsidR="00005FC0" w:rsidRPr="00005FC0" w:rsidRDefault="00005FC0" w:rsidP="00005FC0">
      <w:pPr>
        <w:tabs>
          <w:tab w:val="left" w:pos="851"/>
        </w:tabs>
        <w:ind w:left="851"/>
        <w:rPr>
          <w:sz w:val="24"/>
          <w:szCs w:val="24"/>
          <w:lang w:eastAsia="da-DK"/>
        </w:rPr>
      </w:pPr>
      <w:r w:rsidRPr="00005FC0">
        <w:rPr>
          <w:sz w:val="24"/>
          <w:szCs w:val="24"/>
          <w:lang w:eastAsia="da-DK"/>
        </w:rPr>
        <w:t>Forholdsreglerne anses for at være effektive mod kappebærende vira såsom HIV, HBV og HCV, og mod ikke-kappebærende virus som HAV og parvovirus B19.</w:t>
      </w:r>
    </w:p>
    <w:p w14:paraId="66C34295" w14:textId="77777777" w:rsidR="00005FC0" w:rsidRPr="00005FC0" w:rsidRDefault="00005FC0" w:rsidP="00005FC0">
      <w:pPr>
        <w:tabs>
          <w:tab w:val="left" w:pos="851"/>
        </w:tabs>
        <w:ind w:left="851"/>
        <w:rPr>
          <w:sz w:val="24"/>
          <w:szCs w:val="24"/>
          <w:lang w:eastAsia="da-DK"/>
        </w:rPr>
      </w:pPr>
    </w:p>
    <w:p w14:paraId="6BDE31DB" w14:textId="77777777" w:rsidR="00005FC0" w:rsidRPr="00005FC0" w:rsidRDefault="00005FC0" w:rsidP="00005FC0">
      <w:pPr>
        <w:tabs>
          <w:tab w:val="left" w:pos="851"/>
        </w:tabs>
        <w:ind w:left="851"/>
        <w:rPr>
          <w:sz w:val="24"/>
          <w:szCs w:val="24"/>
          <w:lang w:eastAsia="da-DK"/>
        </w:rPr>
      </w:pPr>
      <w:r w:rsidRPr="00005FC0">
        <w:rPr>
          <w:sz w:val="24"/>
          <w:szCs w:val="24"/>
          <w:lang w:eastAsia="da-DK"/>
        </w:rPr>
        <w:t>Det bør generelt overvejes at give patienter, der regelmæssigt eller gentagne gange skal have præparater udvundet af humant plasma, relevante vaccinationer (hepatitis A og hepatitis B).</w:t>
      </w:r>
    </w:p>
    <w:p w14:paraId="462B95B2" w14:textId="77777777" w:rsidR="00005FC0" w:rsidRPr="00005FC0" w:rsidRDefault="00005FC0" w:rsidP="00005FC0">
      <w:pPr>
        <w:tabs>
          <w:tab w:val="left" w:pos="851"/>
        </w:tabs>
        <w:ind w:left="851"/>
        <w:rPr>
          <w:sz w:val="24"/>
          <w:szCs w:val="24"/>
          <w:lang w:eastAsia="da-DK"/>
        </w:rPr>
      </w:pPr>
    </w:p>
    <w:p w14:paraId="111AA050" w14:textId="77777777" w:rsidR="00005FC0" w:rsidRPr="00005FC0" w:rsidRDefault="00005FC0" w:rsidP="00005FC0">
      <w:pPr>
        <w:tabs>
          <w:tab w:val="left" w:pos="851"/>
        </w:tabs>
        <w:ind w:left="851"/>
        <w:rPr>
          <w:sz w:val="24"/>
          <w:szCs w:val="24"/>
          <w:lang w:eastAsia="da-DK"/>
        </w:rPr>
      </w:pPr>
      <w:r w:rsidRPr="00005FC0">
        <w:rPr>
          <w:sz w:val="24"/>
          <w:szCs w:val="24"/>
          <w:lang w:eastAsia="da-DK"/>
        </w:rPr>
        <w:t>Det anbefales kraftigt at notere batchnummer og produktnavn, hver gang Riastap administreres til en patient, for at kunne følge koblingen mellem patienten og den pågældende batch.</w:t>
      </w:r>
    </w:p>
    <w:p w14:paraId="501D93D2" w14:textId="77777777" w:rsidR="009260DE" w:rsidRPr="00C84483" w:rsidRDefault="009260DE" w:rsidP="009260DE">
      <w:pPr>
        <w:tabs>
          <w:tab w:val="left" w:pos="851"/>
        </w:tabs>
        <w:ind w:left="851"/>
        <w:rPr>
          <w:sz w:val="24"/>
          <w:szCs w:val="24"/>
        </w:rPr>
      </w:pPr>
    </w:p>
    <w:p w14:paraId="19BCB456"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19CFE8A9" w14:textId="34C5C2F4" w:rsidR="00ED4545" w:rsidRPr="00ED4545" w:rsidRDefault="00ED4545" w:rsidP="00ED4545">
      <w:pPr>
        <w:tabs>
          <w:tab w:val="left" w:pos="851"/>
        </w:tabs>
        <w:ind w:left="851"/>
        <w:rPr>
          <w:sz w:val="24"/>
          <w:szCs w:val="24"/>
        </w:rPr>
      </w:pPr>
      <w:r w:rsidRPr="00ED4545">
        <w:rPr>
          <w:sz w:val="24"/>
          <w:szCs w:val="24"/>
        </w:rPr>
        <w:t>Der er ikke set interaktion mellem humant plasmafibrinogenkoncentrat og andre lægemidler.</w:t>
      </w:r>
    </w:p>
    <w:p w14:paraId="12B3CBC9" w14:textId="77777777" w:rsidR="009260DE" w:rsidRPr="00C84483" w:rsidRDefault="009260DE" w:rsidP="009260DE">
      <w:pPr>
        <w:tabs>
          <w:tab w:val="left" w:pos="851"/>
        </w:tabs>
        <w:ind w:left="851"/>
        <w:rPr>
          <w:sz w:val="24"/>
          <w:szCs w:val="24"/>
        </w:rPr>
      </w:pPr>
    </w:p>
    <w:p w14:paraId="169D9458"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6115513F" w14:textId="77777777" w:rsidR="00C23311" w:rsidRPr="00C23311" w:rsidRDefault="00C23311" w:rsidP="00C23311">
      <w:pPr>
        <w:tabs>
          <w:tab w:val="left" w:pos="851"/>
        </w:tabs>
        <w:ind w:left="851"/>
        <w:rPr>
          <w:sz w:val="24"/>
          <w:szCs w:val="24"/>
        </w:rPr>
      </w:pPr>
    </w:p>
    <w:p w14:paraId="09DACE95" w14:textId="04042E2C" w:rsidR="00C23311" w:rsidRPr="00C23311" w:rsidRDefault="00C23311" w:rsidP="00C23311">
      <w:pPr>
        <w:tabs>
          <w:tab w:val="left" w:pos="851"/>
        </w:tabs>
        <w:ind w:left="851"/>
        <w:rPr>
          <w:bCs/>
          <w:iCs/>
          <w:sz w:val="24"/>
          <w:szCs w:val="24"/>
          <w:u w:val="single"/>
        </w:rPr>
      </w:pPr>
      <w:r w:rsidRPr="00C23311">
        <w:rPr>
          <w:bCs/>
          <w:iCs/>
          <w:sz w:val="24"/>
          <w:szCs w:val="24"/>
          <w:u w:val="single"/>
        </w:rPr>
        <w:t>Graviditet</w:t>
      </w:r>
    </w:p>
    <w:p w14:paraId="2A33E4CD" w14:textId="77777777" w:rsidR="00C23311" w:rsidRPr="00C23311" w:rsidRDefault="00C23311" w:rsidP="00C23311">
      <w:pPr>
        <w:tabs>
          <w:tab w:val="left" w:pos="851"/>
        </w:tabs>
        <w:ind w:left="851"/>
        <w:rPr>
          <w:sz w:val="24"/>
          <w:szCs w:val="24"/>
        </w:rPr>
      </w:pPr>
      <w:bookmarkStart w:id="13" w:name="OLE_LINK16"/>
      <w:bookmarkStart w:id="14" w:name="OLE_LINK15"/>
      <w:r w:rsidRPr="00C23311">
        <w:rPr>
          <w:sz w:val="24"/>
          <w:szCs w:val="24"/>
        </w:rPr>
        <w:t xml:space="preserve">Der er ikke udført dyreforsøg med Riastap til undersøgelse af reproduktionstoksicitet </w:t>
      </w:r>
    </w:p>
    <w:p w14:paraId="23DD4891" w14:textId="77777777" w:rsidR="00C23311" w:rsidRPr="00C23311" w:rsidRDefault="00C23311" w:rsidP="00C23311">
      <w:pPr>
        <w:tabs>
          <w:tab w:val="left" w:pos="851"/>
        </w:tabs>
        <w:ind w:left="851"/>
        <w:rPr>
          <w:sz w:val="24"/>
          <w:szCs w:val="24"/>
        </w:rPr>
      </w:pPr>
      <w:r w:rsidRPr="00C23311">
        <w:rPr>
          <w:sz w:val="24"/>
          <w:szCs w:val="24"/>
        </w:rPr>
        <w:t>(se pkt. 5.3). Eftersom det aktive stof er af human oprindelse, kataboliseres det på samme måde som patientens eget protein. Disse fysiologiske bestanddele af humant blod forventes ikke at have skadelige virkninger, hvad angår reproduktions- eller føtal toksicitet.</w:t>
      </w:r>
    </w:p>
    <w:bookmarkEnd w:id="13"/>
    <w:bookmarkEnd w:id="14"/>
    <w:p w14:paraId="7B35B013" w14:textId="77777777" w:rsidR="00C23311" w:rsidRPr="00C23311" w:rsidRDefault="00C23311" w:rsidP="00C23311">
      <w:pPr>
        <w:tabs>
          <w:tab w:val="left" w:pos="851"/>
        </w:tabs>
        <w:ind w:left="851"/>
        <w:rPr>
          <w:sz w:val="24"/>
          <w:szCs w:val="24"/>
        </w:rPr>
      </w:pPr>
    </w:p>
    <w:p w14:paraId="55B0BB18" w14:textId="77777777" w:rsidR="00C23311" w:rsidRPr="00C23311" w:rsidRDefault="00C23311" w:rsidP="00C23311">
      <w:pPr>
        <w:tabs>
          <w:tab w:val="left" w:pos="851"/>
        </w:tabs>
        <w:ind w:left="851"/>
        <w:rPr>
          <w:sz w:val="24"/>
          <w:szCs w:val="24"/>
        </w:rPr>
      </w:pPr>
      <w:bookmarkStart w:id="15" w:name="OLE_LINK18"/>
      <w:bookmarkStart w:id="16" w:name="OLE_LINK17"/>
      <w:r w:rsidRPr="00C23311">
        <w:rPr>
          <w:sz w:val="24"/>
          <w:szCs w:val="24"/>
        </w:rPr>
        <w:t xml:space="preserve">Sikkerheden ved anvendelse af Riastap til gravide kvinder er ikke klarlagt i kontrollerede kliniske forsøg. </w:t>
      </w:r>
    </w:p>
    <w:bookmarkEnd w:id="15"/>
    <w:bookmarkEnd w:id="16"/>
    <w:p w14:paraId="78065AA9" w14:textId="77777777" w:rsidR="00C23311" w:rsidRPr="00C23311" w:rsidRDefault="00C23311" w:rsidP="00C23311">
      <w:pPr>
        <w:tabs>
          <w:tab w:val="left" w:pos="851"/>
        </w:tabs>
        <w:ind w:left="851"/>
        <w:rPr>
          <w:sz w:val="24"/>
          <w:szCs w:val="24"/>
        </w:rPr>
      </w:pPr>
    </w:p>
    <w:p w14:paraId="26D10885" w14:textId="77777777" w:rsidR="00C23311" w:rsidRPr="00C23311" w:rsidRDefault="00C23311" w:rsidP="00C23311">
      <w:pPr>
        <w:tabs>
          <w:tab w:val="left" w:pos="851"/>
        </w:tabs>
        <w:ind w:left="851"/>
        <w:rPr>
          <w:sz w:val="24"/>
          <w:szCs w:val="24"/>
        </w:rPr>
      </w:pPr>
      <w:r w:rsidRPr="00C23311">
        <w:rPr>
          <w:sz w:val="24"/>
          <w:szCs w:val="24"/>
        </w:rPr>
        <w:t>Kliniske erfaringer med fibrinogenkoncentrat til behandling af fødselskomplikationer tyder på, at der ikke er grund til at forvente skadelige virkninger på graviditetens eller fostrets udvikling eller på den postnatale udvikling.</w:t>
      </w:r>
    </w:p>
    <w:p w14:paraId="3C40AB5C" w14:textId="77777777" w:rsidR="00C23311" w:rsidRPr="00C23311" w:rsidRDefault="00C23311" w:rsidP="00C23311">
      <w:pPr>
        <w:tabs>
          <w:tab w:val="left" w:pos="851"/>
        </w:tabs>
        <w:ind w:left="851"/>
        <w:rPr>
          <w:sz w:val="24"/>
          <w:szCs w:val="24"/>
        </w:rPr>
      </w:pPr>
    </w:p>
    <w:p w14:paraId="17FAC87C" w14:textId="77777777" w:rsidR="00C23311" w:rsidRPr="00C23311" w:rsidRDefault="00C23311" w:rsidP="00C23311">
      <w:pPr>
        <w:tabs>
          <w:tab w:val="left" w:pos="851"/>
        </w:tabs>
        <w:ind w:left="851"/>
        <w:rPr>
          <w:bCs/>
          <w:iCs/>
          <w:sz w:val="24"/>
          <w:szCs w:val="24"/>
          <w:u w:val="single"/>
        </w:rPr>
      </w:pPr>
      <w:r w:rsidRPr="00C23311">
        <w:rPr>
          <w:bCs/>
          <w:iCs/>
          <w:sz w:val="24"/>
          <w:szCs w:val="24"/>
          <w:u w:val="single"/>
        </w:rPr>
        <w:t>Amning</w:t>
      </w:r>
    </w:p>
    <w:p w14:paraId="0AE9EB48" w14:textId="77777777" w:rsidR="00C23311" w:rsidRPr="00C23311" w:rsidRDefault="00C23311" w:rsidP="00C23311">
      <w:pPr>
        <w:tabs>
          <w:tab w:val="left" w:pos="851"/>
        </w:tabs>
        <w:ind w:left="851"/>
        <w:rPr>
          <w:b/>
          <w:sz w:val="24"/>
          <w:szCs w:val="24"/>
        </w:rPr>
      </w:pPr>
      <w:r w:rsidRPr="00C23311">
        <w:rPr>
          <w:sz w:val="24"/>
          <w:szCs w:val="24"/>
        </w:rPr>
        <w:t xml:space="preserve">Det er ukendt, om Riastap udskilles i human mælk. Riastap er ikke blevet undersøgt i kliniske forsøg med kvinder, der ammer. </w:t>
      </w:r>
    </w:p>
    <w:p w14:paraId="4AF3DF67" w14:textId="77777777" w:rsidR="00C23311" w:rsidRPr="00C23311" w:rsidRDefault="00C23311" w:rsidP="00C23311">
      <w:pPr>
        <w:tabs>
          <w:tab w:val="left" w:pos="851"/>
        </w:tabs>
        <w:ind w:left="851"/>
        <w:rPr>
          <w:b/>
          <w:sz w:val="24"/>
          <w:szCs w:val="24"/>
        </w:rPr>
      </w:pPr>
      <w:bookmarkStart w:id="17" w:name="OLE_LINK19"/>
      <w:bookmarkStart w:id="18" w:name="OLE_LINK20"/>
      <w:r w:rsidRPr="00C23311">
        <w:rPr>
          <w:sz w:val="24"/>
          <w:szCs w:val="24"/>
        </w:rPr>
        <w:t xml:space="preserve">Det kan derfor ikke udelukkes, at der foreligger en risiko for det ammede barn. Det skal besluttes, om amning skal ophøre eller behandling med Riastap seponeres, idet der tages højde for fordelene ved amning for barnet i forhold til de terapeutiske fordele for moderen. </w:t>
      </w:r>
    </w:p>
    <w:bookmarkEnd w:id="17"/>
    <w:bookmarkEnd w:id="18"/>
    <w:p w14:paraId="08CE5FBE" w14:textId="77777777" w:rsidR="00C23311" w:rsidRPr="00C23311" w:rsidRDefault="00C23311" w:rsidP="00C23311">
      <w:pPr>
        <w:tabs>
          <w:tab w:val="left" w:pos="851"/>
        </w:tabs>
        <w:ind w:left="851"/>
        <w:rPr>
          <w:b/>
          <w:i/>
          <w:sz w:val="24"/>
          <w:szCs w:val="24"/>
          <w:u w:val="single"/>
        </w:rPr>
      </w:pPr>
    </w:p>
    <w:p w14:paraId="703BB005" w14:textId="77777777" w:rsidR="00C23311" w:rsidRPr="00C23311" w:rsidRDefault="00C23311" w:rsidP="00C23311">
      <w:pPr>
        <w:tabs>
          <w:tab w:val="left" w:pos="851"/>
        </w:tabs>
        <w:ind w:left="851"/>
        <w:rPr>
          <w:bCs/>
          <w:iCs/>
          <w:sz w:val="24"/>
          <w:szCs w:val="24"/>
          <w:u w:val="single"/>
        </w:rPr>
      </w:pPr>
      <w:r w:rsidRPr="00C23311">
        <w:rPr>
          <w:bCs/>
          <w:iCs/>
          <w:sz w:val="24"/>
          <w:szCs w:val="24"/>
          <w:u w:val="single"/>
        </w:rPr>
        <w:t>Fertilitet</w:t>
      </w:r>
    </w:p>
    <w:p w14:paraId="3CDCB244" w14:textId="77777777" w:rsidR="00C23311" w:rsidRPr="00C23311" w:rsidRDefault="00C23311" w:rsidP="00C23311">
      <w:pPr>
        <w:tabs>
          <w:tab w:val="left" w:pos="851"/>
        </w:tabs>
        <w:ind w:left="851"/>
        <w:rPr>
          <w:b/>
          <w:sz w:val="24"/>
          <w:szCs w:val="24"/>
        </w:rPr>
      </w:pPr>
      <w:r w:rsidRPr="00C23311">
        <w:rPr>
          <w:sz w:val="24"/>
          <w:szCs w:val="24"/>
        </w:rPr>
        <w:t>Der er ingen data om fertilitet.</w:t>
      </w:r>
    </w:p>
    <w:p w14:paraId="79AFBDAE" w14:textId="77777777" w:rsidR="00C23311" w:rsidRPr="00C23311" w:rsidRDefault="00C23311" w:rsidP="00C23311">
      <w:pPr>
        <w:tabs>
          <w:tab w:val="left" w:pos="851"/>
        </w:tabs>
        <w:ind w:left="851"/>
        <w:rPr>
          <w:sz w:val="24"/>
          <w:szCs w:val="24"/>
        </w:rPr>
      </w:pPr>
    </w:p>
    <w:p w14:paraId="3DED32C9"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4D68F8A5" w14:textId="327D9B6E" w:rsidR="00C23311" w:rsidRPr="00C23311" w:rsidRDefault="00C23311" w:rsidP="00C23311">
      <w:pPr>
        <w:tabs>
          <w:tab w:val="left" w:pos="851"/>
        </w:tabs>
        <w:ind w:left="851"/>
        <w:rPr>
          <w:sz w:val="24"/>
          <w:szCs w:val="24"/>
        </w:rPr>
      </w:pPr>
      <w:r w:rsidRPr="00C23311">
        <w:rPr>
          <w:sz w:val="24"/>
          <w:szCs w:val="24"/>
        </w:rPr>
        <w:t>Ikke mærkning.</w:t>
      </w:r>
    </w:p>
    <w:p w14:paraId="4F17BF56" w14:textId="77777777" w:rsidR="00C23311" w:rsidRPr="00C23311" w:rsidRDefault="00C23311" w:rsidP="00C23311">
      <w:pPr>
        <w:tabs>
          <w:tab w:val="left" w:pos="851"/>
        </w:tabs>
        <w:ind w:left="851"/>
        <w:rPr>
          <w:sz w:val="24"/>
          <w:szCs w:val="24"/>
        </w:rPr>
      </w:pPr>
      <w:r w:rsidRPr="00C23311">
        <w:rPr>
          <w:sz w:val="24"/>
          <w:szCs w:val="24"/>
        </w:rPr>
        <w:t>Riastap påvirker ikke eller kun i ubetydelig grad evnen til at føre motorkøretøj og betjene maskiner.</w:t>
      </w:r>
    </w:p>
    <w:p w14:paraId="6694DA06" w14:textId="77777777" w:rsidR="009260DE" w:rsidRPr="00C84483" w:rsidRDefault="009260DE" w:rsidP="009260DE">
      <w:pPr>
        <w:tabs>
          <w:tab w:val="left" w:pos="851"/>
        </w:tabs>
        <w:ind w:left="851"/>
        <w:rPr>
          <w:sz w:val="24"/>
          <w:szCs w:val="24"/>
        </w:rPr>
      </w:pPr>
    </w:p>
    <w:p w14:paraId="777CF384"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44BE8BAD" w14:textId="77777777" w:rsidR="00C23311" w:rsidRDefault="00C23311" w:rsidP="00C23311">
      <w:pPr>
        <w:pStyle w:val="LAFISPCNormal"/>
        <w:ind w:left="855"/>
        <w:rPr>
          <w:szCs w:val="24"/>
          <w:lang w:val="da-DK"/>
        </w:rPr>
      </w:pPr>
    </w:p>
    <w:p w14:paraId="16575F28" w14:textId="79F4F095" w:rsidR="00C23311" w:rsidRPr="00C23311" w:rsidRDefault="00C23311" w:rsidP="00C23311">
      <w:pPr>
        <w:pStyle w:val="LAFISPCNormal"/>
        <w:ind w:left="855"/>
        <w:rPr>
          <w:szCs w:val="24"/>
          <w:u w:val="single"/>
          <w:lang w:val="da-DK"/>
        </w:rPr>
      </w:pPr>
      <w:r w:rsidRPr="00C23311">
        <w:rPr>
          <w:szCs w:val="24"/>
          <w:u w:val="single"/>
          <w:lang w:val="da-DK"/>
        </w:rPr>
        <w:t>Tabel over bivirkninger (ADR’er)</w:t>
      </w:r>
    </w:p>
    <w:p w14:paraId="2719BBB5" w14:textId="127F9DC5" w:rsidR="00C23311" w:rsidRDefault="00C23311" w:rsidP="00C23311">
      <w:pPr>
        <w:pStyle w:val="LAFISPCNormal"/>
        <w:tabs>
          <w:tab w:val="clear" w:pos="567"/>
          <w:tab w:val="left" w:pos="1304"/>
        </w:tabs>
        <w:ind w:left="851"/>
        <w:rPr>
          <w:szCs w:val="24"/>
          <w:lang w:val="da-DK"/>
        </w:rPr>
      </w:pPr>
      <w:r>
        <w:rPr>
          <w:szCs w:val="24"/>
          <w:lang w:val="da-DK"/>
        </w:rPr>
        <w:t>Tabellen giver en samlet oversigt over de bivirkninger, der er identificeret i kliniske studier og i forbindelse med erfaringen efter markedsføringen. De hyppigheder, der er angivet i tabellen, er baseret på samlede analyser fra to virksomhedssponsorerede, placebokontrollerede kliniske studier, der er udført i forbindelse med aortakirurgi med eller uden andre kirurgiske procedurer [BI3023-2002 (N=61) og BI3023_3002 (N=152)] i henhold til følgende konvention: Meget almindelig (≥1/10); almindelig (≥1/100 til &lt;1/10); ikke almindelig (≥1/1 000 til &lt;1/100); sjælden (≥1/10 000 til &lt;1/1 000); meget sjælden (&lt;1/10 000). Spontane bivirkningsindberetninger efter markedsføringen er angivet med hyppigheden ’ikke kendt’.</w:t>
      </w:r>
    </w:p>
    <w:p w14:paraId="2142CF45" w14:textId="77777777" w:rsidR="00C23311" w:rsidRDefault="00C23311" w:rsidP="00C23311">
      <w:pPr>
        <w:pStyle w:val="LAFISPCNormal"/>
        <w:ind w:left="855"/>
        <w:rPr>
          <w:szCs w:val="24"/>
          <w:lang w:val="da-DK"/>
        </w:rPr>
      </w:pPr>
      <w:r>
        <w:rPr>
          <w:szCs w:val="24"/>
          <w:lang w:val="da-DK"/>
        </w:rPr>
        <w:t>Set i lyset af det faktum, at disse studier kun blev udført i en meget snæver population med aortakirurgi, afspejler de observerede bivirkningshyppigheder i disse studier ikke nødvendigvis de hyppigheder, der ses i klinisk praksis, og hyppighederne ved klinisk brug uden for den studerede indikation kendes ikke.</w:t>
      </w:r>
    </w:p>
    <w:p w14:paraId="1B164C9B" w14:textId="77777777" w:rsidR="00C23311" w:rsidRDefault="00C23311" w:rsidP="00C23311">
      <w:pPr>
        <w:pStyle w:val="LAFISPCNormal"/>
        <w:tabs>
          <w:tab w:val="clear" w:pos="567"/>
          <w:tab w:val="left" w:pos="1304"/>
        </w:tabs>
        <w:ind w:left="851"/>
        <w:rPr>
          <w:szCs w:val="24"/>
          <w:lang w:val="da-DK"/>
        </w:rPr>
      </w:pPr>
    </w:p>
    <w:tbl>
      <w:tblPr>
        <w:tblW w:w="85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551"/>
        <w:gridCol w:w="3261"/>
      </w:tblGrid>
      <w:tr w:rsidR="00C23311" w14:paraId="4381D9DE" w14:textId="77777777" w:rsidTr="00C23311">
        <w:tc>
          <w:tcPr>
            <w:tcW w:w="2693" w:type="dxa"/>
            <w:tcBorders>
              <w:top w:val="single" w:sz="4" w:space="0" w:color="auto"/>
              <w:left w:val="single" w:sz="4" w:space="0" w:color="auto"/>
              <w:bottom w:val="single" w:sz="4" w:space="0" w:color="auto"/>
              <w:right w:val="single" w:sz="4" w:space="0" w:color="auto"/>
            </w:tcBorders>
            <w:hideMark/>
          </w:tcPr>
          <w:p w14:paraId="4185952C" w14:textId="77777777" w:rsidR="00C23311" w:rsidRDefault="00C23311">
            <w:pPr>
              <w:keepNext/>
              <w:autoSpaceDE w:val="0"/>
              <w:autoSpaceDN w:val="0"/>
              <w:adjustRightInd w:val="0"/>
              <w:spacing w:before="60" w:after="60"/>
              <w:rPr>
                <w:b/>
                <w:bCs/>
                <w:sz w:val="22"/>
                <w:szCs w:val="22"/>
                <w:lang w:val="en-US"/>
              </w:rPr>
            </w:pPr>
            <w:r>
              <w:rPr>
                <w:b/>
                <w:bCs/>
                <w:sz w:val="22"/>
                <w:szCs w:val="22"/>
                <w:lang w:val="en-US"/>
              </w:rPr>
              <w:t>MedDRA</w:t>
            </w:r>
            <w:r>
              <w:rPr>
                <w:b/>
                <w:bCs/>
                <w:sz w:val="22"/>
                <w:szCs w:val="22"/>
              </w:rPr>
              <w:t xml:space="preserve"> Systemorganklasse</w:t>
            </w:r>
          </w:p>
        </w:tc>
        <w:tc>
          <w:tcPr>
            <w:tcW w:w="2551" w:type="dxa"/>
            <w:tcBorders>
              <w:top w:val="single" w:sz="4" w:space="0" w:color="auto"/>
              <w:left w:val="single" w:sz="4" w:space="0" w:color="auto"/>
              <w:bottom w:val="single" w:sz="4" w:space="0" w:color="auto"/>
              <w:right w:val="single" w:sz="4" w:space="0" w:color="auto"/>
            </w:tcBorders>
          </w:tcPr>
          <w:p w14:paraId="3CB8A209" w14:textId="77777777" w:rsidR="00C23311" w:rsidRDefault="00C23311">
            <w:pPr>
              <w:keepNext/>
              <w:autoSpaceDE w:val="0"/>
              <w:autoSpaceDN w:val="0"/>
              <w:adjustRightInd w:val="0"/>
              <w:spacing w:before="60" w:after="60"/>
              <w:rPr>
                <w:b/>
                <w:bCs/>
                <w:sz w:val="22"/>
                <w:szCs w:val="22"/>
                <w:lang w:val="en-US"/>
              </w:rPr>
            </w:pPr>
            <w:r>
              <w:rPr>
                <w:b/>
                <w:bCs/>
                <w:sz w:val="22"/>
                <w:szCs w:val="22"/>
                <w:lang w:val="en-US"/>
              </w:rPr>
              <w:t>Bivirkninger</w:t>
            </w:r>
          </w:p>
          <w:p w14:paraId="122D0013" w14:textId="77777777" w:rsidR="00C23311" w:rsidRDefault="00C23311">
            <w:pPr>
              <w:keepNext/>
              <w:autoSpaceDE w:val="0"/>
              <w:autoSpaceDN w:val="0"/>
              <w:adjustRightInd w:val="0"/>
              <w:spacing w:before="60" w:after="60"/>
              <w:rPr>
                <w:b/>
                <w:bCs/>
                <w:sz w:val="22"/>
                <w:szCs w:val="22"/>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63689358" w14:textId="77777777" w:rsidR="00C23311" w:rsidRDefault="00C23311">
            <w:pPr>
              <w:keepNext/>
              <w:autoSpaceDE w:val="0"/>
              <w:autoSpaceDN w:val="0"/>
              <w:adjustRightInd w:val="0"/>
              <w:spacing w:before="60" w:after="60"/>
              <w:rPr>
                <w:b/>
                <w:bCs/>
                <w:sz w:val="22"/>
                <w:szCs w:val="22"/>
              </w:rPr>
            </w:pPr>
            <w:r>
              <w:rPr>
                <w:b/>
                <w:bCs/>
                <w:sz w:val="22"/>
                <w:szCs w:val="22"/>
              </w:rPr>
              <w:t xml:space="preserve">Hyppighed </w:t>
            </w:r>
          </w:p>
          <w:p w14:paraId="3DE98AE2" w14:textId="77777777" w:rsidR="00C23311" w:rsidRDefault="00C23311">
            <w:pPr>
              <w:keepNext/>
              <w:autoSpaceDE w:val="0"/>
              <w:autoSpaceDN w:val="0"/>
              <w:adjustRightInd w:val="0"/>
              <w:spacing w:before="60" w:after="60"/>
              <w:rPr>
                <w:b/>
                <w:bCs/>
                <w:sz w:val="22"/>
                <w:szCs w:val="22"/>
              </w:rPr>
            </w:pPr>
            <w:r>
              <w:rPr>
                <w:b/>
                <w:bCs/>
                <w:sz w:val="22"/>
                <w:szCs w:val="22"/>
              </w:rPr>
              <w:t>(I forbindelse med aortakirurgi med eller uden andre kirurgiske procedurer)</w:t>
            </w:r>
          </w:p>
        </w:tc>
      </w:tr>
      <w:tr w:rsidR="00C23311" w14:paraId="43077236" w14:textId="77777777" w:rsidTr="00C23311">
        <w:tc>
          <w:tcPr>
            <w:tcW w:w="2693" w:type="dxa"/>
            <w:tcBorders>
              <w:top w:val="single" w:sz="4" w:space="0" w:color="auto"/>
              <w:left w:val="single" w:sz="4" w:space="0" w:color="auto"/>
              <w:bottom w:val="single" w:sz="4" w:space="0" w:color="auto"/>
              <w:right w:val="single" w:sz="4" w:space="0" w:color="auto"/>
            </w:tcBorders>
            <w:hideMark/>
          </w:tcPr>
          <w:p w14:paraId="678FE45A" w14:textId="77777777" w:rsidR="00C23311" w:rsidRDefault="00C23311">
            <w:pPr>
              <w:autoSpaceDE w:val="0"/>
              <w:autoSpaceDN w:val="0"/>
              <w:adjustRightInd w:val="0"/>
              <w:spacing w:before="60" w:after="60"/>
              <w:rPr>
                <w:sz w:val="22"/>
                <w:szCs w:val="22"/>
                <w:lang w:val="sv-SE"/>
              </w:rPr>
            </w:pPr>
            <w:r>
              <w:rPr>
                <w:sz w:val="22"/>
                <w:szCs w:val="22"/>
                <w:lang w:val="sv-SE"/>
              </w:rPr>
              <w:t>Almene symptomer og reaktioner på administrationsstedet</w:t>
            </w:r>
          </w:p>
        </w:tc>
        <w:tc>
          <w:tcPr>
            <w:tcW w:w="2551" w:type="dxa"/>
            <w:tcBorders>
              <w:top w:val="single" w:sz="4" w:space="0" w:color="auto"/>
              <w:left w:val="single" w:sz="4" w:space="0" w:color="auto"/>
              <w:bottom w:val="single" w:sz="4" w:space="0" w:color="auto"/>
              <w:right w:val="single" w:sz="4" w:space="0" w:color="auto"/>
            </w:tcBorders>
            <w:hideMark/>
          </w:tcPr>
          <w:p w14:paraId="16382E35" w14:textId="77777777" w:rsidR="00C23311" w:rsidRDefault="00C23311">
            <w:pPr>
              <w:autoSpaceDE w:val="0"/>
              <w:autoSpaceDN w:val="0"/>
              <w:adjustRightInd w:val="0"/>
              <w:spacing w:before="60" w:after="60"/>
              <w:rPr>
                <w:sz w:val="22"/>
                <w:szCs w:val="22"/>
              </w:rPr>
            </w:pPr>
            <w:r>
              <w:rPr>
                <w:sz w:val="22"/>
                <w:szCs w:val="22"/>
                <w:lang w:val="en-US"/>
              </w:rPr>
              <w:t>Pyreksi</w:t>
            </w:r>
          </w:p>
        </w:tc>
        <w:tc>
          <w:tcPr>
            <w:tcW w:w="3261" w:type="dxa"/>
            <w:tcBorders>
              <w:top w:val="single" w:sz="4" w:space="0" w:color="auto"/>
              <w:left w:val="single" w:sz="4" w:space="0" w:color="auto"/>
              <w:bottom w:val="single" w:sz="4" w:space="0" w:color="auto"/>
              <w:right w:val="single" w:sz="4" w:space="0" w:color="auto"/>
            </w:tcBorders>
          </w:tcPr>
          <w:p w14:paraId="0451751C" w14:textId="77777777" w:rsidR="00C23311" w:rsidRDefault="00C23311">
            <w:pPr>
              <w:autoSpaceDE w:val="0"/>
              <w:autoSpaceDN w:val="0"/>
              <w:adjustRightInd w:val="0"/>
              <w:spacing w:before="60" w:after="60"/>
              <w:rPr>
                <w:sz w:val="22"/>
                <w:szCs w:val="22"/>
                <w:lang w:val="en-US"/>
              </w:rPr>
            </w:pPr>
            <w:r>
              <w:rPr>
                <w:sz w:val="22"/>
                <w:szCs w:val="22"/>
              </w:rPr>
              <w:t>Meget</w:t>
            </w:r>
            <w:r>
              <w:rPr>
                <w:sz w:val="22"/>
                <w:szCs w:val="22"/>
                <w:lang w:val="en-US"/>
              </w:rPr>
              <w:t xml:space="preserve"> almindelig</w:t>
            </w:r>
          </w:p>
          <w:p w14:paraId="44065C15" w14:textId="77777777" w:rsidR="00C23311" w:rsidRDefault="00C23311">
            <w:pPr>
              <w:autoSpaceDE w:val="0"/>
              <w:autoSpaceDN w:val="0"/>
              <w:adjustRightInd w:val="0"/>
              <w:spacing w:before="60" w:after="60"/>
              <w:rPr>
                <w:sz w:val="22"/>
                <w:szCs w:val="22"/>
                <w:lang w:val="en-US"/>
              </w:rPr>
            </w:pPr>
          </w:p>
        </w:tc>
      </w:tr>
      <w:tr w:rsidR="00C23311" w14:paraId="55AA18AD" w14:textId="77777777" w:rsidTr="00C23311">
        <w:tc>
          <w:tcPr>
            <w:tcW w:w="2693" w:type="dxa"/>
            <w:tcBorders>
              <w:top w:val="single" w:sz="4" w:space="0" w:color="auto"/>
              <w:left w:val="single" w:sz="4" w:space="0" w:color="auto"/>
              <w:bottom w:val="single" w:sz="4" w:space="0" w:color="auto"/>
              <w:right w:val="single" w:sz="4" w:space="0" w:color="auto"/>
            </w:tcBorders>
            <w:hideMark/>
          </w:tcPr>
          <w:p w14:paraId="0FB560A1" w14:textId="77777777" w:rsidR="00C23311" w:rsidRDefault="00C23311">
            <w:pPr>
              <w:autoSpaceDE w:val="0"/>
              <w:autoSpaceDN w:val="0"/>
              <w:adjustRightInd w:val="0"/>
              <w:spacing w:before="60" w:after="60"/>
              <w:rPr>
                <w:b/>
                <w:bCs/>
                <w:sz w:val="22"/>
                <w:szCs w:val="22"/>
              </w:rPr>
            </w:pPr>
            <w:r>
              <w:rPr>
                <w:sz w:val="22"/>
                <w:szCs w:val="22"/>
              </w:rPr>
              <w:t>Immunsystemet</w:t>
            </w:r>
          </w:p>
        </w:tc>
        <w:tc>
          <w:tcPr>
            <w:tcW w:w="2551" w:type="dxa"/>
            <w:tcBorders>
              <w:top w:val="single" w:sz="4" w:space="0" w:color="auto"/>
              <w:left w:val="single" w:sz="4" w:space="0" w:color="auto"/>
              <w:bottom w:val="single" w:sz="4" w:space="0" w:color="auto"/>
              <w:right w:val="single" w:sz="4" w:space="0" w:color="auto"/>
            </w:tcBorders>
            <w:hideMark/>
          </w:tcPr>
          <w:p w14:paraId="3C48C041" w14:textId="77777777" w:rsidR="00C23311" w:rsidRDefault="00C23311">
            <w:pPr>
              <w:autoSpaceDE w:val="0"/>
              <w:autoSpaceDN w:val="0"/>
              <w:adjustRightInd w:val="0"/>
              <w:spacing w:before="60" w:after="60"/>
              <w:rPr>
                <w:b/>
                <w:bCs/>
                <w:sz w:val="22"/>
                <w:szCs w:val="22"/>
                <w:lang w:val="sv-SE"/>
              </w:rPr>
            </w:pPr>
            <w:r>
              <w:rPr>
                <w:sz w:val="22"/>
                <w:szCs w:val="22"/>
                <w:lang w:val="sv-SE"/>
              </w:rPr>
              <w:t>Anafylaktiske reaktioner (inklusive anafylaktisk shock)</w:t>
            </w:r>
          </w:p>
        </w:tc>
        <w:tc>
          <w:tcPr>
            <w:tcW w:w="3261" w:type="dxa"/>
            <w:tcBorders>
              <w:top w:val="single" w:sz="4" w:space="0" w:color="auto"/>
              <w:left w:val="single" w:sz="4" w:space="0" w:color="auto"/>
              <w:bottom w:val="single" w:sz="4" w:space="0" w:color="auto"/>
              <w:right w:val="single" w:sz="4" w:space="0" w:color="auto"/>
            </w:tcBorders>
          </w:tcPr>
          <w:p w14:paraId="4E044731" w14:textId="77777777" w:rsidR="00C23311" w:rsidRDefault="00C23311">
            <w:pPr>
              <w:autoSpaceDE w:val="0"/>
              <w:autoSpaceDN w:val="0"/>
              <w:adjustRightInd w:val="0"/>
              <w:spacing w:before="60" w:after="60"/>
              <w:rPr>
                <w:sz w:val="22"/>
                <w:szCs w:val="22"/>
                <w:lang w:val="en-US"/>
              </w:rPr>
            </w:pPr>
            <w:r>
              <w:rPr>
                <w:sz w:val="22"/>
                <w:szCs w:val="22"/>
                <w:lang w:val="en-US"/>
              </w:rPr>
              <w:t>Ikke almindelig</w:t>
            </w:r>
          </w:p>
          <w:p w14:paraId="152C0AE1" w14:textId="77777777" w:rsidR="00C23311" w:rsidRDefault="00C23311">
            <w:pPr>
              <w:autoSpaceDE w:val="0"/>
              <w:autoSpaceDN w:val="0"/>
              <w:adjustRightInd w:val="0"/>
              <w:spacing w:before="60" w:after="60"/>
              <w:rPr>
                <w:b/>
                <w:bCs/>
                <w:sz w:val="22"/>
                <w:szCs w:val="22"/>
                <w:lang w:val="en-US"/>
              </w:rPr>
            </w:pPr>
          </w:p>
        </w:tc>
      </w:tr>
      <w:tr w:rsidR="00C23311" w14:paraId="5C00B0DF" w14:textId="77777777" w:rsidTr="00C23311">
        <w:tc>
          <w:tcPr>
            <w:tcW w:w="2693" w:type="dxa"/>
            <w:tcBorders>
              <w:top w:val="single" w:sz="4" w:space="0" w:color="auto"/>
              <w:left w:val="single" w:sz="4" w:space="0" w:color="auto"/>
              <w:bottom w:val="single" w:sz="4" w:space="0" w:color="auto"/>
              <w:right w:val="single" w:sz="4" w:space="0" w:color="auto"/>
            </w:tcBorders>
          </w:tcPr>
          <w:p w14:paraId="798194DD" w14:textId="77777777" w:rsidR="00C23311" w:rsidRDefault="00C23311">
            <w:pPr>
              <w:autoSpaceDE w:val="0"/>
              <w:autoSpaceDN w:val="0"/>
              <w:adjustRightInd w:val="0"/>
              <w:spacing w:before="60" w:after="60"/>
              <w:rPr>
                <w:sz w:val="22"/>
                <w:szCs w:val="22"/>
              </w:rPr>
            </w:pPr>
          </w:p>
        </w:tc>
        <w:tc>
          <w:tcPr>
            <w:tcW w:w="2551" w:type="dxa"/>
            <w:tcBorders>
              <w:top w:val="single" w:sz="4" w:space="0" w:color="auto"/>
              <w:left w:val="single" w:sz="4" w:space="0" w:color="auto"/>
              <w:bottom w:val="single" w:sz="4" w:space="0" w:color="auto"/>
              <w:right w:val="single" w:sz="4" w:space="0" w:color="auto"/>
            </w:tcBorders>
            <w:hideMark/>
          </w:tcPr>
          <w:p w14:paraId="7B38D153" w14:textId="77777777" w:rsidR="00C23311" w:rsidRDefault="00C23311">
            <w:pPr>
              <w:autoSpaceDE w:val="0"/>
              <w:autoSpaceDN w:val="0"/>
              <w:adjustRightInd w:val="0"/>
              <w:spacing w:before="60" w:after="60"/>
              <w:rPr>
                <w:sz w:val="22"/>
                <w:szCs w:val="22"/>
              </w:rPr>
            </w:pPr>
            <w:r>
              <w:rPr>
                <w:sz w:val="22"/>
                <w:szCs w:val="22"/>
              </w:rPr>
              <w:t>Allergiske reaktioner (inklusive generaliseret urticaria, udslæt, dyspnø, takykardi, kvalme, opkastning, kulderystelser, pyreksi, brystsmerter, hoste, blodtryksfald)</w:t>
            </w:r>
          </w:p>
        </w:tc>
        <w:tc>
          <w:tcPr>
            <w:tcW w:w="3261" w:type="dxa"/>
            <w:tcBorders>
              <w:top w:val="single" w:sz="4" w:space="0" w:color="auto"/>
              <w:left w:val="single" w:sz="4" w:space="0" w:color="auto"/>
              <w:bottom w:val="single" w:sz="4" w:space="0" w:color="auto"/>
              <w:right w:val="single" w:sz="4" w:space="0" w:color="auto"/>
            </w:tcBorders>
            <w:hideMark/>
          </w:tcPr>
          <w:p w14:paraId="4DC364D9" w14:textId="77777777" w:rsidR="00C23311" w:rsidRDefault="00C23311">
            <w:pPr>
              <w:autoSpaceDE w:val="0"/>
              <w:autoSpaceDN w:val="0"/>
              <w:adjustRightInd w:val="0"/>
              <w:spacing w:before="60" w:after="60"/>
              <w:rPr>
                <w:sz w:val="22"/>
                <w:szCs w:val="22"/>
              </w:rPr>
            </w:pPr>
            <w:r>
              <w:rPr>
                <w:sz w:val="22"/>
                <w:szCs w:val="22"/>
              </w:rPr>
              <w:t>Ikke kendt</w:t>
            </w:r>
          </w:p>
        </w:tc>
      </w:tr>
      <w:tr w:rsidR="00C23311" w14:paraId="6089687C" w14:textId="77777777" w:rsidTr="00C23311">
        <w:tc>
          <w:tcPr>
            <w:tcW w:w="2693" w:type="dxa"/>
            <w:tcBorders>
              <w:top w:val="single" w:sz="4" w:space="0" w:color="auto"/>
              <w:left w:val="single" w:sz="4" w:space="0" w:color="auto"/>
              <w:bottom w:val="single" w:sz="4" w:space="0" w:color="auto"/>
              <w:right w:val="single" w:sz="4" w:space="0" w:color="auto"/>
            </w:tcBorders>
            <w:hideMark/>
          </w:tcPr>
          <w:p w14:paraId="218E4543" w14:textId="77777777" w:rsidR="00C23311" w:rsidRDefault="00C23311">
            <w:pPr>
              <w:autoSpaceDE w:val="0"/>
              <w:autoSpaceDN w:val="0"/>
              <w:adjustRightInd w:val="0"/>
              <w:spacing w:before="60" w:after="60"/>
              <w:rPr>
                <w:b/>
                <w:bCs/>
                <w:sz w:val="22"/>
                <w:szCs w:val="22"/>
                <w:lang w:val="en-US"/>
              </w:rPr>
            </w:pPr>
            <w:r>
              <w:rPr>
                <w:sz w:val="22"/>
                <w:szCs w:val="22"/>
                <w:lang w:val="en-US"/>
              </w:rPr>
              <w:lastRenderedPageBreak/>
              <w:t>Vaskulære</w:t>
            </w:r>
            <w:r>
              <w:rPr>
                <w:sz w:val="22"/>
                <w:szCs w:val="22"/>
              </w:rPr>
              <w:t xml:space="preserve"> sygdomme</w:t>
            </w:r>
          </w:p>
        </w:tc>
        <w:tc>
          <w:tcPr>
            <w:tcW w:w="2551" w:type="dxa"/>
            <w:tcBorders>
              <w:top w:val="single" w:sz="4" w:space="0" w:color="auto"/>
              <w:left w:val="single" w:sz="4" w:space="0" w:color="auto"/>
              <w:bottom w:val="single" w:sz="4" w:space="0" w:color="auto"/>
              <w:right w:val="single" w:sz="4" w:space="0" w:color="auto"/>
            </w:tcBorders>
            <w:hideMark/>
          </w:tcPr>
          <w:p w14:paraId="6A03E48B" w14:textId="77777777" w:rsidR="00C23311" w:rsidRDefault="00C23311">
            <w:pPr>
              <w:autoSpaceDE w:val="0"/>
              <w:autoSpaceDN w:val="0"/>
              <w:adjustRightInd w:val="0"/>
              <w:rPr>
                <w:sz w:val="22"/>
                <w:szCs w:val="22"/>
                <w:lang w:val="en-US"/>
              </w:rPr>
            </w:pPr>
            <w:r>
              <w:rPr>
                <w:sz w:val="22"/>
                <w:szCs w:val="22"/>
                <w:lang w:val="en-US"/>
              </w:rPr>
              <w:t>Tromboemboliske</w:t>
            </w:r>
            <w:r>
              <w:rPr>
                <w:sz w:val="22"/>
                <w:szCs w:val="22"/>
              </w:rPr>
              <w:t xml:space="preserve"> hændelser</w:t>
            </w:r>
            <w:r>
              <w:rPr>
                <w:sz w:val="22"/>
                <w:szCs w:val="22"/>
                <w:lang w:val="en-US"/>
              </w:rPr>
              <w:t>*</w:t>
            </w:r>
          </w:p>
          <w:p w14:paraId="32639418" w14:textId="77777777" w:rsidR="00C23311" w:rsidRDefault="00C23311">
            <w:pPr>
              <w:autoSpaceDE w:val="0"/>
              <w:autoSpaceDN w:val="0"/>
              <w:adjustRightInd w:val="0"/>
              <w:rPr>
                <w:b/>
                <w:bCs/>
                <w:sz w:val="22"/>
                <w:szCs w:val="22"/>
                <w:lang w:val="en-US"/>
              </w:rPr>
            </w:pPr>
            <w:r>
              <w:rPr>
                <w:sz w:val="22"/>
                <w:szCs w:val="22"/>
                <w:lang w:val="en-US"/>
              </w:rPr>
              <w:t>(se pkt. 4.4)</w:t>
            </w:r>
          </w:p>
        </w:tc>
        <w:tc>
          <w:tcPr>
            <w:tcW w:w="3261" w:type="dxa"/>
            <w:tcBorders>
              <w:top w:val="single" w:sz="4" w:space="0" w:color="auto"/>
              <w:left w:val="single" w:sz="4" w:space="0" w:color="auto"/>
              <w:bottom w:val="single" w:sz="4" w:space="0" w:color="auto"/>
              <w:right w:val="single" w:sz="4" w:space="0" w:color="auto"/>
            </w:tcBorders>
            <w:hideMark/>
          </w:tcPr>
          <w:p w14:paraId="31353044" w14:textId="77777777" w:rsidR="00C23311" w:rsidRDefault="00C23311">
            <w:pPr>
              <w:autoSpaceDE w:val="0"/>
              <w:autoSpaceDN w:val="0"/>
              <w:adjustRightInd w:val="0"/>
              <w:spacing w:before="60" w:after="60"/>
              <w:rPr>
                <w:b/>
                <w:bCs/>
                <w:sz w:val="22"/>
                <w:szCs w:val="22"/>
                <w:lang w:val="en-US"/>
              </w:rPr>
            </w:pPr>
            <w:r>
              <w:rPr>
                <w:sz w:val="22"/>
                <w:szCs w:val="22"/>
                <w:lang w:val="en-US"/>
              </w:rPr>
              <w:t>Almindelig**</w:t>
            </w:r>
          </w:p>
        </w:tc>
      </w:tr>
    </w:tbl>
    <w:p w14:paraId="127A3757" w14:textId="5F916574" w:rsidR="00C23311" w:rsidRDefault="00C23311" w:rsidP="00C23311">
      <w:pPr>
        <w:ind w:left="1418" w:hanging="284"/>
        <w:rPr>
          <w:sz w:val="20"/>
          <w:lang w:eastAsia="da-DK"/>
        </w:rPr>
      </w:pPr>
      <w:r>
        <w:rPr>
          <w:sz w:val="20"/>
        </w:rPr>
        <w:t>*</w:t>
      </w:r>
      <w:r>
        <w:rPr>
          <w:sz w:val="20"/>
        </w:rPr>
        <w:tab/>
        <w:t>Enkeltstående tilfælde har været fatale</w:t>
      </w:r>
    </w:p>
    <w:p w14:paraId="75A9B35C" w14:textId="31E1FA3B" w:rsidR="00C23311" w:rsidRDefault="00C23311" w:rsidP="00C23311">
      <w:pPr>
        <w:ind w:left="1418" w:hanging="284"/>
        <w:rPr>
          <w:sz w:val="20"/>
        </w:rPr>
      </w:pPr>
      <w:r>
        <w:rPr>
          <w:sz w:val="20"/>
        </w:rPr>
        <w:t>**</w:t>
      </w:r>
      <w:r>
        <w:rPr>
          <w:sz w:val="20"/>
        </w:rPr>
        <w:tab/>
        <w:t xml:space="preserve">Baseret på resultaterne fra to kliniske studier (aortakirurgi med eller uden andre kirurgiske procedurer), den samlede incidensrate for tromboemboliske hændelser var lavere hos de forsøgsdeltagere, der fik fibrinogenbehandling (N=8; 7,4 %), end hos dem, der fik placebo </w:t>
      </w:r>
    </w:p>
    <w:p w14:paraId="0A52B774" w14:textId="77777777" w:rsidR="00C23311" w:rsidRDefault="00C23311" w:rsidP="00C23311">
      <w:pPr>
        <w:ind w:left="1418"/>
        <w:rPr>
          <w:sz w:val="20"/>
        </w:rPr>
      </w:pPr>
      <w:r>
        <w:rPr>
          <w:sz w:val="20"/>
        </w:rPr>
        <w:t>(N=11; 10,4 %).</w:t>
      </w:r>
    </w:p>
    <w:p w14:paraId="22548754" w14:textId="77777777" w:rsidR="00C23311" w:rsidRDefault="00C23311" w:rsidP="00C23311">
      <w:pPr>
        <w:ind w:left="1304"/>
        <w:rPr>
          <w:sz w:val="24"/>
          <w:szCs w:val="24"/>
        </w:rPr>
      </w:pPr>
    </w:p>
    <w:p w14:paraId="1FD85F1C" w14:textId="77777777" w:rsidR="00C23311" w:rsidRDefault="00C23311" w:rsidP="00C23311">
      <w:pPr>
        <w:pStyle w:val="LAFISPCNormal"/>
        <w:tabs>
          <w:tab w:val="clear" w:pos="567"/>
          <w:tab w:val="left" w:pos="1304"/>
        </w:tabs>
        <w:ind w:left="851"/>
        <w:rPr>
          <w:szCs w:val="24"/>
          <w:lang w:val="da-DK"/>
        </w:rPr>
      </w:pPr>
      <w:r>
        <w:rPr>
          <w:szCs w:val="24"/>
          <w:lang w:val="da-DK"/>
        </w:rPr>
        <w:t>Sikkerhed vedrørende overførsel af infektiøse stoffer, se pkt. 4.4.</w:t>
      </w:r>
    </w:p>
    <w:p w14:paraId="4AC5747C" w14:textId="77777777" w:rsidR="00C23311" w:rsidRDefault="00C23311" w:rsidP="00C23311">
      <w:pPr>
        <w:pStyle w:val="Sidehoved"/>
        <w:tabs>
          <w:tab w:val="left" w:pos="1304"/>
        </w:tabs>
        <w:ind w:left="851" w:hanging="851"/>
        <w:rPr>
          <w:szCs w:val="24"/>
        </w:rPr>
      </w:pPr>
    </w:p>
    <w:p w14:paraId="1412A58C" w14:textId="77777777" w:rsidR="00C23311" w:rsidRDefault="00C23311" w:rsidP="00C23311">
      <w:pPr>
        <w:autoSpaceDE w:val="0"/>
        <w:autoSpaceDN w:val="0"/>
        <w:adjustRightInd w:val="0"/>
        <w:ind w:left="851"/>
        <w:rPr>
          <w:sz w:val="24"/>
          <w:szCs w:val="24"/>
          <w:u w:val="single"/>
        </w:rPr>
      </w:pPr>
      <w:r>
        <w:rPr>
          <w:noProof/>
          <w:sz w:val="24"/>
          <w:szCs w:val="24"/>
          <w:u w:val="single"/>
        </w:rPr>
        <w:t>Indberetning af formodede bivirkninger</w:t>
      </w:r>
    </w:p>
    <w:p w14:paraId="2A659FF0" w14:textId="0B7C56D6" w:rsidR="00C23311" w:rsidRDefault="00C23311" w:rsidP="00C23311">
      <w:pPr>
        <w:autoSpaceDE w:val="0"/>
        <w:autoSpaceDN w:val="0"/>
        <w:adjustRightInd w:val="0"/>
        <w:ind w:left="851"/>
        <w:rPr>
          <w:noProof/>
          <w:color w:val="008000"/>
          <w:sz w:val="24"/>
          <w:szCs w:val="24"/>
        </w:rPr>
      </w:pPr>
      <w:r>
        <w:rPr>
          <w:noProof/>
          <w:sz w:val="24"/>
          <w:szCs w:val="24"/>
        </w:rPr>
        <w:t>Når lægemidlet er godkendt, er indberetning af formodede bivirkninger vigtig.</w:t>
      </w:r>
      <w:r>
        <w:rPr>
          <w:sz w:val="24"/>
          <w:szCs w:val="24"/>
        </w:rPr>
        <w:t xml:space="preserve"> </w:t>
      </w:r>
      <w:r>
        <w:rPr>
          <w:noProof/>
          <w:sz w:val="24"/>
          <w:szCs w:val="24"/>
        </w:rPr>
        <w:t>Det muliggør løbende overvågning af benefit/risk-forholdet for lægemidlet.</w:t>
      </w:r>
      <w:r>
        <w:rPr>
          <w:sz w:val="24"/>
          <w:szCs w:val="24"/>
        </w:rPr>
        <w:t xml:space="preserve"> </w:t>
      </w:r>
      <w:r>
        <w:rPr>
          <w:noProof/>
          <w:sz w:val="24"/>
          <w:szCs w:val="24"/>
        </w:rPr>
        <w:t>Sundhedspersoner anmodes om at indberette alle formodede bivirkninger via:</w:t>
      </w:r>
    </w:p>
    <w:p w14:paraId="17B576E2" w14:textId="77777777" w:rsidR="00C23311" w:rsidRDefault="00C23311" w:rsidP="00C23311">
      <w:pPr>
        <w:tabs>
          <w:tab w:val="left" w:pos="-720"/>
          <w:tab w:val="left" w:pos="0"/>
          <w:tab w:val="left" w:pos="1440"/>
          <w:tab w:val="left" w:pos="2160"/>
          <w:tab w:val="left" w:pos="2880"/>
          <w:tab w:val="left" w:pos="3600"/>
          <w:tab w:val="left" w:pos="4320"/>
        </w:tabs>
        <w:autoSpaceDE w:val="0"/>
        <w:autoSpaceDN w:val="0"/>
        <w:adjustRightInd w:val="0"/>
        <w:ind w:left="851"/>
        <w:rPr>
          <w:iCs/>
          <w:color w:val="000000"/>
          <w:sz w:val="24"/>
          <w:szCs w:val="24"/>
          <w:lang w:val="de-DE" w:eastAsia="de-DE"/>
        </w:rPr>
      </w:pPr>
    </w:p>
    <w:p w14:paraId="279E7486" w14:textId="77777777" w:rsidR="00C23311" w:rsidRDefault="00C23311" w:rsidP="00C23311">
      <w:pPr>
        <w:tabs>
          <w:tab w:val="left" w:pos="-720"/>
          <w:tab w:val="left" w:pos="0"/>
          <w:tab w:val="left" w:pos="1440"/>
          <w:tab w:val="left" w:pos="2160"/>
          <w:tab w:val="left" w:pos="2880"/>
          <w:tab w:val="left" w:pos="3600"/>
          <w:tab w:val="left" w:pos="4320"/>
        </w:tabs>
        <w:autoSpaceDE w:val="0"/>
        <w:autoSpaceDN w:val="0"/>
        <w:adjustRightInd w:val="0"/>
        <w:ind w:left="851"/>
        <w:rPr>
          <w:iCs/>
          <w:color w:val="000000"/>
          <w:sz w:val="24"/>
          <w:szCs w:val="24"/>
          <w:lang w:eastAsia="de-DE"/>
        </w:rPr>
      </w:pPr>
      <w:r>
        <w:rPr>
          <w:iCs/>
          <w:color w:val="000000"/>
          <w:sz w:val="24"/>
          <w:szCs w:val="24"/>
          <w:lang w:eastAsia="de-DE"/>
        </w:rPr>
        <w:t>Lægemiddelstyrelsen</w:t>
      </w:r>
    </w:p>
    <w:p w14:paraId="04E909E8" w14:textId="77777777" w:rsidR="00C23311" w:rsidRDefault="00C23311" w:rsidP="00C23311">
      <w:pPr>
        <w:tabs>
          <w:tab w:val="left" w:pos="-720"/>
          <w:tab w:val="left" w:pos="0"/>
          <w:tab w:val="left" w:pos="1440"/>
          <w:tab w:val="left" w:pos="2160"/>
          <w:tab w:val="left" w:pos="2880"/>
          <w:tab w:val="left" w:pos="3600"/>
          <w:tab w:val="left" w:pos="4320"/>
        </w:tabs>
        <w:autoSpaceDE w:val="0"/>
        <w:autoSpaceDN w:val="0"/>
        <w:adjustRightInd w:val="0"/>
        <w:ind w:left="851"/>
        <w:rPr>
          <w:iCs/>
          <w:color w:val="000000"/>
          <w:sz w:val="24"/>
          <w:szCs w:val="24"/>
          <w:lang w:val="de-DE" w:eastAsia="de-DE"/>
        </w:rPr>
      </w:pPr>
      <w:r>
        <w:rPr>
          <w:iCs/>
          <w:color w:val="000000"/>
          <w:sz w:val="24"/>
          <w:szCs w:val="24"/>
          <w:lang w:val="de-DE" w:eastAsia="de-DE"/>
        </w:rPr>
        <w:t>Axel Heides Gade 1</w:t>
      </w:r>
    </w:p>
    <w:p w14:paraId="7B2DB8DC" w14:textId="77777777" w:rsidR="00C23311" w:rsidRDefault="00C23311" w:rsidP="00C23311">
      <w:pPr>
        <w:tabs>
          <w:tab w:val="left" w:pos="-720"/>
          <w:tab w:val="left" w:pos="0"/>
          <w:tab w:val="left" w:pos="1440"/>
          <w:tab w:val="left" w:pos="2160"/>
          <w:tab w:val="left" w:pos="2880"/>
          <w:tab w:val="left" w:pos="3600"/>
          <w:tab w:val="left" w:pos="4320"/>
        </w:tabs>
        <w:autoSpaceDE w:val="0"/>
        <w:autoSpaceDN w:val="0"/>
        <w:adjustRightInd w:val="0"/>
        <w:ind w:left="851"/>
        <w:rPr>
          <w:iCs/>
          <w:color w:val="000000"/>
          <w:sz w:val="24"/>
          <w:szCs w:val="24"/>
          <w:lang w:val="de-DE" w:eastAsia="de-DE"/>
        </w:rPr>
      </w:pPr>
      <w:r>
        <w:rPr>
          <w:iCs/>
          <w:color w:val="000000"/>
          <w:sz w:val="24"/>
          <w:szCs w:val="24"/>
          <w:lang w:val="de-DE" w:eastAsia="de-DE"/>
        </w:rPr>
        <w:t>DK-2300 København S</w:t>
      </w:r>
    </w:p>
    <w:p w14:paraId="2419B6E0" w14:textId="77777777" w:rsidR="00C23311" w:rsidRPr="00C23311" w:rsidRDefault="00C23311" w:rsidP="00C23311">
      <w:pPr>
        <w:tabs>
          <w:tab w:val="left" w:pos="-720"/>
          <w:tab w:val="left" w:pos="0"/>
          <w:tab w:val="left" w:pos="1440"/>
          <w:tab w:val="left" w:pos="2160"/>
          <w:tab w:val="left" w:pos="2880"/>
          <w:tab w:val="left" w:pos="3600"/>
          <w:tab w:val="left" w:pos="4320"/>
        </w:tabs>
        <w:autoSpaceDE w:val="0"/>
        <w:autoSpaceDN w:val="0"/>
        <w:adjustRightInd w:val="0"/>
        <w:ind w:left="851"/>
        <w:rPr>
          <w:iCs/>
          <w:color w:val="000000"/>
          <w:sz w:val="24"/>
          <w:szCs w:val="24"/>
          <w:lang w:eastAsia="de-DE"/>
        </w:rPr>
      </w:pPr>
      <w:r w:rsidRPr="00C23311">
        <w:rPr>
          <w:iCs/>
          <w:color w:val="000000"/>
          <w:sz w:val="24"/>
          <w:szCs w:val="24"/>
          <w:lang w:eastAsia="de-DE"/>
        </w:rPr>
        <w:t>Websted: www.meldenbivirkning.dk</w:t>
      </w:r>
    </w:p>
    <w:p w14:paraId="2DD789C4" w14:textId="77777777" w:rsidR="009260DE" w:rsidRPr="00A10294" w:rsidRDefault="009260DE" w:rsidP="00A10294">
      <w:pPr>
        <w:tabs>
          <w:tab w:val="left" w:pos="851"/>
        </w:tabs>
        <w:ind w:left="851"/>
        <w:rPr>
          <w:sz w:val="24"/>
          <w:szCs w:val="24"/>
        </w:rPr>
      </w:pPr>
    </w:p>
    <w:p w14:paraId="40CCE17F"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30E6760B" w14:textId="23A13CA2" w:rsidR="00230DEA" w:rsidRPr="00230DEA" w:rsidRDefault="00230DEA" w:rsidP="00230DEA">
      <w:pPr>
        <w:tabs>
          <w:tab w:val="left" w:pos="851"/>
        </w:tabs>
        <w:ind w:left="851"/>
        <w:rPr>
          <w:sz w:val="24"/>
          <w:szCs w:val="24"/>
        </w:rPr>
      </w:pPr>
      <w:r w:rsidRPr="00230DEA">
        <w:rPr>
          <w:sz w:val="24"/>
          <w:szCs w:val="24"/>
        </w:rPr>
        <w:t>For at undgå overdosering skal plasmakoncentrationen af fibrinogen kontrolleres regelmæssigt under behandlingen (se pkt. 4.2).</w:t>
      </w:r>
    </w:p>
    <w:p w14:paraId="144B3EBE" w14:textId="77777777" w:rsidR="00230DEA" w:rsidRPr="00230DEA" w:rsidRDefault="00230DEA" w:rsidP="00230DEA">
      <w:pPr>
        <w:tabs>
          <w:tab w:val="left" w:pos="851"/>
        </w:tabs>
        <w:ind w:left="851"/>
        <w:rPr>
          <w:sz w:val="24"/>
          <w:szCs w:val="24"/>
        </w:rPr>
      </w:pPr>
      <w:r w:rsidRPr="00230DEA">
        <w:rPr>
          <w:sz w:val="24"/>
          <w:szCs w:val="24"/>
        </w:rPr>
        <w:t>I tilfælde af overdosering øges risikoen for udvikling af tromboemboliske komplikationer.</w:t>
      </w:r>
    </w:p>
    <w:p w14:paraId="30BF8A2B" w14:textId="77777777" w:rsidR="009260DE" w:rsidRPr="00C84483" w:rsidRDefault="009260DE" w:rsidP="009260DE">
      <w:pPr>
        <w:tabs>
          <w:tab w:val="left" w:pos="851"/>
        </w:tabs>
        <w:ind w:left="851"/>
        <w:rPr>
          <w:sz w:val="24"/>
          <w:szCs w:val="24"/>
        </w:rPr>
      </w:pPr>
    </w:p>
    <w:p w14:paraId="3F246C90"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73659B17" w14:textId="101E8714" w:rsidR="009260DE" w:rsidRPr="00C84483" w:rsidRDefault="00230DEA" w:rsidP="009260DE">
      <w:pPr>
        <w:tabs>
          <w:tab w:val="left" w:pos="851"/>
        </w:tabs>
        <w:ind w:left="851"/>
        <w:rPr>
          <w:sz w:val="24"/>
          <w:szCs w:val="24"/>
        </w:rPr>
      </w:pPr>
      <w:r>
        <w:rPr>
          <w:sz w:val="24"/>
          <w:szCs w:val="24"/>
        </w:rPr>
        <w:t>BEGR (kun til sygehuse)</w:t>
      </w:r>
    </w:p>
    <w:p w14:paraId="1BFBA5D6" w14:textId="77777777" w:rsidR="009260DE" w:rsidRPr="00C84483" w:rsidRDefault="009260DE" w:rsidP="009260DE">
      <w:pPr>
        <w:tabs>
          <w:tab w:val="left" w:pos="851"/>
        </w:tabs>
        <w:ind w:left="851"/>
        <w:rPr>
          <w:sz w:val="24"/>
          <w:szCs w:val="24"/>
        </w:rPr>
      </w:pPr>
    </w:p>
    <w:p w14:paraId="2015CC8D" w14:textId="77777777" w:rsidR="009260DE" w:rsidRPr="00C84483" w:rsidRDefault="009260DE" w:rsidP="009260DE">
      <w:pPr>
        <w:tabs>
          <w:tab w:val="left" w:pos="851"/>
        </w:tabs>
        <w:ind w:left="851"/>
        <w:rPr>
          <w:sz w:val="24"/>
          <w:szCs w:val="24"/>
        </w:rPr>
      </w:pPr>
    </w:p>
    <w:p w14:paraId="7F54ED79"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78273A42" w14:textId="77777777" w:rsidR="009260DE" w:rsidRPr="00C84483" w:rsidRDefault="009260DE" w:rsidP="009260DE">
      <w:pPr>
        <w:tabs>
          <w:tab w:val="left" w:pos="851"/>
        </w:tabs>
        <w:ind w:left="851"/>
        <w:rPr>
          <w:sz w:val="24"/>
          <w:szCs w:val="24"/>
        </w:rPr>
      </w:pPr>
    </w:p>
    <w:p w14:paraId="13F2E732"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2E2A5668" w14:textId="17F374A5" w:rsidR="00230DEA" w:rsidRPr="00230DEA" w:rsidRDefault="00230DEA" w:rsidP="00230DEA">
      <w:pPr>
        <w:tabs>
          <w:tab w:val="left" w:pos="851"/>
        </w:tabs>
        <w:ind w:left="851"/>
        <w:rPr>
          <w:sz w:val="24"/>
          <w:szCs w:val="24"/>
        </w:rPr>
      </w:pPr>
      <w:r w:rsidRPr="00230DEA">
        <w:rPr>
          <w:sz w:val="24"/>
          <w:szCs w:val="24"/>
        </w:rPr>
        <w:t>Farmakoterapeutisk klassifikation: Hæmostatika, humant fibrinogen</w:t>
      </w:r>
      <w:r>
        <w:rPr>
          <w:sz w:val="24"/>
          <w:szCs w:val="24"/>
        </w:rPr>
        <w:t xml:space="preserve">, </w:t>
      </w:r>
      <w:r w:rsidRPr="00230DEA">
        <w:rPr>
          <w:sz w:val="24"/>
          <w:szCs w:val="24"/>
        </w:rPr>
        <w:t>ATC-kode: B02BB01.</w:t>
      </w:r>
    </w:p>
    <w:p w14:paraId="29419B57" w14:textId="77777777" w:rsidR="00230DEA" w:rsidRPr="00230DEA" w:rsidRDefault="00230DEA" w:rsidP="00230DEA">
      <w:pPr>
        <w:tabs>
          <w:tab w:val="left" w:pos="851"/>
        </w:tabs>
        <w:ind w:left="851"/>
        <w:rPr>
          <w:sz w:val="24"/>
          <w:szCs w:val="24"/>
        </w:rPr>
      </w:pPr>
    </w:p>
    <w:p w14:paraId="54F11DFD" w14:textId="77777777" w:rsidR="00230DEA" w:rsidRPr="00230DEA" w:rsidRDefault="00230DEA" w:rsidP="00230DEA">
      <w:pPr>
        <w:tabs>
          <w:tab w:val="left" w:pos="851"/>
        </w:tabs>
        <w:ind w:left="851"/>
        <w:rPr>
          <w:sz w:val="24"/>
          <w:szCs w:val="24"/>
        </w:rPr>
      </w:pPr>
      <w:r w:rsidRPr="00230DEA">
        <w:rPr>
          <w:sz w:val="24"/>
          <w:szCs w:val="24"/>
        </w:rPr>
        <w:t>Når humant fibrinogen (koagulationsfaktor I) forekommer i blodet sammen med trombin, aktiveret koagulationsfaktor XIII (F XIIIa) og calcium-ioner, konverteres det til en stabil og elastisk tredimentionel hæmostatisk fibrinprop.</w:t>
      </w:r>
    </w:p>
    <w:p w14:paraId="41185464" w14:textId="77777777" w:rsidR="00230DEA" w:rsidRPr="00230DEA" w:rsidRDefault="00230DEA" w:rsidP="00230DEA">
      <w:pPr>
        <w:tabs>
          <w:tab w:val="left" w:pos="851"/>
        </w:tabs>
        <w:ind w:left="851"/>
        <w:rPr>
          <w:sz w:val="24"/>
          <w:szCs w:val="24"/>
        </w:rPr>
      </w:pPr>
    </w:p>
    <w:p w14:paraId="5D6A663B" w14:textId="77777777" w:rsidR="00230DEA" w:rsidRPr="00230DEA" w:rsidRDefault="00230DEA" w:rsidP="00230DEA">
      <w:pPr>
        <w:tabs>
          <w:tab w:val="left" w:pos="851"/>
        </w:tabs>
        <w:ind w:left="851"/>
        <w:rPr>
          <w:sz w:val="24"/>
          <w:szCs w:val="24"/>
        </w:rPr>
      </w:pPr>
      <w:r w:rsidRPr="00230DEA">
        <w:rPr>
          <w:sz w:val="24"/>
          <w:szCs w:val="24"/>
        </w:rPr>
        <w:t>Ved administration af humant fibrinogenkoncentrat øges plasmakoncentrationen af fibrinogen, og derved afhjælpes manglende koagulationsevne midlertidigt hos patienter med fibrinogenmangel.</w:t>
      </w:r>
    </w:p>
    <w:p w14:paraId="55E0C078" w14:textId="77777777" w:rsidR="00230DEA" w:rsidRPr="00230DEA" w:rsidRDefault="00230DEA" w:rsidP="00230DEA">
      <w:pPr>
        <w:tabs>
          <w:tab w:val="left" w:pos="851"/>
        </w:tabs>
        <w:ind w:left="851"/>
        <w:rPr>
          <w:sz w:val="24"/>
          <w:szCs w:val="24"/>
        </w:rPr>
      </w:pPr>
    </w:p>
    <w:p w14:paraId="2A44B009" w14:textId="77777777" w:rsidR="00230DEA" w:rsidRPr="00230DEA" w:rsidRDefault="00230DEA" w:rsidP="00230DEA">
      <w:pPr>
        <w:tabs>
          <w:tab w:val="left" w:pos="851"/>
        </w:tabs>
        <w:ind w:left="851"/>
        <w:rPr>
          <w:sz w:val="24"/>
          <w:szCs w:val="24"/>
        </w:rPr>
      </w:pPr>
      <w:r w:rsidRPr="00230DEA">
        <w:rPr>
          <w:sz w:val="24"/>
          <w:szCs w:val="24"/>
        </w:rPr>
        <w:t xml:space="preserve">I det pivotale fase II-forsøg evalueredes farmakokinetikken efter en enkelt dosis    </w:t>
      </w:r>
    </w:p>
    <w:p w14:paraId="28220716" w14:textId="77777777" w:rsidR="00230DEA" w:rsidRPr="00230DEA" w:rsidRDefault="00230DEA" w:rsidP="00230DEA">
      <w:pPr>
        <w:tabs>
          <w:tab w:val="left" w:pos="851"/>
        </w:tabs>
        <w:ind w:left="851"/>
        <w:rPr>
          <w:sz w:val="24"/>
          <w:szCs w:val="24"/>
        </w:rPr>
      </w:pPr>
      <w:r w:rsidRPr="00230DEA">
        <w:rPr>
          <w:sz w:val="24"/>
          <w:szCs w:val="24"/>
        </w:rPr>
        <w:t xml:space="preserve">(se pkt. 5.2), og desuden fremgik effektdata påvist for surrogatendepunktet maksimal koagelstabilitet (MCF) og sikkerhedsdata. </w:t>
      </w:r>
    </w:p>
    <w:p w14:paraId="3C76AB36" w14:textId="77777777" w:rsidR="00230DEA" w:rsidRPr="00230DEA" w:rsidRDefault="00230DEA" w:rsidP="00230DEA">
      <w:pPr>
        <w:tabs>
          <w:tab w:val="left" w:pos="851"/>
        </w:tabs>
        <w:ind w:left="851"/>
        <w:rPr>
          <w:sz w:val="24"/>
          <w:szCs w:val="24"/>
        </w:rPr>
      </w:pPr>
      <w:r w:rsidRPr="00230DEA">
        <w:rPr>
          <w:sz w:val="24"/>
          <w:szCs w:val="24"/>
        </w:rPr>
        <w:t>For hver deltager bestemtes maksimal koagelstabilitet før (</w:t>
      </w:r>
      <w:r w:rsidRPr="00230DEA">
        <w:rPr>
          <w:i/>
          <w:iCs/>
          <w:sz w:val="24"/>
          <w:szCs w:val="24"/>
        </w:rPr>
        <w:t>baseline</w:t>
      </w:r>
      <w:r w:rsidRPr="00230DEA">
        <w:rPr>
          <w:sz w:val="24"/>
          <w:szCs w:val="24"/>
        </w:rPr>
        <w:t xml:space="preserve">) og en time efter indgift af en enkelt dosis Riastap på 70 mg/kg legemsvægt. Det fremgik, at Riastap effektivt øgede koagelstabiliteten hos patienter med medfødt fibrinogenmangel (afibrinogenæmi) målt ved tromboelastometri. Den hæmostatiske effekt ved akutte </w:t>
      </w:r>
      <w:r w:rsidRPr="00230DEA">
        <w:rPr>
          <w:sz w:val="24"/>
          <w:szCs w:val="24"/>
        </w:rPr>
        <w:lastRenderedPageBreak/>
        <w:t>blødningsepisoder og dens sammenhæng med MCF søges bekræftet i et forsøg efter markedsføring.</w:t>
      </w:r>
    </w:p>
    <w:p w14:paraId="4AA9F2BB" w14:textId="77777777" w:rsidR="009260DE" w:rsidRPr="00C84483" w:rsidRDefault="009260DE" w:rsidP="009260DE">
      <w:pPr>
        <w:tabs>
          <w:tab w:val="left" w:pos="851"/>
        </w:tabs>
        <w:ind w:left="851"/>
        <w:rPr>
          <w:sz w:val="24"/>
          <w:szCs w:val="24"/>
        </w:rPr>
      </w:pPr>
    </w:p>
    <w:p w14:paraId="74D1BBD5"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BBFF9C1" w14:textId="64F2E160" w:rsidR="00230DEA" w:rsidRDefault="00230DEA" w:rsidP="00230DEA">
      <w:pPr>
        <w:pStyle w:val="LAFISPCNormal"/>
        <w:tabs>
          <w:tab w:val="clear" w:pos="567"/>
        </w:tabs>
        <w:ind w:left="851"/>
        <w:rPr>
          <w:szCs w:val="24"/>
          <w:lang w:val="da-DK"/>
        </w:rPr>
      </w:pPr>
      <w:r>
        <w:rPr>
          <w:szCs w:val="24"/>
          <w:lang w:val="da-DK"/>
        </w:rPr>
        <w:t>Humant fibrinogen er en normal komponent i humant plasma, og det fungerer som endogent fibrinogen. I plasma er fibrinogens biologiske halveringstid 3-4 dage. Hvad angår nedbrydning, reagerer Riastap som endogent fibrinogen.</w:t>
      </w:r>
    </w:p>
    <w:p w14:paraId="3EDD504F" w14:textId="77777777" w:rsidR="00230DEA" w:rsidRDefault="00230DEA" w:rsidP="00230DEA">
      <w:pPr>
        <w:pStyle w:val="LAFISPCNormal"/>
        <w:tabs>
          <w:tab w:val="clear" w:pos="567"/>
        </w:tabs>
        <w:ind w:left="851"/>
        <w:rPr>
          <w:szCs w:val="24"/>
          <w:lang w:val="da-DK"/>
        </w:rPr>
      </w:pPr>
    </w:p>
    <w:p w14:paraId="4B5EAF74" w14:textId="77777777" w:rsidR="00230DEA" w:rsidRDefault="00230DEA" w:rsidP="00230DEA">
      <w:pPr>
        <w:pStyle w:val="LAFISPCNormal"/>
        <w:tabs>
          <w:tab w:val="clear" w:pos="567"/>
        </w:tabs>
        <w:ind w:left="851"/>
        <w:rPr>
          <w:szCs w:val="24"/>
          <w:lang w:val="da-DK"/>
        </w:rPr>
      </w:pPr>
      <w:r>
        <w:rPr>
          <w:szCs w:val="24"/>
          <w:lang w:val="da-DK"/>
        </w:rPr>
        <w:t>Lægemidlet indgives intravenøst og er umiddelbart tilgængeligt i en plasma</w:t>
      </w:r>
      <w:r>
        <w:rPr>
          <w:szCs w:val="24"/>
          <w:lang w:val="da-DK"/>
        </w:rPr>
        <w:softHyphen/>
        <w:t xml:space="preserve">koncentration svarende til den indgivne dosis. </w:t>
      </w:r>
    </w:p>
    <w:p w14:paraId="0A7DDD4B" w14:textId="77777777" w:rsidR="00230DEA" w:rsidRDefault="00230DEA" w:rsidP="00230DEA">
      <w:pPr>
        <w:pStyle w:val="LAFISPCNormal"/>
        <w:tabs>
          <w:tab w:val="clear" w:pos="567"/>
        </w:tabs>
        <w:ind w:left="851"/>
        <w:rPr>
          <w:szCs w:val="24"/>
          <w:lang w:val="da-DK"/>
        </w:rPr>
      </w:pPr>
    </w:p>
    <w:p w14:paraId="199F4C28" w14:textId="77777777" w:rsidR="00230DEA" w:rsidRDefault="00230DEA" w:rsidP="00230DEA">
      <w:pPr>
        <w:pStyle w:val="LAFISPCNormal"/>
        <w:tabs>
          <w:tab w:val="clear" w:pos="567"/>
        </w:tabs>
        <w:ind w:left="851"/>
        <w:rPr>
          <w:szCs w:val="24"/>
          <w:lang w:val="da-DK"/>
        </w:rPr>
      </w:pPr>
      <w:r>
        <w:rPr>
          <w:szCs w:val="24"/>
          <w:lang w:val="da-DK"/>
        </w:rPr>
        <w:t xml:space="preserve">I et farmakokinetisk forsøg evalueredes farmakokinetikken før og efter administration af en enkelt dosis humant fibrinogenkoncentrat hos forsøgspersoner med afibrinogenæmi. I dette prospektive, åbne, ukontrollerede multicenterforsøg deltog 5 kvinder og 10 mænd i alderen 8-61 år (2 børn, 3 unge, 10 voksne). Den mediane dosis var 77,0 mg/kg legemsvægt (76,6 - 77,4 mg/kg). </w:t>
      </w:r>
    </w:p>
    <w:p w14:paraId="0F396011" w14:textId="77777777" w:rsidR="00230DEA" w:rsidRDefault="00230DEA" w:rsidP="00230DEA">
      <w:pPr>
        <w:pStyle w:val="LAFISPCNormal"/>
        <w:tabs>
          <w:tab w:val="clear" w:pos="567"/>
        </w:tabs>
        <w:ind w:left="851"/>
        <w:rPr>
          <w:szCs w:val="24"/>
          <w:lang w:val="da-DK"/>
        </w:rPr>
      </w:pPr>
    </w:p>
    <w:p w14:paraId="2727353C" w14:textId="77777777" w:rsidR="00230DEA" w:rsidRDefault="00230DEA" w:rsidP="00230DEA">
      <w:pPr>
        <w:pStyle w:val="LAFISPCNormal"/>
        <w:tabs>
          <w:tab w:val="clear" w:pos="567"/>
        </w:tabs>
        <w:ind w:left="851"/>
        <w:rPr>
          <w:szCs w:val="24"/>
          <w:lang w:val="da-DK"/>
        </w:rPr>
      </w:pPr>
      <w:bookmarkStart w:id="19" w:name="OLE_LINK21"/>
      <w:bookmarkStart w:id="20" w:name="OLE_LINK22"/>
      <w:r>
        <w:rPr>
          <w:szCs w:val="24"/>
          <w:lang w:val="da-DK"/>
        </w:rPr>
        <w:t>Der indsamledes blodprøver fra 15 deltagere (14 målelige) for at bestemme fibrinogen</w:t>
      </w:r>
      <w:r>
        <w:rPr>
          <w:szCs w:val="24"/>
          <w:lang w:val="da-DK"/>
        </w:rPr>
        <w:softHyphen/>
        <w:t xml:space="preserve">aktiviteten ved </w:t>
      </w:r>
      <w:r>
        <w:rPr>
          <w:i/>
          <w:iCs/>
          <w:szCs w:val="24"/>
          <w:lang w:val="da-DK"/>
        </w:rPr>
        <w:t xml:space="preserve">baseline </w:t>
      </w:r>
      <w:r>
        <w:rPr>
          <w:szCs w:val="24"/>
          <w:lang w:val="da-DK"/>
        </w:rPr>
        <w:t xml:space="preserve">og indtil 14 dage efter infusionens afslutning. Desuden blev gradvist stigende </w:t>
      </w:r>
      <w:r>
        <w:rPr>
          <w:i/>
          <w:iCs/>
          <w:szCs w:val="24"/>
          <w:lang w:val="da-DK"/>
        </w:rPr>
        <w:t>in vivo</w:t>
      </w:r>
      <w:r>
        <w:rPr>
          <w:i/>
          <w:szCs w:val="24"/>
          <w:lang w:val="da-DK"/>
        </w:rPr>
        <w:t>-</w:t>
      </w:r>
      <w:r>
        <w:rPr>
          <w:szCs w:val="24"/>
          <w:lang w:val="da-DK"/>
        </w:rPr>
        <w:t xml:space="preserve">bedring (IVR), defineret som den maksimale stigning i fibrinogens plasmakoncentration pr. indgivet mg/kg legemsvægt, bestemt ud fra værdier målt indtil 4 timer efter infusionen. Den mediane inkrementelle </w:t>
      </w:r>
      <w:r>
        <w:rPr>
          <w:i/>
          <w:iCs/>
          <w:szCs w:val="24"/>
          <w:lang w:val="da-DK"/>
        </w:rPr>
        <w:t>in vivo</w:t>
      </w:r>
      <w:r>
        <w:rPr>
          <w:szCs w:val="24"/>
          <w:lang w:val="da-DK"/>
        </w:rPr>
        <w:t>-bedring var 1,7 (interval 1,30-2,73) mg/dl pr. mg/kg legemsvægt. Tabellen nedenfor viser de farmakokinetiske resultater.</w:t>
      </w:r>
      <w:bookmarkEnd w:id="19"/>
      <w:bookmarkEnd w:id="20"/>
    </w:p>
    <w:p w14:paraId="2631F619" w14:textId="77777777" w:rsidR="00230DEA" w:rsidRDefault="00230DEA" w:rsidP="00230DEA">
      <w:pPr>
        <w:pStyle w:val="LAFISPCNormal"/>
        <w:tabs>
          <w:tab w:val="clear" w:pos="567"/>
        </w:tabs>
        <w:ind w:left="851"/>
        <w:rPr>
          <w:szCs w:val="24"/>
          <w:lang w:val="da-DK"/>
        </w:rPr>
      </w:pPr>
    </w:p>
    <w:p w14:paraId="65BAD281" w14:textId="50167D25" w:rsidR="00230DEA" w:rsidRDefault="00230DEA" w:rsidP="00230DEA">
      <w:pPr>
        <w:pStyle w:val="LAFISPCNormal"/>
        <w:tabs>
          <w:tab w:val="clear" w:pos="567"/>
        </w:tabs>
        <w:ind w:left="851"/>
        <w:rPr>
          <w:szCs w:val="24"/>
          <w:u w:val="single"/>
          <w:lang w:val="da-DK"/>
        </w:rPr>
      </w:pPr>
      <w:r>
        <w:rPr>
          <w:szCs w:val="24"/>
          <w:u w:val="single"/>
          <w:lang w:val="da-DK"/>
        </w:rPr>
        <w:t>Farmakokinetiske resultater for fibrinogenaktivitet</w:t>
      </w:r>
    </w:p>
    <w:p w14:paraId="09CBD8ED" w14:textId="77777777" w:rsidR="00230DEA" w:rsidRDefault="00230DEA" w:rsidP="00230DEA">
      <w:pPr>
        <w:pStyle w:val="LAFISPCNormal"/>
        <w:tabs>
          <w:tab w:val="clear" w:pos="567"/>
        </w:tabs>
        <w:ind w:left="851"/>
        <w:rPr>
          <w:szCs w:val="24"/>
          <w:u w:val="single"/>
          <w:lang w:val="da-DK"/>
        </w:rPr>
      </w:pPr>
    </w:p>
    <w:tbl>
      <w:tblPr>
        <w:tblW w:w="0" w:type="auto"/>
        <w:jc w:val="center"/>
        <w:tblLayout w:type="fixed"/>
        <w:tblLook w:val="01E0" w:firstRow="1" w:lastRow="1" w:firstColumn="1" w:lastColumn="1" w:noHBand="0" w:noVBand="0"/>
      </w:tblPr>
      <w:tblGrid>
        <w:gridCol w:w="3312"/>
        <w:gridCol w:w="2280"/>
        <w:gridCol w:w="2520"/>
      </w:tblGrid>
      <w:tr w:rsidR="00230DEA" w14:paraId="4577FC0A" w14:textId="77777777" w:rsidTr="00230DEA">
        <w:trPr>
          <w:jc w:val="center"/>
        </w:trPr>
        <w:tc>
          <w:tcPr>
            <w:tcW w:w="3312" w:type="dxa"/>
            <w:tcBorders>
              <w:top w:val="single" w:sz="4" w:space="0" w:color="auto"/>
              <w:left w:val="single" w:sz="4" w:space="0" w:color="auto"/>
              <w:bottom w:val="single" w:sz="6" w:space="0" w:color="auto"/>
              <w:right w:val="single" w:sz="6" w:space="0" w:color="auto"/>
            </w:tcBorders>
            <w:hideMark/>
          </w:tcPr>
          <w:p w14:paraId="4B2A8C42" w14:textId="77777777" w:rsidR="00230DEA" w:rsidRDefault="00230DEA">
            <w:pPr>
              <w:pStyle w:val="Tabelheading"/>
              <w:keepNext/>
              <w:rPr>
                <w:rFonts w:ascii="Times New Roman" w:hAnsi="Times New Roman"/>
                <w:szCs w:val="24"/>
                <w:lang w:val="da-DK"/>
              </w:rPr>
            </w:pPr>
            <w:r>
              <w:rPr>
                <w:rFonts w:ascii="Times New Roman" w:hAnsi="Times New Roman"/>
                <w:szCs w:val="24"/>
                <w:lang w:val="da-DK"/>
              </w:rPr>
              <w:t>Parameter (n=14)</w:t>
            </w:r>
          </w:p>
        </w:tc>
        <w:tc>
          <w:tcPr>
            <w:tcW w:w="2280" w:type="dxa"/>
            <w:tcBorders>
              <w:top w:val="single" w:sz="4" w:space="0" w:color="auto"/>
              <w:left w:val="single" w:sz="6" w:space="0" w:color="auto"/>
              <w:bottom w:val="single" w:sz="6" w:space="0" w:color="auto"/>
              <w:right w:val="single" w:sz="6" w:space="0" w:color="auto"/>
            </w:tcBorders>
            <w:hideMark/>
          </w:tcPr>
          <w:p w14:paraId="3A53A14F" w14:textId="77777777" w:rsidR="00230DEA" w:rsidRDefault="00230DEA">
            <w:pPr>
              <w:pStyle w:val="Tabelheading"/>
              <w:keepNext/>
              <w:jc w:val="center"/>
              <w:rPr>
                <w:rFonts w:ascii="Times New Roman" w:hAnsi="Times New Roman"/>
                <w:szCs w:val="24"/>
                <w:lang w:val="da-DK"/>
              </w:rPr>
            </w:pPr>
            <w:r>
              <w:rPr>
                <w:rFonts w:ascii="Times New Roman" w:hAnsi="Times New Roman"/>
                <w:szCs w:val="24"/>
                <w:lang w:val="da-DK"/>
              </w:rPr>
              <w:t>Middel ± SD</w:t>
            </w:r>
          </w:p>
        </w:tc>
        <w:tc>
          <w:tcPr>
            <w:tcW w:w="2520" w:type="dxa"/>
            <w:tcBorders>
              <w:top w:val="single" w:sz="4" w:space="0" w:color="auto"/>
              <w:left w:val="single" w:sz="6" w:space="0" w:color="auto"/>
              <w:bottom w:val="single" w:sz="6" w:space="0" w:color="auto"/>
              <w:right w:val="single" w:sz="4" w:space="0" w:color="auto"/>
            </w:tcBorders>
            <w:hideMark/>
          </w:tcPr>
          <w:p w14:paraId="35602BAA" w14:textId="77777777" w:rsidR="00230DEA" w:rsidRDefault="00230DEA">
            <w:pPr>
              <w:pStyle w:val="Tabelheading"/>
              <w:keepNext/>
              <w:jc w:val="center"/>
              <w:rPr>
                <w:rFonts w:ascii="Times New Roman" w:hAnsi="Times New Roman"/>
                <w:szCs w:val="24"/>
                <w:lang w:val="da-DK"/>
              </w:rPr>
            </w:pPr>
            <w:r>
              <w:rPr>
                <w:rFonts w:ascii="Times New Roman" w:hAnsi="Times New Roman"/>
                <w:szCs w:val="24"/>
                <w:lang w:val="da-DK"/>
              </w:rPr>
              <w:t>Median (interval)</w:t>
            </w:r>
          </w:p>
        </w:tc>
      </w:tr>
      <w:tr w:rsidR="00230DEA" w14:paraId="54A6ED1A" w14:textId="77777777" w:rsidTr="00230DEA">
        <w:trPr>
          <w:jc w:val="center"/>
        </w:trPr>
        <w:tc>
          <w:tcPr>
            <w:tcW w:w="3312" w:type="dxa"/>
            <w:tcBorders>
              <w:top w:val="single" w:sz="6" w:space="0" w:color="auto"/>
              <w:left w:val="single" w:sz="4" w:space="0" w:color="auto"/>
              <w:bottom w:val="single" w:sz="6" w:space="0" w:color="auto"/>
              <w:right w:val="single" w:sz="6" w:space="0" w:color="auto"/>
            </w:tcBorders>
            <w:hideMark/>
          </w:tcPr>
          <w:p w14:paraId="270CD8F6" w14:textId="77777777" w:rsidR="00230DEA" w:rsidRDefault="00230DEA">
            <w:pPr>
              <w:pStyle w:val="TabelText"/>
              <w:keepNext/>
              <w:rPr>
                <w:lang w:val="da-DK"/>
              </w:rPr>
            </w:pPr>
            <w:r>
              <w:rPr>
                <w:noProof/>
                <w:lang w:val="da-DK"/>
              </w:rPr>
              <w:t>t</w:t>
            </w:r>
            <w:r>
              <w:rPr>
                <w:noProof/>
                <w:vertAlign w:val="subscript"/>
                <w:lang w:val="da-DK"/>
              </w:rPr>
              <w:t xml:space="preserve">1/2 </w:t>
            </w:r>
            <w:r>
              <w:rPr>
                <w:noProof/>
                <w:lang w:val="da-DK"/>
              </w:rPr>
              <w:t>[h]</w:t>
            </w:r>
          </w:p>
        </w:tc>
        <w:tc>
          <w:tcPr>
            <w:tcW w:w="2280" w:type="dxa"/>
            <w:tcBorders>
              <w:top w:val="single" w:sz="6" w:space="0" w:color="auto"/>
              <w:left w:val="single" w:sz="6" w:space="0" w:color="auto"/>
              <w:bottom w:val="single" w:sz="6" w:space="0" w:color="auto"/>
              <w:right w:val="single" w:sz="6" w:space="0" w:color="auto"/>
            </w:tcBorders>
            <w:hideMark/>
          </w:tcPr>
          <w:p w14:paraId="32EC1A3A" w14:textId="77777777" w:rsidR="00230DEA" w:rsidRDefault="00230DEA">
            <w:pPr>
              <w:pStyle w:val="TabelText"/>
              <w:keepNext/>
              <w:jc w:val="center"/>
              <w:rPr>
                <w:lang w:val="da-DK"/>
              </w:rPr>
            </w:pPr>
            <w:r>
              <w:rPr>
                <w:lang w:val="da-DK"/>
              </w:rPr>
              <w:t>78,7 ± 18,13</w:t>
            </w:r>
          </w:p>
        </w:tc>
        <w:tc>
          <w:tcPr>
            <w:tcW w:w="2520" w:type="dxa"/>
            <w:tcBorders>
              <w:top w:val="single" w:sz="6" w:space="0" w:color="auto"/>
              <w:left w:val="single" w:sz="6" w:space="0" w:color="auto"/>
              <w:bottom w:val="single" w:sz="6" w:space="0" w:color="auto"/>
              <w:right w:val="single" w:sz="4" w:space="0" w:color="auto"/>
            </w:tcBorders>
            <w:hideMark/>
          </w:tcPr>
          <w:p w14:paraId="26B6FA24" w14:textId="77777777" w:rsidR="00230DEA" w:rsidRDefault="00230DEA">
            <w:pPr>
              <w:pStyle w:val="TabelText"/>
              <w:keepNext/>
              <w:jc w:val="center"/>
              <w:rPr>
                <w:lang w:val="da-DK"/>
              </w:rPr>
            </w:pPr>
            <w:r>
              <w:rPr>
                <w:lang w:val="da-DK"/>
              </w:rPr>
              <w:t>77,1 (55,73-117,26)</w:t>
            </w:r>
          </w:p>
        </w:tc>
      </w:tr>
      <w:tr w:rsidR="00230DEA" w14:paraId="2F158953" w14:textId="77777777" w:rsidTr="00230DEA">
        <w:trPr>
          <w:jc w:val="center"/>
        </w:trPr>
        <w:tc>
          <w:tcPr>
            <w:tcW w:w="3312" w:type="dxa"/>
            <w:tcBorders>
              <w:top w:val="single" w:sz="6" w:space="0" w:color="auto"/>
              <w:left w:val="single" w:sz="4" w:space="0" w:color="auto"/>
              <w:bottom w:val="single" w:sz="6" w:space="0" w:color="auto"/>
              <w:right w:val="single" w:sz="6" w:space="0" w:color="auto"/>
            </w:tcBorders>
            <w:hideMark/>
          </w:tcPr>
          <w:p w14:paraId="22E2D6DD" w14:textId="77777777" w:rsidR="00230DEA" w:rsidRDefault="00230DEA">
            <w:pPr>
              <w:pStyle w:val="TabelText"/>
              <w:keepNext/>
              <w:rPr>
                <w:lang w:val="da-DK"/>
              </w:rPr>
            </w:pPr>
            <w:r>
              <w:rPr>
                <w:noProof/>
                <w:lang w:val="da-DK"/>
              </w:rPr>
              <w:t>C</w:t>
            </w:r>
            <w:r>
              <w:rPr>
                <w:noProof/>
                <w:vertAlign w:val="subscript"/>
                <w:lang w:val="da-DK"/>
              </w:rPr>
              <w:t>max</w:t>
            </w:r>
            <w:r>
              <w:rPr>
                <w:noProof/>
                <w:lang w:val="da-DK"/>
              </w:rPr>
              <w:t xml:space="preserve"> [g/l]</w:t>
            </w:r>
          </w:p>
        </w:tc>
        <w:tc>
          <w:tcPr>
            <w:tcW w:w="2280" w:type="dxa"/>
            <w:tcBorders>
              <w:top w:val="single" w:sz="6" w:space="0" w:color="auto"/>
              <w:left w:val="single" w:sz="6" w:space="0" w:color="auto"/>
              <w:bottom w:val="single" w:sz="6" w:space="0" w:color="auto"/>
              <w:right w:val="single" w:sz="6" w:space="0" w:color="auto"/>
            </w:tcBorders>
            <w:hideMark/>
          </w:tcPr>
          <w:p w14:paraId="73599CA5" w14:textId="77777777" w:rsidR="00230DEA" w:rsidRDefault="00230DEA">
            <w:pPr>
              <w:pStyle w:val="TabelText"/>
              <w:keepNext/>
              <w:jc w:val="center"/>
              <w:rPr>
                <w:lang w:val="da-DK"/>
              </w:rPr>
            </w:pPr>
            <w:r>
              <w:rPr>
                <w:lang w:val="da-DK"/>
              </w:rPr>
              <w:t>1,4 ± 0,27</w:t>
            </w:r>
          </w:p>
        </w:tc>
        <w:tc>
          <w:tcPr>
            <w:tcW w:w="2520" w:type="dxa"/>
            <w:tcBorders>
              <w:top w:val="single" w:sz="6" w:space="0" w:color="auto"/>
              <w:left w:val="single" w:sz="6" w:space="0" w:color="auto"/>
              <w:bottom w:val="single" w:sz="6" w:space="0" w:color="auto"/>
              <w:right w:val="single" w:sz="4" w:space="0" w:color="auto"/>
            </w:tcBorders>
            <w:hideMark/>
          </w:tcPr>
          <w:p w14:paraId="4FDB6744" w14:textId="77777777" w:rsidR="00230DEA" w:rsidRDefault="00230DEA">
            <w:pPr>
              <w:pStyle w:val="TabelText"/>
              <w:keepNext/>
              <w:jc w:val="center"/>
              <w:rPr>
                <w:lang w:val="da-DK"/>
              </w:rPr>
            </w:pPr>
            <w:r>
              <w:rPr>
                <w:lang w:val="da-DK"/>
              </w:rPr>
              <w:t xml:space="preserve">1,3 (1,00-2,10) </w:t>
            </w:r>
          </w:p>
        </w:tc>
      </w:tr>
      <w:tr w:rsidR="00230DEA" w14:paraId="07E24B99" w14:textId="77777777" w:rsidTr="00230DEA">
        <w:trPr>
          <w:jc w:val="center"/>
        </w:trPr>
        <w:tc>
          <w:tcPr>
            <w:tcW w:w="3312" w:type="dxa"/>
            <w:tcBorders>
              <w:top w:val="single" w:sz="6" w:space="0" w:color="auto"/>
              <w:left w:val="single" w:sz="4" w:space="0" w:color="auto"/>
              <w:bottom w:val="single" w:sz="6" w:space="0" w:color="auto"/>
              <w:right w:val="single" w:sz="6" w:space="0" w:color="auto"/>
            </w:tcBorders>
            <w:hideMark/>
          </w:tcPr>
          <w:p w14:paraId="68420506" w14:textId="77777777" w:rsidR="00230DEA" w:rsidRDefault="00230DEA">
            <w:pPr>
              <w:pStyle w:val="TabelText"/>
              <w:keepNext/>
              <w:rPr>
                <w:lang w:val="da-DK"/>
              </w:rPr>
            </w:pPr>
            <w:r>
              <w:rPr>
                <w:noProof/>
                <w:lang w:val="da-DK"/>
              </w:rPr>
              <w:t>AUC for doser på 70 mg/kg [h•mg/ml]</w:t>
            </w:r>
          </w:p>
        </w:tc>
        <w:tc>
          <w:tcPr>
            <w:tcW w:w="2280" w:type="dxa"/>
            <w:tcBorders>
              <w:top w:val="single" w:sz="6" w:space="0" w:color="auto"/>
              <w:left w:val="single" w:sz="6" w:space="0" w:color="auto"/>
              <w:bottom w:val="single" w:sz="6" w:space="0" w:color="auto"/>
              <w:right w:val="single" w:sz="6" w:space="0" w:color="auto"/>
            </w:tcBorders>
            <w:hideMark/>
          </w:tcPr>
          <w:p w14:paraId="47C7A925" w14:textId="77777777" w:rsidR="00230DEA" w:rsidRDefault="00230DEA">
            <w:pPr>
              <w:pStyle w:val="TabelText"/>
              <w:keepNext/>
              <w:jc w:val="center"/>
              <w:rPr>
                <w:lang w:val="da-DK"/>
              </w:rPr>
            </w:pPr>
            <w:r>
              <w:rPr>
                <w:lang w:val="da-DK"/>
              </w:rPr>
              <w:t>124,3 ± 24,16</w:t>
            </w:r>
          </w:p>
        </w:tc>
        <w:tc>
          <w:tcPr>
            <w:tcW w:w="2520" w:type="dxa"/>
            <w:tcBorders>
              <w:top w:val="single" w:sz="6" w:space="0" w:color="auto"/>
              <w:left w:val="single" w:sz="6" w:space="0" w:color="auto"/>
              <w:bottom w:val="single" w:sz="6" w:space="0" w:color="auto"/>
              <w:right w:val="single" w:sz="4" w:space="0" w:color="auto"/>
            </w:tcBorders>
            <w:hideMark/>
          </w:tcPr>
          <w:p w14:paraId="51B0D4D8" w14:textId="77777777" w:rsidR="00230DEA" w:rsidRDefault="00230DEA">
            <w:pPr>
              <w:pStyle w:val="TabelText"/>
              <w:keepNext/>
              <w:jc w:val="center"/>
              <w:rPr>
                <w:lang w:val="da-DK"/>
              </w:rPr>
            </w:pPr>
            <w:r>
              <w:rPr>
                <w:lang w:val="da-DK"/>
              </w:rPr>
              <w:t>126,8 (81,73-156,40)</w:t>
            </w:r>
          </w:p>
        </w:tc>
      </w:tr>
      <w:tr w:rsidR="00230DEA" w14:paraId="77D6F377" w14:textId="77777777" w:rsidTr="00230DEA">
        <w:trPr>
          <w:jc w:val="center"/>
        </w:trPr>
        <w:tc>
          <w:tcPr>
            <w:tcW w:w="3312" w:type="dxa"/>
            <w:tcBorders>
              <w:top w:val="single" w:sz="6" w:space="0" w:color="auto"/>
              <w:left w:val="single" w:sz="4" w:space="0" w:color="auto"/>
              <w:bottom w:val="single" w:sz="6" w:space="0" w:color="auto"/>
              <w:right w:val="single" w:sz="6" w:space="0" w:color="auto"/>
            </w:tcBorders>
            <w:hideMark/>
          </w:tcPr>
          <w:p w14:paraId="0F7AD9FE" w14:textId="77777777" w:rsidR="00230DEA" w:rsidRDefault="00230DEA">
            <w:pPr>
              <w:pStyle w:val="TabelText"/>
              <w:keepNext/>
              <w:rPr>
                <w:lang w:val="da-DK"/>
              </w:rPr>
            </w:pPr>
            <w:r>
              <w:rPr>
                <w:noProof/>
                <w:lang w:val="da-DK"/>
              </w:rPr>
              <w:t>Ekstrapolateret del af AUC [%]</w:t>
            </w:r>
          </w:p>
        </w:tc>
        <w:tc>
          <w:tcPr>
            <w:tcW w:w="2280" w:type="dxa"/>
            <w:tcBorders>
              <w:top w:val="single" w:sz="6" w:space="0" w:color="auto"/>
              <w:left w:val="single" w:sz="6" w:space="0" w:color="auto"/>
              <w:bottom w:val="single" w:sz="6" w:space="0" w:color="auto"/>
              <w:right w:val="single" w:sz="6" w:space="0" w:color="auto"/>
            </w:tcBorders>
            <w:hideMark/>
          </w:tcPr>
          <w:p w14:paraId="77099B98" w14:textId="77777777" w:rsidR="00230DEA" w:rsidRDefault="00230DEA">
            <w:pPr>
              <w:pStyle w:val="TabelText"/>
              <w:keepNext/>
              <w:jc w:val="center"/>
              <w:rPr>
                <w:lang w:val="da-DK"/>
              </w:rPr>
            </w:pPr>
            <w:r>
              <w:rPr>
                <w:lang w:val="da-DK"/>
              </w:rPr>
              <w:t>8,4 ± 1,72</w:t>
            </w:r>
          </w:p>
        </w:tc>
        <w:tc>
          <w:tcPr>
            <w:tcW w:w="2520" w:type="dxa"/>
            <w:tcBorders>
              <w:top w:val="single" w:sz="6" w:space="0" w:color="auto"/>
              <w:left w:val="single" w:sz="6" w:space="0" w:color="auto"/>
              <w:bottom w:val="single" w:sz="6" w:space="0" w:color="auto"/>
              <w:right w:val="single" w:sz="4" w:space="0" w:color="auto"/>
            </w:tcBorders>
            <w:hideMark/>
          </w:tcPr>
          <w:p w14:paraId="46A30A82" w14:textId="77777777" w:rsidR="00230DEA" w:rsidRDefault="00230DEA">
            <w:pPr>
              <w:pStyle w:val="TabelText"/>
              <w:keepNext/>
              <w:jc w:val="center"/>
              <w:rPr>
                <w:lang w:val="da-DK"/>
              </w:rPr>
            </w:pPr>
            <w:r>
              <w:rPr>
                <w:lang w:val="da-DK"/>
              </w:rPr>
              <w:t>7,8 (6,13-12,14)</w:t>
            </w:r>
          </w:p>
        </w:tc>
      </w:tr>
      <w:tr w:rsidR="00230DEA" w14:paraId="15404CA6" w14:textId="77777777" w:rsidTr="00230DEA">
        <w:trPr>
          <w:jc w:val="center"/>
        </w:trPr>
        <w:tc>
          <w:tcPr>
            <w:tcW w:w="3312" w:type="dxa"/>
            <w:tcBorders>
              <w:top w:val="single" w:sz="6" w:space="0" w:color="auto"/>
              <w:left w:val="single" w:sz="4" w:space="0" w:color="auto"/>
              <w:bottom w:val="single" w:sz="6" w:space="0" w:color="auto"/>
              <w:right w:val="single" w:sz="6" w:space="0" w:color="auto"/>
            </w:tcBorders>
            <w:hideMark/>
          </w:tcPr>
          <w:p w14:paraId="0C471F0F" w14:textId="77777777" w:rsidR="00230DEA" w:rsidRDefault="00230DEA">
            <w:pPr>
              <w:pStyle w:val="TabelText"/>
              <w:keepNext/>
              <w:rPr>
                <w:lang w:val="da-DK"/>
              </w:rPr>
            </w:pPr>
            <w:r>
              <w:rPr>
                <w:noProof/>
                <w:lang w:val="da-DK"/>
              </w:rPr>
              <w:t>Cl [ml/h/kg]</w:t>
            </w:r>
          </w:p>
        </w:tc>
        <w:tc>
          <w:tcPr>
            <w:tcW w:w="2280" w:type="dxa"/>
            <w:tcBorders>
              <w:top w:val="single" w:sz="6" w:space="0" w:color="auto"/>
              <w:left w:val="single" w:sz="6" w:space="0" w:color="auto"/>
              <w:bottom w:val="single" w:sz="6" w:space="0" w:color="auto"/>
              <w:right w:val="single" w:sz="6" w:space="0" w:color="auto"/>
            </w:tcBorders>
            <w:hideMark/>
          </w:tcPr>
          <w:p w14:paraId="1F7F3B9F" w14:textId="77777777" w:rsidR="00230DEA" w:rsidRDefault="00230DEA">
            <w:pPr>
              <w:pStyle w:val="TabelText"/>
              <w:keepNext/>
              <w:jc w:val="center"/>
              <w:rPr>
                <w:lang w:val="da-DK"/>
              </w:rPr>
            </w:pPr>
            <w:r>
              <w:rPr>
                <w:lang w:val="da-DK"/>
              </w:rPr>
              <w:t>0,59 ± 0,13</w:t>
            </w:r>
          </w:p>
        </w:tc>
        <w:tc>
          <w:tcPr>
            <w:tcW w:w="2520" w:type="dxa"/>
            <w:tcBorders>
              <w:top w:val="single" w:sz="6" w:space="0" w:color="auto"/>
              <w:left w:val="single" w:sz="6" w:space="0" w:color="auto"/>
              <w:bottom w:val="single" w:sz="6" w:space="0" w:color="auto"/>
              <w:right w:val="single" w:sz="4" w:space="0" w:color="auto"/>
            </w:tcBorders>
            <w:hideMark/>
          </w:tcPr>
          <w:p w14:paraId="6F1F0CF0" w14:textId="77777777" w:rsidR="00230DEA" w:rsidRDefault="00230DEA">
            <w:pPr>
              <w:pStyle w:val="TabelText"/>
              <w:keepNext/>
              <w:jc w:val="center"/>
              <w:rPr>
                <w:lang w:val="da-DK"/>
              </w:rPr>
            </w:pPr>
            <w:r>
              <w:rPr>
                <w:lang w:val="da-DK"/>
              </w:rPr>
              <w:t>0,55 (0,45-0,86)</w:t>
            </w:r>
          </w:p>
        </w:tc>
      </w:tr>
      <w:tr w:rsidR="00230DEA" w14:paraId="08A63856" w14:textId="77777777" w:rsidTr="00230DEA">
        <w:trPr>
          <w:jc w:val="center"/>
        </w:trPr>
        <w:tc>
          <w:tcPr>
            <w:tcW w:w="3312" w:type="dxa"/>
            <w:tcBorders>
              <w:top w:val="single" w:sz="6" w:space="0" w:color="auto"/>
              <w:left w:val="single" w:sz="4" w:space="0" w:color="auto"/>
              <w:bottom w:val="single" w:sz="6" w:space="0" w:color="auto"/>
              <w:right w:val="single" w:sz="6" w:space="0" w:color="auto"/>
            </w:tcBorders>
            <w:hideMark/>
          </w:tcPr>
          <w:p w14:paraId="5EC940B6" w14:textId="77777777" w:rsidR="00230DEA" w:rsidRDefault="00230DEA">
            <w:pPr>
              <w:pStyle w:val="TabelText"/>
              <w:keepNext/>
              <w:rPr>
                <w:lang w:val="da-DK"/>
              </w:rPr>
            </w:pPr>
            <w:r>
              <w:rPr>
                <w:noProof/>
                <w:lang w:val="da-DK"/>
              </w:rPr>
              <w:t>MRT [h]</w:t>
            </w:r>
          </w:p>
        </w:tc>
        <w:tc>
          <w:tcPr>
            <w:tcW w:w="2280" w:type="dxa"/>
            <w:tcBorders>
              <w:top w:val="single" w:sz="6" w:space="0" w:color="auto"/>
              <w:left w:val="single" w:sz="6" w:space="0" w:color="auto"/>
              <w:bottom w:val="single" w:sz="6" w:space="0" w:color="auto"/>
              <w:right w:val="single" w:sz="6" w:space="0" w:color="auto"/>
            </w:tcBorders>
            <w:hideMark/>
          </w:tcPr>
          <w:p w14:paraId="69C48019" w14:textId="77777777" w:rsidR="00230DEA" w:rsidRDefault="00230DEA">
            <w:pPr>
              <w:pStyle w:val="TabelText"/>
              <w:keepNext/>
              <w:jc w:val="center"/>
              <w:rPr>
                <w:lang w:val="da-DK"/>
              </w:rPr>
            </w:pPr>
            <w:r>
              <w:rPr>
                <w:lang w:val="da-DK"/>
              </w:rPr>
              <w:t>92,8 ± 20,11</w:t>
            </w:r>
          </w:p>
        </w:tc>
        <w:tc>
          <w:tcPr>
            <w:tcW w:w="2520" w:type="dxa"/>
            <w:tcBorders>
              <w:top w:val="single" w:sz="6" w:space="0" w:color="auto"/>
              <w:left w:val="single" w:sz="6" w:space="0" w:color="auto"/>
              <w:bottom w:val="single" w:sz="6" w:space="0" w:color="auto"/>
              <w:right w:val="single" w:sz="4" w:space="0" w:color="auto"/>
            </w:tcBorders>
            <w:hideMark/>
          </w:tcPr>
          <w:p w14:paraId="32733432" w14:textId="77777777" w:rsidR="00230DEA" w:rsidRDefault="00230DEA">
            <w:pPr>
              <w:pStyle w:val="TabelText"/>
              <w:keepNext/>
              <w:jc w:val="center"/>
              <w:rPr>
                <w:lang w:val="da-DK"/>
              </w:rPr>
            </w:pPr>
            <w:r>
              <w:rPr>
                <w:lang w:val="da-DK"/>
              </w:rPr>
              <w:t>85,9 (66,14-126,44)</w:t>
            </w:r>
          </w:p>
        </w:tc>
      </w:tr>
      <w:tr w:rsidR="00230DEA" w14:paraId="6606796E" w14:textId="77777777" w:rsidTr="00230DEA">
        <w:trPr>
          <w:jc w:val="center"/>
        </w:trPr>
        <w:tc>
          <w:tcPr>
            <w:tcW w:w="3312" w:type="dxa"/>
            <w:tcBorders>
              <w:top w:val="single" w:sz="6" w:space="0" w:color="auto"/>
              <w:left w:val="single" w:sz="4" w:space="0" w:color="auto"/>
              <w:bottom w:val="single" w:sz="4" w:space="0" w:color="auto"/>
              <w:right w:val="single" w:sz="6" w:space="0" w:color="auto"/>
            </w:tcBorders>
            <w:hideMark/>
          </w:tcPr>
          <w:p w14:paraId="6BCBEA5F" w14:textId="77777777" w:rsidR="00230DEA" w:rsidRDefault="00230DEA">
            <w:pPr>
              <w:pStyle w:val="TabelText"/>
              <w:keepNext/>
              <w:rPr>
                <w:lang w:val="da-DK"/>
              </w:rPr>
            </w:pPr>
            <w:r>
              <w:rPr>
                <w:noProof/>
                <w:lang w:val="da-DK"/>
              </w:rPr>
              <w:t>V</w:t>
            </w:r>
            <w:r>
              <w:rPr>
                <w:noProof/>
                <w:vertAlign w:val="subscript"/>
                <w:lang w:val="da-DK"/>
              </w:rPr>
              <w:t>ss</w:t>
            </w:r>
            <w:r>
              <w:rPr>
                <w:noProof/>
                <w:lang w:val="da-DK"/>
              </w:rPr>
              <w:t xml:space="preserve"> [ml/kg]</w:t>
            </w:r>
          </w:p>
        </w:tc>
        <w:tc>
          <w:tcPr>
            <w:tcW w:w="2280" w:type="dxa"/>
            <w:tcBorders>
              <w:top w:val="single" w:sz="6" w:space="0" w:color="auto"/>
              <w:left w:val="single" w:sz="6" w:space="0" w:color="auto"/>
              <w:bottom w:val="single" w:sz="4" w:space="0" w:color="auto"/>
              <w:right w:val="single" w:sz="6" w:space="0" w:color="auto"/>
            </w:tcBorders>
            <w:hideMark/>
          </w:tcPr>
          <w:p w14:paraId="08EB2205" w14:textId="77777777" w:rsidR="00230DEA" w:rsidRDefault="00230DEA">
            <w:pPr>
              <w:pStyle w:val="TabelText"/>
              <w:keepNext/>
              <w:jc w:val="center"/>
              <w:rPr>
                <w:lang w:val="da-DK"/>
              </w:rPr>
            </w:pPr>
            <w:r>
              <w:rPr>
                <w:lang w:val="da-DK"/>
              </w:rPr>
              <w:t>52,7 ± 7,48</w:t>
            </w:r>
          </w:p>
        </w:tc>
        <w:tc>
          <w:tcPr>
            <w:tcW w:w="2520" w:type="dxa"/>
            <w:tcBorders>
              <w:top w:val="single" w:sz="6" w:space="0" w:color="auto"/>
              <w:left w:val="single" w:sz="6" w:space="0" w:color="auto"/>
              <w:bottom w:val="single" w:sz="4" w:space="0" w:color="auto"/>
              <w:right w:val="single" w:sz="4" w:space="0" w:color="auto"/>
            </w:tcBorders>
            <w:hideMark/>
          </w:tcPr>
          <w:p w14:paraId="3F84D5AF" w14:textId="77777777" w:rsidR="00230DEA" w:rsidRDefault="00230DEA">
            <w:pPr>
              <w:pStyle w:val="TabelText"/>
              <w:keepNext/>
              <w:jc w:val="center"/>
              <w:rPr>
                <w:lang w:val="da-DK"/>
              </w:rPr>
            </w:pPr>
            <w:r>
              <w:rPr>
                <w:lang w:val="da-DK"/>
              </w:rPr>
              <w:t>52,7 (36,22-67,67)</w:t>
            </w:r>
          </w:p>
        </w:tc>
      </w:tr>
      <w:tr w:rsidR="00230DEA" w14:paraId="72C85D08" w14:textId="77777777" w:rsidTr="00230DEA">
        <w:trPr>
          <w:jc w:val="center"/>
        </w:trPr>
        <w:tc>
          <w:tcPr>
            <w:tcW w:w="3312" w:type="dxa"/>
            <w:tcBorders>
              <w:top w:val="single" w:sz="6" w:space="0" w:color="auto"/>
              <w:left w:val="single" w:sz="4" w:space="0" w:color="auto"/>
              <w:bottom w:val="single" w:sz="4" w:space="0" w:color="auto"/>
              <w:right w:val="single" w:sz="6" w:space="0" w:color="auto"/>
            </w:tcBorders>
            <w:hideMark/>
          </w:tcPr>
          <w:p w14:paraId="216D6F84" w14:textId="77777777" w:rsidR="00230DEA" w:rsidRDefault="00230DEA">
            <w:pPr>
              <w:pStyle w:val="TabelText"/>
              <w:keepNext/>
              <w:rPr>
                <w:lang w:val="da-DK"/>
              </w:rPr>
            </w:pPr>
            <w:r>
              <w:rPr>
                <w:noProof/>
                <w:lang w:val="da-DK"/>
              </w:rPr>
              <w:t>IVR [mg/dl pr. mg/kg legems</w:t>
            </w:r>
            <w:r>
              <w:rPr>
                <w:noProof/>
                <w:lang w:val="da-DK"/>
              </w:rPr>
              <w:softHyphen/>
              <w:t>vægt]</w:t>
            </w:r>
          </w:p>
        </w:tc>
        <w:tc>
          <w:tcPr>
            <w:tcW w:w="2280" w:type="dxa"/>
            <w:tcBorders>
              <w:top w:val="single" w:sz="6" w:space="0" w:color="auto"/>
              <w:left w:val="single" w:sz="6" w:space="0" w:color="auto"/>
              <w:bottom w:val="single" w:sz="4" w:space="0" w:color="auto"/>
              <w:right w:val="single" w:sz="6" w:space="0" w:color="auto"/>
            </w:tcBorders>
            <w:hideMark/>
          </w:tcPr>
          <w:p w14:paraId="7E5BECC5" w14:textId="77777777" w:rsidR="00230DEA" w:rsidRDefault="00230DEA">
            <w:pPr>
              <w:pStyle w:val="TabelText"/>
              <w:keepNext/>
              <w:jc w:val="center"/>
              <w:rPr>
                <w:lang w:val="da-DK"/>
              </w:rPr>
            </w:pPr>
            <w:r>
              <w:rPr>
                <w:lang w:val="da-DK"/>
              </w:rPr>
              <w:t>1,8 ± 0,35</w:t>
            </w:r>
          </w:p>
        </w:tc>
        <w:tc>
          <w:tcPr>
            <w:tcW w:w="2520" w:type="dxa"/>
            <w:tcBorders>
              <w:top w:val="single" w:sz="6" w:space="0" w:color="auto"/>
              <w:left w:val="single" w:sz="6" w:space="0" w:color="auto"/>
              <w:bottom w:val="single" w:sz="4" w:space="0" w:color="auto"/>
              <w:right w:val="single" w:sz="4" w:space="0" w:color="auto"/>
            </w:tcBorders>
            <w:hideMark/>
          </w:tcPr>
          <w:p w14:paraId="27974F42" w14:textId="77777777" w:rsidR="00230DEA" w:rsidRDefault="00230DEA">
            <w:pPr>
              <w:pStyle w:val="TabelText"/>
              <w:keepNext/>
              <w:jc w:val="center"/>
              <w:rPr>
                <w:lang w:val="da-DK"/>
              </w:rPr>
            </w:pPr>
            <w:r>
              <w:rPr>
                <w:lang w:val="da-DK"/>
              </w:rPr>
              <w:t>1,7 (1,30-2,73)</w:t>
            </w:r>
          </w:p>
        </w:tc>
      </w:tr>
      <w:tr w:rsidR="00230DEA" w14:paraId="5443C60B" w14:textId="77777777" w:rsidTr="00230DEA">
        <w:trPr>
          <w:jc w:val="center"/>
        </w:trPr>
        <w:tc>
          <w:tcPr>
            <w:tcW w:w="8112" w:type="dxa"/>
            <w:gridSpan w:val="3"/>
            <w:tcBorders>
              <w:top w:val="single" w:sz="4" w:space="0" w:color="auto"/>
              <w:left w:val="nil"/>
              <w:bottom w:val="nil"/>
              <w:right w:val="nil"/>
            </w:tcBorders>
            <w:hideMark/>
          </w:tcPr>
          <w:p w14:paraId="0BA5F5BE" w14:textId="77777777" w:rsidR="00230DEA" w:rsidRDefault="00230DEA">
            <w:pPr>
              <w:pStyle w:val="TableNote"/>
              <w:numPr>
                <w:ilvl w:val="0"/>
                <w:numId w:val="0"/>
              </w:numPr>
              <w:tabs>
                <w:tab w:val="left" w:pos="1304"/>
              </w:tabs>
              <w:spacing w:after="0"/>
              <w:rPr>
                <w:sz w:val="20"/>
                <w:szCs w:val="20"/>
                <w:lang w:val="da-DK"/>
              </w:rPr>
            </w:pPr>
            <w:r>
              <w:rPr>
                <w:noProof/>
                <w:sz w:val="20"/>
                <w:szCs w:val="20"/>
                <w:lang w:val="da-DK"/>
              </w:rPr>
              <w:t>t</w:t>
            </w:r>
            <w:r>
              <w:rPr>
                <w:noProof/>
                <w:sz w:val="20"/>
                <w:szCs w:val="20"/>
                <w:vertAlign w:val="subscript"/>
                <w:lang w:val="da-DK"/>
              </w:rPr>
              <w:t xml:space="preserve">1/2 </w:t>
            </w:r>
            <w:r>
              <w:rPr>
                <w:noProof/>
                <w:sz w:val="20"/>
                <w:szCs w:val="20"/>
                <w:lang w:val="da-DK"/>
              </w:rPr>
              <w:t>= terminal halveringstid ved elimination</w:t>
            </w:r>
          </w:p>
          <w:p w14:paraId="78D13AFC" w14:textId="77777777" w:rsidR="00230DEA" w:rsidRDefault="00230DEA">
            <w:pPr>
              <w:pStyle w:val="TableNote"/>
              <w:numPr>
                <w:ilvl w:val="0"/>
                <w:numId w:val="0"/>
              </w:numPr>
              <w:tabs>
                <w:tab w:val="left" w:pos="1304"/>
              </w:tabs>
              <w:spacing w:after="0"/>
              <w:rPr>
                <w:sz w:val="20"/>
                <w:szCs w:val="20"/>
                <w:lang w:val="da-DK"/>
              </w:rPr>
            </w:pPr>
            <w:r>
              <w:rPr>
                <w:noProof/>
                <w:sz w:val="20"/>
                <w:szCs w:val="20"/>
                <w:lang w:val="da-DK"/>
              </w:rPr>
              <w:t>h = timer</w:t>
            </w:r>
            <w:r>
              <w:rPr>
                <w:sz w:val="20"/>
                <w:szCs w:val="20"/>
                <w:lang w:val="da-DK"/>
              </w:rPr>
              <w:t xml:space="preserve"> </w:t>
            </w:r>
          </w:p>
          <w:p w14:paraId="0DD0C1E6" w14:textId="77777777" w:rsidR="00230DEA" w:rsidRDefault="00230DEA">
            <w:pPr>
              <w:pStyle w:val="TableNote"/>
              <w:numPr>
                <w:ilvl w:val="0"/>
                <w:numId w:val="0"/>
              </w:numPr>
              <w:tabs>
                <w:tab w:val="left" w:pos="1304"/>
              </w:tabs>
              <w:spacing w:after="0"/>
              <w:rPr>
                <w:sz w:val="20"/>
                <w:szCs w:val="20"/>
                <w:lang w:val="da-DK"/>
              </w:rPr>
            </w:pPr>
            <w:r>
              <w:rPr>
                <w:noProof/>
                <w:sz w:val="20"/>
                <w:szCs w:val="20"/>
                <w:lang w:val="da-DK"/>
              </w:rPr>
              <w:t>C</w:t>
            </w:r>
            <w:r>
              <w:rPr>
                <w:noProof/>
                <w:sz w:val="20"/>
                <w:szCs w:val="20"/>
                <w:vertAlign w:val="subscript"/>
                <w:lang w:val="da-DK"/>
              </w:rPr>
              <w:t>max</w:t>
            </w:r>
            <w:r>
              <w:rPr>
                <w:noProof/>
                <w:sz w:val="20"/>
                <w:szCs w:val="20"/>
                <w:lang w:val="da-DK"/>
              </w:rPr>
              <w:t xml:space="preserve"> = maksimal koncentration i løbet af 4 timer</w:t>
            </w:r>
            <w:r>
              <w:rPr>
                <w:sz w:val="20"/>
                <w:szCs w:val="20"/>
                <w:lang w:val="da-DK"/>
              </w:rPr>
              <w:t xml:space="preserve"> </w:t>
            </w:r>
          </w:p>
          <w:p w14:paraId="1CAB3AD8" w14:textId="77777777" w:rsidR="00230DEA" w:rsidRDefault="00230DEA">
            <w:pPr>
              <w:pStyle w:val="TableNote"/>
              <w:numPr>
                <w:ilvl w:val="0"/>
                <w:numId w:val="0"/>
              </w:numPr>
              <w:tabs>
                <w:tab w:val="left" w:pos="1304"/>
              </w:tabs>
              <w:spacing w:after="0"/>
              <w:rPr>
                <w:sz w:val="20"/>
                <w:szCs w:val="20"/>
                <w:lang w:val="en-US"/>
              </w:rPr>
            </w:pPr>
            <w:r>
              <w:rPr>
                <w:noProof/>
                <w:sz w:val="20"/>
                <w:szCs w:val="20"/>
                <w:lang w:val="en-US"/>
              </w:rPr>
              <w:t>AUC = areal under kurven</w:t>
            </w:r>
          </w:p>
          <w:p w14:paraId="6FFD4356" w14:textId="77777777" w:rsidR="00230DEA" w:rsidRDefault="00230DEA">
            <w:pPr>
              <w:pStyle w:val="TableNote"/>
              <w:numPr>
                <w:ilvl w:val="0"/>
                <w:numId w:val="0"/>
              </w:numPr>
              <w:tabs>
                <w:tab w:val="left" w:pos="1304"/>
              </w:tabs>
              <w:spacing w:after="0"/>
              <w:rPr>
                <w:sz w:val="20"/>
                <w:szCs w:val="20"/>
                <w:lang w:val="en-US"/>
              </w:rPr>
            </w:pPr>
            <w:r>
              <w:rPr>
                <w:noProof/>
                <w:sz w:val="20"/>
                <w:szCs w:val="20"/>
                <w:lang w:val="en-US"/>
              </w:rPr>
              <w:t xml:space="preserve">Cl = </w:t>
            </w:r>
            <w:r>
              <w:rPr>
                <w:i/>
                <w:iCs/>
                <w:noProof/>
                <w:sz w:val="20"/>
                <w:szCs w:val="20"/>
                <w:lang w:val="en-US"/>
              </w:rPr>
              <w:t>clearance</w:t>
            </w:r>
            <w:r>
              <w:rPr>
                <w:i/>
                <w:iCs/>
                <w:sz w:val="20"/>
                <w:szCs w:val="20"/>
                <w:lang w:val="en-US"/>
              </w:rPr>
              <w:t xml:space="preserve"> </w:t>
            </w:r>
          </w:p>
          <w:p w14:paraId="620D3666" w14:textId="77777777" w:rsidR="00230DEA" w:rsidRDefault="00230DEA">
            <w:pPr>
              <w:pStyle w:val="TableNote"/>
              <w:numPr>
                <w:ilvl w:val="0"/>
                <w:numId w:val="0"/>
              </w:numPr>
              <w:tabs>
                <w:tab w:val="left" w:pos="1304"/>
              </w:tabs>
              <w:spacing w:after="0"/>
              <w:rPr>
                <w:sz w:val="20"/>
                <w:szCs w:val="20"/>
                <w:lang w:val="en-US"/>
              </w:rPr>
            </w:pPr>
            <w:r>
              <w:rPr>
                <w:noProof/>
                <w:sz w:val="20"/>
                <w:szCs w:val="20"/>
                <w:lang w:val="en-US"/>
              </w:rPr>
              <w:t xml:space="preserve">MRT = </w:t>
            </w:r>
            <w:r>
              <w:rPr>
                <w:i/>
                <w:noProof/>
                <w:sz w:val="20"/>
                <w:szCs w:val="20"/>
                <w:lang w:val="en-US"/>
              </w:rPr>
              <w:t>mean residence time</w:t>
            </w:r>
          </w:p>
          <w:p w14:paraId="2FECC025" w14:textId="77777777" w:rsidR="00230DEA" w:rsidRDefault="00230DEA">
            <w:pPr>
              <w:pStyle w:val="TableNote"/>
              <w:numPr>
                <w:ilvl w:val="0"/>
                <w:numId w:val="0"/>
              </w:numPr>
              <w:tabs>
                <w:tab w:val="left" w:pos="1304"/>
              </w:tabs>
              <w:spacing w:after="0"/>
              <w:rPr>
                <w:sz w:val="20"/>
                <w:szCs w:val="20"/>
                <w:lang w:val="da-DK"/>
              </w:rPr>
            </w:pPr>
            <w:r>
              <w:rPr>
                <w:noProof/>
                <w:sz w:val="20"/>
                <w:szCs w:val="20"/>
                <w:lang w:val="da-DK"/>
              </w:rPr>
              <w:t>V</w:t>
            </w:r>
            <w:r>
              <w:rPr>
                <w:noProof/>
                <w:sz w:val="20"/>
                <w:szCs w:val="20"/>
                <w:vertAlign w:val="subscript"/>
                <w:lang w:val="da-DK"/>
              </w:rPr>
              <w:t>ss</w:t>
            </w:r>
            <w:r>
              <w:rPr>
                <w:noProof/>
                <w:sz w:val="20"/>
                <w:szCs w:val="20"/>
                <w:lang w:val="da-DK"/>
              </w:rPr>
              <w:t xml:space="preserve"> = fordelingsvolumen ved steady state</w:t>
            </w:r>
          </w:p>
          <w:p w14:paraId="28942429" w14:textId="77777777" w:rsidR="00230DEA" w:rsidRDefault="00230DEA">
            <w:pPr>
              <w:pStyle w:val="TableNote"/>
              <w:numPr>
                <w:ilvl w:val="0"/>
                <w:numId w:val="0"/>
              </w:numPr>
              <w:tabs>
                <w:tab w:val="left" w:pos="1304"/>
              </w:tabs>
              <w:spacing w:after="0"/>
              <w:rPr>
                <w:sz w:val="20"/>
                <w:szCs w:val="20"/>
                <w:lang w:val="da-DK"/>
              </w:rPr>
            </w:pPr>
            <w:r>
              <w:rPr>
                <w:noProof/>
                <w:sz w:val="20"/>
                <w:szCs w:val="20"/>
                <w:lang w:val="da-DK"/>
              </w:rPr>
              <w:t>SD = standardafvigelse</w:t>
            </w:r>
          </w:p>
          <w:p w14:paraId="563BEEC4" w14:textId="77777777" w:rsidR="00230DEA" w:rsidRDefault="00230DEA">
            <w:pPr>
              <w:pStyle w:val="TableNote"/>
              <w:numPr>
                <w:ilvl w:val="0"/>
                <w:numId w:val="0"/>
              </w:numPr>
              <w:tabs>
                <w:tab w:val="left" w:pos="1304"/>
              </w:tabs>
              <w:spacing w:after="0"/>
              <w:rPr>
                <w:sz w:val="24"/>
                <w:lang w:val="da-DK"/>
              </w:rPr>
            </w:pPr>
            <w:r>
              <w:rPr>
                <w:noProof/>
                <w:sz w:val="20"/>
                <w:szCs w:val="20"/>
                <w:lang w:val="da-DK"/>
              </w:rPr>
              <w:t xml:space="preserve">IVR = </w:t>
            </w:r>
            <w:r>
              <w:rPr>
                <w:i/>
                <w:iCs/>
                <w:noProof/>
                <w:sz w:val="20"/>
                <w:szCs w:val="20"/>
                <w:lang w:val="da-DK"/>
              </w:rPr>
              <w:t>in vivo</w:t>
            </w:r>
            <w:r>
              <w:rPr>
                <w:noProof/>
                <w:sz w:val="20"/>
                <w:szCs w:val="20"/>
                <w:lang w:val="da-DK"/>
              </w:rPr>
              <w:t>-bedring</w:t>
            </w:r>
          </w:p>
        </w:tc>
      </w:tr>
    </w:tbl>
    <w:p w14:paraId="3A1437AC" w14:textId="0D51CDF1" w:rsidR="00A661D8" w:rsidRDefault="00A661D8" w:rsidP="009260DE">
      <w:pPr>
        <w:tabs>
          <w:tab w:val="left" w:pos="851"/>
        </w:tabs>
        <w:ind w:left="851"/>
        <w:rPr>
          <w:sz w:val="24"/>
          <w:szCs w:val="24"/>
        </w:rPr>
      </w:pPr>
    </w:p>
    <w:p w14:paraId="165653EC" w14:textId="77777777" w:rsidR="00A661D8" w:rsidRDefault="00A661D8">
      <w:pPr>
        <w:rPr>
          <w:sz w:val="24"/>
          <w:szCs w:val="24"/>
        </w:rPr>
      </w:pPr>
      <w:r>
        <w:rPr>
          <w:sz w:val="24"/>
          <w:szCs w:val="24"/>
        </w:rPr>
        <w:br w:type="page"/>
      </w:r>
    </w:p>
    <w:p w14:paraId="222C01E7" w14:textId="77777777" w:rsidR="009260DE" w:rsidRPr="00C84483" w:rsidRDefault="009260DE" w:rsidP="009260DE">
      <w:pPr>
        <w:tabs>
          <w:tab w:val="left" w:pos="851"/>
        </w:tabs>
        <w:ind w:left="851"/>
        <w:rPr>
          <w:sz w:val="24"/>
          <w:szCs w:val="24"/>
        </w:rPr>
      </w:pPr>
    </w:p>
    <w:p w14:paraId="34A896C1"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394D5DBC" w14:textId="2E5D095F" w:rsidR="00230DEA" w:rsidRPr="00230DEA" w:rsidRDefault="00230DEA" w:rsidP="00230DEA">
      <w:pPr>
        <w:tabs>
          <w:tab w:val="left" w:pos="851"/>
        </w:tabs>
        <w:ind w:left="851"/>
        <w:rPr>
          <w:sz w:val="24"/>
          <w:szCs w:val="24"/>
        </w:rPr>
      </w:pPr>
      <w:r w:rsidRPr="00230DEA">
        <w:rPr>
          <w:sz w:val="24"/>
          <w:szCs w:val="24"/>
        </w:rPr>
        <w:t>Prækliniske data viser ingen speciel risiko for mennesker vurderet ud fra konventionelle studier af toksicitet efter en enkelt dosis og sikkerhedsfarmakologi.</w:t>
      </w:r>
    </w:p>
    <w:p w14:paraId="6811CF0F" w14:textId="77777777" w:rsidR="00230DEA" w:rsidRPr="00230DEA" w:rsidRDefault="00230DEA" w:rsidP="00230DEA">
      <w:pPr>
        <w:tabs>
          <w:tab w:val="left" w:pos="851"/>
        </w:tabs>
        <w:ind w:left="851"/>
        <w:rPr>
          <w:sz w:val="24"/>
          <w:szCs w:val="24"/>
        </w:rPr>
      </w:pPr>
    </w:p>
    <w:p w14:paraId="0E416385" w14:textId="77777777" w:rsidR="00230DEA" w:rsidRPr="00230DEA" w:rsidRDefault="00230DEA" w:rsidP="00230DEA">
      <w:pPr>
        <w:tabs>
          <w:tab w:val="left" w:pos="851"/>
        </w:tabs>
        <w:ind w:left="851"/>
        <w:rPr>
          <w:sz w:val="24"/>
          <w:szCs w:val="24"/>
        </w:rPr>
      </w:pPr>
      <w:bookmarkStart w:id="21" w:name="OLE_LINK26"/>
      <w:bookmarkStart w:id="22" w:name="OLE_LINK25"/>
      <w:bookmarkStart w:id="23" w:name="OLE_LINK24"/>
      <w:bookmarkStart w:id="24" w:name="OLE_LINK23"/>
      <w:r w:rsidRPr="00230DEA">
        <w:rPr>
          <w:sz w:val="24"/>
          <w:szCs w:val="24"/>
        </w:rPr>
        <w:t>Prækliniske studier med administration af gentagne doser (kronisk toksicitet, karcino</w:t>
      </w:r>
      <w:r w:rsidRPr="00230DEA">
        <w:rPr>
          <w:sz w:val="24"/>
          <w:szCs w:val="24"/>
        </w:rPr>
        <w:softHyphen/>
        <w:t>genicitet og mutagenicitet) kan ikke med rimelighed udføres i konventionelle dyremodeller, da der udvikles antistoffer efter administration af heterologe humane proteiner.</w:t>
      </w:r>
      <w:bookmarkEnd w:id="21"/>
      <w:bookmarkEnd w:id="22"/>
      <w:bookmarkEnd w:id="23"/>
      <w:bookmarkEnd w:id="24"/>
    </w:p>
    <w:p w14:paraId="64088CB6" w14:textId="77777777" w:rsidR="009260DE" w:rsidRPr="00C84483" w:rsidRDefault="009260DE" w:rsidP="009260DE">
      <w:pPr>
        <w:tabs>
          <w:tab w:val="left" w:pos="851"/>
        </w:tabs>
        <w:ind w:left="851"/>
        <w:rPr>
          <w:sz w:val="24"/>
          <w:szCs w:val="24"/>
        </w:rPr>
      </w:pPr>
    </w:p>
    <w:p w14:paraId="370AFFDA" w14:textId="77777777" w:rsidR="009260DE" w:rsidRPr="00C84483" w:rsidRDefault="009260DE" w:rsidP="009260DE">
      <w:pPr>
        <w:tabs>
          <w:tab w:val="left" w:pos="851"/>
        </w:tabs>
        <w:ind w:left="851"/>
        <w:rPr>
          <w:sz w:val="24"/>
          <w:szCs w:val="24"/>
        </w:rPr>
      </w:pPr>
    </w:p>
    <w:p w14:paraId="3C0630F4"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5490C38D" w14:textId="77777777" w:rsidR="009260DE" w:rsidRPr="00BA09F1" w:rsidRDefault="009260DE" w:rsidP="009260DE">
      <w:pPr>
        <w:tabs>
          <w:tab w:val="left" w:pos="851"/>
        </w:tabs>
        <w:ind w:left="851"/>
        <w:rPr>
          <w:sz w:val="24"/>
          <w:szCs w:val="24"/>
        </w:rPr>
      </w:pPr>
    </w:p>
    <w:p w14:paraId="50AAD9EE"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427F05C2" w14:textId="65B133ED" w:rsidR="00230DEA" w:rsidRPr="00230DEA" w:rsidRDefault="00230DEA" w:rsidP="00230DEA">
      <w:pPr>
        <w:tabs>
          <w:tab w:val="left" w:pos="851"/>
        </w:tabs>
        <w:ind w:left="851"/>
        <w:rPr>
          <w:sz w:val="24"/>
          <w:szCs w:val="24"/>
        </w:rPr>
      </w:pPr>
      <w:r w:rsidRPr="00230DEA">
        <w:rPr>
          <w:sz w:val="24"/>
          <w:szCs w:val="24"/>
        </w:rPr>
        <w:t xml:space="preserve">Humant albumin </w:t>
      </w:r>
    </w:p>
    <w:p w14:paraId="1E0CC76F" w14:textId="77777777" w:rsidR="00230DEA" w:rsidRPr="00230DEA" w:rsidRDefault="00230DEA" w:rsidP="00230DEA">
      <w:pPr>
        <w:tabs>
          <w:tab w:val="left" w:pos="851"/>
        </w:tabs>
        <w:ind w:left="851"/>
        <w:rPr>
          <w:sz w:val="24"/>
          <w:szCs w:val="24"/>
        </w:rPr>
      </w:pPr>
      <w:r w:rsidRPr="00230DEA">
        <w:rPr>
          <w:sz w:val="24"/>
          <w:szCs w:val="24"/>
        </w:rPr>
        <w:t xml:space="preserve">L-argininhydrochlorid </w:t>
      </w:r>
    </w:p>
    <w:p w14:paraId="6B4BACA3" w14:textId="77777777" w:rsidR="00230DEA" w:rsidRPr="00230DEA" w:rsidRDefault="00230DEA" w:rsidP="00230DEA">
      <w:pPr>
        <w:tabs>
          <w:tab w:val="left" w:pos="851"/>
        </w:tabs>
        <w:ind w:left="851"/>
        <w:rPr>
          <w:sz w:val="24"/>
          <w:szCs w:val="24"/>
        </w:rPr>
      </w:pPr>
      <w:r w:rsidRPr="00230DEA">
        <w:rPr>
          <w:sz w:val="24"/>
          <w:szCs w:val="24"/>
        </w:rPr>
        <w:t xml:space="preserve">Natriumhydroxid (til justering af pH) </w:t>
      </w:r>
    </w:p>
    <w:p w14:paraId="512AD5B6" w14:textId="77777777" w:rsidR="00230DEA" w:rsidRPr="00230DEA" w:rsidRDefault="00230DEA" w:rsidP="00230DEA">
      <w:pPr>
        <w:tabs>
          <w:tab w:val="left" w:pos="851"/>
        </w:tabs>
        <w:ind w:left="851"/>
        <w:rPr>
          <w:sz w:val="24"/>
          <w:szCs w:val="24"/>
        </w:rPr>
      </w:pPr>
      <w:r w:rsidRPr="00230DEA">
        <w:rPr>
          <w:sz w:val="24"/>
          <w:szCs w:val="24"/>
        </w:rPr>
        <w:t xml:space="preserve">Natriumchlorid </w:t>
      </w:r>
    </w:p>
    <w:p w14:paraId="7355818E" w14:textId="77777777" w:rsidR="00230DEA" w:rsidRPr="00230DEA" w:rsidRDefault="00230DEA" w:rsidP="00230DEA">
      <w:pPr>
        <w:tabs>
          <w:tab w:val="left" w:pos="851"/>
        </w:tabs>
        <w:ind w:left="851"/>
        <w:rPr>
          <w:sz w:val="24"/>
          <w:szCs w:val="24"/>
        </w:rPr>
      </w:pPr>
      <w:r w:rsidRPr="00230DEA">
        <w:rPr>
          <w:sz w:val="24"/>
          <w:szCs w:val="24"/>
        </w:rPr>
        <w:t>Natriumcitrat</w:t>
      </w:r>
    </w:p>
    <w:p w14:paraId="0DDAB9F6" w14:textId="77777777" w:rsidR="009260DE" w:rsidRPr="00C84483" w:rsidRDefault="009260DE" w:rsidP="009260DE">
      <w:pPr>
        <w:tabs>
          <w:tab w:val="left" w:pos="851"/>
        </w:tabs>
        <w:ind w:left="851"/>
        <w:rPr>
          <w:sz w:val="24"/>
          <w:szCs w:val="24"/>
        </w:rPr>
      </w:pPr>
    </w:p>
    <w:p w14:paraId="1B1CBB35"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20BB9E24" w14:textId="3CC35685" w:rsidR="00230DEA" w:rsidRPr="00230DEA" w:rsidRDefault="00230DEA" w:rsidP="00230DEA">
      <w:pPr>
        <w:tabs>
          <w:tab w:val="left" w:pos="851"/>
        </w:tabs>
        <w:ind w:left="851"/>
        <w:rPr>
          <w:sz w:val="24"/>
          <w:szCs w:val="24"/>
        </w:rPr>
      </w:pPr>
      <w:r w:rsidRPr="00230DEA">
        <w:rPr>
          <w:sz w:val="24"/>
          <w:szCs w:val="24"/>
        </w:rPr>
        <w:t>Dette lægemiddel må ikke blandes med andre lægemidler, infusionsvæsker eller solvenser end dem, der er anført under pkt. 6.6. Det anbefales at anvende et almindeligt infusionssæt til intravenøs administration af den rekonstituerede opløsning ved stuetemperatur.</w:t>
      </w:r>
    </w:p>
    <w:p w14:paraId="06959EFF" w14:textId="77777777" w:rsidR="009260DE" w:rsidRPr="00C84483" w:rsidRDefault="009260DE" w:rsidP="009260DE">
      <w:pPr>
        <w:tabs>
          <w:tab w:val="left" w:pos="851"/>
        </w:tabs>
        <w:ind w:left="851"/>
        <w:rPr>
          <w:sz w:val="24"/>
          <w:szCs w:val="24"/>
        </w:rPr>
      </w:pPr>
    </w:p>
    <w:p w14:paraId="35015C07"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442B58FF" w14:textId="77777777" w:rsidR="005D442F" w:rsidRPr="005D442F" w:rsidRDefault="005D442F" w:rsidP="005D442F">
      <w:pPr>
        <w:tabs>
          <w:tab w:val="left" w:pos="851"/>
        </w:tabs>
        <w:ind w:left="851"/>
        <w:rPr>
          <w:sz w:val="24"/>
          <w:szCs w:val="24"/>
        </w:rPr>
      </w:pPr>
      <w:r w:rsidRPr="005D442F">
        <w:rPr>
          <w:sz w:val="24"/>
          <w:szCs w:val="24"/>
        </w:rPr>
        <w:t>3 år.</w:t>
      </w:r>
    </w:p>
    <w:p w14:paraId="4E020627" w14:textId="77777777" w:rsidR="005D442F" w:rsidRPr="005D442F" w:rsidRDefault="005D442F" w:rsidP="005D442F">
      <w:pPr>
        <w:tabs>
          <w:tab w:val="left" w:pos="851"/>
        </w:tabs>
        <w:ind w:left="851"/>
        <w:rPr>
          <w:sz w:val="24"/>
          <w:szCs w:val="24"/>
        </w:rPr>
      </w:pPr>
    </w:p>
    <w:p w14:paraId="3EB2E600" w14:textId="77777777" w:rsidR="005D442F" w:rsidRPr="005D442F" w:rsidRDefault="005D442F" w:rsidP="005D442F">
      <w:pPr>
        <w:tabs>
          <w:tab w:val="left" w:pos="851"/>
        </w:tabs>
        <w:ind w:left="851"/>
        <w:rPr>
          <w:sz w:val="24"/>
          <w:szCs w:val="24"/>
        </w:rPr>
      </w:pPr>
      <w:bookmarkStart w:id="25" w:name="OLE_LINK27"/>
      <w:bookmarkStart w:id="26" w:name="OLE_LINK28"/>
      <w:r w:rsidRPr="005D442F">
        <w:rPr>
          <w:sz w:val="24"/>
          <w:szCs w:val="24"/>
        </w:rPr>
        <w:t xml:space="preserve">Kemisk og fysisk stabilitet af det rekonstituerede lægemiddel er dokumenteret i 8 timer ved stuetemperatur (ikke over 25 °C). Ud fra et mikrobiologisk synspunkt skal lægemidlet bruges umiddelbart efter rekonstitutionen. Hvis det rekonstituerede lægemiddel ikke anvendes med det samme, må det højst opbevares i 8 timer ved stuetemperatur </w:t>
      </w:r>
    </w:p>
    <w:p w14:paraId="702E740D" w14:textId="77777777" w:rsidR="005D442F" w:rsidRPr="005D442F" w:rsidRDefault="005D442F" w:rsidP="005D442F">
      <w:pPr>
        <w:tabs>
          <w:tab w:val="left" w:pos="851"/>
        </w:tabs>
        <w:ind w:left="851"/>
        <w:rPr>
          <w:sz w:val="24"/>
          <w:szCs w:val="24"/>
        </w:rPr>
      </w:pPr>
      <w:r w:rsidRPr="005D442F">
        <w:rPr>
          <w:sz w:val="24"/>
          <w:szCs w:val="24"/>
        </w:rPr>
        <w:t>(ikke over 25 °C). Det rekonstituerede lægemiddel må ikke opbevares i køleskab.</w:t>
      </w:r>
      <w:bookmarkEnd w:id="25"/>
      <w:bookmarkEnd w:id="26"/>
    </w:p>
    <w:p w14:paraId="4060A142" w14:textId="77777777" w:rsidR="009260DE" w:rsidRPr="00C84483" w:rsidRDefault="009260DE" w:rsidP="009260DE">
      <w:pPr>
        <w:tabs>
          <w:tab w:val="left" w:pos="851"/>
        </w:tabs>
        <w:ind w:left="851"/>
        <w:rPr>
          <w:sz w:val="24"/>
          <w:szCs w:val="24"/>
        </w:rPr>
      </w:pPr>
    </w:p>
    <w:p w14:paraId="56174468"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76F32E61" w14:textId="77777777" w:rsidR="005D442F" w:rsidRDefault="005D442F" w:rsidP="005D442F">
      <w:pPr>
        <w:pStyle w:val="LAFISPCNormal"/>
        <w:tabs>
          <w:tab w:val="clear" w:pos="567"/>
          <w:tab w:val="left" w:pos="1304"/>
        </w:tabs>
        <w:ind w:left="851"/>
        <w:rPr>
          <w:szCs w:val="24"/>
          <w:lang w:val="da-DK"/>
        </w:rPr>
      </w:pPr>
      <w:r>
        <w:rPr>
          <w:lang w:val="da-DK"/>
        </w:rPr>
        <w:t>Må ikke opbevares ved temperaturer over 25 °C</w:t>
      </w:r>
      <w:r>
        <w:rPr>
          <w:szCs w:val="24"/>
          <w:lang w:val="da-DK"/>
        </w:rPr>
        <w:t>. Må ikke nedfryses.</w:t>
      </w:r>
    </w:p>
    <w:p w14:paraId="76768D6A" w14:textId="6A4743DC" w:rsidR="005D442F" w:rsidRDefault="005D442F" w:rsidP="005D442F">
      <w:pPr>
        <w:pStyle w:val="LAFISPCNormal"/>
        <w:tabs>
          <w:tab w:val="clear" w:pos="567"/>
          <w:tab w:val="left" w:pos="1304"/>
        </w:tabs>
        <w:ind w:left="851"/>
        <w:rPr>
          <w:szCs w:val="24"/>
          <w:lang w:val="da-DK"/>
        </w:rPr>
      </w:pPr>
      <w:r>
        <w:rPr>
          <w:szCs w:val="24"/>
          <w:lang w:val="da-DK"/>
        </w:rPr>
        <w:t>Opbevar hætteglasset i den ydre karton for at beskytte mod lys.</w:t>
      </w:r>
    </w:p>
    <w:p w14:paraId="2EA1F9FA" w14:textId="77777777" w:rsidR="009260DE" w:rsidRPr="00C84483" w:rsidRDefault="009260DE" w:rsidP="009260DE">
      <w:pPr>
        <w:tabs>
          <w:tab w:val="left" w:pos="851"/>
        </w:tabs>
        <w:ind w:left="851"/>
        <w:rPr>
          <w:sz w:val="24"/>
          <w:szCs w:val="24"/>
        </w:rPr>
      </w:pPr>
    </w:p>
    <w:p w14:paraId="16FFC3A4"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4E0869D8" w14:textId="62F48C1C" w:rsidR="005D442F" w:rsidRPr="005D442F" w:rsidRDefault="005D442F" w:rsidP="005D442F">
      <w:pPr>
        <w:tabs>
          <w:tab w:val="left" w:pos="851"/>
        </w:tabs>
        <w:ind w:left="851"/>
        <w:rPr>
          <w:sz w:val="24"/>
          <w:szCs w:val="24"/>
        </w:rPr>
      </w:pPr>
      <w:r w:rsidRPr="005D442F">
        <w:rPr>
          <w:sz w:val="24"/>
          <w:szCs w:val="24"/>
        </w:rPr>
        <w:t>Hætteglas af farveløst glas, Ph. Eur. type II-glas, forseglet med en latex-fri prop (bromobutyl</w:t>
      </w:r>
      <w:r w:rsidRPr="005D442F">
        <w:rPr>
          <w:sz w:val="24"/>
          <w:szCs w:val="24"/>
        </w:rPr>
        <w:softHyphen/>
        <w:t>gummi), plombering af aluminium og en plastskive.</w:t>
      </w:r>
    </w:p>
    <w:p w14:paraId="33D174B0" w14:textId="77777777" w:rsidR="005D442F" w:rsidRPr="005D442F" w:rsidRDefault="005D442F" w:rsidP="005D442F">
      <w:pPr>
        <w:tabs>
          <w:tab w:val="left" w:pos="851"/>
        </w:tabs>
        <w:ind w:left="851"/>
        <w:rPr>
          <w:sz w:val="24"/>
          <w:szCs w:val="24"/>
        </w:rPr>
      </w:pPr>
    </w:p>
    <w:p w14:paraId="05764906" w14:textId="77777777" w:rsidR="005D442F" w:rsidRPr="005D442F" w:rsidRDefault="005D442F" w:rsidP="005D442F">
      <w:pPr>
        <w:tabs>
          <w:tab w:val="left" w:pos="851"/>
        </w:tabs>
        <w:ind w:left="851"/>
        <w:rPr>
          <w:sz w:val="24"/>
          <w:szCs w:val="24"/>
          <w:u w:val="single"/>
        </w:rPr>
      </w:pPr>
      <w:r w:rsidRPr="005D442F">
        <w:rPr>
          <w:sz w:val="24"/>
          <w:szCs w:val="24"/>
          <w:u w:val="single"/>
        </w:rPr>
        <w:t>Pakning med 2 g (figur 1)</w:t>
      </w:r>
    </w:p>
    <w:p w14:paraId="25DC30CA" w14:textId="77777777" w:rsidR="005D442F" w:rsidRPr="005D442F" w:rsidRDefault="005D442F" w:rsidP="005D442F">
      <w:pPr>
        <w:numPr>
          <w:ilvl w:val="0"/>
          <w:numId w:val="7"/>
        </w:numPr>
        <w:tabs>
          <w:tab w:val="left" w:pos="851"/>
        </w:tabs>
        <w:rPr>
          <w:sz w:val="24"/>
          <w:szCs w:val="24"/>
        </w:rPr>
      </w:pPr>
      <w:r w:rsidRPr="005D442F">
        <w:rPr>
          <w:sz w:val="24"/>
          <w:szCs w:val="24"/>
        </w:rPr>
        <w:t>Et hætteglas indeholder 2 g humant fibrinogen.</w:t>
      </w:r>
    </w:p>
    <w:p w14:paraId="0B488569" w14:textId="77777777" w:rsidR="005D442F" w:rsidRPr="005D442F" w:rsidRDefault="005D442F" w:rsidP="005D442F">
      <w:pPr>
        <w:numPr>
          <w:ilvl w:val="0"/>
          <w:numId w:val="7"/>
        </w:numPr>
        <w:tabs>
          <w:tab w:val="left" w:pos="851"/>
        </w:tabs>
        <w:rPr>
          <w:sz w:val="24"/>
          <w:szCs w:val="24"/>
        </w:rPr>
      </w:pPr>
      <w:r w:rsidRPr="005D442F">
        <w:rPr>
          <w:sz w:val="24"/>
          <w:szCs w:val="24"/>
        </w:rPr>
        <w:t xml:space="preserve">Filter: </w:t>
      </w:r>
      <w:r w:rsidRPr="005D442F">
        <w:rPr>
          <w:sz w:val="24"/>
          <w:szCs w:val="24"/>
          <w:lang w:val="en-GB"/>
        </w:rPr>
        <w:t>Pall</w:t>
      </w:r>
      <w:r w:rsidRPr="005D442F">
        <w:rPr>
          <w:sz w:val="24"/>
          <w:szCs w:val="24"/>
          <w:vertAlign w:val="superscript"/>
          <w:lang w:val="en-GB"/>
        </w:rPr>
        <w:t>®</w:t>
      </w:r>
      <w:r w:rsidRPr="005D442F">
        <w:rPr>
          <w:sz w:val="24"/>
          <w:szCs w:val="24"/>
          <w:lang w:val="en-GB"/>
        </w:rPr>
        <w:t xml:space="preserve"> sprøjtefilter</w:t>
      </w:r>
    </w:p>
    <w:p w14:paraId="7832C051" w14:textId="77777777" w:rsidR="005D442F" w:rsidRPr="005D442F" w:rsidRDefault="005D442F" w:rsidP="005D442F">
      <w:pPr>
        <w:numPr>
          <w:ilvl w:val="0"/>
          <w:numId w:val="7"/>
        </w:numPr>
        <w:tabs>
          <w:tab w:val="left" w:pos="851"/>
        </w:tabs>
        <w:rPr>
          <w:sz w:val="24"/>
          <w:szCs w:val="24"/>
        </w:rPr>
      </w:pPr>
      <w:r w:rsidRPr="005D442F">
        <w:rPr>
          <w:sz w:val="24"/>
          <w:szCs w:val="24"/>
        </w:rPr>
        <w:t>Optrækningsspike: Mini-Spike</w:t>
      </w:r>
      <w:r w:rsidRPr="005D442F">
        <w:rPr>
          <w:sz w:val="24"/>
          <w:szCs w:val="24"/>
          <w:vertAlign w:val="superscript"/>
          <w:lang w:val="en-GB"/>
        </w:rPr>
        <w:t xml:space="preserve">® </w:t>
      </w:r>
      <w:r w:rsidRPr="005D442F">
        <w:rPr>
          <w:sz w:val="24"/>
          <w:szCs w:val="24"/>
        </w:rPr>
        <w:t>optrækningsspike</w:t>
      </w:r>
    </w:p>
    <w:p w14:paraId="4E08E5F3" w14:textId="77777777" w:rsidR="005D442F" w:rsidRPr="005D442F" w:rsidRDefault="005D442F" w:rsidP="005D442F">
      <w:pPr>
        <w:tabs>
          <w:tab w:val="left" w:pos="851"/>
        </w:tabs>
        <w:ind w:left="851"/>
        <w:rPr>
          <w:sz w:val="24"/>
          <w:szCs w:val="24"/>
        </w:rPr>
      </w:pPr>
      <w:r w:rsidRPr="005D442F">
        <w:rPr>
          <w:sz w:val="24"/>
          <w:szCs w:val="24"/>
        </w:rPr>
        <w:tab/>
      </w:r>
    </w:p>
    <w:p w14:paraId="466A854D" w14:textId="77777777" w:rsidR="005D442F" w:rsidRPr="005D442F" w:rsidRDefault="005D442F" w:rsidP="005D442F">
      <w:pPr>
        <w:tabs>
          <w:tab w:val="left" w:pos="851"/>
        </w:tabs>
        <w:ind w:left="851"/>
        <w:rPr>
          <w:sz w:val="24"/>
          <w:szCs w:val="24"/>
        </w:rPr>
      </w:pPr>
    </w:p>
    <w:p w14:paraId="2B52F685" w14:textId="77777777" w:rsidR="005D442F" w:rsidRDefault="005D442F" w:rsidP="005D442F">
      <w:pPr>
        <w:tabs>
          <w:tab w:val="left" w:pos="851"/>
        </w:tabs>
        <w:ind w:left="851"/>
        <w:rPr>
          <w:sz w:val="24"/>
          <w:szCs w:val="24"/>
        </w:rPr>
      </w:pPr>
      <w:r w:rsidRPr="005D442F">
        <w:rPr>
          <w:noProof/>
          <w:sz w:val="24"/>
          <w:szCs w:val="24"/>
        </w:rPr>
        <w:lastRenderedPageBreak/>
        <w:drawing>
          <wp:inline distT="0" distB="0" distL="0" distR="0" wp14:anchorId="2DEBE6F7" wp14:editId="28C549BE">
            <wp:extent cx="889000" cy="1244600"/>
            <wp:effectExtent l="0" t="0" r="635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0" cy="1244600"/>
                    </a:xfrm>
                    <a:prstGeom prst="rect">
                      <a:avLst/>
                    </a:prstGeom>
                    <a:noFill/>
                    <a:ln>
                      <a:noFill/>
                    </a:ln>
                  </pic:spPr>
                </pic:pic>
              </a:graphicData>
            </a:graphic>
          </wp:inline>
        </w:drawing>
      </w:r>
      <w:r w:rsidRPr="005D442F">
        <w:rPr>
          <w:sz w:val="24"/>
          <w:szCs w:val="24"/>
        </w:rPr>
        <w:t xml:space="preserve"> </w:t>
      </w:r>
    </w:p>
    <w:p w14:paraId="7F88B5A2" w14:textId="5AAFF4E6" w:rsidR="005D442F" w:rsidRPr="005D442F" w:rsidRDefault="005D442F" w:rsidP="005D442F">
      <w:pPr>
        <w:tabs>
          <w:tab w:val="left" w:pos="851"/>
        </w:tabs>
        <w:ind w:left="851"/>
        <w:rPr>
          <w:sz w:val="24"/>
          <w:szCs w:val="24"/>
        </w:rPr>
      </w:pPr>
      <w:r w:rsidRPr="005D442F">
        <w:rPr>
          <w:sz w:val="24"/>
          <w:szCs w:val="24"/>
        </w:rPr>
        <w:t>Figur 1</w:t>
      </w:r>
    </w:p>
    <w:p w14:paraId="5E3E5884" w14:textId="77777777" w:rsidR="009260DE" w:rsidRPr="00C84483" w:rsidRDefault="009260DE" w:rsidP="009260DE">
      <w:pPr>
        <w:tabs>
          <w:tab w:val="left" w:pos="851"/>
        </w:tabs>
        <w:ind w:left="851"/>
        <w:rPr>
          <w:sz w:val="24"/>
          <w:szCs w:val="24"/>
        </w:rPr>
      </w:pPr>
    </w:p>
    <w:p w14:paraId="18D6AA94"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677DF24D" w14:textId="77777777" w:rsidR="00172DE8" w:rsidRDefault="00172DE8" w:rsidP="005D442F">
      <w:pPr>
        <w:tabs>
          <w:tab w:val="left" w:pos="851"/>
        </w:tabs>
        <w:ind w:left="851"/>
        <w:rPr>
          <w:b/>
          <w:i/>
          <w:sz w:val="24"/>
          <w:szCs w:val="24"/>
        </w:rPr>
      </w:pPr>
    </w:p>
    <w:p w14:paraId="16406CDC" w14:textId="54A560C3" w:rsidR="005D442F" w:rsidRPr="00172DE8" w:rsidRDefault="005D442F" w:rsidP="005D442F">
      <w:pPr>
        <w:tabs>
          <w:tab w:val="left" w:pos="851"/>
        </w:tabs>
        <w:ind w:left="851"/>
        <w:rPr>
          <w:sz w:val="24"/>
          <w:szCs w:val="24"/>
          <w:u w:val="single"/>
        </w:rPr>
      </w:pPr>
      <w:r w:rsidRPr="00172DE8">
        <w:rPr>
          <w:sz w:val="24"/>
          <w:szCs w:val="24"/>
          <w:u w:val="single"/>
        </w:rPr>
        <w:t>Generel vejledning</w:t>
      </w:r>
    </w:p>
    <w:p w14:paraId="409CE945" w14:textId="77777777" w:rsidR="005D442F" w:rsidRPr="005D442F" w:rsidRDefault="005D442F" w:rsidP="00172DE8">
      <w:pPr>
        <w:numPr>
          <w:ilvl w:val="0"/>
          <w:numId w:val="8"/>
        </w:numPr>
        <w:tabs>
          <w:tab w:val="clear" w:pos="1571"/>
          <w:tab w:val="left" w:pos="851"/>
        </w:tabs>
        <w:ind w:left="1134" w:hanging="283"/>
        <w:rPr>
          <w:sz w:val="24"/>
          <w:szCs w:val="24"/>
        </w:rPr>
      </w:pPr>
      <w:r w:rsidRPr="005D442F">
        <w:rPr>
          <w:sz w:val="24"/>
          <w:szCs w:val="24"/>
        </w:rPr>
        <w:t>Pulveret skal rekonstitueres og udtrækkes fra hætteglasset under aseptiske betingelser.</w:t>
      </w:r>
    </w:p>
    <w:p w14:paraId="5EADE27E" w14:textId="77777777" w:rsidR="005D442F" w:rsidRPr="005D442F" w:rsidRDefault="005D442F" w:rsidP="00172DE8">
      <w:pPr>
        <w:numPr>
          <w:ilvl w:val="0"/>
          <w:numId w:val="8"/>
        </w:numPr>
        <w:tabs>
          <w:tab w:val="clear" w:pos="1571"/>
          <w:tab w:val="left" w:pos="851"/>
        </w:tabs>
        <w:ind w:left="1134" w:hanging="283"/>
        <w:rPr>
          <w:sz w:val="24"/>
          <w:szCs w:val="24"/>
        </w:rPr>
      </w:pPr>
      <w:r w:rsidRPr="005D442F">
        <w:rPr>
          <w:sz w:val="24"/>
          <w:szCs w:val="24"/>
        </w:rPr>
        <w:t>Efter tilberedning skal opløsningen kontrolleres visuelt for partikelindhold og misfarvning, før den indgives.</w:t>
      </w:r>
    </w:p>
    <w:p w14:paraId="4FD6E13A" w14:textId="77777777" w:rsidR="005D442F" w:rsidRPr="005D442F" w:rsidRDefault="005D442F" w:rsidP="00172DE8">
      <w:pPr>
        <w:numPr>
          <w:ilvl w:val="0"/>
          <w:numId w:val="8"/>
        </w:numPr>
        <w:tabs>
          <w:tab w:val="clear" w:pos="1571"/>
          <w:tab w:val="left" w:pos="851"/>
        </w:tabs>
        <w:ind w:left="1134" w:hanging="283"/>
        <w:rPr>
          <w:sz w:val="24"/>
          <w:szCs w:val="24"/>
        </w:rPr>
      </w:pPr>
      <w:r w:rsidRPr="005D442F">
        <w:rPr>
          <w:sz w:val="24"/>
          <w:szCs w:val="24"/>
        </w:rPr>
        <w:t>Den rekonstituerede opløsning skal være næsten farveløs til gullig, klar til let opaliserende og med neutral pH. Anvend ikke opløsninger, der er uklare eller indeholder bundfald.</w:t>
      </w:r>
    </w:p>
    <w:p w14:paraId="018B45AA" w14:textId="77777777" w:rsidR="005D442F" w:rsidRPr="005D442F" w:rsidRDefault="005D442F" w:rsidP="005D442F">
      <w:pPr>
        <w:tabs>
          <w:tab w:val="left" w:pos="851"/>
        </w:tabs>
        <w:ind w:left="851"/>
        <w:rPr>
          <w:sz w:val="24"/>
          <w:szCs w:val="24"/>
        </w:rPr>
      </w:pPr>
    </w:p>
    <w:p w14:paraId="56FC4B32" w14:textId="77777777" w:rsidR="005D442F" w:rsidRPr="00172DE8" w:rsidRDefault="005D442F" w:rsidP="005D442F">
      <w:pPr>
        <w:tabs>
          <w:tab w:val="left" w:pos="851"/>
        </w:tabs>
        <w:ind w:left="851"/>
        <w:rPr>
          <w:sz w:val="24"/>
          <w:szCs w:val="24"/>
          <w:u w:val="single"/>
        </w:rPr>
      </w:pPr>
      <w:r w:rsidRPr="00172DE8">
        <w:rPr>
          <w:sz w:val="24"/>
          <w:szCs w:val="24"/>
          <w:u w:val="single"/>
        </w:rPr>
        <w:t>Rekonstitution</w:t>
      </w:r>
    </w:p>
    <w:p w14:paraId="27DD9F19"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r w:rsidRPr="005D442F">
        <w:rPr>
          <w:sz w:val="24"/>
          <w:szCs w:val="24"/>
        </w:rPr>
        <w:t>Opvarm både solvens og pulver i uåbnede hætteglas til stue- eller kropstemperatur (ikke over 37 °C).</w:t>
      </w:r>
    </w:p>
    <w:p w14:paraId="7C2D5087"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r w:rsidRPr="005D442F">
        <w:rPr>
          <w:sz w:val="24"/>
          <w:szCs w:val="24"/>
        </w:rPr>
        <w:t>Rekonstituer opløsningen ved at opløse pulveret i vand til injektionsvæsker (100 ml, ikke vedlagt).</w:t>
      </w:r>
    </w:p>
    <w:p w14:paraId="71775210"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bookmarkStart w:id="27" w:name="_Hlk27648538"/>
      <w:r w:rsidRPr="005D442F">
        <w:rPr>
          <w:sz w:val="24"/>
          <w:szCs w:val="24"/>
        </w:rPr>
        <w:t>Vask hænder, eller tag handsker på inden rekonstitution af præparatet.</w:t>
      </w:r>
    </w:p>
    <w:bookmarkEnd w:id="27"/>
    <w:p w14:paraId="099415F2"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r w:rsidRPr="005D442F">
        <w:rPr>
          <w:sz w:val="24"/>
          <w:szCs w:val="24"/>
        </w:rPr>
        <w:t>Tag låget af hætteglasset med Riastap, så den centrale del af infusionsproppen blotlægges.</w:t>
      </w:r>
    </w:p>
    <w:p w14:paraId="111A8835"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r w:rsidRPr="005D442F">
        <w:rPr>
          <w:sz w:val="24"/>
          <w:szCs w:val="24"/>
        </w:rPr>
        <w:t>Rens proppen med en aseptisk opløsning og lad den tørre.</w:t>
      </w:r>
    </w:p>
    <w:p w14:paraId="41E821EF"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r w:rsidRPr="005D442F">
        <w:rPr>
          <w:sz w:val="24"/>
          <w:szCs w:val="24"/>
        </w:rPr>
        <w:t>Overfør solvensen til hætteglasset ved hjælp af egnet overførselsudstyr. Sørg for, at al pulveret gennemvædes.</w:t>
      </w:r>
    </w:p>
    <w:p w14:paraId="016AAF03"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r w:rsidRPr="005D442F">
        <w:rPr>
          <w:sz w:val="24"/>
          <w:szCs w:val="24"/>
        </w:rPr>
        <w:t>Vip forsigtigt hætteglasset, indtil pulveret er opløst, og opløsningen er klar til brug. Hætteglasset må ikke rystes kraftigt, så der dannes skum. Pulveret opløses normalt i løbet af 5 minutter. Det bør ikke tage længere end 15 minutter, før det er helt opløst.</w:t>
      </w:r>
    </w:p>
    <w:p w14:paraId="74C8A9C1"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bookmarkStart w:id="28" w:name="_Hlk27648610"/>
      <w:r w:rsidRPr="005D442F">
        <w:rPr>
          <w:sz w:val="24"/>
          <w:szCs w:val="24"/>
        </w:rPr>
        <w:t>Åbn blisterpakningen af plast, der indeholder optrækningsspiken (Mini-Spike</w:t>
      </w:r>
      <w:r w:rsidRPr="005D442F">
        <w:rPr>
          <w:sz w:val="24"/>
          <w:szCs w:val="24"/>
          <w:vertAlign w:val="superscript"/>
        </w:rPr>
        <w:t xml:space="preserve">® </w:t>
      </w:r>
      <w:r w:rsidRPr="005D442F">
        <w:rPr>
          <w:sz w:val="24"/>
          <w:szCs w:val="24"/>
        </w:rPr>
        <w:t>optrækningsspike), der følger med Riastap (figur 2).</w:t>
      </w:r>
    </w:p>
    <w:p w14:paraId="51253CA3" w14:textId="77777777" w:rsidR="005D442F" w:rsidRPr="005D442F" w:rsidRDefault="005D442F" w:rsidP="005D442F">
      <w:pPr>
        <w:tabs>
          <w:tab w:val="left" w:pos="851"/>
        </w:tabs>
        <w:ind w:left="851"/>
        <w:rPr>
          <w:sz w:val="24"/>
          <w:szCs w:val="24"/>
        </w:rPr>
      </w:pPr>
    </w:p>
    <w:p w14:paraId="1CDDE96E" w14:textId="77777777" w:rsidR="00CC0DAC" w:rsidRDefault="005D442F" w:rsidP="005D442F">
      <w:pPr>
        <w:tabs>
          <w:tab w:val="left" w:pos="851"/>
        </w:tabs>
        <w:ind w:left="851"/>
        <w:rPr>
          <w:sz w:val="24"/>
          <w:szCs w:val="24"/>
        </w:rPr>
      </w:pPr>
      <w:r w:rsidRPr="005D442F">
        <w:rPr>
          <w:noProof/>
          <w:sz w:val="24"/>
          <w:szCs w:val="24"/>
        </w:rPr>
        <w:drawing>
          <wp:inline distT="0" distB="0" distL="0" distR="0" wp14:anchorId="495D4743" wp14:editId="09A50B50">
            <wp:extent cx="1066800" cy="882650"/>
            <wp:effectExtent l="0" t="0" r="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882650"/>
                    </a:xfrm>
                    <a:prstGeom prst="rect">
                      <a:avLst/>
                    </a:prstGeom>
                    <a:noFill/>
                    <a:ln>
                      <a:noFill/>
                    </a:ln>
                  </pic:spPr>
                </pic:pic>
              </a:graphicData>
            </a:graphic>
          </wp:inline>
        </w:drawing>
      </w:r>
      <w:r w:rsidRPr="005D442F">
        <w:rPr>
          <w:sz w:val="24"/>
          <w:szCs w:val="24"/>
        </w:rPr>
        <w:t xml:space="preserve"> </w:t>
      </w:r>
    </w:p>
    <w:p w14:paraId="1C941168" w14:textId="26DA3988" w:rsidR="005D442F" w:rsidRPr="005D442F" w:rsidRDefault="005D442F" w:rsidP="005D442F">
      <w:pPr>
        <w:tabs>
          <w:tab w:val="left" w:pos="851"/>
        </w:tabs>
        <w:ind w:left="851"/>
        <w:rPr>
          <w:sz w:val="24"/>
          <w:szCs w:val="24"/>
        </w:rPr>
      </w:pPr>
      <w:r w:rsidRPr="005D442F">
        <w:rPr>
          <w:sz w:val="24"/>
          <w:szCs w:val="24"/>
        </w:rPr>
        <w:t>Figur 2</w:t>
      </w:r>
    </w:p>
    <w:p w14:paraId="7453317E" w14:textId="4EC370F0" w:rsidR="00A661D8" w:rsidRDefault="00A661D8">
      <w:pPr>
        <w:rPr>
          <w:sz w:val="24"/>
          <w:szCs w:val="24"/>
        </w:rPr>
      </w:pPr>
      <w:r>
        <w:rPr>
          <w:sz w:val="24"/>
          <w:szCs w:val="24"/>
        </w:rPr>
        <w:br w:type="page"/>
      </w:r>
    </w:p>
    <w:p w14:paraId="3AD08081" w14:textId="77777777" w:rsidR="005D442F" w:rsidRPr="005D442F" w:rsidRDefault="005D442F" w:rsidP="005D442F">
      <w:pPr>
        <w:tabs>
          <w:tab w:val="left" w:pos="851"/>
        </w:tabs>
        <w:ind w:left="851"/>
        <w:rPr>
          <w:sz w:val="24"/>
          <w:szCs w:val="24"/>
        </w:rPr>
      </w:pPr>
    </w:p>
    <w:p w14:paraId="1B8DBF46"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r w:rsidRPr="005D442F">
        <w:rPr>
          <w:sz w:val="24"/>
          <w:szCs w:val="24"/>
        </w:rPr>
        <w:t>Tag den medfølgende optrækningsspike ud, og sæt den i proppen på hætteglasset med det rekonstituerede præparat (figur 3).</w:t>
      </w:r>
    </w:p>
    <w:p w14:paraId="2FD2DCE2" w14:textId="77777777" w:rsidR="005D442F" w:rsidRPr="005D442F" w:rsidRDefault="005D442F" w:rsidP="005D442F">
      <w:pPr>
        <w:tabs>
          <w:tab w:val="left" w:pos="851"/>
        </w:tabs>
        <w:ind w:left="851"/>
        <w:rPr>
          <w:sz w:val="24"/>
          <w:szCs w:val="24"/>
        </w:rPr>
      </w:pPr>
    </w:p>
    <w:p w14:paraId="216E0D4A" w14:textId="77777777" w:rsidR="00CC0DAC" w:rsidRDefault="005D442F" w:rsidP="005D442F">
      <w:pPr>
        <w:tabs>
          <w:tab w:val="left" w:pos="851"/>
        </w:tabs>
        <w:ind w:left="851"/>
        <w:rPr>
          <w:sz w:val="24"/>
          <w:szCs w:val="24"/>
        </w:rPr>
      </w:pPr>
      <w:r w:rsidRPr="005D442F">
        <w:rPr>
          <w:noProof/>
          <w:sz w:val="24"/>
          <w:szCs w:val="24"/>
        </w:rPr>
        <w:drawing>
          <wp:inline distT="0" distB="0" distL="0" distR="0" wp14:anchorId="1A83C164" wp14:editId="4A4C3584">
            <wp:extent cx="876300" cy="1244600"/>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1244600"/>
                    </a:xfrm>
                    <a:prstGeom prst="rect">
                      <a:avLst/>
                    </a:prstGeom>
                    <a:noFill/>
                    <a:ln>
                      <a:noFill/>
                    </a:ln>
                  </pic:spPr>
                </pic:pic>
              </a:graphicData>
            </a:graphic>
          </wp:inline>
        </w:drawing>
      </w:r>
    </w:p>
    <w:p w14:paraId="47708AEA" w14:textId="0850DE55" w:rsidR="005D442F" w:rsidRPr="005D442F" w:rsidRDefault="005D442F" w:rsidP="005D442F">
      <w:pPr>
        <w:tabs>
          <w:tab w:val="left" w:pos="851"/>
        </w:tabs>
        <w:ind w:left="851"/>
        <w:rPr>
          <w:sz w:val="24"/>
          <w:szCs w:val="24"/>
        </w:rPr>
      </w:pPr>
      <w:r w:rsidRPr="005D442F">
        <w:rPr>
          <w:sz w:val="24"/>
          <w:szCs w:val="24"/>
        </w:rPr>
        <w:t>Figur 3</w:t>
      </w:r>
    </w:p>
    <w:p w14:paraId="438E116B" w14:textId="77777777" w:rsidR="005D442F" w:rsidRPr="005D442F" w:rsidRDefault="005D442F" w:rsidP="005D442F">
      <w:pPr>
        <w:tabs>
          <w:tab w:val="left" w:pos="851"/>
        </w:tabs>
        <w:ind w:left="851"/>
        <w:rPr>
          <w:sz w:val="24"/>
          <w:szCs w:val="24"/>
        </w:rPr>
      </w:pPr>
    </w:p>
    <w:p w14:paraId="3C3F0A9E"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r w:rsidRPr="005D442F">
        <w:rPr>
          <w:sz w:val="24"/>
          <w:szCs w:val="24"/>
        </w:rPr>
        <w:t>Efter indføring af optrækningsspiken fjernes hætten. Undlad at berøre den blotlagte overflade efter fjernelse af hætten.</w:t>
      </w:r>
    </w:p>
    <w:p w14:paraId="59871395"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r w:rsidRPr="005D442F">
        <w:rPr>
          <w:sz w:val="24"/>
          <w:szCs w:val="24"/>
        </w:rPr>
        <w:t>Åbn blisterpakningen med filteret (Pall</w:t>
      </w:r>
      <w:r w:rsidRPr="005D442F">
        <w:rPr>
          <w:sz w:val="24"/>
          <w:szCs w:val="24"/>
          <w:vertAlign w:val="superscript"/>
        </w:rPr>
        <w:t xml:space="preserve">® </w:t>
      </w:r>
      <w:r w:rsidRPr="005D442F">
        <w:rPr>
          <w:sz w:val="24"/>
          <w:szCs w:val="24"/>
        </w:rPr>
        <w:t>sprøjtefilter), der følger med Riastap (figur 4).</w:t>
      </w:r>
    </w:p>
    <w:p w14:paraId="2E072035" w14:textId="77777777" w:rsidR="005D442F" w:rsidRPr="005D442F" w:rsidRDefault="005D442F" w:rsidP="005D442F">
      <w:pPr>
        <w:tabs>
          <w:tab w:val="left" w:pos="851"/>
        </w:tabs>
        <w:ind w:left="851"/>
        <w:rPr>
          <w:sz w:val="24"/>
          <w:szCs w:val="24"/>
        </w:rPr>
      </w:pPr>
    </w:p>
    <w:p w14:paraId="31623C8E" w14:textId="77777777" w:rsidR="00CC0DAC" w:rsidRDefault="005D442F" w:rsidP="005D442F">
      <w:pPr>
        <w:tabs>
          <w:tab w:val="left" w:pos="851"/>
        </w:tabs>
        <w:ind w:left="851"/>
        <w:rPr>
          <w:sz w:val="24"/>
          <w:szCs w:val="24"/>
        </w:rPr>
      </w:pPr>
      <w:r w:rsidRPr="005D442F">
        <w:rPr>
          <w:noProof/>
          <w:sz w:val="24"/>
          <w:szCs w:val="24"/>
        </w:rPr>
        <w:drawing>
          <wp:inline distT="0" distB="0" distL="0" distR="0" wp14:anchorId="4B9EC9F5" wp14:editId="52BE76D5">
            <wp:extent cx="1066800" cy="869950"/>
            <wp:effectExtent l="0" t="0" r="0" b="6350"/>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869950"/>
                    </a:xfrm>
                    <a:prstGeom prst="rect">
                      <a:avLst/>
                    </a:prstGeom>
                    <a:noFill/>
                    <a:ln>
                      <a:noFill/>
                    </a:ln>
                  </pic:spPr>
                </pic:pic>
              </a:graphicData>
            </a:graphic>
          </wp:inline>
        </w:drawing>
      </w:r>
      <w:r w:rsidRPr="005D442F">
        <w:rPr>
          <w:sz w:val="24"/>
          <w:szCs w:val="24"/>
        </w:rPr>
        <w:t xml:space="preserve"> </w:t>
      </w:r>
    </w:p>
    <w:p w14:paraId="626B6C5D" w14:textId="1600A262" w:rsidR="005D442F" w:rsidRPr="005D442F" w:rsidRDefault="005D442F" w:rsidP="005D442F">
      <w:pPr>
        <w:tabs>
          <w:tab w:val="left" w:pos="851"/>
        </w:tabs>
        <w:ind w:left="851"/>
        <w:rPr>
          <w:sz w:val="24"/>
          <w:szCs w:val="24"/>
        </w:rPr>
      </w:pPr>
      <w:r w:rsidRPr="005D442F">
        <w:rPr>
          <w:sz w:val="24"/>
          <w:szCs w:val="24"/>
        </w:rPr>
        <w:t>Figur 4</w:t>
      </w:r>
    </w:p>
    <w:p w14:paraId="4E292731" w14:textId="77777777" w:rsidR="005D442F" w:rsidRPr="005D442F" w:rsidRDefault="005D442F" w:rsidP="005D442F">
      <w:pPr>
        <w:tabs>
          <w:tab w:val="left" w:pos="851"/>
        </w:tabs>
        <w:ind w:left="851"/>
        <w:rPr>
          <w:sz w:val="24"/>
          <w:szCs w:val="24"/>
        </w:rPr>
      </w:pPr>
    </w:p>
    <w:p w14:paraId="1BD162DD"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r w:rsidRPr="005D442F">
        <w:rPr>
          <w:sz w:val="24"/>
          <w:szCs w:val="24"/>
        </w:rPr>
        <w:t>Skru sprøjten på filteret (figur 5).</w:t>
      </w:r>
    </w:p>
    <w:p w14:paraId="4ACA6684" w14:textId="77777777" w:rsidR="005D442F" w:rsidRPr="005D442F" w:rsidRDefault="005D442F" w:rsidP="005D442F">
      <w:pPr>
        <w:tabs>
          <w:tab w:val="left" w:pos="851"/>
        </w:tabs>
        <w:ind w:left="851"/>
        <w:rPr>
          <w:sz w:val="24"/>
          <w:szCs w:val="24"/>
        </w:rPr>
      </w:pPr>
    </w:p>
    <w:p w14:paraId="150D6058" w14:textId="77777777" w:rsidR="00CC0DAC" w:rsidRDefault="005D442F" w:rsidP="005D442F">
      <w:pPr>
        <w:tabs>
          <w:tab w:val="left" w:pos="851"/>
        </w:tabs>
        <w:ind w:left="851"/>
        <w:rPr>
          <w:sz w:val="24"/>
          <w:szCs w:val="24"/>
        </w:rPr>
      </w:pPr>
      <w:r w:rsidRPr="005D442F">
        <w:rPr>
          <w:noProof/>
          <w:sz w:val="24"/>
          <w:szCs w:val="24"/>
        </w:rPr>
        <w:drawing>
          <wp:inline distT="0" distB="0" distL="0" distR="0" wp14:anchorId="25B6916D" wp14:editId="449C769B">
            <wp:extent cx="876300" cy="1238250"/>
            <wp:effectExtent l="0" t="0" r="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6300" cy="1238250"/>
                    </a:xfrm>
                    <a:prstGeom prst="rect">
                      <a:avLst/>
                    </a:prstGeom>
                    <a:noFill/>
                    <a:ln>
                      <a:noFill/>
                    </a:ln>
                  </pic:spPr>
                </pic:pic>
              </a:graphicData>
            </a:graphic>
          </wp:inline>
        </w:drawing>
      </w:r>
      <w:r w:rsidRPr="005D442F">
        <w:rPr>
          <w:sz w:val="24"/>
          <w:szCs w:val="24"/>
        </w:rPr>
        <w:t xml:space="preserve"> </w:t>
      </w:r>
    </w:p>
    <w:p w14:paraId="51CBB290" w14:textId="20B9DAD8" w:rsidR="005D442F" w:rsidRPr="005D442F" w:rsidRDefault="005D442F" w:rsidP="005D442F">
      <w:pPr>
        <w:tabs>
          <w:tab w:val="left" w:pos="851"/>
        </w:tabs>
        <w:ind w:left="851"/>
        <w:rPr>
          <w:sz w:val="24"/>
          <w:szCs w:val="24"/>
        </w:rPr>
      </w:pPr>
      <w:r w:rsidRPr="005D442F">
        <w:rPr>
          <w:sz w:val="24"/>
          <w:szCs w:val="24"/>
        </w:rPr>
        <w:t>Figur 5</w:t>
      </w:r>
    </w:p>
    <w:p w14:paraId="0E8E2BA3" w14:textId="77777777" w:rsidR="005D442F" w:rsidRPr="005D442F" w:rsidRDefault="005D442F" w:rsidP="005D442F">
      <w:pPr>
        <w:tabs>
          <w:tab w:val="left" w:pos="851"/>
        </w:tabs>
        <w:ind w:left="851"/>
        <w:rPr>
          <w:sz w:val="24"/>
          <w:szCs w:val="24"/>
        </w:rPr>
      </w:pPr>
    </w:p>
    <w:p w14:paraId="7F2CC036"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r w:rsidRPr="005D442F">
        <w:rPr>
          <w:sz w:val="24"/>
          <w:szCs w:val="24"/>
        </w:rPr>
        <w:t>Skru sprøjten med påsat filter på optrækningsspiken (figur 6).</w:t>
      </w:r>
    </w:p>
    <w:p w14:paraId="72D6DA11" w14:textId="77777777" w:rsidR="005D442F" w:rsidRPr="005D442F" w:rsidRDefault="005D442F" w:rsidP="005D442F">
      <w:pPr>
        <w:tabs>
          <w:tab w:val="left" w:pos="851"/>
        </w:tabs>
        <w:ind w:left="851"/>
        <w:rPr>
          <w:sz w:val="24"/>
          <w:szCs w:val="24"/>
        </w:rPr>
      </w:pPr>
    </w:p>
    <w:p w14:paraId="56355471" w14:textId="77777777" w:rsidR="00CC0DAC" w:rsidRDefault="005D442F" w:rsidP="005D442F">
      <w:pPr>
        <w:tabs>
          <w:tab w:val="left" w:pos="851"/>
        </w:tabs>
        <w:ind w:left="851"/>
        <w:rPr>
          <w:sz w:val="24"/>
          <w:szCs w:val="24"/>
        </w:rPr>
      </w:pPr>
      <w:r w:rsidRPr="005D442F">
        <w:rPr>
          <w:noProof/>
          <w:sz w:val="24"/>
          <w:szCs w:val="24"/>
        </w:rPr>
        <w:drawing>
          <wp:inline distT="0" distB="0" distL="0" distR="0" wp14:anchorId="67F5B8C5" wp14:editId="1561CBE6">
            <wp:extent cx="558800" cy="1244600"/>
            <wp:effectExtent l="0" t="0" r="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800" cy="1244600"/>
                    </a:xfrm>
                    <a:prstGeom prst="rect">
                      <a:avLst/>
                    </a:prstGeom>
                    <a:noFill/>
                    <a:ln>
                      <a:noFill/>
                    </a:ln>
                  </pic:spPr>
                </pic:pic>
              </a:graphicData>
            </a:graphic>
          </wp:inline>
        </w:drawing>
      </w:r>
      <w:r w:rsidRPr="005D442F">
        <w:rPr>
          <w:sz w:val="24"/>
          <w:szCs w:val="24"/>
        </w:rPr>
        <w:t xml:space="preserve"> </w:t>
      </w:r>
    </w:p>
    <w:p w14:paraId="3778A128" w14:textId="3D35DB92" w:rsidR="005D442F" w:rsidRPr="005D442F" w:rsidRDefault="005D442F" w:rsidP="005D442F">
      <w:pPr>
        <w:tabs>
          <w:tab w:val="left" w:pos="851"/>
        </w:tabs>
        <w:ind w:left="851"/>
        <w:rPr>
          <w:sz w:val="24"/>
          <w:szCs w:val="24"/>
        </w:rPr>
      </w:pPr>
      <w:r w:rsidRPr="005D442F">
        <w:rPr>
          <w:sz w:val="24"/>
          <w:szCs w:val="24"/>
        </w:rPr>
        <w:t>Figur 6</w:t>
      </w:r>
    </w:p>
    <w:p w14:paraId="29CB536C" w14:textId="56F55C2D" w:rsidR="00CC0DAC" w:rsidRDefault="00CC0DAC">
      <w:pPr>
        <w:rPr>
          <w:sz w:val="24"/>
          <w:szCs w:val="24"/>
        </w:rPr>
      </w:pPr>
      <w:r>
        <w:rPr>
          <w:sz w:val="24"/>
          <w:szCs w:val="24"/>
        </w:rPr>
        <w:br w:type="page"/>
      </w:r>
    </w:p>
    <w:p w14:paraId="1DDDFE1F" w14:textId="77777777" w:rsidR="005D442F" w:rsidRPr="005D442F" w:rsidRDefault="005D442F" w:rsidP="005D442F">
      <w:pPr>
        <w:tabs>
          <w:tab w:val="left" w:pos="851"/>
        </w:tabs>
        <w:ind w:left="851"/>
        <w:rPr>
          <w:sz w:val="24"/>
          <w:szCs w:val="24"/>
        </w:rPr>
      </w:pPr>
    </w:p>
    <w:p w14:paraId="784C328B"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r w:rsidRPr="005D442F">
        <w:rPr>
          <w:sz w:val="24"/>
          <w:szCs w:val="24"/>
        </w:rPr>
        <w:t>Træk det rekonstituerede præparat op i sprøjten (figur 7).</w:t>
      </w:r>
    </w:p>
    <w:p w14:paraId="7D64F941" w14:textId="77777777" w:rsidR="005D442F" w:rsidRPr="005D442F" w:rsidRDefault="005D442F" w:rsidP="005D442F">
      <w:pPr>
        <w:tabs>
          <w:tab w:val="left" w:pos="851"/>
        </w:tabs>
        <w:ind w:left="851"/>
        <w:rPr>
          <w:sz w:val="24"/>
          <w:szCs w:val="24"/>
        </w:rPr>
      </w:pPr>
    </w:p>
    <w:p w14:paraId="5DC5C56B" w14:textId="77777777" w:rsidR="00CC0DAC" w:rsidRDefault="005D442F" w:rsidP="005D442F">
      <w:pPr>
        <w:tabs>
          <w:tab w:val="left" w:pos="851"/>
        </w:tabs>
        <w:ind w:left="851"/>
        <w:rPr>
          <w:sz w:val="24"/>
          <w:szCs w:val="24"/>
        </w:rPr>
      </w:pPr>
      <w:r w:rsidRPr="005D442F">
        <w:rPr>
          <w:noProof/>
          <w:sz w:val="24"/>
          <w:szCs w:val="24"/>
        </w:rPr>
        <w:drawing>
          <wp:inline distT="0" distB="0" distL="0" distR="0" wp14:anchorId="58BE43EB" wp14:editId="3030B392">
            <wp:extent cx="635000" cy="1244600"/>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5000" cy="1244600"/>
                    </a:xfrm>
                    <a:prstGeom prst="rect">
                      <a:avLst/>
                    </a:prstGeom>
                    <a:noFill/>
                    <a:ln>
                      <a:noFill/>
                    </a:ln>
                  </pic:spPr>
                </pic:pic>
              </a:graphicData>
            </a:graphic>
          </wp:inline>
        </w:drawing>
      </w:r>
      <w:r w:rsidRPr="005D442F">
        <w:rPr>
          <w:sz w:val="24"/>
          <w:szCs w:val="24"/>
        </w:rPr>
        <w:t xml:space="preserve"> </w:t>
      </w:r>
    </w:p>
    <w:p w14:paraId="25BB3A89" w14:textId="686AA195" w:rsidR="005D442F" w:rsidRPr="005D442F" w:rsidRDefault="005D442F" w:rsidP="005D442F">
      <w:pPr>
        <w:tabs>
          <w:tab w:val="left" w:pos="851"/>
        </w:tabs>
        <w:ind w:left="851"/>
        <w:rPr>
          <w:sz w:val="24"/>
          <w:szCs w:val="24"/>
        </w:rPr>
      </w:pPr>
      <w:r w:rsidRPr="005D442F">
        <w:rPr>
          <w:sz w:val="24"/>
          <w:szCs w:val="24"/>
        </w:rPr>
        <w:t>Figur 7</w:t>
      </w:r>
    </w:p>
    <w:p w14:paraId="1AC1606E" w14:textId="77777777" w:rsidR="005D442F" w:rsidRPr="005D442F" w:rsidRDefault="005D442F" w:rsidP="005D442F">
      <w:pPr>
        <w:tabs>
          <w:tab w:val="left" w:pos="851"/>
        </w:tabs>
        <w:ind w:left="851"/>
        <w:rPr>
          <w:sz w:val="24"/>
          <w:szCs w:val="24"/>
        </w:rPr>
      </w:pPr>
    </w:p>
    <w:p w14:paraId="079D1A74"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r w:rsidRPr="005D442F">
        <w:rPr>
          <w:sz w:val="24"/>
          <w:szCs w:val="24"/>
        </w:rPr>
        <w:t xml:space="preserve">Når det er gjort, skal </w:t>
      </w:r>
      <w:r w:rsidRPr="005D442F">
        <w:rPr>
          <w:b/>
          <w:bCs/>
          <w:sz w:val="24"/>
          <w:szCs w:val="24"/>
        </w:rPr>
        <w:t>filteret, optrækningsspiken og det tomme hætteglas fjernes fra sprøjten</w:t>
      </w:r>
      <w:r w:rsidRPr="005D442F">
        <w:rPr>
          <w:sz w:val="24"/>
          <w:szCs w:val="24"/>
        </w:rPr>
        <w:t xml:space="preserve"> og bortskaffes på behørig vis, hvorefter præparatet indgives som sædvanlig. </w:t>
      </w:r>
    </w:p>
    <w:bookmarkEnd w:id="28"/>
    <w:p w14:paraId="310C9A5A"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r w:rsidRPr="005D442F">
        <w:rPr>
          <w:sz w:val="24"/>
          <w:szCs w:val="24"/>
        </w:rPr>
        <w:t xml:space="preserve">Efter rekonstitution skal Riastap indgives med det samme som injektion / infusion via en separat infusionsslange. </w:t>
      </w:r>
    </w:p>
    <w:p w14:paraId="4B8A29BD" w14:textId="77777777" w:rsidR="005D442F" w:rsidRPr="005D442F" w:rsidRDefault="005D442F" w:rsidP="00172DE8">
      <w:pPr>
        <w:numPr>
          <w:ilvl w:val="0"/>
          <w:numId w:val="9"/>
        </w:numPr>
        <w:tabs>
          <w:tab w:val="clear" w:pos="1287"/>
          <w:tab w:val="left" w:pos="851"/>
          <w:tab w:val="left" w:pos="1304"/>
        </w:tabs>
        <w:ind w:left="1134" w:hanging="283"/>
        <w:rPr>
          <w:sz w:val="24"/>
          <w:szCs w:val="24"/>
        </w:rPr>
      </w:pPr>
      <w:r w:rsidRPr="005D442F">
        <w:rPr>
          <w:sz w:val="24"/>
          <w:szCs w:val="24"/>
        </w:rPr>
        <w:t>Undgå, at der kommer blod op i sprøjter med lægemidlet.</w:t>
      </w:r>
    </w:p>
    <w:p w14:paraId="0E701699" w14:textId="77777777" w:rsidR="005D442F" w:rsidRPr="005D442F" w:rsidRDefault="005D442F" w:rsidP="005D442F">
      <w:pPr>
        <w:tabs>
          <w:tab w:val="left" w:pos="851"/>
        </w:tabs>
        <w:ind w:left="851"/>
        <w:rPr>
          <w:sz w:val="24"/>
          <w:szCs w:val="24"/>
        </w:rPr>
      </w:pPr>
    </w:p>
    <w:p w14:paraId="7D1FA460" w14:textId="77777777" w:rsidR="005D442F" w:rsidRPr="005D442F" w:rsidRDefault="005D442F" w:rsidP="005D442F">
      <w:pPr>
        <w:tabs>
          <w:tab w:val="left" w:pos="851"/>
        </w:tabs>
        <w:ind w:left="851"/>
        <w:rPr>
          <w:sz w:val="24"/>
          <w:szCs w:val="24"/>
        </w:rPr>
      </w:pPr>
      <w:r w:rsidRPr="005D442F">
        <w:rPr>
          <w:sz w:val="24"/>
          <w:szCs w:val="24"/>
        </w:rPr>
        <w:t>Ikke anvendte lægemidler samt affald heraf bør destrueres i henhold til lokale retningslinjer.</w:t>
      </w:r>
    </w:p>
    <w:p w14:paraId="78EFD3C4" w14:textId="77777777" w:rsidR="009260DE" w:rsidRPr="00C84483" w:rsidRDefault="009260DE" w:rsidP="000730CA">
      <w:pPr>
        <w:tabs>
          <w:tab w:val="left" w:pos="851"/>
        </w:tabs>
        <w:ind w:left="851"/>
        <w:rPr>
          <w:sz w:val="24"/>
          <w:szCs w:val="24"/>
        </w:rPr>
      </w:pPr>
    </w:p>
    <w:p w14:paraId="239C0210"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63B69E62" w14:textId="77777777" w:rsidR="00CC0DAC" w:rsidRPr="00CC0DAC" w:rsidRDefault="00CC0DAC" w:rsidP="00CC0DAC">
      <w:pPr>
        <w:tabs>
          <w:tab w:val="left" w:pos="851"/>
        </w:tabs>
        <w:ind w:left="851"/>
        <w:rPr>
          <w:sz w:val="24"/>
          <w:szCs w:val="24"/>
        </w:rPr>
      </w:pPr>
      <w:r w:rsidRPr="00CC0DAC">
        <w:rPr>
          <w:sz w:val="24"/>
          <w:szCs w:val="24"/>
        </w:rPr>
        <w:t>CSL Behring GmbH</w:t>
      </w:r>
    </w:p>
    <w:p w14:paraId="6FE713A1" w14:textId="77777777" w:rsidR="00CC0DAC" w:rsidRPr="00CC0DAC" w:rsidRDefault="00CC0DAC" w:rsidP="00CC0DAC">
      <w:pPr>
        <w:tabs>
          <w:tab w:val="left" w:pos="851"/>
        </w:tabs>
        <w:ind w:left="851"/>
        <w:rPr>
          <w:sz w:val="24"/>
          <w:szCs w:val="24"/>
          <w:lang w:val="sv-SE"/>
        </w:rPr>
      </w:pPr>
      <w:r w:rsidRPr="00CC0DAC">
        <w:rPr>
          <w:sz w:val="24"/>
          <w:szCs w:val="24"/>
          <w:lang w:val="sv-SE"/>
        </w:rPr>
        <w:t>Emil-von-Behring-Str. 76</w:t>
      </w:r>
    </w:p>
    <w:p w14:paraId="0EE8F543" w14:textId="77777777" w:rsidR="00CC0DAC" w:rsidRPr="00CC0DAC" w:rsidRDefault="00CC0DAC" w:rsidP="00CC0DAC">
      <w:pPr>
        <w:tabs>
          <w:tab w:val="left" w:pos="851"/>
        </w:tabs>
        <w:ind w:left="851"/>
        <w:rPr>
          <w:sz w:val="24"/>
          <w:szCs w:val="24"/>
          <w:lang w:val="sv-SE"/>
        </w:rPr>
      </w:pPr>
      <w:r w:rsidRPr="00CC0DAC">
        <w:rPr>
          <w:sz w:val="24"/>
          <w:szCs w:val="24"/>
          <w:lang w:val="sv-SE"/>
        </w:rPr>
        <w:t>35041 Marburg</w:t>
      </w:r>
    </w:p>
    <w:p w14:paraId="1A15C2DD" w14:textId="77777777" w:rsidR="00CC0DAC" w:rsidRPr="00CC0DAC" w:rsidRDefault="00CC0DAC" w:rsidP="00CC0DAC">
      <w:pPr>
        <w:tabs>
          <w:tab w:val="left" w:pos="851"/>
        </w:tabs>
        <w:ind w:left="851"/>
        <w:rPr>
          <w:sz w:val="24"/>
          <w:szCs w:val="24"/>
          <w:lang w:val="sv-SE"/>
        </w:rPr>
      </w:pPr>
      <w:r w:rsidRPr="00CC0DAC">
        <w:rPr>
          <w:sz w:val="24"/>
          <w:szCs w:val="24"/>
          <w:lang w:val="sv-SE"/>
        </w:rPr>
        <w:t>Tyskland</w:t>
      </w:r>
    </w:p>
    <w:p w14:paraId="4FE1629D" w14:textId="77777777" w:rsidR="00CC0DAC" w:rsidRPr="00CC0DAC" w:rsidRDefault="00CC0DAC" w:rsidP="00CC0DAC">
      <w:pPr>
        <w:tabs>
          <w:tab w:val="left" w:pos="851"/>
        </w:tabs>
        <w:ind w:left="851"/>
        <w:rPr>
          <w:sz w:val="24"/>
          <w:szCs w:val="24"/>
          <w:lang w:val="sv-SE"/>
        </w:rPr>
      </w:pPr>
    </w:p>
    <w:p w14:paraId="14910212" w14:textId="77777777" w:rsidR="00CC0DAC" w:rsidRPr="007313D1" w:rsidRDefault="00CC0DAC" w:rsidP="00CC0DAC">
      <w:pPr>
        <w:tabs>
          <w:tab w:val="left" w:pos="851"/>
        </w:tabs>
        <w:ind w:left="851"/>
        <w:rPr>
          <w:b/>
          <w:sz w:val="24"/>
          <w:szCs w:val="24"/>
        </w:rPr>
      </w:pPr>
      <w:r w:rsidRPr="007313D1">
        <w:rPr>
          <w:b/>
          <w:sz w:val="24"/>
          <w:szCs w:val="24"/>
        </w:rPr>
        <w:t>Repræsentant</w:t>
      </w:r>
    </w:p>
    <w:p w14:paraId="1A0928A2" w14:textId="77777777" w:rsidR="00CC0DAC" w:rsidRPr="007313D1" w:rsidRDefault="00CC0DAC" w:rsidP="00CC0DAC">
      <w:pPr>
        <w:tabs>
          <w:tab w:val="left" w:pos="851"/>
        </w:tabs>
        <w:ind w:left="851"/>
        <w:rPr>
          <w:sz w:val="24"/>
          <w:szCs w:val="24"/>
        </w:rPr>
      </w:pPr>
      <w:r w:rsidRPr="007313D1">
        <w:rPr>
          <w:sz w:val="24"/>
          <w:szCs w:val="24"/>
        </w:rPr>
        <w:t>CSL Behring AB</w:t>
      </w:r>
    </w:p>
    <w:p w14:paraId="043F3572" w14:textId="77777777" w:rsidR="00CC0DAC" w:rsidRPr="00CC0DAC" w:rsidRDefault="00CC0DAC" w:rsidP="00CC0DAC">
      <w:pPr>
        <w:tabs>
          <w:tab w:val="left" w:pos="851"/>
        </w:tabs>
        <w:ind w:left="851"/>
        <w:rPr>
          <w:sz w:val="24"/>
          <w:szCs w:val="24"/>
        </w:rPr>
      </w:pPr>
      <w:r w:rsidRPr="00CC0DAC">
        <w:rPr>
          <w:sz w:val="24"/>
          <w:szCs w:val="24"/>
        </w:rPr>
        <w:t>P.O. Box 712</w:t>
      </w:r>
    </w:p>
    <w:p w14:paraId="07F20300" w14:textId="77777777" w:rsidR="00CC0DAC" w:rsidRPr="00CC0DAC" w:rsidRDefault="00CC0DAC" w:rsidP="00CC0DAC">
      <w:pPr>
        <w:tabs>
          <w:tab w:val="left" w:pos="851"/>
        </w:tabs>
        <w:ind w:left="851"/>
        <w:rPr>
          <w:sz w:val="24"/>
          <w:szCs w:val="24"/>
        </w:rPr>
      </w:pPr>
      <w:r w:rsidRPr="00CC0DAC">
        <w:rPr>
          <w:sz w:val="24"/>
          <w:szCs w:val="24"/>
        </w:rPr>
        <w:t>182 17 Danderyd</w:t>
      </w:r>
    </w:p>
    <w:p w14:paraId="6A69CD65" w14:textId="77777777" w:rsidR="00CC0DAC" w:rsidRPr="00CC0DAC" w:rsidRDefault="00CC0DAC" w:rsidP="00CC0DAC">
      <w:pPr>
        <w:tabs>
          <w:tab w:val="left" w:pos="851"/>
        </w:tabs>
        <w:ind w:left="851"/>
        <w:rPr>
          <w:sz w:val="24"/>
          <w:szCs w:val="24"/>
        </w:rPr>
      </w:pPr>
      <w:r w:rsidRPr="00CC0DAC">
        <w:rPr>
          <w:sz w:val="24"/>
          <w:szCs w:val="24"/>
        </w:rPr>
        <w:t>Sverige</w:t>
      </w:r>
    </w:p>
    <w:p w14:paraId="4BA7F215" w14:textId="77777777" w:rsidR="00641C65" w:rsidRPr="00641C65" w:rsidRDefault="00641C65" w:rsidP="009260DE">
      <w:pPr>
        <w:tabs>
          <w:tab w:val="left" w:pos="851"/>
        </w:tabs>
        <w:ind w:left="851"/>
        <w:rPr>
          <w:sz w:val="24"/>
          <w:szCs w:val="24"/>
        </w:rPr>
      </w:pPr>
    </w:p>
    <w:p w14:paraId="04FEE25B"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413E5E8D" w14:textId="6F3E5548" w:rsidR="009260DE" w:rsidRPr="00C84483" w:rsidRDefault="00CC0DAC" w:rsidP="009260DE">
      <w:pPr>
        <w:tabs>
          <w:tab w:val="left" w:pos="851"/>
        </w:tabs>
        <w:ind w:left="851"/>
        <w:rPr>
          <w:sz w:val="24"/>
          <w:szCs w:val="24"/>
        </w:rPr>
      </w:pPr>
      <w:r>
        <w:rPr>
          <w:sz w:val="24"/>
          <w:szCs w:val="24"/>
        </w:rPr>
        <w:t>73049</w:t>
      </w:r>
    </w:p>
    <w:p w14:paraId="10BE287C" w14:textId="77777777" w:rsidR="009260DE" w:rsidRPr="00C84483" w:rsidRDefault="009260DE" w:rsidP="009260DE">
      <w:pPr>
        <w:tabs>
          <w:tab w:val="left" w:pos="851"/>
        </w:tabs>
        <w:ind w:left="851"/>
        <w:jc w:val="both"/>
        <w:rPr>
          <w:sz w:val="24"/>
          <w:szCs w:val="24"/>
        </w:rPr>
      </w:pPr>
    </w:p>
    <w:p w14:paraId="6A23C7AE"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79B0459C" w14:textId="4EDA7B47" w:rsidR="009260DE" w:rsidRPr="00C84483" w:rsidRDefault="00A4370D" w:rsidP="009260DE">
      <w:pPr>
        <w:tabs>
          <w:tab w:val="left" w:pos="851"/>
        </w:tabs>
        <w:ind w:left="851"/>
        <w:rPr>
          <w:sz w:val="24"/>
          <w:szCs w:val="24"/>
        </w:rPr>
      </w:pPr>
      <w:r w:rsidRPr="00A4370D">
        <w:rPr>
          <w:sz w:val="24"/>
          <w:szCs w:val="24"/>
        </w:rPr>
        <w:t>26. august 2010</w:t>
      </w:r>
      <w:r>
        <w:rPr>
          <w:sz w:val="24"/>
          <w:szCs w:val="24"/>
        </w:rPr>
        <w:t xml:space="preserve"> (pulver til injektions-/infusionsvæske, opløsning 1 g)</w:t>
      </w:r>
    </w:p>
    <w:p w14:paraId="7A6B64FC" w14:textId="77777777" w:rsidR="009260DE" w:rsidRPr="00C84483" w:rsidRDefault="009260DE" w:rsidP="009260DE">
      <w:pPr>
        <w:tabs>
          <w:tab w:val="left" w:pos="851"/>
        </w:tabs>
        <w:ind w:left="851"/>
        <w:rPr>
          <w:sz w:val="24"/>
          <w:szCs w:val="24"/>
        </w:rPr>
      </w:pPr>
    </w:p>
    <w:p w14:paraId="050E065F"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06171081" w14:textId="40A3AEA8" w:rsidR="009260DE" w:rsidRPr="00C84483" w:rsidRDefault="00CC0DAC" w:rsidP="009260DE">
      <w:pPr>
        <w:tabs>
          <w:tab w:val="left" w:pos="851"/>
        </w:tabs>
        <w:ind w:left="851"/>
        <w:rPr>
          <w:sz w:val="24"/>
          <w:szCs w:val="24"/>
        </w:rPr>
      </w:pPr>
      <w:r>
        <w:rPr>
          <w:sz w:val="24"/>
          <w:szCs w:val="24"/>
        </w:rPr>
        <w:t>-</w:t>
      </w:r>
      <w:bookmarkStart w:id="29" w:name="_GoBack"/>
      <w:bookmarkEnd w:id="29"/>
    </w:p>
    <w:sectPr w:rsidR="009260DE" w:rsidRPr="00C84483" w:rsidSect="000259B9">
      <w:footerReference w:type="default" r:id="rId15"/>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CCC1A" w14:textId="77777777" w:rsidR="00EE5C18" w:rsidRDefault="00EE5C18">
      <w:r>
        <w:separator/>
      </w:r>
    </w:p>
  </w:endnote>
  <w:endnote w:type="continuationSeparator" w:id="0">
    <w:p w14:paraId="0BAEA328" w14:textId="77777777" w:rsidR="00EE5C18" w:rsidRDefault="00EE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D3F3" w14:textId="77777777" w:rsidR="000259B9" w:rsidRDefault="000259B9">
    <w:pPr>
      <w:pStyle w:val="Sidefod"/>
      <w:pBdr>
        <w:bottom w:val="single" w:sz="6" w:space="1" w:color="auto"/>
      </w:pBdr>
    </w:pPr>
  </w:p>
  <w:p w14:paraId="1DF80771" w14:textId="77777777" w:rsidR="000259B9" w:rsidRDefault="000259B9" w:rsidP="00C42586">
    <w:pPr>
      <w:pStyle w:val="Sidefod"/>
      <w:tabs>
        <w:tab w:val="clear" w:pos="4819"/>
        <w:tab w:val="left" w:pos="8505"/>
      </w:tabs>
      <w:rPr>
        <w:i/>
        <w:sz w:val="18"/>
        <w:szCs w:val="18"/>
      </w:rPr>
    </w:pPr>
  </w:p>
  <w:p w14:paraId="4F423EC2" w14:textId="2ACBB0A8"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A4370D">
      <w:rPr>
        <w:i/>
        <w:noProof/>
        <w:sz w:val="18"/>
        <w:szCs w:val="18"/>
      </w:rPr>
      <w:t>Riastap, pulver til injektions--infusionsvæske, opløsning 2 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32980" w14:textId="77777777" w:rsidR="00EE5C18" w:rsidRDefault="00EE5C18">
      <w:r>
        <w:separator/>
      </w:r>
    </w:p>
  </w:footnote>
  <w:footnote w:type="continuationSeparator" w:id="0">
    <w:p w14:paraId="36AECAD6" w14:textId="77777777" w:rsidR="00EE5C18" w:rsidRDefault="00EE5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D75385E"/>
    <w:multiLevelType w:val="hybridMultilevel"/>
    <w:tmpl w:val="A1E2070C"/>
    <w:lvl w:ilvl="0" w:tplc="14766CA4">
      <w:start w:val="1"/>
      <w:numFmt w:val="lowerLetter"/>
      <w:pStyle w:val="TableNote"/>
      <w:lvlText w:val="%1."/>
      <w:lvlJc w:val="left"/>
      <w:pPr>
        <w:tabs>
          <w:tab w:val="num" w:pos="360"/>
        </w:tabs>
        <w:ind w:left="340" w:hanging="340"/>
      </w:pPr>
      <w:rPr>
        <w:rFonts w:cs="Times New Roman"/>
        <w:caps w:val="0"/>
        <w:strike w:val="0"/>
        <w:dstrike w:val="0"/>
        <w:outline w:val="0"/>
        <w:shadow w:val="0"/>
        <w:emboss w:val="0"/>
        <w:imprint w:val="0"/>
        <w:vanish w:val="0"/>
        <w:webHidden w:val="0"/>
        <w:sz w:val="24"/>
        <w:u w:val="none"/>
        <w:effect w:val="none"/>
        <w:vertAlign w:val="superscript"/>
        <w:specVanish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B910ADD"/>
    <w:multiLevelType w:val="hybridMultilevel"/>
    <w:tmpl w:val="DB24729A"/>
    <w:lvl w:ilvl="0" w:tplc="36F01E0A">
      <w:start w:val="1"/>
      <w:numFmt w:val="decimal"/>
      <w:lvlText w:val="%1."/>
      <w:lvlJc w:val="left"/>
      <w:pPr>
        <w:ind w:left="1211" w:hanging="360"/>
      </w:pPr>
    </w:lvl>
    <w:lvl w:ilvl="1" w:tplc="04060019">
      <w:start w:val="1"/>
      <w:numFmt w:val="lowerLetter"/>
      <w:lvlText w:val="%2."/>
      <w:lvlJc w:val="left"/>
      <w:pPr>
        <w:ind w:left="1931" w:hanging="360"/>
      </w:pPr>
    </w:lvl>
    <w:lvl w:ilvl="2" w:tplc="0406001B">
      <w:start w:val="1"/>
      <w:numFmt w:val="lowerRoman"/>
      <w:lvlText w:val="%3."/>
      <w:lvlJc w:val="right"/>
      <w:pPr>
        <w:ind w:left="2651" w:hanging="180"/>
      </w:pPr>
    </w:lvl>
    <w:lvl w:ilvl="3" w:tplc="0406000F">
      <w:start w:val="1"/>
      <w:numFmt w:val="decimal"/>
      <w:lvlText w:val="%4."/>
      <w:lvlJc w:val="left"/>
      <w:pPr>
        <w:ind w:left="3371" w:hanging="360"/>
      </w:pPr>
    </w:lvl>
    <w:lvl w:ilvl="4" w:tplc="04060019">
      <w:start w:val="1"/>
      <w:numFmt w:val="lowerLetter"/>
      <w:lvlText w:val="%5."/>
      <w:lvlJc w:val="left"/>
      <w:pPr>
        <w:ind w:left="4091" w:hanging="360"/>
      </w:pPr>
    </w:lvl>
    <w:lvl w:ilvl="5" w:tplc="0406001B">
      <w:start w:val="1"/>
      <w:numFmt w:val="lowerRoman"/>
      <w:lvlText w:val="%6."/>
      <w:lvlJc w:val="right"/>
      <w:pPr>
        <w:ind w:left="4811" w:hanging="180"/>
      </w:pPr>
    </w:lvl>
    <w:lvl w:ilvl="6" w:tplc="0406000F">
      <w:start w:val="1"/>
      <w:numFmt w:val="decimal"/>
      <w:lvlText w:val="%7."/>
      <w:lvlJc w:val="left"/>
      <w:pPr>
        <w:ind w:left="5531" w:hanging="360"/>
      </w:pPr>
    </w:lvl>
    <w:lvl w:ilvl="7" w:tplc="04060019">
      <w:start w:val="1"/>
      <w:numFmt w:val="lowerLetter"/>
      <w:lvlText w:val="%8."/>
      <w:lvlJc w:val="left"/>
      <w:pPr>
        <w:ind w:left="6251" w:hanging="360"/>
      </w:pPr>
    </w:lvl>
    <w:lvl w:ilvl="8" w:tplc="0406001B">
      <w:start w:val="1"/>
      <w:numFmt w:val="lowerRoman"/>
      <w:lvlText w:val="%9."/>
      <w:lvlJc w:val="right"/>
      <w:pPr>
        <w:ind w:left="6971" w:hanging="180"/>
      </w:pPr>
    </w:lvl>
  </w:abstractNum>
  <w:abstractNum w:abstractNumId="3" w15:restartNumberingAfterBreak="0">
    <w:nsid w:val="2F8F37A0"/>
    <w:multiLevelType w:val="hybridMultilevel"/>
    <w:tmpl w:val="8B523126"/>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6BAF6286"/>
    <w:multiLevelType w:val="hybridMultilevel"/>
    <w:tmpl w:val="02E215B6"/>
    <w:lvl w:ilvl="0" w:tplc="04090001">
      <w:start w:val="1"/>
      <w:numFmt w:val="bullet"/>
      <w:lvlText w:val=""/>
      <w:lvlJc w:val="left"/>
      <w:pPr>
        <w:tabs>
          <w:tab w:val="num" w:pos="1571"/>
        </w:tabs>
        <w:ind w:left="1571" w:hanging="360"/>
      </w:pPr>
      <w:rPr>
        <w:rFonts w:ascii="Symbol" w:hAnsi="Symbol" w:hint="default"/>
      </w:rPr>
    </w:lvl>
    <w:lvl w:ilvl="1" w:tplc="04090003">
      <w:start w:val="1"/>
      <w:numFmt w:val="bullet"/>
      <w:lvlText w:val="o"/>
      <w:lvlJc w:val="left"/>
      <w:pPr>
        <w:tabs>
          <w:tab w:val="num" w:pos="2291"/>
        </w:tabs>
        <w:ind w:left="2291"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18"/>
    <w:rsid w:val="00005FC0"/>
    <w:rsid w:val="000259B9"/>
    <w:rsid w:val="00041491"/>
    <w:rsid w:val="00050D16"/>
    <w:rsid w:val="000730CA"/>
    <w:rsid w:val="00074F2A"/>
    <w:rsid w:val="000A1CA8"/>
    <w:rsid w:val="000A466B"/>
    <w:rsid w:val="000B058C"/>
    <w:rsid w:val="000D68B0"/>
    <w:rsid w:val="000E4EE6"/>
    <w:rsid w:val="001454E2"/>
    <w:rsid w:val="00172DE8"/>
    <w:rsid w:val="001A077C"/>
    <w:rsid w:val="001D71FA"/>
    <w:rsid w:val="00206CE8"/>
    <w:rsid w:val="0021526C"/>
    <w:rsid w:val="00230DEA"/>
    <w:rsid w:val="00283A2B"/>
    <w:rsid w:val="002B30AD"/>
    <w:rsid w:val="002C1EC0"/>
    <w:rsid w:val="002C2C01"/>
    <w:rsid w:val="003445BC"/>
    <w:rsid w:val="003A29AE"/>
    <w:rsid w:val="003A32D7"/>
    <w:rsid w:val="003B4074"/>
    <w:rsid w:val="003C769A"/>
    <w:rsid w:val="003D3A90"/>
    <w:rsid w:val="003F1838"/>
    <w:rsid w:val="004251C1"/>
    <w:rsid w:val="0045746C"/>
    <w:rsid w:val="0049104B"/>
    <w:rsid w:val="004E3B12"/>
    <w:rsid w:val="00532310"/>
    <w:rsid w:val="00565F0F"/>
    <w:rsid w:val="00594A86"/>
    <w:rsid w:val="00596D86"/>
    <w:rsid w:val="005D442F"/>
    <w:rsid w:val="00637F5A"/>
    <w:rsid w:val="00641C65"/>
    <w:rsid w:val="006560B1"/>
    <w:rsid w:val="006756DD"/>
    <w:rsid w:val="0071241E"/>
    <w:rsid w:val="007313D1"/>
    <w:rsid w:val="00737275"/>
    <w:rsid w:val="00740EEC"/>
    <w:rsid w:val="00762536"/>
    <w:rsid w:val="0078011A"/>
    <w:rsid w:val="00782AF4"/>
    <w:rsid w:val="00790EE7"/>
    <w:rsid w:val="007B6649"/>
    <w:rsid w:val="007F58AC"/>
    <w:rsid w:val="0082576E"/>
    <w:rsid w:val="0089346F"/>
    <w:rsid w:val="00907F75"/>
    <w:rsid w:val="009260DE"/>
    <w:rsid w:val="0093258A"/>
    <w:rsid w:val="00956F08"/>
    <w:rsid w:val="009C7BA3"/>
    <w:rsid w:val="009D1F5A"/>
    <w:rsid w:val="00A10294"/>
    <w:rsid w:val="00A4370D"/>
    <w:rsid w:val="00A661D8"/>
    <w:rsid w:val="00B003BF"/>
    <w:rsid w:val="00B373D7"/>
    <w:rsid w:val="00B55271"/>
    <w:rsid w:val="00BD7931"/>
    <w:rsid w:val="00BF6243"/>
    <w:rsid w:val="00C23311"/>
    <w:rsid w:val="00C36276"/>
    <w:rsid w:val="00C42586"/>
    <w:rsid w:val="00C45F6B"/>
    <w:rsid w:val="00C60CCD"/>
    <w:rsid w:val="00C84483"/>
    <w:rsid w:val="00C95551"/>
    <w:rsid w:val="00CB20D7"/>
    <w:rsid w:val="00CC0DAC"/>
    <w:rsid w:val="00D020B0"/>
    <w:rsid w:val="00D11748"/>
    <w:rsid w:val="00D13DDF"/>
    <w:rsid w:val="00D237F6"/>
    <w:rsid w:val="00D34D98"/>
    <w:rsid w:val="00D366CF"/>
    <w:rsid w:val="00D93992"/>
    <w:rsid w:val="00E108AA"/>
    <w:rsid w:val="00E3749A"/>
    <w:rsid w:val="00E7437F"/>
    <w:rsid w:val="00E865B8"/>
    <w:rsid w:val="00EC0B9B"/>
    <w:rsid w:val="00ED4545"/>
    <w:rsid w:val="00ED5E9F"/>
    <w:rsid w:val="00EE5C18"/>
    <w:rsid w:val="00F66D4F"/>
    <w:rsid w:val="00F761E0"/>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8C3FB"/>
  <w15:chartTrackingRefBased/>
  <w15:docId w15:val="{2ED5303D-5B21-4A3C-BE04-9F99CBC4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LAFISPCNormal">
    <w:name w:val="LA_FI_SPC_Normal"/>
    <w:basedOn w:val="Normal"/>
    <w:rsid w:val="00005FC0"/>
    <w:pPr>
      <w:tabs>
        <w:tab w:val="left" w:pos="567"/>
      </w:tabs>
      <w:snapToGrid w:val="0"/>
      <w:ind w:left="567"/>
    </w:pPr>
    <w:rPr>
      <w:sz w:val="24"/>
      <w:lang w:val="en-GB" w:eastAsia="da-DK"/>
    </w:rPr>
  </w:style>
  <w:style w:type="paragraph" w:customStyle="1" w:styleId="TabelText">
    <w:name w:val="Tabel Text"/>
    <w:basedOn w:val="Normal"/>
    <w:next w:val="Normal"/>
    <w:rsid w:val="00230DEA"/>
    <w:pPr>
      <w:snapToGrid w:val="0"/>
      <w:spacing w:before="40" w:after="40"/>
    </w:pPr>
    <w:rPr>
      <w:sz w:val="24"/>
      <w:szCs w:val="24"/>
      <w:lang w:val="de-DE" w:eastAsia="da-DK"/>
    </w:rPr>
  </w:style>
  <w:style w:type="paragraph" w:customStyle="1" w:styleId="Tabelheading">
    <w:name w:val="Tabel heading"/>
    <w:basedOn w:val="TabelText"/>
    <w:rsid w:val="00230DEA"/>
    <w:rPr>
      <w:rFonts w:ascii="Times New Roman Bold" w:hAnsi="Times New Roman Bold"/>
      <w:b/>
      <w:szCs w:val="20"/>
    </w:rPr>
  </w:style>
  <w:style w:type="paragraph" w:customStyle="1" w:styleId="TableNote">
    <w:name w:val="Table Note"/>
    <w:basedOn w:val="Normal"/>
    <w:next w:val="Normal"/>
    <w:rsid w:val="00230DEA"/>
    <w:pPr>
      <w:keepLines/>
      <w:widowControl w:val="0"/>
      <w:numPr>
        <w:numId w:val="6"/>
      </w:numPr>
      <w:snapToGrid w:val="0"/>
      <w:spacing w:after="60"/>
    </w:pPr>
    <w:rPr>
      <w:sz w:val="18"/>
      <w:szCs w:val="24"/>
      <w:lang w:val="pt-BR"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81649">
      <w:bodyDiv w:val="1"/>
      <w:marLeft w:val="0"/>
      <w:marRight w:val="0"/>
      <w:marTop w:val="0"/>
      <w:marBottom w:val="0"/>
      <w:divBdr>
        <w:top w:val="none" w:sz="0" w:space="0" w:color="auto"/>
        <w:left w:val="none" w:sz="0" w:space="0" w:color="auto"/>
        <w:bottom w:val="none" w:sz="0" w:space="0" w:color="auto"/>
        <w:right w:val="none" w:sz="0" w:space="0" w:color="auto"/>
      </w:divBdr>
    </w:div>
    <w:div w:id="96684006">
      <w:bodyDiv w:val="1"/>
      <w:marLeft w:val="0"/>
      <w:marRight w:val="0"/>
      <w:marTop w:val="0"/>
      <w:marBottom w:val="0"/>
      <w:divBdr>
        <w:top w:val="none" w:sz="0" w:space="0" w:color="auto"/>
        <w:left w:val="none" w:sz="0" w:space="0" w:color="auto"/>
        <w:bottom w:val="none" w:sz="0" w:space="0" w:color="auto"/>
        <w:right w:val="none" w:sz="0" w:space="0" w:color="auto"/>
      </w:divBdr>
    </w:div>
    <w:div w:id="14046687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4832057">
      <w:bodyDiv w:val="1"/>
      <w:marLeft w:val="0"/>
      <w:marRight w:val="0"/>
      <w:marTop w:val="0"/>
      <w:marBottom w:val="0"/>
      <w:divBdr>
        <w:top w:val="none" w:sz="0" w:space="0" w:color="auto"/>
        <w:left w:val="none" w:sz="0" w:space="0" w:color="auto"/>
        <w:bottom w:val="none" w:sz="0" w:space="0" w:color="auto"/>
        <w:right w:val="none" w:sz="0" w:space="0" w:color="auto"/>
      </w:divBdr>
    </w:div>
    <w:div w:id="221603617">
      <w:bodyDiv w:val="1"/>
      <w:marLeft w:val="0"/>
      <w:marRight w:val="0"/>
      <w:marTop w:val="0"/>
      <w:marBottom w:val="0"/>
      <w:divBdr>
        <w:top w:val="none" w:sz="0" w:space="0" w:color="auto"/>
        <w:left w:val="none" w:sz="0" w:space="0" w:color="auto"/>
        <w:bottom w:val="none" w:sz="0" w:space="0" w:color="auto"/>
        <w:right w:val="none" w:sz="0" w:space="0" w:color="auto"/>
      </w:divBdr>
    </w:div>
    <w:div w:id="301235378">
      <w:bodyDiv w:val="1"/>
      <w:marLeft w:val="0"/>
      <w:marRight w:val="0"/>
      <w:marTop w:val="0"/>
      <w:marBottom w:val="0"/>
      <w:divBdr>
        <w:top w:val="none" w:sz="0" w:space="0" w:color="auto"/>
        <w:left w:val="none" w:sz="0" w:space="0" w:color="auto"/>
        <w:bottom w:val="none" w:sz="0" w:space="0" w:color="auto"/>
        <w:right w:val="none" w:sz="0" w:space="0" w:color="auto"/>
      </w:divBdr>
    </w:div>
    <w:div w:id="316614390">
      <w:bodyDiv w:val="1"/>
      <w:marLeft w:val="0"/>
      <w:marRight w:val="0"/>
      <w:marTop w:val="0"/>
      <w:marBottom w:val="0"/>
      <w:divBdr>
        <w:top w:val="none" w:sz="0" w:space="0" w:color="auto"/>
        <w:left w:val="none" w:sz="0" w:space="0" w:color="auto"/>
        <w:bottom w:val="none" w:sz="0" w:space="0" w:color="auto"/>
        <w:right w:val="none" w:sz="0" w:space="0" w:color="auto"/>
      </w:divBdr>
    </w:div>
    <w:div w:id="440151688">
      <w:bodyDiv w:val="1"/>
      <w:marLeft w:val="0"/>
      <w:marRight w:val="0"/>
      <w:marTop w:val="0"/>
      <w:marBottom w:val="0"/>
      <w:divBdr>
        <w:top w:val="none" w:sz="0" w:space="0" w:color="auto"/>
        <w:left w:val="none" w:sz="0" w:space="0" w:color="auto"/>
        <w:bottom w:val="none" w:sz="0" w:space="0" w:color="auto"/>
        <w:right w:val="none" w:sz="0" w:space="0" w:color="auto"/>
      </w:divBdr>
    </w:div>
    <w:div w:id="470633886">
      <w:bodyDiv w:val="1"/>
      <w:marLeft w:val="0"/>
      <w:marRight w:val="0"/>
      <w:marTop w:val="0"/>
      <w:marBottom w:val="0"/>
      <w:divBdr>
        <w:top w:val="none" w:sz="0" w:space="0" w:color="auto"/>
        <w:left w:val="none" w:sz="0" w:space="0" w:color="auto"/>
        <w:bottom w:val="none" w:sz="0" w:space="0" w:color="auto"/>
        <w:right w:val="none" w:sz="0" w:space="0" w:color="auto"/>
      </w:divBdr>
    </w:div>
    <w:div w:id="477112682">
      <w:bodyDiv w:val="1"/>
      <w:marLeft w:val="0"/>
      <w:marRight w:val="0"/>
      <w:marTop w:val="0"/>
      <w:marBottom w:val="0"/>
      <w:divBdr>
        <w:top w:val="none" w:sz="0" w:space="0" w:color="auto"/>
        <w:left w:val="none" w:sz="0" w:space="0" w:color="auto"/>
        <w:bottom w:val="none" w:sz="0" w:space="0" w:color="auto"/>
        <w:right w:val="none" w:sz="0" w:space="0" w:color="auto"/>
      </w:divBdr>
    </w:div>
    <w:div w:id="718700360">
      <w:bodyDiv w:val="1"/>
      <w:marLeft w:val="0"/>
      <w:marRight w:val="0"/>
      <w:marTop w:val="0"/>
      <w:marBottom w:val="0"/>
      <w:divBdr>
        <w:top w:val="none" w:sz="0" w:space="0" w:color="auto"/>
        <w:left w:val="none" w:sz="0" w:space="0" w:color="auto"/>
        <w:bottom w:val="none" w:sz="0" w:space="0" w:color="auto"/>
        <w:right w:val="none" w:sz="0" w:space="0" w:color="auto"/>
      </w:divBdr>
    </w:div>
    <w:div w:id="792556871">
      <w:bodyDiv w:val="1"/>
      <w:marLeft w:val="0"/>
      <w:marRight w:val="0"/>
      <w:marTop w:val="0"/>
      <w:marBottom w:val="0"/>
      <w:divBdr>
        <w:top w:val="none" w:sz="0" w:space="0" w:color="auto"/>
        <w:left w:val="none" w:sz="0" w:space="0" w:color="auto"/>
        <w:bottom w:val="none" w:sz="0" w:space="0" w:color="auto"/>
        <w:right w:val="none" w:sz="0" w:space="0" w:color="auto"/>
      </w:divBdr>
    </w:div>
    <w:div w:id="820197316">
      <w:bodyDiv w:val="1"/>
      <w:marLeft w:val="0"/>
      <w:marRight w:val="0"/>
      <w:marTop w:val="0"/>
      <w:marBottom w:val="0"/>
      <w:divBdr>
        <w:top w:val="none" w:sz="0" w:space="0" w:color="auto"/>
        <w:left w:val="none" w:sz="0" w:space="0" w:color="auto"/>
        <w:bottom w:val="none" w:sz="0" w:space="0" w:color="auto"/>
        <w:right w:val="none" w:sz="0" w:space="0" w:color="auto"/>
      </w:divBdr>
    </w:div>
    <w:div w:id="878011239">
      <w:bodyDiv w:val="1"/>
      <w:marLeft w:val="0"/>
      <w:marRight w:val="0"/>
      <w:marTop w:val="0"/>
      <w:marBottom w:val="0"/>
      <w:divBdr>
        <w:top w:val="none" w:sz="0" w:space="0" w:color="auto"/>
        <w:left w:val="none" w:sz="0" w:space="0" w:color="auto"/>
        <w:bottom w:val="none" w:sz="0" w:space="0" w:color="auto"/>
        <w:right w:val="none" w:sz="0" w:space="0" w:color="auto"/>
      </w:divBdr>
    </w:div>
    <w:div w:id="909388641">
      <w:bodyDiv w:val="1"/>
      <w:marLeft w:val="0"/>
      <w:marRight w:val="0"/>
      <w:marTop w:val="0"/>
      <w:marBottom w:val="0"/>
      <w:divBdr>
        <w:top w:val="none" w:sz="0" w:space="0" w:color="auto"/>
        <w:left w:val="none" w:sz="0" w:space="0" w:color="auto"/>
        <w:bottom w:val="none" w:sz="0" w:space="0" w:color="auto"/>
        <w:right w:val="none" w:sz="0" w:space="0" w:color="auto"/>
      </w:divBdr>
    </w:div>
    <w:div w:id="973406674">
      <w:bodyDiv w:val="1"/>
      <w:marLeft w:val="0"/>
      <w:marRight w:val="0"/>
      <w:marTop w:val="0"/>
      <w:marBottom w:val="0"/>
      <w:divBdr>
        <w:top w:val="none" w:sz="0" w:space="0" w:color="auto"/>
        <w:left w:val="none" w:sz="0" w:space="0" w:color="auto"/>
        <w:bottom w:val="none" w:sz="0" w:space="0" w:color="auto"/>
        <w:right w:val="none" w:sz="0" w:space="0" w:color="auto"/>
      </w:divBdr>
    </w:div>
    <w:div w:id="1026447233">
      <w:bodyDiv w:val="1"/>
      <w:marLeft w:val="0"/>
      <w:marRight w:val="0"/>
      <w:marTop w:val="0"/>
      <w:marBottom w:val="0"/>
      <w:divBdr>
        <w:top w:val="none" w:sz="0" w:space="0" w:color="auto"/>
        <w:left w:val="none" w:sz="0" w:space="0" w:color="auto"/>
        <w:bottom w:val="none" w:sz="0" w:space="0" w:color="auto"/>
        <w:right w:val="none" w:sz="0" w:space="0" w:color="auto"/>
      </w:divBdr>
    </w:div>
    <w:div w:id="1140807205">
      <w:bodyDiv w:val="1"/>
      <w:marLeft w:val="0"/>
      <w:marRight w:val="0"/>
      <w:marTop w:val="0"/>
      <w:marBottom w:val="0"/>
      <w:divBdr>
        <w:top w:val="none" w:sz="0" w:space="0" w:color="auto"/>
        <w:left w:val="none" w:sz="0" w:space="0" w:color="auto"/>
        <w:bottom w:val="none" w:sz="0" w:space="0" w:color="auto"/>
        <w:right w:val="none" w:sz="0" w:space="0" w:color="auto"/>
      </w:divBdr>
    </w:div>
    <w:div w:id="1145582153">
      <w:bodyDiv w:val="1"/>
      <w:marLeft w:val="0"/>
      <w:marRight w:val="0"/>
      <w:marTop w:val="0"/>
      <w:marBottom w:val="0"/>
      <w:divBdr>
        <w:top w:val="none" w:sz="0" w:space="0" w:color="auto"/>
        <w:left w:val="none" w:sz="0" w:space="0" w:color="auto"/>
        <w:bottom w:val="none" w:sz="0" w:space="0" w:color="auto"/>
        <w:right w:val="none" w:sz="0" w:space="0" w:color="auto"/>
      </w:divBdr>
    </w:div>
    <w:div w:id="1237324543">
      <w:bodyDiv w:val="1"/>
      <w:marLeft w:val="0"/>
      <w:marRight w:val="0"/>
      <w:marTop w:val="0"/>
      <w:marBottom w:val="0"/>
      <w:divBdr>
        <w:top w:val="none" w:sz="0" w:space="0" w:color="auto"/>
        <w:left w:val="none" w:sz="0" w:space="0" w:color="auto"/>
        <w:bottom w:val="none" w:sz="0" w:space="0" w:color="auto"/>
        <w:right w:val="none" w:sz="0" w:space="0" w:color="auto"/>
      </w:divBdr>
    </w:div>
    <w:div w:id="1255286199">
      <w:bodyDiv w:val="1"/>
      <w:marLeft w:val="0"/>
      <w:marRight w:val="0"/>
      <w:marTop w:val="0"/>
      <w:marBottom w:val="0"/>
      <w:divBdr>
        <w:top w:val="none" w:sz="0" w:space="0" w:color="auto"/>
        <w:left w:val="none" w:sz="0" w:space="0" w:color="auto"/>
        <w:bottom w:val="none" w:sz="0" w:space="0" w:color="auto"/>
        <w:right w:val="none" w:sz="0" w:space="0" w:color="auto"/>
      </w:divBdr>
    </w:div>
    <w:div w:id="1259950123">
      <w:bodyDiv w:val="1"/>
      <w:marLeft w:val="0"/>
      <w:marRight w:val="0"/>
      <w:marTop w:val="0"/>
      <w:marBottom w:val="0"/>
      <w:divBdr>
        <w:top w:val="none" w:sz="0" w:space="0" w:color="auto"/>
        <w:left w:val="none" w:sz="0" w:space="0" w:color="auto"/>
        <w:bottom w:val="none" w:sz="0" w:space="0" w:color="auto"/>
        <w:right w:val="none" w:sz="0" w:space="0" w:color="auto"/>
      </w:divBdr>
    </w:div>
    <w:div w:id="1303004114">
      <w:bodyDiv w:val="1"/>
      <w:marLeft w:val="0"/>
      <w:marRight w:val="0"/>
      <w:marTop w:val="0"/>
      <w:marBottom w:val="0"/>
      <w:divBdr>
        <w:top w:val="none" w:sz="0" w:space="0" w:color="auto"/>
        <w:left w:val="none" w:sz="0" w:space="0" w:color="auto"/>
        <w:bottom w:val="none" w:sz="0" w:space="0" w:color="auto"/>
        <w:right w:val="none" w:sz="0" w:space="0" w:color="auto"/>
      </w:divBdr>
    </w:div>
    <w:div w:id="1348560539">
      <w:bodyDiv w:val="1"/>
      <w:marLeft w:val="0"/>
      <w:marRight w:val="0"/>
      <w:marTop w:val="0"/>
      <w:marBottom w:val="0"/>
      <w:divBdr>
        <w:top w:val="none" w:sz="0" w:space="0" w:color="auto"/>
        <w:left w:val="none" w:sz="0" w:space="0" w:color="auto"/>
        <w:bottom w:val="none" w:sz="0" w:space="0" w:color="auto"/>
        <w:right w:val="none" w:sz="0" w:space="0" w:color="auto"/>
      </w:divBdr>
    </w:div>
    <w:div w:id="1368724956">
      <w:bodyDiv w:val="1"/>
      <w:marLeft w:val="0"/>
      <w:marRight w:val="0"/>
      <w:marTop w:val="0"/>
      <w:marBottom w:val="0"/>
      <w:divBdr>
        <w:top w:val="none" w:sz="0" w:space="0" w:color="auto"/>
        <w:left w:val="none" w:sz="0" w:space="0" w:color="auto"/>
        <w:bottom w:val="none" w:sz="0" w:space="0" w:color="auto"/>
        <w:right w:val="none" w:sz="0" w:space="0" w:color="auto"/>
      </w:divBdr>
    </w:div>
    <w:div w:id="1468276864">
      <w:bodyDiv w:val="1"/>
      <w:marLeft w:val="0"/>
      <w:marRight w:val="0"/>
      <w:marTop w:val="0"/>
      <w:marBottom w:val="0"/>
      <w:divBdr>
        <w:top w:val="none" w:sz="0" w:space="0" w:color="auto"/>
        <w:left w:val="none" w:sz="0" w:space="0" w:color="auto"/>
        <w:bottom w:val="none" w:sz="0" w:space="0" w:color="auto"/>
        <w:right w:val="none" w:sz="0" w:space="0" w:color="auto"/>
      </w:divBdr>
    </w:div>
    <w:div w:id="1482431257">
      <w:bodyDiv w:val="1"/>
      <w:marLeft w:val="0"/>
      <w:marRight w:val="0"/>
      <w:marTop w:val="0"/>
      <w:marBottom w:val="0"/>
      <w:divBdr>
        <w:top w:val="none" w:sz="0" w:space="0" w:color="auto"/>
        <w:left w:val="none" w:sz="0" w:space="0" w:color="auto"/>
        <w:bottom w:val="none" w:sz="0" w:space="0" w:color="auto"/>
        <w:right w:val="none" w:sz="0" w:space="0" w:color="auto"/>
      </w:divBdr>
    </w:div>
    <w:div w:id="1484810516">
      <w:bodyDiv w:val="1"/>
      <w:marLeft w:val="0"/>
      <w:marRight w:val="0"/>
      <w:marTop w:val="0"/>
      <w:marBottom w:val="0"/>
      <w:divBdr>
        <w:top w:val="none" w:sz="0" w:space="0" w:color="auto"/>
        <w:left w:val="none" w:sz="0" w:space="0" w:color="auto"/>
        <w:bottom w:val="none" w:sz="0" w:space="0" w:color="auto"/>
        <w:right w:val="none" w:sz="0" w:space="0" w:color="auto"/>
      </w:divBdr>
    </w:div>
    <w:div w:id="1506045547">
      <w:bodyDiv w:val="1"/>
      <w:marLeft w:val="0"/>
      <w:marRight w:val="0"/>
      <w:marTop w:val="0"/>
      <w:marBottom w:val="0"/>
      <w:divBdr>
        <w:top w:val="none" w:sz="0" w:space="0" w:color="auto"/>
        <w:left w:val="none" w:sz="0" w:space="0" w:color="auto"/>
        <w:bottom w:val="none" w:sz="0" w:space="0" w:color="auto"/>
        <w:right w:val="none" w:sz="0" w:space="0" w:color="auto"/>
      </w:divBdr>
    </w:div>
    <w:div w:id="1545555156">
      <w:bodyDiv w:val="1"/>
      <w:marLeft w:val="0"/>
      <w:marRight w:val="0"/>
      <w:marTop w:val="0"/>
      <w:marBottom w:val="0"/>
      <w:divBdr>
        <w:top w:val="none" w:sz="0" w:space="0" w:color="auto"/>
        <w:left w:val="none" w:sz="0" w:space="0" w:color="auto"/>
        <w:bottom w:val="none" w:sz="0" w:space="0" w:color="auto"/>
        <w:right w:val="none" w:sz="0" w:space="0" w:color="auto"/>
      </w:divBdr>
    </w:div>
    <w:div w:id="1574198351">
      <w:bodyDiv w:val="1"/>
      <w:marLeft w:val="0"/>
      <w:marRight w:val="0"/>
      <w:marTop w:val="0"/>
      <w:marBottom w:val="0"/>
      <w:divBdr>
        <w:top w:val="none" w:sz="0" w:space="0" w:color="auto"/>
        <w:left w:val="none" w:sz="0" w:space="0" w:color="auto"/>
        <w:bottom w:val="none" w:sz="0" w:space="0" w:color="auto"/>
        <w:right w:val="none" w:sz="0" w:space="0" w:color="auto"/>
      </w:divBdr>
    </w:div>
    <w:div w:id="1682661227">
      <w:bodyDiv w:val="1"/>
      <w:marLeft w:val="0"/>
      <w:marRight w:val="0"/>
      <w:marTop w:val="0"/>
      <w:marBottom w:val="0"/>
      <w:divBdr>
        <w:top w:val="none" w:sz="0" w:space="0" w:color="auto"/>
        <w:left w:val="none" w:sz="0" w:space="0" w:color="auto"/>
        <w:bottom w:val="none" w:sz="0" w:space="0" w:color="auto"/>
        <w:right w:val="none" w:sz="0" w:space="0" w:color="auto"/>
      </w:divBdr>
    </w:div>
    <w:div w:id="1741176765">
      <w:bodyDiv w:val="1"/>
      <w:marLeft w:val="0"/>
      <w:marRight w:val="0"/>
      <w:marTop w:val="0"/>
      <w:marBottom w:val="0"/>
      <w:divBdr>
        <w:top w:val="none" w:sz="0" w:space="0" w:color="auto"/>
        <w:left w:val="none" w:sz="0" w:space="0" w:color="auto"/>
        <w:bottom w:val="none" w:sz="0" w:space="0" w:color="auto"/>
        <w:right w:val="none" w:sz="0" w:space="0" w:color="auto"/>
      </w:divBdr>
    </w:div>
    <w:div w:id="1763792672">
      <w:bodyDiv w:val="1"/>
      <w:marLeft w:val="0"/>
      <w:marRight w:val="0"/>
      <w:marTop w:val="0"/>
      <w:marBottom w:val="0"/>
      <w:divBdr>
        <w:top w:val="none" w:sz="0" w:space="0" w:color="auto"/>
        <w:left w:val="none" w:sz="0" w:space="0" w:color="auto"/>
        <w:bottom w:val="none" w:sz="0" w:space="0" w:color="auto"/>
        <w:right w:val="none" w:sz="0" w:space="0" w:color="auto"/>
      </w:divBdr>
    </w:div>
    <w:div w:id="1837106985">
      <w:bodyDiv w:val="1"/>
      <w:marLeft w:val="0"/>
      <w:marRight w:val="0"/>
      <w:marTop w:val="0"/>
      <w:marBottom w:val="0"/>
      <w:divBdr>
        <w:top w:val="none" w:sz="0" w:space="0" w:color="auto"/>
        <w:left w:val="none" w:sz="0" w:space="0" w:color="auto"/>
        <w:bottom w:val="none" w:sz="0" w:space="0" w:color="auto"/>
        <w:right w:val="none" w:sz="0" w:space="0" w:color="auto"/>
      </w:divBdr>
    </w:div>
    <w:div w:id="1913153097">
      <w:bodyDiv w:val="1"/>
      <w:marLeft w:val="0"/>
      <w:marRight w:val="0"/>
      <w:marTop w:val="0"/>
      <w:marBottom w:val="0"/>
      <w:divBdr>
        <w:top w:val="none" w:sz="0" w:space="0" w:color="auto"/>
        <w:left w:val="none" w:sz="0" w:space="0" w:color="auto"/>
        <w:bottom w:val="none" w:sz="0" w:space="0" w:color="auto"/>
        <w:right w:val="none" w:sz="0" w:space="0" w:color="auto"/>
      </w:divBdr>
    </w:div>
    <w:div w:id="1915427593">
      <w:bodyDiv w:val="1"/>
      <w:marLeft w:val="0"/>
      <w:marRight w:val="0"/>
      <w:marTop w:val="0"/>
      <w:marBottom w:val="0"/>
      <w:divBdr>
        <w:top w:val="none" w:sz="0" w:space="0" w:color="auto"/>
        <w:left w:val="none" w:sz="0" w:space="0" w:color="auto"/>
        <w:bottom w:val="none" w:sz="0" w:space="0" w:color="auto"/>
        <w:right w:val="none" w:sz="0" w:space="0" w:color="auto"/>
      </w:divBdr>
    </w:div>
    <w:div w:id="1929267377">
      <w:bodyDiv w:val="1"/>
      <w:marLeft w:val="0"/>
      <w:marRight w:val="0"/>
      <w:marTop w:val="0"/>
      <w:marBottom w:val="0"/>
      <w:divBdr>
        <w:top w:val="none" w:sz="0" w:space="0" w:color="auto"/>
        <w:left w:val="none" w:sz="0" w:space="0" w:color="auto"/>
        <w:bottom w:val="none" w:sz="0" w:space="0" w:color="auto"/>
        <w:right w:val="none" w:sz="0" w:space="0" w:color="auto"/>
      </w:divBdr>
    </w:div>
    <w:div w:id="1990934428">
      <w:bodyDiv w:val="1"/>
      <w:marLeft w:val="0"/>
      <w:marRight w:val="0"/>
      <w:marTop w:val="0"/>
      <w:marBottom w:val="0"/>
      <w:divBdr>
        <w:top w:val="none" w:sz="0" w:space="0" w:color="auto"/>
        <w:left w:val="none" w:sz="0" w:space="0" w:color="auto"/>
        <w:bottom w:val="none" w:sz="0" w:space="0" w:color="auto"/>
        <w:right w:val="none" w:sz="0" w:space="0" w:color="auto"/>
      </w:divBdr>
    </w:div>
    <w:div w:id="2027704505">
      <w:bodyDiv w:val="1"/>
      <w:marLeft w:val="0"/>
      <w:marRight w:val="0"/>
      <w:marTop w:val="0"/>
      <w:marBottom w:val="0"/>
      <w:divBdr>
        <w:top w:val="none" w:sz="0" w:space="0" w:color="auto"/>
        <w:left w:val="none" w:sz="0" w:space="0" w:color="auto"/>
        <w:bottom w:val="none" w:sz="0" w:space="0" w:color="auto"/>
        <w:right w:val="none" w:sz="0" w:space="0" w:color="auto"/>
      </w:divBdr>
    </w:div>
    <w:div w:id="2028095902">
      <w:bodyDiv w:val="1"/>
      <w:marLeft w:val="0"/>
      <w:marRight w:val="0"/>
      <w:marTop w:val="0"/>
      <w:marBottom w:val="0"/>
      <w:divBdr>
        <w:top w:val="none" w:sz="0" w:space="0" w:color="auto"/>
        <w:left w:val="none" w:sz="0" w:space="0" w:color="auto"/>
        <w:bottom w:val="none" w:sz="0" w:space="0" w:color="auto"/>
        <w:right w:val="none" w:sz="0" w:space="0" w:color="auto"/>
      </w:divBdr>
    </w:div>
    <w:div w:id="2036424721">
      <w:bodyDiv w:val="1"/>
      <w:marLeft w:val="0"/>
      <w:marRight w:val="0"/>
      <w:marTop w:val="0"/>
      <w:marBottom w:val="0"/>
      <w:divBdr>
        <w:top w:val="none" w:sz="0" w:space="0" w:color="auto"/>
        <w:left w:val="none" w:sz="0" w:space="0" w:color="auto"/>
        <w:bottom w:val="none" w:sz="0" w:space="0" w:color="auto"/>
        <w:right w:val="none" w:sz="0" w:space="0" w:color="auto"/>
      </w:divBdr>
    </w:div>
    <w:div w:id="204658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54</TotalTime>
  <Pages>10</Pages>
  <Words>2344</Words>
  <Characters>15335</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2024122853 mt</dc:description>
  <cp:lastModifiedBy>Hanne Thy Iversen</cp:lastModifiedBy>
  <cp:revision>14</cp:revision>
  <cp:lastPrinted>2012-08-22T08:53:00Z</cp:lastPrinted>
  <dcterms:created xsi:type="dcterms:W3CDTF">2025-10-30T11:26:00Z</dcterms:created>
  <dcterms:modified xsi:type="dcterms:W3CDTF">2025-10-30T13:42:00Z</dcterms:modified>
</cp:coreProperties>
</file>