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32339" w14:textId="3A57FB57" w:rsidR="009260DE" w:rsidRPr="00D831EC" w:rsidRDefault="0021526C" w:rsidP="00D831EC">
      <w:pPr>
        <w:rPr>
          <w:b/>
          <w:sz w:val="24"/>
          <w:szCs w:val="24"/>
        </w:rPr>
      </w:pPr>
      <w:r w:rsidRPr="00D831EC">
        <w:rPr>
          <w:noProof/>
          <w:sz w:val="24"/>
          <w:szCs w:val="24"/>
          <w:lang w:eastAsia="da-DK"/>
        </w:rPr>
        <w:drawing>
          <wp:anchor distT="0" distB="0" distL="114300" distR="114300" simplePos="0" relativeHeight="251658240" behindDoc="0" locked="0" layoutInCell="1" allowOverlap="1" wp14:anchorId="4D7B6F4F" wp14:editId="136A0125">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D831EC">
        <w:rPr>
          <w:sz w:val="24"/>
          <w:szCs w:val="24"/>
        </w:rPr>
        <w:br w:type="textWrapping" w:clear="all"/>
      </w:r>
    </w:p>
    <w:p w14:paraId="45EB1E78" w14:textId="054D4D44" w:rsidR="009260DE" w:rsidRPr="00D831EC" w:rsidRDefault="009260DE" w:rsidP="009260DE">
      <w:pPr>
        <w:pStyle w:val="Titel"/>
        <w:tabs>
          <w:tab w:val="right" w:pos="9356"/>
        </w:tabs>
        <w:jc w:val="left"/>
        <w:rPr>
          <w:b w:val="0"/>
          <w:szCs w:val="24"/>
          <w:lang w:eastAsia="en-US"/>
        </w:rPr>
      </w:pPr>
      <w:r w:rsidRPr="00D831EC">
        <w:rPr>
          <w:b w:val="0"/>
          <w:szCs w:val="24"/>
          <w:lang w:eastAsia="en-US"/>
        </w:rPr>
        <w:tab/>
      </w:r>
      <w:r w:rsidR="007B2E23">
        <w:rPr>
          <w:szCs w:val="24"/>
        </w:rPr>
        <w:t>17. juli 2026</w:t>
      </w:r>
    </w:p>
    <w:p w14:paraId="67FCB67C" w14:textId="77777777" w:rsidR="009260DE" w:rsidRPr="00D831EC" w:rsidRDefault="009260DE" w:rsidP="009260DE">
      <w:pPr>
        <w:pStyle w:val="Titel"/>
        <w:tabs>
          <w:tab w:val="left" w:pos="8222"/>
        </w:tabs>
        <w:jc w:val="left"/>
        <w:rPr>
          <w:b w:val="0"/>
          <w:szCs w:val="24"/>
        </w:rPr>
      </w:pPr>
    </w:p>
    <w:p w14:paraId="64F1AB88" w14:textId="77777777" w:rsidR="009260DE" w:rsidRPr="00D831EC" w:rsidRDefault="009260DE" w:rsidP="009260DE">
      <w:pPr>
        <w:pStyle w:val="Titel"/>
        <w:jc w:val="left"/>
        <w:rPr>
          <w:b w:val="0"/>
          <w:szCs w:val="24"/>
        </w:rPr>
      </w:pPr>
    </w:p>
    <w:p w14:paraId="264E5D3F" w14:textId="77777777" w:rsidR="009260DE" w:rsidRPr="00D831EC" w:rsidRDefault="009260DE" w:rsidP="009260DE">
      <w:pPr>
        <w:pStyle w:val="Titel"/>
        <w:jc w:val="left"/>
        <w:rPr>
          <w:b w:val="0"/>
          <w:szCs w:val="24"/>
        </w:rPr>
      </w:pPr>
    </w:p>
    <w:p w14:paraId="275BEF63" w14:textId="77777777" w:rsidR="009260DE" w:rsidRPr="00D831EC" w:rsidRDefault="009260DE" w:rsidP="009260DE">
      <w:pPr>
        <w:jc w:val="center"/>
        <w:rPr>
          <w:b/>
          <w:sz w:val="24"/>
          <w:szCs w:val="24"/>
        </w:rPr>
      </w:pPr>
      <w:r w:rsidRPr="00D831EC">
        <w:rPr>
          <w:b/>
          <w:sz w:val="24"/>
          <w:szCs w:val="24"/>
        </w:rPr>
        <w:t>PRODUKTRESUMÉ</w:t>
      </w:r>
    </w:p>
    <w:p w14:paraId="0CFB76F8" w14:textId="77777777" w:rsidR="009260DE" w:rsidRPr="00D831EC" w:rsidRDefault="009260DE" w:rsidP="009260DE">
      <w:pPr>
        <w:jc w:val="center"/>
        <w:rPr>
          <w:b/>
          <w:sz w:val="24"/>
          <w:szCs w:val="24"/>
        </w:rPr>
      </w:pPr>
    </w:p>
    <w:p w14:paraId="260FBEF1" w14:textId="77777777" w:rsidR="009260DE" w:rsidRPr="00D831EC" w:rsidRDefault="009260DE" w:rsidP="009260DE">
      <w:pPr>
        <w:jc w:val="center"/>
        <w:rPr>
          <w:b/>
          <w:sz w:val="24"/>
          <w:szCs w:val="24"/>
        </w:rPr>
      </w:pPr>
      <w:r w:rsidRPr="00D831EC">
        <w:rPr>
          <w:b/>
          <w:sz w:val="24"/>
          <w:szCs w:val="24"/>
        </w:rPr>
        <w:t>for</w:t>
      </w:r>
    </w:p>
    <w:p w14:paraId="451CFBE4" w14:textId="77777777" w:rsidR="000B058C" w:rsidRPr="00D831EC" w:rsidRDefault="000B058C" w:rsidP="009260DE">
      <w:pPr>
        <w:jc w:val="center"/>
        <w:rPr>
          <w:b/>
          <w:sz w:val="24"/>
          <w:szCs w:val="24"/>
        </w:rPr>
      </w:pPr>
    </w:p>
    <w:p w14:paraId="03F83997" w14:textId="1EBE914C" w:rsidR="009260DE" w:rsidRPr="00D831EC" w:rsidRDefault="00080EF5" w:rsidP="009260DE">
      <w:pPr>
        <w:jc w:val="center"/>
        <w:rPr>
          <w:b/>
          <w:sz w:val="24"/>
          <w:szCs w:val="24"/>
        </w:rPr>
      </w:pPr>
      <w:r w:rsidRPr="00D831EC">
        <w:rPr>
          <w:b/>
          <w:sz w:val="24"/>
          <w:szCs w:val="24"/>
        </w:rPr>
        <w:t>Ringer-laktat "Noridem", infusionsvæske, opløsning</w:t>
      </w:r>
    </w:p>
    <w:p w14:paraId="64C60E93" w14:textId="77777777" w:rsidR="009260DE" w:rsidRPr="00D831EC" w:rsidRDefault="009260DE" w:rsidP="009260DE">
      <w:pPr>
        <w:jc w:val="both"/>
        <w:rPr>
          <w:sz w:val="24"/>
          <w:szCs w:val="24"/>
        </w:rPr>
      </w:pPr>
    </w:p>
    <w:p w14:paraId="1D2A0A80" w14:textId="77777777" w:rsidR="009260DE" w:rsidRPr="00D831EC" w:rsidRDefault="009260DE" w:rsidP="009260DE">
      <w:pPr>
        <w:jc w:val="both"/>
        <w:rPr>
          <w:sz w:val="24"/>
          <w:szCs w:val="24"/>
        </w:rPr>
      </w:pPr>
    </w:p>
    <w:p w14:paraId="70E195F5" w14:textId="77777777" w:rsidR="009260DE" w:rsidRPr="00D831EC" w:rsidRDefault="009260DE" w:rsidP="009260DE">
      <w:pPr>
        <w:tabs>
          <w:tab w:val="left" w:pos="851"/>
        </w:tabs>
        <w:ind w:left="851" w:hanging="851"/>
        <w:rPr>
          <w:b/>
          <w:sz w:val="24"/>
          <w:szCs w:val="24"/>
        </w:rPr>
      </w:pPr>
      <w:r w:rsidRPr="00D831EC">
        <w:rPr>
          <w:b/>
          <w:sz w:val="24"/>
          <w:szCs w:val="24"/>
        </w:rPr>
        <w:t>0.</w:t>
      </w:r>
      <w:r w:rsidRPr="00D831EC">
        <w:rPr>
          <w:b/>
          <w:sz w:val="24"/>
          <w:szCs w:val="24"/>
        </w:rPr>
        <w:tab/>
        <w:t>D.SP.NR.</w:t>
      </w:r>
    </w:p>
    <w:p w14:paraId="1942C075" w14:textId="4AB32873" w:rsidR="009260DE" w:rsidRPr="00D831EC" w:rsidRDefault="00D831EC" w:rsidP="009260DE">
      <w:pPr>
        <w:tabs>
          <w:tab w:val="left" w:pos="851"/>
        </w:tabs>
        <w:ind w:left="851"/>
        <w:rPr>
          <w:sz w:val="24"/>
          <w:szCs w:val="24"/>
        </w:rPr>
      </w:pPr>
      <w:r w:rsidRPr="00D831EC">
        <w:rPr>
          <w:sz w:val="24"/>
          <w:szCs w:val="24"/>
        </w:rPr>
        <w:t>34246</w:t>
      </w:r>
    </w:p>
    <w:p w14:paraId="30DE0413" w14:textId="77777777" w:rsidR="009260DE" w:rsidRPr="00D831EC" w:rsidRDefault="009260DE" w:rsidP="009260DE">
      <w:pPr>
        <w:tabs>
          <w:tab w:val="left" w:pos="851"/>
        </w:tabs>
        <w:ind w:left="851"/>
        <w:rPr>
          <w:sz w:val="24"/>
          <w:szCs w:val="24"/>
        </w:rPr>
      </w:pPr>
    </w:p>
    <w:p w14:paraId="504F0FE3" w14:textId="77777777" w:rsidR="009260DE" w:rsidRPr="00D831EC" w:rsidRDefault="009260DE" w:rsidP="009260DE">
      <w:pPr>
        <w:tabs>
          <w:tab w:val="left" w:pos="851"/>
        </w:tabs>
        <w:ind w:left="851" w:hanging="851"/>
        <w:rPr>
          <w:b/>
          <w:sz w:val="24"/>
          <w:szCs w:val="24"/>
        </w:rPr>
      </w:pPr>
      <w:r w:rsidRPr="00D831EC">
        <w:rPr>
          <w:b/>
          <w:sz w:val="24"/>
          <w:szCs w:val="24"/>
        </w:rPr>
        <w:t>1.</w:t>
      </w:r>
      <w:r w:rsidRPr="00D831EC">
        <w:rPr>
          <w:b/>
          <w:sz w:val="24"/>
          <w:szCs w:val="24"/>
        </w:rPr>
        <w:tab/>
        <w:t>LÆGEMIDLETS NAVN</w:t>
      </w:r>
    </w:p>
    <w:p w14:paraId="04216025" w14:textId="0A82DA93" w:rsidR="009260DE" w:rsidRPr="00D831EC" w:rsidRDefault="00080EF5" w:rsidP="009260DE">
      <w:pPr>
        <w:tabs>
          <w:tab w:val="left" w:pos="851"/>
        </w:tabs>
        <w:ind w:left="851"/>
        <w:rPr>
          <w:sz w:val="24"/>
          <w:szCs w:val="24"/>
        </w:rPr>
      </w:pPr>
      <w:r w:rsidRPr="00D831EC">
        <w:rPr>
          <w:sz w:val="24"/>
          <w:szCs w:val="24"/>
        </w:rPr>
        <w:t>Ringer-laktat "Noridem"</w:t>
      </w:r>
    </w:p>
    <w:p w14:paraId="0F721568" w14:textId="77777777" w:rsidR="009260DE" w:rsidRPr="00D831EC" w:rsidRDefault="009260DE" w:rsidP="009260DE">
      <w:pPr>
        <w:tabs>
          <w:tab w:val="left" w:pos="851"/>
        </w:tabs>
        <w:ind w:left="851"/>
        <w:rPr>
          <w:sz w:val="24"/>
          <w:szCs w:val="24"/>
        </w:rPr>
      </w:pPr>
    </w:p>
    <w:p w14:paraId="26ABDF78" w14:textId="77777777" w:rsidR="009260DE" w:rsidRPr="00D831EC" w:rsidRDefault="009260DE" w:rsidP="009260DE">
      <w:pPr>
        <w:tabs>
          <w:tab w:val="left" w:pos="851"/>
        </w:tabs>
        <w:ind w:left="851" w:hanging="851"/>
        <w:rPr>
          <w:b/>
          <w:sz w:val="24"/>
          <w:szCs w:val="24"/>
        </w:rPr>
      </w:pPr>
      <w:r w:rsidRPr="00D831EC">
        <w:rPr>
          <w:b/>
          <w:sz w:val="24"/>
          <w:szCs w:val="24"/>
        </w:rPr>
        <w:t>2.</w:t>
      </w:r>
      <w:r w:rsidRPr="00D831EC">
        <w:rPr>
          <w:b/>
          <w:sz w:val="24"/>
          <w:szCs w:val="24"/>
        </w:rPr>
        <w:tab/>
        <w:t>KVALITATIV OG KVANTITATIV SAMMENSÆTNING</w:t>
      </w:r>
    </w:p>
    <w:p w14:paraId="7A3600AB" w14:textId="77777777" w:rsidR="00D831EC" w:rsidRPr="00D831EC" w:rsidRDefault="00D831EC" w:rsidP="00D831EC">
      <w:pPr>
        <w:ind w:left="851"/>
        <w:rPr>
          <w:sz w:val="24"/>
          <w:szCs w:val="24"/>
        </w:rPr>
      </w:pPr>
      <w:r w:rsidRPr="00D831EC">
        <w:rPr>
          <w:sz w:val="24"/>
          <w:szCs w:val="24"/>
        </w:rPr>
        <w:t xml:space="preserve">1000 ml (1 liter) indeholder: </w:t>
      </w:r>
    </w:p>
    <w:p w14:paraId="04C49A7C" w14:textId="77777777" w:rsidR="00D831EC" w:rsidRPr="00D831EC" w:rsidRDefault="00D831EC" w:rsidP="00D831EC">
      <w:pPr>
        <w:ind w:left="851"/>
        <w:rPr>
          <w:sz w:val="24"/>
          <w:szCs w:val="24"/>
        </w:rPr>
      </w:pPr>
    </w:p>
    <w:p w14:paraId="05672BFE" w14:textId="77777777" w:rsidR="00D831EC" w:rsidRPr="007B2E23" w:rsidRDefault="00D831EC" w:rsidP="00D831EC">
      <w:pPr>
        <w:ind w:left="851"/>
        <w:rPr>
          <w:sz w:val="24"/>
          <w:szCs w:val="24"/>
          <w:lang w:val="en-US"/>
        </w:rPr>
      </w:pPr>
      <w:bookmarkStart w:id="0" w:name="_Hlk235098809"/>
      <w:r w:rsidRPr="007B2E23">
        <w:rPr>
          <w:sz w:val="24"/>
          <w:szCs w:val="24"/>
          <w:lang w:val="en-US"/>
        </w:rPr>
        <w:t>Natriumchlorid</w:t>
      </w:r>
      <w:bookmarkEnd w:id="0"/>
      <w:r w:rsidRPr="007B2E23">
        <w:rPr>
          <w:sz w:val="24"/>
          <w:szCs w:val="24"/>
          <w:lang w:val="en-US"/>
        </w:rPr>
        <w:t>: 6,00 g/l</w:t>
      </w:r>
    </w:p>
    <w:p w14:paraId="620F5170" w14:textId="77777777" w:rsidR="00D831EC" w:rsidRPr="007B2E23" w:rsidRDefault="00D831EC" w:rsidP="00D831EC">
      <w:pPr>
        <w:ind w:left="851"/>
        <w:rPr>
          <w:sz w:val="24"/>
          <w:szCs w:val="24"/>
          <w:lang w:val="en-US"/>
        </w:rPr>
      </w:pPr>
      <w:bookmarkStart w:id="1" w:name="_Hlk235098818"/>
      <w:r w:rsidRPr="007B2E23">
        <w:rPr>
          <w:sz w:val="24"/>
          <w:szCs w:val="24"/>
          <w:lang w:val="en-US"/>
        </w:rPr>
        <w:t>Kaliumchlorid</w:t>
      </w:r>
      <w:bookmarkEnd w:id="1"/>
      <w:r w:rsidRPr="007B2E23">
        <w:rPr>
          <w:sz w:val="24"/>
          <w:szCs w:val="24"/>
          <w:lang w:val="en-US"/>
        </w:rPr>
        <w:t>: 0,40 g/l</w:t>
      </w:r>
    </w:p>
    <w:p w14:paraId="00B42F4D" w14:textId="77777777" w:rsidR="00D831EC" w:rsidRPr="007B2E23" w:rsidRDefault="00D831EC" w:rsidP="00D831EC">
      <w:pPr>
        <w:ind w:left="851"/>
        <w:rPr>
          <w:sz w:val="24"/>
          <w:szCs w:val="24"/>
          <w:lang w:val="en-US"/>
        </w:rPr>
      </w:pPr>
      <w:bookmarkStart w:id="2" w:name="_Hlk235098829"/>
      <w:r w:rsidRPr="007B2E23">
        <w:rPr>
          <w:sz w:val="24"/>
          <w:szCs w:val="24"/>
          <w:lang w:val="en-US"/>
        </w:rPr>
        <w:t>Calciumchloriddihydrat</w:t>
      </w:r>
      <w:bookmarkEnd w:id="2"/>
      <w:r w:rsidRPr="007B2E23">
        <w:rPr>
          <w:sz w:val="24"/>
          <w:szCs w:val="24"/>
          <w:lang w:val="en-US"/>
        </w:rPr>
        <w:t>: 0,27 g/l</w:t>
      </w:r>
    </w:p>
    <w:p w14:paraId="1B8748E2" w14:textId="77777777" w:rsidR="00D831EC" w:rsidRPr="00D831EC" w:rsidRDefault="00D831EC" w:rsidP="00D831EC">
      <w:pPr>
        <w:ind w:left="851"/>
        <w:rPr>
          <w:sz w:val="24"/>
          <w:szCs w:val="24"/>
          <w:lang w:val="en-US"/>
        </w:rPr>
      </w:pPr>
      <w:bookmarkStart w:id="3" w:name="_Hlk235098839"/>
      <w:r w:rsidRPr="00D831EC">
        <w:rPr>
          <w:sz w:val="24"/>
          <w:szCs w:val="24"/>
          <w:lang w:val="en-US"/>
        </w:rPr>
        <w:t>Natriumlaktat</w:t>
      </w:r>
      <w:bookmarkEnd w:id="3"/>
      <w:r w:rsidRPr="00D831EC">
        <w:rPr>
          <w:sz w:val="24"/>
          <w:szCs w:val="24"/>
          <w:lang w:val="en-US"/>
        </w:rPr>
        <w:t>: 3,20 g/l</w:t>
      </w:r>
    </w:p>
    <w:p w14:paraId="3003CA83" w14:textId="77777777" w:rsidR="00D831EC" w:rsidRPr="00D831EC" w:rsidRDefault="00D831EC" w:rsidP="00D831EC">
      <w:pPr>
        <w:tabs>
          <w:tab w:val="left" w:pos="851"/>
        </w:tabs>
        <w:ind w:left="851"/>
        <w:rPr>
          <w:sz w:val="24"/>
          <w:szCs w:val="24"/>
          <w:lang w:val="en-US"/>
        </w:rPr>
      </w:pPr>
    </w:p>
    <w:tbl>
      <w:tblPr>
        <w:tblStyle w:val="Tabel-Gitter"/>
        <w:tblW w:w="0" w:type="auto"/>
        <w:tblInd w:w="846" w:type="dxa"/>
        <w:tblLook w:val="04A0" w:firstRow="1" w:lastRow="0" w:firstColumn="1" w:lastColumn="0" w:noHBand="0" w:noVBand="1"/>
      </w:tblPr>
      <w:tblGrid>
        <w:gridCol w:w="1271"/>
        <w:gridCol w:w="1134"/>
        <w:gridCol w:w="1134"/>
        <w:gridCol w:w="1276"/>
        <w:gridCol w:w="1134"/>
        <w:gridCol w:w="1276"/>
      </w:tblGrid>
      <w:tr w:rsidR="00D831EC" w:rsidRPr="00D831EC" w14:paraId="40F11AFB" w14:textId="77777777" w:rsidTr="00D831EC">
        <w:tc>
          <w:tcPr>
            <w:tcW w:w="1271" w:type="dxa"/>
            <w:tcBorders>
              <w:top w:val="single" w:sz="4" w:space="0" w:color="auto"/>
              <w:left w:val="single" w:sz="4" w:space="0" w:color="auto"/>
              <w:bottom w:val="single" w:sz="4" w:space="0" w:color="auto"/>
              <w:right w:val="single" w:sz="4" w:space="0" w:color="auto"/>
            </w:tcBorders>
          </w:tcPr>
          <w:p w14:paraId="1C7CE2B7" w14:textId="77777777" w:rsidR="00D831EC" w:rsidRPr="00D831EC" w:rsidRDefault="00D831EC" w:rsidP="00D831EC">
            <w:pPr>
              <w:ind w:left="32"/>
              <w:rPr>
                <w:sz w:val="24"/>
                <w:szCs w:val="24"/>
                <w:lang w:val="en-US"/>
              </w:rPr>
            </w:pPr>
            <w:bookmarkStart w:id="4" w:name="_Hlk210741137"/>
          </w:p>
        </w:tc>
        <w:tc>
          <w:tcPr>
            <w:tcW w:w="1134" w:type="dxa"/>
            <w:tcBorders>
              <w:top w:val="single" w:sz="4" w:space="0" w:color="auto"/>
              <w:left w:val="single" w:sz="4" w:space="0" w:color="auto"/>
              <w:bottom w:val="single" w:sz="4" w:space="0" w:color="auto"/>
              <w:right w:val="single" w:sz="4" w:space="0" w:color="auto"/>
            </w:tcBorders>
            <w:hideMark/>
          </w:tcPr>
          <w:p w14:paraId="7E123D83" w14:textId="77777777" w:rsidR="00D831EC" w:rsidRPr="00D831EC" w:rsidRDefault="00D831EC" w:rsidP="00D831EC">
            <w:pPr>
              <w:ind w:left="32"/>
              <w:rPr>
                <w:sz w:val="24"/>
                <w:szCs w:val="24"/>
              </w:rPr>
            </w:pPr>
            <w:r w:rsidRPr="00D831EC">
              <w:rPr>
                <w:b/>
                <w:sz w:val="24"/>
                <w:szCs w:val="24"/>
              </w:rPr>
              <w:t>Na</w:t>
            </w:r>
            <w:r w:rsidRPr="00D831EC">
              <w:rPr>
                <w:b/>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hideMark/>
          </w:tcPr>
          <w:p w14:paraId="1CCEC789" w14:textId="77777777" w:rsidR="00D831EC" w:rsidRPr="00D831EC" w:rsidRDefault="00D831EC" w:rsidP="00D831EC">
            <w:pPr>
              <w:ind w:left="32"/>
              <w:rPr>
                <w:sz w:val="24"/>
                <w:szCs w:val="24"/>
              </w:rPr>
            </w:pPr>
            <w:r w:rsidRPr="00D831EC">
              <w:rPr>
                <w:b/>
                <w:sz w:val="24"/>
                <w:szCs w:val="24"/>
              </w:rPr>
              <w:t>K</w:t>
            </w:r>
            <w:r w:rsidRPr="00D831EC">
              <w:rPr>
                <w:b/>
                <w:sz w:val="24"/>
                <w:szCs w:val="24"/>
                <w:vertAlign w:val="superscript"/>
              </w:rPr>
              <w:t>+</w:t>
            </w:r>
          </w:p>
        </w:tc>
        <w:tc>
          <w:tcPr>
            <w:tcW w:w="1276" w:type="dxa"/>
            <w:tcBorders>
              <w:top w:val="single" w:sz="4" w:space="0" w:color="auto"/>
              <w:left w:val="single" w:sz="4" w:space="0" w:color="auto"/>
              <w:bottom w:val="single" w:sz="4" w:space="0" w:color="auto"/>
              <w:right w:val="single" w:sz="4" w:space="0" w:color="auto"/>
            </w:tcBorders>
            <w:hideMark/>
          </w:tcPr>
          <w:p w14:paraId="43C99515" w14:textId="77777777" w:rsidR="00D831EC" w:rsidRPr="00D831EC" w:rsidRDefault="00D831EC" w:rsidP="00D831EC">
            <w:pPr>
              <w:ind w:left="32"/>
              <w:rPr>
                <w:sz w:val="24"/>
                <w:szCs w:val="24"/>
              </w:rPr>
            </w:pPr>
            <w:r w:rsidRPr="00D831EC">
              <w:rPr>
                <w:b/>
                <w:sz w:val="24"/>
                <w:szCs w:val="24"/>
              </w:rPr>
              <w:t>Ca</w:t>
            </w:r>
            <w:r w:rsidRPr="00D831EC">
              <w:rPr>
                <w:b/>
                <w:sz w:val="24"/>
                <w:szCs w:val="24"/>
                <w:vertAlign w:val="superscript"/>
              </w:rPr>
              <w:t>++</w:t>
            </w:r>
          </w:p>
        </w:tc>
        <w:tc>
          <w:tcPr>
            <w:tcW w:w="1134" w:type="dxa"/>
            <w:tcBorders>
              <w:top w:val="single" w:sz="4" w:space="0" w:color="auto"/>
              <w:left w:val="single" w:sz="4" w:space="0" w:color="auto"/>
              <w:bottom w:val="single" w:sz="4" w:space="0" w:color="auto"/>
              <w:right w:val="single" w:sz="4" w:space="0" w:color="auto"/>
            </w:tcBorders>
            <w:hideMark/>
          </w:tcPr>
          <w:p w14:paraId="276916F4" w14:textId="77777777" w:rsidR="00D831EC" w:rsidRPr="00D831EC" w:rsidRDefault="00D831EC" w:rsidP="00D831EC">
            <w:pPr>
              <w:ind w:left="32"/>
              <w:rPr>
                <w:sz w:val="24"/>
                <w:szCs w:val="24"/>
              </w:rPr>
            </w:pPr>
            <w:r w:rsidRPr="00D831EC">
              <w:rPr>
                <w:b/>
                <w:sz w:val="24"/>
                <w:szCs w:val="24"/>
              </w:rPr>
              <w:t>Cl</w:t>
            </w:r>
            <w:r w:rsidRPr="00D831EC">
              <w:rPr>
                <w:b/>
                <w:sz w:val="24"/>
                <w:szCs w:val="24"/>
                <w:vertAlign w:val="superscript"/>
              </w:rPr>
              <w:t>-</w:t>
            </w:r>
          </w:p>
        </w:tc>
        <w:tc>
          <w:tcPr>
            <w:tcW w:w="1276" w:type="dxa"/>
            <w:tcBorders>
              <w:top w:val="single" w:sz="4" w:space="0" w:color="auto"/>
              <w:left w:val="single" w:sz="4" w:space="0" w:color="auto"/>
              <w:bottom w:val="single" w:sz="4" w:space="0" w:color="auto"/>
              <w:right w:val="single" w:sz="4" w:space="0" w:color="auto"/>
            </w:tcBorders>
            <w:hideMark/>
          </w:tcPr>
          <w:p w14:paraId="05A25DB2" w14:textId="77777777" w:rsidR="00D831EC" w:rsidRPr="00D831EC" w:rsidRDefault="00D831EC" w:rsidP="00D831EC">
            <w:pPr>
              <w:ind w:left="32"/>
              <w:rPr>
                <w:sz w:val="24"/>
                <w:szCs w:val="24"/>
              </w:rPr>
            </w:pPr>
            <w:r w:rsidRPr="00D831EC">
              <w:rPr>
                <w:b/>
                <w:sz w:val="24"/>
                <w:szCs w:val="24"/>
              </w:rPr>
              <w:t>Laktat</w:t>
            </w:r>
          </w:p>
        </w:tc>
      </w:tr>
      <w:tr w:rsidR="00D831EC" w:rsidRPr="00D831EC" w14:paraId="04D7FEE5" w14:textId="77777777" w:rsidTr="00D831EC">
        <w:tc>
          <w:tcPr>
            <w:tcW w:w="1271" w:type="dxa"/>
            <w:tcBorders>
              <w:top w:val="single" w:sz="4" w:space="0" w:color="auto"/>
              <w:left w:val="single" w:sz="4" w:space="0" w:color="auto"/>
              <w:bottom w:val="single" w:sz="4" w:space="0" w:color="auto"/>
              <w:right w:val="single" w:sz="4" w:space="0" w:color="auto"/>
            </w:tcBorders>
            <w:hideMark/>
          </w:tcPr>
          <w:p w14:paraId="7CA4D430" w14:textId="77777777" w:rsidR="00D831EC" w:rsidRPr="00D831EC" w:rsidRDefault="00D831EC" w:rsidP="00D831EC">
            <w:pPr>
              <w:ind w:left="32"/>
              <w:rPr>
                <w:b/>
                <w:bCs/>
                <w:sz w:val="24"/>
                <w:szCs w:val="24"/>
              </w:rPr>
            </w:pPr>
            <w:r w:rsidRPr="00D831EC">
              <w:rPr>
                <w:b/>
                <w:sz w:val="24"/>
                <w:szCs w:val="24"/>
              </w:rPr>
              <w:t>mmol/L</w:t>
            </w:r>
          </w:p>
        </w:tc>
        <w:tc>
          <w:tcPr>
            <w:tcW w:w="1134" w:type="dxa"/>
            <w:tcBorders>
              <w:top w:val="single" w:sz="4" w:space="0" w:color="auto"/>
              <w:left w:val="single" w:sz="4" w:space="0" w:color="auto"/>
              <w:bottom w:val="single" w:sz="4" w:space="0" w:color="auto"/>
              <w:right w:val="single" w:sz="4" w:space="0" w:color="auto"/>
            </w:tcBorders>
            <w:hideMark/>
          </w:tcPr>
          <w:p w14:paraId="5A6D40CE" w14:textId="77777777" w:rsidR="00D831EC" w:rsidRPr="00D831EC" w:rsidRDefault="00D831EC" w:rsidP="00D831EC">
            <w:pPr>
              <w:ind w:left="32"/>
              <w:rPr>
                <w:sz w:val="24"/>
                <w:szCs w:val="24"/>
              </w:rPr>
            </w:pPr>
            <w:r w:rsidRPr="00D831EC">
              <w:rPr>
                <w:sz w:val="24"/>
                <w:szCs w:val="24"/>
              </w:rPr>
              <w:t>131</w:t>
            </w:r>
          </w:p>
        </w:tc>
        <w:tc>
          <w:tcPr>
            <w:tcW w:w="1134" w:type="dxa"/>
            <w:tcBorders>
              <w:top w:val="single" w:sz="4" w:space="0" w:color="auto"/>
              <w:left w:val="single" w:sz="4" w:space="0" w:color="auto"/>
              <w:bottom w:val="single" w:sz="4" w:space="0" w:color="auto"/>
              <w:right w:val="single" w:sz="4" w:space="0" w:color="auto"/>
            </w:tcBorders>
            <w:hideMark/>
          </w:tcPr>
          <w:p w14:paraId="2C5BF2FB" w14:textId="77777777" w:rsidR="00D831EC" w:rsidRPr="00D831EC" w:rsidRDefault="00D831EC" w:rsidP="00D831EC">
            <w:pPr>
              <w:ind w:left="32"/>
              <w:rPr>
                <w:sz w:val="24"/>
                <w:szCs w:val="24"/>
              </w:rPr>
            </w:pPr>
            <w:r w:rsidRPr="00D831EC">
              <w:rPr>
                <w:sz w:val="24"/>
                <w:szCs w:val="24"/>
              </w:rPr>
              <w:t>5,37</w:t>
            </w:r>
          </w:p>
        </w:tc>
        <w:tc>
          <w:tcPr>
            <w:tcW w:w="1276" w:type="dxa"/>
            <w:tcBorders>
              <w:top w:val="single" w:sz="4" w:space="0" w:color="auto"/>
              <w:left w:val="single" w:sz="4" w:space="0" w:color="auto"/>
              <w:bottom w:val="single" w:sz="4" w:space="0" w:color="auto"/>
              <w:right w:val="single" w:sz="4" w:space="0" w:color="auto"/>
            </w:tcBorders>
            <w:hideMark/>
          </w:tcPr>
          <w:p w14:paraId="5E856059" w14:textId="77777777" w:rsidR="00D831EC" w:rsidRPr="00D831EC" w:rsidRDefault="00D831EC" w:rsidP="00D831EC">
            <w:pPr>
              <w:ind w:left="32"/>
              <w:rPr>
                <w:sz w:val="24"/>
                <w:szCs w:val="24"/>
              </w:rPr>
            </w:pPr>
            <w:r w:rsidRPr="00D831EC">
              <w:rPr>
                <w:sz w:val="24"/>
                <w:szCs w:val="24"/>
              </w:rPr>
              <w:t>1,84</w:t>
            </w:r>
          </w:p>
        </w:tc>
        <w:tc>
          <w:tcPr>
            <w:tcW w:w="1134" w:type="dxa"/>
            <w:tcBorders>
              <w:top w:val="single" w:sz="4" w:space="0" w:color="auto"/>
              <w:left w:val="single" w:sz="4" w:space="0" w:color="auto"/>
              <w:bottom w:val="single" w:sz="4" w:space="0" w:color="auto"/>
              <w:right w:val="single" w:sz="4" w:space="0" w:color="auto"/>
            </w:tcBorders>
            <w:hideMark/>
          </w:tcPr>
          <w:p w14:paraId="3DCE1604" w14:textId="77777777" w:rsidR="00D831EC" w:rsidRPr="00D831EC" w:rsidRDefault="00D831EC" w:rsidP="00D831EC">
            <w:pPr>
              <w:ind w:left="32"/>
              <w:rPr>
                <w:sz w:val="24"/>
                <w:szCs w:val="24"/>
              </w:rPr>
            </w:pPr>
            <w:r w:rsidRPr="00D831EC">
              <w:rPr>
                <w:sz w:val="24"/>
                <w:szCs w:val="24"/>
              </w:rPr>
              <w:t>112</w:t>
            </w:r>
          </w:p>
        </w:tc>
        <w:tc>
          <w:tcPr>
            <w:tcW w:w="1276" w:type="dxa"/>
            <w:tcBorders>
              <w:top w:val="single" w:sz="4" w:space="0" w:color="auto"/>
              <w:left w:val="single" w:sz="4" w:space="0" w:color="auto"/>
              <w:bottom w:val="single" w:sz="4" w:space="0" w:color="auto"/>
              <w:right w:val="single" w:sz="4" w:space="0" w:color="auto"/>
            </w:tcBorders>
            <w:hideMark/>
          </w:tcPr>
          <w:p w14:paraId="262F6F92" w14:textId="77777777" w:rsidR="00D831EC" w:rsidRPr="00D831EC" w:rsidRDefault="00D831EC" w:rsidP="00D831EC">
            <w:pPr>
              <w:ind w:left="32"/>
              <w:rPr>
                <w:sz w:val="24"/>
                <w:szCs w:val="24"/>
              </w:rPr>
            </w:pPr>
            <w:r w:rsidRPr="00D831EC">
              <w:rPr>
                <w:sz w:val="24"/>
                <w:szCs w:val="24"/>
              </w:rPr>
              <w:t>28,6</w:t>
            </w:r>
          </w:p>
        </w:tc>
      </w:tr>
      <w:tr w:rsidR="00D831EC" w:rsidRPr="00D831EC" w14:paraId="47D37EC3" w14:textId="77777777" w:rsidTr="00D831EC">
        <w:tc>
          <w:tcPr>
            <w:tcW w:w="1271" w:type="dxa"/>
            <w:tcBorders>
              <w:top w:val="single" w:sz="4" w:space="0" w:color="auto"/>
              <w:left w:val="single" w:sz="4" w:space="0" w:color="auto"/>
              <w:bottom w:val="single" w:sz="4" w:space="0" w:color="auto"/>
              <w:right w:val="single" w:sz="4" w:space="0" w:color="auto"/>
            </w:tcBorders>
            <w:hideMark/>
          </w:tcPr>
          <w:p w14:paraId="6D5A5C46" w14:textId="77777777" w:rsidR="00D831EC" w:rsidRPr="00D831EC" w:rsidRDefault="00D831EC" w:rsidP="00D831EC">
            <w:pPr>
              <w:ind w:left="32"/>
              <w:rPr>
                <w:b/>
                <w:bCs/>
                <w:sz w:val="24"/>
                <w:szCs w:val="24"/>
              </w:rPr>
            </w:pPr>
            <w:r w:rsidRPr="00D831EC">
              <w:rPr>
                <w:b/>
                <w:sz w:val="24"/>
                <w:szCs w:val="24"/>
              </w:rPr>
              <w:t>mEq/L</w:t>
            </w:r>
          </w:p>
        </w:tc>
        <w:tc>
          <w:tcPr>
            <w:tcW w:w="1134" w:type="dxa"/>
            <w:tcBorders>
              <w:top w:val="single" w:sz="4" w:space="0" w:color="auto"/>
              <w:left w:val="single" w:sz="4" w:space="0" w:color="auto"/>
              <w:bottom w:val="single" w:sz="4" w:space="0" w:color="auto"/>
              <w:right w:val="single" w:sz="4" w:space="0" w:color="auto"/>
            </w:tcBorders>
            <w:hideMark/>
          </w:tcPr>
          <w:p w14:paraId="3E92D567" w14:textId="77777777" w:rsidR="00D831EC" w:rsidRPr="00D831EC" w:rsidRDefault="00D831EC" w:rsidP="00D831EC">
            <w:pPr>
              <w:ind w:left="32"/>
              <w:rPr>
                <w:sz w:val="24"/>
                <w:szCs w:val="24"/>
              </w:rPr>
            </w:pPr>
            <w:r w:rsidRPr="00D831EC">
              <w:rPr>
                <w:sz w:val="24"/>
                <w:szCs w:val="24"/>
              </w:rPr>
              <w:t>131</w:t>
            </w:r>
          </w:p>
        </w:tc>
        <w:tc>
          <w:tcPr>
            <w:tcW w:w="1134" w:type="dxa"/>
            <w:tcBorders>
              <w:top w:val="single" w:sz="4" w:space="0" w:color="auto"/>
              <w:left w:val="single" w:sz="4" w:space="0" w:color="auto"/>
              <w:bottom w:val="single" w:sz="4" w:space="0" w:color="auto"/>
              <w:right w:val="single" w:sz="4" w:space="0" w:color="auto"/>
            </w:tcBorders>
            <w:hideMark/>
          </w:tcPr>
          <w:p w14:paraId="2211A085" w14:textId="77777777" w:rsidR="00D831EC" w:rsidRPr="00D831EC" w:rsidRDefault="00D831EC" w:rsidP="00D831EC">
            <w:pPr>
              <w:ind w:left="32"/>
              <w:rPr>
                <w:sz w:val="24"/>
                <w:szCs w:val="24"/>
              </w:rPr>
            </w:pPr>
            <w:r w:rsidRPr="00D831EC">
              <w:rPr>
                <w:sz w:val="24"/>
                <w:szCs w:val="24"/>
              </w:rPr>
              <w:t>5,37</w:t>
            </w:r>
          </w:p>
        </w:tc>
        <w:tc>
          <w:tcPr>
            <w:tcW w:w="1276" w:type="dxa"/>
            <w:tcBorders>
              <w:top w:val="single" w:sz="4" w:space="0" w:color="auto"/>
              <w:left w:val="single" w:sz="4" w:space="0" w:color="auto"/>
              <w:bottom w:val="single" w:sz="4" w:space="0" w:color="auto"/>
              <w:right w:val="single" w:sz="4" w:space="0" w:color="auto"/>
            </w:tcBorders>
            <w:hideMark/>
          </w:tcPr>
          <w:p w14:paraId="1947C877" w14:textId="77777777" w:rsidR="00D831EC" w:rsidRPr="00D831EC" w:rsidRDefault="00D831EC" w:rsidP="00D831EC">
            <w:pPr>
              <w:ind w:left="32"/>
              <w:rPr>
                <w:sz w:val="24"/>
                <w:szCs w:val="24"/>
              </w:rPr>
            </w:pPr>
            <w:r w:rsidRPr="00D831EC">
              <w:rPr>
                <w:sz w:val="24"/>
                <w:szCs w:val="24"/>
              </w:rPr>
              <w:t>3,67</w:t>
            </w:r>
          </w:p>
        </w:tc>
        <w:tc>
          <w:tcPr>
            <w:tcW w:w="1134" w:type="dxa"/>
            <w:tcBorders>
              <w:top w:val="single" w:sz="4" w:space="0" w:color="auto"/>
              <w:left w:val="single" w:sz="4" w:space="0" w:color="auto"/>
              <w:bottom w:val="single" w:sz="4" w:space="0" w:color="auto"/>
              <w:right w:val="single" w:sz="4" w:space="0" w:color="auto"/>
            </w:tcBorders>
            <w:hideMark/>
          </w:tcPr>
          <w:p w14:paraId="71E22EE8" w14:textId="77777777" w:rsidR="00D831EC" w:rsidRPr="00D831EC" w:rsidRDefault="00D831EC" w:rsidP="00D831EC">
            <w:pPr>
              <w:ind w:left="32"/>
              <w:rPr>
                <w:sz w:val="24"/>
                <w:szCs w:val="24"/>
              </w:rPr>
            </w:pPr>
            <w:r w:rsidRPr="00D831EC">
              <w:rPr>
                <w:sz w:val="24"/>
                <w:szCs w:val="24"/>
              </w:rPr>
              <w:t>112</w:t>
            </w:r>
          </w:p>
        </w:tc>
        <w:tc>
          <w:tcPr>
            <w:tcW w:w="1276" w:type="dxa"/>
            <w:tcBorders>
              <w:top w:val="single" w:sz="4" w:space="0" w:color="auto"/>
              <w:left w:val="single" w:sz="4" w:space="0" w:color="auto"/>
              <w:bottom w:val="single" w:sz="4" w:space="0" w:color="auto"/>
              <w:right w:val="single" w:sz="4" w:space="0" w:color="auto"/>
            </w:tcBorders>
            <w:hideMark/>
          </w:tcPr>
          <w:p w14:paraId="0D2E6488" w14:textId="77777777" w:rsidR="00D831EC" w:rsidRPr="00D831EC" w:rsidRDefault="00D831EC" w:rsidP="00D831EC">
            <w:pPr>
              <w:ind w:left="32"/>
              <w:rPr>
                <w:sz w:val="24"/>
                <w:szCs w:val="24"/>
              </w:rPr>
            </w:pPr>
            <w:r w:rsidRPr="00D831EC">
              <w:rPr>
                <w:sz w:val="24"/>
                <w:szCs w:val="24"/>
              </w:rPr>
              <w:t>28,6</w:t>
            </w:r>
          </w:p>
        </w:tc>
      </w:tr>
      <w:bookmarkEnd w:id="4"/>
    </w:tbl>
    <w:p w14:paraId="17B2D203" w14:textId="77777777" w:rsidR="00D831EC" w:rsidRPr="00D831EC" w:rsidRDefault="00D831EC" w:rsidP="00D831EC">
      <w:pPr>
        <w:ind w:left="851"/>
        <w:rPr>
          <w:sz w:val="24"/>
          <w:szCs w:val="24"/>
        </w:rPr>
      </w:pPr>
    </w:p>
    <w:p w14:paraId="422F8865" w14:textId="77777777" w:rsidR="00D831EC" w:rsidRPr="00D831EC" w:rsidRDefault="00D831EC" w:rsidP="00D831EC">
      <w:pPr>
        <w:ind w:left="851"/>
        <w:rPr>
          <w:sz w:val="24"/>
          <w:szCs w:val="24"/>
        </w:rPr>
      </w:pPr>
      <w:r w:rsidRPr="00D831EC">
        <w:rPr>
          <w:sz w:val="24"/>
          <w:szCs w:val="24"/>
        </w:rPr>
        <w:t>Se pkt. 6.1 for en fuldstændig liste over hjælpestoffer.</w:t>
      </w:r>
    </w:p>
    <w:p w14:paraId="2864A471" w14:textId="77777777" w:rsidR="009260DE" w:rsidRPr="00D831EC" w:rsidRDefault="009260DE" w:rsidP="00D831EC">
      <w:pPr>
        <w:ind w:left="851"/>
        <w:rPr>
          <w:sz w:val="24"/>
          <w:szCs w:val="24"/>
        </w:rPr>
      </w:pPr>
    </w:p>
    <w:p w14:paraId="380541B1" w14:textId="77777777" w:rsidR="009260DE" w:rsidRPr="00D831EC" w:rsidRDefault="009260DE" w:rsidP="009260DE">
      <w:pPr>
        <w:tabs>
          <w:tab w:val="left" w:pos="851"/>
        </w:tabs>
        <w:ind w:left="851" w:hanging="851"/>
        <w:rPr>
          <w:b/>
          <w:sz w:val="24"/>
          <w:szCs w:val="24"/>
        </w:rPr>
      </w:pPr>
      <w:r w:rsidRPr="00D831EC">
        <w:rPr>
          <w:b/>
          <w:sz w:val="24"/>
          <w:szCs w:val="24"/>
        </w:rPr>
        <w:t>3.</w:t>
      </w:r>
      <w:r w:rsidRPr="00D831EC">
        <w:rPr>
          <w:b/>
          <w:sz w:val="24"/>
          <w:szCs w:val="24"/>
        </w:rPr>
        <w:tab/>
        <w:t>LÆGEMIDDELFORM</w:t>
      </w:r>
    </w:p>
    <w:p w14:paraId="2AF6F49D" w14:textId="7AE881F2" w:rsidR="00D831EC" w:rsidRPr="00D831EC" w:rsidRDefault="00D831EC" w:rsidP="00D831EC">
      <w:pPr>
        <w:ind w:left="851"/>
        <w:rPr>
          <w:sz w:val="24"/>
          <w:szCs w:val="24"/>
        </w:rPr>
      </w:pPr>
      <w:r w:rsidRPr="00D831EC">
        <w:rPr>
          <w:sz w:val="24"/>
          <w:szCs w:val="24"/>
        </w:rPr>
        <w:t>Infusionsvæske, opløsning</w:t>
      </w:r>
    </w:p>
    <w:p w14:paraId="5F13027A" w14:textId="77777777" w:rsidR="00D831EC" w:rsidRPr="00D831EC" w:rsidRDefault="00D831EC" w:rsidP="00D831EC">
      <w:pPr>
        <w:ind w:left="851"/>
        <w:rPr>
          <w:sz w:val="24"/>
          <w:szCs w:val="24"/>
        </w:rPr>
      </w:pPr>
    </w:p>
    <w:p w14:paraId="7752DB2F" w14:textId="77777777" w:rsidR="00D831EC" w:rsidRPr="00D831EC" w:rsidRDefault="00D831EC" w:rsidP="00D831EC">
      <w:pPr>
        <w:ind w:left="851"/>
        <w:rPr>
          <w:sz w:val="24"/>
          <w:szCs w:val="24"/>
        </w:rPr>
      </w:pPr>
      <w:r w:rsidRPr="00D831EC">
        <w:rPr>
          <w:sz w:val="24"/>
          <w:szCs w:val="24"/>
        </w:rPr>
        <w:t>Klar, farveløs opløsning fri for synlige partikler</w:t>
      </w:r>
    </w:p>
    <w:p w14:paraId="40AF843F" w14:textId="77777777" w:rsidR="00D831EC" w:rsidRPr="00D831EC" w:rsidRDefault="00D831EC" w:rsidP="00D831EC">
      <w:pPr>
        <w:ind w:left="851"/>
        <w:rPr>
          <w:sz w:val="24"/>
          <w:szCs w:val="24"/>
        </w:rPr>
      </w:pPr>
      <w:r w:rsidRPr="00D831EC">
        <w:rPr>
          <w:sz w:val="24"/>
          <w:szCs w:val="24"/>
        </w:rPr>
        <w:t xml:space="preserve">Osmolalitet: 240 - 275 mOsm/kg. </w:t>
      </w:r>
    </w:p>
    <w:p w14:paraId="28714D90" w14:textId="77777777" w:rsidR="00D831EC" w:rsidRPr="00D831EC" w:rsidRDefault="00D831EC" w:rsidP="00D831EC">
      <w:pPr>
        <w:ind w:left="851"/>
        <w:rPr>
          <w:sz w:val="24"/>
          <w:szCs w:val="24"/>
        </w:rPr>
      </w:pPr>
      <w:r w:rsidRPr="00D831EC">
        <w:rPr>
          <w:sz w:val="24"/>
          <w:szCs w:val="24"/>
        </w:rPr>
        <w:t>pH: 5,5 til 7,0</w:t>
      </w:r>
    </w:p>
    <w:p w14:paraId="2BE2A995" w14:textId="77777777" w:rsidR="009260DE" w:rsidRPr="00D831EC" w:rsidRDefault="009260DE" w:rsidP="009260DE">
      <w:pPr>
        <w:tabs>
          <w:tab w:val="left" w:pos="851"/>
        </w:tabs>
        <w:ind w:left="851"/>
        <w:rPr>
          <w:sz w:val="24"/>
          <w:szCs w:val="24"/>
        </w:rPr>
      </w:pPr>
    </w:p>
    <w:p w14:paraId="31907273" w14:textId="77777777" w:rsidR="009260DE" w:rsidRPr="00D831EC" w:rsidRDefault="009260DE" w:rsidP="009260DE">
      <w:pPr>
        <w:tabs>
          <w:tab w:val="left" w:pos="851"/>
        </w:tabs>
        <w:ind w:left="851"/>
        <w:rPr>
          <w:sz w:val="24"/>
          <w:szCs w:val="24"/>
        </w:rPr>
      </w:pPr>
    </w:p>
    <w:p w14:paraId="0D837DE5" w14:textId="77777777" w:rsidR="009260DE" w:rsidRPr="00D831EC" w:rsidRDefault="009260DE" w:rsidP="009260DE">
      <w:pPr>
        <w:tabs>
          <w:tab w:val="left" w:pos="851"/>
        </w:tabs>
        <w:ind w:left="851" w:hanging="851"/>
        <w:rPr>
          <w:b/>
          <w:sz w:val="24"/>
          <w:szCs w:val="24"/>
        </w:rPr>
      </w:pPr>
      <w:r w:rsidRPr="00D831EC">
        <w:rPr>
          <w:b/>
          <w:sz w:val="24"/>
          <w:szCs w:val="24"/>
        </w:rPr>
        <w:t>4.</w:t>
      </w:r>
      <w:r w:rsidRPr="00D831EC">
        <w:rPr>
          <w:b/>
          <w:sz w:val="24"/>
          <w:szCs w:val="24"/>
        </w:rPr>
        <w:tab/>
        <w:t>KLINISKE OPLYSNINGER</w:t>
      </w:r>
    </w:p>
    <w:p w14:paraId="0881850C" w14:textId="77777777" w:rsidR="009260DE" w:rsidRPr="00D831EC" w:rsidRDefault="009260DE" w:rsidP="009260DE">
      <w:pPr>
        <w:tabs>
          <w:tab w:val="left" w:pos="851"/>
        </w:tabs>
        <w:ind w:left="851"/>
        <w:rPr>
          <w:b/>
          <w:sz w:val="24"/>
          <w:szCs w:val="24"/>
        </w:rPr>
      </w:pPr>
    </w:p>
    <w:p w14:paraId="6BD9E271" w14:textId="77777777" w:rsidR="009260DE" w:rsidRPr="00D831EC" w:rsidRDefault="009260DE" w:rsidP="009260DE">
      <w:pPr>
        <w:tabs>
          <w:tab w:val="left" w:pos="851"/>
        </w:tabs>
        <w:ind w:left="851" w:hanging="851"/>
        <w:rPr>
          <w:b/>
          <w:sz w:val="24"/>
          <w:szCs w:val="24"/>
          <w:u w:val="single"/>
        </w:rPr>
      </w:pPr>
      <w:r w:rsidRPr="00D831EC">
        <w:rPr>
          <w:b/>
          <w:sz w:val="24"/>
          <w:szCs w:val="24"/>
        </w:rPr>
        <w:t>4.1</w:t>
      </w:r>
      <w:r w:rsidRPr="00D831EC">
        <w:rPr>
          <w:b/>
          <w:sz w:val="24"/>
          <w:szCs w:val="24"/>
        </w:rPr>
        <w:tab/>
        <w:t>Terapeutiske indikationer</w:t>
      </w:r>
    </w:p>
    <w:p w14:paraId="2761A0F2" w14:textId="074579B2" w:rsidR="00D831EC" w:rsidRPr="00D831EC" w:rsidRDefault="00D831EC" w:rsidP="00D831EC">
      <w:pPr>
        <w:ind w:left="851"/>
        <w:rPr>
          <w:sz w:val="24"/>
          <w:szCs w:val="24"/>
        </w:rPr>
      </w:pPr>
      <w:r w:rsidRPr="00D831EC">
        <w:rPr>
          <w:sz w:val="24"/>
          <w:szCs w:val="24"/>
        </w:rPr>
        <w:t xml:space="preserve">Ringer-laktat </w:t>
      </w:r>
      <w:r w:rsidR="007B2E23">
        <w:rPr>
          <w:sz w:val="24"/>
          <w:szCs w:val="24"/>
        </w:rPr>
        <w:t>"Noridem"</w:t>
      </w:r>
      <w:r w:rsidRPr="00D831EC">
        <w:rPr>
          <w:sz w:val="24"/>
          <w:szCs w:val="24"/>
        </w:rPr>
        <w:t xml:space="preserve"> infusionsvæske, opløsning anvendes til følgende indikationer:</w:t>
      </w:r>
    </w:p>
    <w:p w14:paraId="676839DB" w14:textId="77777777" w:rsidR="00D831EC" w:rsidRPr="00D831EC" w:rsidRDefault="00D831EC" w:rsidP="00D831EC">
      <w:pPr>
        <w:ind w:left="851"/>
        <w:rPr>
          <w:sz w:val="24"/>
          <w:szCs w:val="24"/>
        </w:rPr>
      </w:pPr>
    </w:p>
    <w:p w14:paraId="24806D83" w14:textId="77777777" w:rsidR="00D831EC" w:rsidRPr="00D831EC" w:rsidRDefault="00D831EC" w:rsidP="00AC2EF7">
      <w:pPr>
        <w:numPr>
          <w:ilvl w:val="0"/>
          <w:numId w:val="6"/>
        </w:numPr>
        <w:ind w:left="1276" w:hanging="425"/>
        <w:rPr>
          <w:sz w:val="24"/>
          <w:szCs w:val="24"/>
        </w:rPr>
      </w:pPr>
      <w:r w:rsidRPr="00D831EC">
        <w:rPr>
          <w:sz w:val="24"/>
          <w:szCs w:val="24"/>
        </w:rPr>
        <w:t xml:space="preserve">Genoprettelse af ekstracellulær væske- og elektrolytbalance eller erstatning af ekstracellulært væsketab, hvor isotoniske elektrolytkoncentrationer er tilstrækkelige. </w:t>
      </w:r>
    </w:p>
    <w:p w14:paraId="6DF60418" w14:textId="77777777" w:rsidR="00D831EC" w:rsidRPr="00D831EC" w:rsidRDefault="00D831EC" w:rsidP="00AC2EF7">
      <w:pPr>
        <w:numPr>
          <w:ilvl w:val="0"/>
          <w:numId w:val="6"/>
        </w:numPr>
        <w:ind w:left="1276" w:hanging="425"/>
        <w:rPr>
          <w:sz w:val="24"/>
          <w:szCs w:val="24"/>
        </w:rPr>
      </w:pPr>
      <w:r w:rsidRPr="00D831EC">
        <w:rPr>
          <w:sz w:val="24"/>
          <w:szCs w:val="24"/>
        </w:rPr>
        <w:lastRenderedPageBreak/>
        <w:t xml:space="preserve">Kortvarig volumenudskiftning </w:t>
      </w:r>
      <w:r w:rsidRPr="00D831EC">
        <w:rPr>
          <w:i/>
          <w:sz w:val="24"/>
          <w:szCs w:val="24"/>
        </w:rPr>
        <w:t>(alene eller i kombination med kolloid)</w:t>
      </w:r>
      <w:r w:rsidRPr="00D831EC">
        <w:rPr>
          <w:sz w:val="24"/>
          <w:szCs w:val="24"/>
        </w:rPr>
        <w:t xml:space="preserve"> ved hypovolæmi eller hypotension.</w:t>
      </w:r>
    </w:p>
    <w:p w14:paraId="1207EDD4" w14:textId="77777777" w:rsidR="00D831EC" w:rsidRPr="00D831EC" w:rsidRDefault="00D831EC" w:rsidP="00AC2EF7">
      <w:pPr>
        <w:numPr>
          <w:ilvl w:val="0"/>
          <w:numId w:val="6"/>
        </w:numPr>
        <w:ind w:left="1276" w:hanging="425"/>
        <w:rPr>
          <w:sz w:val="24"/>
          <w:szCs w:val="24"/>
        </w:rPr>
      </w:pPr>
      <w:r w:rsidRPr="00D831EC">
        <w:rPr>
          <w:sz w:val="24"/>
          <w:szCs w:val="24"/>
        </w:rPr>
        <w:t xml:space="preserve">Regulering eller opretholdelse af balance ved metabolisk acidose og/eller behandling af mild til moderat metabolisk acidose </w:t>
      </w:r>
      <w:r w:rsidRPr="00D831EC">
        <w:rPr>
          <w:i/>
          <w:sz w:val="24"/>
          <w:szCs w:val="24"/>
        </w:rPr>
        <w:t>(undtagen laktatacidose)</w:t>
      </w:r>
    </w:p>
    <w:p w14:paraId="0B54B748" w14:textId="77777777" w:rsidR="009260DE" w:rsidRPr="00D831EC" w:rsidRDefault="009260DE" w:rsidP="009260DE">
      <w:pPr>
        <w:tabs>
          <w:tab w:val="left" w:pos="851"/>
        </w:tabs>
        <w:ind w:left="851"/>
        <w:rPr>
          <w:sz w:val="24"/>
          <w:szCs w:val="24"/>
        </w:rPr>
      </w:pPr>
    </w:p>
    <w:p w14:paraId="4C07FF4D" w14:textId="77777777" w:rsidR="009260DE" w:rsidRPr="00D831EC" w:rsidRDefault="009260DE" w:rsidP="009260DE">
      <w:pPr>
        <w:tabs>
          <w:tab w:val="left" w:pos="851"/>
        </w:tabs>
        <w:ind w:left="851" w:hanging="851"/>
        <w:rPr>
          <w:b/>
          <w:sz w:val="24"/>
          <w:szCs w:val="24"/>
        </w:rPr>
      </w:pPr>
      <w:r w:rsidRPr="00D831EC">
        <w:rPr>
          <w:b/>
          <w:sz w:val="24"/>
          <w:szCs w:val="24"/>
        </w:rPr>
        <w:t>4.2</w:t>
      </w:r>
      <w:r w:rsidRPr="00D831EC">
        <w:rPr>
          <w:b/>
          <w:sz w:val="24"/>
          <w:szCs w:val="24"/>
        </w:rPr>
        <w:tab/>
        <w:t xml:space="preserve">Dosering og </w:t>
      </w:r>
      <w:r w:rsidR="002C1EC0" w:rsidRPr="00D831EC">
        <w:rPr>
          <w:b/>
          <w:sz w:val="24"/>
          <w:szCs w:val="24"/>
        </w:rPr>
        <w:t>administration</w:t>
      </w:r>
    </w:p>
    <w:p w14:paraId="7F3E4A51" w14:textId="77777777" w:rsidR="00AC2EF7" w:rsidRDefault="00AC2EF7" w:rsidP="00D831EC">
      <w:pPr>
        <w:ind w:left="851"/>
        <w:rPr>
          <w:sz w:val="24"/>
          <w:szCs w:val="24"/>
          <w:u w:val="single"/>
        </w:rPr>
      </w:pPr>
    </w:p>
    <w:p w14:paraId="2CD7FC29" w14:textId="71DE7BBF" w:rsidR="00D831EC" w:rsidRPr="00D831EC" w:rsidRDefault="00D831EC" w:rsidP="00D831EC">
      <w:pPr>
        <w:ind w:left="851"/>
        <w:rPr>
          <w:sz w:val="24"/>
          <w:szCs w:val="24"/>
          <w:u w:val="single"/>
        </w:rPr>
      </w:pPr>
      <w:r w:rsidRPr="00D831EC">
        <w:rPr>
          <w:sz w:val="24"/>
          <w:szCs w:val="24"/>
          <w:u w:val="single"/>
        </w:rPr>
        <w:t>Dosering</w:t>
      </w:r>
    </w:p>
    <w:p w14:paraId="74F1839D" w14:textId="77777777" w:rsidR="00D831EC" w:rsidRPr="00D831EC" w:rsidRDefault="00D831EC" w:rsidP="00D831EC">
      <w:pPr>
        <w:ind w:left="851"/>
        <w:rPr>
          <w:sz w:val="24"/>
          <w:szCs w:val="24"/>
        </w:rPr>
      </w:pPr>
    </w:p>
    <w:p w14:paraId="70530C41" w14:textId="77777777" w:rsidR="00D831EC" w:rsidRPr="00D831EC" w:rsidRDefault="00D831EC" w:rsidP="00D831EC">
      <w:pPr>
        <w:ind w:left="851"/>
        <w:rPr>
          <w:bCs/>
          <w:i/>
          <w:iCs/>
          <w:sz w:val="24"/>
          <w:szCs w:val="24"/>
        </w:rPr>
      </w:pPr>
      <w:r w:rsidRPr="00D831EC">
        <w:rPr>
          <w:i/>
          <w:sz w:val="24"/>
          <w:szCs w:val="24"/>
        </w:rPr>
        <w:t>Anbefalet dosis:</w:t>
      </w:r>
    </w:p>
    <w:p w14:paraId="3D09FAF2" w14:textId="77777777" w:rsidR="00D831EC" w:rsidRPr="00D831EC" w:rsidRDefault="00D831EC" w:rsidP="00D831EC">
      <w:pPr>
        <w:ind w:left="851"/>
        <w:rPr>
          <w:bCs/>
          <w:sz w:val="24"/>
          <w:szCs w:val="24"/>
        </w:rPr>
      </w:pPr>
      <w:r w:rsidRPr="00D831EC">
        <w:rPr>
          <w:sz w:val="24"/>
          <w:szCs w:val="24"/>
        </w:rPr>
        <w:t>Den anbefalede dosis er:</w:t>
      </w:r>
    </w:p>
    <w:p w14:paraId="42ECEDF4" w14:textId="77777777" w:rsidR="00D831EC" w:rsidRPr="00D831EC" w:rsidRDefault="00D831EC" w:rsidP="00AC2EF7">
      <w:pPr>
        <w:ind w:left="1276" w:hanging="425"/>
        <w:rPr>
          <w:bCs/>
          <w:sz w:val="24"/>
          <w:szCs w:val="24"/>
        </w:rPr>
      </w:pPr>
      <w:r w:rsidRPr="00D831EC">
        <w:rPr>
          <w:sz w:val="24"/>
          <w:szCs w:val="24"/>
        </w:rPr>
        <w:t>-</w:t>
      </w:r>
      <w:r w:rsidRPr="00D831EC">
        <w:rPr>
          <w:sz w:val="24"/>
          <w:szCs w:val="24"/>
        </w:rPr>
        <w:tab/>
        <w:t>til voksne og unge: 500 ml til 3 liter/24 timer</w:t>
      </w:r>
    </w:p>
    <w:p w14:paraId="167193E4" w14:textId="509A4CF1" w:rsidR="00D831EC" w:rsidRPr="00D831EC" w:rsidRDefault="00D831EC" w:rsidP="00AC2EF7">
      <w:pPr>
        <w:ind w:left="1276" w:hanging="425"/>
        <w:rPr>
          <w:bCs/>
          <w:sz w:val="24"/>
          <w:szCs w:val="24"/>
        </w:rPr>
      </w:pPr>
      <w:r w:rsidRPr="00D831EC">
        <w:rPr>
          <w:sz w:val="24"/>
          <w:szCs w:val="24"/>
        </w:rPr>
        <w:t>-</w:t>
      </w:r>
      <w:r w:rsidRPr="00D831EC">
        <w:rPr>
          <w:sz w:val="24"/>
          <w:szCs w:val="24"/>
        </w:rPr>
        <w:tab/>
        <w:t>til spædbørn, småbørn og børn: 20 ml til 100 ml/kg/24 timer</w:t>
      </w:r>
    </w:p>
    <w:p w14:paraId="1E435B09" w14:textId="77777777" w:rsidR="00D831EC" w:rsidRPr="00D831EC" w:rsidRDefault="00D831EC" w:rsidP="00D831EC">
      <w:pPr>
        <w:ind w:left="851"/>
        <w:rPr>
          <w:sz w:val="24"/>
          <w:szCs w:val="24"/>
        </w:rPr>
      </w:pPr>
    </w:p>
    <w:p w14:paraId="19082D82" w14:textId="77777777" w:rsidR="00D831EC" w:rsidRPr="00D831EC" w:rsidRDefault="00D831EC" w:rsidP="00D831EC">
      <w:pPr>
        <w:ind w:left="851"/>
        <w:rPr>
          <w:bCs/>
          <w:i/>
          <w:iCs/>
          <w:sz w:val="24"/>
          <w:szCs w:val="24"/>
        </w:rPr>
      </w:pPr>
      <w:r w:rsidRPr="00D831EC">
        <w:rPr>
          <w:i/>
          <w:sz w:val="24"/>
          <w:szCs w:val="24"/>
        </w:rPr>
        <w:t>Administrationshastighed:</w:t>
      </w:r>
    </w:p>
    <w:p w14:paraId="69C68168" w14:textId="77777777" w:rsidR="00D831EC" w:rsidRPr="00D831EC" w:rsidRDefault="00D831EC" w:rsidP="00D831EC">
      <w:pPr>
        <w:ind w:left="851"/>
        <w:rPr>
          <w:bCs/>
          <w:sz w:val="24"/>
          <w:szCs w:val="24"/>
        </w:rPr>
      </w:pPr>
      <w:r w:rsidRPr="00D831EC">
        <w:rPr>
          <w:sz w:val="24"/>
          <w:szCs w:val="24"/>
        </w:rPr>
        <w:t>Infusionshastigheden er sædvanligvis 40 ml/kg/24 timer hos voksne og unge.</w:t>
      </w:r>
    </w:p>
    <w:p w14:paraId="7F5F60EC" w14:textId="77777777" w:rsidR="00D831EC" w:rsidRPr="00D831EC" w:rsidRDefault="00D831EC" w:rsidP="00D831EC">
      <w:pPr>
        <w:ind w:left="851"/>
        <w:rPr>
          <w:bCs/>
          <w:sz w:val="24"/>
          <w:szCs w:val="24"/>
        </w:rPr>
      </w:pPr>
      <w:r w:rsidRPr="00D831EC">
        <w:rPr>
          <w:sz w:val="24"/>
          <w:szCs w:val="24"/>
        </w:rPr>
        <w:t xml:space="preserve">Hos pædiatriske patienter er infusionshastigheden gennemsnitligt 5 ml/kg/timer, men værdien varierer med alderen: </w:t>
      </w:r>
    </w:p>
    <w:p w14:paraId="09163E64" w14:textId="77777777" w:rsidR="00D831EC" w:rsidRPr="00D831EC" w:rsidRDefault="00D831EC" w:rsidP="00AC2EF7">
      <w:pPr>
        <w:ind w:left="1276" w:hanging="425"/>
        <w:rPr>
          <w:bCs/>
          <w:sz w:val="24"/>
          <w:szCs w:val="24"/>
        </w:rPr>
      </w:pPr>
      <w:r w:rsidRPr="00D831EC">
        <w:rPr>
          <w:sz w:val="24"/>
          <w:szCs w:val="24"/>
        </w:rPr>
        <w:t>-</w:t>
      </w:r>
      <w:r w:rsidRPr="00D831EC">
        <w:rPr>
          <w:sz w:val="24"/>
          <w:szCs w:val="24"/>
        </w:rPr>
        <w:tab/>
        <w:t xml:space="preserve">6-8 ml/kg/timer til spædbørn, </w:t>
      </w:r>
    </w:p>
    <w:p w14:paraId="35643129" w14:textId="77777777" w:rsidR="00D831EC" w:rsidRPr="00D831EC" w:rsidRDefault="00D831EC" w:rsidP="00AC2EF7">
      <w:pPr>
        <w:ind w:left="1276" w:hanging="425"/>
        <w:rPr>
          <w:bCs/>
          <w:sz w:val="24"/>
          <w:szCs w:val="24"/>
        </w:rPr>
      </w:pPr>
      <w:r w:rsidRPr="00D831EC">
        <w:rPr>
          <w:sz w:val="24"/>
          <w:szCs w:val="24"/>
        </w:rPr>
        <w:t>-</w:t>
      </w:r>
      <w:r w:rsidRPr="00D831EC">
        <w:rPr>
          <w:sz w:val="24"/>
          <w:szCs w:val="24"/>
        </w:rPr>
        <w:tab/>
        <w:t>4-6 ml/kg/timer til småbørn,</w:t>
      </w:r>
    </w:p>
    <w:p w14:paraId="5FBEB986" w14:textId="77777777" w:rsidR="00D831EC" w:rsidRPr="00D831EC" w:rsidRDefault="00D831EC" w:rsidP="00AC2EF7">
      <w:pPr>
        <w:ind w:left="1276" w:hanging="425"/>
        <w:rPr>
          <w:bCs/>
          <w:sz w:val="24"/>
          <w:szCs w:val="24"/>
        </w:rPr>
      </w:pPr>
      <w:r w:rsidRPr="00D831EC">
        <w:rPr>
          <w:sz w:val="24"/>
          <w:szCs w:val="24"/>
        </w:rPr>
        <w:t>-</w:t>
      </w:r>
      <w:r w:rsidRPr="00D831EC">
        <w:rPr>
          <w:sz w:val="24"/>
          <w:szCs w:val="24"/>
        </w:rPr>
        <w:tab/>
        <w:t xml:space="preserve">2-4 ml/kg/timer til børn. </w:t>
      </w:r>
    </w:p>
    <w:p w14:paraId="32E03C65" w14:textId="77777777" w:rsidR="00D831EC" w:rsidRPr="00D831EC" w:rsidRDefault="00D831EC" w:rsidP="00D831EC">
      <w:pPr>
        <w:ind w:left="851"/>
        <w:rPr>
          <w:bCs/>
          <w:sz w:val="24"/>
          <w:szCs w:val="24"/>
        </w:rPr>
      </w:pPr>
    </w:p>
    <w:p w14:paraId="5F79CC0D" w14:textId="77777777" w:rsidR="00D831EC" w:rsidRPr="00D831EC" w:rsidRDefault="00D831EC" w:rsidP="00D831EC">
      <w:pPr>
        <w:ind w:left="851"/>
        <w:rPr>
          <w:bCs/>
          <w:sz w:val="24"/>
          <w:szCs w:val="24"/>
        </w:rPr>
      </w:pPr>
      <w:r w:rsidRPr="00D831EC">
        <w:rPr>
          <w:sz w:val="24"/>
          <w:szCs w:val="24"/>
        </w:rPr>
        <w:t>Hos børn med forbrændinger afhænger infusionshastighed og administreret volumen af alder, kropsvægt, klinisk tilstand og behandlingsrespons. Væskebehov skal fastlægges i henhold til etablerede protokoller for væskebehandling ved forbrændinger. Behandlingen skal håndteres af eller i samråd med læger med erfaring inden for behandling af børn med forbrændinger (se pkt. 4.4).</w:t>
      </w:r>
    </w:p>
    <w:p w14:paraId="5E95F500" w14:textId="77777777" w:rsidR="00D831EC" w:rsidRPr="00D831EC" w:rsidRDefault="00D831EC" w:rsidP="00D831EC">
      <w:pPr>
        <w:ind w:left="851"/>
        <w:rPr>
          <w:sz w:val="24"/>
          <w:szCs w:val="24"/>
        </w:rPr>
      </w:pPr>
      <w:bookmarkStart w:id="5" w:name="_Hlk204949338"/>
      <w:r w:rsidRPr="00D831EC">
        <w:rPr>
          <w:sz w:val="24"/>
          <w:szCs w:val="24"/>
        </w:rPr>
        <w:t>Hos børn med alvorligt hovedtraume kan væskebehovet være øget afhængigt af den kliniske situation, f.eks. under neurokirurgi eller intensiv behandling. Det nødvendige volumen skal bestemmes ud fra individuel væskebalance, legemsoverfladeareal og hæmodynamiske parametre</w:t>
      </w:r>
      <w:bookmarkEnd w:id="5"/>
      <w:r w:rsidRPr="00D831EC">
        <w:rPr>
          <w:sz w:val="24"/>
          <w:szCs w:val="24"/>
        </w:rPr>
        <w:t>.</w:t>
      </w:r>
    </w:p>
    <w:p w14:paraId="39E4D884" w14:textId="77777777" w:rsidR="00D831EC" w:rsidRPr="00D831EC" w:rsidRDefault="00D831EC" w:rsidP="00D831EC">
      <w:pPr>
        <w:ind w:left="851"/>
        <w:rPr>
          <w:sz w:val="24"/>
          <w:szCs w:val="24"/>
        </w:rPr>
      </w:pPr>
    </w:p>
    <w:p w14:paraId="1B531FCA" w14:textId="77777777" w:rsidR="00D831EC" w:rsidRPr="00D831EC" w:rsidRDefault="00D831EC" w:rsidP="00D831EC">
      <w:pPr>
        <w:ind w:left="851"/>
        <w:rPr>
          <w:bCs/>
          <w:sz w:val="24"/>
          <w:szCs w:val="24"/>
          <w:u w:val="single"/>
        </w:rPr>
      </w:pPr>
      <w:r w:rsidRPr="00D831EC">
        <w:rPr>
          <w:sz w:val="24"/>
          <w:szCs w:val="24"/>
          <w:u w:val="single"/>
        </w:rPr>
        <w:t>Bemærk:</w:t>
      </w:r>
    </w:p>
    <w:p w14:paraId="5EF74812" w14:textId="77777777" w:rsidR="00D831EC" w:rsidRPr="00D831EC" w:rsidRDefault="00D831EC" w:rsidP="00AC2EF7">
      <w:pPr>
        <w:ind w:left="1276" w:hanging="425"/>
        <w:rPr>
          <w:bCs/>
          <w:sz w:val="24"/>
          <w:szCs w:val="24"/>
        </w:rPr>
      </w:pPr>
      <w:r w:rsidRPr="00D831EC">
        <w:rPr>
          <w:sz w:val="24"/>
          <w:szCs w:val="24"/>
        </w:rPr>
        <w:t>-</w:t>
      </w:r>
      <w:r w:rsidRPr="00D831EC">
        <w:rPr>
          <w:sz w:val="24"/>
          <w:szCs w:val="24"/>
        </w:rPr>
        <w:tab/>
        <w:t xml:space="preserve">Spædbørn og småbørn: fra 28 dage til 23 måneder </w:t>
      </w:r>
    </w:p>
    <w:p w14:paraId="4F94C383" w14:textId="77777777" w:rsidR="00D831EC" w:rsidRPr="00D831EC" w:rsidRDefault="00D831EC" w:rsidP="00AC2EF7">
      <w:pPr>
        <w:ind w:left="1276" w:hanging="425"/>
        <w:rPr>
          <w:bCs/>
          <w:sz w:val="24"/>
          <w:szCs w:val="24"/>
        </w:rPr>
      </w:pPr>
      <w:r w:rsidRPr="00D831EC">
        <w:rPr>
          <w:sz w:val="24"/>
          <w:szCs w:val="24"/>
        </w:rPr>
        <w:t>-</w:t>
      </w:r>
      <w:r w:rsidRPr="00D831EC">
        <w:rPr>
          <w:sz w:val="24"/>
          <w:szCs w:val="24"/>
        </w:rPr>
        <w:tab/>
        <w:t>Børn: fra 2 år til 11 år</w:t>
      </w:r>
    </w:p>
    <w:p w14:paraId="191D64CA" w14:textId="77777777" w:rsidR="00D831EC" w:rsidRPr="00D831EC" w:rsidRDefault="00D831EC" w:rsidP="00AC2EF7">
      <w:pPr>
        <w:ind w:left="1276" w:hanging="425"/>
        <w:rPr>
          <w:sz w:val="24"/>
          <w:szCs w:val="24"/>
        </w:rPr>
      </w:pPr>
      <w:r w:rsidRPr="00D831EC">
        <w:rPr>
          <w:sz w:val="24"/>
          <w:szCs w:val="24"/>
        </w:rPr>
        <w:t>-</w:t>
      </w:r>
      <w:r w:rsidRPr="00D831EC">
        <w:rPr>
          <w:sz w:val="24"/>
          <w:szCs w:val="24"/>
        </w:rPr>
        <w:tab/>
        <w:t>Unge: i alderen 12 til 16-18 år (afhængigt af region).</w:t>
      </w:r>
    </w:p>
    <w:p w14:paraId="17B057F3" w14:textId="77777777" w:rsidR="00D831EC" w:rsidRPr="00D831EC" w:rsidRDefault="00D831EC" w:rsidP="00D831EC">
      <w:pPr>
        <w:ind w:left="851"/>
        <w:rPr>
          <w:sz w:val="24"/>
          <w:szCs w:val="24"/>
        </w:rPr>
      </w:pPr>
    </w:p>
    <w:p w14:paraId="632AD274" w14:textId="77777777" w:rsidR="00D831EC" w:rsidRPr="00D831EC" w:rsidRDefault="00D831EC" w:rsidP="00D831EC">
      <w:pPr>
        <w:ind w:left="851"/>
        <w:rPr>
          <w:sz w:val="24"/>
          <w:szCs w:val="24"/>
        </w:rPr>
      </w:pPr>
      <w:r w:rsidRPr="00D831EC">
        <w:rPr>
          <w:i/>
          <w:sz w:val="24"/>
          <w:szCs w:val="24"/>
        </w:rPr>
        <w:t>Overvågning</w:t>
      </w:r>
    </w:p>
    <w:p w14:paraId="7CD8896C" w14:textId="77777777" w:rsidR="00D831EC" w:rsidRPr="00D831EC" w:rsidRDefault="00D831EC" w:rsidP="00D831EC">
      <w:pPr>
        <w:ind w:left="851"/>
        <w:rPr>
          <w:bCs/>
          <w:sz w:val="24"/>
          <w:szCs w:val="24"/>
        </w:rPr>
      </w:pPr>
      <w:r w:rsidRPr="00D831EC">
        <w:rPr>
          <w:sz w:val="24"/>
          <w:szCs w:val="24"/>
        </w:rPr>
        <w:t>Væskebalance, serumelektrolytter og syre-base-balance kan skulle overvåges før og under administration med særlig opmærksomhed på serumnatrium hos patienter med øget ikke-osmotisk vasopressinfrigivelse (syndrom med uhensigtsmæssig sekretion af antidiuretisk hormon, SIADH) og hos patienter, der samtidig behandles med vasopressinagonister, på grund af risikoen for hospitals-erhvervet hyponatriæmi (se pkt. 4.4, 4.5 og 4.8).</w:t>
      </w:r>
    </w:p>
    <w:p w14:paraId="1A1CF9E9" w14:textId="77777777" w:rsidR="00D831EC" w:rsidRPr="00D831EC" w:rsidRDefault="00D831EC" w:rsidP="00D831EC">
      <w:pPr>
        <w:ind w:left="851"/>
        <w:rPr>
          <w:bCs/>
          <w:sz w:val="24"/>
          <w:szCs w:val="24"/>
        </w:rPr>
      </w:pPr>
    </w:p>
    <w:p w14:paraId="64AC14EB" w14:textId="77777777" w:rsidR="00D831EC" w:rsidRPr="00D831EC" w:rsidRDefault="00D831EC" w:rsidP="00D831EC">
      <w:pPr>
        <w:ind w:left="851"/>
        <w:rPr>
          <w:sz w:val="24"/>
          <w:szCs w:val="24"/>
        </w:rPr>
      </w:pPr>
      <w:r w:rsidRPr="00D831EC">
        <w:rPr>
          <w:sz w:val="24"/>
          <w:szCs w:val="24"/>
        </w:rPr>
        <w:t>Infusionshastighed og volumen afhænger af alder, vægt, klinisk tilstand (f.eks. forbrændinger, kirurgi, hovedskade, infektioner) og samtidig behandling og skal fastlægges af den behandlende læge med erfaring inden for intravenøs væskebehandling hos børn (se pkt. 4.4 og 4.8).</w:t>
      </w:r>
    </w:p>
    <w:p w14:paraId="38AB5AD5" w14:textId="4A868F06" w:rsidR="00B3004F" w:rsidRDefault="00B3004F">
      <w:pPr>
        <w:rPr>
          <w:sz w:val="24"/>
          <w:szCs w:val="24"/>
        </w:rPr>
      </w:pPr>
      <w:r>
        <w:rPr>
          <w:sz w:val="24"/>
          <w:szCs w:val="24"/>
        </w:rPr>
        <w:br w:type="page"/>
      </w:r>
    </w:p>
    <w:p w14:paraId="2729C48E" w14:textId="77777777" w:rsidR="00D831EC" w:rsidRPr="00D831EC" w:rsidRDefault="00D831EC" w:rsidP="00D831EC">
      <w:pPr>
        <w:ind w:left="851"/>
        <w:rPr>
          <w:sz w:val="24"/>
          <w:szCs w:val="24"/>
        </w:rPr>
      </w:pPr>
    </w:p>
    <w:p w14:paraId="20C86098" w14:textId="77777777" w:rsidR="00D831EC" w:rsidRPr="00D831EC" w:rsidRDefault="00D831EC" w:rsidP="00D831EC">
      <w:pPr>
        <w:ind w:left="851"/>
        <w:rPr>
          <w:bCs/>
          <w:i/>
          <w:iCs/>
          <w:sz w:val="24"/>
          <w:szCs w:val="24"/>
        </w:rPr>
      </w:pPr>
      <w:r w:rsidRPr="00D831EC">
        <w:rPr>
          <w:i/>
          <w:sz w:val="24"/>
          <w:szCs w:val="24"/>
        </w:rPr>
        <w:t>Ældre patienter</w:t>
      </w:r>
    </w:p>
    <w:p w14:paraId="422E5812" w14:textId="77777777" w:rsidR="00D831EC" w:rsidRPr="00D831EC" w:rsidRDefault="00D831EC" w:rsidP="00D831EC">
      <w:pPr>
        <w:ind w:left="851"/>
        <w:rPr>
          <w:bCs/>
          <w:sz w:val="24"/>
          <w:szCs w:val="24"/>
        </w:rPr>
      </w:pPr>
      <w:r w:rsidRPr="00D831EC">
        <w:rPr>
          <w:sz w:val="24"/>
          <w:szCs w:val="24"/>
        </w:rPr>
        <w:t>Ved valg af type infusionsvæske og infusionsvolumen/-hastighed til en ældre patient skal det tages i betragtning, at ældre patienter generelt har større sandsynlighed for at have hjerte-, nyre-, lever- og/eller andre sygdomme og/eller samtidig lægemiddelbehandling.</w:t>
      </w:r>
    </w:p>
    <w:p w14:paraId="06F594DE" w14:textId="77777777" w:rsidR="00D831EC" w:rsidRPr="00D831EC" w:rsidRDefault="00D831EC" w:rsidP="00D831EC">
      <w:pPr>
        <w:ind w:left="851"/>
        <w:rPr>
          <w:bCs/>
          <w:sz w:val="24"/>
          <w:szCs w:val="24"/>
        </w:rPr>
      </w:pPr>
    </w:p>
    <w:p w14:paraId="165CB276" w14:textId="77777777" w:rsidR="00D831EC" w:rsidRPr="00D831EC" w:rsidRDefault="00D831EC" w:rsidP="00D831EC">
      <w:pPr>
        <w:ind w:left="851"/>
        <w:rPr>
          <w:bCs/>
          <w:sz w:val="24"/>
          <w:szCs w:val="24"/>
          <w:u w:val="single"/>
        </w:rPr>
      </w:pPr>
      <w:r w:rsidRPr="00D831EC">
        <w:rPr>
          <w:sz w:val="24"/>
          <w:szCs w:val="24"/>
          <w:u w:val="single"/>
        </w:rPr>
        <w:t>Administrationsmåde</w:t>
      </w:r>
    </w:p>
    <w:p w14:paraId="7D3719FA" w14:textId="77777777" w:rsidR="00D831EC" w:rsidRPr="00D831EC" w:rsidRDefault="00D831EC" w:rsidP="00D831EC">
      <w:pPr>
        <w:ind w:left="851"/>
        <w:rPr>
          <w:bCs/>
          <w:sz w:val="24"/>
          <w:szCs w:val="24"/>
        </w:rPr>
      </w:pPr>
      <w:r w:rsidRPr="00D831EC">
        <w:rPr>
          <w:sz w:val="24"/>
          <w:szCs w:val="24"/>
        </w:rPr>
        <w:t>Administrationen foretages intravenøst.</w:t>
      </w:r>
    </w:p>
    <w:p w14:paraId="45EC861A" w14:textId="77777777" w:rsidR="00D831EC" w:rsidRPr="00D831EC" w:rsidRDefault="00D831EC" w:rsidP="00D831EC">
      <w:pPr>
        <w:ind w:left="851"/>
        <w:rPr>
          <w:bCs/>
          <w:sz w:val="24"/>
          <w:szCs w:val="24"/>
        </w:rPr>
      </w:pPr>
      <w:r w:rsidRPr="00D831EC">
        <w:rPr>
          <w:sz w:val="24"/>
          <w:szCs w:val="24"/>
        </w:rPr>
        <w:t>Se også pkt. 6.6.</w:t>
      </w:r>
      <w:bookmarkStart w:id="6" w:name="_Hlk174018998"/>
    </w:p>
    <w:bookmarkEnd w:id="6"/>
    <w:p w14:paraId="6BFF2E56" w14:textId="77777777" w:rsidR="009260DE" w:rsidRPr="00D831EC" w:rsidRDefault="009260DE" w:rsidP="009260DE">
      <w:pPr>
        <w:tabs>
          <w:tab w:val="left" w:pos="851"/>
        </w:tabs>
        <w:ind w:left="851"/>
        <w:rPr>
          <w:sz w:val="24"/>
          <w:szCs w:val="24"/>
        </w:rPr>
      </w:pPr>
    </w:p>
    <w:p w14:paraId="37A188D0" w14:textId="77777777" w:rsidR="009260DE" w:rsidRPr="00D831EC" w:rsidRDefault="009260DE" w:rsidP="009260DE">
      <w:pPr>
        <w:tabs>
          <w:tab w:val="left" w:pos="851"/>
        </w:tabs>
        <w:ind w:left="851" w:hanging="851"/>
        <w:rPr>
          <w:b/>
          <w:sz w:val="24"/>
          <w:szCs w:val="24"/>
        </w:rPr>
      </w:pPr>
      <w:r w:rsidRPr="00D831EC">
        <w:rPr>
          <w:b/>
          <w:sz w:val="24"/>
          <w:szCs w:val="24"/>
        </w:rPr>
        <w:t>4.3</w:t>
      </w:r>
      <w:r w:rsidRPr="00D831EC">
        <w:rPr>
          <w:b/>
          <w:sz w:val="24"/>
          <w:szCs w:val="24"/>
        </w:rPr>
        <w:tab/>
        <w:t>Kontraindikationer</w:t>
      </w:r>
    </w:p>
    <w:p w14:paraId="2A93A6EA" w14:textId="77777777" w:rsidR="00D831EC" w:rsidRPr="00D831EC" w:rsidRDefault="00D831EC" w:rsidP="00D831EC">
      <w:pPr>
        <w:ind w:left="851"/>
        <w:rPr>
          <w:iCs/>
          <w:sz w:val="24"/>
          <w:szCs w:val="24"/>
        </w:rPr>
      </w:pPr>
      <w:r w:rsidRPr="00D831EC">
        <w:rPr>
          <w:sz w:val="24"/>
          <w:szCs w:val="24"/>
        </w:rPr>
        <w:t>Opløsningen er kontraindiceret hos patienter med:</w:t>
      </w:r>
    </w:p>
    <w:p w14:paraId="7D7720F1" w14:textId="77777777" w:rsidR="00D831EC" w:rsidRPr="00D831EC" w:rsidRDefault="00D831EC" w:rsidP="00D831EC">
      <w:pPr>
        <w:numPr>
          <w:ilvl w:val="2"/>
          <w:numId w:val="7"/>
        </w:numPr>
        <w:ind w:left="1276" w:hanging="425"/>
        <w:rPr>
          <w:sz w:val="24"/>
          <w:szCs w:val="24"/>
        </w:rPr>
      </w:pPr>
      <w:r w:rsidRPr="00D831EC">
        <w:rPr>
          <w:sz w:val="24"/>
          <w:szCs w:val="24"/>
        </w:rPr>
        <w:t>kendt overfølsomhed over for natriumlaktat eller over for et eller flere af hjælpestofferne anført i pkt. 6.1.</w:t>
      </w:r>
    </w:p>
    <w:p w14:paraId="5E37B7C2" w14:textId="77777777" w:rsidR="00D831EC" w:rsidRPr="00D831EC" w:rsidRDefault="00D831EC" w:rsidP="00D831EC">
      <w:pPr>
        <w:numPr>
          <w:ilvl w:val="2"/>
          <w:numId w:val="7"/>
        </w:numPr>
        <w:ind w:left="1276" w:hanging="425"/>
        <w:rPr>
          <w:sz w:val="24"/>
          <w:szCs w:val="24"/>
        </w:rPr>
      </w:pPr>
      <w:r w:rsidRPr="00D831EC">
        <w:rPr>
          <w:sz w:val="24"/>
          <w:szCs w:val="24"/>
        </w:rPr>
        <w:t>Ekstracellulær hyperhydrering eller hypervolæmi.</w:t>
      </w:r>
    </w:p>
    <w:p w14:paraId="1A917135" w14:textId="77777777" w:rsidR="00D831EC" w:rsidRPr="00D831EC" w:rsidRDefault="00D831EC" w:rsidP="00D831EC">
      <w:pPr>
        <w:numPr>
          <w:ilvl w:val="2"/>
          <w:numId w:val="7"/>
        </w:numPr>
        <w:ind w:left="1276" w:hanging="425"/>
        <w:rPr>
          <w:sz w:val="24"/>
          <w:szCs w:val="24"/>
        </w:rPr>
      </w:pPr>
      <w:proofErr w:type="gramStart"/>
      <w:r w:rsidRPr="00D831EC">
        <w:rPr>
          <w:sz w:val="24"/>
          <w:szCs w:val="24"/>
        </w:rPr>
        <w:t>Svær nyresvigt</w:t>
      </w:r>
      <w:proofErr w:type="gramEnd"/>
      <w:r w:rsidRPr="00D831EC">
        <w:rPr>
          <w:sz w:val="24"/>
          <w:szCs w:val="24"/>
        </w:rPr>
        <w:t xml:space="preserve"> (med oliguri/anuri) (se pkt. 4.4).</w:t>
      </w:r>
    </w:p>
    <w:p w14:paraId="58B0CF07" w14:textId="77777777" w:rsidR="00D831EC" w:rsidRPr="00D831EC" w:rsidRDefault="00D831EC" w:rsidP="00D831EC">
      <w:pPr>
        <w:numPr>
          <w:ilvl w:val="2"/>
          <w:numId w:val="7"/>
        </w:numPr>
        <w:ind w:left="1276" w:hanging="425"/>
        <w:rPr>
          <w:sz w:val="24"/>
          <w:szCs w:val="24"/>
        </w:rPr>
      </w:pPr>
      <w:r w:rsidRPr="00D831EC">
        <w:rPr>
          <w:sz w:val="24"/>
          <w:szCs w:val="24"/>
        </w:rPr>
        <w:t>Dekompenseret hjertesvigt.</w:t>
      </w:r>
    </w:p>
    <w:p w14:paraId="1203120B" w14:textId="77777777" w:rsidR="00D831EC" w:rsidRPr="00D831EC" w:rsidRDefault="00D831EC" w:rsidP="00D831EC">
      <w:pPr>
        <w:numPr>
          <w:ilvl w:val="2"/>
          <w:numId w:val="7"/>
        </w:numPr>
        <w:ind w:left="1276" w:hanging="425"/>
        <w:rPr>
          <w:sz w:val="24"/>
          <w:szCs w:val="24"/>
        </w:rPr>
      </w:pPr>
      <w:r w:rsidRPr="00D831EC">
        <w:rPr>
          <w:sz w:val="24"/>
          <w:szCs w:val="24"/>
        </w:rPr>
        <w:t>Hyperkaliæmi, hyperkalcæmi eller metabolisk alkalose (se pkt. 4.4).</w:t>
      </w:r>
    </w:p>
    <w:p w14:paraId="1AD7E2F3" w14:textId="77777777" w:rsidR="00D831EC" w:rsidRPr="00D831EC" w:rsidRDefault="00D831EC" w:rsidP="00D831EC">
      <w:pPr>
        <w:numPr>
          <w:ilvl w:val="2"/>
          <w:numId w:val="7"/>
        </w:numPr>
        <w:ind w:left="1276" w:hanging="425"/>
        <w:rPr>
          <w:sz w:val="24"/>
          <w:szCs w:val="24"/>
        </w:rPr>
      </w:pPr>
      <w:r w:rsidRPr="00D831EC">
        <w:rPr>
          <w:sz w:val="24"/>
          <w:szCs w:val="24"/>
        </w:rPr>
        <w:t>Generaliseret ødem og ascitescirrose.</w:t>
      </w:r>
    </w:p>
    <w:p w14:paraId="672A4B88" w14:textId="77777777" w:rsidR="00D831EC" w:rsidRPr="00D831EC" w:rsidRDefault="00D831EC" w:rsidP="00D831EC">
      <w:pPr>
        <w:numPr>
          <w:ilvl w:val="2"/>
          <w:numId w:val="7"/>
        </w:numPr>
        <w:ind w:left="1276" w:hanging="425"/>
        <w:rPr>
          <w:sz w:val="24"/>
          <w:szCs w:val="24"/>
        </w:rPr>
      </w:pPr>
      <w:r w:rsidRPr="00D831EC">
        <w:rPr>
          <w:sz w:val="24"/>
          <w:szCs w:val="24"/>
        </w:rPr>
        <w:t>Svær metabolisk acidose.</w:t>
      </w:r>
    </w:p>
    <w:p w14:paraId="5CA096A4" w14:textId="77777777" w:rsidR="00D831EC" w:rsidRPr="00D831EC" w:rsidRDefault="00D831EC" w:rsidP="00D831EC">
      <w:pPr>
        <w:numPr>
          <w:ilvl w:val="2"/>
          <w:numId w:val="7"/>
        </w:numPr>
        <w:ind w:left="1276" w:hanging="425"/>
        <w:rPr>
          <w:sz w:val="24"/>
          <w:szCs w:val="24"/>
        </w:rPr>
      </w:pPr>
      <w:r w:rsidRPr="00D831EC">
        <w:rPr>
          <w:sz w:val="24"/>
          <w:szCs w:val="24"/>
        </w:rPr>
        <w:t xml:space="preserve">Forhøjede niveauer (hyperlaktatæmi), herunder nedsat laktatmetabolisme (f.eks. laktatacidose eller </w:t>
      </w:r>
      <w:proofErr w:type="gramStart"/>
      <w:r w:rsidRPr="00D831EC">
        <w:rPr>
          <w:sz w:val="24"/>
          <w:szCs w:val="24"/>
        </w:rPr>
        <w:t>svær leversvigt</w:t>
      </w:r>
      <w:proofErr w:type="gramEnd"/>
      <w:r w:rsidRPr="00D831EC">
        <w:rPr>
          <w:sz w:val="24"/>
          <w:szCs w:val="24"/>
        </w:rPr>
        <w:t xml:space="preserve">). </w:t>
      </w:r>
    </w:p>
    <w:p w14:paraId="17C0038C" w14:textId="77777777" w:rsidR="00D831EC" w:rsidRPr="00D831EC" w:rsidRDefault="00D831EC" w:rsidP="00D831EC">
      <w:pPr>
        <w:numPr>
          <w:ilvl w:val="2"/>
          <w:numId w:val="7"/>
        </w:numPr>
        <w:ind w:left="1276" w:hanging="425"/>
        <w:rPr>
          <w:sz w:val="24"/>
          <w:szCs w:val="24"/>
        </w:rPr>
      </w:pPr>
      <w:r w:rsidRPr="00D831EC">
        <w:rPr>
          <w:sz w:val="24"/>
          <w:szCs w:val="24"/>
        </w:rPr>
        <w:t>Nyfødte under 28 dage, som samtidig behandles med ceftriaxone (se pkt. 4.4).</w:t>
      </w:r>
    </w:p>
    <w:p w14:paraId="67003D86" w14:textId="77777777" w:rsidR="009260DE" w:rsidRPr="00D831EC" w:rsidRDefault="009260DE" w:rsidP="009260DE">
      <w:pPr>
        <w:tabs>
          <w:tab w:val="left" w:pos="851"/>
        </w:tabs>
        <w:ind w:left="851"/>
        <w:rPr>
          <w:sz w:val="24"/>
          <w:szCs w:val="24"/>
        </w:rPr>
      </w:pPr>
    </w:p>
    <w:p w14:paraId="0F4527B5" w14:textId="77777777" w:rsidR="009260DE" w:rsidRPr="00D831EC" w:rsidRDefault="009260DE" w:rsidP="009260DE">
      <w:pPr>
        <w:tabs>
          <w:tab w:val="left" w:pos="851"/>
        </w:tabs>
        <w:ind w:left="851" w:hanging="851"/>
        <w:rPr>
          <w:b/>
          <w:sz w:val="24"/>
          <w:szCs w:val="24"/>
        </w:rPr>
      </w:pPr>
      <w:r w:rsidRPr="00D831EC">
        <w:rPr>
          <w:b/>
          <w:sz w:val="24"/>
          <w:szCs w:val="24"/>
        </w:rPr>
        <w:t>4.4</w:t>
      </w:r>
      <w:r w:rsidRPr="00D831EC">
        <w:rPr>
          <w:b/>
          <w:sz w:val="24"/>
          <w:szCs w:val="24"/>
        </w:rPr>
        <w:tab/>
        <w:t>Særlige advarsler og forsigtighedsregler vedrørende brugen</w:t>
      </w:r>
    </w:p>
    <w:p w14:paraId="6F020130" w14:textId="77777777" w:rsidR="00D831EC" w:rsidRPr="00D831EC" w:rsidRDefault="00D831EC" w:rsidP="00D831EC">
      <w:pPr>
        <w:tabs>
          <w:tab w:val="left" w:pos="851"/>
        </w:tabs>
        <w:ind w:left="851"/>
        <w:rPr>
          <w:bCs/>
          <w:sz w:val="24"/>
          <w:szCs w:val="24"/>
        </w:rPr>
      </w:pPr>
    </w:p>
    <w:p w14:paraId="3AF47CCF" w14:textId="77777777" w:rsidR="00D831EC" w:rsidRPr="00D831EC" w:rsidRDefault="00D831EC" w:rsidP="00D831EC">
      <w:pPr>
        <w:ind w:left="851"/>
        <w:rPr>
          <w:b/>
          <w:bCs/>
          <w:sz w:val="24"/>
          <w:szCs w:val="24"/>
        </w:rPr>
      </w:pPr>
      <w:r w:rsidRPr="00D831EC">
        <w:rPr>
          <w:b/>
          <w:sz w:val="24"/>
          <w:szCs w:val="24"/>
        </w:rPr>
        <w:t>Overfølsomhedsreaktioner</w:t>
      </w:r>
    </w:p>
    <w:p w14:paraId="5064DA1B" w14:textId="77777777" w:rsidR="00D831EC" w:rsidRPr="00D831EC" w:rsidRDefault="00D831EC" w:rsidP="00D831EC">
      <w:pPr>
        <w:ind w:left="851"/>
        <w:rPr>
          <w:sz w:val="24"/>
          <w:szCs w:val="24"/>
        </w:rPr>
      </w:pPr>
      <w:r w:rsidRPr="00D831EC">
        <w:rPr>
          <w:sz w:val="24"/>
          <w:szCs w:val="24"/>
        </w:rPr>
        <w:t>Infusionen skal stoppes øjeblikkeligt, hvis der opstår tegn eller symptomer på en mistænkt overfølsomhedsreaktion. Relevante terapeutiske modforanstaltninger skal iværksættes efter klinisk vurdering.</w:t>
      </w:r>
    </w:p>
    <w:p w14:paraId="48100D88" w14:textId="77777777" w:rsidR="00D831EC" w:rsidRPr="00D831EC" w:rsidRDefault="00D831EC" w:rsidP="00D831EC">
      <w:pPr>
        <w:ind w:left="851"/>
        <w:rPr>
          <w:sz w:val="24"/>
          <w:szCs w:val="24"/>
        </w:rPr>
      </w:pPr>
    </w:p>
    <w:p w14:paraId="2AE3FE70" w14:textId="77777777" w:rsidR="00D831EC" w:rsidRPr="00D831EC" w:rsidRDefault="00D831EC" w:rsidP="00D831EC">
      <w:pPr>
        <w:ind w:left="851"/>
        <w:rPr>
          <w:b/>
          <w:bCs/>
          <w:sz w:val="24"/>
          <w:szCs w:val="24"/>
        </w:rPr>
      </w:pPr>
      <w:r w:rsidRPr="00D831EC">
        <w:rPr>
          <w:b/>
          <w:sz w:val="24"/>
          <w:szCs w:val="24"/>
        </w:rPr>
        <w:t>Uforligelighed</w:t>
      </w:r>
    </w:p>
    <w:p w14:paraId="07A4D4F9" w14:textId="77777777" w:rsidR="00D831EC" w:rsidRPr="00D831EC" w:rsidRDefault="00D831EC" w:rsidP="00D831EC">
      <w:pPr>
        <w:ind w:left="851"/>
        <w:rPr>
          <w:i/>
          <w:iCs/>
          <w:sz w:val="24"/>
          <w:szCs w:val="24"/>
        </w:rPr>
      </w:pPr>
      <w:r w:rsidRPr="00D831EC">
        <w:rPr>
          <w:i/>
          <w:sz w:val="24"/>
          <w:szCs w:val="24"/>
        </w:rPr>
        <w:t>Ceftriaxone</w:t>
      </w:r>
    </w:p>
    <w:p w14:paraId="598B1678" w14:textId="77777777" w:rsidR="00D831EC" w:rsidRPr="00D831EC" w:rsidRDefault="00D831EC" w:rsidP="00D831EC">
      <w:pPr>
        <w:ind w:left="851"/>
        <w:rPr>
          <w:sz w:val="24"/>
          <w:szCs w:val="24"/>
        </w:rPr>
      </w:pPr>
      <w:r w:rsidRPr="00D831EC">
        <w:rPr>
          <w:sz w:val="24"/>
          <w:szCs w:val="24"/>
        </w:rPr>
        <w:t>Hos patienter over 28 dage gamle (inklusive voksne) må ceftriaxone ikke administreres samtidig med intravenøse calciumholdige opløsninger, herunder Ringer-laktat, gennem samme infusionslinje. Hvis samme infusionslinje anvendes til sekventiel administration, skal linjen skylles grundigt mellem infusionerne med en kompatibel væske. Hos patienter under 28 dage er samtidig anvendelse af ceftriaxone og Ringer-laktat, ligesom andre calciumholdige opløsninger, kontraindiceret, selv hvis de administreres gennem separate infusionslinjer (på grund af udfældning af det fatale ceftriaxone-calciumsalt i den nyfødtes blodbane) (se pkt. 4.3).</w:t>
      </w:r>
    </w:p>
    <w:p w14:paraId="47E9D468" w14:textId="77777777" w:rsidR="00D831EC" w:rsidRPr="00D831EC" w:rsidRDefault="00D831EC" w:rsidP="00D831EC">
      <w:pPr>
        <w:ind w:left="851"/>
        <w:rPr>
          <w:sz w:val="24"/>
          <w:szCs w:val="24"/>
        </w:rPr>
      </w:pPr>
    </w:p>
    <w:p w14:paraId="70867950" w14:textId="77777777" w:rsidR="00D831EC" w:rsidRPr="00D831EC" w:rsidRDefault="00D831EC" w:rsidP="00D831EC">
      <w:pPr>
        <w:ind w:left="851"/>
        <w:rPr>
          <w:b/>
          <w:sz w:val="24"/>
          <w:szCs w:val="24"/>
        </w:rPr>
      </w:pPr>
      <w:r w:rsidRPr="00D831EC">
        <w:rPr>
          <w:b/>
          <w:sz w:val="24"/>
          <w:szCs w:val="24"/>
        </w:rPr>
        <w:t>Anvendelse hos patienter med underliggende sygdomstilstande</w:t>
      </w:r>
    </w:p>
    <w:p w14:paraId="71E8E29A" w14:textId="1F341DA3" w:rsidR="00D831EC" w:rsidRPr="00D831EC" w:rsidRDefault="00D831EC" w:rsidP="00D831EC">
      <w:pPr>
        <w:ind w:left="851"/>
        <w:rPr>
          <w:sz w:val="24"/>
          <w:szCs w:val="24"/>
        </w:rPr>
      </w:pPr>
      <w:r w:rsidRPr="00D831EC">
        <w:rPr>
          <w:sz w:val="24"/>
          <w:szCs w:val="24"/>
        </w:rPr>
        <w:t>Ringer-laktat skal administreres med forsigtighed til patienter med underliggende medicinske tilstande, som kan øge risikoen for komplikationer, såsom elektrolyt</w:t>
      </w:r>
      <w:r w:rsidR="007B2E23">
        <w:rPr>
          <w:sz w:val="24"/>
          <w:szCs w:val="24"/>
        </w:rPr>
        <w:softHyphen/>
      </w:r>
      <w:r w:rsidRPr="00D831EC">
        <w:rPr>
          <w:sz w:val="24"/>
          <w:szCs w:val="24"/>
        </w:rPr>
        <w:t>forstyrrelser, nedsat væskeudskillelse eller ændret laktatmetabolisme. Se pkt. 4.3 for tilstande anført som kontraindikationer.</w:t>
      </w:r>
    </w:p>
    <w:p w14:paraId="0E4A278F" w14:textId="77777777" w:rsidR="00D831EC" w:rsidRPr="00D831EC" w:rsidRDefault="00D831EC" w:rsidP="00D831EC">
      <w:pPr>
        <w:ind w:left="851"/>
        <w:rPr>
          <w:sz w:val="24"/>
          <w:szCs w:val="24"/>
        </w:rPr>
      </w:pPr>
    </w:p>
    <w:p w14:paraId="4DDC44EE" w14:textId="77777777" w:rsidR="00D831EC" w:rsidRPr="00D831EC" w:rsidRDefault="00D831EC" w:rsidP="00D831EC">
      <w:pPr>
        <w:ind w:left="851"/>
        <w:rPr>
          <w:i/>
          <w:iCs/>
          <w:sz w:val="24"/>
          <w:szCs w:val="24"/>
        </w:rPr>
      </w:pPr>
      <w:r w:rsidRPr="00D831EC">
        <w:rPr>
          <w:i/>
          <w:sz w:val="24"/>
          <w:szCs w:val="24"/>
        </w:rPr>
        <w:t>Anvendelse hos patienter med risiko for hypernatriæmi</w:t>
      </w:r>
    </w:p>
    <w:p w14:paraId="164D5034" w14:textId="77777777" w:rsidR="00D831EC" w:rsidRPr="00D831EC" w:rsidRDefault="00D831EC" w:rsidP="00D831EC">
      <w:pPr>
        <w:ind w:left="851"/>
        <w:rPr>
          <w:sz w:val="24"/>
          <w:szCs w:val="24"/>
        </w:rPr>
      </w:pPr>
      <w:r w:rsidRPr="00D831EC">
        <w:rPr>
          <w:sz w:val="24"/>
          <w:szCs w:val="24"/>
        </w:rPr>
        <w:t>Ringer-laktat må kun administreres til patienter med hypernatriæmi efter nøje vurdering af den underliggende årsag og alternative intravenøse væsker. Overvågning af plasmanatrium og volumenstatus under behandlingen anbefales. Ringer-laktat skal administreres med særlig forsigtighed til patienter med tilstande, der disponerer for hypernatriæmi (såsom binyrebarkinsufficiens, diabetes insipidus eller omfattende vævsskade) og til patienter med hjertesygdom.</w:t>
      </w:r>
    </w:p>
    <w:p w14:paraId="2F0AAA64" w14:textId="77777777" w:rsidR="00D831EC" w:rsidRPr="00D831EC" w:rsidRDefault="00D831EC" w:rsidP="00D831EC">
      <w:pPr>
        <w:ind w:left="851"/>
        <w:rPr>
          <w:sz w:val="24"/>
          <w:szCs w:val="24"/>
        </w:rPr>
      </w:pPr>
    </w:p>
    <w:p w14:paraId="47378D74" w14:textId="77777777" w:rsidR="00D831EC" w:rsidRPr="00D831EC" w:rsidRDefault="00D831EC" w:rsidP="00D831EC">
      <w:pPr>
        <w:ind w:left="851"/>
        <w:rPr>
          <w:i/>
          <w:iCs/>
          <w:sz w:val="24"/>
          <w:szCs w:val="24"/>
        </w:rPr>
      </w:pPr>
      <w:r w:rsidRPr="00D831EC">
        <w:rPr>
          <w:i/>
          <w:sz w:val="24"/>
          <w:szCs w:val="24"/>
        </w:rPr>
        <w:t>Anvendelse hos patienter med risiko for hyperkloræmi</w:t>
      </w:r>
    </w:p>
    <w:p w14:paraId="393A6DCA" w14:textId="77777777" w:rsidR="00D831EC" w:rsidRPr="00D831EC" w:rsidRDefault="00D831EC" w:rsidP="00D831EC">
      <w:pPr>
        <w:ind w:left="851"/>
        <w:rPr>
          <w:sz w:val="24"/>
          <w:szCs w:val="24"/>
        </w:rPr>
      </w:pPr>
      <w:r w:rsidRPr="00D831EC">
        <w:rPr>
          <w:sz w:val="24"/>
          <w:szCs w:val="24"/>
        </w:rPr>
        <w:t>Ringer-laktat må kun administreres til patienter med hyperkloræmi efter nøje vurdering af den underliggende årsag og alternative intravenøse væsker. Overvågning af plasmaklorid og syre-base-balance under behandlingen anbefales.</w:t>
      </w:r>
    </w:p>
    <w:p w14:paraId="11929F46" w14:textId="77777777" w:rsidR="00D831EC" w:rsidRPr="00D831EC" w:rsidRDefault="00D831EC" w:rsidP="00D831EC">
      <w:pPr>
        <w:ind w:left="851"/>
        <w:rPr>
          <w:sz w:val="24"/>
          <w:szCs w:val="24"/>
        </w:rPr>
      </w:pPr>
    </w:p>
    <w:p w14:paraId="40F4FF72" w14:textId="77777777" w:rsidR="00D831EC" w:rsidRPr="00D831EC" w:rsidRDefault="00D831EC" w:rsidP="00D831EC">
      <w:pPr>
        <w:ind w:left="851"/>
        <w:rPr>
          <w:sz w:val="24"/>
          <w:szCs w:val="24"/>
        </w:rPr>
      </w:pPr>
      <w:r w:rsidRPr="00D831EC">
        <w:rPr>
          <w:sz w:val="24"/>
          <w:szCs w:val="24"/>
        </w:rPr>
        <w:t>Ringer-laktat skal administreres med særlig forsigtighed til patienter med tilstande, der disponerer for hyperkloræmi (såsom nyresvigt og renal tubulær acidose, diabetes insipidus), patienter med urinafledning eller patienter, der tager visse diuretika (kulsyreanhydrasehæmmere, f.eks. acetazolamide) eller steroider (androgener, østrogener, kortikosteroider), samt patienter med svær dehydrering.</w:t>
      </w:r>
    </w:p>
    <w:p w14:paraId="11F8890A" w14:textId="77777777" w:rsidR="00D831EC" w:rsidRPr="00D831EC" w:rsidRDefault="00D831EC" w:rsidP="00D831EC">
      <w:pPr>
        <w:ind w:left="851"/>
        <w:rPr>
          <w:sz w:val="24"/>
          <w:szCs w:val="24"/>
        </w:rPr>
      </w:pPr>
    </w:p>
    <w:p w14:paraId="06AE0932" w14:textId="77777777" w:rsidR="00D831EC" w:rsidRPr="00D831EC" w:rsidRDefault="00D831EC" w:rsidP="00D831EC">
      <w:pPr>
        <w:ind w:left="851"/>
        <w:rPr>
          <w:i/>
          <w:iCs/>
          <w:sz w:val="24"/>
          <w:szCs w:val="24"/>
        </w:rPr>
      </w:pPr>
      <w:r w:rsidRPr="00D831EC">
        <w:rPr>
          <w:i/>
          <w:sz w:val="24"/>
          <w:szCs w:val="24"/>
        </w:rPr>
        <w:t>Anvendelse hos patienter med risiko for hyperkaliæmi</w:t>
      </w:r>
    </w:p>
    <w:p w14:paraId="5DA37E5B" w14:textId="08663A3B" w:rsidR="00D831EC" w:rsidRPr="00D831EC" w:rsidRDefault="00D831EC" w:rsidP="00D831EC">
      <w:pPr>
        <w:ind w:left="851"/>
        <w:rPr>
          <w:sz w:val="24"/>
          <w:szCs w:val="24"/>
        </w:rPr>
      </w:pPr>
      <w:r w:rsidRPr="00D831EC">
        <w:rPr>
          <w:sz w:val="24"/>
          <w:szCs w:val="24"/>
        </w:rPr>
        <w:t>Ringer-laktat skal administreres med særlig forsigtighed til patienter med tilstande, der disponerer for hyperkaliæmi (såsom svært nedsat nyrefunktion eller binyrebark</w:t>
      </w:r>
      <w:r w:rsidR="00B3004F">
        <w:rPr>
          <w:sz w:val="24"/>
          <w:szCs w:val="24"/>
        </w:rPr>
        <w:softHyphen/>
      </w:r>
      <w:r w:rsidRPr="00D831EC">
        <w:rPr>
          <w:sz w:val="24"/>
          <w:szCs w:val="24"/>
        </w:rPr>
        <w:t>insufficiens, akut dehydrering eller omfattende vævsskade eller forbrændinger), samt til patienter med hjertesygdom. Patientens plasmakaliumniveau skal overvåges særligt nøje hos patienter med risiko for hyperkaliæmi.</w:t>
      </w:r>
    </w:p>
    <w:p w14:paraId="643355ED" w14:textId="77777777" w:rsidR="00D831EC" w:rsidRPr="00D831EC" w:rsidRDefault="00D831EC" w:rsidP="00D831EC">
      <w:pPr>
        <w:ind w:left="851"/>
        <w:rPr>
          <w:sz w:val="24"/>
          <w:szCs w:val="24"/>
        </w:rPr>
      </w:pPr>
    </w:p>
    <w:p w14:paraId="20746261" w14:textId="77777777" w:rsidR="00D831EC" w:rsidRPr="00D831EC" w:rsidRDefault="00D831EC" w:rsidP="00D831EC">
      <w:pPr>
        <w:ind w:left="851"/>
        <w:rPr>
          <w:i/>
          <w:iCs/>
          <w:sz w:val="24"/>
          <w:szCs w:val="24"/>
        </w:rPr>
      </w:pPr>
      <w:r w:rsidRPr="00D831EC">
        <w:rPr>
          <w:i/>
          <w:sz w:val="24"/>
          <w:szCs w:val="24"/>
        </w:rPr>
        <w:t>Anvendelse hos patienter med risiko for hyperkalcæmi</w:t>
      </w:r>
    </w:p>
    <w:p w14:paraId="2BEEF1B1" w14:textId="77777777" w:rsidR="00D831EC" w:rsidRPr="00D831EC" w:rsidRDefault="00D831EC" w:rsidP="00D831EC">
      <w:pPr>
        <w:ind w:left="851"/>
        <w:rPr>
          <w:sz w:val="24"/>
          <w:szCs w:val="24"/>
        </w:rPr>
      </w:pPr>
      <w:r w:rsidRPr="00D831EC">
        <w:rPr>
          <w:sz w:val="24"/>
          <w:szCs w:val="24"/>
        </w:rPr>
        <w:t>Calciumchlorid er lokalirriterende; derfor skal der udvises forsigtighed for at undgå ekstravasation under intravenøs injektion, og intramuskulær injektion skal undgås. Opløsninger indeholdende calciumsalte skal anvendes med forsigtighed til patienter med tilstande, der disponerer for hyperkalcæmi, såsom patienter med nedsat nyrefunktion og granulomatøse sygdomme forbundet med øget calcitriolsyntese, såsom sarkoidose, nyresten af calciumtype eller tidligere forekomst af sådanne sten.</w:t>
      </w:r>
    </w:p>
    <w:p w14:paraId="08BACD99" w14:textId="77777777" w:rsidR="00D831EC" w:rsidRPr="00D831EC" w:rsidRDefault="00D831EC" w:rsidP="00D831EC">
      <w:pPr>
        <w:ind w:left="851"/>
        <w:rPr>
          <w:sz w:val="24"/>
          <w:szCs w:val="24"/>
        </w:rPr>
      </w:pPr>
    </w:p>
    <w:p w14:paraId="016E2633" w14:textId="77777777" w:rsidR="00D831EC" w:rsidRPr="00D831EC" w:rsidRDefault="00D831EC" w:rsidP="00D831EC">
      <w:pPr>
        <w:ind w:left="851"/>
        <w:rPr>
          <w:i/>
          <w:iCs/>
          <w:sz w:val="24"/>
          <w:szCs w:val="24"/>
        </w:rPr>
      </w:pPr>
      <w:r w:rsidRPr="00D831EC">
        <w:rPr>
          <w:i/>
          <w:sz w:val="24"/>
          <w:szCs w:val="24"/>
        </w:rPr>
        <w:t>Anvendelse hos patienter i behandling med digitalis</w:t>
      </w:r>
    </w:p>
    <w:p w14:paraId="79BC2E2B" w14:textId="77777777" w:rsidR="00D831EC" w:rsidRPr="00D831EC" w:rsidRDefault="00D831EC" w:rsidP="00D831EC">
      <w:pPr>
        <w:ind w:left="851"/>
        <w:rPr>
          <w:sz w:val="24"/>
          <w:szCs w:val="24"/>
        </w:rPr>
      </w:pPr>
      <w:r w:rsidRPr="00D831EC">
        <w:rPr>
          <w:sz w:val="24"/>
          <w:szCs w:val="24"/>
        </w:rPr>
        <w:t>Forsigtighed anbefales hos patienter, der behandles med digitalisglykosider, på grund af opløsningens calciumindhold, som kan øge risikoen for arytmier. Se pkt. 4.5.</w:t>
      </w:r>
    </w:p>
    <w:p w14:paraId="434417F1" w14:textId="77777777" w:rsidR="00D831EC" w:rsidRPr="00D831EC" w:rsidRDefault="00D831EC" w:rsidP="00D831EC">
      <w:pPr>
        <w:ind w:left="851"/>
        <w:rPr>
          <w:sz w:val="24"/>
          <w:szCs w:val="24"/>
        </w:rPr>
      </w:pPr>
    </w:p>
    <w:p w14:paraId="2657425B" w14:textId="77777777" w:rsidR="00D831EC" w:rsidRPr="00D831EC" w:rsidRDefault="00D831EC" w:rsidP="00D831EC">
      <w:pPr>
        <w:ind w:left="851"/>
        <w:rPr>
          <w:i/>
          <w:iCs/>
          <w:sz w:val="24"/>
          <w:szCs w:val="24"/>
        </w:rPr>
      </w:pPr>
      <w:r w:rsidRPr="00D831EC">
        <w:rPr>
          <w:i/>
          <w:sz w:val="24"/>
          <w:szCs w:val="24"/>
        </w:rPr>
        <w:t>Anvendelse hos patienter med kaliummangel</w:t>
      </w:r>
    </w:p>
    <w:p w14:paraId="7C9973AC" w14:textId="77777777" w:rsidR="00D831EC" w:rsidRPr="00D831EC" w:rsidRDefault="00D831EC" w:rsidP="00D831EC">
      <w:pPr>
        <w:ind w:left="851"/>
        <w:rPr>
          <w:sz w:val="24"/>
          <w:szCs w:val="24"/>
        </w:rPr>
      </w:pPr>
      <w:r w:rsidRPr="00D831EC">
        <w:rPr>
          <w:sz w:val="24"/>
          <w:szCs w:val="24"/>
        </w:rPr>
        <w:t>Selvom Ringer-laktat har en kaliumkoncentration svarende til koncentrationen i plasma, er den utilstrækkelig til at give en nyttig effekt ved svær kaliummangel og bør derfor ikke anvendes til dette formål.</w:t>
      </w:r>
    </w:p>
    <w:p w14:paraId="25F78CCA" w14:textId="77777777" w:rsidR="00D831EC" w:rsidRPr="00D831EC" w:rsidRDefault="00D831EC" w:rsidP="00D831EC">
      <w:pPr>
        <w:ind w:left="851"/>
        <w:rPr>
          <w:sz w:val="24"/>
          <w:szCs w:val="24"/>
        </w:rPr>
      </w:pPr>
    </w:p>
    <w:p w14:paraId="24E0EC3D" w14:textId="77777777" w:rsidR="00D831EC" w:rsidRPr="00D831EC" w:rsidRDefault="00D831EC" w:rsidP="00D831EC">
      <w:pPr>
        <w:ind w:left="851"/>
        <w:rPr>
          <w:i/>
          <w:iCs/>
          <w:sz w:val="24"/>
          <w:szCs w:val="24"/>
        </w:rPr>
      </w:pPr>
      <w:r w:rsidRPr="00D831EC">
        <w:rPr>
          <w:i/>
          <w:sz w:val="24"/>
          <w:szCs w:val="24"/>
        </w:rPr>
        <w:t>Anvendelse hos patienter med risiko for alkalose</w:t>
      </w:r>
    </w:p>
    <w:p w14:paraId="63D3A53E" w14:textId="77777777" w:rsidR="00D831EC" w:rsidRPr="00D831EC" w:rsidRDefault="00D831EC" w:rsidP="00D831EC">
      <w:pPr>
        <w:ind w:left="851"/>
        <w:rPr>
          <w:sz w:val="24"/>
          <w:szCs w:val="24"/>
        </w:rPr>
      </w:pPr>
      <w:r w:rsidRPr="00D831EC">
        <w:rPr>
          <w:sz w:val="24"/>
          <w:szCs w:val="24"/>
        </w:rPr>
        <w:t>Ringer-laktat skal administreres med særlig forsigtighed til patienter med risiko for alkalose. Da laktat metaboliseres til bicarbonat, kan administration medføre eller forværre metabolisk alkalose. Krampeanfald kan udløses af den laktatinducerede alkalose, men dette er usædvanligt.</w:t>
      </w:r>
    </w:p>
    <w:p w14:paraId="4977277F" w14:textId="77777777" w:rsidR="00D831EC" w:rsidRPr="00D831EC" w:rsidRDefault="00D831EC" w:rsidP="00D831EC">
      <w:pPr>
        <w:ind w:left="851"/>
        <w:rPr>
          <w:sz w:val="24"/>
          <w:szCs w:val="24"/>
        </w:rPr>
      </w:pPr>
    </w:p>
    <w:p w14:paraId="7B330328" w14:textId="77777777" w:rsidR="00D831EC" w:rsidRPr="00D831EC" w:rsidRDefault="00D831EC" w:rsidP="00D831EC">
      <w:pPr>
        <w:ind w:left="851"/>
        <w:rPr>
          <w:i/>
          <w:iCs/>
          <w:sz w:val="24"/>
          <w:szCs w:val="24"/>
        </w:rPr>
      </w:pPr>
      <w:r w:rsidRPr="00D831EC">
        <w:rPr>
          <w:i/>
          <w:sz w:val="24"/>
          <w:szCs w:val="24"/>
        </w:rPr>
        <w:t>Anvendelse hos patienter med nedsat nyrefunktion</w:t>
      </w:r>
    </w:p>
    <w:p w14:paraId="6F0D156E" w14:textId="77777777" w:rsidR="00D831EC" w:rsidRPr="00D831EC" w:rsidRDefault="00D831EC" w:rsidP="00D831EC">
      <w:pPr>
        <w:ind w:left="851"/>
        <w:rPr>
          <w:sz w:val="24"/>
          <w:szCs w:val="24"/>
        </w:rPr>
      </w:pPr>
      <w:r w:rsidRPr="00D831EC">
        <w:rPr>
          <w:sz w:val="24"/>
          <w:szCs w:val="24"/>
        </w:rPr>
        <w:t>Ringer-laktat skal administreres med særlig forsigtighed til patienter med nedsat nyrefunktion. Hos sådanne patienter kan administration af Ringer-laktat medføre natrium- og/eller kaliumretention.</w:t>
      </w:r>
    </w:p>
    <w:p w14:paraId="63FC1F8F" w14:textId="77777777" w:rsidR="00D831EC" w:rsidRPr="00D831EC" w:rsidRDefault="00D831EC" w:rsidP="00D831EC">
      <w:pPr>
        <w:ind w:left="851"/>
        <w:rPr>
          <w:sz w:val="24"/>
          <w:szCs w:val="24"/>
        </w:rPr>
      </w:pPr>
    </w:p>
    <w:p w14:paraId="5A53A1DD" w14:textId="77777777" w:rsidR="00D831EC" w:rsidRPr="00D831EC" w:rsidRDefault="00D831EC" w:rsidP="00D831EC">
      <w:pPr>
        <w:ind w:left="851"/>
        <w:rPr>
          <w:i/>
          <w:iCs/>
          <w:sz w:val="24"/>
          <w:szCs w:val="24"/>
        </w:rPr>
      </w:pPr>
      <w:r w:rsidRPr="00D831EC">
        <w:rPr>
          <w:i/>
          <w:sz w:val="24"/>
          <w:szCs w:val="24"/>
        </w:rPr>
        <w:t>Risiko for væske- og/eller stofoverbelastning samt elektrolytforstyrrelser</w:t>
      </w:r>
    </w:p>
    <w:p w14:paraId="55759139" w14:textId="77777777" w:rsidR="00D831EC" w:rsidRPr="00D831EC" w:rsidRDefault="00D831EC" w:rsidP="00D831EC">
      <w:pPr>
        <w:ind w:left="851"/>
        <w:rPr>
          <w:sz w:val="24"/>
          <w:szCs w:val="24"/>
        </w:rPr>
      </w:pPr>
      <w:r w:rsidRPr="00D831EC">
        <w:rPr>
          <w:sz w:val="24"/>
          <w:szCs w:val="24"/>
        </w:rPr>
        <w:t>Afhængigt af infusionsvolumen og -hastighed kan intravenøs administration af Ringer-laktat infusionsvæske medføre:</w:t>
      </w:r>
    </w:p>
    <w:p w14:paraId="1A510DCD" w14:textId="77777777" w:rsidR="00D831EC" w:rsidRPr="00D831EC" w:rsidRDefault="00D831EC" w:rsidP="00AC2EF7">
      <w:pPr>
        <w:numPr>
          <w:ilvl w:val="0"/>
          <w:numId w:val="8"/>
        </w:numPr>
        <w:ind w:left="1276" w:hanging="425"/>
        <w:rPr>
          <w:sz w:val="24"/>
          <w:szCs w:val="24"/>
        </w:rPr>
      </w:pPr>
      <w:r w:rsidRPr="00D831EC">
        <w:rPr>
          <w:sz w:val="24"/>
          <w:szCs w:val="24"/>
        </w:rPr>
        <w:t>væske- og/eller stofoverbelastning, der resulterer i hyperhydrering og f.eks. kongestive tilstande, herunder pulmonal kongestion og ødem.</w:t>
      </w:r>
    </w:p>
    <w:p w14:paraId="328B4000" w14:textId="77777777" w:rsidR="00D831EC" w:rsidRPr="00D831EC" w:rsidRDefault="00D831EC" w:rsidP="00AC2EF7">
      <w:pPr>
        <w:numPr>
          <w:ilvl w:val="0"/>
          <w:numId w:val="8"/>
        </w:numPr>
        <w:ind w:left="1276" w:hanging="425"/>
        <w:rPr>
          <w:sz w:val="24"/>
          <w:szCs w:val="24"/>
        </w:rPr>
      </w:pPr>
      <w:r w:rsidRPr="00D831EC">
        <w:rPr>
          <w:sz w:val="24"/>
          <w:szCs w:val="24"/>
        </w:rPr>
        <w:t>klinisk relevante elektrolytforstyrrelser og syre-base-ubalance.</w:t>
      </w:r>
    </w:p>
    <w:p w14:paraId="23230144" w14:textId="77777777" w:rsidR="00D831EC" w:rsidRPr="00D831EC" w:rsidRDefault="00D831EC" w:rsidP="00D831EC">
      <w:pPr>
        <w:ind w:left="851"/>
        <w:rPr>
          <w:sz w:val="24"/>
          <w:szCs w:val="24"/>
        </w:rPr>
      </w:pPr>
    </w:p>
    <w:p w14:paraId="10F44933" w14:textId="77777777" w:rsidR="00D831EC" w:rsidRPr="00D831EC" w:rsidRDefault="00D831EC" w:rsidP="00D831EC">
      <w:pPr>
        <w:ind w:left="851"/>
        <w:rPr>
          <w:sz w:val="24"/>
          <w:szCs w:val="24"/>
        </w:rPr>
      </w:pPr>
      <w:r w:rsidRPr="00D831EC">
        <w:rPr>
          <w:sz w:val="24"/>
          <w:szCs w:val="24"/>
        </w:rPr>
        <w:t>Klinisk vurdering og periodiske laboratorieundersøgelser kan være nødvendige for at overvåge ændringer i væskebalance, elektrolytkoncentrationer og syre-base-balance under langvarig parenteral behandling, eller når patientens tilstand eller administrationshastigheden nødvendiggør sådan vurdering.</w:t>
      </w:r>
    </w:p>
    <w:p w14:paraId="06A8E58C" w14:textId="77777777" w:rsidR="00D831EC" w:rsidRPr="00D831EC" w:rsidRDefault="00D831EC" w:rsidP="00D831EC">
      <w:pPr>
        <w:ind w:left="851"/>
        <w:rPr>
          <w:sz w:val="24"/>
          <w:szCs w:val="24"/>
        </w:rPr>
      </w:pPr>
    </w:p>
    <w:p w14:paraId="187AF24B" w14:textId="77777777" w:rsidR="00D831EC" w:rsidRPr="00D831EC" w:rsidRDefault="00D831EC" w:rsidP="00D831EC">
      <w:pPr>
        <w:ind w:left="851"/>
        <w:rPr>
          <w:sz w:val="24"/>
          <w:szCs w:val="24"/>
        </w:rPr>
      </w:pPr>
      <w:r w:rsidRPr="00D831EC">
        <w:rPr>
          <w:sz w:val="24"/>
          <w:szCs w:val="24"/>
        </w:rPr>
        <w:t>Højvolumeninfusion skal anvendes under særlig overvågning hos patienter med hjerte- eller lungesvigt og hos patienter med ikke-osmotisk vasopressinfrigivelse (herunder SIADH) på grund af risikoen for hospitals-erhvervet hyponatriæmi (se nedenfor).</w:t>
      </w:r>
    </w:p>
    <w:p w14:paraId="3FADF732" w14:textId="77777777" w:rsidR="00D831EC" w:rsidRPr="00D831EC" w:rsidRDefault="00D831EC" w:rsidP="00D831EC">
      <w:pPr>
        <w:ind w:left="851"/>
        <w:rPr>
          <w:sz w:val="24"/>
          <w:szCs w:val="24"/>
        </w:rPr>
      </w:pPr>
    </w:p>
    <w:p w14:paraId="0FF10BBD" w14:textId="77777777" w:rsidR="00D831EC" w:rsidRPr="00D831EC" w:rsidRDefault="00D831EC" w:rsidP="00D831EC">
      <w:pPr>
        <w:ind w:left="851"/>
        <w:rPr>
          <w:i/>
          <w:iCs/>
          <w:sz w:val="24"/>
          <w:szCs w:val="24"/>
        </w:rPr>
      </w:pPr>
      <w:r w:rsidRPr="00D831EC">
        <w:rPr>
          <w:i/>
          <w:sz w:val="24"/>
          <w:szCs w:val="24"/>
        </w:rPr>
        <w:t>Hyponatriæmi</w:t>
      </w:r>
    </w:p>
    <w:p w14:paraId="2D5C0B95" w14:textId="77777777" w:rsidR="00D831EC" w:rsidRPr="00D831EC" w:rsidRDefault="00D831EC" w:rsidP="00D831EC">
      <w:pPr>
        <w:ind w:left="851"/>
        <w:rPr>
          <w:sz w:val="24"/>
          <w:szCs w:val="24"/>
        </w:rPr>
      </w:pPr>
      <w:r w:rsidRPr="00D831EC">
        <w:rPr>
          <w:sz w:val="24"/>
          <w:szCs w:val="24"/>
        </w:rPr>
        <w:t>Patienter med ikke-osmotisk vasopressinfrigivelse (f.eks. ved akut sygdom, smerter, postoperativ stress, infektioner, forbrændinger og CNS-sygdomme), patienter med hjerte-, lever- og nyresygdomme samt patienter eksponeret for vasopressinagonister (se pkt. 4.5) har særlig risiko for akut hyponatriæmi ved infusion af hypotone væsker.</w:t>
      </w:r>
    </w:p>
    <w:p w14:paraId="3F351644" w14:textId="77777777" w:rsidR="00D831EC" w:rsidRPr="00D831EC" w:rsidRDefault="00D831EC" w:rsidP="00D831EC">
      <w:pPr>
        <w:ind w:left="851"/>
        <w:rPr>
          <w:sz w:val="24"/>
          <w:szCs w:val="24"/>
        </w:rPr>
      </w:pPr>
    </w:p>
    <w:p w14:paraId="72A3FEF3" w14:textId="77777777" w:rsidR="00D831EC" w:rsidRPr="00D831EC" w:rsidRDefault="00D831EC" w:rsidP="00D831EC">
      <w:pPr>
        <w:ind w:left="851"/>
        <w:rPr>
          <w:sz w:val="24"/>
          <w:szCs w:val="24"/>
        </w:rPr>
      </w:pPr>
      <w:r w:rsidRPr="00D831EC">
        <w:rPr>
          <w:sz w:val="24"/>
          <w:szCs w:val="24"/>
        </w:rPr>
        <w:t>Akut hyponatriæmi kan føre til akut hyponatriæmisk encefalopati (cerebralt ødem), karakteriseret ved hovedpine, kvalme, krampeanfald, sløvhed og opkastning. Patienter med cerebralt ødem har særlig risiko for alvorlig, irreversibel og livstruende hjerneskade.</w:t>
      </w:r>
    </w:p>
    <w:p w14:paraId="18789EB9" w14:textId="77777777" w:rsidR="00D831EC" w:rsidRPr="00D831EC" w:rsidRDefault="00D831EC" w:rsidP="00D831EC">
      <w:pPr>
        <w:ind w:left="851"/>
        <w:rPr>
          <w:sz w:val="24"/>
          <w:szCs w:val="24"/>
        </w:rPr>
      </w:pPr>
    </w:p>
    <w:p w14:paraId="666DEF27" w14:textId="77777777" w:rsidR="00D831EC" w:rsidRPr="00D831EC" w:rsidRDefault="00D831EC" w:rsidP="00D831EC">
      <w:pPr>
        <w:ind w:left="851"/>
        <w:rPr>
          <w:sz w:val="24"/>
          <w:szCs w:val="24"/>
        </w:rPr>
      </w:pPr>
      <w:r w:rsidRPr="00D831EC">
        <w:rPr>
          <w:sz w:val="24"/>
          <w:szCs w:val="24"/>
        </w:rPr>
        <w:t>Børn, kvinder i fertil alder og patienter med nedsat cerebral compliance (f.eks. meningitis, intrakraniel blødning, cerebral kontusion og cerebralt ødem) har særlig risiko for alvorlig og livstruende hjernehævelse forårsaget af akut hyponatriæmi.</w:t>
      </w:r>
    </w:p>
    <w:p w14:paraId="227CA41B" w14:textId="77777777" w:rsidR="00D831EC" w:rsidRPr="00D831EC" w:rsidRDefault="00D831EC" w:rsidP="00D831EC">
      <w:pPr>
        <w:ind w:left="851"/>
        <w:rPr>
          <w:sz w:val="24"/>
          <w:szCs w:val="24"/>
        </w:rPr>
      </w:pPr>
    </w:p>
    <w:p w14:paraId="22B059BB" w14:textId="77777777" w:rsidR="00D831EC" w:rsidRPr="00D831EC" w:rsidRDefault="00D831EC" w:rsidP="00D831EC">
      <w:pPr>
        <w:ind w:left="851"/>
        <w:rPr>
          <w:i/>
          <w:iCs/>
          <w:sz w:val="24"/>
          <w:szCs w:val="24"/>
        </w:rPr>
      </w:pPr>
      <w:r w:rsidRPr="00D831EC">
        <w:rPr>
          <w:i/>
          <w:sz w:val="24"/>
          <w:szCs w:val="24"/>
        </w:rPr>
        <w:t>Anvendelse hos patienter med hypervolæmi, hyperhydrering eller tilstande, der medfører natriumretention og ødem</w:t>
      </w:r>
    </w:p>
    <w:p w14:paraId="626F1E11" w14:textId="77777777" w:rsidR="00D831EC" w:rsidRPr="00D831EC" w:rsidRDefault="00D831EC" w:rsidP="00D831EC">
      <w:pPr>
        <w:ind w:left="851"/>
        <w:rPr>
          <w:sz w:val="24"/>
          <w:szCs w:val="24"/>
        </w:rPr>
      </w:pPr>
      <w:r w:rsidRPr="00D831EC">
        <w:rPr>
          <w:sz w:val="24"/>
          <w:szCs w:val="24"/>
        </w:rPr>
        <w:t>Ringer-laktat skal administreres med særlig forsigtighed til patienter med hypervolæmi eller hyperhydrering.</w:t>
      </w:r>
    </w:p>
    <w:p w14:paraId="5BE168C9" w14:textId="77777777" w:rsidR="00D831EC" w:rsidRPr="00D831EC" w:rsidRDefault="00D831EC" w:rsidP="00D831EC">
      <w:pPr>
        <w:ind w:left="851"/>
        <w:rPr>
          <w:sz w:val="24"/>
          <w:szCs w:val="24"/>
        </w:rPr>
      </w:pPr>
    </w:p>
    <w:p w14:paraId="717DD576" w14:textId="77777777" w:rsidR="00D831EC" w:rsidRPr="00D831EC" w:rsidRDefault="00D831EC" w:rsidP="00D831EC">
      <w:pPr>
        <w:ind w:left="851"/>
        <w:rPr>
          <w:sz w:val="24"/>
          <w:szCs w:val="24"/>
        </w:rPr>
      </w:pPr>
      <w:r w:rsidRPr="00D831EC">
        <w:rPr>
          <w:sz w:val="24"/>
          <w:szCs w:val="24"/>
        </w:rPr>
        <w:t>På grund af indholdet af natriumchlorid skal Ringer-laktat administreres med særlig forsigtighed til patienter med tilstande, som kan medføre natriumretention, væskeoverbelastning og ødem, såsom patienter med primær hyperaldosteronisme, sekundær hyperaldosteronisme (associeret med f.eks. hypertension, kongestivt hjertesvigt, nyrearteriestenose eller nefrosklerose) eller præeklampsi (se også pkt. 4.5).</w:t>
      </w:r>
    </w:p>
    <w:p w14:paraId="03730608" w14:textId="77777777" w:rsidR="00D831EC" w:rsidRPr="00D831EC" w:rsidRDefault="00D831EC" w:rsidP="00D831EC">
      <w:pPr>
        <w:ind w:left="851"/>
        <w:rPr>
          <w:sz w:val="24"/>
          <w:szCs w:val="24"/>
        </w:rPr>
      </w:pPr>
    </w:p>
    <w:p w14:paraId="6EBB259D" w14:textId="77777777" w:rsidR="00D831EC" w:rsidRPr="00D831EC" w:rsidRDefault="00D831EC" w:rsidP="00D831EC">
      <w:pPr>
        <w:ind w:left="851"/>
        <w:rPr>
          <w:b/>
          <w:bCs/>
          <w:sz w:val="24"/>
          <w:szCs w:val="24"/>
        </w:rPr>
      </w:pPr>
      <w:r w:rsidRPr="00D831EC">
        <w:rPr>
          <w:b/>
          <w:sz w:val="24"/>
          <w:szCs w:val="24"/>
        </w:rPr>
        <w:t>Andre advarsler</w:t>
      </w:r>
    </w:p>
    <w:p w14:paraId="1C9EE788" w14:textId="77777777" w:rsidR="00D831EC" w:rsidRPr="00D831EC" w:rsidRDefault="00D831EC" w:rsidP="00D831EC">
      <w:pPr>
        <w:ind w:left="851"/>
        <w:rPr>
          <w:i/>
          <w:iCs/>
          <w:sz w:val="24"/>
          <w:szCs w:val="24"/>
        </w:rPr>
      </w:pPr>
      <w:r w:rsidRPr="00D831EC">
        <w:rPr>
          <w:i/>
          <w:sz w:val="24"/>
          <w:szCs w:val="24"/>
        </w:rPr>
        <w:t>Administration af citrat-antikoaguleret/konserveret blod</w:t>
      </w:r>
    </w:p>
    <w:p w14:paraId="17250AAD" w14:textId="77777777" w:rsidR="00D831EC" w:rsidRPr="00D831EC" w:rsidRDefault="00D831EC" w:rsidP="00D831EC">
      <w:pPr>
        <w:ind w:left="851"/>
        <w:rPr>
          <w:sz w:val="24"/>
          <w:szCs w:val="24"/>
        </w:rPr>
      </w:pPr>
      <w:r w:rsidRPr="00D831EC">
        <w:rPr>
          <w:sz w:val="24"/>
          <w:szCs w:val="24"/>
        </w:rPr>
        <w:t>På grund af risikoen for koagulation forårsaget af calciumindholdet må Ringer-laktat ikke tilsættes til eller administreres samtidig gennem samme slangesystem med citrat-antikoaguleret/konserveret blod.</w:t>
      </w:r>
    </w:p>
    <w:p w14:paraId="03174028" w14:textId="77777777" w:rsidR="00D831EC" w:rsidRPr="00D831EC" w:rsidRDefault="00D831EC" w:rsidP="00D831EC">
      <w:pPr>
        <w:ind w:left="851"/>
        <w:rPr>
          <w:sz w:val="24"/>
          <w:szCs w:val="24"/>
        </w:rPr>
      </w:pPr>
    </w:p>
    <w:p w14:paraId="2E04DF93" w14:textId="77777777" w:rsidR="00D831EC" w:rsidRPr="00D831EC" w:rsidRDefault="00D831EC" w:rsidP="00D831EC">
      <w:pPr>
        <w:ind w:left="851"/>
        <w:rPr>
          <w:i/>
          <w:iCs/>
          <w:sz w:val="24"/>
          <w:szCs w:val="24"/>
        </w:rPr>
      </w:pPr>
      <w:r w:rsidRPr="00D831EC">
        <w:rPr>
          <w:i/>
          <w:sz w:val="24"/>
          <w:szCs w:val="24"/>
        </w:rPr>
        <w:t>Anvendelse hos patienter med type 2-diabetes</w:t>
      </w:r>
    </w:p>
    <w:p w14:paraId="0C01E838" w14:textId="77777777" w:rsidR="00D831EC" w:rsidRPr="00D831EC" w:rsidRDefault="00D831EC" w:rsidP="00D831EC">
      <w:pPr>
        <w:ind w:left="851"/>
        <w:rPr>
          <w:sz w:val="24"/>
          <w:szCs w:val="24"/>
        </w:rPr>
      </w:pPr>
      <w:r w:rsidRPr="00D831EC">
        <w:rPr>
          <w:sz w:val="24"/>
          <w:szCs w:val="24"/>
        </w:rPr>
        <w:t>Laktat er et substrat for glukoneogenese. Derfor skal glukoseniveauer overvåges nøje hos patienter, der får Ringer-laktat.</w:t>
      </w:r>
    </w:p>
    <w:p w14:paraId="40366058" w14:textId="77777777" w:rsidR="00D831EC" w:rsidRPr="00D831EC" w:rsidRDefault="00D831EC" w:rsidP="00D831EC">
      <w:pPr>
        <w:ind w:left="851"/>
        <w:rPr>
          <w:sz w:val="24"/>
          <w:szCs w:val="24"/>
        </w:rPr>
      </w:pPr>
    </w:p>
    <w:p w14:paraId="011AEC0F" w14:textId="77777777" w:rsidR="00D831EC" w:rsidRPr="00D831EC" w:rsidRDefault="00D831EC" w:rsidP="00D831EC">
      <w:pPr>
        <w:ind w:left="851"/>
        <w:rPr>
          <w:i/>
          <w:iCs/>
          <w:sz w:val="24"/>
          <w:szCs w:val="24"/>
        </w:rPr>
      </w:pPr>
      <w:r w:rsidRPr="00D831EC">
        <w:rPr>
          <w:i/>
          <w:sz w:val="24"/>
          <w:szCs w:val="24"/>
        </w:rPr>
        <w:t>Administration</w:t>
      </w:r>
    </w:p>
    <w:p w14:paraId="00DEB7FF" w14:textId="77777777" w:rsidR="00D831EC" w:rsidRPr="00D831EC" w:rsidRDefault="00D831EC" w:rsidP="00D831EC">
      <w:pPr>
        <w:ind w:left="851"/>
        <w:rPr>
          <w:sz w:val="24"/>
          <w:szCs w:val="24"/>
        </w:rPr>
      </w:pPr>
      <w:r w:rsidRPr="00D831EC">
        <w:rPr>
          <w:sz w:val="24"/>
          <w:szCs w:val="24"/>
        </w:rPr>
        <w:t>Tilsætning af andre lægemidler eller anvendelse af forkert administrationsteknik kan medføre feberreaktioner på grund af mulig introduktion af pyrogener. I sådanne tilfælde skal infusionen stoppes øjeblikkeligt.</w:t>
      </w:r>
    </w:p>
    <w:p w14:paraId="7B455C1E" w14:textId="77777777" w:rsidR="00D831EC" w:rsidRPr="00D831EC" w:rsidRDefault="00D831EC" w:rsidP="00D831EC">
      <w:pPr>
        <w:ind w:left="851"/>
        <w:rPr>
          <w:sz w:val="24"/>
          <w:szCs w:val="24"/>
        </w:rPr>
      </w:pPr>
    </w:p>
    <w:p w14:paraId="2EEBF63A" w14:textId="77777777" w:rsidR="00D831EC" w:rsidRPr="00D831EC" w:rsidRDefault="00D831EC" w:rsidP="00D831EC">
      <w:pPr>
        <w:ind w:left="851"/>
        <w:rPr>
          <w:sz w:val="24"/>
          <w:szCs w:val="24"/>
        </w:rPr>
      </w:pPr>
      <w:r w:rsidRPr="00D831EC">
        <w:rPr>
          <w:sz w:val="24"/>
          <w:szCs w:val="24"/>
        </w:rPr>
        <w:t>Se pkt. 6.2 og 6.6 for oplysninger om uforligeligheder samt klargøring af produktet og tilsætningsstoffer.</w:t>
      </w:r>
    </w:p>
    <w:p w14:paraId="2D51DC06" w14:textId="77777777" w:rsidR="00D831EC" w:rsidRPr="00D831EC" w:rsidRDefault="00D831EC" w:rsidP="00D831EC">
      <w:pPr>
        <w:ind w:left="851"/>
        <w:rPr>
          <w:sz w:val="24"/>
          <w:szCs w:val="24"/>
        </w:rPr>
      </w:pPr>
    </w:p>
    <w:p w14:paraId="38729A90" w14:textId="77777777" w:rsidR="00D831EC" w:rsidRPr="00D831EC" w:rsidRDefault="00D831EC" w:rsidP="00D831EC">
      <w:pPr>
        <w:ind w:left="851"/>
        <w:rPr>
          <w:sz w:val="24"/>
          <w:szCs w:val="24"/>
        </w:rPr>
      </w:pPr>
      <w:r w:rsidRPr="00D831EC">
        <w:rPr>
          <w:sz w:val="24"/>
          <w:szCs w:val="24"/>
        </w:rPr>
        <w:t>Under langvarig parenteral behandling skal patienten gives passende ernæringstilførsel.</w:t>
      </w:r>
    </w:p>
    <w:p w14:paraId="06158DB0" w14:textId="77777777" w:rsidR="009260DE" w:rsidRPr="00D831EC" w:rsidRDefault="009260DE" w:rsidP="009260DE">
      <w:pPr>
        <w:tabs>
          <w:tab w:val="left" w:pos="851"/>
        </w:tabs>
        <w:ind w:left="851"/>
        <w:rPr>
          <w:sz w:val="24"/>
          <w:szCs w:val="24"/>
        </w:rPr>
      </w:pPr>
    </w:p>
    <w:p w14:paraId="03E94513" w14:textId="77777777" w:rsidR="009260DE" w:rsidRPr="00D831EC" w:rsidRDefault="009260DE" w:rsidP="009260DE">
      <w:pPr>
        <w:tabs>
          <w:tab w:val="left" w:pos="851"/>
        </w:tabs>
        <w:ind w:left="851" w:hanging="851"/>
        <w:rPr>
          <w:b/>
          <w:sz w:val="24"/>
          <w:szCs w:val="24"/>
        </w:rPr>
      </w:pPr>
      <w:r w:rsidRPr="00D831EC">
        <w:rPr>
          <w:b/>
          <w:sz w:val="24"/>
          <w:szCs w:val="24"/>
        </w:rPr>
        <w:t>4.5</w:t>
      </w:r>
      <w:r w:rsidRPr="00D831EC">
        <w:rPr>
          <w:b/>
          <w:sz w:val="24"/>
          <w:szCs w:val="24"/>
        </w:rPr>
        <w:tab/>
        <w:t>Interaktion med andre lægemidler og andre former for interaktion</w:t>
      </w:r>
    </w:p>
    <w:p w14:paraId="2D48996C" w14:textId="77777777" w:rsidR="00AC2EF7" w:rsidRDefault="00AC2EF7" w:rsidP="00D831EC">
      <w:pPr>
        <w:ind w:left="851"/>
        <w:rPr>
          <w:i/>
          <w:sz w:val="24"/>
          <w:szCs w:val="24"/>
        </w:rPr>
      </w:pPr>
    </w:p>
    <w:p w14:paraId="6DEAB268" w14:textId="0B6B4527" w:rsidR="00D831EC" w:rsidRPr="00D831EC" w:rsidRDefault="00D831EC" w:rsidP="00D831EC">
      <w:pPr>
        <w:ind w:left="851"/>
        <w:rPr>
          <w:i/>
          <w:sz w:val="24"/>
          <w:szCs w:val="24"/>
        </w:rPr>
      </w:pPr>
      <w:r w:rsidRPr="00D831EC">
        <w:rPr>
          <w:i/>
          <w:sz w:val="24"/>
          <w:szCs w:val="24"/>
        </w:rPr>
        <w:t xml:space="preserve">Interaktion med ceftriaxone: </w:t>
      </w:r>
    </w:p>
    <w:p w14:paraId="5FCB296E" w14:textId="77777777" w:rsidR="00D831EC" w:rsidRPr="00D831EC" w:rsidRDefault="00D831EC" w:rsidP="00D831EC">
      <w:pPr>
        <w:ind w:left="851"/>
        <w:rPr>
          <w:i/>
          <w:sz w:val="24"/>
          <w:szCs w:val="24"/>
        </w:rPr>
      </w:pPr>
      <w:r w:rsidRPr="00D831EC">
        <w:rPr>
          <w:sz w:val="24"/>
          <w:szCs w:val="24"/>
        </w:rPr>
        <w:t>Hos patienter over 28 dage gamle (inklusive voksne) må ceftriaxone ikke administreres samtidig med intravenøse opløsninger indeholdende calcium. Udfældning af ceftriaxone-calcium kan forekomme, når ceftriaxone blandes med calciumholdige opløsninger i samme intravenøse administrationslinje. In vitro-studier med plasma fra voksne og nyfødte fra navlesnorsblod har vist, at nyfødte har øget risiko for udfældning af ceftriaxone-calcium. Derfor er samtidig anvendelse af ceftriaxone og Ringer-laktat kontraindiceret hos patienter under 28 dage, selv hvis det administreres gennem separate infusionslinjer (se pkt. 4.3 og 4.4).</w:t>
      </w:r>
    </w:p>
    <w:p w14:paraId="10013F4D" w14:textId="77777777" w:rsidR="00D831EC" w:rsidRPr="00D831EC" w:rsidRDefault="00D831EC" w:rsidP="00D831EC">
      <w:pPr>
        <w:ind w:left="851"/>
        <w:rPr>
          <w:i/>
          <w:sz w:val="24"/>
          <w:szCs w:val="24"/>
        </w:rPr>
      </w:pPr>
    </w:p>
    <w:p w14:paraId="1AE61463" w14:textId="77777777" w:rsidR="00D831EC" w:rsidRPr="00D831EC" w:rsidRDefault="00D831EC" w:rsidP="00D831EC">
      <w:pPr>
        <w:ind w:left="851"/>
        <w:rPr>
          <w:i/>
          <w:iCs/>
          <w:sz w:val="24"/>
          <w:szCs w:val="24"/>
        </w:rPr>
      </w:pPr>
      <w:r w:rsidRPr="00D831EC">
        <w:rPr>
          <w:i/>
          <w:sz w:val="24"/>
          <w:szCs w:val="24"/>
        </w:rPr>
        <w:t>Lægemidler, der fører til øget vasopressineffekt</w:t>
      </w:r>
    </w:p>
    <w:p w14:paraId="07A8E246" w14:textId="77777777" w:rsidR="00D831EC" w:rsidRPr="00D831EC" w:rsidRDefault="00D831EC" w:rsidP="00D831EC">
      <w:pPr>
        <w:ind w:left="851"/>
        <w:rPr>
          <w:iCs/>
          <w:sz w:val="24"/>
          <w:szCs w:val="24"/>
        </w:rPr>
      </w:pPr>
      <w:r w:rsidRPr="00D831EC">
        <w:rPr>
          <w:sz w:val="24"/>
          <w:szCs w:val="24"/>
        </w:rPr>
        <w:t>Nedenfor anførte lægemidler øger vasopressineffekten, hvilket fører til reduceret renal udskillelse af elektrolytfrit vand og kan øge risikoen for hospitals-erhvervet hyponatriæmi efter uhensigtsmæssigt afbalanceret behandling med intravenøse væsker (se pkt. 4.2, 4.4 og 4.8).</w:t>
      </w:r>
    </w:p>
    <w:p w14:paraId="74FD55C4" w14:textId="77777777" w:rsidR="00D831EC" w:rsidRPr="00D831EC" w:rsidRDefault="00D831EC" w:rsidP="00AC2EF7">
      <w:pPr>
        <w:numPr>
          <w:ilvl w:val="0"/>
          <w:numId w:val="9"/>
        </w:numPr>
        <w:ind w:left="1276" w:hanging="425"/>
        <w:rPr>
          <w:iCs/>
          <w:sz w:val="24"/>
          <w:szCs w:val="24"/>
        </w:rPr>
      </w:pPr>
      <w:r w:rsidRPr="00D831EC">
        <w:rPr>
          <w:sz w:val="24"/>
          <w:szCs w:val="24"/>
        </w:rPr>
        <w:t>Lægemidler, der stimulerer frigivelse af vasopressin, omfatter: Chlorpropamide, clofibrate, carbamazepine, vincristine, selektive serotoningenoptagelseshæmmere, 3,4-methylendioxy-N-methamfetamin, ifosfamide, antipsykotika, narkotika.</w:t>
      </w:r>
    </w:p>
    <w:p w14:paraId="35D04534" w14:textId="77777777" w:rsidR="00D831EC" w:rsidRPr="00D831EC" w:rsidRDefault="00D831EC" w:rsidP="00AC2EF7">
      <w:pPr>
        <w:numPr>
          <w:ilvl w:val="0"/>
          <w:numId w:val="9"/>
        </w:numPr>
        <w:ind w:left="1276" w:hanging="425"/>
        <w:rPr>
          <w:iCs/>
          <w:sz w:val="24"/>
          <w:szCs w:val="24"/>
        </w:rPr>
      </w:pPr>
      <w:r w:rsidRPr="00D831EC">
        <w:rPr>
          <w:sz w:val="24"/>
          <w:szCs w:val="24"/>
        </w:rPr>
        <w:t xml:space="preserve">Lægemidler, der forstærker virkningen af vasopressin, omfatter: Chlorpropamide, NSAID’er, cyclophosphamide. </w:t>
      </w:r>
    </w:p>
    <w:p w14:paraId="11FB9F41" w14:textId="77777777" w:rsidR="00D831EC" w:rsidRPr="00D831EC" w:rsidRDefault="00D831EC" w:rsidP="00AC2EF7">
      <w:pPr>
        <w:numPr>
          <w:ilvl w:val="0"/>
          <w:numId w:val="9"/>
        </w:numPr>
        <w:ind w:left="1276" w:hanging="425"/>
        <w:rPr>
          <w:sz w:val="24"/>
          <w:szCs w:val="24"/>
        </w:rPr>
      </w:pPr>
      <w:r w:rsidRPr="00D831EC">
        <w:rPr>
          <w:sz w:val="24"/>
          <w:szCs w:val="24"/>
        </w:rPr>
        <w:t>Vasopressinanaloger omfatter Desmopressin, oxytocin og terlipressin.</w:t>
      </w:r>
    </w:p>
    <w:p w14:paraId="7D193F66" w14:textId="77777777" w:rsidR="00D831EC" w:rsidRPr="00D831EC" w:rsidRDefault="00D831EC" w:rsidP="00D831EC">
      <w:pPr>
        <w:ind w:left="851"/>
        <w:rPr>
          <w:sz w:val="24"/>
          <w:szCs w:val="24"/>
          <w:lang w:val="fr-FR"/>
        </w:rPr>
      </w:pPr>
    </w:p>
    <w:p w14:paraId="4CA23480" w14:textId="77777777" w:rsidR="00D831EC" w:rsidRPr="00D831EC" w:rsidRDefault="00D831EC" w:rsidP="00D831EC">
      <w:pPr>
        <w:ind w:left="851"/>
        <w:rPr>
          <w:iCs/>
          <w:sz w:val="24"/>
          <w:szCs w:val="24"/>
        </w:rPr>
      </w:pPr>
      <w:r w:rsidRPr="00D831EC">
        <w:rPr>
          <w:sz w:val="24"/>
          <w:szCs w:val="24"/>
        </w:rPr>
        <w:t>Andre lægemidler, der øger risikoen for hyponatriæmi, omfatter også diuretika generelt og antiepileptika såsom oxcarbazepine.</w:t>
      </w:r>
    </w:p>
    <w:p w14:paraId="05C4E380" w14:textId="77777777" w:rsidR="00D831EC" w:rsidRPr="00D831EC" w:rsidRDefault="00D831EC" w:rsidP="00D831EC">
      <w:pPr>
        <w:ind w:left="851"/>
        <w:rPr>
          <w:iCs/>
          <w:sz w:val="24"/>
          <w:szCs w:val="24"/>
        </w:rPr>
      </w:pPr>
    </w:p>
    <w:p w14:paraId="6D586689" w14:textId="77777777" w:rsidR="00D831EC" w:rsidRPr="00D831EC" w:rsidRDefault="00D831EC" w:rsidP="00D831EC">
      <w:pPr>
        <w:ind w:left="851"/>
        <w:rPr>
          <w:i/>
          <w:sz w:val="24"/>
          <w:szCs w:val="24"/>
        </w:rPr>
      </w:pPr>
      <w:r w:rsidRPr="00D831EC">
        <w:rPr>
          <w:i/>
          <w:sz w:val="24"/>
          <w:szCs w:val="24"/>
        </w:rPr>
        <w:t>Interaktion relateret til indholdet af natrium:</w:t>
      </w:r>
    </w:p>
    <w:p w14:paraId="73628915" w14:textId="77777777" w:rsidR="00D831EC" w:rsidRPr="00D831EC" w:rsidRDefault="00D831EC" w:rsidP="00D831EC">
      <w:pPr>
        <w:ind w:left="851"/>
        <w:rPr>
          <w:iCs/>
          <w:sz w:val="24"/>
          <w:szCs w:val="24"/>
        </w:rPr>
      </w:pPr>
      <w:r w:rsidRPr="00D831EC">
        <w:rPr>
          <w:sz w:val="24"/>
          <w:szCs w:val="24"/>
        </w:rPr>
        <w:t>Der bør udvises forsigtighed ved administration af Ringer-laktat til patienter i behandling med lægemidler, der kan øge risikoen for natrium- og væskeretention (med ødem og hypertension), såsom kortikosteroider og carbenoxolone. Carbenoxolone har mineralokortikoidlignende aktivitet og kan øge risikoen for natrium- og væskeretention.</w:t>
      </w:r>
    </w:p>
    <w:p w14:paraId="2631D973" w14:textId="77777777" w:rsidR="00D831EC" w:rsidRPr="00D831EC" w:rsidRDefault="00D831EC" w:rsidP="00D831EC">
      <w:pPr>
        <w:ind w:left="851"/>
        <w:rPr>
          <w:iCs/>
          <w:sz w:val="24"/>
          <w:szCs w:val="24"/>
        </w:rPr>
      </w:pPr>
    </w:p>
    <w:p w14:paraId="616FDD21" w14:textId="77777777" w:rsidR="00D831EC" w:rsidRPr="00D831EC" w:rsidRDefault="00D831EC" w:rsidP="00D831EC">
      <w:pPr>
        <w:ind w:left="851"/>
        <w:rPr>
          <w:i/>
          <w:iCs/>
          <w:sz w:val="24"/>
          <w:szCs w:val="24"/>
        </w:rPr>
      </w:pPr>
      <w:r w:rsidRPr="00D831EC">
        <w:rPr>
          <w:i/>
          <w:sz w:val="24"/>
          <w:szCs w:val="24"/>
        </w:rPr>
        <w:t>Interaktion relateret til indholdet af kalium:</w:t>
      </w:r>
    </w:p>
    <w:p w14:paraId="1B83185A" w14:textId="77777777" w:rsidR="00D831EC" w:rsidRPr="00D831EC" w:rsidRDefault="00D831EC" w:rsidP="00D831EC">
      <w:pPr>
        <w:ind w:left="851"/>
        <w:rPr>
          <w:iCs/>
          <w:sz w:val="24"/>
          <w:szCs w:val="24"/>
        </w:rPr>
      </w:pPr>
      <w:r w:rsidRPr="00D831EC">
        <w:rPr>
          <w:sz w:val="24"/>
          <w:szCs w:val="24"/>
        </w:rPr>
        <w:t>På grund af kaliumindholdet skal Ringer-laktat administreres med forsigtighed til patienter i behandling med lægemidler eller produkter, der kan forårsage hyperkaliæmi eller øge risikoen for hyperkaliæmi, såsom</w:t>
      </w:r>
    </w:p>
    <w:p w14:paraId="0F49F49D" w14:textId="77777777" w:rsidR="00D831EC" w:rsidRPr="00D831EC" w:rsidRDefault="00D831EC" w:rsidP="00AC2EF7">
      <w:pPr>
        <w:numPr>
          <w:ilvl w:val="0"/>
          <w:numId w:val="10"/>
        </w:numPr>
        <w:ind w:left="1276" w:hanging="425"/>
        <w:rPr>
          <w:iCs/>
          <w:sz w:val="24"/>
          <w:szCs w:val="24"/>
        </w:rPr>
      </w:pPr>
      <w:r w:rsidRPr="00D831EC">
        <w:rPr>
          <w:sz w:val="24"/>
          <w:szCs w:val="24"/>
        </w:rPr>
        <w:t>Kaliumbesparende diuretika (amiloride, spironolactone, triamterene, alene eller i kombination).</w:t>
      </w:r>
    </w:p>
    <w:p w14:paraId="2339DC31" w14:textId="54D49737" w:rsidR="00D831EC" w:rsidRPr="00D831EC" w:rsidRDefault="00D831EC" w:rsidP="00AC2EF7">
      <w:pPr>
        <w:numPr>
          <w:ilvl w:val="0"/>
          <w:numId w:val="10"/>
        </w:numPr>
        <w:ind w:left="1276" w:hanging="425"/>
        <w:rPr>
          <w:iCs/>
          <w:sz w:val="24"/>
          <w:szCs w:val="24"/>
        </w:rPr>
      </w:pPr>
      <w:r w:rsidRPr="00D831EC">
        <w:rPr>
          <w:sz w:val="24"/>
          <w:szCs w:val="24"/>
        </w:rPr>
        <w:t>Angiotensinkonverterende enzymhæmmere (ACEi) og angiotensin II-receptor</w:t>
      </w:r>
      <w:r w:rsidR="00B3004F">
        <w:rPr>
          <w:sz w:val="24"/>
          <w:szCs w:val="24"/>
        </w:rPr>
        <w:softHyphen/>
      </w:r>
      <w:r w:rsidRPr="00D831EC">
        <w:rPr>
          <w:sz w:val="24"/>
          <w:szCs w:val="24"/>
        </w:rPr>
        <w:t>antagonister</w:t>
      </w:r>
    </w:p>
    <w:p w14:paraId="7DC0FD44" w14:textId="77777777" w:rsidR="00D831EC" w:rsidRPr="00D831EC" w:rsidRDefault="00D831EC" w:rsidP="00AC2EF7">
      <w:pPr>
        <w:numPr>
          <w:ilvl w:val="0"/>
          <w:numId w:val="10"/>
        </w:numPr>
        <w:ind w:left="1276" w:hanging="425"/>
        <w:rPr>
          <w:iCs/>
          <w:sz w:val="24"/>
          <w:szCs w:val="24"/>
        </w:rPr>
      </w:pPr>
      <w:r w:rsidRPr="00D831EC">
        <w:rPr>
          <w:sz w:val="24"/>
          <w:szCs w:val="24"/>
        </w:rPr>
        <w:t>Tacrolimus, cyclosporine.</w:t>
      </w:r>
    </w:p>
    <w:p w14:paraId="6FC1261E" w14:textId="77777777" w:rsidR="00D831EC" w:rsidRPr="00D831EC" w:rsidRDefault="00D831EC" w:rsidP="00D831EC">
      <w:pPr>
        <w:ind w:left="851"/>
        <w:rPr>
          <w:iCs/>
          <w:sz w:val="24"/>
          <w:szCs w:val="24"/>
        </w:rPr>
      </w:pPr>
    </w:p>
    <w:p w14:paraId="5FE03605" w14:textId="77777777" w:rsidR="00D831EC" w:rsidRPr="00D831EC" w:rsidRDefault="00D831EC" w:rsidP="00D831EC">
      <w:pPr>
        <w:ind w:left="851"/>
        <w:rPr>
          <w:iCs/>
          <w:sz w:val="24"/>
          <w:szCs w:val="24"/>
        </w:rPr>
      </w:pPr>
      <w:r w:rsidRPr="00D831EC">
        <w:rPr>
          <w:sz w:val="24"/>
          <w:szCs w:val="24"/>
        </w:rPr>
        <w:t>Administration af kalium til patienter behandlet med sådanne lægemidler kan medføre alvorlig og potentielt dødelig hyperkaliæmi, særligt hos patienter med svær nyreinsufficiens.</w:t>
      </w:r>
    </w:p>
    <w:p w14:paraId="37855806" w14:textId="77777777" w:rsidR="00D831EC" w:rsidRPr="00D831EC" w:rsidRDefault="00D831EC" w:rsidP="00D831EC">
      <w:pPr>
        <w:ind w:left="851"/>
        <w:rPr>
          <w:i/>
          <w:iCs/>
          <w:sz w:val="24"/>
          <w:szCs w:val="24"/>
        </w:rPr>
      </w:pPr>
    </w:p>
    <w:p w14:paraId="118EC1D6" w14:textId="77777777" w:rsidR="00D831EC" w:rsidRPr="00D831EC" w:rsidRDefault="00D831EC" w:rsidP="00D831EC">
      <w:pPr>
        <w:ind w:left="851"/>
        <w:rPr>
          <w:i/>
          <w:iCs/>
          <w:sz w:val="24"/>
          <w:szCs w:val="24"/>
        </w:rPr>
      </w:pPr>
      <w:r w:rsidRPr="00D831EC">
        <w:rPr>
          <w:i/>
          <w:sz w:val="24"/>
          <w:szCs w:val="24"/>
        </w:rPr>
        <w:t>Interaktion relateret til indholdet af calcium:</w:t>
      </w:r>
    </w:p>
    <w:p w14:paraId="2CAEF88C" w14:textId="77777777" w:rsidR="00D831EC" w:rsidRPr="00D831EC" w:rsidRDefault="00D831EC" w:rsidP="00D831EC">
      <w:pPr>
        <w:ind w:left="851"/>
        <w:rPr>
          <w:iCs/>
          <w:sz w:val="24"/>
          <w:szCs w:val="24"/>
        </w:rPr>
      </w:pPr>
      <w:r w:rsidRPr="00D831EC">
        <w:rPr>
          <w:sz w:val="24"/>
          <w:szCs w:val="24"/>
        </w:rPr>
        <w:t xml:space="preserve">Calciumindholdet i Ringer-laktat infusionsvæske kan forstærke virkningen af digitalisglykosider og øge risikoen for alvorlige eller dødelige hjertearytmier. Forsigtighed tilrådes, særligt ved store volumen eller høje infusionshastigheder. ECG- og elektrolytovervågning anbefales. Se pkt. 4.4. </w:t>
      </w:r>
    </w:p>
    <w:p w14:paraId="4F81E97A" w14:textId="77777777" w:rsidR="00D831EC" w:rsidRPr="00D831EC" w:rsidRDefault="00D831EC" w:rsidP="00D831EC">
      <w:pPr>
        <w:ind w:left="851"/>
        <w:rPr>
          <w:iCs/>
          <w:sz w:val="24"/>
          <w:szCs w:val="24"/>
        </w:rPr>
      </w:pPr>
    </w:p>
    <w:p w14:paraId="45E6C643" w14:textId="77777777" w:rsidR="00D831EC" w:rsidRPr="00D831EC" w:rsidRDefault="00D831EC" w:rsidP="00AC2EF7">
      <w:pPr>
        <w:numPr>
          <w:ilvl w:val="0"/>
          <w:numId w:val="11"/>
        </w:numPr>
        <w:ind w:left="1276" w:hanging="425"/>
        <w:rPr>
          <w:iCs/>
          <w:sz w:val="24"/>
          <w:szCs w:val="24"/>
        </w:rPr>
      </w:pPr>
      <w:r w:rsidRPr="00D831EC">
        <w:rPr>
          <w:sz w:val="24"/>
          <w:szCs w:val="24"/>
        </w:rPr>
        <w:t>Forsigtighed tilrådes ved administration af Ringer-laktat til patienter behandlet med thiaziddiuretika eller vitamin D, da disse kan øge risikoen for hypercalcæmi.</w:t>
      </w:r>
    </w:p>
    <w:p w14:paraId="4150C31E" w14:textId="77777777" w:rsidR="00D831EC" w:rsidRPr="00D831EC" w:rsidRDefault="00D831EC" w:rsidP="00AC2EF7">
      <w:pPr>
        <w:numPr>
          <w:ilvl w:val="0"/>
          <w:numId w:val="11"/>
        </w:numPr>
        <w:ind w:left="1276" w:hanging="425"/>
        <w:rPr>
          <w:iCs/>
          <w:sz w:val="24"/>
          <w:szCs w:val="24"/>
        </w:rPr>
      </w:pPr>
      <w:r w:rsidRPr="00D831EC">
        <w:rPr>
          <w:sz w:val="24"/>
          <w:szCs w:val="24"/>
        </w:rPr>
        <w:t>Bisfosfonater, fluorid, visse fluoroquinolones og tetracyclines, som absorberes dårligere (lavere tilgængelighed), når de administreres sammen med calcium.</w:t>
      </w:r>
    </w:p>
    <w:p w14:paraId="525A3A60" w14:textId="77777777" w:rsidR="00D831EC" w:rsidRPr="00D831EC" w:rsidRDefault="00D831EC" w:rsidP="00D831EC">
      <w:pPr>
        <w:ind w:left="851"/>
        <w:rPr>
          <w:iCs/>
          <w:sz w:val="24"/>
          <w:szCs w:val="24"/>
        </w:rPr>
      </w:pPr>
    </w:p>
    <w:p w14:paraId="6A7E64F7" w14:textId="77777777" w:rsidR="00D831EC" w:rsidRPr="00D831EC" w:rsidRDefault="00D831EC" w:rsidP="00D831EC">
      <w:pPr>
        <w:ind w:left="851"/>
        <w:rPr>
          <w:i/>
          <w:iCs/>
          <w:sz w:val="24"/>
          <w:szCs w:val="24"/>
        </w:rPr>
      </w:pPr>
      <w:r w:rsidRPr="00D831EC">
        <w:rPr>
          <w:i/>
          <w:sz w:val="24"/>
          <w:szCs w:val="24"/>
        </w:rPr>
        <w:t>Interaktion relateret til indholdet af laktat (som metaboliseres til bicarbonat):</w:t>
      </w:r>
    </w:p>
    <w:p w14:paraId="0DF44DBF" w14:textId="77777777" w:rsidR="00D831EC" w:rsidRPr="00D831EC" w:rsidRDefault="00D831EC" w:rsidP="00D831EC">
      <w:pPr>
        <w:ind w:left="851"/>
        <w:rPr>
          <w:iCs/>
          <w:sz w:val="24"/>
          <w:szCs w:val="24"/>
        </w:rPr>
      </w:pPr>
      <w:r w:rsidRPr="00D831EC">
        <w:rPr>
          <w:sz w:val="24"/>
          <w:szCs w:val="24"/>
        </w:rPr>
        <w:t>Forsigtighed tilrådes ved administration af Ringer-laktat til patienter i behandling med lægemidler, hvor renal elimination er pH-afhængig. På grund af laktats alkaliserende virkning (dannelse af bicarbonat) kan Ringer-laktat infusionsvæske påvirke eliminationen af sådanne lægemidler.</w:t>
      </w:r>
    </w:p>
    <w:p w14:paraId="70574F15" w14:textId="77777777" w:rsidR="00D831EC" w:rsidRPr="00D831EC" w:rsidRDefault="00D831EC" w:rsidP="00D831EC">
      <w:pPr>
        <w:ind w:left="851"/>
        <w:rPr>
          <w:b/>
          <w:bCs/>
          <w:iCs/>
          <w:sz w:val="24"/>
          <w:szCs w:val="24"/>
        </w:rPr>
      </w:pPr>
    </w:p>
    <w:p w14:paraId="6081C965" w14:textId="77777777" w:rsidR="00D831EC" w:rsidRPr="00D831EC" w:rsidRDefault="00D831EC" w:rsidP="00AC2EF7">
      <w:pPr>
        <w:numPr>
          <w:ilvl w:val="0"/>
          <w:numId w:val="12"/>
        </w:numPr>
        <w:ind w:left="1276" w:hanging="425"/>
        <w:rPr>
          <w:iCs/>
          <w:sz w:val="24"/>
          <w:szCs w:val="24"/>
        </w:rPr>
      </w:pPr>
      <w:r w:rsidRPr="00D831EC">
        <w:rPr>
          <w:sz w:val="24"/>
          <w:szCs w:val="24"/>
        </w:rPr>
        <w:t>Renal clearance af sure lægemidler såsom salicylater, barbiturater og lithium kan øges på grund af alkalisering af urinen via bicarbonat dannet ved metabolisme af laktat.</w:t>
      </w:r>
    </w:p>
    <w:p w14:paraId="6E180FC4" w14:textId="77777777" w:rsidR="00D831EC" w:rsidRPr="00D831EC" w:rsidRDefault="00D831EC" w:rsidP="00AC2EF7">
      <w:pPr>
        <w:numPr>
          <w:ilvl w:val="0"/>
          <w:numId w:val="12"/>
        </w:numPr>
        <w:ind w:left="1276" w:hanging="425"/>
        <w:rPr>
          <w:iCs/>
          <w:sz w:val="24"/>
          <w:szCs w:val="24"/>
        </w:rPr>
      </w:pPr>
      <w:r w:rsidRPr="00D831EC">
        <w:rPr>
          <w:sz w:val="24"/>
          <w:szCs w:val="24"/>
        </w:rPr>
        <w:t>Renal clearance af alkaliske lægemidler, såsom sympatomimetika (f.eks. ephedrine, pseudoephedrine) og stimulerende midler (f.eks. dexamphetamine sulfate, phenfluramine hydrochloride), kan være nedsat.</w:t>
      </w:r>
    </w:p>
    <w:p w14:paraId="038D44D2" w14:textId="77777777" w:rsidR="009260DE" w:rsidRPr="00D831EC" w:rsidRDefault="009260DE" w:rsidP="009260DE">
      <w:pPr>
        <w:tabs>
          <w:tab w:val="left" w:pos="851"/>
        </w:tabs>
        <w:ind w:left="851"/>
        <w:rPr>
          <w:sz w:val="24"/>
          <w:szCs w:val="24"/>
        </w:rPr>
      </w:pPr>
    </w:p>
    <w:p w14:paraId="5D95D5CC" w14:textId="77777777" w:rsidR="009260DE" w:rsidRPr="00D831EC" w:rsidRDefault="009260DE" w:rsidP="009260DE">
      <w:pPr>
        <w:tabs>
          <w:tab w:val="left" w:pos="851"/>
        </w:tabs>
        <w:ind w:left="851" w:hanging="851"/>
        <w:rPr>
          <w:b/>
          <w:sz w:val="24"/>
          <w:szCs w:val="24"/>
        </w:rPr>
      </w:pPr>
      <w:r w:rsidRPr="00D831EC">
        <w:rPr>
          <w:b/>
          <w:sz w:val="24"/>
          <w:szCs w:val="24"/>
        </w:rPr>
        <w:t>4.6</w:t>
      </w:r>
      <w:r w:rsidRPr="00D831EC">
        <w:rPr>
          <w:b/>
          <w:sz w:val="24"/>
          <w:szCs w:val="24"/>
        </w:rPr>
        <w:tab/>
      </w:r>
      <w:r w:rsidR="0071241E" w:rsidRPr="00D831EC">
        <w:rPr>
          <w:b/>
          <w:sz w:val="24"/>
          <w:szCs w:val="24"/>
        </w:rPr>
        <w:t>Fertilitet, g</w:t>
      </w:r>
      <w:r w:rsidRPr="00D831EC">
        <w:rPr>
          <w:b/>
          <w:sz w:val="24"/>
          <w:szCs w:val="24"/>
        </w:rPr>
        <w:t>raviditet og amning</w:t>
      </w:r>
    </w:p>
    <w:p w14:paraId="3922AEB2" w14:textId="77777777" w:rsidR="00D831EC" w:rsidRPr="00D831EC" w:rsidRDefault="00D831EC" w:rsidP="00D831EC">
      <w:pPr>
        <w:tabs>
          <w:tab w:val="left" w:pos="851"/>
        </w:tabs>
        <w:ind w:left="851"/>
        <w:rPr>
          <w:sz w:val="24"/>
          <w:szCs w:val="24"/>
        </w:rPr>
      </w:pPr>
    </w:p>
    <w:p w14:paraId="0294ACB3" w14:textId="77777777" w:rsidR="00D831EC" w:rsidRPr="00D831EC" w:rsidRDefault="00D831EC" w:rsidP="00D831EC">
      <w:pPr>
        <w:ind w:left="851"/>
        <w:rPr>
          <w:i/>
          <w:iCs/>
          <w:sz w:val="24"/>
          <w:szCs w:val="24"/>
        </w:rPr>
      </w:pPr>
      <w:r w:rsidRPr="00D831EC">
        <w:rPr>
          <w:i/>
          <w:sz w:val="24"/>
          <w:szCs w:val="24"/>
        </w:rPr>
        <w:t>Graviditet</w:t>
      </w:r>
    </w:p>
    <w:p w14:paraId="1CB1EDD3" w14:textId="190251ED" w:rsidR="00D831EC" w:rsidRPr="00D831EC" w:rsidRDefault="00D831EC" w:rsidP="00D831EC">
      <w:pPr>
        <w:ind w:left="851"/>
        <w:rPr>
          <w:sz w:val="24"/>
          <w:szCs w:val="24"/>
          <w:u w:val="single"/>
        </w:rPr>
      </w:pPr>
      <w:r w:rsidRPr="00D831EC">
        <w:rPr>
          <w:sz w:val="24"/>
          <w:szCs w:val="24"/>
        </w:rPr>
        <w:t>Der foreligger ingen tilstrækkelige data om anvendelsen af</w:t>
      </w:r>
      <w:r w:rsidRPr="00D831EC">
        <w:rPr>
          <w:sz w:val="24"/>
          <w:szCs w:val="24"/>
          <w:u w:val="single"/>
        </w:rPr>
        <w:t xml:space="preserve"> </w:t>
      </w:r>
      <w:r w:rsidRPr="00D831EC">
        <w:rPr>
          <w:sz w:val="24"/>
          <w:szCs w:val="24"/>
        </w:rPr>
        <w:t xml:space="preserve">Ringer-laktat </w:t>
      </w:r>
      <w:r w:rsidR="007B2E23">
        <w:rPr>
          <w:sz w:val="24"/>
          <w:szCs w:val="24"/>
        </w:rPr>
        <w:t>"Noridem"</w:t>
      </w:r>
      <w:r w:rsidRPr="00D831EC">
        <w:rPr>
          <w:sz w:val="24"/>
          <w:szCs w:val="24"/>
        </w:rPr>
        <w:t xml:space="preserve"> hos gravide kvinder. Dyreforsøg er utilstrækkelige med hensyn til reproduktionstoksicitet (se pkt. 5.3).</w:t>
      </w:r>
    </w:p>
    <w:p w14:paraId="70FD843B" w14:textId="6B4B7EB0" w:rsidR="00D831EC" w:rsidRPr="00D831EC" w:rsidRDefault="00D831EC" w:rsidP="00D831EC">
      <w:pPr>
        <w:ind w:left="851"/>
        <w:rPr>
          <w:sz w:val="24"/>
          <w:szCs w:val="24"/>
        </w:rPr>
      </w:pPr>
      <w:r w:rsidRPr="00D831EC">
        <w:rPr>
          <w:sz w:val="24"/>
          <w:szCs w:val="24"/>
        </w:rPr>
        <w:t xml:space="preserve">Ringer-laktat </w:t>
      </w:r>
      <w:r w:rsidR="007B2E23">
        <w:rPr>
          <w:sz w:val="24"/>
          <w:szCs w:val="24"/>
        </w:rPr>
        <w:t>"Noridem"</w:t>
      </w:r>
      <w:r w:rsidRPr="00D831EC">
        <w:rPr>
          <w:sz w:val="24"/>
          <w:szCs w:val="24"/>
        </w:rPr>
        <w:t xml:space="preserve"> infusionsvæske kan gives under graviditet, så længe elektrolyt- og væskebalancen overvåges og ligger inden for det fysiologiske område.</w:t>
      </w:r>
    </w:p>
    <w:p w14:paraId="48C6AE57" w14:textId="77777777" w:rsidR="00D831EC" w:rsidRPr="00D831EC" w:rsidRDefault="00D831EC" w:rsidP="00D831EC">
      <w:pPr>
        <w:ind w:left="851"/>
        <w:rPr>
          <w:sz w:val="24"/>
          <w:szCs w:val="24"/>
        </w:rPr>
      </w:pPr>
    </w:p>
    <w:p w14:paraId="091B1075" w14:textId="4BF3600C" w:rsidR="00D831EC" w:rsidRPr="00D831EC" w:rsidRDefault="00D831EC" w:rsidP="00D831EC">
      <w:pPr>
        <w:ind w:left="851"/>
        <w:rPr>
          <w:sz w:val="24"/>
          <w:szCs w:val="24"/>
        </w:rPr>
      </w:pPr>
      <w:r w:rsidRPr="00D831EC">
        <w:rPr>
          <w:sz w:val="24"/>
          <w:szCs w:val="24"/>
        </w:rPr>
        <w:t xml:space="preserve">Ringer-laktat </w:t>
      </w:r>
      <w:r w:rsidR="007B2E23">
        <w:rPr>
          <w:sz w:val="24"/>
          <w:szCs w:val="24"/>
        </w:rPr>
        <w:t>"Noridem"</w:t>
      </w:r>
      <w:r w:rsidRPr="00D831EC">
        <w:rPr>
          <w:sz w:val="24"/>
          <w:szCs w:val="24"/>
        </w:rPr>
        <w:t xml:space="preserve"> skal administreres med særlig forsigtighed til gravide kvinder og især under fødslen, særligt hvis det administreres i kombination med oxytocin, da der er risiko for</w:t>
      </w:r>
      <w:r w:rsidRPr="00D831EC">
        <w:rPr>
          <w:sz w:val="24"/>
          <w:szCs w:val="24"/>
          <w:u w:val="single"/>
        </w:rPr>
        <w:t xml:space="preserve"> </w:t>
      </w:r>
      <w:r w:rsidRPr="00D831EC">
        <w:rPr>
          <w:sz w:val="24"/>
          <w:szCs w:val="24"/>
        </w:rPr>
        <w:t>hyponatriæmi (se pkt. 4.4, 4.5 og 4.8).</w:t>
      </w:r>
    </w:p>
    <w:p w14:paraId="6E530B9A" w14:textId="2D61BD79" w:rsidR="00D831EC" w:rsidRPr="00D831EC" w:rsidRDefault="00D831EC" w:rsidP="00D831EC">
      <w:pPr>
        <w:ind w:left="851"/>
        <w:rPr>
          <w:sz w:val="24"/>
          <w:szCs w:val="24"/>
        </w:rPr>
      </w:pPr>
      <w:r w:rsidRPr="00D831EC">
        <w:rPr>
          <w:sz w:val="24"/>
          <w:szCs w:val="24"/>
        </w:rPr>
        <w:t>Der skal udvises særlig forsigtighed ved præeklampsi (se pkt. 4.4)</w:t>
      </w:r>
      <w:r w:rsidR="007B2E23">
        <w:rPr>
          <w:sz w:val="24"/>
          <w:szCs w:val="24"/>
        </w:rPr>
        <w:t>.</w:t>
      </w:r>
    </w:p>
    <w:p w14:paraId="02F10E82" w14:textId="0F2E9F9A" w:rsidR="00D831EC" w:rsidRPr="00D831EC" w:rsidRDefault="00D831EC" w:rsidP="00D831EC">
      <w:pPr>
        <w:ind w:left="851"/>
        <w:rPr>
          <w:sz w:val="24"/>
          <w:szCs w:val="24"/>
        </w:rPr>
      </w:pPr>
      <w:r w:rsidRPr="00D831EC">
        <w:rPr>
          <w:sz w:val="24"/>
          <w:szCs w:val="24"/>
        </w:rPr>
        <w:t xml:space="preserve">Hvis et andet lægemiddel tilsættes Ringer-laktat </w:t>
      </w:r>
      <w:r w:rsidR="007B2E23">
        <w:rPr>
          <w:sz w:val="24"/>
          <w:szCs w:val="24"/>
        </w:rPr>
        <w:t>"Noridem"</w:t>
      </w:r>
      <w:r w:rsidRPr="00D831EC">
        <w:rPr>
          <w:sz w:val="24"/>
          <w:szCs w:val="24"/>
        </w:rPr>
        <w:t xml:space="preserve"> opløsningen, skal dette lægemiddels karakter og anvendelse under graviditet og amning vurderes særskilt.</w:t>
      </w:r>
    </w:p>
    <w:p w14:paraId="74C63291" w14:textId="77777777" w:rsidR="00D831EC" w:rsidRPr="00D831EC" w:rsidRDefault="00D831EC" w:rsidP="00D831EC">
      <w:pPr>
        <w:ind w:left="851"/>
        <w:rPr>
          <w:sz w:val="24"/>
          <w:szCs w:val="24"/>
        </w:rPr>
      </w:pPr>
    </w:p>
    <w:p w14:paraId="728EDE5C" w14:textId="77777777" w:rsidR="00D831EC" w:rsidRPr="00D831EC" w:rsidRDefault="00D831EC" w:rsidP="00D831EC">
      <w:pPr>
        <w:ind w:left="851"/>
        <w:rPr>
          <w:i/>
          <w:iCs/>
          <w:sz w:val="24"/>
          <w:szCs w:val="24"/>
        </w:rPr>
      </w:pPr>
      <w:r w:rsidRPr="00D831EC">
        <w:rPr>
          <w:i/>
          <w:sz w:val="24"/>
          <w:szCs w:val="24"/>
        </w:rPr>
        <w:t>Amning</w:t>
      </w:r>
      <w:bookmarkStart w:id="7" w:name="_Hlk201591985"/>
    </w:p>
    <w:p w14:paraId="6DF55FBD" w14:textId="27739CBE" w:rsidR="00D831EC" w:rsidRPr="00D831EC" w:rsidRDefault="00D831EC" w:rsidP="00D831EC">
      <w:pPr>
        <w:ind w:left="851"/>
        <w:rPr>
          <w:sz w:val="24"/>
          <w:szCs w:val="24"/>
        </w:rPr>
      </w:pPr>
      <w:r w:rsidRPr="00D831EC">
        <w:rPr>
          <w:sz w:val="24"/>
          <w:szCs w:val="24"/>
        </w:rPr>
        <w:t xml:space="preserve">Aktive stoffer/metabolitter af Ringer-laktat </w:t>
      </w:r>
      <w:r w:rsidR="007B2E23">
        <w:rPr>
          <w:sz w:val="24"/>
          <w:szCs w:val="24"/>
        </w:rPr>
        <w:t>"Noridem"</w:t>
      </w:r>
      <w:r w:rsidRPr="00D831EC">
        <w:rPr>
          <w:sz w:val="24"/>
          <w:szCs w:val="24"/>
        </w:rPr>
        <w:t xml:space="preserve"> </w:t>
      </w:r>
      <w:bookmarkEnd w:id="7"/>
      <w:r w:rsidRPr="00D831EC">
        <w:rPr>
          <w:sz w:val="24"/>
          <w:szCs w:val="24"/>
        </w:rPr>
        <w:t xml:space="preserve">udskilles i human modermælk. Ved terapeutiske doser forventes ingen bivirkninger hos ammede nyfødte/spædbørn </w:t>
      </w:r>
      <w:bookmarkStart w:id="8" w:name="_Hlk201592955"/>
      <w:r w:rsidRPr="00D831EC">
        <w:rPr>
          <w:sz w:val="24"/>
          <w:szCs w:val="24"/>
        </w:rPr>
        <w:t>at forekomme</w:t>
      </w:r>
      <w:bookmarkEnd w:id="8"/>
      <w:r w:rsidRPr="00D831EC">
        <w:rPr>
          <w:sz w:val="24"/>
          <w:szCs w:val="24"/>
        </w:rPr>
        <w:t xml:space="preserve">. Ikke desto mindre skal Ringer-laktat </w:t>
      </w:r>
      <w:r w:rsidR="007B2E23">
        <w:rPr>
          <w:sz w:val="24"/>
          <w:szCs w:val="24"/>
        </w:rPr>
        <w:t>"Noridem"</w:t>
      </w:r>
      <w:r w:rsidRPr="007B2E23">
        <w:rPr>
          <w:sz w:val="24"/>
          <w:szCs w:val="24"/>
        </w:rPr>
        <w:t xml:space="preserve"> </w:t>
      </w:r>
      <w:r w:rsidRPr="00D831EC">
        <w:rPr>
          <w:sz w:val="24"/>
          <w:szCs w:val="24"/>
        </w:rPr>
        <w:t>administreres med forsigtighed under amning.</w:t>
      </w:r>
    </w:p>
    <w:p w14:paraId="7966BA49" w14:textId="77777777" w:rsidR="00D831EC" w:rsidRPr="00D831EC" w:rsidRDefault="00D831EC" w:rsidP="00D831EC">
      <w:pPr>
        <w:ind w:left="851"/>
        <w:rPr>
          <w:sz w:val="24"/>
          <w:szCs w:val="24"/>
          <w:u w:val="single"/>
        </w:rPr>
      </w:pPr>
    </w:p>
    <w:p w14:paraId="7505809F" w14:textId="77777777" w:rsidR="00D831EC" w:rsidRPr="00D831EC" w:rsidRDefault="00D831EC" w:rsidP="00D831EC">
      <w:pPr>
        <w:ind w:left="851"/>
        <w:rPr>
          <w:i/>
          <w:iCs/>
          <w:sz w:val="24"/>
          <w:szCs w:val="24"/>
        </w:rPr>
      </w:pPr>
      <w:r w:rsidRPr="00D831EC">
        <w:rPr>
          <w:i/>
          <w:sz w:val="24"/>
          <w:szCs w:val="24"/>
        </w:rPr>
        <w:t>Fertilitet</w:t>
      </w:r>
    </w:p>
    <w:p w14:paraId="6F244893" w14:textId="77777777" w:rsidR="00D831EC" w:rsidRPr="00D831EC" w:rsidRDefault="00D831EC" w:rsidP="00D831EC">
      <w:pPr>
        <w:ind w:left="851"/>
        <w:rPr>
          <w:sz w:val="24"/>
          <w:szCs w:val="24"/>
        </w:rPr>
      </w:pPr>
      <w:r w:rsidRPr="00D831EC">
        <w:rPr>
          <w:sz w:val="24"/>
          <w:szCs w:val="24"/>
        </w:rPr>
        <w:t>Ingen data tilgængelige. Ved terapeutiske doser forventes ingen bivirkninger.</w:t>
      </w:r>
    </w:p>
    <w:p w14:paraId="735BEE4E" w14:textId="77777777" w:rsidR="009260DE" w:rsidRPr="00D831EC" w:rsidRDefault="009260DE" w:rsidP="009260DE">
      <w:pPr>
        <w:tabs>
          <w:tab w:val="left" w:pos="851"/>
        </w:tabs>
        <w:ind w:left="851"/>
        <w:rPr>
          <w:sz w:val="24"/>
          <w:szCs w:val="24"/>
        </w:rPr>
      </w:pPr>
    </w:p>
    <w:p w14:paraId="28D20F76" w14:textId="77777777" w:rsidR="009260DE" w:rsidRPr="00D831EC" w:rsidRDefault="009260DE" w:rsidP="009260DE">
      <w:pPr>
        <w:tabs>
          <w:tab w:val="left" w:pos="851"/>
        </w:tabs>
        <w:ind w:left="851" w:hanging="851"/>
        <w:rPr>
          <w:b/>
          <w:sz w:val="24"/>
          <w:szCs w:val="24"/>
        </w:rPr>
      </w:pPr>
      <w:r w:rsidRPr="00D831EC">
        <w:rPr>
          <w:b/>
          <w:sz w:val="24"/>
          <w:szCs w:val="24"/>
        </w:rPr>
        <w:t>4.7</w:t>
      </w:r>
      <w:r w:rsidRPr="00D831EC">
        <w:rPr>
          <w:b/>
          <w:sz w:val="24"/>
          <w:szCs w:val="24"/>
        </w:rPr>
        <w:tab/>
        <w:t xml:space="preserve">Virkning på evnen til at føre motorkøretøj </w:t>
      </w:r>
      <w:r w:rsidR="0071241E" w:rsidRPr="00D831EC">
        <w:rPr>
          <w:b/>
          <w:sz w:val="24"/>
          <w:szCs w:val="24"/>
        </w:rPr>
        <w:t>og</w:t>
      </w:r>
      <w:r w:rsidRPr="00D831EC">
        <w:rPr>
          <w:b/>
          <w:sz w:val="24"/>
          <w:szCs w:val="24"/>
        </w:rPr>
        <w:t xml:space="preserve"> betjene maskiner</w:t>
      </w:r>
    </w:p>
    <w:p w14:paraId="7B5EF3AC" w14:textId="77777777" w:rsidR="00AC2EF7" w:rsidRDefault="00AC2EF7" w:rsidP="00D831EC">
      <w:pPr>
        <w:tabs>
          <w:tab w:val="left" w:pos="851"/>
        </w:tabs>
        <w:ind w:left="851"/>
        <w:rPr>
          <w:sz w:val="24"/>
          <w:szCs w:val="24"/>
        </w:rPr>
      </w:pPr>
      <w:r>
        <w:rPr>
          <w:sz w:val="24"/>
          <w:szCs w:val="24"/>
        </w:rPr>
        <w:t>Ikke mærkning.</w:t>
      </w:r>
    </w:p>
    <w:p w14:paraId="2E3B76BD" w14:textId="0F459482" w:rsidR="00D831EC" w:rsidRPr="00D831EC" w:rsidRDefault="00D831EC" w:rsidP="00D831EC">
      <w:pPr>
        <w:tabs>
          <w:tab w:val="left" w:pos="851"/>
        </w:tabs>
        <w:ind w:left="851"/>
        <w:rPr>
          <w:sz w:val="24"/>
          <w:szCs w:val="24"/>
        </w:rPr>
      </w:pPr>
      <w:r w:rsidRPr="00D831EC">
        <w:rPr>
          <w:sz w:val="24"/>
          <w:szCs w:val="24"/>
        </w:rPr>
        <w:t xml:space="preserve">Ikke relevant. </w:t>
      </w:r>
    </w:p>
    <w:p w14:paraId="4F8A2AC5" w14:textId="77777777" w:rsidR="009260DE" w:rsidRPr="00D831EC" w:rsidRDefault="009260DE" w:rsidP="009260DE">
      <w:pPr>
        <w:tabs>
          <w:tab w:val="left" w:pos="851"/>
        </w:tabs>
        <w:ind w:left="851"/>
        <w:rPr>
          <w:sz w:val="24"/>
          <w:szCs w:val="24"/>
        </w:rPr>
      </w:pPr>
    </w:p>
    <w:p w14:paraId="0297B7BD" w14:textId="77777777" w:rsidR="009260DE" w:rsidRPr="00D831EC" w:rsidRDefault="009260DE" w:rsidP="009260DE">
      <w:pPr>
        <w:tabs>
          <w:tab w:val="left" w:pos="851"/>
        </w:tabs>
        <w:ind w:left="851" w:hanging="851"/>
        <w:rPr>
          <w:b/>
          <w:sz w:val="24"/>
          <w:szCs w:val="24"/>
        </w:rPr>
      </w:pPr>
      <w:r w:rsidRPr="00D831EC">
        <w:rPr>
          <w:b/>
          <w:sz w:val="24"/>
          <w:szCs w:val="24"/>
        </w:rPr>
        <w:t>4.8</w:t>
      </w:r>
      <w:r w:rsidRPr="00D831EC">
        <w:rPr>
          <w:b/>
          <w:sz w:val="24"/>
          <w:szCs w:val="24"/>
        </w:rPr>
        <w:tab/>
        <w:t>Bivirkninger</w:t>
      </w:r>
    </w:p>
    <w:p w14:paraId="215F1F3D" w14:textId="77777777" w:rsidR="00D831EC" w:rsidRPr="00D831EC" w:rsidRDefault="00D831EC" w:rsidP="00D831EC">
      <w:pPr>
        <w:ind w:left="851"/>
        <w:rPr>
          <w:iCs/>
          <w:sz w:val="24"/>
          <w:szCs w:val="24"/>
        </w:rPr>
      </w:pPr>
      <w:r w:rsidRPr="00D831EC">
        <w:rPr>
          <w:sz w:val="24"/>
          <w:szCs w:val="24"/>
        </w:rPr>
        <w:t>Følgende bivirkninger (anført efter MedDRA-systemorganklasse) er rapporteret spontant efter markedsføring.</w:t>
      </w:r>
    </w:p>
    <w:p w14:paraId="593E243A" w14:textId="77777777" w:rsidR="00D831EC" w:rsidRPr="00D831EC" w:rsidRDefault="00D831EC" w:rsidP="00D831EC">
      <w:pPr>
        <w:ind w:left="851"/>
        <w:rPr>
          <w:iCs/>
          <w:sz w:val="24"/>
          <w:szCs w:val="24"/>
        </w:rPr>
      </w:pPr>
    </w:p>
    <w:p w14:paraId="4000A055" w14:textId="77777777" w:rsidR="00D831EC" w:rsidRPr="00D831EC" w:rsidRDefault="00D831EC" w:rsidP="00D831EC">
      <w:pPr>
        <w:ind w:left="851"/>
        <w:rPr>
          <w:sz w:val="24"/>
          <w:szCs w:val="24"/>
        </w:rPr>
      </w:pPr>
      <w:r w:rsidRPr="00D831EC">
        <w:rPr>
          <w:sz w:val="24"/>
          <w:szCs w:val="24"/>
        </w:rPr>
        <w:t>De bivirkninger, der er anført i dette afsnit, er angivet i henhold til den anbefalede hyppighedskonvention: meget almindelig (≥1/10); almindelig (≥1/100 til &lt;1/10); ikke almindelig (≥1/1.000 til &lt;1/100); sjælden (≥1/10.000 til &lt;1/1.000); meget sjælden (&lt;1/10.000), ikke kendt (kan ikke estimeres ud fra forhåndenværende data).</w:t>
      </w:r>
    </w:p>
    <w:p w14:paraId="7313BFDB" w14:textId="77777777" w:rsidR="00D831EC" w:rsidRPr="00D831EC" w:rsidRDefault="00D831EC" w:rsidP="00D831EC">
      <w:pPr>
        <w:ind w:left="851"/>
        <w:rPr>
          <w:i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29"/>
        <w:gridCol w:w="4252"/>
        <w:gridCol w:w="2447"/>
      </w:tblGrid>
      <w:tr w:rsidR="00D831EC" w:rsidRPr="00D831EC" w14:paraId="1D9725F0" w14:textId="77777777" w:rsidTr="00D831EC">
        <w:trPr>
          <w:trHeight w:val="416"/>
          <w:jc w:val="center"/>
        </w:trPr>
        <w:tc>
          <w:tcPr>
            <w:tcW w:w="1521" w:type="pct"/>
            <w:tcBorders>
              <w:top w:val="single" w:sz="4" w:space="0" w:color="000000"/>
              <w:left w:val="single" w:sz="4" w:space="0" w:color="000000"/>
              <w:bottom w:val="single" w:sz="4" w:space="0" w:color="000000"/>
              <w:right w:val="single" w:sz="4" w:space="0" w:color="000000"/>
            </w:tcBorders>
            <w:hideMark/>
          </w:tcPr>
          <w:p w14:paraId="57B432BD" w14:textId="77777777" w:rsidR="00D831EC" w:rsidRPr="00D831EC" w:rsidRDefault="00D831EC" w:rsidP="00D831EC">
            <w:pPr>
              <w:ind w:left="32"/>
              <w:rPr>
                <w:b/>
                <w:bCs/>
                <w:sz w:val="24"/>
                <w:szCs w:val="24"/>
              </w:rPr>
            </w:pPr>
            <w:r w:rsidRPr="00D831EC">
              <w:rPr>
                <w:b/>
                <w:bCs/>
                <w:sz w:val="24"/>
                <w:szCs w:val="24"/>
              </w:rPr>
              <w:t>Systemorganklasse</w:t>
            </w:r>
          </w:p>
        </w:tc>
        <w:tc>
          <w:tcPr>
            <w:tcW w:w="2208" w:type="pct"/>
            <w:tcBorders>
              <w:top w:val="single" w:sz="4" w:space="0" w:color="000000"/>
              <w:left w:val="single" w:sz="4" w:space="0" w:color="000000"/>
              <w:bottom w:val="single" w:sz="4" w:space="0" w:color="000000"/>
              <w:right w:val="single" w:sz="4" w:space="0" w:color="000000"/>
            </w:tcBorders>
            <w:hideMark/>
          </w:tcPr>
          <w:p w14:paraId="370B5201" w14:textId="77777777" w:rsidR="00D831EC" w:rsidRPr="00D831EC" w:rsidRDefault="00D831EC" w:rsidP="00D831EC">
            <w:pPr>
              <w:ind w:left="32"/>
              <w:rPr>
                <w:b/>
                <w:bCs/>
                <w:sz w:val="24"/>
                <w:szCs w:val="24"/>
              </w:rPr>
            </w:pPr>
            <w:r w:rsidRPr="00D831EC">
              <w:rPr>
                <w:b/>
                <w:bCs/>
                <w:sz w:val="24"/>
                <w:szCs w:val="24"/>
              </w:rPr>
              <w:t>Bivirkning</w:t>
            </w:r>
          </w:p>
        </w:tc>
        <w:tc>
          <w:tcPr>
            <w:tcW w:w="1271" w:type="pct"/>
            <w:tcBorders>
              <w:top w:val="single" w:sz="4" w:space="0" w:color="000000"/>
              <w:left w:val="single" w:sz="4" w:space="0" w:color="000000"/>
              <w:bottom w:val="single" w:sz="4" w:space="0" w:color="000000"/>
              <w:right w:val="single" w:sz="4" w:space="0" w:color="000000"/>
            </w:tcBorders>
            <w:hideMark/>
          </w:tcPr>
          <w:p w14:paraId="4855C5EE" w14:textId="77777777" w:rsidR="00D831EC" w:rsidRPr="00D831EC" w:rsidRDefault="00D831EC" w:rsidP="00D831EC">
            <w:pPr>
              <w:ind w:left="32"/>
              <w:rPr>
                <w:b/>
                <w:bCs/>
                <w:sz w:val="24"/>
                <w:szCs w:val="24"/>
              </w:rPr>
            </w:pPr>
            <w:r w:rsidRPr="00D831EC">
              <w:rPr>
                <w:b/>
                <w:bCs/>
                <w:sz w:val="24"/>
                <w:szCs w:val="24"/>
              </w:rPr>
              <w:t>Hyppighed</w:t>
            </w:r>
          </w:p>
        </w:tc>
      </w:tr>
      <w:tr w:rsidR="00D831EC" w:rsidRPr="00D831EC" w14:paraId="05E33E99" w14:textId="77777777" w:rsidTr="00D831EC">
        <w:trPr>
          <w:trHeight w:val="2834"/>
          <w:jc w:val="center"/>
        </w:trPr>
        <w:tc>
          <w:tcPr>
            <w:tcW w:w="1521" w:type="pct"/>
            <w:tcBorders>
              <w:top w:val="single" w:sz="4" w:space="0" w:color="000000"/>
              <w:left w:val="single" w:sz="4" w:space="0" w:color="000000"/>
              <w:bottom w:val="single" w:sz="4" w:space="0" w:color="000000"/>
              <w:right w:val="single" w:sz="4" w:space="0" w:color="000000"/>
            </w:tcBorders>
            <w:hideMark/>
          </w:tcPr>
          <w:p w14:paraId="4A971FEF" w14:textId="77777777" w:rsidR="00D831EC" w:rsidRPr="00D831EC" w:rsidRDefault="00D831EC" w:rsidP="00D831EC">
            <w:pPr>
              <w:ind w:left="32"/>
              <w:rPr>
                <w:sz w:val="24"/>
                <w:szCs w:val="24"/>
              </w:rPr>
            </w:pPr>
            <w:r w:rsidRPr="00D831EC">
              <w:rPr>
                <w:sz w:val="24"/>
                <w:szCs w:val="24"/>
              </w:rPr>
              <w:t>Immunsystemet</w:t>
            </w:r>
          </w:p>
        </w:tc>
        <w:tc>
          <w:tcPr>
            <w:tcW w:w="2208" w:type="pct"/>
            <w:tcBorders>
              <w:top w:val="single" w:sz="4" w:space="0" w:color="000000"/>
              <w:left w:val="single" w:sz="4" w:space="0" w:color="000000"/>
              <w:bottom w:val="single" w:sz="4" w:space="0" w:color="000000"/>
              <w:right w:val="single" w:sz="4" w:space="0" w:color="000000"/>
            </w:tcBorders>
            <w:hideMark/>
          </w:tcPr>
          <w:p w14:paraId="22B0F30F" w14:textId="77777777" w:rsidR="00D831EC" w:rsidRPr="00D831EC" w:rsidRDefault="00D831EC" w:rsidP="00D831EC">
            <w:pPr>
              <w:ind w:left="32"/>
              <w:rPr>
                <w:sz w:val="24"/>
                <w:szCs w:val="24"/>
              </w:rPr>
            </w:pPr>
            <w:r w:rsidRPr="00D831EC">
              <w:rPr>
                <w:sz w:val="24"/>
                <w:szCs w:val="24"/>
              </w:rPr>
              <w:t xml:space="preserve">Overfølsomheds-/infusionsreaktioner, herunder anafylaktisk/anafylaktoid reaktion, som eventuelt kan vise sig ved et eller flere af følgende symptomer: </w:t>
            </w:r>
          </w:p>
          <w:p w14:paraId="79695B1D" w14:textId="77777777" w:rsidR="00D831EC" w:rsidRPr="00D831EC" w:rsidRDefault="00D831EC" w:rsidP="00D831EC">
            <w:pPr>
              <w:ind w:left="32"/>
              <w:rPr>
                <w:sz w:val="24"/>
                <w:szCs w:val="24"/>
              </w:rPr>
            </w:pPr>
            <w:r w:rsidRPr="00D831EC">
              <w:rPr>
                <w:sz w:val="24"/>
                <w:szCs w:val="24"/>
              </w:rPr>
              <w:t>Angioødem, brystsmerter, ubehag i brystet, nedsat hjertefrekvens, takykardi, nedsat blodtryk, respirationsbesvær, bronkospasme, dyspnø, hoste, urticaria, udslæt, pruritus, erytem, rødme, halsirritation, paræstesi, oral hypoæstesi, dysgeusi, kvalme, angst, pyreksi, hovedpine</w:t>
            </w:r>
          </w:p>
        </w:tc>
        <w:tc>
          <w:tcPr>
            <w:tcW w:w="1271" w:type="pct"/>
            <w:tcBorders>
              <w:top w:val="single" w:sz="4" w:space="0" w:color="000000"/>
              <w:left w:val="single" w:sz="4" w:space="0" w:color="000000"/>
              <w:bottom w:val="single" w:sz="4" w:space="0" w:color="000000"/>
              <w:right w:val="single" w:sz="4" w:space="0" w:color="000000"/>
            </w:tcBorders>
            <w:hideMark/>
          </w:tcPr>
          <w:p w14:paraId="59D9717A" w14:textId="77777777" w:rsidR="00D831EC" w:rsidRPr="00D831EC" w:rsidRDefault="00D831EC" w:rsidP="00D831EC">
            <w:pPr>
              <w:ind w:left="32"/>
              <w:rPr>
                <w:sz w:val="24"/>
                <w:szCs w:val="24"/>
              </w:rPr>
            </w:pPr>
            <w:r w:rsidRPr="00D831EC">
              <w:rPr>
                <w:sz w:val="24"/>
                <w:szCs w:val="24"/>
              </w:rPr>
              <w:t>Ikke kendt</w:t>
            </w:r>
          </w:p>
        </w:tc>
      </w:tr>
      <w:tr w:rsidR="00D831EC" w:rsidRPr="00D831EC" w14:paraId="4EBEFA94" w14:textId="77777777" w:rsidTr="00D831EC">
        <w:trPr>
          <w:trHeight w:val="565"/>
          <w:jc w:val="center"/>
        </w:trPr>
        <w:tc>
          <w:tcPr>
            <w:tcW w:w="1521" w:type="pct"/>
            <w:tcBorders>
              <w:top w:val="single" w:sz="4" w:space="0" w:color="000000"/>
              <w:left w:val="single" w:sz="4" w:space="0" w:color="000000"/>
              <w:bottom w:val="single" w:sz="4" w:space="0" w:color="000000"/>
              <w:right w:val="single" w:sz="4" w:space="0" w:color="000000"/>
            </w:tcBorders>
            <w:hideMark/>
          </w:tcPr>
          <w:p w14:paraId="79E52EEC" w14:textId="77777777" w:rsidR="00D831EC" w:rsidRPr="00D831EC" w:rsidRDefault="00D831EC" w:rsidP="00D831EC">
            <w:pPr>
              <w:ind w:left="32"/>
              <w:rPr>
                <w:sz w:val="24"/>
                <w:szCs w:val="24"/>
              </w:rPr>
            </w:pPr>
            <w:r w:rsidRPr="00D831EC">
              <w:rPr>
                <w:sz w:val="24"/>
                <w:szCs w:val="24"/>
              </w:rPr>
              <w:t>Stofskifte og ernæring</w:t>
            </w:r>
          </w:p>
        </w:tc>
        <w:tc>
          <w:tcPr>
            <w:tcW w:w="2208" w:type="pct"/>
            <w:tcBorders>
              <w:top w:val="single" w:sz="4" w:space="0" w:color="000000"/>
              <w:left w:val="single" w:sz="4" w:space="0" w:color="000000"/>
              <w:bottom w:val="single" w:sz="4" w:space="0" w:color="000000"/>
              <w:right w:val="single" w:sz="4" w:space="0" w:color="000000"/>
            </w:tcBorders>
            <w:hideMark/>
          </w:tcPr>
          <w:p w14:paraId="68460E8A" w14:textId="77777777" w:rsidR="00D831EC" w:rsidRPr="00D831EC" w:rsidRDefault="00D831EC" w:rsidP="00D831EC">
            <w:pPr>
              <w:ind w:left="32"/>
              <w:rPr>
                <w:sz w:val="24"/>
                <w:szCs w:val="24"/>
              </w:rPr>
            </w:pPr>
            <w:r w:rsidRPr="00D831EC">
              <w:rPr>
                <w:sz w:val="24"/>
                <w:szCs w:val="24"/>
              </w:rPr>
              <w:t>Hyperkaliæmi</w:t>
            </w:r>
          </w:p>
          <w:p w14:paraId="62A8B93E" w14:textId="77777777" w:rsidR="00D831EC" w:rsidRPr="00D831EC" w:rsidRDefault="00D831EC" w:rsidP="00D831EC">
            <w:pPr>
              <w:ind w:left="32"/>
              <w:rPr>
                <w:sz w:val="24"/>
                <w:szCs w:val="24"/>
              </w:rPr>
            </w:pPr>
            <w:r w:rsidRPr="00D831EC">
              <w:rPr>
                <w:sz w:val="24"/>
                <w:szCs w:val="24"/>
              </w:rPr>
              <w:t>Hospitals-erhvervet hyponatriæmi*</w:t>
            </w:r>
          </w:p>
        </w:tc>
        <w:tc>
          <w:tcPr>
            <w:tcW w:w="1271" w:type="pct"/>
            <w:tcBorders>
              <w:top w:val="single" w:sz="4" w:space="0" w:color="000000"/>
              <w:left w:val="single" w:sz="4" w:space="0" w:color="000000"/>
              <w:bottom w:val="single" w:sz="4" w:space="0" w:color="000000"/>
              <w:right w:val="single" w:sz="4" w:space="0" w:color="000000"/>
            </w:tcBorders>
            <w:hideMark/>
          </w:tcPr>
          <w:p w14:paraId="7DD77C0D" w14:textId="77777777" w:rsidR="00D831EC" w:rsidRPr="00D831EC" w:rsidRDefault="00D831EC" w:rsidP="00D831EC">
            <w:pPr>
              <w:ind w:left="32"/>
              <w:rPr>
                <w:sz w:val="24"/>
                <w:szCs w:val="24"/>
              </w:rPr>
            </w:pPr>
            <w:r w:rsidRPr="00D831EC">
              <w:rPr>
                <w:sz w:val="24"/>
                <w:szCs w:val="24"/>
              </w:rPr>
              <w:t>Ikke kendt</w:t>
            </w:r>
          </w:p>
        </w:tc>
      </w:tr>
      <w:tr w:rsidR="00D831EC" w:rsidRPr="00D831EC" w14:paraId="51CF4DFD" w14:textId="77777777" w:rsidTr="00D831EC">
        <w:trPr>
          <w:trHeight w:val="340"/>
          <w:jc w:val="center"/>
        </w:trPr>
        <w:tc>
          <w:tcPr>
            <w:tcW w:w="1521" w:type="pct"/>
            <w:tcBorders>
              <w:top w:val="single" w:sz="4" w:space="0" w:color="000000"/>
              <w:left w:val="single" w:sz="4" w:space="0" w:color="000000"/>
              <w:bottom w:val="single" w:sz="4" w:space="0" w:color="000000"/>
              <w:right w:val="single" w:sz="4" w:space="0" w:color="000000"/>
            </w:tcBorders>
            <w:hideMark/>
          </w:tcPr>
          <w:p w14:paraId="0F9FE359" w14:textId="77777777" w:rsidR="00D831EC" w:rsidRPr="00D831EC" w:rsidRDefault="00D831EC" w:rsidP="00D831EC">
            <w:pPr>
              <w:ind w:left="32"/>
              <w:rPr>
                <w:sz w:val="24"/>
                <w:szCs w:val="24"/>
              </w:rPr>
            </w:pPr>
            <w:r w:rsidRPr="00D831EC">
              <w:rPr>
                <w:sz w:val="24"/>
                <w:szCs w:val="24"/>
              </w:rPr>
              <w:t>Nervesystemet</w:t>
            </w:r>
          </w:p>
        </w:tc>
        <w:tc>
          <w:tcPr>
            <w:tcW w:w="2208" w:type="pct"/>
            <w:tcBorders>
              <w:top w:val="single" w:sz="4" w:space="0" w:color="000000"/>
              <w:left w:val="single" w:sz="4" w:space="0" w:color="000000"/>
              <w:bottom w:val="single" w:sz="4" w:space="0" w:color="000000"/>
              <w:right w:val="single" w:sz="4" w:space="0" w:color="000000"/>
            </w:tcBorders>
            <w:hideMark/>
          </w:tcPr>
          <w:p w14:paraId="03E1902C" w14:textId="77777777" w:rsidR="00D831EC" w:rsidRPr="00D831EC" w:rsidRDefault="00D831EC" w:rsidP="00D831EC">
            <w:pPr>
              <w:ind w:left="32"/>
              <w:rPr>
                <w:sz w:val="24"/>
                <w:szCs w:val="24"/>
              </w:rPr>
            </w:pPr>
            <w:r w:rsidRPr="00D831EC">
              <w:rPr>
                <w:sz w:val="24"/>
                <w:szCs w:val="24"/>
              </w:rPr>
              <w:t>Akut hyponatriæmisk encefalopati*</w:t>
            </w:r>
          </w:p>
        </w:tc>
        <w:tc>
          <w:tcPr>
            <w:tcW w:w="1271" w:type="pct"/>
            <w:tcBorders>
              <w:top w:val="single" w:sz="4" w:space="0" w:color="000000"/>
              <w:left w:val="single" w:sz="4" w:space="0" w:color="000000"/>
              <w:bottom w:val="single" w:sz="4" w:space="0" w:color="000000"/>
              <w:right w:val="single" w:sz="4" w:space="0" w:color="000000"/>
            </w:tcBorders>
            <w:hideMark/>
          </w:tcPr>
          <w:p w14:paraId="7F649C5B" w14:textId="77777777" w:rsidR="00D831EC" w:rsidRPr="00D831EC" w:rsidRDefault="00D831EC" w:rsidP="00D831EC">
            <w:pPr>
              <w:ind w:left="32"/>
              <w:rPr>
                <w:sz w:val="24"/>
                <w:szCs w:val="24"/>
              </w:rPr>
            </w:pPr>
            <w:r w:rsidRPr="00D831EC">
              <w:rPr>
                <w:sz w:val="24"/>
                <w:szCs w:val="24"/>
              </w:rPr>
              <w:t>Ikke kendt</w:t>
            </w:r>
          </w:p>
        </w:tc>
      </w:tr>
      <w:tr w:rsidR="00D831EC" w:rsidRPr="00D831EC" w14:paraId="3B424C88" w14:textId="77777777" w:rsidTr="00D831EC">
        <w:trPr>
          <w:trHeight w:val="1418"/>
          <w:jc w:val="center"/>
        </w:trPr>
        <w:tc>
          <w:tcPr>
            <w:tcW w:w="1521" w:type="pct"/>
            <w:tcBorders>
              <w:top w:val="single" w:sz="4" w:space="0" w:color="000000"/>
              <w:left w:val="single" w:sz="4" w:space="0" w:color="000000"/>
              <w:bottom w:val="single" w:sz="4" w:space="0" w:color="000000"/>
              <w:right w:val="single" w:sz="4" w:space="0" w:color="000000"/>
            </w:tcBorders>
            <w:hideMark/>
          </w:tcPr>
          <w:p w14:paraId="18EFB15D" w14:textId="77777777" w:rsidR="00D831EC" w:rsidRPr="00D831EC" w:rsidRDefault="00D831EC" w:rsidP="00D831EC">
            <w:pPr>
              <w:ind w:left="32"/>
              <w:rPr>
                <w:sz w:val="24"/>
                <w:szCs w:val="24"/>
              </w:rPr>
            </w:pPr>
            <w:r w:rsidRPr="00D831EC">
              <w:rPr>
                <w:sz w:val="24"/>
                <w:szCs w:val="24"/>
              </w:rPr>
              <w:t>Almene symptomer og reaktioner på administrationsstedet</w:t>
            </w:r>
          </w:p>
        </w:tc>
        <w:tc>
          <w:tcPr>
            <w:tcW w:w="2208" w:type="pct"/>
            <w:tcBorders>
              <w:top w:val="single" w:sz="4" w:space="0" w:color="000000"/>
              <w:left w:val="single" w:sz="4" w:space="0" w:color="000000"/>
              <w:bottom w:val="single" w:sz="4" w:space="0" w:color="000000"/>
              <w:right w:val="single" w:sz="4" w:space="0" w:color="000000"/>
            </w:tcBorders>
            <w:hideMark/>
          </w:tcPr>
          <w:p w14:paraId="3E73F714" w14:textId="77777777" w:rsidR="00D831EC" w:rsidRPr="00D831EC" w:rsidRDefault="00D831EC" w:rsidP="00D831EC">
            <w:pPr>
              <w:ind w:left="32"/>
              <w:rPr>
                <w:sz w:val="24"/>
                <w:szCs w:val="24"/>
              </w:rPr>
            </w:pPr>
            <w:r w:rsidRPr="00D831EC">
              <w:rPr>
                <w:sz w:val="24"/>
                <w:szCs w:val="24"/>
              </w:rPr>
              <w:t>Reaktioner på infusionsstedet manifesteret ved et eller flere af følgende symptomer: Flebitis, inflammation på infusionsstedet, hævelse på infusionsstedet, udslæt på infusionsstedet, pruritus på infusionsstedet, erytem på infusionsstedet, smerte på infusionsstedet, brændende fornemmelse på infusionsstedet</w:t>
            </w:r>
          </w:p>
        </w:tc>
        <w:tc>
          <w:tcPr>
            <w:tcW w:w="1271" w:type="pct"/>
            <w:tcBorders>
              <w:top w:val="single" w:sz="4" w:space="0" w:color="000000"/>
              <w:left w:val="single" w:sz="4" w:space="0" w:color="000000"/>
              <w:bottom w:val="single" w:sz="4" w:space="0" w:color="000000"/>
              <w:right w:val="single" w:sz="4" w:space="0" w:color="000000"/>
            </w:tcBorders>
            <w:hideMark/>
          </w:tcPr>
          <w:p w14:paraId="01DAA03F" w14:textId="77777777" w:rsidR="00D831EC" w:rsidRPr="00D831EC" w:rsidRDefault="00D831EC" w:rsidP="00D831EC">
            <w:pPr>
              <w:ind w:left="32"/>
              <w:rPr>
                <w:sz w:val="24"/>
                <w:szCs w:val="24"/>
              </w:rPr>
            </w:pPr>
            <w:r w:rsidRPr="00D831EC">
              <w:rPr>
                <w:sz w:val="24"/>
                <w:szCs w:val="24"/>
              </w:rPr>
              <w:t>Ikke kendt</w:t>
            </w:r>
          </w:p>
        </w:tc>
      </w:tr>
    </w:tbl>
    <w:p w14:paraId="797EC75C" w14:textId="3AA26508" w:rsidR="00D831EC" w:rsidRPr="00D831EC" w:rsidRDefault="00D831EC" w:rsidP="00AC2EF7">
      <w:pPr>
        <w:ind w:left="284" w:hanging="284"/>
        <w:rPr>
          <w:i/>
          <w:sz w:val="24"/>
          <w:szCs w:val="24"/>
        </w:rPr>
      </w:pPr>
      <w:r w:rsidRPr="00D831EC">
        <w:rPr>
          <w:i/>
          <w:sz w:val="24"/>
          <w:szCs w:val="24"/>
        </w:rPr>
        <w:t>*</w:t>
      </w:r>
      <w:r w:rsidR="00AC2EF7">
        <w:rPr>
          <w:i/>
          <w:sz w:val="24"/>
          <w:szCs w:val="24"/>
        </w:rPr>
        <w:tab/>
      </w:r>
      <w:r w:rsidRPr="00D831EC">
        <w:rPr>
          <w:i/>
          <w:sz w:val="24"/>
          <w:szCs w:val="24"/>
        </w:rPr>
        <w:t>Hospitals-erhvervet hyponatriæmi kan medføre irreversibel hjerneskade og død på grund af udvikling af akut hyponatriæmisk encefalopati, hyppighed ukendt (se pkt. 4.2. 4.4, 4.5).</w:t>
      </w:r>
    </w:p>
    <w:p w14:paraId="0FB30FFB" w14:textId="77777777" w:rsidR="00D831EC" w:rsidRPr="00D831EC" w:rsidRDefault="00D831EC" w:rsidP="00D831EC">
      <w:pPr>
        <w:ind w:left="851"/>
        <w:rPr>
          <w:iCs/>
          <w:sz w:val="24"/>
          <w:szCs w:val="24"/>
        </w:rPr>
      </w:pPr>
    </w:p>
    <w:p w14:paraId="6378D7E3" w14:textId="77777777" w:rsidR="00D831EC" w:rsidRPr="00D831EC" w:rsidRDefault="00D831EC" w:rsidP="00D831EC">
      <w:pPr>
        <w:ind w:left="851"/>
        <w:rPr>
          <w:iCs/>
          <w:sz w:val="24"/>
          <w:szCs w:val="24"/>
        </w:rPr>
      </w:pPr>
      <w:r w:rsidRPr="00D831EC">
        <w:rPr>
          <w:sz w:val="24"/>
          <w:szCs w:val="24"/>
        </w:rPr>
        <w:t>Følgende bivirkninger er rapporteret spontant ved anvendelse af andre opløsninger indeholdende natriumlaktat:</w:t>
      </w:r>
    </w:p>
    <w:p w14:paraId="2DFF1926" w14:textId="77777777" w:rsidR="00D831EC" w:rsidRPr="00D831EC" w:rsidRDefault="00D831EC" w:rsidP="00AC2EF7">
      <w:pPr>
        <w:numPr>
          <w:ilvl w:val="0"/>
          <w:numId w:val="13"/>
        </w:numPr>
        <w:ind w:left="1276" w:hanging="425"/>
        <w:rPr>
          <w:sz w:val="24"/>
          <w:szCs w:val="24"/>
        </w:rPr>
      </w:pPr>
      <w:r w:rsidRPr="00D831EC">
        <w:rPr>
          <w:sz w:val="24"/>
          <w:szCs w:val="24"/>
        </w:rPr>
        <w:t>Overfølsomhed: laryngealt ødem (Quinckes ødem), hævelse af huden, nasal kongestion, nysen</w:t>
      </w:r>
    </w:p>
    <w:p w14:paraId="2E74A00C" w14:textId="77777777" w:rsidR="00D831EC" w:rsidRPr="00D831EC" w:rsidRDefault="00D831EC" w:rsidP="00AC2EF7">
      <w:pPr>
        <w:numPr>
          <w:ilvl w:val="0"/>
          <w:numId w:val="13"/>
        </w:numPr>
        <w:ind w:left="1276" w:hanging="425"/>
        <w:rPr>
          <w:sz w:val="24"/>
          <w:szCs w:val="24"/>
        </w:rPr>
      </w:pPr>
      <w:r w:rsidRPr="00D831EC">
        <w:rPr>
          <w:sz w:val="24"/>
          <w:szCs w:val="24"/>
        </w:rPr>
        <w:t>Elektrolytforstyrrelser</w:t>
      </w:r>
    </w:p>
    <w:p w14:paraId="4B2CACA6" w14:textId="77777777" w:rsidR="00D831EC" w:rsidRPr="00D831EC" w:rsidRDefault="00D831EC" w:rsidP="00AC2EF7">
      <w:pPr>
        <w:numPr>
          <w:ilvl w:val="0"/>
          <w:numId w:val="13"/>
        </w:numPr>
        <w:ind w:left="1276" w:hanging="425"/>
        <w:rPr>
          <w:sz w:val="24"/>
          <w:szCs w:val="24"/>
        </w:rPr>
      </w:pPr>
      <w:r w:rsidRPr="00D831EC">
        <w:rPr>
          <w:sz w:val="24"/>
          <w:szCs w:val="24"/>
        </w:rPr>
        <w:t>Hypervolæmi</w:t>
      </w:r>
    </w:p>
    <w:p w14:paraId="0BE8304E" w14:textId="77777777" w:rsidR="00D831EC" w:rsidRPr="00D831EC" w:rsidRDefault="00D831EC" w:rsidP="00AC2EF7">
      <w:pPr>
        <w:numPr>
          <w:ilvl w:val="0"/>
          <w:numId w:val="13"/>
        </w:numPr>
        <w:ind w:left="1276" w:hanging="425"/>
        <w:rPr>
          <w:sz w:val="24"/>
          <w:szCs w:val="24"/>
        </w:rPr>
      </w:pPr>
      <w:r w:rsidRPr="00D831EC">
        <w:rPr>
          <w:sz w:val="24"/>
          <w:szCs w:val="24"/>
        </w:rPr>
        <w:t>Panikanfald</w:t>
      </w:r>
    </w:p>
    <w:p w14:paraId="6591C533" w14:textId="77777777" w:rsidR="00D831EC" w:rsidRPr="00D831EC" w:rsidRDefault="00D831EC" w:rsidP="00AC2EF7">
      <w:pPr>
        <w:numPr>
          <w:ilvl w:val="0"/>
          <w:numId w:val="13"/>
        </w:numPr>
        <w:ind w:left="1276" w:hanging="425"/>
        <w:rPr>
          <w:sz w:val="24"/>
          <w:szCs w:val="24"/>
        </w:rPr>
      </w:pPr>
      <w:r w:rsidRPr="00D831EC">
        <w:rPr>
          <w:sz w:val="24"/>
          <w:szCs w:val="24"/>
        </w:rPr>
        <w:t>Andre reaktioner på infusionsstedet: Infektion på injektionsstedet, ekstravasation, anæstesi (følelsesløshed) på infusionsstedet.</w:t>
      </w:r>
    </w:p>
    <w:p w14:paraId="24471D74" w14:textId="77777777" w:rsidR="00D831EC" w:rsidRPr="00D831EC" w:rsidRDefault="00D831EC" w:rsidP="00D831EC">
      <w:pPr>
        <w:ind w:left="851"/>
        <w:rPr>
          <w:iCs/>
          <w:sz w:val="24"/>
          <w:szCs w:val="24"/>
        </w:rPr>
      </w:pPr>
    </w:p>
    <w:p w14:paraId="5741C282" w14:textId="77777777" w:rsidR="00D831EC" w:rsidRPr="00D831EC" w:rsidRDefault="00D831EC" w:rsidP="00D831EC">
      <w:pPr>
        <w:ind w:left="851"/>
        <w:rPr>
          <w:sz w:val="24"/>
          <w:szCs w:val="24"/>
          <w:u w:val="single"/>
        </w:rPr>
      </w:pPr>
      <w:r w:rsidRPr="00D831EC">
        <w:rPr>
          <w:sz w:val="24"/>
          <w:szCs w:val="24"/>
          <w:u w:val="single"/>
        </w:rPr>
        <w:t>Indberetning af formodede bivirkninger</w:t>
      </w:r>
    </w:p>
    <w:p w14:paraId="10CFC720" w14:textId="77777777" w:rsidR="00D831EC" w:rsidRPr="00D831EC" w:rsidRDefault="00D831EC" w:rsidP="00D831EC">
      <w:pPr>
        <w:ind w:left="851"/>
        <w:rPr>
          <w:sz w:val="24"/>
          <w:szCs w:val="24"/>
        </w:rPr>
      </w:pPr>
      <w:r w:rsidRPr="00D831EC">
        <w:rPr>
          <w:sz w:val="24"/>
          <w:szCs w:val="24"/>
        </w:rPr>
        <w:t xml:space="preserve">Indberetning af formodede bivirkninger efter godkendelse af lægemidlet er vigtig. Det muliggør løbende overvågning af lægemidlets benefit/risk-balance. Sundhedspersonale opfordres til at indberette alle formodede bivirkninger via </w:t>
      </w:r>
    </w:p>
    <w:p w14:paraId="0E16DE8F" w14:textId="77777777" w:rsidR="00D831EC" w:rsidRPr="00D831EC" w:rsidRDefault="00D831EC" w:rsidP="00D831EC">
      <w:pPr>
        <w:ind w:left="851"/>
        <w:rPr>
          <w:sz w:val="24"/>
          <w:szCs w:val="24"/>
        </w:rPr>
      </w:pPr>
    </w:p>
    <w:p w14:paraId="1E64D5D0" w14:textId="77777777" w:rsidR="00D831EC" w:rsidRPr="00D831EC" w:rsidRDefault="00D831EC" w:rsidP="00D831EC">
      <w:pPr>
        <w:ind w:left="851"/>
        <w:rPr>
          <w:sz w:val="24"/>
          <w:szCs w:val="24"/>
        </w:rPr>
      </w:pPr>
      <w:r w:rsidRPr="00D831EC">
        <w:rPr>
          <w:sz w:val="24"/>
          <w:szCs w:val="24"/>
        </w:rPr>
        <w:t>Lægemiddelstyrelsen</w:t>
      </w:r>
    </w:p>
    <w:p w14:paraId="1D6B5971" w14:textId="77777777" w:rsidR="00D831EC" w:rsidRPr="00D831EC" w:rsidRDefault="00D831EC" w:rsidP="00D831EC">
      <w:pPr>
        <w:ind w:left="851"/>
        <w:rPr>
          <w:sz w:val="24"/>
          <w:szCs w:val="24"/>
        </w:rPr>
      </w:pPr>
      <w:r w:rsidRPr="00D831EC">
        <w:rPr>
          <w:sz w:val="24"/>
          <w:szCs w:val="24"/>
        </w:rPr>
        <w:t>Axel Heides Gade 1</w:t>
      </w:r>
    </w:p>
    <w:p w14:paraId="3A530577" w14:textId="77777777" w:rsidR="00D831EC" w:rsidRPr="00D831EC" w:rsidRDefault="00D831EC" w:rsidP="00D831EC">
      <w:pPr>
        <w:ind w:left="851"/>
        <w:rPr>
          <w:sz w:val="24"/>
          <w:szCs w:val="24"/>
        </w:rPr>
      </w:pPr>
      <w:r w:rsidRPr="00D831EC">
        <w:rPr>
          <w:sz w:val="24"/>
          <w:szCs w:val="24"/>
        </w:rPr>
        <w:t>DK-2300 København S</w:t>
      </w:r>
    </w:p>
    <w:p w14:paraId="1E056FAA" w14:textId="77777777" w:rsidR="00D831EC" w:rsidRPr="00D831EC" w:rsidRDefault="00D831EC" w:rsidP="00D831EC">
      <w:pPr>
        <w:ind w:left="851"/>
        <w:rPr>
          <w:sz w:val="24"/>
          <w:szCs w:val="24"/>
        </w:rPr>
      </w:pPr>
      <w:r w:rsidRPr="00D831EC">
        <w:rPr>
          <w:sz w:val="24"/>
          <w:szCs w:val="24"/>
        </w:rPr>
        <w:t xml:space="preserve">Websted: </w:t>
      </w:r>
      <w:hyperlink r:id="rId8" w:history="1">
        <w:r w:rsidRPr="00D831EC">
          <w:rPr>
            <w:rStyle w:val="Hyperlink"/>
            <w:sz w:val="24"/>
            <w:szCs w:val="24"/>
          </w:rPr>
          <w:t>www.meldenbivirkning.dk</w:t>
        </w:r>
      </w:hyperlink>
    </w:p>
    <w:p w14:paraId="239B52F4" w14:textId="77777777" w:rsidR="009260DE" w:rsidRPr="00D831EC" w:rsidRDefault="009260DE" w:rsidP="00A10294">
      <w:pPr>
        <w:tabs>
          <w:tab w:val="left" w:pos="851"/>
        </w:tabs>
        <w:ind w:left="851"/>
        <w:rPr>
          <w:sz w:val="24"/>
          <w:szCs w:val="24"/>
        </w:rPr>
      </w:pPr>
    </w:p>
    <w:p w14:paraId="18CA1610" w14:textId="77777777" w:rsidR="009260DE" w:rsidRPr="00D831EC" w:rsidRDefault="009260DE" w:rsidP="009260DE">
      <w:pPr>
        <w:tabs>
          <w:tab w:val="left" w:pos="851"/>
        </w:tabs>
        <w:ind w:left="851" w:hanging="851"/>
        <w:rPr>
          <w:b/>
          <w:sz w:val="24"/>
          <w:szCs w:val="24"/>
        </w:rPr>
      </w:pPr>
      <w:r w:rsidRPr="00D831EC">
        <w:rPr>
          <w:b/>
          <w:sz w:val="24"/>
          <w:szCs w:val="24"/>
        </w:rPr>
        <w:t>4.9</w:t>
      </w:r>
      <w:r w:rsidRPr="00D831EC">
        <w:rPr>
          <w:b/>
          <w:sz w:val="24"/>
          <w:szCs w:val="24"/>
        </w:rPr>
        <w:tab/>
        <w:t>Overdosering</w:t>
      </w:r>
    </w:p>
    <w:p w14:paraId="25FD029B" w14:textId="77777777" w:rsidR="00D831EC" w:rsidRPr="00D831EC" w:rsidRDefault="00D831EC" w:rsidP="00D831EC">
      <w:pPr>
        <w:ind w:left="851"/>
        <w:rPr>
          <w:iCs/>
          <w:sz w:val="24"/>
          <w:szCs w:val="24"/>
        </w:rPr>
      </w:pPr>
      <w:r w:rsidRPr="00D831EC">
        <w:rPr>
          <w:sz w:val="24"/>
          <w:szCs w:val="24"/>
        </w:rPr>
        <w:t>Overdosering eller for hurtig administration kan føre til overbelastning med vand og natrium med risiko for ødem, især ved nedsat renal natriumudskillelse. I sådanne tilfælde kan ekstra renal dialyse være nødvendig.</w:t>
      </w:r>
    </w:p>
    <w:p w14:paraId="7659AAC7" w14:textId="77777777" w:rsidR="00D831EC" w:rsidRPr="00D831EC" w:rsidRDefault="00D831EC" w:rsidP="00D831EC">
      <w:pPr>
        <w:ind w:left="851"/>
        <w:rPr>
          <w:iCs/>
          <w:sz w:val="24"/>
          <w:szCs w:val="24"/>
        </w:rPr>
      </w:pPr>
    </w:p>
    <w:p w14:paraId="68F99684" w14:textId="77777777" w:rsidR="00D831EC" w:rsidRPr="00D831EC" w:rsidRDefault="00D831EC" w:rsidP="00D831EC">
      <w:pPr>
        <w:ind w:left="851"/>
        <w:rPr>
          <w:iCs/>
          <w:sz w:val="24"/>
          <w:szCs w:val="24"/>
        </w:rPr>
      </w:pPr>
      <w:r w:rsidRPr="00D831EC">
        <w:rPr>
          <w:sz w:val="24"/>
          <w:szCs w:val="24"/>
        </w:rPr>
        <w:t>Overdreven administration af kalium kan føre til udvikling af hyperkaliæmi, især hos patienter med nedsat nyrefunktion. Symptomer omfatter paræstesi i ekstremiteterne, muskelsvaghed, paralyse, hjertearytmier, hjerteblok, hjertestop og mental konfusion.</w:t>
      </w:r>
    </w:p>
    <w:p w14:paraId="4A103A77" w14:textId="77777777" w:rsidR="00D831EC" w:rsidRPr="00D831EC" w:rsidRDefault="00D831EC" w:rsidP="00D831EC">
      <w:pPr>
        <w:ind w:left="851"/>
        <w:rPr>
          <w:iCs/>
          <w:sz w:val="24"/>
          <w:szCs w:val="24"/>
        </w:rPr>
      </w:pPr>
      <w:r w:rsidRPr="00D831EC">
        <w:rPr>
          <w:sz w:val="24"/>
          <w:szCs w:val="24"/>
        </w:rPr>
        <w:t xml:space="preserve"> </w:t>
      </w:r>
    </w:p>
    <w:p w14:paraId="6B9FD260" w14:textId="77777777" w:rsidR="00D831EC" w:rsidRPr="00D831EC" w:rsidRDefault="00D831EC" w:rsidP="00D831EC">
      <w:pPr>
        <w:ind w:left="851"/>
        <w:rPr>
          <w:iCs/>
          <w:sz w:val="24"/>
          <w:szCs w:val="24"/>
        </w:rPr>
      </w:pPr>
      <w:r w:rsidRPr="00D831EC">
        <w:rPr>
          <w:sz w:val="24"/>
          <w:szCs w:val="24"/>
        </w:rPr>
        <w:t>Overdreven administration af calciumsalte kan føre til hypercalcæmi. Symptomer på hypercalcæmi kan omfatte anoreksi, kvalme, opkastning, obstipation, mavesmerter, muskelsvaghed, psykiske forstyrrelser, polydipsi, polyuri, nefrocalcinose, nyresten og i svære tilfælde hjertearytmier og koma. For hurtig intravenøs injektion af calciumsalte kan også medføre mange af symptomerne på hypercalcæmi samt kalkagtig smag, hedeture og perifer vasodilatation. Mild asymptomatisk hypercalcæmi vil sædvanligvis ophøre ved seponering af calcium og andre medvirkende lægemidler såsom vitamin D. Hvis hypercalcæmi er alvorlig, er akut behandling (såsom loop-diuretika, hæmodialyse, calcitonin, bisfosfonater, trinatriumedetat) nødvendig.</w:t>
      </w:r>
    </w:p>
    <w:p w14:paraId="6D56A356" w14:textId="77777777" w:rsidR="00D831EC" w:rsidRPr="00D831EC" w:rsidRDefault="00D831EC" w:rsidP="00D831EC">
      <w:pPr>
        <w:ind w:left="851"/>
        <w:rPr>
          <w:iCs/>
          <w:sz w:val="24"/>
          <w:szCs w:val="24"/>
        </w:rPr>
      </w:pPr>
    </w:p>
    <w:p w14:paraId="2FC4FAD3" w14:textId="535115D4" w:rsidR="00D831EC" w:rsidRPr="00D831EC" w:rsidRDefault="00D831EC" w:rsidP="00D831EC">
      <w:pPr>
        <w:ind w:left="851"/>
        <w:rPr>
          <w:iCs/>
          <w:sz w:val="24"/>
          <w:szCs w:val="24"/>
        </w:rPr>
      </w:pPr>
      <w:r w:rsidRPr="00D831EC">
        <w:rPr>
          <w:sz w:val="24"/>
          <w:szCs w:val="24"/>
        </w:rPr>
        <w:t xml:space="preserve">Overdreven administration af Ringer-laktat </w:t>
      </w:r>
      <w:r w:rsidR="007B2E23">
        <w:rPr>
          <w:sz w:val="24"/>
          <w:szCs w:val="24"/>
        </w:rPr>
        <w:t>"Noridem"</w:t>
      </w:r>
      <w:r w:rsidRPr="00D831EC">
        <w:rPr>
          <w:sz w:val="24"/>
          <w:szCs w:val="24"/>
        </w:rPr>
        <w:t xml:space="preserve"> kan føre til metabolisk alkalose. Metabolisk alkalose kan være ledsaget af hypokaliæmi. Symptomer kan omfatte humørændringer, træthed, åndenød, muskelsvaghed og uregelmæssig hjerterytme. Muskelhypertoni, muskeltrækninger og tetani kan udvikles, især hos patienter med hypocalcæmi. Behandling af metabolisk alkalose som følge af overdosering af bicarbonat består primært af passende korrektion af væske- og elektrolytbalancen. Tilførsel af calcium, chlorid og kalium kan være af særlig betydning.</w:t>
      </w:r>
    </w:p>
    <w:p w14:paraId="32D74FBD" w14:textId="77777777" w:rsidR="00D831EC" w:rsidRPr="00D831EC" w:rsidRDefault="00D831EC" w:rsidP="00D831EC">
      <w:pPr>
        <w:ind w:left="851"/>
        <w:rPr>
          <w:iCs/>
          <w:sz w:val="24"/>
          <w:szCs w:val="24"/>
        </w:rPr>
      </w:pPr>
    </w:p>
    <w:p w14:paraId="091ACC65" w14:textId="77777777" w:rsidR="00D831EC" w:rsidRPr="00D831EC" w:rsidRDefault="00D831EC" w:rsidP="00D831EC">
      <w:pPr>
        <w:ind w:left="851"/>
        <w:rPr>
          <w:iCs/>
          <w:sz w:val="24"/>
          <w:szCs w:val="24"/>
        </w:rPr>
      </w:pPr>
      <w:r w:rsidRPr="00D831EC">
        <w:rPr>
          <w:sz w:val="24"/>
          <w:szCs w:val="24"/>
        </w:rPr>
        <w:t>Når overdosering er relateret til lægemidler tilsat den infunderede opløsning, vil tegn og symptomer på overinfusion være relateret til karakteren af det anvendte tilsætningsstof. I tilfælde af utilsigtet overinfusion skal behandlingen seponeres, og patienten skal observeres for relevante tegn og symptomer relateret til det administrerede lægemiddel. Relevante symptomatiske og understøttende tiltag skal iværksættes efter behov.</w:t>
      </w:r>
    </w:p>
    <w:p w14:paraId="406FA0D7" w14:textId="77777777" w:rsidR="009260DE" w:rsidRPr="00D831EC" w:rsidRDefault="009260DE" w:rsidP="009260DE">
      <w:pPr>
        <w:tabs>
          <w:tab w:val="left" w:pos="851"/>
        </w:tabs>
        <w:ind w:left="851"/>
        <w:rPr>
          <w:sz w:val="24"/>
          <w:szCs w:val="24"/>
        </w:rPr>
      </w:pPr>
    </w:p>
    <w:p w14:paraId="157A27AF" w14:textId="77777777" w:rsidR="009260DE" w:rsidRPr="00D831EC" w:rsidRDefault="009260DE" w:rsidP="009260DE">
      <w:pPr>
        <w:tabs>
          <w:tab w:val="left" w:pos="851"/>
        </w:tabs>
        <w:ind w:left="851" w:hanging="851"/>
        <w:rPr>
          <w:b/>
          <w:sz w:val="24"/>
          <w:szCs w:val="24"/>
        </w:rPr>
      </w:pPr>
      <w:r w:rsidRPr="00D831EC">
        <w:rPr>
          <w:b/>
          <w:sz w:val="24"/>
          <w:szCs w:val="24"/>
        </w:rPr>
        <w:t>4.10</w:t>
      </w:r>
      <w:r w:rsidRPr="00D831EC">
        <w:rPr>
          <w:b/>
          <w:sz w:val="24"/>
          <w:szCs w:val="24"/>
        </w:rPr>
        <w:tab/>
        <w:t>Udlevering</w:t>
      </w:r>
    </w:p>
    <w:p w14:paraId="0A51144F" w14:textId="636C317F" w:rsidR="009260DE" w:rsidRPr="00D831EC" w:rsidRDefault="00D831EC" w:rsidP="009260DE">
      <w:pPr>
        <w:tabs>
          <w:tab w:val="left" w:pos="851"/>
        </w:tabs>
        <w:ind w:left="851"/>
        <w:rPr>
          <w:sz w:val="24"/>
          <w:szCs w:val="24"/>
        </w:rPr>
      </w:pPr>
      <w:r w:rsidRPr="00D831EC">
        <w:rPr>
          <w:sz w:val="24"/>
          <w:szCs w:val="24"/>
        </w:rPr>
        <w:t>B</w:t>
      </w:r>
    </w:p>
    <w:p w14:paraId="6384C2DC" w14:textId="77777777" w:rsidR="009260DE" w:rsidRPr="00D831EC" w:rsidRDefault="009260DE" w:rsidP="009260DE">
      <w:pPr>
        <w:tabs>
          <w:tab w:val="left" w:pos="851"/>
        </w:tabs>
        <w:ind w:left="851"/>
        <w:rPr>
          <w:sz w:val="24"/>
          <w:szCs w:val="24"/>
        </w:rPr>
      </w:pPr>
    </w:p>
    <w:p w14:paraId="7734598B" w14:textId="77777777" w:rsidR="009260DE" w:rsidRPr="00D831EC" w:rsidRDefault="009260DE" w:rsidP="009260DE">
      <w:pPr>
        <w:tabs>
          <w:tab w:val="left" w:pos="851"/>
        </w:tabs>
        <w:ind w:left="851"/>
        <w:rPr>
          <w:sz w:val="24"/>
          <w:szCs w:val="24"/>
        </w:rPr>
      </w:pPr>
    </w:p>
    <w:p w14:paraId="2E5C31B8" w14:textId="77777777" w:rsidR="009260DE" w:rsidRPr="00D831EC" w:rsidRDefault="009260DE" w:rsidP="009260DE">
      <w:pPr>
        <w:tabs>
          <w:tab w:val="left" w:pos="851"/>
        </w:tabs>
        <w:ind w:left="851" w:hanging="851"/>
        <w:rPr>
          <w:b/>
          <w:sz w:val="24"/>
          <w:szCs w:val="24"/>
        </w:rPr>
      </w:pPr>
      <w:r w:rsidRPr="00D831EC">
        <w:rPr>
          <w:b/>
          <w:sz w:val="24"/>
          <w:szCs w:val="24"/>
        </w:rPr>
        <w:t>5.</w:t>
      </w:r>
      <w:r w:rsidRPr="00D831EC">
        <w:rPr>
          <w:b/>
          <w:sz w:val="24"/>
          <w:szCs w:val="24"/>
        </w:rPr>
        <w:tab/>
        <w:t>FARMAKOLOGISKE EGENSKABER</w:t>
      </w:r>
    </w:p>
    <w:p w14:paraId="21EC1C03" w14:textId="77777777" w:rsidR="009260DE" w:rsidRPr="00D831EC" w:rsidRDefault="009260DE" w:rsidP="009260DE">
      <w:pPr>
        <w:tabs>
          <w:tab w:val="left" w:pos="851"/>
        </w:tabs>
        <w:ind w:left="851"/>
        <w:rPr>
          <w:sz w:val="24"/>
          <w:szCs w:val="24"/>
        </w:rPr>
      </w:pPr>
    </w:p>
    <w:p w14:paraId="79FB7375" w14:textId="77777777" w:rsidR="009260DE" w:rsidRPr="00D831EC" w:rsidRDefault="009260DE" w:rsidP="009260DE">
      <w:pPr>
        <w:tabs>
          <w:tab w:val="num" w:pos="851"/>
        </w:tabs>
        <w:ind w:left="851" w:hanging="851"/>
        <w:rPr>
          <w:b/>
          <w:sz w:val="24"/>
          <w:szCs w:val="24"/>
        </w:rPr>
      </w:pPr>
      <w:r w:rsidRPr="00D831EC">
        <w:rPr>
          <w:b/>
          <w:sz w:val="24"/>
          <w:szCs w:val="24"/>
        </w:rPr>
        <w:t>5.1</w:t>
      </w:r>
      <w:r w:rsidRPr="00D831EC">
        <w:rPr>
          <w:b/>
          <w:sz w:val="24"/>
          <w:szCs w:val="24"/>
        </w:rPr>
        <w:tab/>
        <w:t>Farmakodynamiske egenskaber</w:t>
      </w:r>
    </w:p>
    <w:p w14:paraId="32E32129" w14:textId="77777777" w:rsidR="00D831EC" w:rsidRPr="00D831EC" w:rsidRDefault="00D831EC" w:rsidP="00D831EC">
      <w:pPr>
        <w:ind w:left="851"/>
        <w:rPr>
          <w:sz w:val="24"/>
          <w:szCs w:val="24"/>
        </w:rPr>
      </w:pPr>
      <w:r w:rsidRPr="00D831EC">
        <w:rPr>
          <w:sz w:val="24"/>
          <w:szCs w:val="24"/>
        </w:rPr>
        <w:t xml:space="preserve">Farmakoterapeutisk gruppe: Opløsninger med virkning på elektrolytbalancen, elektrolytter, </w:t>
      </w:r>
    </w:p>
    <w:p w14:paraId="4E7BE2DB" w14:textId="77777777" w:rsidR="00D831EC" w:rsidRPr="00D831EC" w:rsidRDefault="00D831EC" w:rsidP="00D831EC">
      <w:pPr>
        <w:ind w:left="851"/>
        <w:rPr>
          <w:sz w:val="24"/>
          <w:szCs w:val="24"/>
        </w:rPr>
      </w:pPr>
      <w:r w:rsidRPr="00D831EC">
        <w:rPr>
          <w:sz w:val="24"/>
          <w:szCs w:val="24"/>
        </w:rPr>
        <w:t>ATC-kode: B05BB01</w:t>
      </w:r>
    </w:p>
    <w:p w14:paraId="01BAD7E9" w14:textId="77777777" w:rsidR="00D831EC" w:rsidRPr="00D831EC" w:rsidRDefault="00D831EC" w:rsidP="00D831EC">
      <w:pPr>
        <w:ind w:left="851"/>
        <w:rPr>
          <w:sz w:val="24"/>
          <w:szCs w:val="24"/>
        </w:rPr>
      </w:pPr>
    </w:p>
    <w:p w14:paraId="77F9ABC8" w14:textId="681E7682" w:rsidR="00D831EC" w:rsidRPr="00D831EC" w:rsidRDefault="00D831EC" w:rsidP="00D831EC">
      <w:pPr>
        <w:ind w:left="851"/>
        <w:rPr>
          <w:sz w:val="24"/>
          <w:szCs w:val="24"/>
        </w:rPr>
      </w:pPr>
      <w:r w:rsidRPr="00D831EC">
        <w:rPr>
          <w:sz w:val="24"/>
          <w:szCs w:val="24"/>
        </w:rPr>
        <w:t xml:space="preserve">Ringer-laktat </w:t>
      </w:r>
      <w:r w:rsidR="007B2E23">
        <w:rPr>
          <w:sz w:val="24"/>
          <w:szCs w:val="24"/>
        </w:rPr>
        <w:t>"Noridem"</w:t>
      </w:r>
      <w:r w:rsidRPr="00D831EC">
        <w:rPr>
          <w:sz w:val="24"/>
          <w:szCs w:val="24"/>
        </w:rPr>
        <w:t xml:space="preserve"> opløsning er en isoton elektrolytopløsning. Bestanddelene i Ringer-laktat </w:t>
      </w:r>
      <w:r w:rsidR="007B2E23">
        <w:rPr>
          <w:sz w:val="24"/>
          <w:szCs w:val="24"/>
        </w:rPr>
        <w:t>"Noridem"</w:t>
      </w:r>
      <w:r w:rsidRPr="00D831EC">
        <w:rPr>
          <w:sz w:val="24"/>
          <w:szCs w:val="24"/>
        </w:rPr>
        <w:t xml:space="preserve"> og deres koncentrationer er udviklet til at svare til dem i plasma.</w:t>
      </w:r>
    </w:p>
    <w:p w14:paraId="404002F5" w14:textId="77777777" w:rsidR="00D831EC" w:rsidRPr="00D831EC" w:rsidRDefault="00D831EC" w:rsidP="00D831EC">
      <w:pPr>
        <w:ind w:left="851"/>
        <w:rPr>
          <w:sz w:val="24"/>
          <w:szCs w:val="24"/>
        </w:rPr>
      </w:pPr>
    </w:p>
    <w:p w14:paraId="72BE3FC0" w14:textId="77777777" w:rsidR="00D831EC" w:rsidRPr="00D831EC" w:rsidRDefault="00D831EC" w:rsidP="00D831EC">
      <w:pPr>
        <w:ind w:left="851"/>
        <w:rPr>
          <w:sz w:val="24"/>
          <w:szCs w:val="24"/>
        </w:rPr>
      </w:pPr>
      <w:r w:rsidRPr="00D831EC">
        <w:rPr>
          <w:sz w:val="24"/>
          <w:szCs w:val="24"/>
        </w:rPr>
        <w:t>De farmakologiske egenskaber ved Ringer-laktat er egenskaberne ved dets komponenter natrium, kalium, calcium, chlorid og laktat).</w:t>
      </w:r>
    </w:p>
    <w:p w14:paraId="07A0A549" w14:textId="77777777" w:rsidR="00D831EC" w:rsidRPr="00D831EC" w:rsidRDefault="00D831EC" w:rsidP="00D831EC">
      <w:pPr>
        <w:ind w:left="851"/>
        <w:rPr>
          <w:sz w:val="24"/>
          <w:szCs w:val="24"/>
        </w:rPr>
      </w:pPr>
    </w:p>
    <w:p w14:paraId="38F190CD" w14:textId="0ACAF576" w:rsidR="00D831EC" w:rsidRPr="00D831EC" w:rsidRDefault="00D831EC" w:rsidP="00D831EC">
      <w:pPr>
        <w:ind w:left="851"/>
        <w:rPr>
          <w:sz w:val="24"/>
          <w:szCs w:val="24"/>
        </w:rPr>
      </w:pPr>
      <w:r w:rsidRPr="00D831EC">
        <w:rPr>
          <w:sz w:val="24"/>
          <w:szCs w:val="24"/>
        </w:rPr>
        <w:t xml:space="preserve">Hovedeffekten af Ringer-laktat </w:t>
      </w:r>
      <w:r w:rsidR="007B2E23">
        <w:rPr>
          <w:sz w:val="24"/>
          <w:szCs w:val="24"/>
        </w:rPr>
        <w:t>"Noridem"</w:t>
      </w:r>
      <w:r w:rsidRPr="00D831EC">
        <w:rPr>
          <w:sz w:val="24"/>
          <w:szCs w:val="24"/>
        </w:rPr>
        <w:t xml:space="preserve"> er udvidelse af det ekstracellulære rum, herunder både den interstitielle væske og den intravaskulære væske. Laktationer metaboliseres til bikarbonat, hovedsageligt i leveren, og har en alkaliserende virkning på plasma.</w:t>
      </w:r>
    </w:p>
    <w:p w14:paraId="264CD38D" w14:textId="77777777" w:rsidR="00D831EC" w:rsidRPr="00D831EC" w:rsidRDefault="00D831EC" w:rsidP="00D831EC">
      <w:pPr>
        <w:ind w:left="851"/>
        <w:rPr>
          <w:sz w:val="24"/>
          <w:szCs w:val="24"/>
        </w:rPr>
      </w:pPr>
    </w:p>
    <w:p w14:paraId="6C5CA236" w14:textId="77777777" w:rsidR="00D831EC" w:rsidRPr="00D831EC" w:rsidRDefault="00D831EC" w:rsidP="00D831EC">
      <w:pPr>
        <w:ind w:left="851"/>
        <w:rPr>
          <w:sz w:val="24"/>
          <w:szCs w:val="24"/>
        </w:rPr>
      </w:pPr>
      <w:r w:rsidRPr="00D831EC">
        <w:rPr>
          <w:sz w:val="24"/>
          <w:szCs w:val="24"/>
        </w:rPr>
        <w:t>Ændringer i centralt venetryk var associeret med sekretion af atrialt natriuretisk peptid hos raske frivillige, som fik Ringer-laktat.</w:t>
      </w:r>
    </w:p>
    <w:p w14:paraId="38C7D13A" w14:textId="77777777" w:rsidR="00D831EC" w:rsidRPr="00D831EC" w:rsidRDefault="00D831EC" w:rsidP="00D831EC">
      <w:pPr>
        <w:ind w:left="851"/>
        <w:rPr>
          <w:sz w:val="24"/>
          <w:szCs w:val="24"/>
        </w:rPr>
      </w:pPr>
    </w:p>
    <w:p w14:paraId="64B26F37" w14:textId="77777777" w:rsidR="00D831EC" w:rsidRPr="00D831EC" w:rsidRDefault="00D831EC" w:rsidP="00D831EC">
      <w:pPr>
        <w:ind w:left="851"/>
        <w:rPr>
          <w:sz w:val="24"/>
          <w:szCs w:val="24"/>
        </w:rPr>
      </w:pPr>
      <w:r w:rsidRPr="00D831EC">
        <w:rPr>
          <w:sz w:val="24"/>
          <w:szCs w:val="24"/>
        </w:rPr>
        <w:t>Ringer-laktat givet til raske frivillige reducerede serumosmolaliteten, øgede blodets pH og medførte første urinproduktion hurtigere end administration af fysiologisk saltvand.</w:t>
      </w:r>
    </w:p>
    <w:p w14:paraId="2C618652" w14:textId="77777777" w:rsidR="00D831EC" w:rsidRPr="00D831EC" w:rsidRDefault="00D831EC" w:rsidP="00D831EC">
      <w:pPr>
        <w:ind w:left="851"/>
        <w:rPr>
          <w:sz w:val="24"/>
          <w:szCs w:val="24"/>
        </w:rPr>
      </w:pPr>
    </w:p>
    <w:p w14:paraId="346ABC80" w14:textId="77777777" w:rsidR="00D831EC" w:rsidRPr="00D831EC" w:rsidRDefault="00D831EC" w:rsidP="00D831EC">
      <w:pPr>
        <w:ind w:left="851"/>
        <w:rPr>
          <w:sz w:val="24"/>
          <w:szCs w:val="24"/>
        </w:rPr>
      </w:pPr>
      <w:r w:rsidRPr="00D831EC">
        <w:rPr>
          <w:sz w:val="24"/>
          <w:szCs w:val="24"/>
        </w:rPr>
        <w:t>Der blev ikke observeret signifikante ændringer i niveauerne af glukagon, epinefrin, blodglukose og insulin hos patienter, der gennemgik aortakirurgi og fik Ringer-laktat.</w:t>
      </w:r>
    </w:p>
    <w:p w14:paraId="7DCE43A0" w14:textId="77777777" w:rsidR="00D831EC" w:rsidRPr="00D831EC" w:rsidRDefault="00D831EC" w:rsidP="00D831EC">
      <w:pPr>
        <w:ind w:left="851"/>
        <w:rPr>
          <w:sz w:val="24"/>
          <w:szCs w:val="24"/>
        </w:rPr>
      </w:pPr>
    </w:p>
    <w:p w14:paraId="6D055C1D" w14:textId="77777777" w:rsidR="00D831EC" w:rsidRPr="00D831EC" w:rsidRDefault="00D831EC" w:rsidP="00D831EC">
      <w:pPr>
        <w:ind w:left="851"/>
        <w:rPr>
          <w:sz w:val="24"/>
          <w:szCs w:val="24"/>
        </w:rPr>
      </w:pPr>
      <w:r w:rsidRPr="00D831EC">
        <w:rPr>
          <w:sz w:val="24"/>
          <w:szCs w:val="24"/>
        </w:rPr>
        <w:t>Når et lægemiddel tilsættes Ringer-laktat, er de farmakodynamiske egenskaber af den resulterende opløsning baseret på egenskaberne af det tilsatte lægemiddel.</w:t>
      </w:r>
    </w:p>
    <w:p w14:paraId="320C03CC" w14:textId="77777777" w:rsidR="009260DE" w:rsidRPr="00D831EC" w:rsidRDefault="009260DE" w:rsidP="009260DE">
      <w:pPr>
        <w:tabs>
          <w:tab w:val="left" w:pos="851"/>
        </w:tabs>
        <w:ind w:left="851"/>
        <w:rPr>
          <w:sz w:val="24"/>
          <w:szCs w:val="24"/>
        </w:rPr>
      </w:pPr>
    </w:p>
    <w:p w14:paraId="11FA8952" w14:textId="77777777" w:rsidR="009260DE" w:rsidRPr="00D831EC" w:rsidRDefault="009260DE" w:rsidP="009260DE">
      <w:pPr>
        <w:tabs>
          <w:tab w:val="left" w:pos="851"/>
        </w:tabs>
        <w:ind w:left="851" w:hanging="851"/>
        <w:rPr>
          <w:b/>
          <w:sz w:val="24"/>
          <w:szCs w:val="24"/>
        </w:rPr>
      </w:pPr>
      <w:r w:rsidRPr="00D831EC">
        <w:rPr>
          <w:b/>
          <w:sz w:val="24"/>
          <w:szCs w:val="24"/>
        </w:rPr>
        <w:t>5.2</w:t>
      </w:r>
      <w:r w:rsidRPr="00D831EC">
        <w:rPr>
          <w:b/>
          <w:sz w:val="24"/>
          <w:szCs w:val="24"/>
        </w:rPr>
        <w:tab/>
        <w:t>Farmakokinetiske egenskaber</w:t>
      </w:r>
    </w:p>
    <w:p w14:paraId="3413BC38" w14:textId="141BAAEF" w:rsidR="00D831EC" w:rsidRPr="00D831EC" w:rsidRDefault="00D831EC" w:rsidP="00D831EC">
      <w:pPr>
        <w:ind w:left="851"/>
        <w:rPr>
          <w:sz w:val="24"/>
          <w:szCs w:val="24"/>
        </w:rPr>
      </w:pPr>
      <w:r w:rsidRPr="00D831EC">
        <w:rPr>
          <w:sz w:val="24"/>
          <w:szCs w:val="24"/>
        </w:rPr>
        <w:t xml:space="preserve">De farmakokinetiske egenskaber af Ringer-laktat </w:t>
      </w:r>
      <w:r w:rsidR="007B2E23">
        <w:rPr>
          <w:sz w:val="24"/>
          <w:szCs w:val="24"/>
        </w:rPr>
        <w:t>"Noridem"</w:t>
      </w:r>
      <w:r w:rsidRPr="00D831EC">
        <w:rPr>
          <w:sz w:val="24"/>
          <w:szCs w:val="24"/>
        </w:rPr>
        <w:t xml:space="preserve"> er de samme som for de ioner, dets sammensætning omfatter natrium, kalium, calcium og klorid).</w:t>
      </w:r>
    </w:p>
    <w:p w14:paraId="74287F04" w14:textId="77777777" w:rsidR="00D831EC" w:rsidRPr="00D831EC" w:rsidRDefault="00D831EC" w:rsidP="00D831EC">
      <w:pPr>
        <w:ind w:left="851"/>
        <w:rPr>
          <w:sz w:val="24"/>
          <w:szCs w:val="24"/>
        </w:rPr>
      </w:pPr>
    </w:p>
    <w:p w14:paraId="509DB204" w14:textId="77777777" w:rsidR="00D831EC" w:rsidRPr="00D831EC" w:rsidRDefault="00D831EC" w:rsidP="00D831EC">
      <w:pPr>
        <w:ind w:left="851"/>
        <w:rPr>
          <w:sz w:val="24"/>
          <w:szCs w:val="24"/>
        </w:rPr>
      </w:pPr>
      <w:r w:rsidRPr="00D831EC">
        <w:rPr>
          <w:sz w:val="24"/>
          <w:szCs w:val="24"/>
        </w:rPr>
        <w:t>Infusion af Ringer-laktat hos hæmodynamisk stabile voksne øger ikke de cirkulerende laktatkoncentrationer.</w:t>
      </w:r>
    </w:p>
    <w:p w14:paraId="4CC31D24" w14:textId="77777777" w:rsidR="00D831EC" w:rsidRPr="00D831EC" w:rsidRDefault="00D831EC" w:rsidP="00D831EC">
      <w:pPr>
        <w:ind w:left="851"/>
        <w:rPr>
          <w:sz w:val="24"/>
          <w:szCs w:val="24"/>
        </w:rPr>
      </w:pPr>
    </w:p>
    <w:p w14:paraId="7441D82C" w14:textId="77777777" w:rsidR="00D831EC" w:rsidRPr="00D831EC" w:rsidRDefault="00D831EC" w:rsidP="00D831EC">
      <w:pPr>
        <w:ind w:left="851"/>
        <w:rPr>
          <w:sz w:val="24"/>
          <w:szCs w:val="24"/>
        </w:rPr>
      </w:pPr>
      <w:r w:rsidRPr="00D831EC">
        <w:rPr>
          <w:sz w:val="24"/>
          <w:szCs w:val="24"/>
        </w:rPr>
        <w:t>Farmakokinetikken for D-laktat og L-laktat er ens.</w:t>
      </w:r>
    </w:p>
    <w:p w14:paraId="1D0F17FB" w14:textId="77777777" w:rsidR="00D831EC" w:rsidRPr="00D831EC" w:rsidRDefault="00D831EC" w:rsidP="00D831EC">
      <w:pPr>
        <w:ind w:left="851"/>
        <w:rPr>
          <w:sz w:val="24"/>
          <w:szCs w:val="24"/>
        </w:rPr>
      </w:pPr>
    </w:p>
    <w:p w14:paraId="6717C5BB" w14:textId="77777777" w:rsidR="00D831EC" w:rsidRPr="00D831EC" w:rsidRDefault="00D831EC" w:rsidP="00D831EC">
      <w:pPr>
        <w:ind w:left="851"/>
        <w:rPr>
          <w:sz w:val="24"/>
          <w:szCs w:val="24"/>
        </w:rPr>
      </w:pPr>
      <w:r w:rsidRPr="00D831EC">
        <w:rPr>
          <w:sz w:val="24"/>
          <w:szCs w:val="24"/>
        </w:rPr>
        <w:t xml:space="preserve">Laktat i Ringer-laktat metaboliseres både ved oxidation og glukoneogenese, overvejende i leveren, og bikarbonat dannes ved begge processer over 1-2 timer. </w:t>
      </w:r>
    </w:p>
    <w:p w14:paraId="16099710" w14:textId="77777777" w:rsidR="00D831EC" w:rsidRPr="00D831EC" w:rsidRDefault="00D831EC" w:rsidP="00D831EC">
      <w:pPr>
        <w:ind w:left="851"/>
        <w:rPr>
          <w:sz w:val="24"/>
          <w:szCs w:val="24"/>
        </w:rPr>
      </w:pPr>
    </w:p>
    <w:p w14:paraId="08F50B85" w14:textId="77777777" w:rsidR="00D831EC" w:rsidRPr="00D831EC" w:rsidRDefault="00D831EC" w:rsidP="00D831EC">
      <w:pPr>
        <w:ind w:left="851"/>
        <w:rPr>
          <w:sz w:val="24"/>
          <w:szCs w:val="24"/>
        </w:rPr>
      </w:pPr>
      <w:r w:rsidRPr="00D831EC">
        <w:rPr>
          <w:sz w:val="24"/>
          <w:szCs w:val="24"/>
        </w:rPr>
        <w:t>Når lægemidler tilsættes Ringer-laktat, afhænger den samlede farmakokinetik af opløsningen af arten af det anvendte lægemiddel.</w:t>
      </w:r>
    </w:p>
    <w:p w14:paraId="75E0ED5F" w14:textId="77777777" w:rsidR="009260DE" w:rsidRPr="00D831EC" w:rsidRDefault="009260DE" w:rsidP="009260DE">
      <w:pPr>
        <w:tabs>
          <w:tab w:val="left" w:pos="851"/>
        </w:tabs>
        <w:ind w:left="851"/>
        <w:rPr>
          <w:sz w:val="24"/>
          <w:szCs w:val="24"/>
        </w:rPr>
      </w:pPr>
    </w:p>
    <w:p w14:paraId="50FF4395" w14:textId="77777777" w:rsidR="009260DE" w:rsidRPr="00D831EC" w:rsidRDefault="009260DE" w:rsidP="009260DE">
      <w:pPr>
        <w:tabs>
          <w:tab w:val="left" w:pos="851"/>
        </w:tabs>
        <w:ind w:left="851" w:hanging="851"/>
        <w:rPr>
          <w:b/>
          <w:sz w:val="24"/>
          <w:szCs w:val="24"/>
        </w:rPr>
      </w:pPr>
      <w:r w:rsidRPr="00D831EC">
        <w:rPr>
          <w:b/>
          <w:sz w:val="24"/>
          <w:szCs w:val="24"/>
        </w:rPr>
        <w:t>5.3</w:t>
      </w:r>
      <w:r w:rsidRPr="00D831EC">
        <w:rPr>
          <w:b/>
          <w:sz w:val="24"/>
          <w:szCs w:val="24"/>
        </w:rPr>
        <w:tab/>
      </w:r>
      <w:r w:rsidR="00BD7931" w:rsidRPr="00D831EC">
        <w:rPr>
          <w:b/>
          <w:sz w:val="24"/>
          <w:szCs w:val="24"/>
        </w:rPr>
        <w:t>Non-</w:t>
      </w:r>
      <w:r w:rsidRPr="00D831EC">
        <w:rPr>
          <w:b/>
          <w:sz w:val="24"/>
          <w:szCs w:val="24"/>
        </w:rPr>
        <w:t>kliniske sikkerhedsdata</w:t>
      </w:r>
    </w:p>
    <w:p w14:paraId="384A93A6" w14:textId="3F0021D0" w:rsidR="00D831EC" w:rsidRPr="00D831EC" w:rsidRDefault="00D831EC" w:rsidP="00D831EC">
      <w:pPr>
        <w:ind w:left="851"/>
        <w:rPr>
          <w:sz w:val="24"/>
          <w:szCs w:val="24"/>
        </w:rPr>
      </w:pPr>
      <w:r w:rsidRPr="00D831EC">
        <w:rPr>
          <w:sz w:val="24"/>
          <w:szCs w:val="24"/>
        </w:rPr>
        <w:t xml:space="preserve">Der er ikke udført non-kliniske studier med Ringer-laktat </w:t>
      </w:r>
      <w:r w:rsidR="007B2E23">
        <w:rPr>
          <w:sz w:val="24"/>
          <w:szCs w:val="24"/>
        </w:rPr>
        <w:t>"Noridem"</w:t>
      </w:r>
      <w:r w:rsidRPr="00D831EC">
        <w:rPr>
          <w:sz w:val="24"/>
          <w:szCs w:val="24"/>
        </w:rPr>
        <w:t xml:space="preserve">, da dets aktive stoffer </w:t>
      </w:r>
      <w:bookmarkStart w:id="9" w:name="_Hlk201592035"/>
      <w:r w:rsidRPr="00D831EC">
        <w:rPr>
          <w:sz w:val="24"/>
          <w:szCs w:val="24"/>
        </w:rPr>
        <w:t>er fysiologiske komponenter i animalsk og humant plasma</w:t>
      </w:r>
      <w:bookmarkEnd w:id="9"/>
      <w:r w:rsidRPr="00D831EC">
        <w:rPr>
          <w:sz w:val="24"/>
          <w:szCs w:val="24"/>
        </w:rPr>
        <w:t>. Der foreligger kun begrænsede non-kliniske data om de enkelte aktive stoffer. Disse begrænsede data indikerer ikke særlige risici for mennesker ved anvendelse i terapeutiske doser.</w:t>
      </w:r>
    </w:p>
    <w:p w14:paraId="3892BAE3" w14:textId="77777777" w:rsidR="009260DE" w:rsidRPr="00D831EC" w:rsidRDefault="009260DE" w:rsidP="00D831EC">
      <w:pPr>
        <w:ind w:left="851"/>
        <w:rPr>
          <w:sz w:val="24"/>
          <w:szCs w:val="24"/>
        </w:rPr>
      </w:pPr>
    </w:p>
    <w:p w14:paraId="701878FE" w14:textId="77777777" w:rsidR="009260DE" w:rsidRPr="00D831EC" w:rsidRDefault="009260DE" w:rsidP="009260DE">
      <w:pPr>
        <w:tabs>
          <w:tab w:val="left" w:pos="851"/>
        </w:tabs>
        <w:ind w:left="851"/>
        <w:rPr>
          <w:sz w:val="24"/>
          <w:szCs w:val="24"/>
        </w:rPr>
      </w:pPr>
    </w:p>
    <w:p w14:paraId="75E6A301" w14:textId="77777777" w:rsidR="009260DE" w:rsidRPr="00D831EC" w:rsidRDefault="009260DE" w:rsidP="009260DE">
      <w:pPr>
        <w:tabs>
          <w:tab w:val="left" w:pos="851"/>
        </w:tabs>
        <w:ind w:left="851" w:hanging="851"/>
        <w:rPr>
          <w:b/>
          <w:sz w:val="24"/>
          <w:szCs w:val="24"/>
        </w:rPr>
      </w:pPr>
      <w:r w:rsidRPr="00D831EC">
        <w:rPr>
          <w:b/>
          <w:sz w:val="24"/>
          <w:szCs w:val="24"/>
        </w:rPr>
        <w:t>6.</w:t>
      </w:r>
      <w:r w:rsidRPr="00D831EC">
        <w:rPr>
          <w:b/>
          <w:sz w:val="24"/>
          <w:szCs w:val="24"/>
        </w:rPr>
        <w:tab/>
        <w:t>FARMACEUTISKE OPLYSNINGER</w:t>
      </w:r>
    </w:p>
    <w:p w14:paraId="2C084B96" w14:textId="77777777" w:rsidR="009260DE" w:rsidRPr="00D831EC" w:rsidRDefault="009260DE" w:rsidP="009260DE">
      <w:pPr>
        <w:tabs>
          <w:tab w:val="left" w:pos="851"/>
        </w:tabs>
        <w:ind w:left="851"/>
        <w:rPr>
          <w:sz w:val="24"/>
          <w:szCs w:val="24"/>
        </w:rPr>
      </w:pPr>
    </w:p>
    <w:p w14:paraId="55487476" w14:textId="77777777" w:rsidR="009260DE" w:rsidRPr="00D831EC" w:rsidRDefault="009260DE" w:rsidP="009260DE">
      <w:pPr>
        <w:tabs>
          <w:tab w:val="left" w:pos="851"/>
        </w:tabs>
        <w:ind w:left="851" w:hanging="851"/>
        <w:rPr>
          <w:b/>
          <w:sz w:val="24"/>
          <w:szCs w:val="24"/>
        </w:rPr>
      </w:pPr>
      <w:r w:rsidRPr="00D831EC">
        <w:rPr>
          <w:b/>
          <w:sz w:val="24"/>
          <w:szCs w:val="24"/>
        </w:rPr>
        <w:t>6.1</w:t>
      </w:r>
      <w:r w:rsidRPr="00D831EC">
        <w:rPr>
          <w:b/>
          <w:sz w:val="24"/>
          <w:szCs w:val="24"/>
        </w:rPr>
        <w:tab/>
        <w:t>Hjælpestoffer</w:t>
      </w:r>
    </w:p>
    <w:p w14:paraId="2D8F4AE4" w14:textId="77777777" w:rsidR="00D831EC" w:rsidRPr="00D831EC" w:rsidRDefault="00D831EC" w:rsidP="00D831EC">
      <w:pPr>
        <w:ind w:left="851"/>
        <w:rPr>
          <w:sz w:val="24"/>
          <w:szCs w:val="24"/>
        </w:rPr>
      </w:pPr>
      <w:r w:rsidRPr="00D831EC">
        <w:rPr>
          <w:sz w:val="24"/>
          <w:szCs w:val="24"/>
        </w:rPr>
        <w:t>Vand til injektionsvæsker</w:t>
      </w:r>
    </w:p>
    <w:p w14:paraId="7CAE90A8" w14:textId="77777777" w:rsidR="009260DE" w:rsidRPr="00D831EC" w:rsidRDefault="009260DE" w:rsidP="009260DE">
      <w:pPr>
        <w:tabs>
          <w:tab w:val="left" w:pos="851"/>
        </w:tabs>
        <w:ind w:left="851"/>
        <w:rPr>
          <w:sz w:val="24"/>
          <w:szCs w:val="24"/>
        </w:rPr>
      </w:pPr>
    </w:p>
    <w:p w14:paraId="4FF070B8" w14:textId="77777777" w:rsidR="009260DE" w:rsidRPr="00D831EC" w:rsidRDefault="009260DE" w:rsidP="009260DE">
      <w:pPr>
        <w:tabs>
          <w:tab w:val="left" w:pos="851"/>
        </w:tabs>
        <w:ind w:left="851" w:hanging="851"/>
        <w:rPr>
          <w:b/>
          <w:sz w:val="24"/>
          <w:szCs w:val="24"/>
        </w:rPr>
      </w:pPr>
      <w:r w:rsidRPr="00D831EC">
        <w:rPr>
          <w:b/>
          <w:sz w:val="24"/>
          <w:szCs w:val="24"/>
        </w:rPr>
        <w:t>6.2</w:t>
      </w:r>
      <w:r w:rsidRPr="00D831EC">
        <w:rPr>
          <w:b/>
          <w:sz w:val="24"/>
          <w:szCs w:val="24"/>
        </w:rPr>
        <w:tab/>
        <w:t>Uforligeligheder</w:t>
      </w:r>
    </w:p>
    <w:p w14:paraId="4B51AEAD" w14:textId="30BF418F" w:rsidR="00D831EC" w:rsidRPr="00D831EC" w:rsidRDefault="00D831EC" w:rsidP="00D831EC">
      <w:pPr>
        <w:ind w:left="851"/>
        <w:rPr>
          <w:sz w:val="24"/>
          <w:szCs w:val="24"/>
        </w:rPr>
      </w:pPr>
      <w:r w:rsidRPr="00D831EC">
        <w:rPr>
          <w:sz w:val="24"/>
          <w:szCs w:val="24"/>
        </w:rPr>
        <w:t xml:space="preserve">Ceftriaxone må ikke blandes med calciumholdige opløsninger, herunder Ringer-laktat </w:t>
      </w:r>
      <w:r w:rsidR="007B2E23">
        <w:rPr>
          <w:sz w:val="24"/>
          <w:szCs w:val="24"/>
        </w:rPr>
        <w:t>"Noridem"</w:t>
      </w:r>
      <w:r w:rsidRPr="00D831EC">
        <w:rPr>
          <w:sz w:val="24"/>
          <w:szCs w:val="24"/>
        </w:rPr>
        <w:t>. Se også pkt. 4.3, 4.4 og 4.5.</w:t>
      </w:r>
    </w:p>
    <w:p w14:paraId="17A6F8DE" w14:textId="77777777" w:rsidR="00D831EC" w:rsidRPr="00D831EC" w:rsidRDefault="00D831EC" w:rsidP="00D831EC">
      <w:pPr>
        <w:ind w:left="851"/>
        <w:rPr>
          <w:sz w:val="24"/>
          <w:szCs w:val="24"/>
        </w:rPr>
      </w:pPr>
    </w:p>
    <w:p w14:paraId="7BA62434" w14:textId="77777777" w:rsidR="00D831EC" w:rsidRPr="00D831EC" w:rsidRDefault="00D831EC" w:rsidP="00D831EC">
      <w:pPr>
        <w:ind w:left="851"/>
        <w:rPr>
          <w:sz w:val="24"/>
          <w:szCs w:val="24"/>
        </w:rPr>
      </w:pPr>
      <w:r w:rsidRPr="00D831EC">
        <w:rPr>
          <w:sz w:val="24"/>
          <w:szCs w:val="24"/>
        </w:rPr>
        <w:t>Der foreligger fysisk-kemisk uforligelighed med visse antibiotika ved intravenøs administration: chlortetracycline, amphotericin B, oxytetracycline. Tilsætningsstoffer, der er kendt eller fastslået som uforligelige, må ikke anvendes</w:t>
      </w:r>
    </w:p>
    <w:p w14:paraId="2FC7CAA4" w14:textId="77777777" w:rsidR="00D831EC" w:rsidRPr="00D831EC" w:rsidRDefault="00D831EC" w:rsidP="00D831EC">
      <w:pPr>
        <w:ind w:left="851"/>
        <w:rPr>
          <w:sz w:val="24"/>
          <w:szCs w:val="24"/>
        </w:rPr>
      </w:pPr>
    </w:p>
    <w:p w14:paraId="1EB5B0D9" w14:textId="77777777" w:rsidR="00D831EC" w:rsidRPr="00D831EC" w:rsidRDefault="00D831EC" w:rsidP="00D831EC">
      <w:pPr>
        <w:ind w:left="851"/>
        <w:rPr>
          <w:sz w:val="24"/>
          <w:szCs w:val="24"/>
        </w:rPr>
      </w:pPr>
      <w:r w:rsidRPr="00D831EC">
        <w:rPr>
          <w:sz w:val="24"/>
          <w:szCs w:val="24"/>
        </w:rPr>
        <w:t>I mangel af kompatibilitetsstudier må dette lægemiddel ikke blandes med andre lægemidler.</w:t>
      </w:r>
    </w:p>
    <w:p w14:paraId="51F1193E" w14:textId="77777777" w:rsidR="009260DE" w:rsidRPr="00D831EC" w:rsidRDefault="009260DE" w:rsidP="009260DE">
      <w:pPr>
        <w:tabs>
          <w:tab w:val="left" w:pos="851"/>
        </w:tabs>
        <w:ind w:left="851"/>
        <w:rPr>
          <w:sz w:val="24"/>
          <w:szCs w:val="24"/>
        </w:rPr>
      </w:pPr>
    </w:p>
    <w:p w14:paraId="29623BE9" w14:textId="77777777" w:rsidR="009260DE" w:rsidRPr="00D831EC" w:rsidRDefault="009260DE" w:rsidP="009260DE">
      <w:pPr>
        <w:tabs>
          <w:tab w:val="left" w:pos="851"/>
        </w:tabs>
        <w:ind w:left="851" w:hanging="851"/>
        <w:rPr>
          <w:b/>
          <w:sz w:val="24"/>
          <w:szCs w:val="24"/>
        </w:rPr>
      </w:pPr>
      <w:r w:rsidRPr="00D831EC">
        <w:rPr>
          <w:b/>
          <w:sz w:val="24"/>
          <w:szCs w:val="24"/>
        </w:rPr>
        <w:t>6.3</w:t>
      </w:r>
      <w:r w:rsidRPr="00D831EC">
        <w:rPr>
          <w:b/>
          <w:sz w:val="24"/>
          <w:szCs w:val="24"/>
        </w:rPr>
        <w:tab/>
        <w:t>Opbevaringstid</w:t>
      </w:r>
    </w:p>
    <w:p w14:paraId="3FFB789F" w14:textId="40A39398" w:rsidR="00D831EC" w:rsidRPr="00D831EC" w:rsidRDefault="00D831EC" w:rsidP="00AC2EF7">
      <w:pPr>
        <w:tabs>
          <w:tab w:val="left" w:pos="3119"/>
        </w:tabs>
        <w:ind w:left="851"/>
        <w:rPr>
          <w:sz w:val="24"/>
          <w:szCs w:val="24"/>
        </w:rPr>
      </w:pPr>
      <w:r w:rsidRPr="00D831EC">
        <w:rPr>
          <w:sz w:val="24"/>
          <w:szCs w:val="24"/>
        </w:rPr>
        <w:t xml:space="preserve">Flasker: </w:t>
      </w:r>
      <w:r w:rsidR="00AC2EF7">
        <w:rPr>
          <w:sz w:val="24"/>
          <w:szCs w:val="24"/>
        </w:rPr>
        <w:tab/>
      </w:r>
      <w:r w:rsidRPr="00D831EC">
        <w:rPr>
          <w:sz w:val="24"/>
          <w:szCs w:val="24"/>
        </w:rPr>
        <w:t>3 år</w:t>
      </w:r>
    </w:p>
    <w:p w14:paraId="2D4F3EC9" w14:textId="162FBE48" w:rsidR="00D831EC" w:rsidRPr="00D831EC" w:rsidRDefault="00D831EC" w:rsidP="00AC2EF7">
      <w:pPr>
        <w:tabs>
          <w:tab w:val="left" w:pos="3119"/>
        </w:tabs>
        <w:ind w:left="851"/>
        <w:rPr>
          <w:sz w:val="24"/>
          <w:szCs w:val="24"/>
        </w:rPr>
      </w:pPr>
      <w:r w:rsidRPr="00D831EC">
        <w:rPr>
          <w:sz w:val="24"/>
          <w:szCs w:val="24"/>
        </w:rPr>
        <w:t xml:space="preserve">Poser 1000 ml: </w:t>
      </w:r>
      <w:r w:rsidR="00AC2EF7">
        <w:rPr>
          <w:sz w:val="24"/>
          <w:szCs w:val="24"/>
        </w:rPr>
        <w:tab/>
      </w:r>
      <w:r w:rsidRPr="00D831EC">
        <w:rPr>
          <w:sz w:val="24"/>
          <w:szCs w:val="24"/>
        </w:rPr>
        <w:t>3 år</w:t>
      </w:r>
    </w:p>
    <w:p w14:paraId="54286263" w14:textId="48CA5BC7" w:rsidR="00D831EC" w:rsidRPr="00D831EC" w:rsidRDefault="00D831EC" w:rsidP="00AC2EF7">
      <w:pPr>
        <w:tabs>
          <w:tab w:val="left" w:pos="3119"/>
        </w:tabs>
        <w:ind w:left="851"/>
        <w:rPr>
          <w:sz w:val="24"/>
          <w:szCs w:val="24"/>
        </w:rPr>
      </w:pPr>
      <w:r w:rsidRPr="00D831EC">
        <w:rPr>
          <w:sz w:val="24"/>
          <w:szCs w:val="24"/>
        </w:rPr>
        <w:t>Poser 250 ml, 500 ml:</w:t>
      </w:r>
      <w:r w:rsidR="00AC2EF7">
        <w:rPr>
          <w:sz w:val="24"/>
          <w:szCs w:val="24"/>
        </w:rPr>
        <w:tab/>
      </w:r>
      <w:r w:rsidRPr="00D831EC">
        <w:rPr>
          <w:sz w:val="24"/>
          <w:szCs w:val="24"/>
        </w:rPr>
        <w:t>30 måneder</w:t>
      </w:r>
    </w:p>
    <w:p w14:paraId="2C5340BD" w14:textId="77777777" w:rsidR="00D831EC" w:rsidRPr="00D831EC" w:rsidRDefault="00D831EC" w:rsidP="00D831EC">
      <w:pPr>
        <w:ind w:left="851"/>
        <w:rPr>
          <w:sz w:val="24"/>
          <w:szCs w:val="24"/>
        </w:rPr>
      </w:pPr>
    </w:p>
    <w:p w14:paraId="10E76529" w14:textId="77777777" w:rsidR="00D831EC" w:rsidRPr="00D831EC" w:rsidRDefault="00D831EC" w:rsidP="00D831EC">
      <w:pPr>
        <w:ind w:left="851"/>
        <w:rPr>
          <w:sz w:val="24"/>
          <w:szCs w:val="24"/>
        </w:rPr>
      </w:pPr>
      <w:r w:rsidRPr="00D831EC">
        <w:rPr>
          <w:sz w:val="24"/>
          <w:szCs w:val="24"/>
        </w:rPr>
        <w:t xml:space="preserve">Ud fra et mikrobiologisk synspunkt skal produktet anvendes straks, medmindre åbningsmetoden udelukker risikoen for mikrobiel kontaminering. Hvis produktet ikke anvendes straks, er opbevaringstider og -forhold under brug brugerens ansvar. </w:t>
      </w:r>
    </w:p>
    <w:p w14:paraId="1B0A502E" w14:textId="77777777" w:rsidR="009260DE" w:rsidRPr="00D831EC" w:rsidRDefault="009260DE" w:rsidP="009260DE">
      <w:pPr>
        <w:tabs>
          <w:tab w:val="left" w:pos="851"/>
        </w:tabs>
        <w:ind w:left="851"/>
        <w:rPr>
          <w:sz w:val="24"/>
          <w:szCs w:val="24"/>
        </w:rPr>
      </w:pPr>
    </w:p>
    <w:p w14:paraId="75B2A94F" w14:textId="77777777" w:rsidR="009260DE" w:rsidRPr="00D831EC" w:rsidRDefault="009260DE" w:rsidP="009260DE">
      <w:pPr>
        <w:tabs>
          <w:tab w:val="left" w:pos="851"/>
        </w:tabs>
        <w:ind w:left="851" w:hanging="851"/>
        <w:rPr>
          <w:b/>
          <w:sz w:val="24"/>
          <w:szCs w:val="24"/>
        </w:rPr>
      </w:pPr>
      <w:r w:rsidRPr="00D831EC">
        <w:rPr>
          <w:b/>
          <w:sz w:val="24"/>
          <w:szCs w:val="24"/>
        </w:rPr>
        <w:t>6.4</w:t>
      </w:r>
      <w:r w:rsidRPr="00D831EC">
        <w:rPr>
          <w:b/>
          <w:sz w:val="24"/>
          <w:szCs w:val="24"/>
        </w:rPr>
        <w:tab/>
        <w:t>Særlige opbevaringsforhold</w:t>
      </w:r>
    </w:p>
    <w:p w14:paraId="7F160B09" w14:textId="77777777" w:rsidR="00D831EC" w:rsidRPr="00D831EC" w:rsidRDefault="00D831EC" w:rsidP="00D831EC">
      <w:pPr>
        <w:ind w:left="851"/>
        <w:rPr>
          <w:sz w:val="24"/>
          <w:szCs w:val="24"/>
        </w:rPr>
      </w:pPr>
      <w:r w:rsidRPr="00D831EC">
        <w:rPr>
          <w:sz w:val="24"/>
          <w:szCs w:val="24"/>
        </w:rPr>
        <w:t>Dette lægemiddel kræver ingen særlige opbevaringsforhold.</w:t>
      </w:r>
    </w:p>
    <w:p w14:paraId="07363F00" w14:textId="77777777" w:rsidR="009260DE" w:rsidRPr="00D831EC" w:rsidRDefault="009260DE" w:rsidP="009260DE">
      <w:pPr>
        <w:tabs>
          <w:tab w:val="left" w:pos="851"/>
        </w:tabs>
        <w:ind w:left="851"/>
        <w:rPr>
          <w:sz w:val="24"/>
          <w:szCs w:val="24"/>
        </w:rPr>
      </w:pPr>
    </w:p>
    <w:p w14:paraId="471B9773" w14:textId="77777777" w:rsidR="009260DE" w:rsidRPr="00D831EC" w:rsidRDefault="009260DE" w:rsidP="009260DE">
      <w:pPr>
        <w:tabs>
          <w:tab w:val="left" w:pos="851"/>
        </w:tabs>
        <w:ind w:left="851" w:hanging="851"/>
        <w:rPr>
          <w:b/>
          <w:sz w:val="24"/>
          <w:szCs w:val="24"/>
        </w:rPr>
      </w:pPr>
      <w:r w:rsidRPr="00D831EC">
        <w:rPr>
          <w:b/>
          <w:sz w:val="24"/>
          <w:szCs w:val="24"/>
        </w:rPr>
        <w:t>6.5</w:t>
      </w:r>
      <w:r w:rsidRPr="00D831EC">
        <w:rPr>
          <w:b/>
          <w:sz w:val="24"/>
          <w:szCs w:val="24"/>
        </w:rPr>
        <w:tab/>
        <w:t>Emballagetype og pakningsstørrelser</w:t>
      </w:r>
    </w:p>
    <w:p w14:paraId="705B255D" w14:textId="77777777" w:rsidR="00D831EC" w:rsidRPr="00D831EC" w:rsidRDefault="00D831EC" w:rsidP="00D831EC">
      <w:pPr>
        <w:ind w:left="851"/>
        <w:rPr>
          <w:sz w:val="24"/>
          <w:szCs w:val="24"/>
        </w:rPr>
      </w:pPr>
      <w:r w:rsidRPr="00D831EC">
        <w:rPr>
          <w:sz w:val="24"/>
          <w:szCs w:val="24"/>
        </w:rPr>
        <w:t xml:space="preserve">Transparente infusionsflasker af polypropylen, forseglet med enten en støbt plastikhætte med gummipakning og trækring (enkeltport) eller med en plastikhætte med indlejrede elastomerer (dobbeltport). </w:t>
      </w:r>
    </w:p>
    <w:p w14:paraId="73B547BC" w14:textId="3159174E" w:rsidR="00D831EC" w:rsidRPr="00D831EC" w:rsidRDefault="00D831EC" w:rsidP="00D831EC">
      <w:pPr>
        <w:ind w:left="851"/>
        <w:rPr>
          <w:sz w:val="24"/>
          <w:szCs w:val="24"/>
        </w:rPr>
      </w:pPr>
      <w:r w:rsidRPr="00D831EC">
        <w:rPr>
          <w:sz w:val="24"/>
          <w:szCs w:val="24"/>
        </w:rPr>
        <w:t xml:space="preserve">Pakningsstørrelser på 20 </w:t>
      </w:r>
      <w:r w:rsidR="00AC2EF7">
        <w:rPr>
          <w:sz w:val="24"/>
          <w:szCs w:val="24"/>
        </w:rPr>
        <w:t>×</w:t>
      </w:r>
      <w:r w:rsidRPr="00D831EC">
        <w:rPr>
          <w:sz w:val="24"/>
          <w:szCs w:val="24"/>
        </w:rPr>
        <w:t xml:space="preserve"> 250 ml, 20 </w:t>
      </w:r>
      <w:r w:rsidR="00AC2EF7" w:rsidRPr="00AC2EF7">
        <w:rPr>
          <w:sz w:val="24"/>
          <w:szCs w:val="24"/>
        </w:rPr>
        <w:t>×</w:t>
      </w:r>
      <w:r w:rsidRPr="00D831EC">
        <w:rPr>
          <w:sz w:val="24"/>
          <w:szCs w:val="24"/>
        </w:rPr>
        <w:t xml:space="preserve"> 500 ml, 10 </w:t>
      </w:r>
      <w:r w:rsidR="00AC2EF7" w:rsidRPr="00AC2EF7">
        <w:rPr>
          <w:sz w:val="24"/>
          <w:szCs w:val="24"/>
        </w:rPr>
        <w:t>×</w:t>
      </w:r>
      <w:r w:rsidRPr="00D831EC">
        <w:rPr>
          <w:sz w:val="24"/>
          <w:szCs w:val="24"/>
        </w:rPr>
        <w:t xml:space="preserve"> 1000 ml. </w:t>
      </w:r>
    </w:p>
    <w:p w14:paraId="0C8DE751" w14:textId="77777777" w:rsidR="00D831EC" w:rsidRPr="00D831EC" w:rsidRDefault="00D831EC" w:rsidP="00D831EC">
      <w:pPr>
        <w:ind w:left="851"/>
        <w:rPr>
          <w:sz w:val="24"/>
          <w:szCs w:val="24"/>
        </w:rPr>
      </w:pPr>
    </w:p>
    <w:p w14:paraId="3AEFD72F" w14:textId="77777777" w:rsidR="00D831EC" w:rsidRPr="00D831EC" w:rsidRDefault="00D831EC" w:rsidP="00D831EC">
      <w:pPr>
        <w:ind w:left="851"/>
        <w:rPr>
          <w:sz w:val="24"/>
          <w:szCs w:val="24"/>
        </w:rPr>
      </w:pPr>
      <w:r w:rsidRPr="00D831EC">
        <w:rPr>
          <w:sz w:val="24"/>
          <w:szCs w:val="24"/>
        </w:rPr>
        <w:t xml:space="preserve">Infusionsposer af polypropylen forsynet med 2 polypropylenrør forseglet med en aftagelig polyethylenport og en injektionsport af polycarbonat med hætte. Hver polypropylenpose er yderemballeret i en gennemsigtig plastoverpose. </w:t>
      </w:r>
    </w:p>
    <w:p w14:paraId="1E1EE7DD" w14:textId="1E74EA65" w:rsidR="00D831EC" w:rsidRPr="00D831EC" w:rsidRDefault="00D831EC" w:rsidP="00D831EC">
      <w:pPr>
        <w:ind w:left="851"/>
        <w:rPr>
          <w:sz w:val="24"/>
          <w:szCs w:val="24"/>
        </w:rPr>
      </w:pPr>
      <w:r w:rsidRPr="00D831EC">
        <w:rPr>
          <w:sz w:val="24"/>
          <w:szCs w:val="24"/>
        </w:rPr>
        <w:t xml:space="preserve">Pakninger med 25 </w:t>
      </w:r>
      <w:r w:rsidR="00AC2EF7" w:rsidRPr="00AC2EF7">
        <w:rPr>
          <w:sz w:val="24"/>
          <w:szCs w:val="24"/>
        </w:rPr>
        <w:t>×</w:t>
      </w:r>
      <w:r w:rsidRPr="00D831EC">
        <w:rPr>
          <w:sz w:val="24"/>
          <w:szCs w:val="24"/>
        </w:rPr>
        <w:t xml:space="preserve"> 250 ml, 20 </w:t>
      </w:r>
      <w:r w:rsidR="00AC2EF7" w:rsidRPr="00AC2EF7">
        <w:rPr>
          <w:sz w:val="24"/>
          <w:szCs w:val="24"/>
        </w:rPr>
        <w:t>×</w:t>
      </w:r>
      <w:r w:rsidRPr="00D831EC">
        <w:rPr>
          <w:sz w:val="24"/>
          <w:szCs w:val="24"/>
        </w:rPr>
        <w:t xml:space="preserve"> 500 ml, 10 </w:t>
      </w:r>
      <w:r w:rsidR="00AC2EF7" w:rsidRPr="00AC2EF7">
        <w:rPr>
          <w:sz w:val="24"/>
          <w:szCs w:val="24"/>
        </w:rPr>
        <w:t>×</w:t>
      </w:r>
      <w:r w:rsidRPr="00D831EC">
        <w:rPr>
          <w:sz w:val="24"/>
          <w:szCs w:val="24"/>
        </w:rPr>
        <w:t xml:space="preserve"> 1000 ml </w:t>
      </w:r>
    </w:p>
    <w:p w14:paraId="22B1CF32" w14:textId="77777777" w:rsidR="00D831EC" w:rsidRPr="00D831EC" w:rsidRDefault="00D831EC" w:rsidP="00D831EC">
      <w:pPr>
        <w:ind w:left="851"/>
        <w:rPr>
          <w:sz w:val="24"/>
          <w:szCs w:val="24"/>
        </w:rPr>
      </w:pPr>
    </w:p>
    <w:p w14:paraId="1A6676B3" w14:textId="77777777" w:rsidR="00D831EC" w:rsidRPr="00D831EC" w:rsidRDefault="00D831EC" w:rsidP="00D831EC">
      <w:pPr>
        <w:ind w:left="851"/>
        <w:rPr>
          <w:sz w:val="24"/>
          <w:szCs w:val="24"/>
        </w:rPr>
      </w:pPr>
      <w:r w:rsidRPr="00D831EC">
        <w:rPr>
          <w:sz w:val="24"/>
          <w:szCs w:val="24"/>
        </w:rPr>
        <w:t>Ikke alle pakningsstørrelser er nødvendigvis markedsført.</w:t>
      </w:r>
    </w:p>
    <w:p w14:paraId="492F253E" w14:textId="77777777" w:rsidR="009260DE" w:rsidRPr="00D831EC" w:rsidRDefault="009260DE" w:rsidP="009260DE">
      <w:pPr>
        <w:tabs>
          <w:tab w:val="left" w:pos="851"/>
        </w:tabs>
        <w:ind w:left="851"/>
        <w:rPr>
          <w:sz w:val="24"/>
          <w:szCs w:val="24"/>
        </w:rPr>
      </w:pPr>
    </w:p>
    <w:p w14:paraId="30B48E9F" w14:textId="77777777" w:rsidR="009260DE" w:rsidRPr="00D831EC" w:rsidRDefault="009260DE" w:rsidP="009260DE">
      <w:pPr>
        <w:tabs>
          <w:tab w:val="left" w:pos="851"/>
        </w:tabs>
        <w:ind w:left="851" w:hanging="851"/>
        <w:rPr>
          <w:b/>
          <w:sz w:val="24"/>
          <w:szCs w:val="24"/>
        </w:rPr>
      </w:pPr>
      <w:r w:rsidRPr="00D831EC">
        <w:rPr>
          <w:b/>
          <w:sz w:val="24"/>
          <w:szCs w:val="24"/>
        </w:rPr>
        <w:t>6.6</w:t>
      </w:r>
      <w:r w:rsidRPr="00D831EC">
        <w:rPr>
          <w:b/>
          <w:sz w:val="24"/>
          <w:szCs w:val="24"/>
        </w:rPr>
        <w:tab/>
        <w:t xml:space="preserve">Regler for </w:t>
      </w:r>
      <w:r w:rsidR="00BD7931" w:rsidRPr="00D831EC">
        <w:rPr>
          <w:b/>
          <w:sz w:val="24"/>
          <w:szCs w:val="24"/>
        </w:rPr>
        <w:t>bortskaffelse</w:t>
      </w:r>
      <w:r w:rsidRPr="00D831EC">
        <w:rPr>
          <w:b/>
          <w:sz w:val="24"/>
          <w:szCs w:val="24"/>
        </w:rPr>
        <w:t xml:space="preserve"> og anden håndtering</w:t>
      </w:r>
    </w:p>
    <w:p w14:paraId="3D2B1674" w14:textId="01A12C7B" w:rsidR="00D831EC" w:rsidRPr="00D831EC" w:rsidRDefault="00D831EC" w:rsidP="00D831EC">
      <w:pPr>
        <w:ind w:left="851"/>
        <w:rPr>
          <w:sz w:val="24"/>
          <w:szCs w:val="24"/>
        </w:rPr>
      </w:pPr>
      <w:r w:rsidRPr="00D831EC">
        <w:rPr>
          <w:sz w:val="24"/>
          <w:szCs w:val="24"/>
        </w:rPr>
        <w:t xml:space="preserve">Instruktionerne nedenfor vedrører korrekt udstyr og metode, der skal anvendes ved gennembrydning af hætten på polypropylenflasker (PP) med Ringer-laktat </w:t>
      </w:r>
      <w:r w:rsidR="007B2E23">
        <w:rPr>
          <w:sz w:val="24"/>
          <w:szCs w:val="24"/>
        </w:rPr>
        <w:t>"Noridem"</w:t>
      </w:r>
      <w:r w:rsidRPr="00D831EC">
        <w:rPr>
          <w:sz w:val="24"/>
          <w:szCs w:val="24"/>
        </w:rPr>
        <w:t>:</w:t>
      </w:r>
    </w:p>
    <w:p w14:paraId="39093616" w14:textId="77777777" w:rsidR="00D831EC" w:rsidRPr="00D831EC" w:rsidRDefault="00D831EC" w:rsidP="00AC2EF7">
      <w:pPr>
        <w:numPr>
          <w:ilvl w:val="0"/>
          <w:numId w:val="14"/>
        </w:numPr>
        <w:ind w:left="1276" w:hanging="425"/>
        <w:rPr>
          <w:sz w:val="24"/>
          <w:szCs w:val="24"/>
        </w:rPr>
      </w:pPr>
      <w:r w:rsidRPr="00D831EC">
        <w:rPr>
          <w:sz w:val="24"/>
          <w:szCs w:val="24"/>
        </w:rPr>
        <w:t>Hold om beholderens hals med den ene hånd for at stabilisere beholderen på en vandret, stabil overflade.</w:t>
      </w:r>
    </w:p>
    <w:p w14:paraId="316CAA95" w14:textId="77777777" w:rsidR="00D831EC" w:rsidRPr="00D831EC" w:rsidRDefault="00D831EC" w:rsidP="00AC2EF7">
      <w:pPr>
        <w:numPr>
          <w:ilvl w:val="0"/>
          <w:numId w:val="14"/>
        </w:numPr>
        <w:ind w:left="1276" w:hanging="425"/>
        <w:rPr>
          <w:sz w:val="24"/>
          <w:szCs w:val="24"/>
        </w:rPr>
      </w:pPr>
      <w:r w:rsidRPr="00D831EC">
        <w:rPr>
          <w:sz w:val="24"/>
          <w:szCs w:val="24"/>
        </w:rPr>
        <w:t>Fjern ringen fra beskyttelseshætten.</w:t>
      </w:r>
    </w:p>
    <w:p w14:paraId="30D8DFA3" w14:textId="77777777" w:rsidR="00D831EC" w:rsidRPr="00D831EC" w:rsidRDefault="00D831EC" w:rsidP="00AC2EF7">
      <w:pPr>
        <w:numPr>
          <w:ilvl w:val="0"/>
          <w:numId w:val="14"/>
        </w:numPr>
        <w:ind w:left="1276" w:hanging="425"/>
        <w:rPr>
          <w:sz w:val="24"/>
          <w:szCs w:val="24"/>
        </w:rPr>
      </w:pPr>
      <w:r w:rsidRPr="00D831EC">
        <w:rPr>
          <w:sz w:val="24"/>
          <w:szCs w:val="24"/>
        </w:rPr>
        <w:t>a. Brug en steril hypodermisk engangsnål med en ydre diameter på 0,80</w:t>
      </w:r>
      <w:r w:rsidRPr="00D831EC">
        <w:rPr>
          <w:sz w:val="24"/>
          <w:szCs w:val="24"/>
        </w:rPr>
        <w:noBreakHyphen/>
        <w:t>1,20 mm (18-21G).</w:t>
      </w:r>
    </w:p>
    <w:p w14:paraId="0B082AF6" w14:textId="77777777" w:rsidR="00D831EC" w:rsidRPr="00D831EC" w:rsidRDefault="00D831EC" w:rsidP="00AC2EF7">
      <w:pPr>
        <w:ind w:left="1276"/>
        <w:rPr>
          <w:sz w:val="24"/>
          <w:szCs w:val="24"/>
        </w:rPr>
      </w:pPr>
      <w:r w:rsidRPr="00D831EC">
        <w:rPr>
          <w:sz w:val="24"/>
          <w:szCs w:val="24"/>
        </w:rPr>
        <w:t xml:space="preserve">b. En spike af rustfrit stål eller plast i overensstemmelse med kravene i ISO 15759:2005 er også egnet til gennembrydning af flasken. Spike skal inspiceres før brug. Den skal være skarp og ubeskadiget. En beskadiget spike skal udskiftes. </w:t>
      </w:r>
    </w:p>
    <w:p w14:paraId="5364E26D" w14:textId="77777777" w:rsidR="00D831EC" w:rsidRPr="00D831EC" w:rsidRDefault="00D831EC" w:rsidP="00AC2EF7">
      <w:pPr>
        <w:ind w:left="1276"/>
        <w:rPr>
          <w:sz w:val="24"/>
          <w:szCs w:val="24"/>
        </w:rPr>
      </w:pPr>
      <w:r w:rsidRPr="00D831EC">
        <w:rPr>
          <w:sz w:val="24"/>
          <w:szCs w:val="24"/>
        </w:rPr>
        <w:t>Indfør forsigtigt nålen eller IV-sættets spike (i lodret position i forhold til hætten – 90° vinkel) i gummiseptumet. Indfør ikke nålen for dybt, da indføring af nålen forbi dens ansats vil udvide porten for meget og gøre genforsegling vanskeligere.</w:t>
      </w:r>
    </w:p>
    <w:p w14:paraId="604F5F3D" w14:textId="77777777" w:rsidR="00D831EC" w:rsidRPr="00D831EC" w:rsidRDefault="00D831EC" w:rsidP="00AC2EF7">
      <w:pPr>
        <w:ind w:left="851"/>
        <w:rPr>
          <w:sz w:val="24"/>
          <w:szCs w:val="24"/>
        </w:rPr>
      </w:pPr>
    </w:p>
    <w:p w14:paraId="600599B9" w14:textId="509C20BA" w:rsidR="00D831EC" w:rsidRDefault="00D831EC" w:rsidP="00AC2EF7">
      <w:pPr>
        <w:ind w:left="1418"/>
        <w:rPr>
          <w:sz w:val="24"/>
          <w:szCs w:val="24"/>
        </w:rPr>
      </w:pPr>
      <w:r w:rsidRPr="00D831EC">
        <w:rPr>
          <w:noProof/>
          <w:sz w:val="24"/>
          <w:szCs w:val="24"/>
        </w:rPr>
        <w:drawing>
          <wp:inline distT="0" distB="0" distL="0" distR="0" wp14:anchorId="7C434E98" wp14:editId="3E15CE20">
            <wp:extent cx="2910840" cy="1066800"/>
            <wp:effectExtent l="0" t="0" r="3810" b="0"/>
            <wp:docPr id="1457056372" name="Billede 2" descr="Hvid kontur af en cigaret&#10;&#10;Beskrivelse automatisk genere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vid kontur af en cigaret&#10;&#10;Beskrivelse automatisk genereret"/>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910840" cy="1066800"/>
                    </a:xfrm>
                    <a:prstGeom prst="rect">
                      <a:avLst/>
                    </a:prstGeom>
                    <a:noFill/>
                    <a:ln>
                      <a:noFill/>
                    </a:ln>
                  </pic:spPr>
                </pic:pic>
              </a:graphicData>
            </a:graphic>
          </wp:inline>
        </w:drawing>
      </w:r>
    </w:p>
    <w:p w14:paraId="48A7B98E" w14:textId="77777777" w:rsidR="00AC2EF7" w:rsidRPr="00D831EC" w:rsidRDefault="00AC2EF7" w:rsidP="00AC2EF7">
      <w:pPr>
        <w:ind w:left="1418"/>
        <w:rPr>
          <w:sz w:val="24"/>
          <w:szCs w:val="24"/>
        </w:rPr>
      </w:pPr>
    </w:p>
    <w:p w14:paraId="51E743FE" w14:textId="77777777" w:rsidR="00D831EC" w:rsidRPr="00D831EC" w:rsidRDefault="00D831EC" w:rsidP="00AC2EF7">
      <w:pPr>
        <w:numPr>
          <w:ilvl w:val="0"/>
          <w:numId w:val="14"/>
        </w:numPr>
        <w:ind w:left="1276" w:hanging="425"/>
        <w:rPr>
          <w:sz w:val="24"/>
          <w:szCs w:val="24"/>
        </w:rPr>
      </w:pPr>
      <w:r w:rsidRPr="00D831EC">
        <w:rPr>
          <w:sz w:val="24"/>
          <w:szCs w:val="24"/>
        </w:rPr>
        <w:t>Undgå at rotere spiken ved gennembrydning af porten. Der må kun udføres ét gennembrydningsforsøg på hver port i flasken.</w:t>
      </w:r>
    </w:p>
    <w:p w14:paraId="302855CB" w14:textId="77777777" w:rsidR="00D831EC" w:rsidRPr="00D831EC" w:rsidRDefault="00D831EC" w:rsidP="00AC2EF7">
      <w:pPr>
        <w:numPr>
          <w:ilvl w:val="0"/>
          <w:numId w:val="14"/>
        </w:numPr>
        <w:ind w:left="1276" w:hanging="425"/>
        <w:rPr>
          <w:sz w:val="24"/>
          <w:szCs w:val="24"/>
        </w:rPr>
      </w:pPr>
      <w:r w:rsidRPr="00D831EC">
        <w:rPr>
          <w:sz w:val="24"/>
          <w:szCs w:val="24"/>
        </w:rPr>
        <w:t>Det anbefales at anvende IV-sæt udstyret med filter i overensstemmelse med kravene i ISO 15759:2005. For korrekt flow af opløsningen er et IV-sæt med luftventil nødvendigt.</w:t>
      </w:r>
    </w:p>
    <w:p w14:paraId="16702384" w14:textId="77777777" w:rsidR="00D831EC" w:rsidRPr="00D831EC" w:rsidRDefault="00D831EC" w:rsidP="00AC2EF7">
      <w:pPr>
        <w:numPr>
          <w:ilvl w:val="0"/>
          <w:numId w:val="14"/>
        </w:numPr>
        <w:ind w:left="1276" w:hanging="425"/>
        <w:rPr>
          <w:sz w:val="24"/>
          <w:szCs w:val="24"/>
        </w:rPr>
      </w:pPr>
      <w:r w:rsidRPr="00D831EC">
        <w:rPr>
          <w:sz w:val="24"/>
          <w:szCs w:val="24"/>
        </w:rPr>
        <w:t>Infusionsvæsken skal inspiceres omhyggeligt visuelt og må ikke administreres, hvis der er synlige partikler. Anvend kun klare opløsninger i intakte beholdere.</w:t>
      </w:r>
    </w:p>
    <w:p w14:paraId="670F3F77" w14:textId="77777777" w:rsidR="00D831EC" w:rsidRPr="00D831EC" w:rsidRDefault="00D831EC" w:rsidP="00D831EC">
      <w:pPr>
        <w:ind w:left="851"/>
        <w:rPr>
          <w:sz w:val="24"/>
          <w:szCs w:val="24"/>
        </w:rPr>
      </w:pPr>
    </w:p>
    <w:p w14:paraId="4F02A121" w14:textId="77777777" w:rsidR="00D831EC" w:rsidRPr="00D831EC" w:rsidRDefault="00D831EC" w:rsidP="00D831EC">
      <w:pPr>
        <w:ind w:left="851"/>
        <w:rPr>
          <w:sz w:val="24"/>
          <w:szCs w:val="24"/>
        </w:rPr>
      </w:pPr>
      <w:r w:rsidRPr="00D831EC">
        <w:rPr>
          <w:sz w:val="24"/>
          <w:szCs w:val="24"/>
        </w:rPr>
        <w:t>Se pkt. 4.2 for information om administrationsmåde.</w:t>
      </w:r>
    </w:p>
    <w:p w14:paraId="32EC5438" w14:textId="77777777" w:rsidR="00D831EC" w:rsidRPr="00D831EC" w:rsidRDefault="00D831EC" w:rsidP="00D831EC">
      <w:pPr>
        <w:ind w:left="851"/>
        <w:rPr>
          <w:sz w:val="24"/>
          <w:szCs w:val="24"/>
        </w:rPr>
      </w:pPr>
    </w:p>
    <w:p w14:paraId="2F67AB08" w14:textId="77777777" w:rsidR="00D831EC" w:rsidRPr="00D831EC" w:rsidRDefault="00D831EC" w:rsidP="00D831EC">
      <w:pPr>
        <w:ind w:left="851"/>
        <w:rPr>
          <w:sz w:val="24"/>
          <w:szCs w:val="24"/>
        </w:rPr>
      </w:pPr>
      <w:r w:rsidRPr="00D831EC">
        <w:rPr>
          <w:sz w:val="24"/>
          <w:szCs w:val="24"/>
        </w:rPr>
        <w:t>Infusionsvæske, opløsningen skal inspiceres visuelt før brug.</w:t>
      </w:r>
    </w:p>
    <w:p w14:paraId="37191EB5" w14:textId="77777777" w:rsidR="00D831EC" w:rsidRPr="00D831EC" w:rsidRDefault="00D831EC" w:rsidP="00D831EC">
      <w:pPr>
        <w:ind w:left="851"/>
        <w:rPr>
          <w:sz w:val="24"/>
          <w:szCs w:val="24"/>
        </w:rPr>
      </w:pPr>
      <w:r w:rsidRPr="00D831EC">
        <w:rPr>
          <w:sz w:val="24"/>
          <w:szCs w:val="24"/>
        </w:rPr>
        <w:t>Anvend kun, hvis opløsningen er klar, fri for synlige partikler, og emballagen er intakt. Administrer straks efter tilslutning til infusionssættet.</w:t>
      </w:r>
    </w:p>
    <w:p w14:paraId="59BBE68F" w14:textId="77777777" w:rsidR="00D831EC" w:rsidRPr="00D831EC" w:rsidRDefault="00D831EC" w:rsidP="00D831EC">
      <w:pPr>
        <w:ind w:left="851"/>
        <w:rPr>
          <w:sz w:val="24"/>
          <w:szCs w:val="24"/>
        </w:rPr>
      </w:pPr>
    </w:p>
    <w:p w14:paraId="1888EFDE" w14:textId="77777777" w:rsidR="00D831EC" w:rsidRPr="00D831EC" w:rsidRDefault="00D831EC" w:rsidP="00D831EC">
      <w:pPr>
        <w:ind w:left="851"/>
        <w:rPr>
          <w:sz w:val="24"/>
          <w:szCs w:val="24"/>
        </w:rPr>
      </w:pPr>
      <w:r w:rsidRPr="00D831EC">
        <w:rPr>
          <w:sz w:val="24"/>
          <w:szCs w:val="24"/>
        </w:rPr>
        <w:t>Plastbeholdere må ikke anvendes i seriekoblinger. Sådan anvendelse kan medføre luftemboli på grund af restluft, der trækkes fra den primære beholder, før administrationen af væsken fra den sekundære beholder er afsluttet. Tryksætning af intravenøse opløsninger i fleksible plastbeholdere for at øge flowhastigheden kan medføre luftemboli, hvis restluften i beholderen ikke er fuldstændigt fjernet før administration.</w:t>
      </w:r>
    </w:p>
    <w:p w14:paraId="5866CB0C" w14:textId="77777777" w:rsidR="00D831EC" w:rsidRPr="00D831EC" w:rsidRDefault="00D831EC" w:rsidP="00D831EC">
      <w:pPr>
        <w:ind w:left="851"/>
        <w:rPr>
          <w:sz w:val="24"/>
          <w:szCs w:val="24"/>
        </w:rPr>
      </w:pPr>
    </w:p>
    <w:p w14:paraId="7A887C6C" w14:textId="77777777" w:rsidR="00D831EC" w:rsidRPr="00D831EC" w:rsidRDefault="00D831EC" w:rsidP="00D831EC">
      <w:pPr>
        <w:ind w:left="851"/>
        <w:rPr>
          <w:sz w:val="24"/>
          <w:szCs w:val="24"/>
        </w:rPr>
      </w:pPr>
      <w:r w:rsidRPr="00D831EC">
        <w:rPr>
          <w:sz w:val="24"/>
          <w:szCs w:val="24"/>
        </w:rPr>
        <w:t>Anvendelse af et ventileret intravenøst administrationssæt med ventilen i åben position kan medføre luftemboli.</w:t>
      </w:r>
    </w:p>
    <w:p w14:paraId="611A3F1B" w14:textId="77777777" w:rsidR="00D831EC" w:rsidRPr="00D831EC" w:rsidRDefault="00D831EC" w:rsidP="00D831EC">
      <w:pPr>
        <w:ind w:left="851"/>
        <w:rPr>
          <w:sz w:val="24"/>
          <w:szCs w:val="24"/>
        </w:rPr>
      </w:pPr>
      <w:r w:rsidRPr="00D831EC">
        <w:rPr>
          <w:sz w:val="24"/>
          <w:szCs w:val="24"/>
        </w:rPr>
        <w:t>Ventilerede intravenøse administrationssæt med ventilen i åben position må ikke anvendes med fleksible plastbeholdere.</w:t>
      </w:r>
    </w:p>
    <w:p w14:paraId="46F3E306" w14:textId="77777777" w:rsidR="00D831EC" w:rsidRPr="00D831EC" w:rsidRDefault="00D831EC" w:rsidP="00D831EC">
      <w:pPr>
        <w:ind w:left="851"/>
        <w:rPr>
          <w:sz w:val="24"/>
          <w:szCs w:val="24"/>
        </w:rPr>
      </w:pPr>
      <w:r w:rsidRPr="00D831EC">
        <w:rPr>
          <w:sz w:val="24"/>
          <w:szCs w:val="24"/>
        </w:rPr>
        <w:t>Opløsningen skal administreres aseptisk ved brug af sterilt udstyr. For at forhindre luft i at trænge ind i systemet skal udstyret fyldes med opløsningen.</w:t>
      </w:r>
    </w:p>
    <w:p w14:paraId="15592C75" w14:textId="77777777" w:rsidR="00D831EC" w:rsidRPr="00D831EC" w:rsidRDefault="00D831EC" w:rsidP="00D831EC">
      <w:pPr>
        <w:ind w:left="851"/>
        <w:rPr>
          <w:sz w:val="24"/>
          <w:szCs w:val="24"/>
        </w:rPr>
      </w:pPr>
    </w:p>
    <w:p w14:paraId="190B3EBA" w14:textId="77777777" w:rsidR="00D831EC" w:rsidRPr="00D831EC" w:rsidRDefault="00D831EC" w:rsidP="00D831EC">
      <w:pPr>
        <w:ind w:left="851"/>
        <w:rPr>
          <w:sz w:val="24"/>
          <w:szCs w:val="24"/>
        </w:rPr>
      </w:pPr>
      <w:r w:rsidRPr="00D831EC">
        <w:rPr>
          <w:sz w:val="24"/>
          <w:szCs w:val="24"/>
        </w:rPr>
        <w:t>Tilsætning af andre lægemidler eller anvendelse af forkert administrationsteknik kan medføre feberreaktioner på grund af mulig introduktion af pyrogener. Ved en bivirkning skal infusionen stoppes øjeblikkeligt.</w:t>
      </w:r>
    </w:p>
    <w:p w14:paraId="5F721E37" w14:textId="77777777" w:rsidR="00D831EC" w:rsidRPr="00D831EC" w:rsidRDefault="00D831EC" w:rsidP="00D831EC">
      <w:pPr>
        <w:ind w:left="851"/>
        <w:rPr>
          <w:sz w:val="24"/>
          <w:szCs w:val="24"/>
        </w:rPr>
      </w:pPr>
    </w:p>
    <w:p w14:paraId="37FE0A1C" w14:textId="77777777" w:rsidR="00D831EC" w:rsidRPr="00D831EC" w:rsidRDefault="00D831EC" w:rsidP="00D831EC">
      <w:pPr>
        <w:ind w:left="851"/>
        <w:rPr>
          <w:sz w:val="24"/>
          <w:szCs w:val="24"/>
        </w:rPr>
      </w:pPr>
      <w:r w:rsidRPr="00D831EC">
        <w:rPr>
          <w:sz w:val="24"/>
          <w:szCs w:val="24"/>
        </w:rPr>
        <w:t>Kun til engangsbrug.</w:t>
      </w:r>
    </w:p>
    <w:p w14:paraId="27D69DC1" w14:textId="77777777" w:rsidR="00D831EC" w:rsidRPr="00D831EC" w:rsidRDefault="00D831EC" w:rsidP="00D831EC">
      <w:pPr>
        <w:ind w:left="851"/>
        <w:rPr>
          <w:sz w:val="24"/>
          <w:szCs w:val="24"/>
        </w:rPr>
      </w:pPr>
    </w:p>
    <w:p w14:paraId="6F6EB6D3" w14:textId="77777777" w:rsidR="00D831EC" w:rsidRPr="00D831EC" w:rsidRDefault="00D831EC" w:rsidP="00D831EC">
      <w:pPr>
        <w:ind w:left="851"/>
        <w:rPr>
          <w:sz w:val="24"/>
          <w:szCs w:val="24"/>
        </w:rPr>
      </w:pPr>
      <w:r w:rsidRPr="00D831EC">
        <w:rPr>
          <w:sz w:val="24"/>
          <w:szCs w:val="24"/>
        </w:rPr>
        <w:t>Ikke anvendt lægemiddel samt affaldsmateriale skal bortskaffes i henhold til lokale krav.</w:t>
      </w:r>
    </w:p>
    <w:p w14:paraId="0568A1F6" w14:textId="77777777" w:rsidR="00D831EC" w:rsidRPr="00D831EC" w:rsidRDefault="00D831EC" w:rsidP="00D831EC">
      <w:pPr>
        <w:ind w:left="851"/>
        <w:rPr>
          <w:sz w:val="24"/>
          <w:szCs w:val="24"/>
        </w:rPr>
      </w:pPr>
    </w:p>
    <w:p w14:paraId="1A19FDA9" w14:textId="77777777" w:rsidR="00D831EC" w:rsidRPr="00D831EC" w:rsidRDefault="00D831EC" w:rsidP="00D831EC">
      <w:pPr>
        <w:ind w:left="851"/>
        <w:rPr>
          <w:sz w:val="24"/>
          <w:szCs w:val="24"/>
        </w:rPr>
      </w:pPr>
      <w:r w:rsidRPr="00D831EC">
        <w:rPr>
          <w:sz w:val="24"/>
          <w:szCs w:val="24"/>
        </w:rPr>
        <w:t>Delvist anvendte poser må ikke tilsluttes igen.</w:t>
      </w:r>
    </w:p>
    <w:p w14:paraId="628541BB" w14:textId="77777777" w:rsidR="009260DE" w:rsidRPr="00D831EC" w:rsidRDefault="009260DE" w:rsidP="000730CA">
      <w:pPr>
        <w:tabs>
          <w:tab w:val="left" w:pos="851"/>
        </w:tabs>
        <w:ind w:left="851"/>
        <w:rPr>
          <w:sz w:val="24"/>
          <w:szCs w:val="24"/>
        </w:rPr>
      </w:pPr>
    </w:p>
    <w:p w14:paraId="2D379C2B" w14:textId="77777777" w:rsidR="009260DE" w:rsidRPr="00D831EC" w:rsidRDefault="009260DE" w:rsidP="009260DE">
      <w:pPr>
        <w:tabs>
          <w:tab w:val="left" w:pos="851"/>
        </w:tabs>
        <w:ind w:left="851" w:hanging="851"/>
        <w:rPr>
          <w:b/>
          <w:sz w:val="24"/>
          <w:szCs w:val="24"/>
        </w:rPr>
      </w:pPr>
      <w:r w:rsidRPr="00D831EC">
        <w:rPr>
          <w:b/>
          <w:sz w:val="24"/>
          <w:szCs w:val="24"/>
        </w:rPr>
        <w:t>7.</w:t>
      </w:r>
      <w:r w:rsidRPr="00D831EC">
        <w:rPr>
          <w:b/>
          <w:sz w:val="24"/>
          <w:szCs w:val="24"/>
        </w:rPr>
        <w:tab/>
        <w:t>INDEHAVER AF MARKEDSFØRINGSTILLADELSEN</w:t>
      </w:r>
    </w:p>
    <w:p w14:paraId="178BBBCB" w14:textId="77777777" w:rsidR="00D831EC" w:rsidRPr="00D831EC" w:rsidRDefault="00D831EC" w:rsidP="00D831EC">
      <w:pPr>
        <w:ind w:left="851"/>
        <w:rPr>
          <w:sz w:val="24"/>
          <w:szCs w:val="24"/>
        </w:rPr>
      </w:pPr>
      <w:r w:rsidRPr="00D831EC">
        <w:rPr>
          <w:sz w:val="24"/>
          <w:szCs w:val="24"/>
        </w:rPr>
        <w:t>Noridem Enterprises Limited,</w:t>
      </w:r>
    </w:p>
    <w:p w14:paraId="66B020A7" w14:textId="77777777" w:rsidR="00D831EC" w:rsidRPr="00D831EC" w:rsidRDefault="00D831EC" w:rsidP="00D831EC">
      <w:pPr>
        <w:ind w:left="851"/>
        <w:rPr>
          <w:sz w:val="24"/>
          <w:szCs w:val="24"/>
          <w:lang w:val="en-GB"/>
        </w:rPr>
      </w:pPr>
      <w:r w:rsidRPr="00D831EC">
        <w:rPr>
          <w:sz w:val="24"/>
          <w:szCs w:val="24"/>
          <w:lang w:val="en-GB"/>
        </w:rPr>
        <w:t>Evagorou &amp; Markariou,</w:t>
      </w:r>
    </w:p>
    <w:p w14:paraId="0DE19291" w14:textId="77777777" w:rsidR="00D831EC" w:rsidRPr="00D831EC" w:rsidRDefault="00D831EC" w:rsidP="00D831EC">
      <w:pPr>
        <w:ind w:left="851"/>
        <w:rPr>
          <w:sz w:val="24"/>
          <w:szCs w:val="24"/>
          <w:lang w:val="en-GB"/>
        </w:rPr>
      </w:pPr>
      <w:r w:rsidRPr="00D831EC">
        <w:rPr>
          <w:sz w:val="24"/>
          <w:szCs w:val="24"/>
          <w:lang w:val="en-GB"/>
        </w:rPr>
        <w:t>Mitsi Building 3, Office 115,</w:t>
      </w:r>
    </w:p>
    <w:p w14:paraId="21C08DBC" w14:textId="77777777" w:rsidR="00D831EC" w:rsidRPr="00D831EC" w:rsidRDefault="00D831EC" w:rsidP="00D831EC">
      <w:pPr>
        <w:ind w:left="851"/>
        <w:rPr>
          <w:sz w:val="24"/>
          <w:szCs w:val="24"/>
          <w:lang w:val="en-US"/>
        </w:rPr>
      </w:pPr>
      <w:r w:rsidRPr="00D831EC">
        <w:rPr>
          <w:sz w:val="24"/>
          <w:szCs w:val="24"/>
          <w:lang w:val="en-US"/>
        </w:rPr>
        <w:t>1065 Nicosia,</w:t>
      </w:r>
    </w:p>
    <w:p w14:paraId="730A1C97" w14:textId="77777777" w:rsidR="00D831EC" w:rsidRPr="00D831EC" w:rsidRDefault="00D831EC" w:rsidP="00D831EC">
      <w:pPr>
        <w:ind w:left="851"/>
        <w:rPr>
          <w:sz w:val="24"/>
          <w:szCs w:val="24"/>
          <w:lang w:val="en-US"/>
        </w:rPr>
      </w:pPr>
      <w:r w:rsidRPr="00D831EC">
        <w:rPr>
          <w:sz w:val="24"/>
          <w:szCs w:val="24"/>
          <w:lang w:val="en-US"/>
        </w:rPr>
        <w:t>Cypern</w:t>
      </w:r>
    </w:p>
    <w:p w14:paraId="407D0286" w14:textId="77777777" w:rsidR="009260DE" w:rsidRPr="00D831EC" w:rsidRDefault="009260DE" w:rsidP="00D831EC">
      <w:pPr>
        <w:ind w:left="851"/>
        <w:rPr>
          <w:sz w:val="24"/>
          <w:szCs w:val="24"/>
          <w:lang w:val="en-US"/>
        </w:rPr>
      </w:pPr>
    </w:p>
    <w:p w14:paraId="16D6A06E" w14:textId="77777777" w:rsidR="00641C65" w:rsidRPr="00D831EC" w:rsidRDefault="00641C65" w:rsidP="00D831EC">
      <w:pPr>
        <w:ind w:left="851"/>
        <w:rPr>
          <w:sz w:val="24"/>
          <w:szCs w:val="24"/>
          <w:lang w:val="en-US"/>
        </w:rPr>
      </w:pPr>
      <w:r w:rsidRPr="00D831EC">
        <w:rPr>
          <w:b/>
          <w:sz w:val="24"/>
          <w:szCs w:val="24"/>
          <w:lang w:val="en-US"/>
        </w:rPr>
        <w:t>Repræsentant</w:t>
      </w:r>
    </w:p>
    <w:p w14:paraId="5DC861B9" w14:textId="77777777" w:rsidR="00D831EC" w:rsidRPr="00D831EC" w:rsidRDefault="00D831EC" w:rsidP="00D831EC">
      <w:pPr>
        <w:ind w:left="851"/>
        <w:rPr>
          <w:sz w:val="24"/>
          <w:szCs w:val="24"/>
          <w:lang w:val="en-US"/>
        </w:rPr>
      </w:pPr>
      <w:r w:rsidRPr="00D831EC">
        <w:rPr>
          <w:sz w:val="24"/>
          <w:szCs w:val="24"/>
          <w:lang w:val="en-US"/>
        </w:rPr>
        <w:t>FrostPharma AB</w:t>
      </w:r>
    </w:p>
    <w:p w14:paraId="6B59D297" w14:textId="77777777" w:rsidR="00D831EC" w:rsidRPr="00D831EC" w:rsidRDefault="00D831EC" w:rsidP="00D831EC">
      <w:pPr>
        <w:ind w:left="851"/>
        <w:rPr>
          <w:sz w:val="24"/>
          <w:szCs w:val="24"/>
          <w:lang w:val="en-US"/>
        </w:rPr>
      </w:pPr>
      <w:r w:rsidRPr="00D831EC">
        <w:rPr>
          <w:sz w:val="24"/>
          <w:szCs w:val="24"/>
          <w:lang w:val="en-US"/>
        </w:rPr>
        <w:t>Berga Backe 2</w:t>
      </w:r>
    </w:p>
    <w:p w14:paraId="6FF0E9A2" w14:textId="77777777" w:rsidR="00D831EC" w:rsidRPr="00D831EC" w:rsidRDefault="00D831EC" w:rsidP="00D831EC">
      <w:pPr>
        <w:ind w:left="851"/>
        <w:rPr>
          <w:sz w:val="24"/>
          <w:szCs w:val="24"/>
        </w:rPr>
      </w:pPr>
      <w:r w:rsidRPr="00D831EC">
        <w:rPr>
          <w:sz w:val="24"/>
          <w:szCs w:val="24"/>
        </w:rPr>
        <w:t>182 53 Danderyd</w:t>
      </w:r>
    </w:p>
    <w:p w14:paraId="083FD295" w14:textId="77777777" w:rsidR="00D831EC" w:rsidRPr="00D831EC" w:rsidRDefault="00D831EC" w:rsidP="00D831EC">
      <w:pPr>
        <w:ind w:left="851"/>
        <w:rPr>
          <w:sz w:val="24"/>
          <w:szCs w:val="24"/>
        </w:rPr>
      </w:pPr>
      <w:r w:rsidRPr="00D831EC">
        <w:rPr>
          <w:sz w:val="24"/>
          <w:szCs w:val="24"/>
        </w:rPr>
        <w:t>Sverige</w:t>
      </w:r>
    </w:p>
    <w:p w14:paraId="0D4F621D" w14:textId="77777777" w:rsidR="00641C65" w:rsidRPr="00D831EC" w:rsidRDefault="00641C65" w:rsidP="009260DE">
      <w:pPr>
        <w:tabs>
          <w:tab w:val="left" w:pos="851"/>
        </w:tabs>
        <w:ind w:left="851"/>
        <w:rPr>
          <w:sz w:val="24"/>
          <w:szCs w:val="24"/>
        </w:rPr>
      </w:pPr>
    </w:p>
    <w:p w14:paraId="3973984D" w14:textId="77777777" w:rsidR="009260DE" w:rsidRPr="00D831EC" w:rsidRDefault="009260DE" w:rsidP="009260DE">
      <w:pPr>
        <w:tabs>
          <w:tab w:val="left" w:pos="851"/>
        </w:tabs>
        <w:ind w:left="851" w:hanging="851"/>
        <w:rPr>
          <w:b/>
          <w:sz w:val="24"/>
          <w:szCs w:val="24"/>
        </w:rPr>
      </w:pPr>
      <w:r w:rsidRPr="00D831EC">
        <w:rPr>
          <w:b/>
          <w:sz w:val="24"/>
          <w:szCs w:val="24"/>
        </w:rPr>
        <w:t>8.</w:t>
      </w:r>
      <w:r w:rsidRPr="00D831EC">
        <w:rPr>
          <w:b/>
          <w:sz w:val="24"/>
          <w:szCs w:val="24"/>
        </w:rPr>
        <w:tab/>
        <w:t>MARKEDSFØRINGSTILLADELSESNUMMER (</w:t>
      </w:r>
      <w:r w:rsidR="00BF6243" w:rsidRPr="00D831EC">
        <w:rPr>
          <w:b/>
          <w:sz w:val="24"/>
          <w:szCs w:val="24"/>
        </w:rPr>
        <w:t>-</w:t>
      </w:r>
      <w:r w:rsidRPr="00D831EC">
        <w:rPr>
          <w:b/>
          <w:sz w:val="24"/>
          <w:szCs w:val="24"/>
        </w:rPr>
        <w:t>NUMRE)</w:t>
      </w:r>
    </w:p>
    <w:p w14:paraId="22A68A6E" w14:textId="70C1AB1B" w:rsidR="009260DE" w:rsidRPr="00D831EC" w:rsidRDefault="00D831EC" w:rsidP="009260DE">
      <w:pPr>
        <w:tabs>
          <w:tab w:val="left" w:pos="851"/>
        </w:tabs>
        <w:ind w:left="851"/>
        <w:rPr>
          <w:sz w:val="24"/>
          <w:szCs w:val="24"/>
        </w:rPr>
      </w:pPr>
      <w:r w:rsidRPr="00D831EC">
        <w:rPr>
          <w:sz w:val="24"/>
          <w:szCs w:val="24"/>
        </w:rPr>
        <w:t>72603</w:t>
      </w:r>
    </w:p>
    <w:p w14:paraId="6A196A3C" w14:textId="77777777" w:rsidR="009260DE" w:rsidRPr="00D831EC" w:rsidRDefault="009260DE" w:rsidP="009260DE">
      <w:pPr>
        <w:tabs>
          <w:tab w:val="left" w:pos="851"/>
        </w:tabs>
        <w:ind w:left="851"/>
        <w:jc w:val="both"/>
        <w:rPr>
          <w:sz w:val="24"/>
          <w:szCs w:val="24"/>
        </w:rPr>
      </w:pPr>
    </w:p>
    <w:p w14:paraId="6C0D7C8D" w14:textId="77777777" w:rsidR="009260DE" w:rsidRPr="00D831EC" w:rsidRDefault="009260DE" w:rsidP="009260DE">
      <w:pPr>
        <w:tabs>
          <w:tab w:val="left" w:pos="851"/>
        </w:tabs>
        <w:ind w:left="851" w:hanging="851"/>
        <w:rPr>
          <w:b/>
          <w:sz w:val="24"/>
          <w:szCs w:val="24"/>
        </w:rPr>
      </w:pPr>
      <w:r w:rsidRPr="00D831EC">
        <w:rPr>
          <w:b/>
          <w:sz w:val="24"/>
          <w:szCs w:val="24"/>
        </w:rPr>
        <w:t>9.</w:t>
      </w:r>
      <w:r w:rsidRPr="00D831EC">
        <w:rPr>
          <w:b/>
          <w:sz w:val="24"/>
          <w:szCs w:val="24"/>
        </w:rPr>
        <w:tab/>
        <w:t>DATO FOR FØRSTE MARKEDSFØRINGSTILLADELSE</w:t>
      </w:r>
    </w:p>
    <w:p w14:paraId="5C70179F" w14:textId="2B8F9362" w:rsidR="009260DE" w:rsidRPr="00D831EC" w:rsidRDefault="007B2E23" w:rsidP="009260DE">
      <w:pPr>
        <w:tabs>
          <w:tab w:val="left" w:pos="851"/>
        </w:tabs>
        <w:ind w:left="851"/>
        <w:rPr>
          <w:sz w:val="24"/>
          <w:szCs w:val="24"/>
        </w:rPr>
      </w:pPr>
      <w:r>
        <w:rPr>
          <w:sz w:val="24"/>
          <w:szCs w:val="24"/>
        </w:rPr>
        <w:t>17. juli 2026</w:t>
      </w:r>
    </w:p>
    <w:p w14:paraId="534705E7" w14:textId="77777777" w:rsidR="009260DE" w:rsidRPr="00D831EC" w:rsidRDefault="009260DE" w:rsidP="009260DE">
      <w:pPr>
        <w:tabs>
          <w:tab w:val="left" w:pos="851"/>
        </w:tabs>
        <w:ind w:left="851"/>
        <w:rPr>
          <w:sz w:val="24"/>
          <w:szCs w:val="24"/>
        </w:rPr>
      </w:pPr>
    </w:p>
    <w:p w14:paraId="66BA5245" w14:textId="77777777" w:rsidR="009260DE" w:rsidRPr="00D831EC" w:rsidRDefault="009260DE" w:rsidP="009260DE">
      <w:pPr>
        <w:tabs>
          <w:tab w:val="left" w:pos="851"/>
        </w:tabs>
        <w:ind w:left="851" w:hanging="851"/>
        <w:rPr>
          <w:b/>
          <w:sz w:val="24"/>
          <w:szCs w:val="24"/>
        </w:rPr>
      </w:pPr>
      <w:r w:rsidRPr="00D831EC">
        <w:rPr>
          <w:b/>
          <w:sz w:val="24"/>
          <w:szCs w:val="24"/>
        </w:rPr>
        <w:t>10.</w:t>
      </w:r>
      <w:r w:rsidRPr="00D831EC">
        <w:rPr>
          <w:b/>
          <w:sz w:val="24"/>
          <w:szCs w:val="24"/>
        </w:rPr>
        <w:tab/>
        <w:t>DATO FOR ÆNDRING AF TEKSTEN</w:t>
      </w:r>
    </w:p>
    <w:p w14:paraId="14F31BBA" w14:textId="2AFCABCF" w:rsidR="009260DE" w:rsidRPr="00D831EC" w:rsidRDefault="00D831EC" w:rsidP="009260DE">
      <w:pPr>
        <w:tabs>
          <w:tab w:val="left" w:pos="851"/>
        </w:tabs>
        <w:ind w:left="851"/>
        <w:rPr>
          <w:sz w:val="24"/>
          <w:szCs w:val="24"/>
        </w:rPr>
      </w:pPr>
      <w:r w:rsidRPr="00D831EC">
        <w:rPr>
          <w:sz w:val="24"/>
          <w:szCs w:val="24"/>
        </w:rPr>
        <w:t>-</w:t>
      </w:r>
    </w:p>
    <w:sectPr w:rsidR="009260DE" w:rsidRPr="00D831EC" w:rsidSect="000259B9">
      <w:footerReference w:type="default" r:id="rId11"/>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4953" w14:textId="77777777" w:rsidR="00B4397F" w:rsidRDefault="00B4397F">
      <w:r>
        <w:separator/>
      </w:r>
    </w:p>
  </w:endnote>
  <w:endnote w:type="continuationSeparator" w:id="0">
    <w:p w14:paraId="3F58865C" w14:textId="77777777" w:rsidR="00B4397F" w:rsidRDefault="00B4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6E50" w14:textId="77777777" w:rsidR="000259B9" w:rsidRDefault="000259B9">
    <w:pPr>
      <w:pStyle w:val="Sidefod"/>
      <w:pBdr>
        <w:bottom w:val="single" w:sz="6" w:space="1" w:color="auto"/>
      </w:pBdr>
    </w:pPr>
  </w:p>
  <w:p w14:paraId="1467DBF7" w14:textId="77777777" w:rsidR="000259B9" w:rsidRDefault="000259B9" w:rsidP="00C42586">
    <w:pPr>
      <w:pStyle w:val="Sidefod"/>
      <w:tabs>
        <w:tab w:val="clear" w:pos="4819"/>
        <w:tab w:val="left" w:pos="8505"/>
      </w:tabs>
      <w:rPr>
        <w:i/>
        <w:sz w:val="18"/>
        <w:szCs w:val="18"/>
      </w:rPr>
    </w:pPr>
  </w:p>
  <w:p w14:paraId="6F6E5198" w14:textId="59F211E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457CF8">
      <w:rPr>
        <w:i/>
        <w:noProof/>
        <w:sz w:val="18"/>
        <w:szCs w:val="18"/>
      </w:rPr>
      <w:t>Ringer-laktat Noridem, infusionsvæske, opløsning 6,00+0,40+0,27+3,20 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C85B" w14:textId="77777777" w:rsidR="00B4397F" w:rsidRDefault="00B4397F">
      <w:r>
        <w:separator/>
      </w:r>
    </w:p>
  </w:footnote>
  <w:footnote w:type="continuationSeparator" w:id="0">
    <w:p w14:paraId="1FC0EE4D" w14:textId="77777777" w:rsidR="00B4397F" w:rsidRDefault="00B4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06CD"/>
    <w:multiLevelType w:val="hybridMultilevel"/>
    <w:tmpl w:val="4C4A3530"/>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 w15:restartNumberingAfterBreak="0">
    <w:nsid w:val="1270771D"/>
    <w:multiLevelType w:val="hybridMultilevel"/>
    <w:tmpl w:val="AB66FB4E"/>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60547F5"/>
    <w:multiLevelType w:val="hybridMultilevel"/>
    <w:tmpl w:val="C8D8C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43134B"/>
    <w:multiLevelType w:val="hybridMultilevel"/>
    <w:tmpl w:val="B56EC5C8"/>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32C57AE4"/>
    <w:multiLevelType w:val="multilevel"/>
    <w:tmpl w:val="3E640F92"/>
    <w:lvl w:ilvl="0">
      <w:start w:val="1"/>
      <w:numFmt w:val="decimal"/>
      <w:lvlText w:val="%1."/>
      <w:lvlJc w:val="left"/>
      <w:pPr>
        <w:ind w:left="719" w:hanging="567"/>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719" w:hanging="567"/>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65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475" w:hanging="425"/>
      </w:pPr>
      <w:rPr>
        <w:lang w:val="en-US" w:eastAsia="en-US" w:bidi="ar-SA"/>
      </w:rPr>
    </w:lvl>
    <w:lvl w:ilvl="4">
      <w:numFmt w:val="bullet"/>
      <w:lvlText w:val="•"/>
      <w:lvlJc w:val="left"/>
      <w:pPr>
        <w:ind w:left="4394" w:hanging="425"/>
      </w:pPr>
      <w:rPr>
        <w:lang w:val="en-US" w:eastAsia="en-US" w:bidi="ar-SA"/>
      </w:rPr>
    </w:lvl>
    <w:lvl w:ilvl="5">
      <w:numFmt w:val="bullet"/>
      <w:lvlText w:val="•"/>
      <w:lvlJc w:val="left"/>
      <w:pPr>
        <w:ind w:left="5313" w:hanging="425"/>
      </w:pPr>
      <w:rPr>
        <w:lang w:val="en-US" w:eastAsia="en-US" w:bidi="ar-SA"/>
      </w:rPr>
    </w:lvl>
    <w:lvl w:ilvl="6">
      <w:numFmt w:val="bullet"/>
      <w:lvlText w:val="•"/>
      <w:lvlJc w:val="left"/>
      <w:pPr>
        <w:ind w:left="6231" w:hanging="425"/>
      </w:pPr>
      <w:rPr>
        <w:lang w:val="en-US" w:eastAsia="en-US" w:bidi="ar-SA"/>
      </w:rPr>
    </w:lvl>
    <w:lvl w:ilvl="7">
      <w:numFmt w:val="bullet"/>
      <w:lvlText w:val="•"/>
      <w:lvlJc w:val="left"/>
      <w:pPr>
        <w:ind w:left="7150" w:hanging="425"/>
      </w:pPr>
      <w:rPr>
        <w:lang w:val="en-US" w:eastAsia="en-US" w:bidi="ar-SA"/>
      </w:rPr>
    </w:lvl>
    <w:lvl w:ilvl="8">
      <w:numFmt w:val="bullet"/>
      <w:lvlText w:val="•"/>
      <w:lvlJc w:val="left"/>
      <w:pPr>
        <w:ind w:left="8069" w:hanging="425"/>
      </w:pPr>
      <w:rPr>
        <w:lang w:val="en-US" w:eastAsia="en-US" w:bidi="ar-SA"/>
      </w:rPr>
    </w:lvl>
  </w:abstractNum>
  <w:abstractNum w:abstractNumId="6"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8"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57410E24"/>
    <w:multiLevelType w:val="hybridMultilevel"/>
    <w:tmpl w:val="79005860"/>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5C1D0E5F"/>
    <w:multiLevelType w:val="hybridMultilevel"/>
    <w:tmpl w:val="2ACE8302"/>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2" w15:restartNumberingAfterBreak="0">
    <w:nsid w:val="5E175A56"/>
    <w:multiLevelType w:val="hybridMultilevel"/>
    <w:tmpl w:val="158E64E2"/>
    <w:lvl w:ilvl="0" w:tplc="041F0005">
      <w:start w:val="1"/>
      <w:numFmt w:val="bullet"/>
      <w:lvlText w:val=""/>
      <w:lvlJc w:val="left"/>
      <w:pPr>
        <w:ind w:left="1217" w:hanging="720"/>
      </w:pPr>
      <w:rPr>
        <w:rFonts w:ascii="Wingdings" w:hAnsi="Wingdings" w:hint="default"/>
        <w:b w:val="0"/>
        <w:bCs w:val="0"/>
        <w:i w:val="0"/>
        <w:iCs w:val="0"/>
        <w:spacing w:val="0"/>
        <w:w w:val="100"/>
        <w:sz w:val="24"/>
        <w:szCs w:val="24"/>
        <w:lang w:val="en-US" w:eastAsia="en-US" w:bidi="ar-SA"/>
      </w:rPr>
    </w:lvl>
    <w:lvl w:ilvl="1" w:tplc="FFFFFFFF">
      <w:numFmt w:val="bullet"/>
      <w:lvlText w:val="•"/>
      <w:lvlJc w:val="left"/>
      <w:pPr>
        <w:ind w:left="2028" w:hanging="720"/>
      </w:pPr>
      <w:rPr>
        <w:lang w:val="en-US" w:eastAsia="en-US" w:bidi="ar-SA"/>
      </w:rPr>
    </w:lvl>
    <w:lvl w:ilvl="2" w:tplc="FFFFFFFF">
      <w:numFmt w:val="bullet"/>
      <w:lvlText w:val="•"/>
      <w:lvlJc w:val="left"/>
      <w:pPr>
        <w:ind w:left="2836" w:hanging="720"/>
      </w:pPr>
      <w:rPr>
        <w:lang w:val="en-US" w:eastAsia="en-US" w:bidi="ar-SA"/>
      </w:rPr>
    </w:lvl>
    <w:lvl w:ilvl="3" w:tplc="FFFFFFFF">
      <w:numFmt w:val="bullet"/>
      <w:lvlText w:val="•"/>
      <w:lvlJc w:val="left"/>
      <w:pPr>
        <w:ind w:left="3644" w:hanging="720"/>
      </w:pPr>
      <w:rPr>
        <w:lang w:val="en-US" w:eastAsia="en-US" w:bidi="ar-SA"/>
      </w:rPr>
    </w:lvl>
    <w:lvl w:ilvl="4" w:tplc="FFFFFFFF">
      <w:numFmt w:val="bullet"/>
      <w:lvlText w:val="•"/>
      <w:lvlJc w:val="left"/>
      <w:pPr>
        <w:ind w:left="4452" w:hanging="720"/>
      </w:pPr>
      <w:rPr>
        <w:lang w:val="en-US" w:eastAsia="en-US" w:bidi="ar-SA"/>
      </w:rPr>
    </w:lvl>
    <w:lvl w:ilvl="5" w:tplc="FFFFFFFF">
      <w:numFmt w:val="bullet"/>
      <w:lvlText w:val="•"/>
      <w:lvlJc w:val="left"/>
      <w:pPr>
        <w:ind w:left="5260" w:hanging="720"/>
      </w:pPr>
      <w:rPr>
        <w:lang w:val="en-US" w:eastAsia="en-US" w:bidi="ar-SA"/>
      </w:rPr>
    </w:lvl>
    <w:lvl w:ilvl="6" w:tplc="FFFFFFFF">
      <w:numFmt w:val="bullet"/>
      <w:lvlText w:val="•"/>
      <w:lvlJc w:val="left"/>
      <w:pPr>
        <w:ind w:left="6068" w:hanging="720"/>
      </w:pPr>
      <w:rPr>
        <w:lang w:val="en-US" w:eastAsia="en-US" w:bidi="ar-SA"/>
      </w:rPr>
    </w:lvl>
    <w:lvl w:ilvl="7" w:tplc="FFFFFFFF">
      <w:numFmt w:val="bullet"/>
      <w:lvlText w:val="•"/>
      <w:lvlJc w:val="left"/>
      <w:pPr>
        <w:ind w:left="6876" w:hanging="720"/>
      </w:pPr>
      <w:rPr>
        <w:lang w:val="en-US" w:eastAsia="en-US" w:bidi="ar-SA"/>
      </w:rPr>
    </w:lvl>
    <w:lvl w:ilvl="8" w:tplc="FFFFFFFF">
      <w:numFmt w:val="bullet"/>
      <w:lvlText w:val="•"/>
      <w:lvlJc w:val="left"/>
      <w:pPr>
        <w:ind w:left="7684" w:hanging="720"/>
      </w:pPr>
      <w:rPr>
        <w:lang w:val="en-US" w:eastAsia="en-US" w:bidi="ar-SA"/>
      </w:rPr>
    </w:lvl>
  </w:abstractNum>
  <w:abstractNum w:abstractNumId="13" w15:restartNumberingAfterBreak="0">
    <w:nsid w:val="6B945CAD"/>
    <w:multiLevelType w:val="hybridMultilevel"/>
    <w:tmpl w:val="37426DD6"/>
    <w:lvl w:ilvl="0" w:tplc="041F0005">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num w:numId="1" w16cid:durableId="204428619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12043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9567707">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4963157">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920176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251824">
    <w:abstractNumId w:val="1"/>
  </w:num>
  <w:num w:numId="7" w16cid:durableId="105821254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2082826815">
    <w:abstractNumId w:val="10"/>
  </w:num>
  <w:num w:numId="9" w16cid:durableId="888228419">
    <w:abstractNumId w:val="0"/>
  </w:num>
  <w:num w:numId="10" w16cid:durableId="440105051">
    <w:abstractNumId w:val="4"/>
  </w:num>
  <w:num w:numId="11" w16cid:durableId="255748036">
    <w:abstractNumId w:val="13"/>
  </w:num>
  <w:num w:numId="12" w16cid:durableId="1663894078">
    <w:abstractNumId w:val="11"/>
  </w:num>
  <w:num w:numId="13" w16cid:durableId="536091590">
    <w:abstractNumId w:val="12"/>
  </w:num>
  <w:num w:numId="14" w16cid:durableId="17369770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7F"/>
    <w:rsid w:val="000259B9"/>
    <w:rsid w:val="00041491"/>
    <w:rsid w:val="00050D16"/>
    <w:rsid w:val="000730CA"/>
    <w:rsid w:val="00074F2A"/>
    <w:rsid w:val="00080EF5"/>
    <w:rsid w:val="000A1CA8"/>
    <w:rsid w:val="000A466B"/>
    <w:rsid w:val="000B058C"/>
    <w:rsid w:val="000D68B0"/>
    <w:rsid w:val="000E4EE6"/>
    <w:rsid w:val="001454E2"/>
    <w:rsid w:val="00203CC0"/>
    <w:rsid w:val="00206CE8"/>
    <w:rsid w:val="0021526C"/>
    <w:rsid w:val="00283A2B"/>
    <w:rsid w:val="002B30AD"/>
    <w:rsid w:val="002C1EC0"/>
    <w:rsid w:val="002C2C01"/>
    <w:rsid w:val="002D64D8"/>
    <w:rsid w:val="003A29AE"/>
    <w:rsid w:val="003A32D7"/>
    <w:rsid w:val="003B4074"/>
    <w:rsid w:val="003C769A"/>
    <w:rsid w:val="003D3A90"/>
    <w:rsid w:val="003F1838"/>
    <w:rsid w:val="004251C1"/>
    <w:rsid w:val="0045746C"/>
    <w:rsid w:val="00457CF8"/>
    <w:rsid w:val="0049104B"/>
    <w:rsid w:val="004E3B12"/>
    <w:rsid w:val="00532310"/>
    <w:rsid w:val="00565F0F"/>
    <w:rsid w:val="00594A86"/>
    <w:rsid w:val="00596D86"/>
    <w:rsid w:val="00637F5A"/>
    <w:rsid w:val="00641C65"/>
    <w:rsid w:val="006560B1"/>
    <w:rsid w:val="006756DD"/>
    <w:rsid w:val="006F5A17"/>
    <w:rsid w:val="0071241E"/>
    <w:rsid w:val="00737275"/>
    <w:rsid w:val="00740EEC"/>
    <w:rsid w:val="0078011A"/>
    <w:rsid w:val="00782AF4"/>
    <w:rsid w:val="00790EE7"/>
    <w:rsid w:val="007B2E23"/>
    <w:rsid w:val="007B6649"/>
    <w:rsid w:val="0082576E"/>
    <w:rsid w:val="0089346F"/>
    <w:rsid w:val="00907F75"/>
    <w:rsid w:val="009260DE"/>
    <w:rsid w:val="0093258A"/>
    <w:rsid w:val="009C7BA3"/>
    <w:rsid w:val="009D1F5A"/>
    <w:rsid w:val="00A10294"/>
    <w:rsid w:val="00AB0C8F"/>
    <w:rsid w:val="00AC2EF7"/>
    <w:rsid w:val="00B003BF"/>
    <w:rsid w:val="00B3004F"/>
    <w:rsid w:val="00B373D7"/>
    <w:rsid w:val="00B4397F"/>
    <w:rsid w:val="00B55271"/>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831EC"/>
    <w:rsid w:val="00D93992"/>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CA86B6"/>
  <w15:chartTrackingRefBased/>
  <w15:docId w15:val="{85518CB1-828A-4194-95F8-4706E277F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D83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831EC"/>
    <w:rPr>
      <w:color w:val="0563C1" w:themeColor="hyperlink"/>
      <w:u w:val="single"/>
    </w:rPr>
  </w:style>
  <w:style w:type="character" w:styleId="Ulstomtale">
    <w:name w:val="Unresolved Mention"/>
    <w:basedOn w:val="Standardskrifttypeiafsnit"/>
    <w:uiPriority w:val="99"/>
    <w:semiHidden/>
    <w:unhideWhenUsed/>
    <w:rsid w:val="00D83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48647">
      <w:bodyDiv w:val="1"/>
      <w:marLeft w:val="0"/>
      <w:marRight w:val="0"/>
      <w:marTop w:val="0"/>
      <w:marBottom w:val="0"/>
      <w:divBdr>
        <w:top w:val="none" w:sz="0" w:space="0" w:color="auto"/>
        <w:left w:val="none" w:sz="0" w:space="0" w:color="auto"/>
        <w:bottom w:val="none" w:sz="0" w:space="0" w:color="auto"/>
        <w:right w:val="none" w:sz="0" w:space="0" w:color="auto"/>
      </w:divBdr>
    </w:div>
    <w:div w:id="59405736">
      <w:bodyDiv w:val="1"/>
      <w:marLeft w:val="0"/>
      <w:marRight w:val="0"/>
      <w:marTop w:val="0"/>
      <w:marBottom w:val="0"/>
      <w:divBdr>
        <w:top w:val="none" w:sz="0" w:space="0" w:color="auto"/>
        <w:left w:val="none" w:sz="0" w:space="0" w:color="auto"/>
        <w:bottom w:val="none" w:sz="0" w:space="0" w:color="auto"/>
        <w:right w:val="none" w:sz="0" w:space="0" w:color="auto"/>
      </w:divBdr>
    </w:div>
    <w:div w:id="77755148">
      <w:bodyDiv w:val="1"/>
      <w:marLeft w:val="0"/>
      <w:marRight w:val="0"/>
      <w:marTop w:val="0"/>
      <w:marBottom w:val="0"/>
      <w:divBdr>
        <w:top w:val="none" w:sz="0" w:space="0" w:color="auto"/>
        <w:left w:val="none" w:sz="0" w:space="0" w:color="auto"/>
        <w:bottom w:val="none" w:sz="0" w:space="0" w:color="auto"/>
        <w:right w:val="none" w:sz="0" w:space="0" w:color="auto"/>
      </w:divBdr>
    </w:div>
    <w:div w:id="88938790">
      <w:bodyDiv w:val="1"/>
      <w:marLeft w:val="0"/>
      <w:marRight w:val="0"/>
      <w:marTop w:val="0"/>
      <w:marBottom w:val="0"/>
      <w:divBdr>
        <w:top w:val="none" w:sz="0" w:space="0" w:color="auto"/>
        <w:left w:val="none" w:sz="0" w:space="0" w:color="auto"/>
        <w:bottom w:val="none" w:sz="0" w:space="0" w:color="auto"/>
        <w:right w:val="none" w:sz="0" w:space="0" w:color="auto"/>
      </w:divBdr>
    </w:div>
    <w:div w:id="12303931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6220474">
      <w:bodyDiv w:val="1"/>
      <w:marLeft w:val="0"/>
      <w:marRight w:val="0"/>
      <w:marTop w:val="0"/>
      <w:marBottom w:val="0"/>
      <w:divBdr>
        <w:top w:val="none" w:sz="0" w:space="0" w:color="auto"/>
        <w:left w:val="none" w:sz="0" w:space="0" w:color="auto"/>
        <w:bottom w:val="none" w:sz="0" w:space="0" w:color="auto"/>
        <w:right w:val="none" w:sz="0" w:space="0" w:color="auto"/>
      </w:divBdr>
    </w:div>
    <w:div w:id="246230564">
      <w:bodyDiv w:val="1"/>
      <w:marLeft w:val="0"/>
      <w:marRight w:val="0"/>
      <w:marTop w:val="0"/>
      <w:marBottom w:val="0"/>
      <w:divBdr>
        <w:top w:val="none" w:sz="0" w:space="0" w:color="auto"/>
        <w:left w:val="none" w:sz="0" w:space="0" w:color="auto"/>
        <w:bottom w:val="none" w:sz="0" w:space="0" w:color="auto"/>
        <w:right w:val="none" w:sz="0" w:space="0" w:color="auto"/>
      </w:divBdr>
    </w:div>
    <w:div w:id="264192874">
      <w:bodyDiv w:val="1"/>
      <w:marLeft w:val="0"/>
      <w:marRight w:val="0"/>
      <w:marTop w:val="0"/>
      <w:marBottom w:val="0"/>
      <w:divBdr>
        <w:top w:val="none" w:sz="0" w:space="0" w:color="auto"/>
        <w:left w:val="none" w:sz="0" w:space="0" w:color="auto"/>
        <w:bottom w:val="none" w:sz="0" w:space="0" w:color="auto"/>
        <w:right w:val="none" w:sz="0" w:space="0" w:color="auto"/>
      </w:divBdr>
    </w:div>
    <w:div w:id="319962327">
      <w:bodyDiv w:val="1"/>
      <w:marLeft w:val="0"/>
      <w:marRight w:val="0"/>
      <w:marTop w:val="0"/>
      <w:marBottom w:val="0"/>
      <w:divBdr>
        <w:top w:val="none" w:sz="0" w:space="0" w:color="auto"/>
        <w:left w:val="none" w:sz="0" w:space="0" w:color="auto"/>
        <w:bottom w:val="none" w:sz="0" w:space="0" w:color="auto"/>
        <w:right w:val="none" w:sz="0" w:space="0" w:color="auto"/>
      </w:divBdr>
    </w:div>
    <w:div w:id="444466910">
      <w:bodyDiv w:val="1"/>
      <w:marLeft w:val="0"/>
      <w:marRight w:val="0"/>
      <w:marTop w:val="0"/>
      <w:marBottom w:val="0"/>
      <w:divBdr>
        <w:top w:val="none" w:sz="0" w:space="0" w:color="auto"/>
        <w:left w:val="none" w:sz="0" w:space="0" w:color="auto"/>
        <w:bottom w:val="none" w:sz="0" w:space="0" w:color="auto"/>
        <w:right w:val="none" w:sz="0" w:space="0" w:color="auto"/>
      </w:divBdr>
    </w:div>
    <w:div w:id="518617294">
      <w:bodyDiv w:val="1"/>
      <w:marLeft w:val="0"/>
      <w:marRight w:val="0"/>
      <w:marTop w:val="0"/>
      <w:marBottom w:val="0"/>
      <w:divBdr>
        <w:top w:val="none" w:sz="0" w:space="0" w:color="auto"/>
        <w:left w:val="none" w:sz="0" w:space="0" w:color="auto"/>
        <w:bottom w:val="none" w:sz="0" w:space="0" w:color="auto"/>
        <w:right w:val="none" w:sz="0" w:space="0" w:color="auto"/>
      </w:divBdr>
    </w:div>
    <w:div w:id="633293695">
      <w:bodyDiv w:val="1"/>
      <w:marLeft w:val="0"/>
      <w:marRight w:val="0"/>
      <w:marTop w:val="0"/>
      <w:marBottom w:val="0"/>
      <w:divBdr>
        <w:top w:val="none" w:sz="0" w:space="0" w:color="auto"/>
        <w:left w:val="none" w:sz="0" w:space="0" w:color="auto"/>
        <w:bottom w:val="none" w:sz="0" w:space="0" w:color="auto"/>
        <w:right w:val="none" w:sz="0" w:space="0" w:color="auto"/>
      </w:divBdr>
    </w:div>
    <w:div w:id="633484132">
      <w:bodyDiv w:val="1"/>
      <w:marLeft w:val="0"/>
      <w:marRight w:val="0"/>
      <w:marTop w:val="0"/>
      <w:marBottom w:val="0"/>
      <w:divBdr>
        <w:top w:val="none" w:sz="0" w:space="0" w:color="auto"/>
        <w:left w:val="none" w:sz="0" w:space="0" w:color="auto"/>
        <w:bottom w:val="none" w:sz="0" w:space="0" w:color="auto"/>
        <w:right w:val="none" w:sz="0" w:space="0" w:color="auto"/>
      </w:divBdr>
    </w:div>
    <w:div w:id="659432019">
      <w:bodyDiv w:val="1"/>
      <w:marLeft w:val="0"/>
      <w:marRight w:val="0"/>
      <w:marTop w:val="0"/>
      <w:marBottom w:val="0"/>
      <w:divBdr>
        <w:top w:val="none" w:sz="0" w:space="0" w:color="auto"/>
        <w:left w:val="none" w:sz="0" w:space="0" w:color="auto"/>
        <w:bottom w:val="none" w:sz="0" w:space="0" w:color="auto"/>
        <w:right w:val="none" w:sz="0" w:space="0" w:color="auto"/>
      </w:divBdr>
    </w:div>
    <w:div w:id="721947840">
      <w:bodyDiv w:val="1"/>
      <w:marLeft w:val="0"/>
      <w:marRight w:val="0"/>
      <w:marTop w:val="0"/>
      <w:marBottom w:val="0"/>
      <w:divBdr>
        <w:top w:val="none" w:sz="0" w:space="0" w:color="auto"/>
        <w:left w:val="none" w:sz="0" w:space="0" w:color="auto"/>
        <w:bottom w:val="none" w:sz="0" w:space="0" w:color="auto"/>
        <w:right w:val="none" w:sz="0" w:space="0" w:color="auto"/>
      </w:divBdr>
    </w:div>
    <w:div w:id="765464805">
      <w:bodyDiv w:val="1"/>
      <w:marLeft w:val="0"/>
      <w:marRight w:val="0"/>
      <w:marTop w:val="0"/>
      <w:marBottom w:val="0"/>
      <w:divBdr>
        <w:top w:val="none" w:sz="0" w:space="0" w:color="auto"/>
        <w:left w:val="none" w:sz="0" w:space="0" w:color="auto"/>
        <w:bottom w:val="none" w:sz="0" w:space="0" w:color="auto"/>
        <w:right w:val="none" w:sz="0" w:space="0" w:color="auto"/>
      </w:divBdr>
    </w:div>
    <w:div w:id="837158010">
      <w:bodyDiv w:val="1"/>
      <w:marLeft w:val="0"/>
      <w:marRight w:val="0"/>
      <w:marTop w:val="0"/>
      <w:marBottom w:val="0"/>
      <w:divBdr>
        <w:top w:val="none" w:sz="0" w:space="0" w:color="auto"/>
        <w:left w:val="none" w:sz="0" w:space="0" w:color="auto"/>
        <w:bottom w:val="none" w:sz="0" w:space="0" w:color="auto"/>
        <w:right w:val="none" w:sz="0" w:space="0" w:color="auto"/>
      </w:divBdr>
    </w:div>
    <w:div w:id="839613310">
      <w:bodyDiv w:val="1"/>
      <w:marLeft w:val="0"/>
      <w:marRight w:val="0"/>
      <w:marTop w:val="0"/>
      <w:marBottom w:val="0"/>
      <w:divBdr>
        <w:top w:val="none" w:sz="0" w:space="0" w:color="auto"/>
        <w:left w:val="none" w:sz="0" w:space="0" w:color="auto"/>
        <w:bottom w:val="none" w:sz="0" w:space="0" w:color="auto"/>
        <w:right w:val="none" w:sz="0" w:space="0" w:color="auto"/>
      </w:divBdr>
    </w:div>
    <w:div w:id="849374277">
      <w:bodyDiv w:val="1"/>
      <w:marLeft w:val="0"/>
      <w:marRight w:val="0"/>
      <w:marTop w:val="0"/>
      <w:marBottom w:val="0"/>
      <w:divBdr>
        <w:top w:val="none" w:sz="0" w:space="0" w:color="auto"/>
        <w:left w:val="none" w:sz="0" w:space="0" w:color="auto"/>
        <w:bottom w:val="none" w:sz="0" w:space="0" w:color="auto"/>
        <w:right w:val="none" w:sz="0" w:space="0" w:color="auto"/>
      </w:divBdr>
    </w:div>
    <w:div w:id="888959384">
      <w:bodyDiv w:val="1"/>
      <w:marLeft w:val="0"/>
      <w:marRight w:val="0"/>
      <w:marTop w:val="0"/>
      <w:marBottom w:val="0"/>
      <w:divBdr>
        <w:top w:val="none" w:sz="0" w:space="0" w:color="auto"/>
        <w:left w:val="none" w:sz="0" w:space="0" w:color="auto"/>
        <w:bottom w:val="none" w:sz="0" w:space="0" w:color="auto"/>
        <w:right w:val="none" w:sz="0" w:space="0" w:color="auto"/>
      </w:divBdr>
    </w:div>
    <w:div w:id="959140777">
      <w:bodyDiv w:val="1"/>
      <w:marLeft w:val="0"/>
      <w:marRight w:val="0"/>
      <w:marTop w:val="0"/>
      <w:marBottom w:val="0"/>
      <w:divBdr>
        <w:top w:val="none" w:sz="0" w:space="0" w:color="auto"/>
        <w:left w:val="none" w:sz="0" w:space="0" w:color="auto"/>
        <w:bottom w:val="none" w:sz="0" w:space="0" w:color="auto"/>
        <w:right w:val="none" w:sz="0" w:space="0" w:color="auto"/>
      </w:divBdr>
    </w:div>
    <w:div w:id="969818469">
      <w:bodyDiv w:val="1"/>
      <w:marLeft w:val="0"/>
      <w:marRight w:val="0"/>
      <w:marTop w:val="0"/>
      <w:marBottom w:val="0"/>
      <w:divBdr>
        <w:top w:val="none" w:sz="0" w:space="0" w:color="auto"/>
        <w:left w:val="none" w:sz="0" w:space="0" w:color="auto"/>
        <w:bottom w:val="none" w:sz="0" w:space="0" w:color="auto"/>
        <w:right w:val="none" w:sz="0" w:space="0" w:color="auto"/>
      </w:divBdr>
    </w:div>
    <w:div w:id="1195921897">
      <w:bodyDiv w:val="1"/>
      <w:marLeft w:val="0"/>
      <w:marRight w:val="0"/>
      <w:marTop w:val="0"/>
      <w:marBottom w:val="0"/>
      <w:divBdr>
        <w:top w:val="none" w:sz="0" w:space="0" w:color="auto"/>
        <w:left w:val="none" w:sz="0" w:space="0" w:color="auto"/>
        <w:bottom w:val="none" w:sz="0" w:space="0" w:color="auto"/>
        <w:right w:val="none" w:sz="0" w:space="0" w:color="auto"/>
      </w:divBdr>
    </w:div>
    <w:div w:id="1253274629">
      <w:bodyDiv w:val="1"/>
      <w:marLeft w:val="0"/>
      <w:marRight w:val="0"/>
      <w:marTop w:val="0"/>
      <w:marBottom w:val="0"/>
      <w:divBdr>
        <w:top w:val="none" w:sz="0" w:space="0" w:color="auto"/>
        <w:left w:val="none" w:sz="0" w:space="0" w:color="auto"/>
        <w:bottom w:val="none" w:sz="0" w:space="0" w:color="auto"/>
        <w:right w:val="none" w:sz="0" w:space="0" w:color="auto"/>
      </w:divBdr>
    </w:div>
    <w:div w:id="1450515500">
      <w:bodyDiv w:val="1"/>
      <w:marLeft w:val="0"/>
      <w:marRight w:val="0"/>
      <w:marTop w:val="0"/>
      <w:marBottom w:val="0"/>
      <w:divBdr>
        <w:top w:val="none" w:sz="0" w:space="0" w:color="auto"/>
        <w:left w:val="none" w:sz="0" w:space="0" w:color="auto"/>
        <w:bottom w:val="none" w:sz="0" w:space="0" w:color="auto"/>
        <w:right w:val="none" w:sz="0" w:space="0" w:color="auto"/>
      </w:divBdr>
    </w:div>
    <w:div w:id="1473600829">
      <w:bodyDiv w:val="1"/>
      <w:marLeft w:val="0"/>
      <w:marRight w:val="0"/>
      <w:marTop w:val="0"/>
      <w:marBottom w:val="0"/>
      <w:divBdr>
        <w:top w:val="none" w:sz="0" w:space="0" w:color="auto"/>
        <w:left w:val="none" w:sz="0" w:space="0" w:color="auto"/>
        <w:bottom w:val="none" w:sz="0" w:space="0" w:color="auto"/>
        <w:right w:val="none" w:sz="0" w:space="0" w:color="auto"/>
      </w:divBdr>
    </w:div>
    <w:div w:id="1502701932">
      <w:bodyDiv w:val="1"/>
      <w:marLeft w:val="0"/>
      <w:marRight w:val="0"/>
      <w:marTop w:val="0"/>
      <w:marBottom w:val="0"/>
      <w:divBdr>
        <w:top w:val="none" w:sz="0" w:space="0" w:color="auto"/>
        <w:left w:val="none" w:sz="0" w:space="0" w:color="auto"/>
        <w:bottom w:val="none" w:sz="0" w:space="0" w:color="auto"/>
        <w:right w:val="none" w:sz="0" w:space="0" w:color="auto"/>
      </w:divBdr>
    </w:div>
    <w:div w:id="1563444081">
      <w:bodyDiv w:val="1"/>
      <w:marLeft w:val="0"/>
      <w:marRight w:val="0"/>
      <w:marTop w:val="0"/>
      <w:marBottom w:val="0"/>
      <w:divBdr>
        <w:top w:val="none" w:sz="0" w:space="0" w:color="auto"/>
        <w:left w:val="none" w:sz="0" w:space="0" w:color="auto"/>
        <w:bottom w:val="none" w:sz="0" w:space="0" w:color="auto"/>
        <w:right w:val="none" w:sz="0" w:space="0" w:color="auto"/>
      </w:divBdr>
    </w:div>
    <w:div w:id="1600867620">
      <w:bodyDiv w:val="1"/>
      <w:marLeft w:val="0"/>
      <w:marRight w:val="0"/>
      <w:marTop w:val="0"/>
      <w:marBottom w:val="0"/>
      <w:divBdr>
        <w:top w:val="none" w:sz="0" w:space="0" w:color="auto"/>
        <w:left w:val="none" w:sz="0" w:space="0" w:color="auto"/>
        <w:bottom w:val="none" w:sz="0" w:space="0" w:color="auto"/>
        <w:right w:val="none" w:sz="0" w:space="0" w:color="auto"/>
      </w:divBdr>
    </w:div>
    <w:div w:id="1603416170">
      <w:bodyDiv w:val="1"/>
      <w:marLeft w:val="0"/>
      <w:marRight w:val="0"/>
      <w:marTop w:val="0"/>
      <w:marBottom w:val="0"/>
      <w:divBdr>
        <w:top w:val="none" w:sz="0" w:space="0" w:color="auto"/>
        <w:left w:val="none" w:sz="0" w:space="0" w:color="auto"/>
        <w:bottom w:val="none" w:sz="0" w:space="0" w:color="auto"/>
        <w:right w:val="none" w:sz="0" w:space="0" w:color="auto"/>
      </w:divBdr>
    </w:div>
    <w:div w:id="1742756336">
      <w:bodyDiv w:val="1"/>
      <w:marLeft w:val="0"/>
      <w:marRight w:val="0"/>
      <w:marTop w:val="0"/>
      <w:marBottom w:val="0"/>
      <w:divBdr>
        <w:top w:val="none" w:sz="0" w:space="0" w:color="auto"/>
        <w:left w:val="none" w:sz="0" w:space="0" w:color="auto"/>
        <w:bottom w:val="none" w:sz="0" w:space="0" w:color="auto"/>
        <w:right w:val="none" w:sz="0" w:space="0" w:color="auto"/>
      </w:divBdr>
    </w:div>
    <w:div w:id="1771318008">
      <w:bodyDiv w:val="1"/>
      <w:marLeft w:val="0"/>
      <w:marRight w:val="0"/>
      <w:marTop w:val="0"/>
      <w:marBottom w:val="0"/>
      <w:divBdr>
        <w:top w:val="none" w:sz="0" w:space="0" w:color="auto"/>
        <w:left w:val="none" w:sz="0" w:space="0" w:color="auto"/>
        <w:bottom w:val="none" w:sz="0" w:space="0" w:color="auto"/>
        <w:right w:val="none" w:sz="0" w:space="0" w:color="auto"/>
      </w:divBdr>
    </w:div>
    <w:div w:id="1813982968">
      <w:bodyDiv w:val="1"/>
      <w:marLeft w:val="0"/>
      <w:marRight w:val="0"/>
      <w:marTop w:val="0"/>
      <w:marBottom w:val="0"/>
      <w:divBdr>
        <w:top w:val="none" w:sz="0" w:space="0" w:color="auto"/>
        <w:left w:val="none" w:sz="0" w:space="0" w:color="auto"/>
        <w:bottom w:val="none" w:sz="0" w:space="0" w:color="auto"/>
        <w:right w:val="none" w:sz="0" w:space="0" w:color="auto"/>
      </w:divBdr>
    </w:div>
    <w:div w:id="1825270716">
      <w:bodyDiv w:val="1"/>
      <w:marLeft w:val="0"/>
      <w:marRight w:val="0"/>
      <w:marTop w:val="0"/>
      <w:marBottom w:val="0"/>
      <w:divBdr>
        <w:top w:val="none" w:sz="0" w:space="0" w:color="auto"/>
        <w:left w:val="none" w:sz="0" w:space="0" w:color="auto"/>
        <w:bottom w:val="none" w:sz="0" w:space="0" w:color="auto"/>
        <w:right w:val="none" w:sz="0" w:space="0" w:color="auto"/>
      </w:divBdr>
    </w:div>
    <w:div w:id="1830635551">
      <w:bodyDiv w:val="1"/>
      <w:marLeft w:val="0"/>
      <w:marRight w:val="0"/>
      <w:marTop w:val="0"/>
      <w:marBottom w:val="0"/>
      <w:divBdr>
        <w:top w:val="none" w:sz="0" w:space="0" w:color="auto"/>
        <w:left w:val="none" w:sz="0" w:space="0" w:color="auto"/>
        <w:bottom w:val="none" w:sz="0" w:space="0" w:color="auto"/>
        <w:right w:val="none" w:sz="0" w:space="0" w:color="auto"/>
      </w:divBdr>
    </w:div>
    <w:div w:id="1840805247">
      <w:bodyDiv w:val="1"/>
      <w:marLeft w:val="0"/>
      <w:marRight w:val="0"/>
      <w:marTop w:val="0"/>
      <w:marBottom w:val="0"/>
      <w:divBdr>
        <w:top w:val="none" w:sz="0" w:space="0" w:color="auto"/>
        <w:left w:val="none" w:sz="0" w:space="0" w:color="auto"/>
        <w:bottom w:val="none" w:sz="0" w:space="0" w:color="auto"/>
        <w:right w:val="none" w:sz="0" w:space="0" w:color="auto"/>
      </w:divBdr>
    </w:div>
    <w:div w:id="1923248524">
      <w:bodyDiv w:val="1"/>
      <w:marLeft w:val="0"/>
      <w:marRight w:val="0"/>
      <w:marTop w:val="0"/>
      <w:marBottom w:val="0"/>
      <w:divBdr>
        <w:top w:val="none" w:sz="0" w:space="0" w:color="auto"/>
        <w:left w:val="none" w:sz="0" w:space="0" w:color="auto"/>
        <w:bottom w:val="none" w:sz="0" w:space="0" w:color="auto"/>
        <w:right w:val="none" w:sz="0" w:space="0" w:color="auto"/>
      </w:divBdr>
    </w:div>
    <w:div w:id="1934627233">
      <w:bodyDiv w:val="1"/>
      <w:marLeft w:val="0"/>
      <w:marRight w:val="0"/>
      <w:marTop w:val="0"/>
      <w:marBottom w:val="0"/>
      <w:divBdr>
        <w:top w:val="none" w:sz="0" w:space="0" w:color="auto"/>
        <w:left w:val="none" w:sz="0" w:space="0" w:color="auto"/>
        <w:bottom w:val="none" w:sz="0" w:space="0" w:color="auto"/>
        <w:right w:val="none" w:sz="0" w:space="0" w:color="auto"/>
      </w:divBdr>
    </w:div>
    <w:div w:id="1978028619">
      <w:bodyDiv w:val="1"/>
      <w:marLeft w:val="0"/>
      <w:marRight w:val="0"/>
      <w:marTop w:val="0"/>
      <w:marBottom w:val="0"/>
      <w:divBdr>
        <w:top w:val="none" w:sz="0" w:space="0" w:color="auto"/>
        <w:left w:val="none" w:sz="0" w:space="0" w:color="auto"/>
        <w:bottom w:val="none" w:sz="0" w:space="0" w:color="auto"/>
        <w:right w:val="none" w:sz="0" w:space="0" w:color="auto"/>
      </w:divBdr>
    </w:div>
    <w:div w:id="2016030689">
      <w:bodyDiv w:val="1"/>
      <w:marLeft w:val="0"/>
      <w:marRight w:val="0"/>
      <w:marTop w:val="0"/>
      <w:marBottom w:val="0"/>
      <w:divBdr>
        <w:top w:val="none" w:sz="0" w:space="0" w:color="auto"/>
        <w:left w:val="none" w:sz="0" w:space="0" w:color="auto"/>
        <w:bottom w:val="none" w:sz="0" w:space="0" w:color="auto"/>
        <w:right w:val="none" w:sz="0" w:space="0" w:color="auto"/>
      </w:divBdr>
    </w:div>
    <w:div w:id="2039770376">
      <w:bodyDiv w:val="1"/>
      <w:marLeft w:val="0"/>
      <w:marRight w:val="0"/>
      <w:marTop w:val="0"/>
      <w:marBottom w:val="0"/>
      <w:divBdr>
        <w:top w:val="none" w:sz="0" w:space="0" w:color="auto"/>
        <w:left w:val="none" w:sz="0" w:space="0" w:color="auto"/>
        <w:bottom w:val="none" w:sz="0" w:space="0" w:color="auto"/>
        <w:right w:val="none" w:sz="0" w:space="0" w:color="auto"/>
      </w:divBdr>
    </w:div>
    <w:div w:id="2101482979">
      <w:bodyDiv w:val="1"/>
      <w:marLeft w:val="0"/>
      <w:marRight w:val="0"/>
      <w:marTop w:val="0"/>
      <w:marBottom w:val="0"/>
      <w:divBdr>
        <w:top w:val="none" w:sz="0" w:space="0" w:color="auto"/>
        <w:left w:val="none" w:sz="0" w:space="0" w:color="auto"/>
        <w:bottom w:val="none" w:sz="0" w:space="0" w:color="auto"/>
        <w:right w:val="none" w:sz="0" w:space="0" w:color="auto"/>
      </w:divBdr>
    </w:div>
    <w:div w:id="2126540099">
      <w:bodyDiv w:val="1"/>
      <w:marLeft w:val="0"/>
      <w:marRight w:val="0"/>
      <w:marTop w:val="0"/>
      <w:marBottom w:val="0"/>
      <w:divBdr>
        <w:top w:val="none" w:sz="0" w:space="0" w:color="auto"/>
        <w:left w:val="none" w:sz="0" w:space="0" w:color="auto"/>
        <w:bottom w:val="none" w:sz="0" w:space="0" w:color="auto"/>
        <w:right w:val="none" w:sz="0" w:space="0" w:color="auto"/>
      </w:divBdr>
    </w:div>
    <w:div w:id="213929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cid:image003.png@01DBADED.AD91CEB0"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31</TotalTime>
  <Pages>13</Pages>
  <Words>3604</Words>
  <Characters>25622</Characters>
  <Application>Microsoft Office Word</Application>
  <DocSecurity>0</DocSecurity>
  <Lines>213</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2024100211, MT</dc:description>
  <cp:lastModifiedBy>Gitte Jørgensen</cp:lastModifiedBy>
  <cp:revision>8</cp:revision>
  <cp:lastPrinted>2012-08-22T08:53:00Z</cp:lastPrinted>
  <dcterms:created xsi:type="dcterms:W3CDTF">2026-07-16T10:27:00Z</dcterms:created>
  <dcterms:modified xsi:type="dcterms:W3CDTF">2026-07-17T06:18:00Z</dcterms:modified>
</cp:coreProperties>
</file>