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FF" w:rsidRPr="008F49E1" w:rsidRDefault="006C56FF" w:rsidP="006C56FF">
      <w:pPr>
        <w:rPr>
          <w:sz w:val="24"/>
          <w:szCs w:val="24"/>
        </w:rPr>
      </w:pPr>
      <w:r w:rsidRPr="009260DE">
        <w:rPr>
          <w:noProof/>
          <w:sz w:val="24"/>
          <w:szCs w:val="24"/>
          <w:lang w:eastAsia="da-DK"/>
        </w:rPr>
        <w:drawing>
          <wp:anchor distT="0" distB="0" distL="114300" distR="114300" simplePos="0" relativeHeight="251659264" behindDoc="0" locked="0" layoutInCell="1" allowOverlap="1" wp14:anchorId="34C927F4" wp14:editId="240E7B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C56FF" w:rsidRPr="00C84483" w:rsidRDefault="006C56FF" w:rsidP="006C56FF">
      <w:pPr>
        <w:pStyle w:val="Titel"/>
        <w:tabs>
          <w:tab w:val="right" w:pos="9356"/>
        </w:tabs>
        <w:jc w:val="left"/>
        <w:rPr>
          <w:b w:val="0"/>
          <w:szCs w:val="24"/>
          <w:lang w:eastAsia="en-US"/>
        </w:rPr>
      </w:pPr>
      <w:r w:rsidRPr="00C84483">
        <w:rPr>
          <w:b w:val="0"/>
          <w:szCs w:val="24"/>
          <w:lang w:eastAsia="en-US"/>
        </w:rPr>
        <w:tab/>
      </w:r>
      <w:r>
        <w:rPr>
          <w:b w:val="0"/>
          <w:szCs w:val="24"/>
          <w:lang w:eastAsia="en-US"/>
        </w:rPr>
        <w:tab/>
      </w:r>
      <w:r w:rsidR="00C74D39">
        <w:rPr>
          <w:szCs w:val="24"/>
        </w:rPr>
        <w:t>6</w:t>
      </w:r>
      <w:r w:rsidR="00B06A4E">
        <w:rPr>
          <w:szCs w:val="24"/>
        </w:rPr>
        <w:t>.</w:t>
      </w:r>
      <w:r w:rsidR="004D4259">
        <w:rPr>
          <w:szCs w:val="24"/>
        </w:rPr>
        <w:t xml:space="preserve"> </w:t>
      </w:r>
      <w:r w:rsidR="00CF763F">
        <w:rPr>
          <w:szCs w:val="24"/>
        </w:rPr>
        <w:t>marts</w:t>
      </w:r>
      <w:r w:rsidR="00B06A4E">
        <w:rPr>
          <w:szCs w:val="24"/>
        </w:rPr>
        <w:t xml:space="preserve"> 202</w:t>
      </w:r>
      <w:r w:rsidR="00CF763F">
        <w:rPr>
          <w:szCs w:val="24"/>
        </w:rPr>
        <w:t>5</w:t>
      </w:r>
    </w:p>
    <w:p w:rsidR="006C56FF" w:rsidRPr="00C84483" w:rsidRDefault="006C56FF" w:rsidP="006C56FF">
      <w:pPr>
        <w:pStyle w:val="Titel"/>
        <w:jc w:val="left"/>
        <w:rPr>
          <w:b w:val="0"/>
          <w:szCs w:val="24"/>
        </w:rPr>
      </w:pPr>
    </w:p>
    <w:p w:rsidR="006C56FF" w:rsidRPr="00C84483" w:rsidRDefault="006C56FF" w:rsidP="006C56FF">
      <w:pPr>
        <w:pStyle w:val="Titel"/>
        <w:jc w:val="left"/>
        <w:rPr>
          <w:b w:val="0"/>
          <w:szCs w:val="24"/>
        </w:rPr>
      </w:pPr>
    </w:p>
    <w:p w:rsidR="006C56FF" w:rsidRPr="00C84483" w:rsidRDefault="006C56FF" w:rsidP="006C56FF">
      <w:pPr>
        <w:jc w:val="center"/>
        <w:rPr>
          <w:b/>
          <w:sz w:val="24"/>
          <w:szCs w:val="24"/>
        </w:rPr>
      </w:pPr>
      <w:r w:rsidRPr="00C84483">
        <w:rPr>
          <w:b/>
          <w:sz w:val="24"/>
          <w:szCs w:val="24"/>
        </w:rPr>
        <w:t>PRODUKTRESUMÉ</w:t>
      </w:r>
    </w:p>
    <w:p w:rsidR="006C56FF" w:rsidRPr="00C84483" w:rsidRDefault="006C56FF" w:rsidP="006C56FF">
      <w:pPr>
        <w:jc w:val="center"/>
        <w:rPr>
          <w:b/>
          <w:sz w:val="24"/>
          <w:szCs w:val="24"/>
        </w:rPr>
      </w:pPr>
    </w:p>
    <w:p w:rsidR="006C56FF" w:rsidRDefault="00CE79DE" w:rsidP="00CE79DE">
      <w:pPr>
        <w:tabs>
          <w:tab w:val="left" w:pos="360"/>
          <w:tab w:val="center" w:pos="4819"/>
        </w:tabs>
        <w:rPr>
          <w:b/>
          <w:sz w:val="24"/>
          <w:szCs w:val="24"/>
        </w:rPr>
      </w:pPr>
      <w:r>
        <w:rPr>
          <w:b/>
          <w:sz w:val="24"/>
          <w:szCs w:val="24"/>
        </w:rPr>
        <w:tab/>
      </w:r>
      <w:r>
        <w:rPr>
          <w:b/>
          <w:sz w:val="24"/>
          <w:szCs w:val="24"/>
        </w:rPr>
        <w:tab/>
      </w:r>
      <w:r w:rsidR="006C56FF" w:rsidRPr="00C84483">
        <w:rPr>
          <w:b/>
          <w:sz w:val="24"/>
          <w:szCs w:val="24"/>
        </w:rPr>
        <w:t>for</w:t>
      </w:r>
    </w:p>
    <w:p w:rsidR="006C56FF" w:rsidRPr="00C84483" w:rsidRDefault="006C56FF" w:rsidP="006C56FF">
      <w:pPr>
        <w:jc w:val="center"/>
        <w:rPr>
          <w:b/>
          <w:sz w:val="24"/>
          <w:szCs w:val="24"/>
        </w:rPr>
      </w:pPr>
    </w:p>
    <w:p w:rsidR="006C56FF" w:rsidRPr="00C84483" w:rsidRDefault="006C56FF" w:rsidP="006C56FF">
      <w:pPr>
        <w:jc w:val="center"/>
        <w:rPr>
          <w:b/>
          <w:sz w:val="24"/>
          <w:szCs w:val="24"/>
        </w:rPr>
      </w:pPr>
      <w:r>
        <w:rPr>
          <w:b/>
          <w:sz w:val="24"/>
          <w:szCs w:val="24"/>
        </w:rPr>
        <w:t>Ritonavir "Accord", filmovertrukne tabletter</w:t>
      </w:r>
    </w:p>
    <w:p w:rsidR="006C56FF" w:rsidRPr="00C84483" w:rsidRDefault="006C56FF" w:rsidP="006C56FF">
      <w:pPr>
        <w:jc w:val="both"/>
        <w:rPr>
          <w:sz w:val="24"/>
          <w:szCs w:val="24"/>
        </w:rPr>
      </w:pPr>
    </w:p>
    <w:p w:rsidR="006C56FF" w:rsidRPr="00C84483" w:rsidRDefault="006C56FF" w:rsidP="006C56FF">
      <w:pPr>
        <w:jc w:val="both"/>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0.</w:t>
      </w:r>
      <w:r w:rsidRPr="00C84483">
        <w:rPr>
          <w:b/>
          <w:sz w:val="24"/>
          <w:szCs w:val="24"/>
        </w:rPr>
        <w:tab/>
        <w:t>D.SP.NR.</w:t>
      </w:r>
    </w:p>
    <w:p w:rsidR="006C56FF" w:rsidRPr="00C84483" w:rsidRDefault="006C56FF" w:rsidP="006C56FF">
      <w:pPr>
        <w:tabs>
          <w:tab w:val="left" w:pos="851"/>
        </w:tabs>
        <w:ind w:left="851"/>
        <w:rPr>
          <w:sz w:val="24"/>
          <w:szCs w:val="24"/>
        </w:rPr>
      </w:pPr>
      <w:r>
        <w:rPr>
          <w:sz w:val="24"/>
          <w:szCs w:val="24"/>
        </w:rPr>
        <w:t>30402</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1.</w:t>
      </w:r>
      <w:r w:rsidRPr="00C84483">
        <w:rPr>
          <w:b/>
          <w:sz w:val="24"/>
          <w:szCs w:val="24"/>
        </w:rPr>
        <w:tab/>
        <w:t>LÆGEMIDLETS NAVN</w:t>
      </w:r>
    </w:p>
    <w:p w:rsidR="006C56FF" w:rsidRPr="00C84483" w:rsidRDefault="006C56FF" w:rsidP="006C56FF">
      <w:pPr>
        <w:tabs>
          <w:tab w:val="left" w:pos="851"/>
        </w:tabs>
        <w:ind w:left="851"/>
        <w:rPr>
          <w:sz w:val="24"/>
          <w:szCs w:val="24"/>
        </w:rPr>
      </w:pPr>
      <w:r>
        <w:rPr>
          <w:sz w:val="24"/>
          <w:szCs w:val="24"/>
        </w:rPr>
        <w:t>Ritonavir "Accord"</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E5494" w:rsidRPr="00E23CF3" w:rsidRDefault="003E5494" w:rsidP="003E5494">
      <w:pPr>
        <w:widowControl w:val="0"/>
        <w:tabs>
          <w:tab w:val="left" w:pos="0"/>
          <w:tab w:val="left" w:pos="9070"/>
        </w:tabs>
        <w:ind w:left="851" w:right="2"/>
        <w:rPr>
          <w:spacing w:val="-1"/>
          <w:sz w:val="24"/>
          <w:szCs w:val="24"/>
        </w:rPr>
      </w:pPr>
      <w:r w:rsidRPr="00E23CF3">
        <w:rPr>
          <w:spacing w:val="-1"/>
          <w:sz w:val="24"/>
          <w:szCs w:val="24"/>
        </w:rPr>
        <w:t>Hver filmovertrukket tablet</w:t>
      </w:r>
      <w:r w:rsidRPr="00E23CF3">
        <w:rPr>
          <w:sz w:val="24"/>
          <w:szCs w:val="24"/>
        </w:rPr>
        <w:t xml:space="preserve"> </w:t>
      </w:r>
      <w:r w:rsidRPr="00E23CF3">
        <w:rPr>
          <w:spacing w:val="-1"/>
          <w:sz w:val="24"/>
          <w:szCs w:val="24"/>
        </w:rPr>
        <w:t>indeholder 100 mg ritonavir.</w:t>
      </w:r>
    </w:p>
    <w:p w:rsidR="003E5494" w:rsidRPr="00E23CF3" w:rsidRDefault="003E5494" w:rsidP="003E5494">
      <w:pPr>
        <w:widowControl w:val="0"/>
        <w:tabs>
          <w:tab w:val="left" w:pos="0"/>
          <w:tab w:val="left" w:pos="9070"/>
        </w:tabs>
        <w:ind w:left="851" w:right="2"/>
        <w:rPr>
          <w:spacing w:val="-1"/>
          <w:sz w:val="24"/>
          <w:szCs w:val="24"/>
        </w:rPr>
      </w:pPr>
    </w:p>
    <w:p w:rsidR="003E5494" w:rsidRDefault="003E5494" w:rsidP="003E5494">
      <w:pPr>
        <w:widowControl w:val="0"/>
        <w:tabs>
          <w:tab w:val="left" w:pos="0"/>
          <w:tab w:val="left" w:pos="9070"/>
        </w:tabs>
        <w:ind w:left="851" w:right="16"/>
        <w:rPr>
          <w:sz w:val="24"/>
          <w:szCs w:val="24"/>
        </w:rPr>
      </w:pPr>
    </w:p>
    <w:p w:rsidR="003E5494" w:rsidRPr="00E23CF3" w:rsidRDefault="003E5494" w:rsidP="003E5494">
      <w:pPr>
        <w:widowControl w:val="0"/>
        <w:tabs>
          <w:tab w:val="left" w:pos="0"/>
          <w:tab w:val="left" w:pos="9070"/>
        </w:tabs>
        <w:ind w:left="851" w:right="16"/>
        <w:rPr>
          <w:spacing w:val="-1"/>
          <w:sz w:val="24"/>
          <w:szCs w:val="24"/>
        </w:rPr>
      </w:pPr>
      <w:r w:rsidRPr="00E23CF3">
        <w:rPr>
          <w:spacing w:val="-1"/>
          <w:sz w:val="24"/>
          <w:szCs w:val="24"/>
        </w:rPr>
        <w:t>Alle hjælpestoffer er anført under pkt. 6.1.</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3.</w:t>
      </w:r>
      <w:r w:rsidRPr="00C84483">
        <w:rPr>
          <w:b/>
          <w:sz w:val="24"/>
          <w:szCs w:val="24"/>
        </w:rPr>
        <w:tab/>
        <w:t>LÆGEMIDDELFORM</w:t>
      </w:r>
    </w:p>
    <w:p w:rsidR="006C56FF" w:rsidRPr="0030323A" w:rsidRDefault="006C56FF" w:rsidP="006C56FF">
      <w:pPr>
        <w:widowControl w:val="0"/>
        <w:tabs>
          <w:tab w:val="left" w:pos="0"/>
          <w:tab w:val="left" w:pos="9070"/>
        </w:tabs>
        <w:ind w:left="851"/>
        <w:rPr>
          <w:sz w:val="24"/>
          <w:szCs w:val="24"/>
        </w:rPr>
      </w:pPr>
      <w:r>
        <w:rPr>
          <w:spacing w:val="-1"/>
          <w:sz w:val="24"/>
          <w:szCs w:val="24"/>
        </w:rPr>
        <w:t>Filmovertrukne</w:t>
      </w:r>
      <w:r w:rsidRPr="0030323A">
        <w:rPr>
          <w:spacing w:val="-1"/>
          <w:sz w:val="24"/>
          <w:szCs w:val="24"/>
        </w:rPr>
        <w:t xml:space="preserve"> tablet</w:t>
      </w:r>
      <w:r>
        <w:rPr>
          <w:spacing w:val="-1"/>
          <w:sz w:val="24"/>
          <w:szCs w:val="24"/>
        </w:rPr>
        <w:t>ter</w:t>
      </w:r>
    </w:p>
    <w:p w:rsidR="006C56FF" w:rsidRPr="0030323A" w:rsidRDefault="006C56FF" w:rsidP="006C56FF">
      <w:pPr>
        <w:tabs>
          <w:tab w:val="left" w:pos="0"/>
          <w:tab w:val="left" w:pos="9070"/>
        </w:tabs>
        <w:ind w:left="851"/>
        <w:rPr>
          <w:sz w:val="24"/>
          <w:szCs w:val="24"/>
          <w:lang w:eastAsia="da-DK"/>
        </w:rPr>
      </w:pPr>
    </w:p>
    <w:p w:rsidR="006C56FF" w:rsidRPr="0030323A" w:rsidRDefault="006C56FF" w:rsidP="006C56FF">
      <w:pPr>
        <w:tabs>
          <w:tab w:val="left" w:pos="0"/>
          <w:tab w:val="left" w:pos="9070"/>
        </w:tabs>
        <w:ind w:left="851"/>
        <w:rPr>
          <w:spacing w:val="-1"/>
          <w:sz w:val="24"/>
          <w:szCs w:val="24"/>
          <w:lang w:eastAsia="da-DK"/>
        </w:rPr>
      </w:pPr>
      <w:r w:rsidRPr="0030323A">
        <w:rPr>
          <w:spacing w:val="-1"/>
          <w:sz w:val="24"/>
          <w:szCs w:val="24"/>
          <w:lang w:eastAsia="da-DK"/>
        </w:rPr>
        <w:t>Hvide til råhvide, kapselfo</w:t>
      </w:r>
      <w:r>
        <w:rPr>
          <w:spacing w:val="-1"/>
          <w:sz w:val="24"/>
          <w:szCs w:val="24"/>
          <w:lang w:eastAsia="da-DK"/>
        </w:rPr>
        <w:t>rmede, filmovertrukne tabletter</w:t>
      </w:r>
      <w:r w:rsidRPr="0030323A">
        <w:rPr>
          <w:spacing w:val="-1"/>
          <w:sz w:val="24"/>
          <w:szCs w:val="24"/>
          <w:lang w:eastAsia="da-DK"/>
        </w:rPr>
        <w:t xml:space="preserve"> med en dimension på ca. 17,1 mm i længden og 9,1 mm i bredden, præget med 'H’ på den ene side og ‘R9' på den anden side.</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56FF" w:rsidRPr="00C84483" w:rsidRDefault="006C56FF" w:rsidP="006C56FF">
      <w:pPr>
        <w:tabs>
          <w:tab w:val="left" w:pos="851"/>
        </w:tabs>
        <w:ind w:left="851"/>
        <w:rPr>
          <w:b/>
          <w:sz w:val="24"/>
          <w:szCs w:val="24"/>
        </w:rPr>
      </w:pPr>
    </w:p>
    <w:p w:rsidR="006C56FF" w:rsidRPr="00C84483" w:rsidRDefault="006C56FF" w:rsidP="006C56F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C56FF" w:rsidRPr="00C84483" w:rsidRDefault="006C56FF" w:rsidP="006C56FF">
      <w:pPr>
        <w:widowControl w:val="0"/>
        <w:tabs>
          <w:tab w:val="left" w:pos="0"/>
          <w:tab w:val="left" w:pos="9070"/>
        </w:tabs>
        <w:ind w:left="851" w:right="189"/>
        <w:rPr>
          <w:sz w:val="24"/>
          <w:szCs w:val="24"/>
        </w:rPr>
      </w:pPr>
      <w:r w:rsidRPr="00603237">
        <w:rPr>
          <w:spacing w:val="-1"/>
          <w:sz w:val="24"/>
          <w:szCs w:val="24"/>
        </w:rPr>
        <w:t>Ritonavir er indiceret sammen</w:t>
      </w:r>
      <w:r w:rsidRPr="00603237">
        <w:rPr>
          <w:spacing w:val="2"/>
          <w:sz w:val="24"/>
          <w:szCs w:val="24"/>
        </w:rPr>
        <w:t xml:space="preserve"> </w:t>
      </w:r>
      <w:r w:rsidRPr="00603237">
        <w:rPr>
          <w:spacing w:val="-2"/>
          <w:sz w:val="24"/>
          <w:szCs w:val="24"/>
        </w:rPr>
        <w:t>med</w:t>
      </w:r>
      <w:r w:rsidRPr="00603237">
        <w:rPr>
          <w:sz w:val="24"/>
          <w:szCs w:val="24"/>
        </w:rPr>
        <w:t xml:space="preserve"> andre </w:t>
      </w:r>
      <w:r w:rsidRPr="00603237">
        <w:rPr>
          <w:spacing w:val="-1"/>
          <w:sz w:val="24"/>
          <w:szCs w:val="24"/>
        </w:rPr>
        <w:t>antiretrovirale stoffer til behandling af</w:t>
      </w:r>
      <w:r w:rsidRPr="00603237">
        <w:rPr>
          <w:spacing w:val="-4"/>
          <w:sz w:val="24"/>
          <w:szCs w:val="24"/>
        </w:rPr>
        <w:t xml:space="preserve"> </w:t>
      </w:r>
      <w:r w:rsidRPr="00603237">
        <w:rPr>
          <w:spacing w:val="-1"/>
          <w:sz w:val="24"/>
          <w:szCs w:val="24"/>
        </w:rPr>
        <w:t>hiv-1-inficerede</w:t>
      </w:r>
      <w:r w:rsidRPr="00603237">
        <w:rPr>
          <w:spacing w:val="37"/>
          <w:sz w:val="24"/>
          <w:szCs w:val="24"/>
        </w:rPr>
        <w:t xml:space="preserve"> </w:t>
      </w:r>
      <w:r w:rsidRPr="00603237">
        <w:rPr>
          <w:spacing w:val="-1"/>
          <w:sz w:val="24"/>
          <w:szCs w:val="24"/>
        </w:rPr>
        <w:t xml:space="preserve">patienter (voksne og børn, der er </w:t>
      </w:r>
      <w:r w:rsidRPr="00603237">
        <w:rPr>
          <w:sz w:val="24"/>
          <w:szCs w:val="24"/>
        </w:rPr>
        <w:t>2</w:t>
      </w:r>
      <w:r w:rsidRPr="00603237">
        <w:rPr>
          <w:spacing w:val="-1"/>
          <w:sz w:val="24"/>
          <w:szCs w:val="24"/>
        </w:rPr>
        <w:t xml:space="preserve"> år og ældre).</w:t>
      </w:r>
    </w:p>
    <w:p w:rsidR="006C56FF" w:rsidRPr="00C84483"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sidRPr="00C84483">
        <w:rPr>
          <w:b/>
          <w:sz w:val="24"/>
          <w:szCs w:val="24"/>
        </w:rPr>
        <w:t>4.2</w:t>
      </w:r>
      <w:r w:rsidRPr="00C84483">
        <w:rPr>
          <w:b/>
          <w:sz w:val="24"/>
          <w:szCs w:val="24"/>
        </w:rPr>
        <w:tab/>
      </w:r>
      <w:r w:rsidR="00E916DB" w:rsidRPr="00F31B64">
        <w:rPr>
          <w:b/>
          <w:sz w:val="24"/>
          <w:szCs w:val="24"/>
        </w:rPr>
        <w:t>Dosering og administration</w:t>
      </w:r>
    </w:p>
    <w:p w:rsidR="006C56FF" w:rsidRDefault="006C56FF" w:rsidP="006C56FF">
      <w:pPr>
        <w:widowControl w:val="0"/>
        <w:tabs>
          <w:tab w:val="left" w:pos="0"/>
          <w:tab w:val="left" w:pos="9070"/>
        </w:tabs>
        <w:ind w:left="851"/>
        <w:rPr>
          <w:sz w:val="24"/>
          <w:szCs w:val="24"/>
        </w:rPr>
      </w:pPr>
      <w:r>
        <w:rPr>
          <w:sz w:val="24"/>
          <w:szCs w:val="24"/>
        </w:rPr>
        <w:t>Ritonavir bør ordineres af en læge, der har erfaring med behandling af hiv-infektioner.</w:t>
      </w:r>
    </w:p>
    <w:p w:rsidR="006C56FF" w:rsidRDefault="006C56FF" w:rsidP="006C56FF">
      <w:pPr>
        <w:widowControl w:val="0"/>
        <w:tabs>
          <w:tab w:val="left" w:pos="0"/>
          <w:tab w:val="left" w:pos="9070"/>
        </w:tabs>
        <w:ind w:left="851" w:right="179"/>
        <w:rPr>
          <w:sz w:val="24"/>
          <w:szCs w:val="24"/>
        </w:rPr>
      </w:pPr>
      <w:r>
        <w:rPr>
          <w:sz w:val="24"/>
          <w:szCs w:val="24"/>
        </w:rPr>
        <w:t>Ritonavir indgives oralt og bør indtages sammen med et måltid (se pkt. 5.2).</w:t>
      </w:r>
    </w:p>
    <w:p w:rsidR="006C56FF" w:rsidRDefault="006C56FF" w:rsidP="006C56FF">
      <w:pPr>
        <w:widowControl w:val="0"/>
        <w:tabs>
          <w:tab w:val="left" w:pos="0"/>
          <w:tab w:val="left" w:pos="9070"/>
        </w:tabs>
        <w:ind w:left="851" w:right="179"/>
        <w:rPr>
          <w:sz w:val="24"/>
          <w:szCs w:val="24"/>
        </w:rPr>
      </w:pPr>
      <w:r>
        <w:rPr>
          <w:sz w:val="24"/>
          <w:szCs w:val="24"/>
        </w:rPr>
        <w:t>Ritonavir "Accord" tabletter skal synkes hele og ikke tygges, deles eller knuses.</w:t>
      </w:r>
    </w:p>
    <w:p w:rsidR="006C56FF" w:rsidRDefault="006C56FF" w:rsidP="006C56FF">
      <w:pPr>
        <w:widowControl w:val="0"/>
        <w:tabs>
          <w:tab w:val="left" w:pos="0"/>
          <w:tab w:val="left" w:pos="9070"/>
        </w:tabs>
        <w:ind w:left="851" w:right="179"/>
        <w:rPr>
          <w:sz w:val="24"/>
          <w:szCs w:val="24"/>
        </w:rPr>
      </w:pPr>
    </w:p>
    <w:p w:rsidR="006C56FF" w:rsidRDefault="006C56FF" w:rsidP="007C1BB9">
      <w:pPr>
        <w:keepNext/>
        <w:tabs>
          <w:tab w:val="left" w:pos="0"/>
          <w:tab w:val="left" w:pos="9070"/>
        </w:tabs>
        <w:ind w:left="851"/>
        <w:rPr>
          <w:sz w:val="24"/>
          <w:szCs w:val="24"/>
          <w:u w:val="single"/>
          <w:lang w:eastAsia="da-DK"/>
        </w:rPr>
      </w:pPr>
      <w:r>
        <w:rPr>
          <w:sz w:val="24"/>
          <w:szCs w:val="24"/>
          <w:u w:val="single"/>
          <w:lang w:eastAsia="da-DK"/>
        </w:rPr>
        <w:t>Dosering</w:t>
      </w:r>
    </w:p>
    <w:p w:rsidR="006C56FF" w:rsidRDefault="006C56FF" w:rsidP="006C56FF">
      <w:pPr>
        <w:tabs>
          <w:tab w:val="left" w:pos="0"/>
          <w:tab w:val="left" w:pos="9070"/>
        </w:tabs>
        <w:ind w:left="851"/>
        <w:rPr>
          <w:i/>
          <w:sz w:val="24"/>
          <w:szCs w:val="24"/>
          <w:lang w:eastAsia="da-DK"/>
        </w:rPr>
      </w:pPr>
      <w:r>
        <w:rPr>
          <w:i/>
          <w:sz w:val="24"/>
          <w:szCs w:val="24"/>
          <w:lang w:eastAsia="da-DK"/>
        </w:rPr>
        <w:t>Ritonavir doseret som en farmakokinetisk forstærker</w:t>
      </w:r>
    </w:p>
    <w:p w:rsidR="006C56FF" w:rsidRDefault="006C56FF" w:rsidP="006C56FF">
      <w:pPr>
        <w:widowControl w:val="0"/>
        <w:tabs>
          <w:tab w:val="left" w:pos="0"/>
          <w:tab w:val="left" w:pos="9070"/>
        </w:tabs>
        <w:ind w:left="851" w:right="179"/>
        <w:rPr>
          <w:sz w:val="24"/>
          <w:szCs w:val="24"/>
        </w:rPr>
      </w:pPr>
    </w:p>
    <w:p w:rsidR="006C56FF" w:rsidRDefault="006C56FF" w:rsidP="006C56FF">
      <w:pPr>
        <w:widowControl w:val="0"/>
        <w:tabs>
          <w:tab w:val="left" w:pos="0"/>
          <w:tab w:val="left" w:pos="9070"/>
        </w:tabs>
        <w:ind w:left="851" w:right="179"/>
        <w:rPr>
          <w:sz w:val="24"/>
          <w:szCs w:val="24"/>
        </w:rPr>
      </w:pPr>
      <w:r>
        <w:rPr>
          <w:sz w:val="24"/>
          <w:szCs w:val="24"/>
        </w:rPr>
        <w:t xml:space="preserve">Når ritonavir bruges som farmakokinetisk forstærker sammen med andre </w:t>
      </w:r>
      <w:r>
        <w:rPr>
          <w:sz w:val="24"/>
          <w:szCs w:val="24"/>
        </w:rPr>
        <w:lastRenderedPageBreak/>
        <w:t>proteasehæmmere, skal det ske under hensyntagen til produktresuméet for den pågældende proteasehæmmer.</w:t>
      </w:r>
    </w:p>
    <w:p w:rsidR="006C56FF" w:rsidRDefault="006C56FF" w:rsidP="006C56FF">
      <w:pPr>
        <w:widowControl w:val="0"/>
        <w:tabs>
          <w:tab w:val="left" w:pos="0"/>
          <w:tab w:val="left" w:pos="9070"/>
        </w:tabs>
        <w:ind w:left="851" w:right="179"/>
        <w:rPr>
          <w:sz w:val="24"/>
          <w:szCs w:val="24"/>
        </w:rPr>
      </w:pPr>
    </w:p>
    <w:p w:rsidR="006C56FF" w:rsidRDefault="006C56FF" w:rsidP="006C56FF">
      <w:pPr>
        <w:widowControl w:val="0"/>
        <w:tabs>
          <w:tab w:val="left" w:pos="0"/>
          <w:tab w:val="left" w:pos="9070"/>
        </w:tabs>
        <w:ind w:left="851" w:right="179"/>
        <w:rPr>
          <w:sz w:val="24"/>
          <w:szCs w:val="24"/>
        </w:rPr>
      </w:pPr>
      <w:r>
        <w:rPr>
          <w:sz w:val="24"/>
          <w:szCs w:val="24"/>
        </w:rPr>
        <w:t>Følgende hiv-1-proteasehæmmere er godkendt til brug med ritonavir som en farmakokinetisk forstærker ved de angivne doser.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Voksne</w:t>
      </w:r>
    </w:p>
    <w:p w:rsidR="006C56FF" w:rsidRDefault="006C56FF" w:rsidP="006C56FF">
      <w:pPr>
        <w:pStyle w:val="Listeafsnit"/>
        <w:numPr>
          <w:ilvl w:val="0"/>
          <w:numId w:val="9"/>
        </w:numPr>
        <w:tabs>
          <w:tab w:val="left" w:pos="0"/>
          <w:tab w:val="left" w:pos="9070"/>
        </w:tabs>
        <w:ind w:left="1134" w:right="2" w:hanging="283"/>
        <w:rPr>
          <w:rFonts w:ascii="Times New Roman" w:hAnsi="Times New Roman"/>
          <w:sz w:val="24"/>
          <w:szCs w:val="24"/>
          <w:lang w:val="da-DK"/>
        </w:rPr>
      </w:pPr>
      <w:r>
        <w:rPr>
          <w:rFonts w:ascii="Times New Roman" w:hAnsi="Times New Roman"/>
          <w:sz w:val="24"/>
          <w:szCs w:val="24"/>
          <w:lang w:val="da-DK"/>
        </w:rPr>
        <w:t>600 mg amprenavir to gange daglig med 100 mg ritonavir to gange daglig</w:t>
      </w:r>
    </w:p>
    <w:p w:rsidR="006C56FF" w:rsidRDefault="006C56FF" w:rsidP="006C56FF">
      <w:pPr>
        <w:pStyle w:val="Listeafsnit"/>
        <w:numPr>
          <w:ilvl w:val="0"/>
          <w:numId w:val="9"/>
        </w:numPr>
        <w:tabs>
          <w:tab w:val="left" w:pos="0"/>
          <w:tab w:val="left" w:pos="9070"/>
        </w:tabs>
        <w:ind w:left="1134" w:right="2" w:hanging="283"/>
        <w:rPr>
          <w:rFonts w:ascii="Times New Roman" w:hAnsi="Times New Roman"/>
          <w:sz w:val="24"/>
          <w:szCs w:val="24"/>
          <w:lang w:val="da-DK"/>
        </w:rPr>
      </w:pPr>
      <w:r>
        <w:rPr>
          <w:rFonts w:ascii="Times New Roman" w:hAnsi="Times New Roman"/>
          <w:sz w:val="24"/>
          <w:szCs w:val="24"/>
          <w:lang w:val="da-DK"/>
        </w:rPr>
        <w:t>300 mg atazanavir en gang daglig med 100 mg ritonavir en gang daglig</w:t>
      </w:r>
    </w:p>
    <w:p w:rsidR="006C56FF" w:rsidRDefault="006C56FF" w:rsidP="006C56FF">
      <w:pPr>
        <w:pStyle w:val="Listeafsnit"/>
        <w:numPr>
          <w:ilvl w:val="0"/>
          <w:numId w:val="9"/>
        </w:numPr>
        <w:tabs>
          <w:tab w:val="left" w:pos="0"/>
          <w:tab w:val="left" w:pos="9070"/>
        </w:tabs>
        <w:ind w:left="1134" w:hanging="283"/>
        <w:rPr>
          <w:rFonts w:ascii="Times New Roman" w:hAnsi="Times New Roman"/>
          <w:sz w:val="24"/>
          <w:szCs w:val="24"/>
          <w:lang w:val="da-DK"/>
        </w:rPr>
      </w:pPr>
      <w:r>
        <w:rPr>
          <w:rFonts w:ascii="Times New Roman" w:hAnsi="Times New Roman"/>
          <w:sz w:val="24"/>
          <w:szCs w:val="24"/>
          <w:lang w:val="da-DK"/>
        </w:rPr>
        <w:t>700 mg fosamprenavir to gange daglig med 100 mg ritonavir to gange daglig</w:t>
      </w:r>
    </w:p>
    <w:p w:rsidR="006C56FF" w:rsidRPr="00167C6A" w:rsidRDefault="006C56FF" w:rsidP="006C56FF">
      <w:pPr>
        <w:pStyle w:val="Listeafsnit"/>
        <w:numPr>
          <w:ilvl w:val="0"/>
          <w:numId w:val="9"/>
        </w:numPr>
        <w:tabs>
          <w:tab w:val="left" w:pos="0"/>
          <w:tab w:val="left" w:pos="9070"/>
        </w:tabs>
        <w:ind w:left="1134" w:right="179" w:hanging="283"/>
        <w:rPr>
          <w:rFonts w:ascii="Times New Roman" w:hAnsi="Times New Roman"/>
          <w:sz w:val="24"/>
          <w:szCs w:val="24"/>
          <w:lang w:val="sv-SE"/>
        </w:rPr>
      </w:pPr>
      <w:r w:rsidRPr="00167C6A">
        <w:rPr>
          <w:rFonts w:ascii="Times New Roman" w:hAnsi="Times New Roman"/>
          <w:sz w:val="24"/>
          <w:szCs w:val="24"/>
          <w:lang w:val="sv-SE"/>
        </w:rPr>
        <w:t>Lopinavir formuleret sammen med ritonavir (lopinavir/ritonavir) 400 mg/100 mg eller 800 mg/200 mg</w:t>
      </w:r>
    </w:p>
    <w:p w:rsidR="006C56FF" w:rsidRDefault="006C56FF" w:rsidP="006C56FF">
      <w:pPr>
        <w:pStyle w:val="Listeafsnit"/>
        <w:numPr>
          <w:ilvl w:val="0"/>
          <w:numId w:val="9"/>
        </w:numPr>
        <w:tabs>
          <w:tab w:val="left" w:pos="0"/>
          <w:tab w:val="left" w:pos="9070"/>
        </w:tabs>
        <w:ind w:left="1134" w:right="124" w:hanging="283"/>
        <w:rPr>
          <w:rFonts w:ascii="Times New Roman" w:hAnsi="Times New Roman"/>
          <w:sz w:val="24"/>
          <w:szCs w:val="24"/>
          <w:lang w:val="da-DK"/>
        </w:rPr>
      </w:pPr>
      <w:r>
        <w:rPr>
          <w:rFonts w:ascii="Times New Roman" w:hAnsi="Times New Roman"/>
          <w:sz w:val="24"/>
          <w:szCs w:val="24"/>
          <w:lang w:val="da-DK"/>
        </w:rPr>
        <w:t>mg saquinavir to gange daglig med 100 mg ritonavir to gange daglig hos ART-erfarne patienter. Hos ART-naive patienter påbegyndes behandlingen med saquinavir 500 mg to gange daglig og ritonavir 100 mg to gange daglig i de første 7 dage og derefter saquinavir 1.000 mg to gange daglig og ritonavir 100 mg to gange daglig.</w:t>
      </w:r>
    </w:p>
    <w:p w:rsidR="004D4259" w:rsidRDefault="004D4259" w:rsidP="004D4259">
      <w:pPr>
        <w:pStyle w:val="Listeafsnit"/>
        <w:numPr>
          <w:ilvl w:val="0"/>
          <w:numId w:val="9"/>
        </w:numPr>
        <w:tabs>
          <w:tab w:val="left" w:pos="0"/>
          <w:tab w:val="left" w:pos="9070"/>
        </w:tabs>
        <w:ind w:left="1134" w:right="179" w:hanging="283"/>
        <w:rPr>
          <w:rFonts w:ascii="Times New Roman" w:hAnsi="Times New Roman"/>
          <w:sz w:val="24"/>
          <w:szCs w:val="24"/>
          <w:lang w:val="da-DK"/>
        </w:rPr>
      </w:pPr>
      <w:r>
        <w:rPr>
          <w:rFonts w:ascii="Times New Roman" w:hAnsi="Times New Roman"/>
          <w:sz w:val="24"/>
          <w:szCs w:val="24"/>
          <w:lang w:val="da-DK"/>
        </w:rPr>
        <w:t>500 mg tipranavir to gange daglig med 200 mg ritonavir to gange daglig. Tipranavir med ritonavir bør ikke bruges til behandlings-naive patienter.</w:t>
      </w:r>
    </w:p>
    <w:p w:rsidR="006C56FF" w:rsidRDefault="006C56FF" w:rsidP="006C56FF">
      <w:pPr>
        <w:pStyle w:val="Listeafsnit"/>
        <w:numPr>
          <w:ilvl w:val="0"/>
          <w:numId w:val="9"/>
        </w:numPr>
        <w:tabs>
          <w:tab w:val="left" w:pos="0"/>
          <w:tab w:val="left" w:pos="9070"/>
        </w:tabs>
        <w:ind w:left="1134" w:right="213" w:hanging="283"/>
        <w:rPr>
          <w:rFonts w:ascii="Times New Roman" w:hAnsi="Times New Roman"/>
          <w:sz w:val="24"/>
          <w:szCs w:val="24"/>
          <w:lang w:val="da-DK"/>
        </w:rPr>
      </w:pPr>
      <w:r>
        <w:rPr>
          <w:rFonts w:ascii="Times New Roman" w:hAnsi="Times New Roman"/>
          <w:sz w:val="24"/>
          <w:szCs w:val="24"/>
          <w:lang w:val="da-DK"/>
        </w:rPr>
        <w:t>Darunavir 600 mg to gange daglig med ritonavir 100 mg to gange daglig daglig til patienter, der tidligere har været i antiretroviral behandling (ART-erfarne patienter).</w:t>
      </w:r>
    </w:p>
    <w:p w:rsidR="006C56FF" w:rsidRDefault="006C56FF" w:rsidP="006C56FF">
      <w:pPr>
        <w:pStyle w:val="Listeafsnit"/>
        <w:numPr>
          <w:ilvl w:val="0"/>
          <w:numId w:val="9"/>
        </w:numPr>
        <w:tabs>
          <w:tab w:val="left" w:pos="0"/>
          <w:tab w:val="left" w:pos="9070"/>
        </w:tabs>
        <w:ind w:left="1134" w:right="213" w:hanging="283"/>
        <w:rPr>
          <w:rFonts w:ascii="Times New Roman" w:hAnsi="Times New Roman"/>
          <w:sz w:val="24"/>
          <w:szCs w:val="24"/>
          <w:lang w:val="da-DK"/>
        </w:rPr>
      </w:pPr>
      <w:r>
        <w:rPr>
          <w:rFonts w:ascii="Times New Roman" w:hAnsi="Times New Roman"/>
          <w:sz w:val="24"/>
          <w:szCs w:val="24"/>
          <w:lang w:val="da-DK"/>
        </w:rPr>
        <w:t>Darunavir 800 mg en gang daglig med ritonavir 100 mg en gang daglig kan bruges til visse ART-erfarne patienter. Se produktresumé for darunavir for yderligere information om en gang daglig dosering hos ART-erfarne patienter.</w:t>
      </w:r>
    </w:p>
    <w:p w:rsidR="006C56FF" w:rsidRDefault="006C56FF" w:rsidP="006C56FF">
      <w:pPr>
        <w:pStyle w:val="Listeafsnit"/>
        <w:numPr>
          <w:ilvl w:val="0"/>
          <w:numId w:val="9"/>
        </w:numPr>
        <w:tabs>
          <w:tab w:val="left" w:pos="0"/>
          <w:tab w:val="left" w:pos="9070"/>
        </w:tabs>
        <w:ind w:left="1134" w:right="213" w:hanging="283"/>
        <w:rPr>
          <w:rFonts w:ascii="Times New Roman" w:hAnsi="Times New Roman"/>
          <w:sz w:val="24"/>
          <w:szCs w:val="24"/>
          <w:lang w:val="da-DK"/>
        </w:rPr>
      </w:pPr>
      <w:r>
        <w:rPr>
          <w:rFonts w:ascii="Times New Roman" w:hAnsi="Times New Roman"/>
          <w:sz w:val="24"/>
          <w:szCs w:val="24"/>
          <w:lang w:val="da-DK"/>
        </w:rPr>
        <w:t>Darunavir 800 mg en gang daglig med ritonavir 100 mg en gang daglig til ART-naïve patienter.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i/>
          <w:sz w:val="24"/>
          <w:szCs w:val="24"/>
          <w:lang w:eastAsia="da-DK"/>
        </w:rPr>
      </w:pPr>
      <w:r>
        <w:rPr>
          <w:i/>
          <w:sz w:val="24"/>
          <w:szCs w:val="24"/>
          <w:lang w:eastAsia="da-DK"/>
        </w:rPr>
        <w:t>Børn og unge</w:t>
      </w:r>
    </w:p>
    <w:p w:rsidR="006C56FF" w:rsidRDefault="006C56FF" w:rsidP="006C56FF">
      <w:pPr>
        <w:tabs>
          <w:tab w:val="left" w:pos="0"/>
          <w:tab w:val="left" w:pos="9070"/>
        </w:tabs>
        <w:ind w:left="851"/>
        <w:rPr>
          <w:sz w:val="24"/>
          <w:szCs w:val="24"/>
          <w:lang w:eastAsia="da-DK"/>
        </w:rPr>
      </w:pPr>
      <w:r>
        <w:rPr>
          <w:sz w:val="24"/>
          <w:szCs w:val="24"/>
          <w:lang w:eastAsia="da-DK"/>
        </w:rPr>
        <w:t>Ritonavir "Accord" anbefales til børn på 2 år og derover. For yderligere dosisanbefalinger henvises til produktinformationen for andre proteasehæmmere godkendt til indgivelse sammen med ritonavir.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Særlige populationer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lang w:eastAsia="da-DK"/>
        </w:rPr>
      </w:pPr>
      <w:r>
        <w:rPr>
          <w:i/>
          <w:sz w:val="24"/>
          <w:szCs w:val="24"/>
          <w:lang w:eastAsia="da-DK"/>
        </w:rPr>
        <w:t>Nedsat nyrefunktion:</w:t>
      </w:r>
      <w:r>
        <w:rPr>
          <w:sz w:val="24"/>
          <w:szCs w:val="24"/>
          <w:lang w:eastAsia="da-DK"/>
        </w:rPr>
        <w:t xml:space="preserve"> Da ritonavir primært metaboliseres i leveren, kan ritonavir være egnet til anvendelse med forsigtighed som en farmakokinetisk forstærker til patienter med nyreinsufficiens alt efter, hvilken proteasehæmmer det konkret gives sammen med. Eftersom ritonavirs nyreclearance er minimal, forventes der dog ikke noget fald i kroppens samlede clearance hos patienter med nedsat nyrefunktion. For konkrete oplysninger om dosering til patienter med nedsat nyrefunktion henvises til produktresuméet for den proteasehæmmer, der gives sammen med ritonavir.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lang w:eastAsia="da-DK"/>
        </w:rPr>
      </w:pPr>
      <w:r>
        <w:rPr>
          <w:sz w:val="24"/>
          <w:szCs w:val="24"/>
          <w:u w:val="single"/>
          <w:lang w:eastAsia="da-DK"/>
        </w:rPr>
        <w:t>Nedsat leverfunktion</w:t>
      </w:r>
    </w:p>
    <w:p w:rsidR="006C56FF" w:rsidRDefault="006C56FF" w:rsidP="006C56FF">
      <w:pPr>
        <w:tabs>
          <w:tab w:val="left" w:pos="0"/>
          <w:tab w:val="left" w:pos="9070"/>
        </w:tabs>
        <w:ind w:left="851"/>
        <w:rPr>
          <w:sz w:val="24"/>
          <w:szCs w:val="24"/>
          <w:lang w:eastAsia="da-DK"/>
        </w:rPr>
      </w:pPr>
      <w:r>
        <w:rPr>
          <w:sz w:val="24"/>
          <w:szCs w:val="24"/>
          <w:lang w:eastAsia="da-DK"/>
        </w:rPr>
        <w:t xml:space="preserve">Ritonavir "Accord" bør ikke gives som en farmakokinetisk forstærker til patienter med inkompenseret leversygdom (se pkt.4.3). Da der ikke er gennemført farmakokinetiske studier på patienter med stabil alvorligt nedsat leverfunktion (Child-Pugh klasse C) uden dekompensation, bør der udvises forsigtighed, når ritovanir anvendes som en farmakokinetisk forstærker, da forhøjede niveauer af den proteasehæmmer, der gives sammen med ritonavir, kan forekomme. Konkrete anbefalinger vedrørende brugen af ritonavir som en farmakokinetisk forstærker til patienter med nedsat leverfunktion afhænger af den proteasehæmmer, det gives sammen med. Produktresuméet for den </w:t>
      </w:r>
      <w:r>
        <w:rPr>
          <w:sz w:val="24"/>
          <w:szCs w:val="24"/>
          <w:lang w:eastAsia="da-DK"/>
        </w:rPr>
        <w:lastRenderedPageBreak/>
        <w:t>proteasehæmmer, der gives sammen med ritonavir, bør gennemgås med hensyn til konkrete oplysninger om dosering til denne patientgruppe.</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b/>
          <w:sz w:val="24"/>
          <w:szCs w:val="24"/>
          <w:lang w:eastAsia="da-DK"/>
        </w:rPr>
      </w:pPr>
      <w:r>
        <w:rPr>
          <w:b/>
          <w:sz w:val="24"/>
          <w:szCs w:val="24"/>
          <w:lang w:eastAsia="da-DK"/>
        </w:rPr>
        <w:t>Ritonavir doseret som et antiretroviralt stof</w:t>
      </w:r>
    </w:p>
    <w:p w:rsidR="006C56FF" w:rsidRDefault="006C56FF" w:rsidP="006C56FF">
      <w:pPr>
        <w:tabs>
          <w:tab w:val="left" w:pos="0"/>
          <w:tab w:val="left" w:pos="9070"/>
        </w:tabs>
        <w:ind w:left="851"/>
        <w:rPr>
          <w:i/>
          <w:sz w:val="24"/>
          <w:szCs w:val="24"/>
          <w:lang w:eastAsia="da-DK"/>
        </w:rPr>
      </w:pPr>
    </w:p>
    <w:p w:rsidR="006C56FF" w:rsidRDefault="006C56FF" w:rsidP="006C56FF">
      <w:pPr>
        <w:widowControl w:val="0"/>
        <w:tabs>
          <w:tab w:val="left" w:pos="0"/>
          <w:tab w:val="left" w:pos="9070"/>
        </w:tabs>
        <w:ind w:left="851" w:right="279"/>
        <w:rPr>
          <w:i/>
          <w:sz w:val="24"/>
          <w:szCs w:val="24"/>
        </w:rPr>
      </w:pPr>
      <w:r>
        <w:rPr>
          <w:i/>
          <w:sz w:val="24"/>
          <w:szCs w:val="24"/>
        </w:rPr>
        <w:t>Voksne</w:t>
      </w:r>
    </w:p>
    <w:p w:rsidR="006C56FF" w:rsidRDefault="006C56FF" w:rsidP="006C56FF">
      <w:pPr>
        <w:widowControl w:val="0"/>
        <w:tabs>
          <w:tab w:val="left" w:pos="0"/>
          <w:tab w:val="left" w:pos="9070"/>
        </w:tabs>
        <w:ind w:left="851" w:right="279"/>
        <w:rPr>
          <w:sz w:val="24"/>
          <w:szCs w:val="24"/>
        </w:rPr>
      </w:pPr>
      <w:r>
        <w:rPr>
          <w:sz w:val="24"/>
          <w:szCs w:val="24"/>
        </w:rPr>
        <w:t>Den anbefalede dosis af Ritonavir "Accord" er 600 mg (6 tabletter) to gange daglig (ialt 1200 mg per dag) oralt.</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
        <w:rPr>
          <w:sz w:val="24"/>
          <w:szCs w:val="24"/>
        </w:rPr>
      </w:pPr>
      <w:r>
        <w:rPr>
          <w:sz w:val="24"/>
          <w:szCs w:val="24"/>
        </w:rPr>
        <w:t>Gradvis dosisforøgelse af ritonavir i behandlingens begyndelse kan medvirke til at øge tolerancen. Behandling bør indledes med 300 mg (3 tabletter) to gange daglig i en periode på 3 dage og øges gradvist med 100 mg (1 tablet) to gange daglig op til 600 mg to gange daglig over en periode på højst 14 dage. Patienter bør i 3 dage gives en dosis på 300 mg to gange daglig.</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i/>
          <w:sz w:val="24"/>
          <w:szCs w:val="24"/>
          <w:lang w:eastAsia="da-DK"/>
        </w:rPr>
      </w:pPr>
      <w:r>
        <w:rPr>
          <w:i/>
          <w:sz w:val="24"/>
          <w:szCs w:val="24"/>
          <w:lang w:eastAsia="da-DK"/>
        </w:rPr>
        <w:t>Børn og unge (2 år og ældre)</w:t>
      </w:r>
    </w:p>
    <w:p w:rsidR="006C56FF" w:rsidRDefault="006C56FF" w:rsidP="006C56FF">
      <w:pPr>
        <w:widowControl w:val="0"/>
        <w:tabs>
          <w:tab w:val="left" w:pos="0"/>
          <w:tab w:val="left" w:pos="9070"/>
        </w:tabs>
        <w:ind w:left="851" w:right="279"/>
        <w:rPr>
          <w:sz w:val="24"/>
          <w:szCs w:val="24"/>
        </w:rPr>
      </w:pPr>
      <w:r>
        <w:rPr>
          <w:sz w:val="24"/>
          <w:szCs w:val="24"/>
        </w:rPr>
        <w:t>Den anbefalede dosering ritonavir til børn er 350 mg/m</w:t>
      </w:r>
      <w:r>
        <w:rPr>
          <w:sz w:val="24"/>
          <w:szCs w:val="24"/>
          <w:vertAlign w:val="superscript"/>
        </w:rPr>
        <w:t>2</w:t>
      </w:r>
      <w:r>
        <w:rPr>
          <w:position w:val="10"/>
          <w:sz w:val="24"/>
          <w:szCs w:val="24"/>
        </w:rPr>
        <w:t xml:space="preserve"> </w:t>
      </w:r>
      <w:r>
        <w:rPr>
          <w:sz w:val="24"/>
          <w:szCs w:val="24"/>
        </w:rPr>
        <w:t>oralt to gange daglig og bør ikke overstige 600 mg to gange daglig. Ritonavir bør påbegyndes med 250 mg/ m</w:t>
      </w:r>
      <w:r>
        <w:rPr>
          <w:sz w:val="24"/>
          <w:szCs w:val="24"/>
          <w:vertAlign w:val="superscript"/>
        </w:rPr>
        <w:t>2</w:t>
      </w:r>
      <w:r>
        <w:rPr>
          <w:position w:val="10"/>
          <w:sz w:val="24"/>
          <w:szCs w:val="24"/>
        </w:rPr>
        <w:t xml:space="preserve"> </w:t>
      </w:r>
      <w:r>
        <w:rPr>
          <w:sz w:val="24"/>
          <w:szCs w:val="24"/>
        </w:rPr>
        <w:t>og øges med 2 til 3 dages mellemrum med 50 mg/ m</w:t>
      </w:r>
      <w:r>
        <w:rPr>
          <w:sz w:val="24"/>
          <w:szCs w:val="24"/>
          <w:vertAlign w:val="superscript"/>
        </w:rPr>
        <w:t>2</w:t>
      </w:r>
      <w:r>
        <w:rPr>
          <w:position w:val="10"/>
          <w:sz w:val="24"/>
          <w:szCs w:val="24"/>
        </w:rPr>
        <w:t xml:space="preserve"> </w:t>
      </w:r>
      <w:r>
        <w:rPr>
          <w:sz w:val="24"/>
          <w:szCs w:val="24"/>
        </w:rPr>
        <w:t>to gange daglig. (Andre lægemiddelformer/-styrker kan være mere passende for administration til denne population).</w:t>
      </w:r>
    </w:p>
    <w:p w:rsidR="006C56FF" w:rsidRDefault="006C56FF" w:rsidP="006C56FF">
      <w:pPr>
        <w:tabs>
          <w:tab w:val="left" w:pos="0"/>
          <w:tab w:val="left" w:pos="9070"/>
        </w:tabs>
        <w:ind w:left="851"/>
        <w:rPr>
          <w:sz w:val="24"/>
          <w:szCs w:val="24"/>
          <w:lang w:eastAsia="da-DK"/>
        </w:rPr>
      </w:pPr>
    </w:p>
    <w:p w:rsidR="003E5494" w:rsidRDefault="003E5494" w:rsidP="003E5494">
      <w:pPr>
        <w:widowControl w:val="0"/>
        <w:tabs>
          <w:tab w:val="left" w:pos="0"/>
          <w:tab w:val="left" w:pos="9070"/>
        </w:tabs>
        <w:ind w:left="851" w:right="213"/>
        <w:rPr>
          <w:sz w:val="24"/>
          <w:szCs w:val="24"/>
        </w:rPr>
      </w:pPr>
      <w:r>
        <w:rPr>
          <w:sz w:val="24"/>
          <w:szCs w:val="24"/>
        </w:rPr>
        <w:t xml:space="preserve">Til ældre børn er det muligt at udskifte vedligeholdelsesdosis af </w:t>
      </w:r>
      <w:r w:rsidRPr="00935E0C">
        <w:rPr>
          <w:sz w:val="24"/>
          <w:szCs w:val="24"/>
        </w:rPr>
        <w:t>pulver til oral suspension</w:t>
      </w:r>
      <w:r>
        <w:rPr>
          <w:sz w:val="24"/>
          <w:szCs w:val="24"/>
        </w:rPr>
        <w:t xml:space="preserve"> med tabletter.</w:t>
      </w:r>
    </w:p>
    <w:p w:rsidR="003E5494" w:rsidRDefault="003E5494" w:rsidP="003E5494">
      <w:pPr>
        <w:autoSpaceDE w:val="0"/>
        <w:autoSpaceDN w:val="0"/>
        <w:adjustRightInd w:val="0"/>
        <w:ind w:left="117" w:right="613"/>
      </w:pPr>
    </w:p>
    <w:p w:rsidR="006C56FF" w:rsidRDefault="003E5494" w:rsidP="003E5494">
      <w:pPr>
        <w:ind w:left="851"/>
      </w:pPr>
      <w:r w:rsidRPr="00D202C5">
        <w:rPr>
          <w:sz w:val="24"/>
          <w:szCs w:val="24"/>
        </w:rPr>
        <w:t>Doseringskonvertering fra pulver til oral suspension til tabletter til børn</w:t>
      </w:r>
      <w:r w:rsidR="006C56FF" w:rsidRPr="003E5494">
        <w:t xml:space="preserve"> </w:t>
      </w:r>
    </w:p>
    <w:p w:rsidR="003E5494" w:rsidRPr="003E5494" w:rsidRDefault="003E5494" w:rsidP="003E5494">
      <w:pPr>
        <w:ind w:left="851"/>
      </w:pPr>
    </w:p>
    <w:tbl>
      <w:tblPr>
        <w:tblW w:w="0" w:type="auto"/>
        <w:tblInd w:w="78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682"/>
        <w:gridCol w:w="4472"/>
      </w:tblGrid>
      <w:tr w:rsidR="003E5494" w:rsidTr="004D4259">
        <w:trPr>
          <w:trHeight w:val="317"/>
        </w:trPr>
        <w:tc>
          <w:tcPr>
            <w:tcW w:w="2682" w:type="dxa"/>
            <w:tcBorders>
              <w:top w:val="outset" w:sz="6" w:space="0" w:color="auto"/>
              <w:left w:val="outset" w:sz="6" w:space="0" w:color="auto"/>
              <w:bottom w:val="outset" w:sz="6" w:space="0" w:color="auto"/>
              <w:right w:val="outset" w:sz="6" w:space="0" w:color="auto"/>
            </w:tcBorders>
            <w:shd w:val="clear" w:color="auto" w:fill="FFFFFF"/>
            <w:hideMark/>
          </w:tcPr>
          <w:p w:rsidR="003E5494" w:rsidRPr="00D202C5" w:rsidRDefault="003E5494" w:rsidP="004D4259">
            <w:pPr>
              <w:rPr>
                <w:highlight w:val="yellow"/>
              </w:rPr>
            </w:pPr>
            <w:r w:rsidRPr="00D202C5">
              <w:rPr>
                <w:b/>
                <w:bCs/>
              </w:rPr>
              <w:t>Dosis af pulver til oral suspension</w:t>
            </w:r>
          </w:p>
        </w:tc>
        <w:tc>
          <w:tcPr>
            <w:tcW w:w="447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pPr>
              <w:rPr>
                <w:highlight w:val="yellow"/>
                <w:lang w:val="en-IN"/>
              </w:rPr>
            </w:pPr>
            <w:r>
              <w:rPr>
                <w:b/>
                <w:bCs/>
                <w:lang w:val="en-IN"/>
              </w:rPr>
              <w:t>Tablet-dosis</w:t>
            </w:r>
          </w:p>
        </w:tc>
      </w:tr>
      <w:tr w:rsidR="003E5494" w:rsidTr="004D4259">
        <w:tc>
          <w:tcPr>
            <w:tcW w:w="268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176 mg (17,6 ml) to gange dagligt</w:t>
            </w:r>
          </w:p>
        </w:tc>
        <w:tc>
          <w:tcPr>
            <w:tcW w:w="447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200 mg om morgenen og 200 mg om aftenen</w:t>
            </w:r>
          </w:p>
        </w:tc>
      </w:tr>
      <w:tr w:rsidR="003E5494" w:rsidTr="004D4259">
        <w:tc>
          <w:tcPr>
            <w:tcW w:w="268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262,5 mg (26,4 ml) to gange dagligt</w:t>
            </w:r>
          </w:p>
        </w:tc>
        <w:tc>
          <w:tcPr>
            <w:tcW w:w="447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300 mg om morgenen og 300 mg om aftenen</w:t>
            </w:r>
          </w:p>
        </w:tc>
      </w:tr>
      <w:tr w:rsidR="003E5494" w:rsidTr="004D4259">
        <w:tc>
          <w:tcPr>
            <w:tcW w:w="2682" w:type="dxa"/>
            <w:tcBorders>
              <w:top w:val="outset" w:sz="6" w:space="0" w:color="auto"/>
              <w:left w:val="outset" w:sz="6" w:space="0" w:color="auto"/>
              <w:bottom w:val="outset" w:sz="6" w:space="0" w:color="auto"/>
              <w:right w:val="outset" w:sz="6" w:space="0" w:color="auto"/>
            </w:tcBorders>
            <w:shd w:val="clear" w:color="auto" w:fill="FFFFFF"/>
          </w:tcPr>
          <w:p w:rsidR="003E5494" w:rsidRDefault="003E5494" w:rsidP="004D4259">
            <w:r>
              <w:t>350 mg (35,0 ml) to gange dagligt</w:t>
            </w:r>
          </w:p>
        </w:tc>
        <w:tc>
          <w:tcPr>
            <w:tcW w:w="4472" w:type="dxa"/>
            <w:tcBorders>
              <w:top w:val="outset" w:sz="6" w:space="0" w:color="auto"/>
              <w:left w:val="outset" w:sz="6" w:space="0" w:color="auto"/>
              <w:bottom w:val="outset" w:sz="6" w:space="0" w:color="auto"/>
              <w:right w:val="outset" w:sz="6" w:space="0" w:color="auto"/>
            </w:tcBorders>
            <w:shd w:val="clear" w:color="auto" w:fill="FFFFFF"/>
          </w:tcPr>
          <w:p w:rsidR="003E5494" w:rsidRDefault="003E5494" w:rsidP="004D4259">
            <w:r>
              <w:t>400 mg om morgenen og 300 mg om aftenen</w:t>
            </w:r>
          </w:p>
        </w:tc>
      </w:tr>
      <w:tr w:rsidR="003E5494" w:rsidTr="004D4259">
        <w:tc>
          <w:tcPr>
            <w:tcW w:w="268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438 mg (43,8 ml) to gange dagligt</w:t>
            </w:r>
          </w:p>
        </w:tc>
        <w:tc>
          <w:tcPr>
            <w:tcW w:w="447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500 mg om morgenen og 400 mg om aftenen</w:t>
            </w:r>
          </w:p>
        </w:tc>
      </w:tr>
      <w:tr w:rsidR="003E5494" w:rsidTr="004D4259">
        <w:tc>
          <w:tcPr>
            <w:tcW w:w="268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526 mg (52,6 ml) to gange dagligt</w:t>
            </w:r>
          </w:p>
        </w:tc>
        <w:tc>
          <w:tcPr>
            <w:tcW w:w="4472" w:type="dxa"/>
            <w:tcBorders>
              <w:top w:val="outset" w:sz="6" w:space="0" w:color="auto"/>
              <w:left w:val="outset" w:sz="6" w:space="0" w:color="auto"/>
              <w:bottom w:val="outset" w:sz="6" w:space="0" w:color="auto"/>
              <w:right w:val="outset" w:sz="6" w:space="0" w:color="auto"/>
            </w:tcBorders>
            <w:shd w:val="clear" w:color="auto" w:fill="FFFFFF"/>
            <w:hideMark/>
          </w:tcPr>
          <w:p w:rsidR="003E5494" w:rsidRDefault="003E5494" w:rsidP="004D4259">
            <w:r>
              <w:t>500 mg om morgenen og 500 mg om aftenen</w:t>
            </w:r>
          </w:p>
        </w:tc>
      </w:tr>
    </w:tbl>
    <w:p w:rsidR="006C56FF" w:rsidRDefault="006C56FF" w:rsidP="006C56FF">
      <w:pPr>
        <w:autoSpaceDE w:val="0"/>
        <w:autoSpaceDN w:val="0"/>
        <w:adjustRightInd w:val="0"/>
        <w:ind w:left="117"/>
        <w:rPr>
          <w:sz w:val="24"/>
          <w:szCs w:val="24"/>
        </w:rPr>
      </w:pPr>
      <w:r>
        <w:t xml:space="preserve"> </w:t>
      </w:r>
    </w:p>
    <w:p w:rsidR="006C56FF" w:rsidRDefault="006C56FF" w:rsidP="006C56FF">
      <w:pPr>
        <w:widowControl w:val="0"/>
        <w:tabs>
          <w:tab w:val="left" w:pos="0"/>
          <w:tab w:val="left" w:pos="9070"/>
        </w:tabs>
        <w:ind w:left="851" w:right="176"/>
        <w:rPr>
          <w:sz w:val="24"/>
          <w:szCs w:val="24"/>
        </w:rPr>
      </w:pPr>
      <w:r>
        <w:rPr>
          <w:sz w:val="24"/>
          <w:szCs w:val="24"/>
        </w:rPr>
        <w:t>Ritonavir bør ikke anvendes til børn under 2 år pga. utilstrækkelige data vedrørende sikkerhed og virkning.</w:t>
      </w:r>
    </w:p>
    <w:p w:rsidR="006C56FF" w:rsidRDefault="006C56FF" w:rsidP="006C56FF">
      <w:pPr>
        <w:widowControl w:val="0"/>
        <w:tabs>
          <w:tab w:val="left" w:pos="0"/>
          <w:tab w:val="left" w:pos="9070"/>
        </w:tabs>
        <w:ind w:left="851" w:right="176"/>
        <w:rPr>
          <w:sz w:val="24"/>
          <w:szCs w:val="24"/>
        </w:rPr>
      </w:pPr>
    </w:p>
    <w:p w:rsidR="006C56FF" w:rsidRDefault="006C56FF" w:rsidP="006C56FF">
      <w:pPr>
        <w:widowControl w:val="0"/>
        <w:tabs>
          <w:tab w:val="left" w:pos="0"/>
          <w:tab w:val="left" w:pos="9070"/>
        </w:tabs>
        <w:ind w:left="851" w:right="176"/>
        <w:rPr>
          <w:sz w:val="24"/>
          <w:szCs w:val="24"/>
          <w:u w:val="single"/>
        </w:rPr>
      </w:pPr>
      <w:r>
        <w:rPr>
          <w:sz w:val="24"/>
          <w:szCs w:val="24"/>
          <w:u w:val="single"/>
        </w:rPr>
        <w:t>Særlige populationer</w:t>
      </w:r>
    </w:p>
    <w:p w:rsidR="006C56FF" w:rsidRDefault="006C56FF" w:rsidP="006C56FF">
      <w:pPr>
        <w:widowControl w:val="0"/>
        <w:tabs>
          <w:tab w:val="left" w:pos="0"/>
          <w:tab w:val="left" w:pos="9070"/>
        </w:tabs>
        <w:ind w:left="851" w:right="176"/>
        <w:rPr>
          <w:sz w:val="24"/>
          <w:szCs w:val="24"/>
        </w:rPr>
      </w:pPr>
    </w:p>
    <w:p w:rsidR="006C56FF" w:rsidRDefault="006C56FF" w:rsidP="006C56FF">
      <w:pPr>
        <w:widowControl w:val="0"/>
        <w:tabs>
          <w:tab w:val="left" w:pos="0"/>
          <w:tab w:val="left" w:pos="9070"/>
        </w:tabs>
        <w:ind w:left="851" w:right="176"/>
        <w:rPr>
          <w:sz w:val="24"/>
          <w:szCs w:val="24"/>
        </w:rPr>
      </w:pPr>
      <w:r>
        <w:rPr>
          <w:i/>
          <w:iCs/>
          <w:sz w:val="24"/>
          <w:szCs w:val="24"/>
        </w:rPr>
        <w:t>Ældre</w:t>
      </w:r>
    </w:p>
    <w:p w:rsidR="006C56FF" w:rsidRDefault="006C56FF" w:rsidP="006C56FF">
      <w:pPr>
        <w:widowControl w:val="0"/>
        <w:tabs>
          <w:tab w:val="left" w:pos="0"/>
          <w:tab w:val="left" w:pos="9070"/>
        </w:tabs>
        <w:ind w:left="851" w:right="176"/>
        <w:rPr>
          <w:sz w:val="24"/>
          <w:szCs w:val="24"/>
        </w:rPr>
      </w:pPr>
      <w:r>
        <w:rPr>
          <w:sz w:val="24"/>
          <w:szCs w:val="24"/>
        </w:rPr>
        <w:t>Farmakokinetiske data har indikeret, at dosisjustering ikke er nødvendig hos ældre patienter (se punkt 5.2).</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i/>
          <w:sz w:val="24"/>
          <w:szCs w:val="24"/>
          <w:lang w:eastAsia="da-DK"/>
        </w:rPr>
      </w:pPr>
      <w:r>
        <w:rPr>
          <w:i/>
          <w:sz w:val="24"/>
          <w:szCs w:val="24"/>
          <w:lang w:eastAsia="da-DK"/>
        </w:rPr>
        <w:lastRenderedPageBreak/>
        <w:t>Nedsat nyrefunktion</w:t>
      </w:r>
    </w:p>
    <w:p w:rsidR="006C56FF" w:rsidRDefault="006C56FF" w:rsidP="006C56FF">
      <w:pPr>
        <w:tabs>
          <w:tab w:val="left" w:pos="0"/>
          <w:tab w:val="left" w:pos="9070"/>
        </w:tabs>
        <w:ind w:left="851"/>
        <w:rPr>
          <w:sz w:val="24"/>
          <w:szCs w:val="24"/>
          <w:lang w:eastAsia="da-DK"/>
        </w:rPr>
      </w:pPr>
      <w:r>
        <w:rPr>
          <w:sz w:val="24"/>
          <w:szCs w:val="24"/>
          <w:lang w:eastAsia="da-DK"/>
        </w:rPr>
        <w:t>Der er i øjeblikket ingen specifikke data for denne patientgruppe, og der kan derfor ikke gives konkrete anbefalinger vedrørende dosering. Nyreclearance af ritonavir er minimal. Derfor forventes der ikke noget fald i kroppens samlede clearance hos patienter med nedsat nyrefunktion. Da ritonavir i høj grad er proteinbundet, er det usandsynligt, at der vil ske nogen væsentlig udskillelse af ritonavir gennem hæmodialyse eller peritonealdialyse.</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i/>
          <w:sz w:val="24"/>
          <w:szCs w:val="24"/>
          <w:lang w:eastAsia="da-DK"/>
        </w:rPr>
      </w:pPr>
      <w:r>
        <w:rPr>
          <w:i/>
          <w:sz w:val="24"/>
          <w:szCs w:val="24"/>
          <w:lang w:eastAsia="da-DK"/>
        </w:rPr>
        <w:t>Nedsat leverfunktion</w:t>
      </w:r>
    </w:p>
    <w:p w:rsidR="006C56FF" w:rsidRDefault="006C56FF" w:rsidP="006C56FF">
      <w:pPr>
        <w:tabs>
          <w:tab w:val="left" w:pos="0"/>
          <w:tab w:val="left" w:pos="9070"/>
        </w:tabs>
        <w:ind w:left="851"/>
        <w:rPr>
          <w:sz w:val="24"/>
          <w:szCs w:val="24"/>
          <w:lang w:eastAsia="da-DK"/>
        </w:rPr>
      </w:pPr>
      <w:r>
        <w:rPr>
          <w:sz w:val="24"/>
          <w:szCs w:val="24"/>
          <w:lang w:eastAsia="da-DK"/>
        </w:rPr>
        <w:t>Ritonavir metaboliseres og elimineres primært af leveren. Farmakokinetiske data indikerer, at dosisjustering ikke er nødvendig hos patienter med mild eller moderat nedsat leverfunktion (se pkt. 5.2). Ritonavir må ikke gives til patienter med alvorligt nedsat leverfunktion (se pkt. 4.3).</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lang w:eastAsia="da-DK"/>
        </w:rPr>
      </w:pPr>
      <w:r>
        <w:rPr>
          <w:i/>
          <w:iCs/>
          <w:sz w:val="24"/>
          <w:szCs w:val="24"/>
          <w:lang w:eastAsia="da-DK"/>
        </w:rPr>
        <w:t>Pædiatrisk population</w:t>
      </w:r>
    </w:p>
    <w:p w:rsidR="006C56FF" w:rsidRDefault="006C56FF" w:rsidP="006C56FF">
      <w:pPr>
        <w:tabs>
          <w:tab w:val="left" w:pos="0"/>
          <w:tab w:val="left" w:pos="9070"/>
        </w:tabs>
        <w:ind w:left="851"/>
        <w:rPr>
          <w:sz w:val="24"/>
          <w:szCs w:val="24"/>
          <w:lang w:eastAsia="da-DK"/>
        </w:rPr>
      </w:pPr>
      <w:r>
        <w:rPr>
          <w:sz w:val="24"/>
          <w:szCs w:val="24"/>
          <w:lang w:eastAsia="da-DK"/>
        </w:rPr>
        <w:t>Sikkerheden og virkningen af ritonavir hos børn under 2 år er ikke klarlagt. De på nuværende tidspunkt tilgængelige data er beskrevet i afsnit 5.1 og 5.2, men der kan ikke gives nogen anbefalinger vedrørende dosering.</w:t>
      </w:r>
    </w:p>
    <w:p w:rsidR="006C56FF"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Pr>
          <w:b/>
          <w:sz w:val="24"/>
          <w:szCs w:val="24"/>
        </w:rPr>
        <w:t>4.3</w:t>
      </w:r>
      <w:r>
        <w:rPr>
          <w:b/>
          <w:sz w:val="24"/>
          <w:szCs w:val="24"/>
        </w:rPr>
        <w:tab/>
        <w:t>Kontraindikationer</w:t>
      </w:r>
    </w:p>
    <w:p w:rsidR="006C56FF" w:rsidRDefault="006C56FF" w:rsidP="006C56FF">
      <w:pPr>
        <w:widowControl w:val="0"/>
        <w:tabs>
          <w:tab w:val="left" w:pos="0"/>
          <w:tab w:val="left" w:pos="9070"/>
        </w:tabs>
        <w:ind w:left="851"/>
        <w:rPr>
          <w:sz w:val="24"/>
          <w:szCs w:val="24"/>
        </w:rPr>
      </w:pPr>
      <w:r>
        <w:rPr>
          <w:sz w:val="24"/>
          <w:szCs w:val="24"/>
        </w:rPr>
        <w:t>Overfølsomhed over for det aktive stof eller ét eller flere af hjælpestofferne anført i pkt. 6.1.</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
        <w:rPr>
          <w:sz w:val="24"/>
          <w:szCs w:val="24"/>
        </w:rPr>
      </w:pPr>
      <w:r>
        <w:rPr>
          <w:sz w:val="24"/>
          <w:szCs w:val="24"/>
        </w:rPr>
        <w:t>Når ritonavir anvendes som en farmakokinetisk forstærker af andre proteasehæmmere, skal produktresuméet for den samtidigt indgivne proteasehæmmer konsulteres med hensyn til kontraindikationer.</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29"/>
        <w:rPr>
          <w:sz w:val="24"/>
          <w:szCs w:val="24"/>
        </w:rPr>
      </w:pPr>
      <w:r>
        <w:rPr>
          <w:sz w:val="24"/>
          <w:szCs w:val="24"/>
        </w:rPr>
        <w:t>Ritonavir bør ikke gives som en farmakokinetisk forstærker eller som et antiretroviralt stof til patienter med inkompenseret leversygdom.</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Pr>
          <w:sz w:val="24"/>
          <w:szCs w:val="24"/>
        </w:rPr>
      </w:pPr>
      <w:r>
        <w:rPr>
          <w:i/>
          <w:sz w:val="24"/>
          <w:szCs w:val="24"/>
        </w:rPr>
        <w:t xml:space="preserve">In vitro- </w:t>
      </w:r>
      <w:r>
        <w:rPr>
          <w:sz w:val="24"/>
          <w:szCs w:val="24"/>
        </w:rPr>
        <w:t xml:space="preserve">og </w:t>
      </w:r>
      <w:r>
        <w:rPr>
          <w:i/>
          <w:sz w:val="24"/>
          <w:szCs w:val="24"/>
        </w:rPr>
        <w:t>in vivo</w:t>
      </w:r>
      <w:r>
        <w:rPr>
          <w:sz w:val="24"/>
          <w:szCs w:val="24"/>
        </w:rPr>
        <w:t>-studier har vist, at ritonavir i betydelig grad hæmmer CYP3A- og CYP2D6-medierede biotransformationer. Anvendelse af følgende lægemidler er kontraindiceret, når de anvendes sammen med ritonavir og, medmindre andet er angivet, er kontraindikationen baseret på ritonavirs evne til at hæmme metabolismen af det samtidigt indgivne lægemiddel, hvilket medfører øget eksponering over for det samtidigt indgivne lægemiddel samt risiko for klinisk signifikante bivirkninger.</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53"/>
        <w:rPr>
          <w:sz w:val="24"/>
          <w:szCs w:val="24"/>
        </w:rPr>
      </w:pPr>
      <w:r>
        <w:rPr>
          <w:sz w:val="24"/>
          <w:szCs w:val="24"/>
        </w:rPr>
        <w:t>Ritonavirs enzymforstærkende effekt kan være dosisafhængig. For nogle produkter kan kontraindikationer være mere relevante, når ritonavir anvendes som et antiretroviralt stof end når ritonavir anvendes som farmakokinetisk forstærker (f.eks. rifabutin og voriconazol):</w:t>
      </w:r>
    </w:p>
    <w:p w:rsidR="006C56FF" w:rsidRDefault="006C56FF" w:rsidP="006C56FF">
      <w:pPr>
        <w:tabs>
          <w:tab w:val="left" w:pos="0"/>
          <w:tab w:val="left" w:pos="9070"/>
        </w:tabs>
        <w:ind w:left="851"/>
        <w:rPr>
          <w:sz w:val="24"/>
          <w:szCs w:val="24"/>
          <w:lang w:eastAsia="da-DK"/>
        </w:rPr>
      </w:pPr>
    </w:p>
    <w:tbl>
      <w:tblPr>
        <w:tblW w:w="0" w:type="auto"/>
        <w:tblInd w:w="117" w:type="dxa"/>
        <w:tblBorders>
          <w:top w:val="single" w:sz="18" w:space="0" w:color="auto"/>
          <w:bottom w:val="single" w:sz="18" w:space="0" w:color="auto"/>
          <w:insideH w:val="single" w:sz="18" w:space="0" w:color="auto"/>
        </w:tblBorders>
        <w:tblLook w:val="04A0" w:firstRow="1" w:lastRow="0" w:firstColumn="1" w:lastColumn="0" w:noHBand="0" w:noVBand="1"/>
      </w:tblPr>
      <w:tblGrid>
        <w:gridCol w:w="2902"/>
        <w:gridCol w:w="2324"/>
        <w:gridCol w:w="3885"/>
      </w:tblGrid>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Lægemiddelklasse</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da-DK"/>
              </w:rPr>
              <w:t>Lægemidler i klassen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es-ES"/>
              </w:rPr>
            </w:pPr>
            <w:r>
              <w:rPr>
                <w:bCs/>
                <w:sz w:val="24"/>
                <w:szCs w:val="24"/>
                <w:lang w:eastAsia="es-ES"/>
              </w:rPr>
              <w:t>Rationale</w:t>
            </w:r>
          </w:p>
        </w:tc>
      </w:tr>
      <w:tr w:rsidR="006C56FF" w:rsidTr="004D4259">
        <w:tc>
          <w:tcPr>
            <w:tcW w:w="9111" w:type="dxa"/>
            <w:gridSpan w:val="3"/>
            <w:tcBorders>
              <w:top w:val="single" w:sz="18" w:space="0" w:color="auto"/>
              <w:left w:val="nil"/>
              <w:bottom w:val="single" w:sz="18" w:space="0" w:color="auto"/>
              <w:right w:val="nil"/>
            </w:tcBorders>
            <w:hideMark/>
          </w:tcPr>
          <w:p w:rsidR="006C56FF" w:rsidRDefault="006C56FF" w:rsidP="004D4259">
            <w:pPr>
              <w:ind w:left="78" w:right="141"/>
              <w:rPr>
                <w:sz w:val="24"/>
                <w:szCs w:val="24"/>
                <w:lang w:eastAsia="es-ES"/>
              </w:rPr>
            </w:pPr>
            <w:r>
              <w:rPr>
                <w:sz w:val="24"/>
                <w:szCs w:val="24"/>
                <w:lang w:eastAsia="da-DK"/>
              </w:rPr>
              <w:t>Forhøjet eller nedsat koncentration af samtidigt indgivet lægemiddel</w:t>
            </w:r>
          </w:p>
        </w:tc>
      </w:tr>
      <w:tr w:rsidR="006C56FF" w:rsidTr="004D4259">
        <w:tc>
          <w:tcPr>
            <w:tcW w:w="2902" w:type="dxa"/>
            <w:tcBorders>
              <w:top w:val="single" w:sz="18" w:space="0" w:color="auto"/>
              <w:left w:val="nil"/>
              <w:bottom w:val="single" w:sz="18" w:space="0" w:color="auto"/>
              <w:right w:val="nil"/>
            </w:tcBorders>
          </w:tcPr>
          <w:p w:rsidR="006C56FF" w:rsidRDefault="006C56FF" w:rsidP="004D4259">
            <w:pPr>
              <w:ind w:left="59"/>
              <w:rPr>
                <w:sz w:val="24"/>
                <w:szCs w:val="24"/>
                <w:lang w:eastAsia="es-ES"/>
              </w:rPr>
            </w:pPr>
            <w:r>
              <w:rPr>
                <w:position w:val="2"/>
                <w:sz w:val="24"/>
                <w:szCs w:val="24"/>
                <w:lang w:eastAsia="es-ES"/>
              </w:rPr>
              <w:t>α</w:t>
            </w:r>
            <w:r>
              <w:rPr>
                <w:sz w:val="24"/>
                <w:szCs w:val="24"/>
                <w:lang w:eastAsia="es-ES"/>
              </w:rPr>
              <w:t>1</w:t>
            </w:r>
            <w:r>
              <w:rPr>
                <w:position w:val="2"/>
                <w:sz w:val="24"/>
                <w:szCs w:val="24"/>
                <w:lang w:eastAsia="es-ES"/>
              </w:rPr>
              <w:t>-</w:t>
            </w:r>
            <w:r>
              <w:rPr>
                <w:sz w:val="24"/>
                <w:szCs w:val="24"/>
                <w:lang w:eastAsia="da-DK"/>
              </w:rPr>
              <w:t xml:space="preserve"> adrenerge antagonister</w:t>
            </w:r>
          </w:p>
          <w:p w:rsidR="006C56FF" w:rsidRDefault="006C56FF" w:rsidP="004D4259">
            <w:pPr>
              <w:ind w:left="59"/>
              <w:rPr>
                <w:sz w:val="24"/>
                <w:szCs w:val="24"/>
                <w:lang w:eastAsia="es-ES"/>
              </w:rPr>
            </w:pP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es-ES"/>
              </w:rPr>
              <w:t>Alfuzosin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es-ES"/>
              </w:rPr>
            </w:pPr>
            <w:r>
              <w:rPr>
                <w:sz w:val="24"/>
                <w:szCs w:val="24"/>
                <w:lang w:eastAsia="da-DK"/>
              </w:rPr>
              <w:t>Forhøjede plasmakoncentrationer af alfuzosin, som kan medføre alvorlig hypotension (se pkt. 4.5).</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Analgetika</w:t>
            </w:r>
          </w:p>
        </w:tc>
        <w:tc>
          <w:tcPr>
            <w:tcW w:w="2324" w:type="dxa"/>
            <w:tcBorders>
              <w:top w:val="single" w:sz="18" w:space="0" w:color="auto"/>
              <w:left w:val="nil"/>
              <w:bottom w:val="single" w:sz="18" w:space="0" w:color="auto"/>
              <w:right w:val="nil"/>
            </w:tcBorders>
          </w:tcPr>
          <w:p w:rsidR="006C56FF" w:rsidRDefault="006C56FF" w:rsidP="004D4259">
            <w:pPr>
              <w:ind w:left="134" w:right="141"/>
              <w:rPr>
                <w:sz w:val="24"/>
                <w:szCs w:val="24"/>
                <w:lang w:eastAsia="da-DK"/>
              </w:rPr>
            </w:pPr>
            <w:r>
              <w:rPr>
                <w:sz w:val="24"/>
                <w:szCs w:val="24"/>
                <w:lang w:eastAsia="da-DK"/>
              </w:rPr>
              <w:t>Pethidin, propoxyphen</w:t>
            </w:r>
          </w:p>
          <w:p w:rsidR="006C56FF" w:rsidRDefault="006C56FF" w:rsidP="004D4259">
            <w:pPr>
              <w:ind w:left="134" w:right="141"/>
              <w:rPr>
                <w:sz w:val="24"/>
                <w:szCs w:val="24"/>
                <w:lang w:eastAsia="es-ES"/>
              </w:rPr>
            </w:pP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es-ES"/>
              </w:rPr>
            </w:pPr>
            <w:r>
              <w:rPr>
                <w:sz w:val="24"/>
                <w:szCs w:val="24"/>
                <w:lang w:eastAsia="da-DK"/>
              </w:rPr>
              <w:t>Forhøjede plasmakoncentrationer af norpethidin</w:t>
            </w:r>
            <w:r w:rsidR="00CF763F">
              <w:rPr>
                <w:sz w:val="24"/>
                <w:szCs w:val="24"/>
                <w:lang w:eastAsia="da-DK"/>
              </w:rPr>
              <w:t xml:space="preserve"> </w:t>
            </w:r>
            <w:r>
              <w:rPr>
                <w:sz w:val="24"/>
                <w:szCs w:val="24"/>
                <w:lang w:eastAsia="da-DK"/>
              </w:rPr>
              <w:t xml:space="preserve">og propoxyphen. Derved forøges risikoen for alvorlig </w:t>
            </w:r>
            <w:r>
              <w:rPr>
                <w:sz w:val="24"/>
                <w:szCs w:val="24"/>
                <w:lang w:eastAsia="da-DK"/>
              </w:rPr>
              <w:lastRenderedPageBreak/>
              <w:t>respiratorisk depression eller hæmatologiske anormaliteter eller andre alvorlige bivirkninger af disse midler.</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da-DK"/>
              </w:rPr>
            </w:pPr>
            <w:r>
              <w:lastRenderedPageBreak/>
              <w:t xml:space="preserve">Midler mod angina pectoris </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da-DK"/>
              </w:rPr>
            </w:pPr>
            <w:r>
              <w:t>Ranolazin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t>Forhøjede plasmakoncentrationer af ranolazin som kan forøge risikoen for alvorlige og/eller livstruende reaktioner (se pkt. 4.5).</w:t>
            </w:r>
          </w:p>
        </w:tc>
      </w:tr>
      <w:tr w:rsidR="007C1BB9" w:rsidTr="004D4259">
        <w:tc>
          <w:tcPr>
            <w:tcW w:w="2902" w:type="dxa"/>
            <w:tcBorders>
              <w:top w:val="single" w:sz="18" w:space="0" w:color="auto"/>
              <w:left w:val="nil"/>
              <w:bottom w:val="single" w:sz="18" w:space="0" w:color="auto"/>
              <w:right w:val="nil"/>
            </w:tcBorders>
            <w:hideMark/>
          </w:tcPr>
          <w:p w:rsidR="007C1BB9" w:rsidRDefault="007C1BB9" w:rsidP="007C1BB9">
            <w:pPr>
              <w:ind w:left="59"/>
              <w:rPr>
                <w:sz w:val="24"/>
                <w:szCs w:val="24"/>
                <w:lang w:eastAsia="da-DK"/>
              </w:rPr>
            </w:pPr>
            <w:r>
              <w:t>Midler mod cancer</w:t>
            </w:r>
          </w:p>
        </w:tc>
        <w:tc>
          <w:tcPr>
            <w:tcW w:w="2324" w:type="dxa"/>
            <w:tcBorders>
              <w:top w:val="single" w:sz="18" w:space="0" w:color="auto"/>
              <w:left w:val="nil"/>
              <w:bottom w:val="single" w:sz="18" w:space="0" w:color="auto"/>
              <w:right w:val="nil"/>
            </w:tcBorders>
            <w:hideMark/>
          </w:tcPr>
          <w:p w:rsidR="007C1BB9" w:rsidRDefault="007C1BB9" w:rsidP="007C1BB9">
            <w:pPr>
              <w:ind w:left="134" w:right="141"/>
              <w:rPr>
                <w:lang w:val="en-US"/>
              </w:rPr>
            </w:pPr>
            <w:r>
              <w:rPr>
                <w:lang w:val="en-US"/>
              </w:rPr>
              <w:t>Neratinib</w:t>
            </w:r>
          </w:p>
          <w:p w:rsidR="007C1BB9" w:rsidRDefault="007C1BB9" w:rsidP="007C1BB9">
            <w:pPr>
              <w:ind w:left="134" w:right="141"/>
              <w:rPr>
                <w:lang w:val="en-US"/>
              </w:rPr>
            </w:pPr>
          </w:p>
          <w:p w:rsidR="007C1BB9" w:rsidRDefault="007C1BB9" w:rsidP="007C1BB9">
            <w:pPr>
              <w:ind w:left="134" w:right="141"/>
              <w:rPr>
                <w:lang w:val="en-US"/>
              </w:rPr>
            </w:pPr>
          </w:p>
          <w:p w:rsidR="007C1BB9" w:rsidRDefault="007C1BB9" w:rsidP="007C1BB9">
            <w:pPr>
              <w:ind w:left="134" w:right="141"/>
              <w:rPr>
                <w:lang w:val="en-US"/>
              </w:rPr>
            </w:pPr>
          </w:p>
          <w:p w:rsidR="007C1BB9" w:rsidRDefault="007C1BB9" w:rsidP="007C1BB9">
            <w:pPr>
              <w:ind w:left="134" w:right="141"/>
              <w:rPr>
                <w:sz w:val="24"/>
                <w:szCs w:val="24"/>
                <w:lang w:eastAsia="da-DK"/>
              </w:rPr>
            </w:pPr>
            <w:r>
              <w:rPr>
                <w:lang w:val="en-US"/>
              </w:rPr>
              <w:t>Venetoclax</w:t>
            </w:r>
          </w:p>
        </w:tc>
        <w:tc>
          <w:tcPr>
            <w:tcW w:w="3885" w:type="dxa"/>
            <w:tcBorders>
              <w:top w:val="single" w:sz="18" w:space="0" w:color="auto"/>
              <w:left w:val="nil"/>
              <w:bottom w:val="single" w:sz="18" w:space="0" w:color="auto"/>
              <w:right w:val="nil"/>
            </w:tcBorders>
            <w:hideMark/>
          </w:tcPr>
          <w:p w:rsidR="007C1BB9" w:rsidRDefault="007C1BB9" w:rsidP="007C1BB9">
            <w:pPr>
              <w:ind w:left="78"/>
            </w:pPr>
            <w:r>
              <w:t>Forhøjede plasmakoncentrationer af neratinib, som kan øge risikoen for alvorlige og livstruende reaktioner inklusive levertoksicitet (se pkt. 4.5).</w:t>
            </w:r>
          </w:p>
          <w:p w:rsidR="007C1BB9" w:rsidRDefault="007C1BB9" w:rsidP="007C1BB9">
            <w:pPr>
              <w:ind w:left="78"/>
              <w:rPr>
                <w:sz w:val="24"/>
                <w:szCs w:val="24"/>
                <w:lang w:eastAsia="da-DK"/>
              </w:rPr>
            </w:pPr>
            <w:r>
              <w:t>Forhøjede plasmakoncentrationer af venetoclax. Øget risiko for tumorlysisyndrom ved dosisinitiering og under dosistitreringsfasen (se pkt. 4.5).</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Antiarytmika</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val="en-US" w:eastAsia="da-DK"/>
              </w:rPr>
            </w:pPr>
            <w:r>
              <w:rPr>
                <w:sz w:val="24"/>
                <w:szCs w:val="24"/>
                <w:lang w:val="en-US" w:eastAsia="da-DK"/>
              </w:rPr>
              <w:t>Amiodaron, bepridil,</w:t>
            </w:r>
          </w:p>
          <w:p w:rsidR="006C56FF" w:rsidRDefault="006C56FF" w:rsidP="004D4259">
            <w:pPr>
              <w:ind w:left="134" w:right="141"/>
              <w:rPr>
                <w:sz w:val="24"/>
                <w:szCs w:val="24"/>
                <w:lang w:val="en-US" w:eastAsia="da-DK"/>
              </w:rPr>
            </w:pPr>
            <w:r>
              <w:rPr>
                <w:lang w:val="en-GB"/>
              </w:rPr>
              <w:t>dronedaron,</w:t>
            </w:r>
          </w:p>
          <w:p w:rsidR="006C56FF" w:rsidRDefault="006C56FF" w:rsidP="004D4259">
            <w:pPr>
              <w:ind w:left="134" w:right="141"/>
              <w:rPr>
                <w:sz w:val="24"/>
                <w:szCs w:val="24"/>
                <w:lang w:val="en-US" w:eastAsia="es-ES"/>
              </w:rPr>
            </w:pPr>
            <w:r>
              <w:rPr>
                <w:sz w:val="24"/>
                <w:szCs w:val="24"/>
                <w:lang w:val="en-US" w:eastAsia="da-DK"/>
              </w:rPr>
              <w:t>encainid, flecainid, propafenon, kinidin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 xml:space="preserve">Forhøjede plasmakoncentrationer af amiodaron, bepridil, </w:t>
            </w:r>
            <w:r>
              <w:t>dronedaron,</w:t>
            </w:r>
            <w:r>
              <w:rPr>
                <w:sz w:val="24"/>
                <w:szCs w:val="24"/>
                <w:lang w:eastAsia="da-DK"/>
              </w:rPr>
              <w:t xml:space="preserve"> encainid, flecainid, propafenon, kinidin. Derved forøges risikoen for arytmier eller andre alvorlige bivirkninger af disse midler.</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Antibiotika</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da-DK"/>
              </w:rPr>
              <w:t>Fusidinsyre</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Forhøjede plasmakoncentrationer af fusidinsyre og ritonavir.</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autoSpaceDE w:val="0"/>
              <w:autoSpaceDN w:val="0"/>
              <w:adjustRightInd w:val="0"/>
              <w:rPr>
                <w:sz w:val="22"/>
                <w:szCs w:val="22"/>
                <w:lang w:val="en-GB" w:eastAsia="da-DK"/>
              </w:rPr>
            </w:pPr>
            <w:r>
              <w:rPr>
                <w:sz w:val="22"/>
                <w:szCs w:val="22"/>
                <w:lang w:val="en-GB" w:eastAsia="da-DK"/>
              </w:rPr>
              <w:t>Midler mod urinsyregigt</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highlight w:val="yellow"/>
                <w:lang w:eastAsia="es-ES"/>
              </w:rPr>
            </w:pPr>
            <w:r>
              <w:t>Colchicin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highlight w:val="yellow"/>
                <w:lang w:eastAsia="da-DK"/>
              </w:rPr>
            </w:pPr>
            <w:r>
              <w:t>Risiko for alvorlige og/eller livstruende reaktioner hos patienter med nedsat nyre- og/eller leverfunktion (se pkt. 4.4 og 4.5).</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Antihistaminer</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da-DK"/>
              </w:rPr>
            </w:pPr>
            <w:r>
              <w:rPr>
                <w:sz w:val="24"/>
                <w:szCs w:val="24"/>
                <w:lang w:eastAsia="da-DK"/>
              </w:rPr>
              <w:t>Astemizol, terfenadin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Forhøjede plasmakoncentrationer af astemizol og terfanadin. Derved forøges risikoen for alvorlige arytmier forårsaget af disse midler.</w:t>
            </w:r>
          </w:p>
        </w:tc>
      </w:tr>
      <w:tr w:rsidR="006C56FF" w:rsidTr="004D4259">
        <w:tc>
          <w:tcPr>
            <w:tcW w:w="2902" w:type="dxa"/>
            <w:tcBorders>
              <w:top w:val="single" w:sz="18" w:space="0" w:color="auto"/>
              <w:left w:val="nil"/>
              <w:bottom w:val="single" w:sz="18" w:space="0" w:color="auto"/>
              <w:right w:val="nil"/>
            </w:tcBorders>
          </w:tcPr>
          <w:p w:rsidR="006C56FF" w:rsidRDefault="006C56FF" w:rsidP="004D4259">
            <w:pPr>
              <w:ind w:left="59"/>
              <w:rPr>
                <w:sz w:val="24"/>
                <w:szCs w:val="24"/>
                <w:lang w:eastAsia="da-DK"/>
              </w:rPr>
            </w:pPr>
            <w:r>
              <w:rPr>
                <w:sz w:val="24"/>
                <w:szCs w:val="24"/>
                <w:lang w:eastAsia="da-DK"/>
              </w:rPr>
              <w:t>Antimykobakterielle lægemidler</w:t>
            </w:r>
          </w:p>
          <w:p w:rsidR="006C56FF" w:rsidRDefault="006C56FF" w:rsidP="004D4259">
            <w:pPr>
              <w:ind w:left="59"/>
              <w:rPr>
                <w:sz w:val="24"/>
                <w:szCs w:val="24"/>
                <w:lang w:eastAsia="da-DK"/>
              </w:rPr>
            </w:pP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es-ES"/>
              </w:rPr>
              <w:t>Rifabutin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Samtidig anvendelse af ritonavir (500 mg to gange daglig) doseret som et antiretro-viralt stof og rifabutin er kontraindiceret på grund af en stigning i rifabutinserum-koncentrationer og risiko for bivirkning-er, herunder uveitis (se pkt. 4.4).</w:t>
            </w:r>
          </w:p>
          <w:p w:rsidR="006C56FF" w:rsidRDefault="006C56FF" w:rsidP="004D4259">
            <w:pPr>
              <w:ind w:left="78"/>
              <w:rPr>
                <w:sz w:val="24"/>
                <w:szCs w:val="24"/>
                <w:lang w:eastAsia="da-DK"/>
              </w:rPr>
            </w:pPr>
            <w:r>
              <w:rPr>
                <w:sz w:val="24"/>
                <w:szCs w:val="24"/>
                <w:lang w:eastAsia="da-DK"/>
              </w:rPr>
              <w:t>Anbefalinger vedrørende anvendelse af ritonavir doseret som en farmakokinetisk forstærker i kombination med rifabutin er angivet i pkt. 4.5.</w:t>
            </w:r>
          </w:p>
        </w:tc>
      </w:tr>
      <w:tr w:rsidR="006C56FF" w:rsidTr="004D4259">
        <w:tc>
          <w:tcPr>
            <w:tcW w:w="2902" w:type="dxa"/>
            <w:tcBorders>
              <w:top w:val="single" w:sz="18" w:space="0" w:color="auto"/>
              <w:left w:val="nil"/>
              <w:bottom w:val="nil"/>
              <w:right w:val="nil"/>
            </w:tcBorders>
            <w:hideMark/>
          </w:tcPr>
          <w:p w:rsidR="006C56FF" w:rsidRDefault="006C56FF" w:rsidP="004D4259">
            <w:pPr>
              <w:ind w:left="59"/>
              <w:rPr>
                <w:sz w:val="24"/>
                <w:szCs w:val="24"/>
                <w:lang w:eastAsia="da-DK"/>
              </w:rPr>
            </w:pPr>
            <w:r>
              <w:rPr>
                <w:sz w:val="24"/>
                <w:szCs w:val="24"/>
                <w:lang w:eastAsia="da-DK"/>
              </w:rPr>
              <w:t>Antipsykotika/neuroleptika</w:t>
            </w:r>
          </w:p>
        </w:tc>
        <w:tc>
          <w:tcPr>
            <w:tcW w:w="2324" w:type="dxa"/>
            <w:tcBorders>
              <w:top w:val="single" w:sz="18" w:space="0" w:color="auto"/>
              <w:left w:val="nil"/>
              <w:bottom w:val="nil"/>
              <w:right w:val="nil"/>
            </w:tcBorders>
          </w:tcPr>
          <w:p w:rsidR="006C56FF" w:rsidRDefault="006C56FF" w:rsidP="004D4259">
            <w:pPr>
              <w:ind w:left="134" w:right="141"/>
              <w:rPr>
                <w:sz w:val="24"/>
                <w:szCs w:val="24"/>
                <w:lang w:eastAsia="da-DK"/>
              </w:rPr>
            </w:pPr>
            <w:r>
              <w:t>Lurasidon</w:t>
            </w:r>
          </w:p>
          <w:p w:rsidR="006C56FF" w:rsidRDefault="006C56FF" w:rsidP="004D4259">
            <w:pPr>
              <w:ind w:left="134" w:right="141"/>
              <w:rPr>
                <w:sz w:val="24"/>
                <w:szCs w:val="24"/>
                <w:lang w:eastAsia="da-DK"/>
              </w:rPr>
            </w:pPr>
          </w:p>
          <w:p w:rsidR="006C56FF" w:rsidRDefault="006C56FF" w:rsidP="004D4259">
            <w:pPr>
              <w:ind w:left="134" w:right="141"/>
              <w:rPr>
                <w:sz w:val="24"/>
                <w:szCs w:val="24"/>
                <w:lang w:eastAsia="da-DK"/>
              </w:rPr>
            </w:pPr>
          </w:p>
          <w:p w:rsidR="006C56FF" w:rsidRDefault="006C56FF" w:rsidP="004D4259">
            <w:pPr>
              <w:ind w:left="134" w:right="141"/>
              <w:rPr>
                <w:sz w:val="24"/>
                <w:szCs w:val="24"/>
                <w:lang w:eastAsia="da-DK"/>
              </w:rPr>
            </w:pPr>
          </w:p>
          <w:p w:rsidR="007C1BB9" w:rsidRDefault="007C1BB9" w:rsidP="004D4259">
            <w:pPr>
              <w:ind w:left="134" w:right="141"/>
              <w:rPr>
                <w:sz w:val="24"/>
                <w:szCs w:val="24"/>
                <w:lang w:eastAsia="da-DK"/>
              </w:rPr>
            </w:pPr>
          </w:p>
          <w:p w:rsidR="006C56FF" w:rsidRDefault="006C56FF" w:rsidP="004D4259">
            <w:pPr>
              <w:ind w:left="134" w:right="141"/>
              <w:rPr>
                <w:sz w:val="24"/>
                <w:szCs w:val="24"/>
                <w:lang w:eastAsia="da-DK"/>
              </w:rPr>
            </w:pPr>
            <w:r>
              <w:rPr>
                <w:sz w:val="24"/>
                <w:szCs w:val="24"/>
                <w:lang w:eastAsia="da-DK"/>
              </w:rPr>
              <w:lastRenderedPageBreak/>
              <w:t>Clozapin, pimozid</w:t>
            </w:r>
          </w:p>
          <w:p w:rsidR="006C56FF" w:rsidRDefault="006C56FF" w:rsidP="004D4259">
            <w:pPr>
              <w:ind w:left="134" w:right="141"/>
              <w:rPr>
                <w:sz w:val="24"/>
                <w:szCs w:val="24"/>
                <w:lang w:eastAsia="es-ES"/>
              </w:rPr>
            </w:pPr>
          </w:p>
        </w:tc>
        <w:tc>
          <w:tcPr>
            <w:tcW w:w="3885" w:type="dxa"/>
            <w:tcBorders>
              <w:top w:val="single" w:sz="18" w:space="0" w:color="auto"/>
              <w:left w:val="nil"/>
              <w:bottom w:val="nil"/>
              <w:right w:val="nil"/>
            </w:tcBorders>
            <w:hideMark/>
          </w:tcPr>
          <w:p w:rsidR="006C56FF" w:rsidRDefault="006C56FF" w:rsidP="004D4259">
            <w:pPr>
              <w:ind w:left="78"/>
              <w:rPr>
                <w:sz w:val="24"/>
                <w:szCs w:val="24"/>
                <w:lang w:eastAsia="da-DK"/>
              </w:rPr>
            </w:pPr>
            <w:r>
              <w:lastRenderedPageBreak/>
              <w:t>Forhøjede plasmakoncentrationer af lurasidon som kan forøge risikoen for alvorlige og/eller livstruende reaktioner (se pkt. 4.5).</w:t>
            </w:r>
            <w:r>
              <w:rPr>
                <w:sz w:val="24"/>
                <w:szCs w:val="24"/>
                <w:lang w:eastAsia="da-DK"/>
              </w:rPr>
              <w:t xml:space="preserve"> </w:t>
            </w:r>
          </w:p>
          <w:p w:rsidR="006C56FF" w:rsidRDefault="006C56FF" w:rsidP="004D4259">
            <w:pPr>
              <w:ind w:left="78"/>
              <w:rPr>
                <w:sz w:val="24"/>
                <w:szCs w:val="24"/>
                <w:lang w:eastAsia="es-ES"/>
              </w:rPr>
            </w:pPr>
            <w:r>
              <w:rPr>
                <w:sz w:val="24"/>
                <w:szCs w:val="24"/>
                <w:lang w:eastAsia="da-DK"/>
              </w:rPr>
              <w:lastRenderedPageBreak/>
              <w:t>Forhøjede plasmakoncentrationer af clozapin og pimozid. Derved forøges risikoen for alvorlige hæmatologiske anormaliteter eller andre alvorlige bivirkninger af disse midler.</w:t>
            </w:r>
          </w:p>
        </w:tc>
      </w:tr>
      <w:tr w:rsidR="006C56FF" w:rsidTr="004D4259">
        <w:tc>
          <w:tcPr>
            <w:tcW w:w="2902" w:type="dxa"/>
            <w:tcBorders>
              <w:top w:val="nil"/>
              <w:left w:val="nil"/>
              <w:bottom w:val="single" w:sz="18" w:space="0" w:color="auto"/>
              <w:right w:val="nil"/>
            </w:tcBorders>
          </w:tcPr>
          <w:p w:rsidR="006C56FF" w:rsidRDefault="006C56FF" w:rsidP="004D4259">
            <w:pPr>
              <w:ind w:left="59"/>
              <w:rPr>
                <w:sz w:val="24"/>
                <w:szCs w:val="24"/>
                <w:lang w:eastAsia="es-ES"/>
              </w:rPr>
            </w:pPr>
          </w:p>
        </w:tc>
        <w:tc>
          <w:tcPr>
            <w:tcW w:w="2324" w:type="dxa"/>
            <w:tcBorders>
              <w:top w:val="nil"/>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es-ES"/>
              </w:rPr>
              <w:t>Quetiapin</w:t>
            </w:r>
          </w:p>
        </w:tc>
        <w:tc>
          <w:tcPr>
            <w:tcW w:w="3885" w:type="dxa"/>
            <w:tcBorders>
              <w:top w:val="nil"/>
              <w:left w:val="nil"/>
              <w:bottom w:val="single" w:sz="18" w:space="0" w:color="auto"/>
              <w:right w:val="nil"/>
            </w:tcBorders>
            <w:hideMark/>
          </w:tcPr>
          <w:p w:rsidR="006C56FF" w:rsidRDefault="006C56FF" w:rsidP="004D4259">
            <w:pPr>
              <w:ind w:left="78"/>
              <w:rPr>
                <w:sz w:val="24"/>
                <w:szCs w:val="24"/>
                <w:lang w:eastAsia="es-ES"/>
              </w:rPr>
            </w:pPr>
            <w:r>
              <w:rPr>
                <w:sz w:val="24"/>
                <w:szCs w:val="24"/>
                <w:lang w:eastAsia="da-DK"/>
              </w:rPr>
              <w:t>Forhøjede plasmakoncentrationer af quetiapin, som kan føre til koma. Administration sammen med quetiapin er kontraindiceret (se pkt. 4.5).</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es-ES"/>
              </w:rPr>
            </w:pPr>
            <w:r>
              <w:rPr>
                <w:sz w:val="24"/>
                <w:szCs w:val="24"/>
                <w:lang w:eastAsia="da-DK"/>
              </w:rPr>
              <w:t>Sekalealkaloider</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da-DK"/>
              </w:rPr>
            </w:pPr>
            <w:r>
              <w:rPr>
                <w:sz w:val="24"/>
                <w:szCs w:val="24"/>
                <w:lang w:eastAsia="da-DK"/>
              </w:rPr>
              <w:t>Dihydroergotamin, ergonovin, ergotamin, methylergonovin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Forhøjede plasmakoncentrationer af ergotaminderivater, som medfører akut toksikologisk ergotisme, herunder vasospasmer og iskæmi.</w:t>
            </w:r>
          </w:p>
        </w:tc>
      </w:tr>
      <w:tr w:rsidR="006C56FF" w:rsidTr="004D4259">
        <w:tc>
          <w:tcPr>
            <w:tcW w:w="2902" w:type="dxa"/>
            <w:tcBorders>
              <w:top w:val="single" w:sz="18" w:space="0" w:color="auto"/>
              <w:left w:val="nil"/>
              <w:bottom w:val="single" w:sz="18" w:space="0" w:color="auto"/>
              <w:right w:val="nil"/>
            </w:tcBorders>
          </w:tcPr>
          <w:p w:rsidR="006C56FF" w:rsidRDefault="006C56FF" w:rsidP="004D4259">
            <w:pPr>
              <w:ind w:left="59"/>
              <w:rPr>
                <w:sz w:val="24"/>
                <w:szCs w:val="24"/>
                <w:lang w:eastAsia="da-DK"/>
              </w:rPr>
            </w:pPr>
            <w:r>
              <w:rPr>
                <w:sz w:val="24"/>
                <w:szCs w:val="24"/>
                <w:lang w:eastAsia="da-DK"/>
              </w:rPr>
              <w:t>Peristaltikfremmende middel</w:t>
            </w:r>
          </w:p>
          <w:p w:rsidR="006C56FF" w:rsidRDefault="006C56FF" w:rsidP="004D4259">
            <w:pPr>
              <w:ind w:left="59"/>
              <w:rPr>
                <w:sz w:val="24"/>
                <w:szCs w:val="24"/>
                <w:lang w:eastAsia="da-DK"/>
              </w:rPr>
            </w:pP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es-ES"/>
              </w:rPr>
              <w:t>Cisaprid</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Forhøjede plasmakoncentrationer af cisaprid. Derved forøges risikoen for alvorlige arytmier forårsaget af disse midler.</w:t>
            </w:r>
          </w:p>
        </w:tc>
      </w:tr>
      <w:tr w:rsidR="007C1BB9" w:rsidTr="004D4259">
        <w:tc>
          <w:tcPr>
            <w:tcW w:w="2902" w:type="dxa"/>
            <w:tcBorders>
              <w:top w:val="single" w:sz="18" w:space="0" w:color="auto"/>
              <w:left w:val="nil"/>
              <w:bottom w:val="single" w:sz="18" w:space="0" w:color="auto"/>
              <w:right w:val="nil"/>
            </w:tcBorders>
          </w:tcPr>
          <w:p w:rsidR="003E5494" w:rsidRDefault="003E5494" w:rsidP="003E5494">
            <w:pPr>
              <w:ind w:left="59"/>
            </w:pPr>
            <w:r>
              <w:t>Lipidmodificerende stoffer</w:t>
            </w:r>
          </w:p>
          <w:p w:rsidR="003E5494" w:rsidRDefault="003E5494" w:rsidP="003E5494">
            <w:pPr>
              <w:ind w:left="59"/>
              <w:rPr>
                <w:sz w:val="24"/>
                <w:szCs w:val="24"/>
                <w:lang w:eastAsia="da-DK"/>
              </w:rPr>
            </w:pPr>
            <w:r>
              <w:rPr>
                <w:sz w:val="24"/>
                <w:szCs w:val="24"/>
                <w:lang w:eastAsia="da-DK"/>
              </w:rPr>
              <w:t>HMG-CoA-reduktasehæmmere</w:t>
            </w:r>
          </w:p>
          <w:p w:rsidR="007C1BB9" w:rsidRDefault="007C1BB9" w:rsidP="007C1BB9">
            <w:pPr>
              <w:ind w:left="59"/>
              <w:rPr>
                <w:sz w:val="24"/>
                <w:szCs w:val="24"/>
                <w:lang w:eastAsia="da-DK"/>
              </w:rPr>
            </w:pPr>
          </w:p>
        </w:tc>
        <w:tc>
          <w:tcPr>
            <w:tcW w:w="2324" w:type="dxa"/>
            <w:tcBorders>
              <w:top w:val="single" w:sz="18" w:space="0" w:color="auto"/>
              <w:left w:val="nil"/>
              <w:bottom w:val="single" w:sz="18" w:space="0" w:color="auto"/>
              <w:right w:val="nil"/>
            </w:tcBorders>
            <w:hideMark/>
          </w:tcPr>
          <w:p w:rsidR="007C1BB9" w:rsidRDefault="007C1BB9" w:rsidP="007C1BB9">
            <w:pPr>
              <w:ind w:left="134" w:right="141"/>
              <w:rPr>
                <w:sz w:val="24"/>
                <w:szCs w:val="24"/>
                <w:lang w:eastAsia="es-ES"/>
              </w:rPr>
            </w:pPr>
            <w:r>
              <w:rPr>
                <w:sz w:val="24"/>
                <w:szCs w:val="24"/>
                <w:lang w:eastAsia="es-ES"/>
              </w:rPr>
              <w:t>Lovastatin, simvastatin</w:t>
            </w:r>
          </w:p>
        </w:tc>
        <w:tc>
          <w:tcPr>
            <w:tcW w:w="3885" w:type="dxa"/>
            <w:tcBorders>
              <w:top w:val="single" w:sz="18" w:space="0" w:color="auto"/>
              <w:left w:val="nil"/>
              <w:bottom w:val="single" w:sz="18" w:space="0" w:color="auto"/>
              <w:right w:val="nil"/>
            </w:tcBorders>
            <w:hideMark/>
          </w:tcPr>
          <w:p w:rsidR="007C1BB9" w:rsidRDefault="007C1BB9" w:rsidP="007C1BB9">
            <w:pPr>
              <w:ind w:left="78"/>
              <w:rPr>
                <w:sz w:val="24"/>
                <w:szCs w:val="24"/>
                <w:lang w:eastAsia="da-DK"/>
              </w:rPr>
            </w:pPr>
            <w:r>
              <w:rPr>
                <w:sz w:val="24"/>
                <w:szCs w:val="24"/>
                <w:lang w:eastAsia="da-DK"/>
              </w:rPr>
              <w:t>Forhøjede plasmakoncentrationer af lovastatin og simvastatin; Derved forøges risikoen for myopati, heriblandt rhabdomyolysis (se pkt. 4.5).</w:t>
            </w:r>
          </w:p>
        </w:tc>
      </w:tr>
      <w:tr w:rsidR="007C1BB9" w:rsidTr="004D4259">
        <w:tc>
          <w:tcPr>
            <w:tcW w:w="2902" w:type="dxa"/>
            <w:tcBorders>
              <w:top w:val="single" w:sz="18" w:space="0" w:color="auto"/>
              <w:left w:val="nil"/>
              <w:bottom w:val="single" w:sz="18" w:space="0" w:color="auto"/>
              <w:right w:val="nil"/>
            </w:tcBorders>
          </w:tcPr>
          <w:p w:rsidR="007C1BB9" w:rsidRDefault="007C1BB9" w:rsidP="007C1BB9">
            <w:pPr>
              <w:ind w:left="59"/>
              <w:rPr>
                <w:sz w:val="24"/>
                <w:szCs w:val="24"/>
                <w:lang w:eastAsia="da-DK"/>
              </w:rPr>
            </w:pPr>
            <w:r>
              <w:rPr>
                <w:sz w:val="24"/>
                <w:szCs w:val="24"/>
                <w:lang w:eastAsia="da-DK"/>
              </w:rPr>
              <w:t>Mikrosomal triglycerid</w:t>
            </w:r>
          </w:p>
          <w:p w:rsidR="007C1BB9" w:rsidRDefault="007C1BB9" w:rsidP="007C1BB9">
            <w:pPr>
              <w:ind w:left="59"/>
              <w:rPr>
                <w:sz w:val="24"/>
                <w:szCs w:val="24"/>
                <w:lang w:eastAsia="da-DK"/>
              </w:rPr>
            </w:pPr>
            <w:r>
              <w:rPr>
                <w:sz w:val="24"/>
                <w:szCs w:val="24"/>
                <w:lang w:eastAsia="da-DK"/>
              </w:rPr>
              <w:t>transfer protein</w:t>
            </w:r>
          </w:p>
          <w:p w:rsidR="007C1BB9" w:rsidRDefault="007C1BB9" w:rsidP="007C1BB9">
            <w:pPr>
              <w:ind w:left="59"/>
              <w:rPr>
                <w:sz w:val="24"/>
                <w:szCs w:val="24"/>
                <w:lang w:eastAsia="da-DK"/>
              </w:rPr>
            </w:pPr>
            <w:r>
              <w:rPr>
                <w:sz w:val="24"/>
                <w:szCs w:val="24"/>
                <w:lang w:eastAsia="da-DK"/>
              </w:rPr>
              <w:t>(MTTP) hæmmer</w:t>
            </w:r>
          </w:p>
        </w:tc>
        <w:tc>
          <w:tcPr>
            <w:tcW w:w="2324" w:type="dxa"/>
            <w:tcBorders>
              <w:top w:val="single" w:sz="18" w:space="0" w:color="auto"/>
              <w:left w:val="nil"/>
              <w:bottom w:val="single" w:sz="18" w:space="0" w:color="auto"/>
              <w:right w:val="nil"/>
            </w:tcBorders>
          </w:tcPr>
          <w:p w:rsidR="007C1BB9" w:rsidRDefault="007C1BB9" w:rsidP="007C1BB9">
            <w:pPr>
              <w:ind w:left="134" w:right="141"/>
              <w:rPr>
                <w:sz w:val="24"/>
                <w:szCs w:val="24"/>
                <w:lang w:eastAsia="es-ES"/>
              </w:rPr>
            </w:pPr>
            <w:r>
              <w:rPr>
                <w:sz w:val="24"/>
                <w:szCs w:val="24"/>
                <w:lang w:eastAsia="es-ES"/>
              </w:rPr>
              <w:t>Lomitapid</w:t>
            </w:r>
          </w:p>
        </w:tc>
        <w:tc>
          <w:tcPr>
            <w:tcW w:w="3885" w:type="dxa"/>
            <w:tcBorders>
              <w:top w:val="single" w:sz="18" w:space="0" w:color="auto"/>
              <w:left w:val="nil"/>
              <w:bottom w:val="single" w:sz="18" w:space="0" w:color="auto"/>
              <w:right w:val="nil"/>
            </w:tcBorders>
          </w:tcPr>
          <w:p w:rsidR="007C1BB9" w:rsidRDefault="007C1BB9" w:rsidP="007C1BB9">
            <w:pPr>
              <w:ind w:left="78"/>
              <w:rPr>
                <w:sz w:val="24"/>
                <w:szCs w:val="24"/>
                <w:lang w:eastAsia="da-DK"/>
              </w:rPr>
            </w:pPr>
            <w:r>
              <w:rPr>
                <w:sz w:val="24"/>
                <w:szCs w:val="24"/>
                <w:lang w:eastAsia="da-DK"/>
              </w:rPr>
              <w:t>Forhøjede plasmakoncentrationer af lomitapid (se pkt. 4.5).</w:t>
            </w:r>
          </w:p>
        </w:tc>
      </w:tr>
      <w:tr w:rsidR="006C56FF" w:rsidTr="004D4259">
        <w:tc>
          <w:tcPr>
            <w:tcW w:w="2902" w:type="dxa"/>
            <w:tcBorders>
              <w:top w:val="single" w:sz="18" w:space="0" w:color="auto"/>
              <w:left w:val="nil"/>
              <w:bottom w:val="nil"/>
              <w:right w:val="nil"/>
            </w:tcBorders>
            <w:hideMark/>
          </w:tcPr>
          <w:p w:rsidR="006C56FF" w:rsidRDefault="006C56FF" w:rsidP="004D4259">
            <w:pPr>
              <w:ind w:left="59"/>
              <w:rPr>
                <w:sz w:val="24"/>
                <w:szCs w:val="24"/>
                <w:lang w:eastAsia="da-DK"/>
              </w:rPr>
            </w:pPr>
            <w:r>
              <w:rPr>
                <w:sz w:val="24"/>
                <w:szCs w:val="24"/>
                <w:lang w:eastAsia="da-DK"/>
              </w:rPr>
              <w:t>PDE5-hæmmer</w:t>
            </w:r>
          </w:p>
        </w:tc>
        <w:tc>
          <w:tcPr>
            <w:tcW w:w="2324" w:type="dxa"/>
            <w:tcBorders>
              <w:top w:val="single" w:sz="18" w:space="0" w:color="auto"/>
              <w:left w:val="nil"/>
              <w:bottom w:val="nil"/>
              <w:right w:val="nil"/>
            </w:tcBorders>
            <w:hideMark/>
          </w:tcPr>
          <w:p w:rsidR="006C56FF" w:rsidRDefault="006C56FF" w:rsidP="004D4259">
            <w:pPr>
              <w:ind w:left="134" w:right="141"/>
              <w:rPr>
                <w:sz w:val="24"/>
                <w:szCs w:val="24"/>
                <w:lang w:eastAsia="es-ES"/>
              </w:rPr>
            </w:pPr>
            <w:r>
              <w:rPr>
                <w:sz w:val="24"/>
                <w:szCs w:val="24"/>
                <w:lang w:eastAsia="es-ES"/>
              </w:rPr>
              <w:t>Avanafil</w:t>
            </w:r>
          </w:p>
        </w:tc>
        <w:tc>
          <w:tcPr>
            <w:tcW w:w="3885" w:type="dxa"/>
            <w:tcBorders>
              <w:top w:val="single" w:sz="18" w:space="0" w:color="auto"/>
              <w:left w:val="nil"/>
              <w:bottom w:val="nil"/>
              <w:right w:val="nil"/>
            </w:tcBorders>
            <w:hideMark/>
          </w:tcPr>
          <w:p w:rsidR="006C56FF" w:rsidRDefault="006C56FF" w:rsidP="004D4259">
            <w:pPr>
              <w:ind w:left="78"/>
              <w:rPr>
                <w:color w:val="000000"/>
                <w:sz w:val="24"/>
                <w:szCs w:val="24"/>
                <w:lang w:eastAsia="da-DK"/>
              </w:rPr>
            </w:pPr>
            <w:r>
              <w:rPr>
                <w:position w:val="2"/>
                <w:sz w:val="24"/>
                <w:szCs w:val="24"/>
                <w:lang w:eastAsia="da-DK"/>
              </w:rPr>
              <w:t xml:space="preserve">Forhøjede plasmakoncentrationer af avanafil (se </w:t>
            </w:r>
            <w:r>
              <w:rPr>
                <w:sz w:val="24"/>
                <w:szCs w:val="24"/>
                <w:lang w:eastAsia="da-DK"/>
              </w:rPr>
              <w:t>pkt. 4.4 og 4.5).</w:t>
            </w:r>
          </w:p>
        </w:tc>
      </w:tr>
      <w:tr w:rsidR="006C56FF" w:rsidTr="004D4259">
        <w:tc>
          <w:tcPr>
            <w:tcW w:w="2902" w:type="dxa"/>
            <w:tcBorders>
              <w:top w:val="nil"/>
              <w:left w:val="nil"/>
              <w:bottom w:val="nil"/>
              <w:right w:val="nil"/>
            </w:tcBorders>
          </w:tcPr>
          <w:p w:rsidR="006C56FF" w:rsidRDefault="006C56FF" w:rsidP="004D4259">
            <w:pPr>
              <w:ind w:left="59"/>
              <w:rPr>
                <w:sz w:val="24"/>
                <w:szCs w:val="24"/>
                <w:lang w:eastAsia="es-ES"/>
              </w:rPr>
            </w:pPr>
          </w:p>
        </w:tc>
        <w:tc>
          <w:tcPr>
            <w:tcW w:w="2324" w:type="dxa"/>
            <w:tcBorders>
              <w:top w:val="nil"/>
              <w:left w:val="nil"/>
              <w:bottom w:val="nil"/>
              <w:right w:val="nil"/>
            </w:tcBorders>
            <w:hideMark/>
          </w:tcPr>
          <w:p w:rsidR="006C56FF" w:rsidRDefault="006C56FF" w:rsidP="004D4259">
            <w:pPr>
              <w:ind w:left="134" w:right="141"/>
              <w:rPr>
                <w:sz w:val="24"/>
                <w:szCs w:val="24"/>
                <w:lang w:eastAsia="es-ES"/>
              </w:rPr>
            </w:pPr>
            <w:r>
              <w:rPr>
                <w:sz w:val="24"/>
                <w:szCs w:val="24"/>
                <w:lang w:eastAsia="es-ES"/>
              </w:rPr>
              <w:t>Sildenafil</w:t>
            </w:r>
          </w:p>
        </w:tc>
        <w:tc>
          <w:tcPr>
            <w:tcW w:w="3885" w:type="dxa"/>
            <w:tcBorders>
              <w:top w:val="nil"/>
              <w:left w:val="nil"/>
              <w:bottom w:val="nil"/>
              <w:right w:val="nil"/>
            </w:tcBorders>
            <w:hideMark/>
          </w:tcPr>
          <w:p w:rsidR="006C56FF" w:rsidRDefault="006C56FF" w:rsidP="004D4259">
            <w:pPr>
              <w:ind w:left="78"/>
              <w:rPr>
                <w:sz w:val="24"/>
                <w:szCs w:val="24"/>
                <w:lang w:eastAsia="es-ES"/>
              </w:rPr>
            </w:pPr>
            <w:r>
              <w:rPr>
                <w:position w:val="2"/>
                <w:sz w:val="24"/>
                <w:szCs w:val="24"/>
                <w:lang w:eastAsia="da-DK"/>
              </w:rPr>
              <w:t xml:space="preserve">Kontraindiceret, når det kun anvendes til behandling </w:t>
            </w:r>
            <w:r>
              <w:rPr>
                <w:sz w:val="24"/>
                <w:szCs w:val="24"/>
                <w:lang w:eastAsia="da-DK"/>
              </w:rPr>
              <w:t>af pulmonal hypertension (PAH). Forhøjede plasmakoncentrationer af sildenafil. Derved stiger den potentielle risiko for sildenafil-associerede bivirkninger (som inkluderer hypotension og synkope). Se pkt 4.4 og pkt 4.5 vedrørende samtidig indgift af sildenafil til patienter med erektil dysfunktion.</w:t>
            </w:r>
          </w:p>
        </w:tc>
      </w:tr>
      <w:tr w:rsidR="006C56FF" w:rsidTr="004D4259">
        <w:tc>
          <w:tcPr>
            <w:tcW w:w="2902" w:type="dxa"/>
            <w:tcBorders>
              <w:top w:val="nil"/>
              <w:left w:val="nil"/>
              <w:bottom w:val="single" w:sz="18" w:space="0" w:color="auto"/>
              <w:right w:val="nil"/>
            </w:tcBorders>
          </w:tcPr>
          <w:p w:rsidR="006C56FF" w:rsidRDefault="006C56FF" w:rsidP="004D4259">
            <w:pPr>
              <w:ind w:left="59"/>
              <w:rPr>
                <w:sz w:val="24"/>
                <w:szCs w:val="24"/>
                <w:lang w:eastAsia="es-ES"/>
              </w:rPr>
            </w:pPr>
          </w:p>
        </w:tc>
        <w:tc>
          <w:tcPr>
            <w:tcW w:w="2324" w:type="dxa"/>
            <w:tcBorders>
              <w:top w:val="nil"/>
              <w:left w:val="nil"/>
              <w:bottom w:val="single" w:sz="18" w:space="0" w:color="auto"/>
              <w:right w:val="nil"/>
            </w:tcBorders>
            <w:hideMark/>
          </w:tcPr>
          <w:p w:rsidR="006C56FF" w:rsidRDefault="006C56FF" w:rsidP="004D4259">
            <w:pPr>
              <w:ind w:left="134" w:right="141"/>
              <w:rPr>
                <w:sz w:val="24"/>
                <w:szCs w:val="24"/>
                <w:lang w:eastAsia="es-ES"/>
              </w:rPr>
            </w:pPr>
            <w:r>
              <w:rPr>
                <w:sz w:val="24"/>
                <w:szCs w:val="24"/>
                <w:lang w:eastAsia="es-ES"/>
              </w:rPr>
              <w:t>Vardenafil</w:t>
            </w:r>
          </w:p>
        </w:tc>
        <w:tc>
          <w:tcPr>
            <w:tcW w:w="3885" w:type="dxa"/>
            <w:tcBorders>
              <w:top w:val="nil"/>
              <w:left w:val="nil"/>
              <w:bottom w:val="single" w:sz="18" w:space="0" w:color="auto"/>
              <w:right w:val="nil"/>
            </w:tcBorders>
            <w:hideMark/>
          </w:tcPr>
          <w:p w:rsidR="006C56FF" w:rsidRDefault="006C56FF" w:rsidP="004D4259">
            <w:pPr>
              <w:ind w:left="78"/>
              <w:rPr>
                <w:color w:val="000000"/>
                <w:sz w:val="24"/>
                <w:szCs w:val="24"/>
                <w:lang w:eastAsia="da-DK"/>
              </w:rPr>
            </w:pPr>
            <w:r>
              <w:rPr>
                <w:sz w:val="24"/>
                <w:szCs w:val="24"/>
                <w:lang w:eastAsia="da-DK"/>
              </w:rPr>
              <w:t>Forhøjede plasmakoncentrationer af vardenafil (se pkt. 4.4 og 4.5).</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da-DK"/>
              </w:rPr>
            </w:pPr>
            <w:r>
              <w:rPr>
                <w:sz w:val="24"/>
                <w:szCs w:val="24"/>
              </w:rPr>
              <w:t>Sedativa/hypnotika</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da-DK"/>
              </w:rPr>
            </w:pPr>
            <w:r>
              <w:rPr>
                <w:sz w:val="24"/>
                <w:szCs w:val="24"/>
                <w:lang w:eastAsia="da-DK"/>
              </w:rPr>
              <w:t>Clorazepat, diazepam,</w:t>
            </w:r>
          </w:p>
          <w:p w:rsidR="006C56FF" w:rsidRDefault="006C56FF" w:rsidP="004D4259">
            <w:pPr>
              <w:ind w:left="134" w:right="141"/>
              <w:rPr>
                <w:sz w:val="24"/>
                <w:szCs w:val="24"/>
                <w:lang w:eastAsia="da-DK"/>
              </w:rPr>
            </w:pPr>
            <w:r>
              <w:rPr>
                <w:sz w:val="24"/>
                <w:szCs w:val="24"/>
                <w:lang w:eastAsia="da-DK"/>
              </w:rPr>
              <w:t>estazolam, flurazepam, oral midazolam og triazolam</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Forhøjede plasmakoncentrationer af clorazepat, diazepam, estazolam, flurazepam, midazolam og triazolam. Derved forøges risikoen for alvorlige sedation og respirationsdepression forårsaget af disse midler. For advarsler vedrørende parenteral administreret midazolam, se pkt. 4.5).</w:t>
            </w:r>
          </w:p>
        </w:tc>
      </w:tr>
      <w:tr w:rsidR="006C56FF" w:rsidTr="004D4259">
        <w:tc>
          <w:tcPr>
            <w:tcW w:w="9111" w:type="dxa"/>
            <w:gridSpan w:val="3"/>
            <w:tcBorders>
              <w:top w:val="single" w:sz="18" w:space="0" w:color="auto"/>
              <w:left w:val="nil"/>
              <w:bottom w:val="single" w:sz="18" w:space="0" w:color="auto"/>
              <w:right w:val="nil"/>
            </w:tcBorders>
            <w:hideMark/>
          </w:tcPr>
          <w:p w:rsidR="006C56FF" w:rsidRDefault="006C56FF" w:rsidP="004D4259">
            <w:pPr>
              <w:ind w:left="78" w:right="141"/>
              <w:rPr>
                <w:sz w:val="24"/>
                <w:szCs w:val="24"/>
                <w:lang w:eastAsia="da-DK"/>
              </w:rPr>
            </w:pPr>
            <w:r>
              <w:rPr>
                <w:sz w:val="24"/>
                <w:szCs w:val="24"/>
                <w:lang w:eastAsia="da-DK"/>
              </w:rPr>
              <w:lastRenderedPageBreak/>
              <w:t>Formindsket koncentration af ritonavir</w:t>
            </w:r>
          </w:p>
        </w:tc>
      </w:tr>
      <w:tr w:rsidR="006C56FF" w:rsidTr="004D4259">
        <w:tc>
          <w:tcPr>
            <w:tcW w:w="2902" w:type="dxa"/>
            <w:tcBorders>
              <w:top w:val="single" w:sz="18" w:space="0" w:color="auto"/>
              <w:left w:val="nil"/>
              <w:bottom w:val="single" w:sz="18" w:space="0" w:color="auto"/>
              <w:right w:val="nil"/>
            </w:tcBorders>
            <w:hideMark/>
          </w:tcPr>
          <w:p w:rsidR="006C56FF" w:rsidRDefault="006C56FF" w:rsidP="004D4259">
            <w:pPr>
              <w:ind w:left="59"/>
              <w:rPr>
                <w:sz w:val="24"/>
                <w:szCs w:val="24"/>
                <w:lang w:eastAsia="da-DK"/>
              </w:rPr>
            </w:pPr>
            <w:r>
              <w:rPr>
                <w:sz w:val="24"/>
                <w:szCs w:val="24"/>
                <w:lang w:eastAsia="da-DK"/>
              </w:rPr>
              <w:t>Naturlægemidler</w:t>
            </w:r>
          </w:p>
        </w:tc>
        <w:tc>
          <w:tcPr>
            <w:tcW w:w="2324" w:type="dxa"/>
            <w:tcBorders>
              <w:top w:val="single" w:sz="18" w:space="0" w:color="auto"/>
              <w:left w:val="nil"/>
              <w:bottom w:val="single" w:sz="18" w:space="0" w:color="auto"/>
              <w:right w:val="nil"/>
            </w:tcBorders>
            <w:hideMark/>
          </w:tcPr>
          <w:p w:rsidR="006C56FF" w:rsidRDefault="006C56FF" w:rsidP="004D4259">
            <w:pPr>
              <w:ind w:left="134" w:right="141"/>
              <w:rPr>
                <w:sz w:val="24"/>
                <w:szCs w:val="24"/>
                <w:lang w:eastAsia="da-DK"/>
              </w:rPr>
            </w:pPr>
            <w:r>
              <w:rPr>
                <w:sz w:val="24"/>
                <w:szCs w:val="24"/>
                <w:lang w:eastAsia="da-DK"/>
              </w:rPr>
              <w:t>Perikon</w:t>
            </w:r>
          </w:p>
        </w:tc>
        <w:tc>
          <w:tcPr>
            <w:tcW w:w="3885" w:type="dxa"/>
            <w:tcBorders>
              <w:top w:val="single" w:sz="18" w:space="0" w:color="auto"/>
              <w:left w:val="nil"/>
              <w:bottom w:val="single" w:sz="18" w:space="0" w:color="auto"/>
              <w:right w:val="nil"/>
            </w:tcBorders>
            <w:hideMark/>
          </w:tcPr>
          <w:p w:rsidR="006C56FF" w:rsidRDefault="006C56FF" w:rsidP="004D4259">
            <w:pPr>
              <w:ind w:left="78"/>
              <w:rPr>
                <w:sz w:val="24"/>
                <w:szCs w:val="24"/>
                <w:lang w:eastAsia="da-DK"/>
              </w:rPr>
            </w:pPr>
            <w:r>
              <w:rPr>
                <w:sz w:val="24"/>
                <w:szCs w:val="24"/>
                <w:lang w:eastAsia="da-DK"/>
              </w:rPr>
              <w:t>Naturlægemidler indeholdende perikon (</w:t>
            </w:r>
            <w:r>
              <w:rPr>
                <w:i/>
                <w:sz w:val="24"/>
                <w:szCs w:val="24"/>
                <w:lang w:eastAsia="da-DK"/>
              </w:rPr>
              <w:t>Hypericum perforatum</w:t>
            </w:r>
            <w:r>
              <w:rPr>
                <w:sz w:val="24"/>
                <w:szCs w:val="24"/>
                <w:lang w:eastAsia="da-DK"/>
              </w:rPr>
              <w:t>) på grund af risikoen for nedsatte plasmakoncentrationer og nedsat klinisk effekt af ritonavir (se pkt. 4.5).</w:t>
            </w:r>
          </w:p>
        </w:tc>
      </w:tr>
    </w:tbl>
    <w:p w:rsidR="006C56FF"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6C56FF" w:rsidRDefault="006C56FF" w:rsidP="006C56FF">
      <w:pPr>
        <w:widowControl w:val="0"/>
        <w:tabs>
          <w:tab w:val="left" w:pos="0"/>
          <w:tab w:val="left" w:pos="9070"/>
        </w:tabs>
        <w:ind w:left="851" w:right="467"/>
        <w:rPr>
          <w:sz w:val="24"/>
          <w:szCs w:val="24"/>
        </w:rPr>
      </w:pPr>
      <w:r>
        <w:rPr>
          <w:sz w:val="24"/>
          <w:szCs w:val="24"/>
        </w:rPr>
        <w:t>Ritonavir helbreder hverken hiv-1-infektion eller AIDS. Patienter, der får ritonavir eller anden antiretroviral behandling, kan fortsat udvikle opportunistiske infektioner og andre komplikationer af hiv-1-infektion.</w:t>
      </w:r>
    </w:p>
    <w:p w:rsidR="006C56FF" w:rsidRDefault="006C56FF" w:rsidP="00C74D39">
      <w:pPr>
        <w:tabs>
          <w:tab w:val="left" w:pos="0"/>
          <w:tab w:val="left" w:pos="9070"/>
        </w:tabs>
        <w:rPr>
          <w:sz w:val="24"/>
          <w:szCs w:val="24"/>
          <w:lang w:eastAsia="da-DK"/>
        </w:rPr>
      </w:pPr>
    </w:p>
    <w:p w:rsidR="003E5494" w:rsidRDefault="006C56FF" w:rsidP="003E5494">
      <w:pPr>
        <w:widowControl w:val="0"/>
        <w:tabs>
          <w:tab w:val="left" w:pos="0"/>
          <w:tab w:val="left" w:pos="9070"/>
        </w:tabs>
        <w:ind w:left="851" w:right="345"/>
        <w:rPr>
          <w:sz w:val="24"/>
          <w:szCs w:val="24"/>
        </w:rPr>
      </w:pPr>
      <w:r>
        <w:rPr>
          <w:sz w:val="24"/>
          <w:szCs w:val="24"/>
        </w:rPr>
        <w:t>Når ritonavir anvendes som en farmakokinetisk forstærker med andre proteasehæmmere, bør de fuldstændige oplysninger vedrørende advarsler og forsigtighedsregler, der gælder for netop den proteasehæmmer, tages i betragtning, og derfor skal produktresuméet for den konkrete proteasehæmmer konsulteres.</w:t>
      </w:r>
    </w:p>
    <w:p w:rsidR="003E5494" w:rsidRDefault="003E5494" w:rsidP="003E5494">
      <w:pPr>
        <w:widowControl w:val="0"/>
        <w:tabs>
          <w:tab w:val="left" w:pos="0"/>
          <w:tab w:val="left" w:pos="9070"/>
        </w:tabs>
        <w:ind w:left="851" w:right="345"/>
        <w:rPr>
          <w:sz w:val="24"/>
          <w:szCs w:val="24"/>
        </w:rPr>
      </w:pPr>
    </w:p>
    <w:p w:rsidR="003E5494" w:rsidRDefault="003E5494" w:rsidP="003E5494">
      <w:pPr>
        <w:tabs>
          <w:tab w:val="left" w:pos="0"/>
          <w:tab w:val="left" w:pos="9070"/>
        </w:tabs>
        <w:ind w:left="851"/>
        <w:rPr>
          <w:b/>
          <w:sz w:val="24"/>
          <w:szCs w:val="24"/>
          <w:lang w:eastAsia="da-DK"/>
        </w:rPr>
      </w:pPr>
      <w:r>
        <w:rPr>
          <w:b/>
          <w:sz w:val="24"/>
          <w:szCs w:val="24"/>
          <w:lang w:eastAsia="da-DK"/>
        </w:rPr>
        <w:t>Ritonavir doseret som et antiretroviralt stof eller som en farmakokinetisk forstærker</w:t>
      </w:r>
    </w:p>
    <w:p w:rsidR="006C56FF" w:rsidRDefault="006C56FF" w:rsidP="006C56FF">
      <w:pPr>
        <w:widowControl w:val="0"/>
        <w:tabs>
          <w:tab w:val="left" w:pos="0"/>
          <w:tab w:val="left" w:pos="9070"/>
        </w:tabs>
        <w:ind w:left="851"/>
        <w:rPr>
          <w:i/>
          <w:sz w:val="24"/>
          <w:szCs w:val="24"/>
        </w:rPr>
      </w:pPr>
    </w:p>
    <w:p w:rsidR="006C56FF" w:rsidRDefault="006C56FF" w:rsidP="006C56FF">
      <w:pPr>
        <w:widowControl w:val="0"/>
        <w:tabs>
          <w:tab w:val="left" w:pos="0"/>
          <w:tab w:val="left" w:pos="9070"/>
        </w:tabs>
        <w:ind w:left="851"/>
        <w:rPr>
          <w:sz w:val="24"/>
          <w:szCs w:val="24"/>
          <w:u w:val="single" w:color="000000"/>
        </w:rPr>
      </w:pPr>
      <w:r>
        <w:rPr>
          <w:sz w:val="24"/>
          <w:szCs w:val="24"/>
          <w:u w:val="single" w:color="000000"/>
        </w:rPr>
        <w:t>Patienter med kronisk diarré eller malabsorption</w:t>
      </w:r>
    </w:p>
    <w:p w:rsidR="006C56FF" w:rsidRDefault="006C56FF" w:rsidP="006C56FF">
      <w:pPr>
        <w:widowControl w:val="0"/>
        <w:tabs>
          <w:tab w:val="left" w:pos="0"/>
          <w:tab w:val="left" w:pos="9070"/>
        </w:tabs>
        <w:ind w:left="851"/>
        <w:rPr>
          <w:sz w:val="24"/>
          <w:szCs w:val="24"/>
        </w:rPr>
      </w:pPr>
      <w:r>
        <w:rPr>
          <w:sz w:val="24"/>
          <w:szCs w:val="24"/>
        </w:rPr>
        <w:t>Supplerende overvågning anbefales i tilfælde af diarré. Den relativt hyppige forekomst af diarré under ritonavirbehandling kan hæmme optagelsen og virkningen (på grund af nedsat compliance) af ritonavir eller andre lægemidler, der indtages samtidig. Alvorlig vedvarende opkastning og/eller diarré i forbindelse med ritonavir kan også påvirke nyrefunktionen. Det anbefales at kontrollere nyrefunktionen hos patienter med nedsat nyrefunktion.</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Pr>
          <w:sz w:val="24"/>
          <w:szCs w:val="24"/>
          <w:u w:val="single" w:color="000000"/>
        </w:rPr>
      </w:pPr>
      <w:r>
        <w:rPr>
          <w:sz w:val="24"/>
          <w:szCs w:val="24"/>
          <w:u w:val="single" w:color="000000"/>
        </w:rPr>
        <w:t>Hæmofili</w:t>
      </w:r>
    </w:p>
    <w:p w:rsidR="006C56FF" w:rsidRDefault="006C56FF" w:rsidP="006C56FF">
      <w:pPr>
        <w:widowControl w:val="0"/>
        <w:tabs>
          <w:tab w:val="left" w:pos="0"/>
          <w:tab w:val="left" w:pos="9070"/>
        </w:tabs>
        <w:ind w:left="851"/>
        <w:rPr>
          <w:sz w:val="24"/>
          <w:szCs w:val="24"/>
        </w:rPr>
      </w:pPr>
      <w:r>
        <w:rPr>
          <w:sz w:val="24"/>
          <w:szCs w:val="24"/>
        </w:rPr>
        <w:t>Der er rapporteret forøget blødning, herunder spontane hudhæmatomer og hæmartrose hos patienter med hæmofili type A og B, som er behandlet med proteasehæmmere. Hos nogle patienter blev i tillæg givet faktor VIII. I mere end halvdelen af de rapporterede tilfælde blev behandlingen med proteasehæmmere fortsat eller genoptaget, hvis behandlingen var blevet afbrudt. En kausal relation er blevet udarbejdet, mens virkningsmekanismen ikke er blevet klarlagt. Hæmofilipatienter skal derfor være opmærksomme på muligheden for øget blødningsrisiko.</w:t>
      </w:r>
    </w:p>
    <w:p w:rsidR="006C56FF" w:rsidRDefault="006C56FF" w:rsidP="006C56FF">
      <w:pPr>
        <w:widowControl w:val="0"/>
        <w:tabs>
          <w:tab w:val="left" w:pos="0"/>
          <w:tab w:val="left" w:pos="9070"/>
        </w:tabs>
        <w:ind w:left="851"/>
        <w:rPr>
          <w:sz w:val="24"/>
          <w:szCs w:val="24"/>
        </w:rPr>
      </w:pPr>
    </w:p>
    <w:p w:rsidR="006C56FF" w:rsidRDefault="006C56FF" w:rsidP="006C56FF">
      <w:pPr>
        <w:widowControl w:val="0"/>
        <w:tabs>
          <w:tab w:val="left" w:pos="0"/>
          <w:tab w:val="left" w:pos="9070"/>
        </w:tabs>
        <w:ind w:left="851"/>
        <w:rPr>
          <w:sz w:val="24"/>
          <w:szCs w:val="24"/>
          <w:u w:val="single" w:color="000000"/>
        </w:rPr>
      </w:pPr>
      <w:r>
        <w:rPr>
          <w:sz w:val="24"/>
          <w:szCs w:val="24"/>
          <w:u w:val="single" w:color="000000"/>
        </w:rPr>
        <w:t>Vægt og metaboliske parametre</w:t>
      </w:r>
    </w:p>
    <w:p w:rsidR="006C56FF" w:rsidRDefault="006C56FF" w:rsidP="006C56FF">
      <w:pPr>
        <w:widowControl w:val="0"/>
        <w:tabs>
          <w:tab w:val="left" w:pos="0"/>
          <w:tab w:val="left" w:pos="9070"/>
        </w:tabs>
        <w:ind w:left="851"/>
        <w:rPr>
          <w:sz w:val="24"/>
          <w:szCs w:val="24"/>
        </w:rPr>
      </w:pPr>
      <w:r>
        <w:rPr>
          <w:sz w:val="24"/>
          <w:szCs w:val="24"/>
        </w:rPr>
        <w:t>Vægtstigning og forhøjede lipid- og glucoseniveauer i blodet kan forekomme under antiretroviral behandling. Sådanne forandringer kan til dels være forbundet med sygdomskontrol og livsstil. For lipider er der i nogle tilfælde evidens for en behandlingseffekt, mens der med hensyn til vægtøgning ikke er stærk evidens for en relation til en specifik behandling. Med hensyn til monitorering af lipider og glucose i blodet henvises der til eksisterende hiv-behandlingsretningslinjer. Forhøjede lipidniveauer skal behandles klinisk passende.</w:t>
      </w:r>
    </w:p>
    <w:p w:rsidR="006C56FF" w:rsidRDefault="006C56FF" w:rsidP="006C56FF">
      <w:pPr>
        <w:widowControl w:val="0"/>
        <w:tabs>
          <w:tab w:val="left" w:pos="0"/>
          <w:tab w:val="left" w:pos="9070"/>
        </w:tabs>
        <w:ind w:left="851"/>
        <w:rPr>
          <w:i/>
          <w:sz w:val="24"/>
          <w:szCs w:val="24"/>
        </w:rPr>
      </w:pPr>
    </w:p>
    <w:p w:rsidR="003E5494" w:rsidRDefault="003E5494" w:rsidP="003E5494">
      <w:pPr>
        <w:widowControl w:val="0"/>
        <w:tabs>
          <w:tab w:val="left" w:pos="0"/>
          <w:tab w:val="left" w:pos="9070"/>
        </w:tabs>
        <w:ind w:left="851"/>
        <w:rPr>
          <w:sz w:val="24"/>
          <w:szCs w:val="24"/>
          <w:u w:val="single"/>
        </w:rPr>
      </w:pPr>
      <w:r>
        <w:rPr>
          <w:sz w:val="24"/>
          <w:szCs w:val="24"/>
          <w:u w:val="single" w:color="000000"/>
        </w:rPr>
        <w:t>Pankreatit</w:t>
      </w:r>
    </w:p>
    <w:p w:rsidR="003E5494" w:rsidRDefault="003E5494" w:rsidP="003E5494">
      <w:pPr>
        <w:widowControl w:val="0"/>
        <w:tabs>
          <w:tab w:val="left" w:pos="0"/>
          <w:tab w:val="left" w:pos="9070"/>
        </w:tabs>
        <w:ind w:left="851"/>
        <w:rPr>
          <w:i/>
          <w:sz w:val="24"/>
          <w:szCs w:val="24"/>
        </w:rPr>
      </w:pPr>
      <w:r>
        <w:rPr>
          <w:sz w:val="24"/>
          <w:szCs w:val="24"/>
        </w:rPr>
        <w:t xml:space="preserve">Pankreatit bør overvejes, hvis der optræder kliniske symptomer (kvalme, opkastning, mavesmerter) eller unormale laboratorieværdier (f.eks. forhøjede serumlipase- eller amylaseværdier), som kan tyde på pankreatit. Patienter med disse tegn eller symptomer bør vurderes, og behandlingen med Ritonavir "Accord" bør seponeres, hvis diagnosen </w:t>
      </w:r>
      <w:r>
        <w:rPr>
          <w:sz w:val="24"/>
          <w:szCs w:val="24"/>
        </w:rPr>
        <w:lastRenderedPageBreak/>
        <w:t>pankreatit stilles (se pkt. 4.8).</w:t>
      </w:r>
    </w:p>
    <w:p w:rsidR="003E5494" w:rsidRDefault="003E5494" w:rsidP="003E5494">
      <w:pPr>
        <w:tabs>
          <w:tab w:val="left" w:pos="0"/>
          <w:tab w:val="left" w:pos="9070"/>
        </w:tabs>
        <w:ind w:left="851"/>
        <w:rPr>
          <w:sz w:val="24"/>
          <w:szCs w:val="24"/>
          <w:lang w:eastAsia="da-DK"/>
        </w:rPr>
      </w:pPr>
    </w:p>
    <w:p w:rsidR="003E5494" w:rsidRDefault="003E5494" w:rsidP="003E5494">
      <w:pPr>
        <w:widowControl w:val="0"/>
        <w:tabs>
          <w:tab w:val="left" w:pos="0"/>
          <w:tab w:val="left" w:pos="9070"/>
        </w:tabs>
        <w:ind w:left="851"/>
        <w:rPr>
          <w:sz w:val="24"/>
          <w:szCs w:val="24"/>
          <w:u w:val="single" w:color="000000"/>
        </w:rPr>
      </w:pPr>
      <w:r w:rsidRPr="00D202C5">
        <w:rPr>
          <w:sz w:val="24"/>
          <w:szCs w:val="24"/>
          <w:u w:val="single" w:color="000000"/>
        </w:rPr>
        <w:t>Immunrekonstitutionsinflammatorisk syndrom</w:t>
      </w:r>
    </w:p>
    <w:p w:rsidR="003E5494" w:rsidRDefault="003E5494" w:rsidP="003E5494">
      <w:pPr>
        <w:widowControl w:val="0"/>
        <w:tabs>
          <w:tab w:val="left" w:pos="0"/>
          <w:tab w:val="left" w:pos="9070"/>
        </w:tabs>
        <w:ind w:left="851"/>
        <w:rPr>
          <w:sz w:val="24"/>
          <w:szCs w:val="24"/>
        </w:rPr>
      </w:pPr>
      <w:r>
        <w:rPr>
          <w:sz w:val="24"/>
          <w:szCs w:val="24"/>
        </w:rPr>
        <w:t>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 og pneumocystis jiroveci pneumoni. Alle inflammatoriske symptomer bør vurderes og behandling påbegyndes efter behov.</w:t>
      </w:r>
    </w:p>
    <w:p w:rsidR="003E5494" w:rsidRDefault="003E5494" w:rsidP="003E5494">
      <w:pPr>
        <w:tabs>
          <w:tab w:val="left" w:pos="0"/>
          <w:tab w:val="left" w:pos="9070"/>
        </w:tabs>
        <w:ind w:left="851"/>
        <w:rPr>
          <w:sz w:val="24"/>
          <w:szCs w:val="24"/>
          <w:lang w:eastAsia="da-DK"/>
        </w:rPr>
      </w:pPr>
    </w:p>
    <w:p w:rsidR="003E5494" w:rsidRDefault="003E5494" w:rsidP="003E5494">
      <w:pPr>
        <w:widowControl w:val="0"/>
        <w:tabs>
          <w:tab w:val="left" w:pos="0"/>
          <w:tab w:val="left" w:pos="9070"/>
        </w:tabs>
        <w:ind w:left="851" w:right="253"/>
        <w:rPr>
          <w:sz w:val="24"/>
          <w:szCs w:val="24"/>
        </w:rPr>
      </w:pPr>
      <w:r>
        <w:rPr>
          <w:sz w:val="24"/>
          <w:szCs w:val="24"/>
        </w:rPr>
        <w:t>Det er også rapporteret, at autoimmune sygdomme (såsom Graves sygdom og autoimmun hepatitis) kan forekomme i tilfælde af immunrekonstitution. Den rapporterede tid til reaktionen indtræder er dog mere variabel, og reaktionen kan forekomme flere måneder efter påbegyndelse af behandlingen.</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Pr>
          <w:sz w:val="24"/>
          <w:szCs w:val="24"/>
          <w:u w:val="single"/>
        </w:rPr>
      </w:pPr>
      <w:r>
        <w:rPr>
          <w:sz w:val="24"/>
          <w:szCs w:val="24"/>
          <w:u w:val="single" w:color="000000"/>
        </w:rPr>
        <w:t>Leversygdom</w:t>
      </w:r>
    </w:p>
    <w:p w:rsidR="006C56FF" w:rsidRDefault="006C56FF" w:rsidP="006C56FF">
      <w:pPr>
        <w:widowControl w:val="0"/>
        <w:tabs>
          <w:tab w:val="left" w:pos="0"/>
          <w:tab w:val="left" w:pos="9070"/>
        </w:tabs>
        <w:ind w:left="851"/>
        <w:rPr>
          <w:sz w:val="24"/>
          <w:szCs w:val="24"/>
        </w:rPr>
      </w:pPr>
      <w:r>
        <w:rPr>
          <w:sz w:val="24"/>
          <w:szCs w:val="24"/>
        </w:rPr>
        <w:t>Ritonavir bør ikke gives til patienter med inkompenseret leversygdom (se pkt. 4.2). Patienter med kronisk hepatitis B eller C, som har modtaget antiretroviral kombinationsbehandling, har øget risiko for at få alvorlige bivirkninger og potentielt letale leverbivirkninger. I tilfælde af samtidig antiviral behandling for hepatitis B eller C bør de relevante produktinformationer for disse lægemidler konsulteres.</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76"/>
        <w:rPr>
          <w:sz w:val="24"/>
          <w:szCs w:val="24"/>
        </w:rPr>
      </w:pPr>
      <w:r>
        <w:rPr>
          <w:sz w:val="24"/>
          <w:szCs w:val="24"/>
        </w:rPr>
        <w:t>Patienter med pre-eksisterende leverdysfunktion, herunder kronisk aktiv hepatitis, har en øget frekvens af leverfunktionsabnormiteter ved antiretroviral kombinationsbehandling og bør kontrolleres efter gældende praksis. Hvis der er tegn på forværret leversygdom hos disse patienter, bør det derfor overvejes enten at afbryde eller seponere behandlingen.</w:t>
      </w:r>
    </w:p>
    <w:p w:rsidR="006C56FF" w:rsidRDefault="006C56FF" w:rsidP="006C56FF">
      <w:pPr>
        <w:widowControl w:val="0"/>
        <w:tabs>
          <w:tab w:val="left" w:pos="0"/>
          <w:tab w:val="left" w:pos="9070"/>
        </w:tabs>
        <w:ind w:left="851"/>
        <w:rPr>
          <w:sz w:val="24"/>
          <w:szCs w:val="24"/>
          <w:u w:val="single" w:color="000000"/>
        </w:rPr>
      </w:pPr>
    </w:p>
    <w:p w:rsidR="006C56FF" w:rsidRDefault="006C56FF" w:rsidP="006C56FF">
      <w:pPr>
        <w:widowControl w:val="0"/>
        <w:tabs>
          <w:tab w:val="left" w:pos="0"/>
          <w:tab w:val="left" w:pos="9070"/>
        </w:tabs>
        <w:ind w:left="851"/>
        <w:rPr>
          <w:sz w:val="24"/>
          <w:szCs w:val="24"/>
          <w:u w:val="single" w:color="000000"/>
        </w:rPr>
      </w:pPr>
      <w:r>
        <w:rPr>
          <w:sz w:val="24"/>
          <w:szCs w:val="24"/>
          <w:u w:val="single" w:color="000000"/>
        </w:rPr>
        <w:t>Nyresygdom</w:t>
      </w:r>
    </w:p>
    <w:p w:rsidR="006C56FF" w:rsidRDefault="006C56FF" w:rsidP="006C56FF">
      <w:pPr>
        <w:widowControl w:val="0"/>
        <w:tabs>
          <w:tab w:val="left" w:pos="0"/>
          <w:tab w:val="left" w:pos="9070"/>
        </w:tabs>
        <w:ind w:left="851"/>
        <w:rPr>
          <w:sz w:val="24"/>
          <w:szCs w:val="24"/>
        </w:rPr>
      </w:pPr>
      <w:r>
        <w:rPr>
          <w:sz w:val="24"/>
          <w:szCs w:val="24"/>
        </w:rPr>
        <w:t>Eftersom ritonavirs renale clearance er minimal, forventes der ikke noget fald i den totale clearance hos patienter med nedsat nyrefunktion (se også pkt. 4.2).</w:t>
      </w:r>
    </w:p>
    <w:p w:rsidR="006C56FF" w:rsidRDefault="006C56FF" w:rsidP="006C56FF">
      <w:pPr>
        <w:tabs>
          <w:tab w:val="left" w:pos="0"/>
          <w:tab w:val="left" w:pos="9070"/>
        </w:tabs>
        <w:ind w:left="851"/>
        <w:rPr>
          <w:sz w:val="24"/>
          <w:szCs w:val="24"/>
          <w:lang w:eastAsia="da-DK"/>
        </w:rPr>
      </w:pPr>
    </w:p>
    <w:p w:rsidR="003E5494" w:rsidRDefault="003E5494" w:rsidP="003E5494">
      <w:pPr>
        <w:widowControl w:val="0"/>
        <w:tabs>
          <w:tab w:val="left" w:pos="0"/>
          <w:tab w:val="left" w:pos="9070"/>
        </w:tabs>
        <w:ind w:left="851" w:right="129"/>
        <w:rPr>
          <w:sz w:val="24"/>
          <w:szCs w:val="24"/>
        </w:rPr>
      </w:pPr>
      <w:r>
        <w:rPr>
          <w:sz w:val="24"/>
          <w:szCs w:val="24"/>
        </w:rPr>
        <w:t>Der er rapporteret om nyresvigt, nedsat nyrefunktion, forhøjet kreatinin, hypofosfatæmi og påvirkning af proksimale tubuli (inklusive Fanconi syndrom) ved klinisk brug af tenofovirdisoproxilfumarat (DF) (se pkt. 4.8).</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Pr>
          <w:sz w:val="24"/>
          <w:szCs w:val="24"/>
          <w:u w:val="single" w:color="000000"/>
        </w:rPr>
      </w:pPr>
      <w:r>
        <w:rPr>
          <w:sz w:val="24"/>
          <w:szCs w:val="24"/>
          <w:u w:val="single" w:color="000000"/>
        </w:rPr>
        <w:t>Osteonekrose</w:t>
      </w:r>
    </w:p>
    <w:p w:rsidR="006C56FF" w:rsidRDefault="006C56FF" w:rsidP="006C56FF">
      <w:pPr>
        <w:widowControl w:val="0"/>
        <w:tabs>
          <w:tab w:val="left" w:pos="0"/>
          <w:tab w:val="left" w:pos="9070"/>
        </w:tabs>
        <w:ind w:left="851"/>
        <w:rPr>
          <w:sz w:val="24"/>
          <w:szCs w:val="24"/>
        </w:rPr>
      </w:pPr>
      <w:r>
        <w:rPr>
          <w:sz w:val="24"/>
          <w:szCs w:val="24"/>
        </w:rPr>
        <w:t>Der er rapporteret tilfælde af osteonekrose hos patienter med fremskreden hiv-sygdom og/eller i langvarig kombinationsbehandling med antiretrovirale lægemidler (CART). Ætiologien anses dog for at være multifaktoriel (omfattende anvendelse af kortikosteroider, alkoholforbrug, svær immunosuppression, højere Body Mass Index (BMI)). Patienter bør rådes til at søge læge, hvis de oplever ømme og smertende led, ledstivhed eller bevægelsesbesvær.</w:t>
      </w:r>
    </w:p>
    <w:p w:rsidR="006C56FF" w:rsidRDefault="006C56FF" w:rsidP="006C56FF">
      <w:pPr>
        <w:tabs>
          <w:tab w:val="left" w:pos="0"/>
          <w:tab w:val="left" w:pos="9070"/>
        </w:tabs>
        <w:ind w:left="851"/>
        <w:rPr>
          <w:sz w:val="24"/>
          <w:szCs w:val="24"/>
          <w:lang w:eastAsia="da-DK"/>
        </w:rPr>
      </w:pPr>
    </w:p>
    <w:p w:rsidR="006C56FF" w:rsidRDefault="006C56FF" w:rsidP="003E5494">
      <w:pPr>
        <w:keepNext/>
        <w:widowControl w:val="0"/>
        <w:tabs>
          <w:tab w:val="left" w:pos="0"/>
          <w:tab w:val="left" w:pos="9070"/>
        </w:tabs>
        <w:ind w:left="851"/>
        <w:rPr>
          <w:sz w:val="24"/>
          <w:szCs w:val="24"/>
          <w:u w:val="single" w:color="000000"/>
        </w:rPr>
      </w:pPr>
      <w:r>
        <w:rPr>
          <w:sz w:val="24"/>
          <w:szCs w:val="24"/>
          <w:u w:val="single" w:color="000000"/>
        </w:rPr>
        <w:t>Forlængelse af PR-intervallet</w:t>
      </w:r>
    </w:p>
    <w:p w:rsidR="006C56FF" w:rsidRDefault="006C56FF" w:rsidP="006C56FF">
      <w:pPr>
        <w:widowControl w:val="0"/>
        <w:tabs>
          <w:tab w:val="left" w:pos="0"/>
          <w:tab w:val="left" w:pos="9070"/>
        </w:tabs>
        <w:ind w:left="851"/>
        <w:rPr>
          <w:sz w:val="24"/>
          <w:szCs w:val="24"/>
        </w:rPr>
      </w:pPr>
      <w:r>
        <w:rPr>
          <w:sz w:val="24"/>
          <w:szCs w:val="24"/>
        </w:rPr>
        <w:t xml:space="preserve">Hos nogle raske voksne individer har ritonavir vist sig at forårsage beskeden asymptomatisk forlængelse af PR-intervallet. Der rapporteret om sjældne tilfælde af 2. eller 3. grads atroventrikulær blok i forbindelse med lopinavir/ritonavir-behandling hos patienter med underliggende strukturel hjertesygdom og eksisterende overledningsforstyrrelser samt hos patienter, der får lægemidler, der er kendt for at </w:t>
      </w:r>
      <w:r>
        <w:rPr>
          <w:sz w:val="24"/>
          <w:szCs w:val="24"/>
        </w:rPr>
        <w:lastRenderedPageBreak/>
        <w:t>forlænge PR-intervallet (sådan som verapamil eller atazanavir). Ritonavir "Accord" bør bruges med forsigtighed til sådanne patienter (se pkt. 5.1).</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Pr>
          <w:b/>
          <w:sz w:val="24"/>
          <w:szCs w:val="24"/>
        </w:rPr>
      </w:pPr>
      <w:r>
        <w:rPr>
          <w:b/>
          <w:sz w:val="24"/>
          <w:szCs w:val="24"/>
        </w:rPr>
        <w:t>INTERAKTION MED ANDRE LÆGEMIDLER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b/>
          <w:sz w:val="24"/>
          <w:szCs w:val="24"/>
          <w:lang w:eastAsia="da-DK"/>
        </w:rPr>
      </w:pPr>
      <w:r>
        <w:rPr>
          <w:b/>
          <w:sz w:val="24"/>
          <w:szCs w:val="24"/>
          <w:lang w:eastAsia="da-DK"/>
        </w:rPr>
        <w:t>Ritonavir doseret som et antiretroviralt stof</w:t>
      </w:r>
    </w:p>
    <w:p w:rsidR="006C56FF" w:rsidRDefault="006C56FF" w:rsidP="006C56FF">
      <w:pPr>
        <w:widowControl w:val="0"/>
        <w:tabs>
          <w:tab w:val="left" w:pos="0"/>
          <w:tab w:val="left" w:pos="9070"/>
        </w:tabs>
        <w:ind w:left="851" w:right="295"/>
        <w:rPr>
          <w:sz w:val="24"/>
          <w:szCs w:val="24"/>
        </w:rPr>
      </w:pPr>
      <w:r>
        <w:rPr>
          <w:sz w:val="24"/>
          <w:szCs w:val="24"/>
        </w:rPr>
        <w:t>Der skal tages hensyn til advarsler og forsigtighedsregler, når ritonavir anvendes som et antiretroviralt stof. Det kan ikke forudsættes, at følgende advarsler og forsigtighedsregler også gælder, når ritonavir anvendes som en farmakokinetisk forstærker ved niveauet 100 mg og 200 mg. Når ritonavir anvendes som en farmakokinetisk forstærker, bør de fuldstændige oplysninger vedrørende advarsler og forsigtighedsregler, der gælder for den pågældende proteasehæmmer, tages i betragtning, og derfor skal pkt. 4.4 i produktresuméet for den konkrete proteasehæmmer konsulteres for at afgøre, om nedenstående oplysninger er gældende.</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PDE5-hæmmere</w:t>
      </w:r>
    </w:p>
    <w:p w:rsidR="006C56FF" w:rsidRDefault="006C56FF" w:rsidP="006C56FF">
      <w:pPr>
        <w:tabs>
          <w:tab w:val="left" w:pos="0"/>
          <w:tab w:val="left" w:pos="9070"/>
        </w:tabs>
        <w:ind w:left="851"/>
        <w:rPr>
          <w:sz w:val="24"/>
          <w:szCs w:val="24"/>
          <w:lang w:eastAsia="da-DK"/>
        </w:rPr>
      </w:pPr>
      <w:r>
        <w:rPr>
          <w:sz w:val="24"/>
          <w:szCs w:val="24"/>
          <w:lang w:eastAsia="da-DK"/>
        </w:rPr>
        <w:t xml:space="preserve">Ordination af sildenafil eller tadalafil til behandling af erektil dysfunktion til patienter, som er i behandling med ritonavir, bør ske med særlig forsigtighed. Samtidig indgift af ritonavir og disse lægemidler forventes at øge koncentrationen af PDE5-hæmmer betydeligt og kan resultere i relaterede bivirkninger, f.eks. hypotension og forlænget erektion (se pkt. 4.5). </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lang w:eastAsia="da-DK"/>
        </w:rPr>
      </w:pPr>
      <w:r>
        <w:rPr>
          <w:sz w:val="24"/>
          <w:szCs w:val="24"/>
          <w:lang w:eastAsia="da-DK"/>
        </w:rPr>
        <w:t>Administration af avanafil eller vardenafil sammen med ritonavir er kontraindiceret (se pkt. 4.3). Samtidig brug af sildenafil og ritonavir er kontraindiceret til patienter med pulmonal hypertension (se pkt. 4.3).</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HMG-CoA-reduktasehæmmere</w:t>
      </w:r>
    </w:p>
    <w:p w:rsidR="006C56FF" w:rsidRDefault="006C56FF" w:rsidP="006C56FF">
      <w:pPr>
        <w:tabs>
          <w:tab w:val="left" w:pos="0"/>
          <w:tab w:val="left" w:pos="9070"/>
        </w:tabs>
        <w:ind w:left="851"/>
        <w:rPr>
          <w:sz w:val="24"/>
          <w:szCs w:val="24"/>
          <w:lang w:eastAsia="da-DK"/>
        </w:rPr>
      </w:pPr>
      <w:r>
        <w:rPr>
          <w:sz w:val="24"/>
          <w:szCs w:val="24"/>
          <w:lang w:eastAsia="da-DK"/>
        </w:rPr>
        <w:t>Metaboliseringen af HMG-CoA-reduktasehæmmerne simvastatin og lovastatin er i høj grad afhængig af CYP3A. Samtidig anvendelse af ritonavir og simvastatin eller lovastatin er kontraindiceretpå grund af øget risiko for myopati, herunder rabdomyolyse (se pkt. 4.3). Der skal også udvises forsigtighed, og mindskede doser skal overvejes, hvis ritonavir anvendes samtidig med atorvastatin, som i mindre udstrækning metaboliseres af CYP3A. Elimination af rosuvastatin er ikke afhængig af CYP3A. Der er imidlertid rapporteret om en stigning af rosuvastatin eksposition med samtidig administration af ritonavir. Mekanismen bag denne interaktion er ikke klarlagt, men kan være resultatet af transporter hæmning. De laveste doser af atorvastatin eller rosuvastatin skal administreres, når de bruges sammen med ritonavir doseret som en farmakokinetisk forstærker eller som et antiretroviralt middel. Metabolismen af pravastatin og fluvastatin er ikke afhængig af CYP3A, og der forventes ikke interaktioner med ritonavir. Hvis behandling med en HMG-CoA-reduktasehæmmer er indiceret, anbefales pravastatin eller fluvastatin (se pkt. 4.5).</w:t>
      </w:r>
    </w:p>
    <w:p w:rsidR="006C56FF" w:rsidRDefault="006C56FF" w:rsidP="006C56FF">
      <w:pPr>
        <w:tabs>
          <w:tab w:val="left" w:pos="0"/>
          <w:tab w:val="left" w:pos="9070"/>
        </w:tabs>
        <w:ind w:left="851"/>
        <w:rPr>
          <w:sz w:val="24"/>
          <w:szCs w:val="24"/>
          <w:lang w:eastAsia="da-DK"/>
        </w:rPr>
      </w:pPr>
    </w:p>
    <w:p w:rsidR="006C56FF" w:rsidRDefault="006C56FF" w:rsidP="007C1BB9">
      <w:pPr>
        <w:keepNext/>
        <w:tabs>
          <w:tab w:val="left" w:pos="0"/>
          <w:tab w:val="left" w:pos="9070"/>
        </w:tabs>
        <w:ind w:left="851"/>
        <w:rPr>
          <w:iCs/>
          <w:sz w:val="24"/>
          <w:szCs w:val="24"/>
          <w:u w:val="single"/>
          <w:lang w:eastAsia="da-DK"/>
        </w:rPr>
      </w:pPr>
      <w:r>
        <w:rPr>
          <w:iCs/>
          <w:sz w:val="24"/>
          <w:szCs w:val="24"/>
          <w:u w:val="single"/>
          <w:lang w:eastAsia="da-DK"/>
        </w:rPr>
        <w:t>Colchicin</w:t>
      </w:r>
    </w:p>
    <w:p w:rsidR="006C56FF" w:rsidRDefault="006C56FF" w:rsidP="006C56FF">
      <w:pPr>
        <w:tabs>
          <w:tab w:val="left" w:pos="0"/>
          <w:tab w:val="left" w:pos="9070"/>
        </w:tabs>
        <w:ind w:left="851"/>
        <w:rPr>
          <w:sz w:val="24"/>
          <w:szCs w:val="24"/>
          <w:lang w:eastAsia="da-DK"/>
        </w:rPr>
      </w:pPr>
      <w:r>
        <w:rPr>
          <w:sz w:val="24"/>
          <w:szCs w:val="24"/>
          <w:lang w:eastAsia="da-DK"/>
        </w:rPr>
        <w:t>Der er indberettet livstruende og dødelige lægemiddelinteraktioner hos patienter behandlet med colchicin og potente CYP3A-hæmmere såsom ritonavir (se pkt. 4.3 og 4.5).</w:t>
      </w:r>
    </w:p>
    <w:p w:rsidR="006C56FF" w:rsidRDefault="006C56FF" w:rsidP="006C56FF">
      <w:pPr>
        <w:tabs>
          <w:tab w:val="left" w:pos="0"/>
          <w:tab w:val="left" w:pos="9070"/>
        </w:tabs>
        <w:ind w:left="851"/>
        <w:rPr>
          <w:sz w:val="24"/>
          <w:szCs w:val="24"/>
          <w:lang w:eastAsia="da-DK"/>
        </w:rPr>
      </w:pPr>
    </w:p>
    <w:p w:rsidR="006C56FF" w:rsidRDefault="006C56FF" w:rsidP="003E5494">
      <w:pPr>
        <w:keepNext/>
        <w:tabs>
          <w:tab w:val="left" w:pos="0"/>
          <w:tab w:val="left" w:pos="9070"/>
        </w:tabs>
        <w:ind w:left="851"/>
        <w:rPr>
          <w:sz w:val="24"/>
          <w:szCs w:val="24"/>
          <w:u w:val="single"/>
          <w:lang w:eastAsia="da-DK"/>
        </w:rPr>
      </w:pPr>
      <w:r>
        <w:rPr>
          <w:sz w:val="24"/>
          <w:szCs w:val="24"/>
          <w:u w:val="single"/>
          <w:lang w:eastAsia="da-DK"/>
        </w:rPr>
        <w:t>Digoxin</w:t>
      </w:r>
    </w:p>
    <w:p w:rsidR="006C56FF" w:rsidRDefault="006C56FF" w:rsidP="006C56FF">
      <w:pPr>
        <w:tabs>
          <w:tab w:val="left" w:pos="0"/>
          <w:tab w:val="left" w:pos="9070"/>
        </w:tabs>
        <w:ind w:left="851"/>
        <w:rPr>
          <w:sz w:val="24"/>
          <w:szCs w:val="24"/>
          <w:lang w:eastAsia="da-DK"/>
        </w:rPr>
      </w:pPr>
      <w:r>
        <w:rPr>
          <w:sz w:val="24"/>
          <w:szCs w:val="24"/>
          <w:lang w:eastAsia="da-DK"/>
        </w:rPr>
        <w:t>Ordination af ritonavir til patienter i behandling med digoxin bør ske med særlig forsigtighed, da samtidig indgift af ritonavir og digoxin forventes at øge digoxinkoncentrationerne. De øgede digoxinkoncentrationer kan mindskes med tiden (se pkt. 4.5).</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02"/>
        <w:rPr>
          <w:sz w:val="24"/>
          <w:szCs w:val="24"/>
        </w:rPr>
      </w:pPr>
      <w:r>
        <w:rPr>
          <w:sz w:val="24"/>
          <w:szCs w:val="24"/>
        </w:rPr>
        <w:t xml:space="preserve">For patienter, som allerede tager digoxin, når behandling med ritonavir påbegyndes, bør </w:t>
      </w:r>
      <w:r>
        <w:rPr>
          <w:sz w:val="24"/>
          <w:szCs w:val="24"/>
        </w:rPr>
        <w:lastRenderedPageBreak/>
        <w:t>digoxindosen reduceres til halvdelen af patientens normale dosis, og patienterne bør følges nøjere end normalt i adskillige uger efter påbegyndelse af samtidig indgift af ritonavir og digoxin.</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58"/>
        <w:rPr>
          <w:sz w:val="24"/>
          <w:szCs w:val="24"/>
        </w:rPr>
      </w:pPr>
      <w:r>
        <w:rPr>
          <w:sz w:val="24"/>
          <w:szCs w:val="24"/>
        </w:rPr>
        <w:t>For patienter, der allerede tager ritonavir, når behandling med digoxin påbegyndes, bør digoxin introduceres mere gradvist end normalt. Digoxinkoncentrationerne bør overvåges mere intensivt end normalt i denne periode, med dosisjusteringer efter behov, baseret på kliniske og elektrokardiografiske resultater og fundne digoxinkoncentrationer.</w:t>
      </w:r>
    </w:p>
    <w:p w:rsidR="006C56FF" w:rsidRDefault="006C56FF" w:rsidP="006C56FF">
      <w:pPr>
        <w:tabs>
          <w:tab w:val="left" w:pos="0"/>
          <w:tab w:val="left" w:pos="9070"/>
        </w:tabs>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Ethinylestradiol</w:t>
      </w:r>
    </w:p>
    <w:p w:rsidR="006C56FF" w:rsidRDefault="006C56FF" w:rsidP="006C56FF">
      <w:pPr>
        <w:tabs>
          <w:tab w:val="left" w:pos="0"/>
          <w:tab w:val="left" w:pos="9070"/>
        </w:tabs>
        <w:ind w:left="851"/>
        <w:rPr>
          <w:sz w:val="24"/>
          <w:szCs w:val="24"/>
          <w:lang w:eastAsia="da-DK"/>
        </w:rPr>
      </w:pPr>
      <w:r>
        <w:rPr>
          <w:sz w:val="24"/>
          <w:szCs w:val="24"/>
          <w:lang w:eastAsia="da-DK"/>
        </w:rPr>
        <w:t>Barrieremetoder eller andre ikke-hormonelle antikonceptionsmidler bør overvejes, når ritonavir indgives i terapeutiske eller lave doser, da ritonavir sandsynligvis vil nedsætte virkningen og ændre den uterine blødningsprofil ved indgift sammen med antikonceptionsmidler, som indeholder estradiol.</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Glukokortikoider</w:t>
      </w:r>
    </w:p>
    <w:p w:rsidR="006C56FF" w:rsidRDefault="006C56FF" w:rsidP="006C56FF">
      <w:pPr>
        <w:tabs>
          <w:tab w:val="left" w:pos="0"/>
          <w:tab w:val="left" w:pos="9070"/>
        </w:tabs>
        <w:ind w:left="851"/>
        <w:rPr>
          <w:sz w:val="24"/>
          <w:szCs w:val="24"/>
          <w:lang w:eastAsia="da-DK"/>
        </w:rPr>
      </w:pPr>
      <w:r>
        <w:rPr>
          <w:sz w:val="24"/>
          <w:szCs w:val="24"/>
          <w:lang w:eastAsia="da-DK"/>
        </w:rPr>
        <w:t>Samtidig anvendelse af ritonavir og fluticason eller andre glukokortikoider, som metaboliseres af CYP3A4, anbefales ikke, medmindre de potentielle fordele ved behandlingen opvejer risikoen for systemiske bivirkninger forårsaget af kortikosteroider, herunder Cushings syndrom og binyrebarksuppression (se pkt. 4.5).</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Trazodon</w:t>
      </w:r>
    </w:p>
    <w:p w:rsidR="006C56FF" w:rsidRDefault="006C56FF" w:rsidP="006C56FF">
      <w:pPr>
        <w:tabs>
          <w:tab w:val="left" w:pos="0"/>
          <w:tab w:val="left" w:pos="9070"/>
        </w:tabs>
        <w:ind w:left="851"/>
        <w:rPr>
          <w:sz w:val="24"/>
          <w:szCs w:val="24"/>
          <w:lang w:eastAsia="da-DK"/>
        </w:rPr>
      </w:pPr>
      <w:r>
        <w:rPr>
          <w:sz w:val="24"/>
          <w:szCs w:val="24"/>
          <w:lang w:eastAsia="da-DK"/>
        </w:rPr>
        <w:t>Ordination af ritonavir til patienter, der er i behandling med trazodon, bør ske med særlig forsigtighed. Trazodon er et CYP3A4-substrat, og samtidig indgift af ritonavir forventes at øge trazodonkoncentrationerne. Bivirkninger som kvalme, svimmelhed, hypotension og synkope er observeret i interaktionsstudier med enkeltdoser på raske frivillige forsøgspersoner (se pkt. 4.5).</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Rivaroxaban</w:t>
      </w:r>
    </w:p>
    <w:p w:rsidR="006C56FF" w:rsidRDefault="006C56FF" w:rsidP="006C56FF">
      <w:pPr>
        <w:tabs>
          <w:tab w:val="left" w:pos="0"/>
          <w:tab w:val="left" w:pos="9070"/>
        </w:tabs>
        <w:ind w:left="851"/>
        <w:rPr>
          <w:sz w:val="24"/>
          <w:szCs w:val="24"/>
          <w:lang w:eastAsia="da-DK"/>
        </w:rPr>
      </w:pPr>
      <w:r>
        <w:rPr>
          <w:sz w:val="24"/>
          <w:szCs w:val="24"/>
          <w:lang w:eastAsia="da-DK"/>
        </w:rPr>
        <w:t>Det anbefales ikke at bruge ritonavir til patienter, som får rivaroxaban, på grund af øget risiko for blødning (se pkt. 4.5).</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iCs/>
          <w:sz w:val="24"/>
          <w:szCs w:val="24"/>
          <w:u w:val="single"/>
          <w:lang w:eastAsia="da-DK"/>
        </w:rPr>
        <w:t>Riociguat</w:t>
      </w:r>
    </w:p>
    <w:p w:rsidR="006C56FF" w:rsidRDefault="006C56FF" w:rsidP="006C56FF">
      <w:pPr>
        <w:tabs>
          <w:tab w:val="left" w:pos="0"/>
          <w:tab w:val="left" w:pos="9070"/>
        </w:tabs>
        <w:ind w:left="851"/>
        <w:rPr>
          <w:sz w:val="24"/>
          <w:szCs w:val="24"/>
          <w:lang w:eastAsia="da-DK"/>
        </w:rPr>
      </w:pPr>
      <w:r>
        <w:rPr>
          <w:sz w:val="24"/>
          <w:szCs w:val="24"/>
          <w:lang w:eastAsia="da-DK"/>
        </w:rPr>
        <w:t>Samtidig brug af riociguat og ritonavir frarådes på grund af en potentiel stigning i eksponeringen for riociguat (se punkt 4.5).</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iCs/>
          <w:sz w:val="24"/>
          <w:szCs w:val="24"/>
          <w:u w:val="single"/>
          <w:lang w:eastAsia="da-DK"/>
        </w:rPr>
        <w:t>Vorapaxar</w:t>
      </w:r>
    </w:p>
    <w:p w:rsidR="006C56FF" w:rsidRDefault="006C56FF" w:rsidP="006C56FF">
      <w:pPr>
        <w:tabs>
          <w:tab w:val="left" w:pos="0"/>
          <w:tab w:val="left" w:pos="9070"/>
        </w:tabs>
        <w:ind w:left="851"/>
        <w:rPr>
          <w:sz w:val="24"/>
          <w:szCs w:val="24"/>
          <w:lang w:eastAsia="da-DK"/>
        </w:rPr>
      </w:pPr>
      <w:r>
        <w:rPr>
          <w:sz w:val="24"/>
          <w:szCs w:val="24"/>
          <w:lang w:eastAsia="da-DK"/>
        </w:rPr>
        <w:t>Samtidig brug af vorapaxar og ritonavir frarådes på grund af en potentiel stigning i eksponeringen for vorapaxar (se punkt 4.5).</w:t>
      </w:r>
    </w:p>
    <w:p w:rsidR="006C56FF" w:rsidRDefault="006C56FF" w:rsidP="006C56FF">
      <w:pPr>
        <w:tabs>
          <w:tab w:val="left" w:pos="0"/>
          <w:tab w:val="left" w:pos="9070"/>
        </w:tabs>
        <w:ind w:left="851"/>
        <w:rPr>
          <w:sz w:val="24"/>
          <w:szCs w:val="24"/>
          <w:highlight w:val="yellow"/>
          <w:lang w:eastAsia="da-DK"/>
        </w:rPr>
      </w:pPr>
    </w:p>
    <w:p w:rsidR="006C56FF" w:rsidRDefault="006C56FF" w:rsidP="006C56FF">
      <w:pPr>
        <w:tabs>
          <w:tab w:val="left" w:pos="0"/>
          <w:tab w:val="left" w:pos="9070"/>
        </w:tabs>
        <w:ind w:left="851"/>
        <w:rPr>
          <w:sz w:val="24"/>
          <w:szCs w:val="24"/>
          <w:u w:val="single"/>
          <w:lang w:eastAsia="da-DK"/>
        </w:rPr>
      </w:pPr>
      <w:r>
        <w:rPr>
          <w:iCs/>
          <w:sz w:val="24"/>
          <w:szCs w:val="24"/>
          <w:u w:val="single"/>
          <w:lang w:eastAsia="da-DK"/>
        </w:rPr>
        <w:t>Bedaquilin</w:t>
      </w:r>
    </w:p>
    <w:p w:rsidR="006C56FF" w:rsidRDefault="006C56FF" w:rsidP="006C56FF">
      <w:pPr>
        <w:tabs>
          <w:tab w:val="left" w:pos="0"/>
          <w:tab w:val="left" w:pos="9070"/>
        </w:tabs>
        <w:ind w:left="851"/>
        <w:rPr>
          <w:sz w:val="24"/>
          <w:szCs w:val="24"/>
          <w:highlight w:val="yellow"/>
          <w:lang w:eastAsia="da-DK"/>
        </w:rPr>
      </w:pPr>
      <w:r>
        <w:rPr>
          <w:sz w:val="24"/>
          <w:szCs w:val="24"/>
          <w:lang w:eastAsia="da-DK"/>
        </w:rPr>
        <w:t>Potente CYP3A4-hæmmere såsom proteasehæmmere kan øge bedaquilin-eksponeringen, hvilket potentielt kan øge risikoen for bedaquilin-relaterede bivirkninger. Derfor bør kombination af bedaquilin og ritonavir undgås. Hvis fordelene opvejer risikoen, kan samtidig administration af bedaquilin og ritonavir dog foretages med forsigtighed. Hyppigere elektrokardiogram-monitorering og monitoring af aminotransferaser anbefales (se pkt. 4.5 og produktresuméet for bedaquilin).</w:t>
      </w:r>
    </w:p>
    <w:p w:rsidR="006C56FF" w:rsidRDefault="006C56FF" w:rsidP="006C56FF">
      <w:pPr>
        <w:tabs>
          <w:tab w:val="left" w:pos="0"/>
          <w:tab w:val="left" w:pos="9070"/>
        </w:tabs>
        <w:ind w:left="851"/>
        <w:rPr>
          <w:sz w:val="24"/>
          <w:szCs w:val="24"/>
          <w:highlight w:val="yellow"/>
          <w:lang w:eastAsia="da-DK"/>
        </w:rPr>
      </w:pPr>
    </w:p>
    <w:p w:rsidR="006C56FF" w:rsidRDefault="006C56FF" w:rsidP="006C56FF">
      <w:pPr>
        <w:keepNext/>
        <w:tabs>
          <w:tab w:val="left" w:pos="0"/>
          <w:tab w:val="left" w:pos="9070"/>
        </w:tabs>
        <w:ind w:left="851"/>
        <w:rPr>
          <w:sz w:val="24"/>
          <w:szCs w:val="24"/>
          <w:u w:val="single"/>
          <w:lang w:eastAsia="da-DK"/>
        </w:rPr>
      </w:pPr>
      <w:r>
        <w:rPr>
          <w:iCs/>
          <w:sz w:val="24"/>
          <w:szCs w:val="24"/>
          <w:u w:val="single"/>
          <w:lang w:eastAsia="da-DK"/>
        </w:rPr>
        <w:t>Delamanid</w:t>
      </w:r>
    </w:p>
    <w:p w:rsidR="006C56FF" w:rsidRDefault="006C56FF" w:rsidP="006C56FF">
      <w:pPr>
        <w:tabs>
          <w:tab w:val="left" w:pos="0"/>
          <w:tab w:val="left" w:pos="9070"/>
        </w:tabs>
        <w:ind w:left="851"/>
        <w:rPr>
          <w:sz w:val="24"/>
          <w:szCs w:val="24"/>
          <w:lang w:eastAsia="da-DK"/>
        </w:rPr>
      </w:pPr>
      <w:r>
        <w:rPr>
          <w:sz w:val="24"/>
          <w:szCs w:val="24"/>
          <w:lang w:eastAsia="da-DK"/>
        </w:rPr>
        <w:t>Samtidig administration af delamanid og en potent CYP3A-hæmmer (ritonavir) kan øge eksponeringen for delamanidmetabolitten, hvilket har været sat i forbindelse med QTc-</w:t>
      </w:r>
      <w:r>
        <w:rPr>
          <w:sz w:val="24"/>
          <w:szCs w:val="24"/>
          <w:lang w:eastAsia="da-DK"/>
        </w:rPr>
        <w:lastRenderedPageBreak/>
        <w:t>forlængelse. Hvis samtidig administration af delamanid og ritonavir anses for at være nødvendig, anbefales derfor meget hyppig EKG-monitorering i hele delamanidbehandlingsperioden (se pkt. 4.5 og produktresuméet for delamanid).</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b/>
          <w:sz w:val="24"/>
          <w:szCs w:val="24"/>
          <w:lang w:eastAsia="da-DK"/>
        </w:rPr>
      </w:pPr>
      <w:r>
        <w:rPr>
          <w:b/>
          <w:sz w:val="24"/>
          <w:szCs w:val="24"/>
          <w:lang w:eastAsia="da-DK"/>
        </w:rPr>
        <w:t>Ritonavir doseret som en farmakokinetisk forstærker</w:t>
      </w:r>
    </w:p>
    <w:p w:rsidR="006C56FF" w:rsidRDefault="006C56FF" w:rsidP="006C56FF">
      <w:pPr>
        <w:widowControl w:val="0"/>
        <w:tabs>
          <w:tab w:val="left" w:pos="0"/>
          <w:tab w:val="left" w:pos="9070"/>
        </w:tabs>
        <w:ind w:left="851" w:right="202"/>
        <w:rPr>
          <w:sz w:val="24"/>
          <w:szCs w:val="24"/>
        </w:rPr>
      </w:pPr>
      <w:r>
        <w:rPr>
          <w:sz w:val="24"/>
          <w:szCs w:val="24"/>
        </w:rPr>
        <w:t>Interaktionsprofilen for hiv-proteasehæmmere ved samtidig indgift af lave doser af ritonavir afhænger af den konkrete samtidigt indgivne proteasehæmmer.</w:t>
      </w:r>
    </w:p>
    <w:p w:rsidR="006C56FF" w:rsidRDefault="006C56FF" w:rsidP="006C56FF">
      <w:pPr>
        <w:widowControl w:val="0"/>
        <w:tabs>
          <w:tab w:val="left" w:pos="0"/>
          <w:tab w:val="left" w:pos="9070"/>
        </w:tabs>
        <w:ind w:right="253"/>
        <w:rPr>
          <w:sz w:val="24"/>
          <w:szCs w:val="24"/>
        </w:rPr>
      </w:pPr>
    </w:p>
    <w:p w:rsidR="006C56FF" w:rsidRDefault="006C56FF" w:rsidP="006C56FF">
      <w:pPr>
        <w:widowControl w:val="0"/>
        <w:tabs>
          <w:tab w:val="left" w:pos="0"/>
          <w:tab w:val="left" w:pos="9070"/>
        </w:tabs>
        <w:ind w:left="851" w:right="253"/>
        <w:rPr>
          <w:sz w:val="24"/>
          <w:szCs w:val="24"/>
        </w:rPr>
      </w:pPr>
      <w:r>
        <w:rPr>
          <w:sz w:val="24"/>
          <w:szCs w:val="24"/>
        </w:rPr>
        <w:t>For en beskrivelse af de mekanismer og potentielle mekanismer, der bidrager til proteasehæmmernes interaktionsprofil henvises til pkt. 4.5. Se også produktresuméet for den konkrete boostede proteasehæmmer.</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Saquinavir</w:t>
      </w:r>
    </w:p>
    <w:p w:rsidR="006C56FF" w:rsidRDefault="006C56FF" w:rsidP="006C56FF">
      <w:pPr>
        <w:tabs>
          <w:tab w:val="left" w:pos="0"/>
          <w:tab w:val="left" w:pos="9070"/>
        </w:tabs>
        <w:ind w:left="851"/>
        <w:rPr>
          <w:sz w:val="24"/>
          <w:szCs w:val="24"/>
          <w:lang w:eastAsia="da-DK"/>
        </w:rPr>
      </w:pPr>
      <w:r>
        <w:rPr>
          <w:sz w:val="24"/>
          <w:szCs w:val="24"/>
          <w:lang w:eastAsia="da-DK"/>
        </w:rPr>
        <w:t>Højere doser af ritonavir end 100 mg to gange daglig bør ikke anvendes. Højere doser af ritonavir har vist sig at være forbundet med en øget forekomst af bivirkninger. Samtidig indgift af saquinavir og ritonavir har ført til alvorlige bivirkninger, hovedsagelig diabetisk ketoacidose og leversygdomme, især hos patienter med en allerede eksisterende leversygdom.</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53"/>
        <w:rPr>
          <w:sz w:val="24"/>
          <w:szCs w:val="24"/>
        </w:rPr>
      </w:pPr>
      <w:r>
        <w:rPr>
          <w:sz w:val="24"/>
          <w:szCs w:val="24"/>
        </w:rPr>
        <w:t>Saquinavir/ritonavir bør ikke gives sammen med rifampicin på grund af risikoen for alvorlig levertoxicitet (viser sig ved forhøjede leveraminotransferaser), hvis de tre lægemidler gives sammen (se pkt. 4.5).</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Tipranavir</w:t>
      </w:r>
    </w:p>
    <w:p w:rsidR="006C56FF" w:rsidRDefault="006C56FF" w:rsidP="006C56FF">
      <w:pPr>
        <w:tabs>
          <w:tab w:val="left" w:pos="0"/>
          <w:tab w:val="left" w:pos="9070"/>
        </w:tabs>
        <w:ind w:left="851"/>
        <w:rPr>
          <w:sz w:val="24"/>
          <w:szCs w:val="24"/>
          <w:lang w:eastAsia="da-DK"/>
        </w:rPr>
      </w:pPr>
      <w:r>
        <w:rPr>
          <w:sz w:val="24"/>
          <w:szCs w:val="24"/>
          <w:lang w:eastAsia="da-DK"/>
        </w:rPr>
        <w:t>Samtidig administration af tipranavir og 200 mg ritonavir er blevet associeret med rapporterede tilfælde af klinisk hepatit og hepatisk dekompensation, herunder dødsfald. Der er grund til særlig bevågenhed ved patienter, der samtidig er inficeret med kronisk hepatitis B eller hepatitis C, da disse patienter har øget en risiko for hepatoksicitet.</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76"/>
        <w:rPr>
          <w:sz w:val="24"/>
          <w:szCs w:val="24"/>
        </w:rPr>
      </w:pPr>
      <w:r>
        <w:rPr>
          <w:sz w:val="24"/>
          <w:szCs w:val="24"/>
        </w:rPr>
        <w:t>Lavere doser af ritonavir end 200 mg to gange daglig bør ikke anvendes, da de kan ændre virkningsprofilen for kombinationen.</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Fosamprenavir</w:t>
      </w:r>
    </w:p>
    <w:p w:rsidR="006C56FF" w:rsidRDefault="006C56FF" w:rsidP="006C56FF">
      <w:pPr>
        <w:tabs>
          <w:tab w:val="left" w:pos="0"/>
          <w:tab w:val="left" w:pos="9070"/>
        </w:tabs>
        <w:ind w:left="851"/>
        <w:rPr>
          <w:sz w:val="24"/>
          <w:szCs w:val="24"/>
          <w:lang w:eastAsia="da-DK"/>
        </w:rPr>
      </w:pPr>
      <w:r>
        <w:rPr>
          <w:sz w:val="24"/>
          <w:szCs w:val="24"/>
          <w:lang w:eastAsia="da-DK"/>
        </w:rPr>
        <w:t>Der er ikke foretaget en klinisk vurdering af samtidig indgift af fosamprenavir og ritonavir i højere doser end 100 mg to gange daglig. Brug af højere doser af ritonavir kan ændre sikkerhedsprofilen for kombinationen og anbefales derfor ikke.</w:t>
      </w:r>
    </w:p>
    <w:p w:rsidR="006C56FF" w:rsidRDefault="006C56FF" w:rsidP="006C56FF">
      <w:pPr>
        <w:tabs>
          <w:tab w:val="left" w:pos="0"/>
          <w:tab w:val="left" w:pos="9070"/>
        </w:tabs>
        <w:ind w:left="851"/>
        <w:rPr>
          <w:sz w:val="24"/>
          <w:szCs w:val="24"/>
          <w:lang w:eastAsia="da-DK"/>
        </w:rPr>
      </w:pPr>
    </w:p>
    <w:p w:rsidR="006C56FF" w:rsidRDefault="006C56FF" w:rsidP="006C56FF">
      <w:pPr>
        <w:tabs>
          <w:tab w:val="left" w:pos="0"/>
          <w:tab w:val="left" w:pos="9070"/>
        </w:tabs>
        <w:ind w:left="851"/>
        <w:rPr>
          <w:sz w:val="24"/>
          <w:szCs w:val="24"/>
          <w:u w:val="single"/>
          <w:lang w:eastAsia="da-DK"/>
        </w:rPr>
      </w:pPr>
      <w:r>
        <w:rPr>
          <w:sz w:val="24"/>
          <w:szCs w:val="24"/>
          <w:u w:val="single"/>
          <w:lang w:eastAsia="da-DK"/>
        </w:rPr>
        <w:t>Atazanavir</w:t>
      </w:r>
    </w:p>
    <w:p w:rsidR="006C56FF" w:rsidRDefault="006C56FF" w:rsidP="006C56FF">
      <w:pPr>
        <w:tabs>
          <w:tab w:val="left" w:pos="0"/>
          <w:tab w:val="left" w:pos="9070"/>
        </w:tabs>
        <w:ind w:left="851"/>
        <w:rPr>
          <w:sz w:val="24"/>
          <w:szCs w:val="24"/>
          <w:lang w:eastAsia="da-DK"/>
        </w:rPr>
      </w:pPr>
      <w:r>
        <w:rPr>
          <w:sz w:val="24"/>
          <w:szCs w:val="24"/>
          <w:lang w:eastAsia="da-DK"/>
        </w:rPr>
        <w:t>Der er ikke foretaget en klinisk vurdering af samtidig indgift af atazanavir og ritonavir i højere doser end 100 mg en gang daglig. Brug af højere doser af ritonavir kan ændre sikkerhedsprofilen for atazanavir (hjertepåvirkning, hyperbilirubinæmi) og anbefales derfor ikke. Kun når atazanavir med ritonavir administreres sammen med efavirenz, kan en dosisøgning af ritonavir til 200 mg en gang daglig overvejes. Tæt klinisk overvågning er berrettiget. Se produktresuméet for atazanavir for yderligere oplysninger.</w:t>
      </w:r>
    </w:p>
    <w:p w:rsidR="003E5494" w:rsidRDefault="003E5494" w:rsidP="006C56FF">
      <w:pPr>
        <w:tabs>
          <w:tab w:val="left" w:pos="0"/>
          <w:tab w:val="left" w:pos="9070"/>
        </w:tabs>
        <w:ind w:left="851"/>
        <w:rPr>
          <w:sz w:val="24"/>
          <w:szCs w:val="24"/>
          <w:lang w:eastAsia="da-DK"/>
        </w:rPr>
      </w:pPr>
    </w:p>
    <w:p w:rsidR="003E5494" w:rsidRDefault="003E5494" w:rsidP="003E5494">
      <w:pPr>
        <w:tabs>
          <w:tab w:val="left" w:pos="0"/>
          <w:tab w:val="left" w:pos="9070"/>
        </w:tabs>
        <w:ind w:left="851"/>
        <w:rPr>
          <w:sz w:val="24"/>
          <w:szCs w:val="24"/>
          <w:lang w:eastAsia="da-DK"/>
        </w:rPr>
      </w:pPr>
      <w:r w:rsidRPr="003B31E2">
        <w:rPr>
          <w:lang w:val="nn-NO"/>
        </w:rPr>
        <w:t>Dette lægemiddel indeholder</w:t>
      </w:r>
      <w:r w:rsidRPr="00167C6A">
        <w:t xml:space="preserve"> mindre end 1 mmol natrium (23 mg) pr. tablet, dvs. det er i det væsentlige natrium-fri.</w:t>
      </w:r>
    </w:p>
    <w:p w:rsidR="006C56FF"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7C1BB9" w:rsidRDefault="007C1BB9" w:rsidP="007C1BB9">
      <w:pPr>
        <w:widowControl w:val="0"/>
        <w:tabs>
          <w:tab w:val="left" w:pos="0"/>
          <w:tab w:val="left" w:pos="9070"/>
        </w:tabs>
        <w:ind w:left="851"/>
        <w:rPr>
          <w:sz w:val="24"/>
          <w:szCs w:val="24"/>
          <w:u w:val="single"/>
        </w:rPr>
      </w:pPr>
      <w:r>
        <w:rPr>
          <w:sz w:val="24"/>
          <w:szCs w:val="24"/>
          <w:u w:val="single"/>
        </w:rPr>
        <w:t>Ritonavir doseret som en farmakokinetisk forstærker eller som et antiretroviralt stof</w:t>
      </w:r>
    </w:p>
    <w:p w:rsidR="007C1BB9" w:rsidRDefault="007C1BB9" w:rsidP="007C1BB9">
      <w:pPr>
        <w:widowControl w:val="0"/>
        <w:tabs>
          <w:tab w:val="left" w:pos="0"/>
          <w:tab w:val="left" w:pos="9070"/>
        </w:tabs>
        <w:ind w:left="851" w:right="201"/>
        <w:rPr>
          <w:sz w:val="24"/>
          <w:szCs w:val="24"/>
        </w:rPr>
      </w:pPr>
      <w:r>
        <w:rPr>
          <w:sz w:val="24"/>
          <w:szCs w:val="24"/>
        </w:rPr>
        <w:t xml:space="preserve">Ritonavir har stor affinitet til flere cytokrom P450 (CYP)-isoformer, angivet i aftagende </w:t>
      </w:r>
      <w:r>
        <w:rPr>
          <w:sz w:val="24"/>
          <w:szCs w:val="24"/>
        </w:rPr>
        <w:lastRenderedPageBreak/>
        <w:t xml:space="preserve">rækkefølge, og kan hæmme oxidation: CYP3A4 &gt; CYP2D6. Samtidig administration af Ritonavir "Accord" og lægemidler, som hovedsagelig metaboliseres af CYP3A, kan </w:t>
      </w:r>
      <w:proofErr w:type="gramStart"/>
      <w:r>
        <w:rPr>
          <w:sz w:val="24"/>
          <w:szCs w:val="24"/>
        </w:rPr>
        <w:t>resulterer</w:t>
      </w:r>
      <w:proofErr w:type="gramEnd"/>
      <w:r>
        <w:rPr>
          <w:sz w:val="24"/>
          <w:szCs w:val="24"/>
        </w:rPr>
        <w:t xml:space="preserve"> i forhøjede plasmakoncentrationer af det andet lægemiddel, hvilket kan øge eller forlænge dets terapeutiske effekt eller effekten af bivirkninger. For udvalgte lægemidler (f.eks. alprazolam) kan den hæmmende effekt af ritonavir på CYP3A4 falde med tiden. </w:t>
      </w:r>
      <w:r w:rsidRPr="00691959">
        <w:rPr>
          <w:sz w:val="24"/>
          <w:szCs w:val="24"/>
          <w:lang w:val="nb-NO"/>
        </w:rPr>
        <w:t xml:space="preserve">Ritonavir har også stor affinitet til P-glykoprotein og kan hæmme dette transportprotein. Den hæmmende effekt af ritonavir (med eller uden proteasehæmmere) på P-gp-aktiviteten kan falde med tiden (f.eks. digoxin og fexofenadin – se tabellen "Ritonavirs virkning på ikke-antiretrovirale lægemidler" nedenfor). </w:t>
      </w:r>
      <w:r>
        <w:rPr>
          <w:sz w:val="24"/>
          <w:szCs w:val="24"/>
        </w:rPr>
        <w:t xml:space="preserve">Ritonavir kan fremkalde glukuronidation og oxidation via CYP1A2, CYP2C8, CYP2C9 og CYP2C19 og derved øge biotransformationen af nogle lægemidler, som metaboliseres af disse veje. Dette kan </w:t>
      </w:r>
      <w:proofErr w:type="gramStart"/>
      <w:r>
        <w:rPr>
          <w:sz w:val="24"/>
          <w:szCs w:val="24"/>
        </w:rPr>
        <w:t>resulterer</w:t>
      </w:r>
      <w:proofErr w:type="gramEnd"/>
      <w:r>
        <w:rPr>
          <w:sz w:val="24"/>
          <w:szCs w:val="24"/>
        </w:rPr>
        <w:t xml:space="preserve"> i formindsket systemisk eksponering til sådanne lægemidler, hvilket kan nedsætte eller forkorte deres terapeutiske effekt.</w:t>
      </w:r>
    </w:p>
    <w:p w:rsidR="007C1BB9" w:rsidRDefault="007C1BB9" w:rsidP="007C1BB9">
      <w:pPr>
        <w:widowControl w:val="0"/>
        <w:tabs>
          <w:tab w:val="left" w:pos="0"/>
          <w:tab w:val="left" w:pos="9070"/>
        </w:tabs>
        <w:ind w:left="851"/>
        <w:rPr>
          <w:sz w:val="24"/>
          <w:szCs w:val="24"/>
        </w:rPr>
      </w:pPr>
    </w:p>
    <w:p w:rsidR="007C1BB9" w:rsidRDefault="007C1BB9" w:rsidP="007C1BB9">
      <w:pPr>
        <w:widowControl w:val="0"/>
        <w:tabs>
          <w:tab w:val="left" w:pos="0"/>
          <w:tab w:val="left" w:pos="9070"/>
        </w:tabs>
        <w:ind w:left="851" w:right="253"/>
        <w:rPr>
          <w:sz w:val="24"/>
          <w:szCs w:val="24"/>
        </w:rPr>
      </w:pPr>
      <w:r>
        <w:rPr>
          <w:sz w:val="24"/>
          <w:szCs w:val="24"/>
        </w:rPr>
        <w:t>Vigtig information vedrørende lægemiddelinteraktioner, når ritonavir anvendes som farmakokinetisk forstærker findes også i produktresuméerne for den samtidigt administrerede proteasehæmmer.</w:t>
      </w:r>
    </w:p>
    <w:p w:rsidR="007C1BB9" w:rsidRDefault="007C1BB9" w:rsidP="007C1BB9">
      <w:pPr>
        <w:widowControl w:val="0"/>
        <w:tabs>
          <w:tab w:val="left" w:pos="0"/>
          <w:tab w:val="left" w:pos="9070"/>
        </w:tabs>
        <w:ind w:left="851"/>
        <w:rPr>
          <w:sz w:val="24"/>
          <w:szCs w:val="24"/>
          <w:u w:val="single" w:color="000000"/>
        </w:rPr>
      </w:pPr>
    </w:p>
    <w:p w:rsidR="007C1BB9" w:rsidRDefault="007C1BB9" w:rsidP="007C1BB9">
      <w:pPr>
        <w:widowControl w:val="0"/>
        <w:tabs>
          <w:tab w:val="left" w:pos="0"/>
          <w:tab w:val="left" w:pos="9070"/>
        </w:tabs>
        <w:ind w:left="851"/>
        <w:rPr>
          <w:sz w:val="24"/>
          <w:szCs w:val="24"/>
          <w:u w:val="single"/>
        </w:rPr>
      </w:pPr>
      <w:r>
        <w:rPr>
          <w:sz w:val="24"/>
          <w:szCs w:val="24"/>
          <w:u w:val="single" w:color="000000"/>
        </w:rPr>
        <w:t>Lægemidler som påvirker serumniveau af ritonavir</w:t>
      </w:r>
    </w:p>
    <w:p w:rsidR="007C1BB9" w:rsidRDefault="007C1BB9" w:rsidP="007C1BB9">
      <w:pPr>
        <w:widowControl w:val="0"/>
        <w:tabs>
          <w:tab w:val="left" w:pos="0"/>
        </w:tabs>
        <w:ind w:left="851" w:right="158"/>
        <w:rPr>
          <w:sz w:val="24"/>
          <w:szCs w:val="24"/>
        </w:rPr>
      </w:pPr>
      <w:r>
        <w:rPr>
          <w:sz w:val="24"/>
          <w:szCs w:val="24"/>
        </w:rPr>
        <w:t>Serumniveauerne af ritonavir kan påvirkes ved samtidig anvendelse af naturlægemidler indeholdende perikon (</w:t>
      </w:r>
      <w:r>
        <w:rPr>
          <w:i/>
          <w:sz w:val="24"/>
          <w:szCs w:val="24"/>
        </w:rPr>
        <w:t>Hypericum perforatum</w:t>
      </w:r>
      <w:r>
        <w:rPr>
          <w:sz w:val="24"/>
          <w:szCs w:val="24"/>
        </w:rPr>
        <w:t>). Dette skyldes en af perikon induktion af lægemiddel-metaboliserende enzymer. Naturlægemidler, som indeholder perikon, må derfor ikke anvendes i kombination med ritonavir. Hvis en patient allerede tager perikon, skal perikon seponeres og virusniveauet om muligt kontrolleres. Ritonavir-niveauet kan øges ved seponering af perikon, og det kan være nødvendigt at justere ritonavirdosis. Den inducerende effekt kan bestå i mindst 2 uger efter seponeringen af behandlingen med perikon (se pkt. 4.3).</w:t>
      </w:r>
    </w:p>
    <w:p w:rsidR="007C1BB9" w:rsidRDefault="007C1BB9" w:rsidP="007C1BB9">
      <w:pPr>
        <w:widowControl w:val="0"/>
        <w:tabs>
          <w:tab w:val="left" w:pos="0"/>
          <w:tab w:val="left" w:pos="9070"/>
        </w:tabs>
        <w:ind w:left="851"/>
        <w:rPr>
          <w:sz w:val="24"/>
          <w:szCs w:val="24"/>
        </w:rPr>
      </w:pPr>
    </w:p>
    <w:p w:rsidR="007C1BB9" w:rsidRDefault="007C1BB9" w:rsidP="007C1BB9">
      <w:pPr>
        <w:widowControl w:val="0"/>
        <w:tabs>
          <w:tab w:val="left" w:pos="0"/>
          <w:tab w:val="left" w:pos="9070"/>
        </w:tabs>
        <w:ind w:left="851" w:right="213"/>
        <w:rPr>
          <w:sz w:val="24"/>
          <w:szCs w:val="24"/>
        </w:rPr>
      </w:pPr>
      <w:r>
        <w:rPr>
          <w:sz w:val="24"/>
          <w:szCs w:val="24"/>
        </w:rPr>
        <w:t>Serumniveauerne af ritonavir kan påvirkes ved samtidig administration af udvalgte lægemidler (f.eks. delavirdin, efavirenz, phenytoin og rifampicin). Disse interaktioner er opført i lægemiddelinteraktionstabellen nedenfor.</w:t>
      </w:r>
    </w:p>
    <w:p w:rsidR="007C1BB9" w:rsidRDefault="007C1BB9" w:rsidP="007C1BB9">
      <w:pPr>
        <w:widowControl w:val="0"/>
        <w:tabs>
          <w:tab w:val="left" w:pos="0"/>
          <w:tab w:val="left" w:pos="9070"/>
        </w:tabs>
        <w:ind w:left="851"/>
        <w:rPr>
          <w:sz w:val="24"/>
          <w:szCs w:val="24"/>
        </w:rPr>
      </w:pPr>
    </w:p>
    <w:p w:rsidR="003E5494" w:rsidRDefault="003E5494" w:rsidP="003E5494">
      <w:pPr>
        <w:widowControl w:val="0"/>
        <w:tabs>
          <w:tab w:val="left" w:pos="0"/>
          <w:tab w:val="left" w:pos="9070"/>
        </w:tabs>
        <w:ind w:left="851"/>
        <w:rPr>
          <w:sz w:val="24"/>
          <w:szCs w:val="24"/>
          <w:u w:val="single"/>
        </w:rPr>
      </w:pPr>
      <w:r>
        <w:rPr>
          <w:sz w:val="24"/>
          <w:szCs w:val="24"/>
          <w:u w:val="single"/>
        </w:rPr>
        <w:t>Lægemidler, der påvirkes af ritonavir</w:t>
      </w:r>
    </w:p>
    <w:p w:rsidR="003E5494" w:rsidRDefault="003E5494" w:rsidP="003E5494">
      <w:pPr>
        <w:widowControl w:val="0"/>
        <w:tabs>
          <w:tab w:val="left" w:pos="0"/>
          <w:tab w:val="left" w:pos="9070"/>
        </w:tabs>
        <w:ind w:left="851" w:right="-2"/>
        <w:rPr>
          <w:sz w:val="24"/>
          <w:szCs w:val="24"/>
        </w:rPr>
      </w:pPr>
      <w:r>
        <w:rPr>
          <w:sz w:val="24"/>
          <w:szCs w:val="24"/>
        </w:rPr>
        <w:t xml:space="preserve">Interaktioner mellem ritonavir og proteasehæmmere, antiretrovirale stoffer som ikke er proteasehæmmere og andre non-antiretrovirale lægemidler er opført i listen nedenfor. </w:t>
      </w:r>
      <w:r>
        <w:t>Formålet med denne liste er ikke at være fyldestgørende eller altomfattende. De individuelle produktresumeér bør konsulteres.</w:t>
      </w:r>
    </w:p>
    <w:p w:rsidR="007C1BB9" w:rsidRDefault="007C1BB9" w:rsidP="007C1BB9">
      <w:pPr>
        <w:widowControl w:val="0"/>
        <w:tabs>
          <w:tab w:val="left" w:pos="0"/>
          <w:tab w:val="left" w:pos="9070"/>
        </w:tabs>
        <w:ind w:left="851"/>
        <w:rPr>
          <w:b/>
          <w:bCs/>
          <w:sz w:val="22"/>
          <w:szCs w:val="22"/>
        </w:rPr>
      </w:pPr>
    </w:p>
    <w:tbl>
      <w:tblPr>
        <w:tblW w:w="10035" w:type="dxa"/>
        <w:tblInd w:w="138" w:type="dxa"/>
        <w:tblBorders>
          <w:insideH w:val="single" w:sz="8" w:space="0" w:color="auto"/>
        </w:tblBorders>
        <w:tblLayout w:type="fixed"/>
        <w:tblCellMar>
          <w:left w:w="0" w:type="dxa"/>
          <w:right w:w="0" w:type="dxa"/>
        </w:tblCellMar>
        <w:tblLook w:val="01E0" w:firstRow="1" w:lastRow="1" w:firstColumn="1" w:lastColumn="1" w:noHBand="0" w:noVBand="0"/>
      </w:tblPr>
      <w:tblGrid>
        <w:gridCol w:w="1302"/>
        <w:gridCol w:w="101"/>
        <w:gridCol w:w="139"/>
        <w:gridCol w:w="140"/>
        <w:gridCol w:w="2189"/>
        <w:gridCol w:w="139"/>
        <w:gridCol w:w="140"/>
        <w:gridCol w:w="1382"/>
        <w:gridCol w:w="139"/>
        <w:gridCol w:w="140"/>
        <w:gridCol w:w="1320"/>
        <w:gridCol w:w="139"/>
        <w:gridCol w:w="140"/>
        <w:gridCol w:w="559"/>
        <w:gridCol w:w="419"/>
        <w:gridCol w:w="139"/>
        <w:gridCol w:w="140"/>
        <w:gridCol w:w="700"/>
        <w:gridCol w:w="389"/>
        <w:gridCol w:w="279"/>
      </w:tblGrid>
      <w:tr w:rsidR="003E5494" w:rsidTr="00C70B96">
        <w:trPr>
          <w:gridAfter w:val="1"/>
          <w:wAfter w:w="279" w:type="dxa"/>
          <w:trHeight w:val="330"/>
        </w:trPr>
        <w:tc>
          <w:tcPr>
            <w:tcW w:w="9756" w:type="dxa"/>
            <w:gridSpan w:val="19"/>
            <w:tcBorders>
              <w:top w:val="nil"/>
              <w:left w:val="nil"/>
              <w:bottom w:val="single" w:sz="8" w:space="0" w:color="auto"/>
              <w:right w:val="nil"/>
            </w:tcBorders>
          </w:tcPr>
          <w:p w:rsidR="003E5494" w:rsidRDefault="003E5494" w:rsidP="004D4259">
            <w:pPr>
              <w:widowControl w:val="0"/>
              <w:tabs>
                <w:tab w:val="left" w:pos="0"/>
                <w:tab w:val="left" w:pos="9070"/>
              </w:tabs>
              <w:ind w:left="146"/>
              <w:outlineLvl w:val="3"/>
              <w:rPr>
                <w:sz w:val="22"/>
                <w:szCs w:val="22"/>
              </w:rPr>
            </w:pPr>
            <w:r>
              <w:rPr>
                <w:b/>
                <w:bCs/>
                <w:sz w:val="22"/>
                <w:szCs w:val="22"/>
              </w:rPr>
              <w:t>Lægemiddelinteraktioner – Ritonavir og proteasehæmmere</w:t>
            </w:r>
          </w:p>
          <w:p w:rsidR="003E5494" w:rsidRDefault="003E5494" w:rsidP="004D4259">
            <w:pPr>
              <w:widowControl w:val="0"/>
              <w:tabs>
                <w:tab w:val="left" w:pos="0"/>
                <w:tab w:val="left" w:pos="9070"/>
              </w:tabs>
              <w:ind w:left="146"/>
              <w:rPr>
                <w:sz w:val="22"/>
                <w:szCs w:val="22"/>
              </w:rPr>
            </w:pPr>
          </w:p>
        </w:tc>
      </w:tr>
      <w:tr w:rsidR="003E5494" w:rsidTr="00C70B96">
        <w:trPr>
          <w:gridAfter w:val="1"/>
          <w:wAfter w:w="279" w:type="dxa"/>
          <w:trHeight w:hRule="exact" w:val="814"/>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sz w:val="22"/>
                <w:szCs w:val="22"/>
              </w:rPr>
              <w:t>Samtidigt indgivet</w:t>
            </w:r>
          </w:p>
          <w:p w:rsidR="003E5494" w:rsidRDefault="003E5494" w:rsidP="004D4259">
            <w:pPr>
              <w:widowControl w:val="0"/>
              <w:tabs>
                <w:tab w:val="left" w:pos="0"/>
                <w:tab w:val="left" w:pos="9070"/>
              </w:tabs>
              <w:ind w:left="146"/>
              <w:rPr>
                <w:sz w:val="22"/>
                <w:szCs w:val="22"/>
              </w:rPr>
            </w:pPr>
            <w:r>
              <w:rPr>
                <w:b/>
                <w:sz w:val="22"/>
                <w:szCs w:val="22"/>
              </w:rPr>
              <w:t>lægemiddel</w:t>
            </w:r>
          </w:p>
        </w:tc>
        <w:tc>
          <w:tcPr>
            <w:tcW w:w="2468"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sz w:val="22"/>
                <w:szCs w:val="22"/>
              </w:rPr>
              <w:t>Dosis af samtidigt indgivet lægemiddel (mg)</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sz w:val="22"/>
                <w:szCs w:val="22"/>
              </w:rPr>
              <w:t>Dosis af ritonavir (mg)</w:t>
            </w:r>
          </w:p>
        </w:tc>
        <w:tc>
          <w:tcPr>
            <w:tcW w:w="1599"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sz w:val="22"/>
                <w:szCs w:val="22"/>
              </w:rPr>
              <w:t>Vurderet lægemiddel</w:t>
            </w: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sz w:val="22"/>
                <w:szCs w:val="22"/>
              </w:rPr>
              <w:t>AUC</w:t>
            </w:r>
          </w:p>
        </w:tc>
        <w:tc>
          <w:tcPr>
            <w:tcW w:w="1368"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b/>
                <w:bCs/>
                <w:sz w:val="22"/>
                <w:szCs w:val="22"/>
              </w:rPr>
              <w:t>C</w:t>
            </w:r>
            <w:r>
              <w:rPr>
                <w:b/>
                <w:bCs/>
                <w:sz w:val="22"/>
                <w:szCs w:val="22"/>
                <w:vertAlign w:val="subscript"/>
              </w:rPr>
              <w:t>min</w:t>
            </w:r>
          </w:p>
        </w:tc>
      </w:tr>
      <w:tr w:rsidR="003E5494" w:rsidTr="00C70B96">
        <w:trPr>
          <w:gridAfter w:val="1"/>
          <w:wAfter w:w="279" w:type="dxa"/>
          <w:trHeight w:hRule="exact" w:val="510"/>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Amprenavir</w:t>
            </w:r>
          </w:p>
        </w:tc>
        <w:tc>
          <w:tcPr>
            <w:tcW w:w="2468"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600 mg hver 12. time</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ight="296"/>
              <w:rPr>
                <w:sz w:val="22"/>
                <w:szCs w:val="22"/>
              </w:rPr>
            </w:pPr>
            <w:r>
              <w:rPr>
                <w:sz w:val="22"/>
                <w:szCs w:val="22"/>
              </w:rPr>
              <w:t>100 mg hver 12. time</w:t>
            </w:r>
          </w:p>
        </w:tc>
        <w:tc>
          <w:tcPr>
            <w:tcW w:w="1599"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Amprenavir</w:t>
            </w:r>
            <w:r>
              <w:rPr>
                <w:sz w:val="22"/>
                <w:szCs w:val="22"/>
                <w:vertAlign w:val="superscript"/>
              </w:rPr>
              <w:t>1</w:t>
            </w: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64 %</w:t>
            </w:r>
          </w:p>
        </w:tc>
        <w:tc>
          <w:tcPr>
            <w:tcW w:w="1368"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5 gange</w:t>
            </w:r>
          </w:p>
        </w:tc>
      </w:tr>
      <w:tr w:rsidR="003E5494" w:rsidTr="00C70B96">
        <w:trPr>
          <w:gridAfter w:val="1"/>
          <w:wAfter w:w="279" w:type="dxa"/>
          <w:trHeight w:hRule="exact" w:val="1595"/>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amprenavir som resultat af hæmning af CYP3A4. Kliniske studier har bekræftet sikkerheden ved og virkningen af 600 mg amprenavir to gange daglig med 100 mg ritonavir to gange daglig. For yderligere oplysninger henvises læger til produktresuméet for amprenavir.</w:t>
            </w:r>
          </w:p>
        </w:tc>
      </w:tr>
      <w:tr w:rsidR="003E5494" w:rsidTr="00C70B96">
        <w:trPr>
          <w:gridAfter w:val="1"/>
          <w:wAfter w:w="279" w:type="dxa"/>
          <w:trHeight w:hRule="exact" w:val="512"/>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lastRenderedPageBreak/>
              <w:t>Atazanavir</w:t>
            </w:r>
          </w:p>
        </w:tc>
        <w:tc>
          <w:tcPr>
            <w:tcW w:w="2468"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300 mg hver 24. time</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ight="296"/>
              <w:rPr>
                <w:sz w:val="22"/>
                <w:szCs w:val="22"/>
              </w:rPr>
            </w:pPr>
            <w:r>
              <w:rPr>
                <w:sz w:val="22"/>
                <w:szCs w:val="22"/>
              </w:rPr>
              <w:t>100 mg</w:t>
            </w:r>
          </w:p>
        </w:tc>
        <w:tc>
          <w:tcPr>
            <w:tcW w:w="1599"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Atazanavir</w:t>
            </w:r>
          </w:p>
          <w:p w:rsidR="003E5494" w:rsidRDefault="003E5494" w:rsidP="004D4259">
            <w:pPr>
              <w:widowControl w:val="0"/>
              <w:tabs>
                <w:tab w:val="left" w:pos="0"/>
                <w:tab w:val="left" w:pos="9070"/>
              </w:tabs>
              <w:ind w:left="146"/>
              <w:rPr>
                <w:sz w:val="22"/>
                <w:szCs w:val="22"/>
              </w:rPr>
            </w:pPr>
            <w:r>
              <w:rPr>
                <w:sz w:val="22"/>
                <w:szCs w:val="22"/>
              </w:rPr>
              <w:t>Atazanavir</w:t>
            </w:r>
            <w:r>
              <w:rPr>
                <w:sz w:val="22"/>
                <w:szCs w:val="22"/>
                <w:vertAlign w:val="superscript"/>
              </w:rPr>
              <w:t>2</w:t>
            </w: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86 %</w:t>
            </w:r>
          </w:p>
          <w:p w:rsidR="003E5494" w:rsidRDefault="003E5494" w:rsidP="004D4259">
            <w:pPr>
              <w:widowControl w:val="0"/>
              <w:tabs>
                <w:tab w:val="left" w:pos="0"/>
                <w:tab w:val="left" w:pos="9070"/>
              </w:tabs>
              <w:ind w:left="146"/>
              <w:rPr>
                <w:sz w:val="22"/>
                <w:szCs w:val="22"/>
              </w:rPr>
            </w:pPr>
            <w:r>
              <w:rPr>
                <w:sz w:val="22"/>
                <w:szCs w:val="22"/>
              </w:rPr>
              <w:t>↑ 2 gange</w:t>
            </w:r>
          </w:p>
        </w:tc>
        <w:tc>
          <w:tcPr>
            <w:tcW w:w="1368"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11 gange</w:t>
            </w:r>
          </w:p>
          <w:p w:rsidR="003E5494" w:rsidRDefault="003E5494" w:rsidP="004D4259">
            <w:pPr>
              <w:widowControl w:val="0"/>
              <w:tabs>
                <w:tab w:val="left" w:pos="0"/>
                <w:tab w:val="left" w:pos="9070"/>
              </w:tabs>
              <w:ind w:left="146"/>
              <w:rPr>
                <w:sz w:val="22"/>
                <w:szCs w:val="22"/>
              </w:rPr>
            </w:pPr>
            <w:r>
              <w:rPr>
                <w:sz w:val="22"/>
                <w:szCs w:val="22"/>
              </w:rPr>
              <w:t>↑ 3-7 gange</w:t>
            </w:r>
          </w:p>
        </w:tc>
      </w:tr>
      <w:tr w:rsidR="003E5494" w:rsidTr="00C70B96">
        <w:trPr>
          <w:gridAfter w:val="1"/>
          <w:wAfter w:w="279" w:type="dxa"/>
          <w:trHeight w:hRule="exact" w:val="1144"/>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atazanavir som resultat af hæmning af CYP3A4. Kliniske studier har bekræftet sikkerheden ved og virkningen af 300 mg atazanavir en gang daglig med 100 mg ritonavir en gang daglig til behandlingserfarne patienter. For yderligere oplysninger henvises læger til produktresuméet for atazanavir.</w:t>
            </w:r>
          </w:p>
        </w:tc>
      </w:tr>
      <w:tr w:rsidR="003E5494" w:rsidTr="00C70B96">
        <w:trPr>
          <w:gridAfter w:val="1"/>
          <w:wAfter w:w="279" w:type="dxa"/>
          <w:trHeight w:hRule="exact" w:val="565"/>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Darunavir</w:t>
            </w:r>
          </w:p>
        </w:tc>
        <w:tc>
          <w:tcPr>
            <w:tcW w:w="2468"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600 mg, enkeltdosis</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ight="296"/>
              <w:rPr>
                <w:sz w:val="22"/>
                <w:szCs w:val="22"/>
              </w:rPr>
            </w:pPr>
            <w:r>
              <w:rPr>
                <w:sz w:val="22"/>
                <w:szCs w:val="22"/>
              </w:rPr>
              <w:t>100 mg hver 12. time</w:t>
            </w:r>
          </w:p>
        </w:tc>
        <w:tc>
          <w:tcPr>
            <w:tcW w:w="1599"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Darunavir</w:t>
            </w: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14 gange</w:t>
            </w:r>
          </w:p>
        </w:tc>
        <w:tc>
          <w:tcPr>
            <w:tcW w:w="1368" w:type="dxa"/>
            <w:gridSpan w:val="4"/>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r>
      <w:tr w:rsidR="003E5494" w:rsidTr="00C70B96">
        <w:trPr>
          <w:gridAfter w:val="1"/>
          <w:wAfter w:w="279" w:type="dxa"/>
          <w:trHeight w:hRule="exact" w:val="1126"/>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darunavir som resultat af hæmning af CYP3A. Darunavir skal gives samen med ritonavir for at sikre dets terapeutiske effekt. Der er ikke udført studier med højere doser af ritonavir end 100 mg to gange daglig sammen med darunavir. For yderligere information, se produktresuméet for darunavir.</w:t>
            </w:r>
          </w:p>
        </w:tc>
      </w:tr>
      <w:tr w:rsidR="003E5494" w:rsidTr="00C70B96">
        <w:trPr>
          <w:gridAfter w:val="1"/>
          <w:wAfter w:w="279" w:type="dxa"/>
          <w:trHeight w:hRule="exact" w:val="574"/>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Fosamprena-vir</w:t>
            </w:r>
          </w:p>
        </w:tc>
        <w:tc>
          <w:tcPr>
            <w:tcW w:w="2468"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700 mg hver 12. time</w:t>
            </w:r>
          </w:p>
        </w:tc>
        <w:tc>
          <w:tcPr>
            <w:tcW w:w="1661" w:type="dxa"/>
            <w:gridSpan w:val="3"/>
            <w:tcBorders>
              <w:top w:val="single" w:sz="8" w:space="0" w:color="auto"/>
              <w:left w:val="nil"/>
              <w:bottom w:val="single" w:sz="8" w:space="0" w:color="auto"/>
              <w:right w:val="nil"/>
            </w:tcBorders>
          </w:tcPr>
          <w:p w:rsidR="003E5494" w:rsidRDefault="003E5494" w:rsidP="004D4259">
            <w:pPr>
              <w:widowControl w:val="0"/>
              <w:tabs>
                <w:tab w:val="left" w:pos="0"/>
                <w:tab w:val="left" w:pos="1703"/>
                <w:tab w:val="left" w:pos="4155"/>
                <w:tab w:val="left" w:pos="9070"/>
              </w:tabs>
              <w:ind w:left="146"/>
              <w:rPr>
                <w:sz w:val="22"/>
                <w:szCs w:val="22"/>
              </w:rPr>
            </w:pPr>
            <w:r>
              <w:rPr>
                <w:sz w:val="22"/>
                <w:szCs w:val="22"/>
              </w:rPr>
              <w:t>100 mg hver 12.</w:t>
            </w:r>
          </w:p>
          <w:p w:rsidR="003E5494" w:rsidRDefault="003E5494" w:rsidP="004D4259">
            <w:pPr>
              <w:widowControl w:val="0"/>
              <w:tabs>
                <w:tab w:val="left" w:pos="0"/>
                <w:tab w:val="left" w:pos="9070"/>
              </w:tabs>
              <w:ind w:left="146" w:right="909"/>
              <w:rPr>
                <w:sz w:val="22"/>
                <w:szCs w:val="22"/>
              </w:rPr>
            </w:pPr>
            <w:r>
              <w:rPr>
                <w:sz w:val="22"/>
                <w:szCs w:val="22"/>
              </w:rPr>
              <w:t>time</w:t>
            </w:r>
          </w:p>
          <w:p w:rsidR="003E5494" w:rsidRDefault="003E5494" w:rsidP="004D4259">
            <w:pPr>
              <w:widowControl w:val="0"/>
              <w:tabs>
                <w:tab w:val="left" w:pos="0"/>
                <w:tab w:val="left" w:pos="9070"/>
              </w:tabs>
              <w:ind w:left="146" w:right="296"/>
              <w:rPr>
                <w:sz w:val="22"/>
                <w:szCs w:val="22"/>
              </w:rPr>
            </w:pPr>
          </w:p>
        </w:tc>
        <w:tc>
          <w:tcPr>
            <w:tcW w:w="1599"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Amprenavir</w:t>
            </w: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2,4 gange</w:t>
            </w:r>
          </w:p>
        </w:tc>
        <w:tc>
          <w:tcPr>
            <w:tcW w:w="1368"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11 gange</w:t>
            </w:r>
          </w:p>
        </w:tc>
      </w:tr>
      <w:tr w:rsidR="003E5494" w:rsidTr="00C70B96">
        <w:trPr>
          <w:gridAfter w:val="1"/>
          <w:wAfter w:w="279" w:type="dxa"/>
          <w:trHeight w:hRule="exact" w:val="1849"/>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amprenavir (fra fosamprenavir) som resultat af hæmning af CYP3A4. Fosamprenavir skal indgives sammen med ritonavir for at sikre den terapeutiske virkning. Kliniske studier har bekræftet sikkerheden ved og virkningen af 700 mg fosamprenavir to gange daglig med 100 mg ritonavir to gange daglig. Der er ikke udført studier med højere doser af ritonavir end 100 mg to gange daglig sammen med fosamprenavir. For yderligere oplysninger henvises læger til produktresuméet for fosamprenavir.</w:t>
            </w:r>
          </w:p>
        </w:tc>
      </w:tr>
      <w:tr w:rsidR="003E5494" w:rsidTr="00C70B96">
        <w:trPr>
          <w:gridAfter w:val="1"/>
          <w:wAfter w:w="279" w:type="dxa"/>
          <w:trHeight w:hRule="exact" w:val="1161"/>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Indinavir</w:t>
            </w:r>
          </w:p>
        </w:tc>
        <w:tc>
          <w:tcPr>
            <w:tcW w:w="2468" w:type="dxa"/>
            <w:gridSpan w:val="3"/>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800 mg hver 12. time</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400 mg hver 12. time</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1703"/>
                <w:tab w:val="left" w:pos="4155"/>
                <w:tab w:val="left" w:pos="9070"/>
              </w:tabs>
              <w:ind w:left="146"/>
              <w:rPr>
                <w:sz w:val="22"/>
                <w:szCs w:val="22"/>
              </w:rPr>
            </w:pPr>
            <w:r>
              <w:rPr>
                <w:sz w:val="22"/>
                <w:szCs w:val="22"/>
              </w:rPr>
              <w:t>100 mg hver 12.</w:t>
            </w:r>
          </w:p>
          <w:p w:rsidR="003E5494" w:rsidRDefault="003E5494" w:rsidP="004D4259">
            <w:pPr>
              <w:widowControl w:val="0"/>
              <w:tabs>
                <w:tab w:val="left" w:pos="0"/>
                <w:tab w:val="left" w:pos="9070"/>
              </w:tabs>
              <w:ind w:left="146" w:right="909"/>
              <w:rPr>
                <w:sz w:val="22"/>
                <w:szCs w:val="22"/>
              </w:rPr>
            </w:pPr>
            <w:r>
              <w:rPr>
                <w:sz w:val="22"/>
                <w:szCs w:val="22"/>
              </w:rPr>
              <w:t>time</w:t>
            </w:r>
          </w:p>
          <w:p w:rsidR="003E5494" w:rsidRDefault="003E5494" w:rsidP="004D4259">
            <w:pPr>
              <w:widowControl w:val="0"/>
              <w:tabs>
                <w:tab w:val="left" w:pos="0"/>
                <w:tab w:val="left" w:pos="9070"/>
              </w:tabs>
              <w:ind w:left="146" w:right="296"/>
              <w:rPr>
                <w:sz w:val="22"/>
                <w:szCs w:val="22"/>
              </w:rPr>
            </w:pPr>
            <w:r>
              <w:rPr>
                <w:sz w:val="22"/>
                <w:szCs w:val="22"/>
              </w:rPr>
              <w:t>400 mg hver 12. time</w:t>
            </w:r>
          </w:p>
        </w:tc>
        <w:tc>
          <w:tcPr>
            <w:tcW w:w="1599" w:type="dxa"/>
            <w:gridSpan w:val="3"/>
            <w:tcBorders>
              <w:top w:val="single" w:sz="8" w:space="0" w:color="auto"/>
              <w:left w:val="nil"/>
              <w:bottom w:val="single" w:sz="8" w:space="0" w:color="auto"/>
              <w:right w:val="nil"/>
            </w:tcBorders>
          </w:tcPr>
          <w:p w:rsidR="003E5494" w:rsidRDefault="003E5494" w:rsidP="004D4259">
            <w:pPr>
              <w:widowControl w:val="0"/>
              <w:autoSpaceDE w:val="0"/>
              <w:autoSpaceDN w:val="0"/>
              <w:adjustRightInd w:val="0"/>
              <w:ind w:left="146" w:right="242"/>
              <w:rPr>
                <w:sz w:val="22"/>
                <w:szCs w:val="22"/>
                <w:vertAlign w:val="superscript"/>
              </w:rPr>
            </w:pPr>
            <w:r>
              <w:rPr>
                <w:sz w:val="22"/>
                <w:szCs w:val="22"/>
              </w:rPr>
              <w:t>Indinavir</w:t>
            </w:r>
            <w:r>
              <w:rPr>
                <w:sz w:val="22"/>
                <w:szCs w:val="22"/>
                <w:vertAlign w:val="superscript"/>
              </w:rPr>
              <w:t>3</w:t>
            </w:r>
          </w:p>
          <w:p w:rsidR="003E5494" w:rsidRDefault="003E5494" w:rsidP="004D4259">
            <w:pPr>
              <w:widowControl w:val="0"/>
              <w:autoSpaceDE w:val="0"/>
              <w:autoSpaceDN w:val="0"/>
              <w:adjustRightInd w:val="0"/>
              <w:ind w:left="146" w:right="242"/>
              <w:rPr>
                <w:position w:val="-1"/>
                <w:sz w:val="22"/>
                <w:szCs w:val="22"/>
              </w:rPr>
            </w:pPr>
            <w:r>
              <w:rPr>
                <w:position w:val="-1"/>
                <w:sz w:val="22"/>
                <w:szCs w:val="22"/>
              </w:rPr>
              <w:t>Ritonavir</w:t>
            </w:r>
          </w:p>
          <w:p w:rsidR="003E5494" w:rsidRDefault="003E5494" w:rsidP="004D4259">
            <w:pPr>
              <w:widowControl w:val="0"/>
              <w:autoSpaceDE w:val="0"/>
              <w:autoSpaceDN w:val="0"/>
              <w:adjustRightInd w:val="0"/>
              <w:ind w:left="146" w:right="242"/>
              <w:rPr>
                <w:sz w:val="22"/>
                <w:szCs w:val="22"/>
                <w:vertAlign w:val="superscript"/>
              </w:rPr>
            </w:pPr>
            <w:r>
              <w:rPr>
                <w:sz w:val="22"/>
                <w:szCs w:val="22"/>
              </w:rPr>
              <w:t>Indinavir</w:t>
            </w:r>
            <w:r>
              <w:rPr>
                <w:sz w:val="22"/>
                <w:szCs w:val="22"/>
                <w:vertAlign w:val="superscript"/>
              </w:rPr>
              <w:t>3</w:t>
            </w:r>
          </w:p>
          <w:p w:rsidR="003E5494" w:rsidRDefault="003E5494" w:rsidP="004D4259">
            <w:pPr>
              <w:widowControl w:val="0"/>
              <w:autoSpaceDE w:val="0"/>
              <w:autoSpaceDN w:val="0"/>
              <w:adjustRightInd w:val="0"/>
              <w:ind w:left="146" w:right="242"/>
              <w:rPr>
                <w:position w:val="-1"/>
                <w:sz w:val="22"/>
                <w:szCs w:val="22"/>
              </w:rPr>
            </w:pPr>
            <w:r>
              <w:rPr>
                <w:position w:val="-1"/>
                <w:sz w:val="22"/>
                <w:szCs w:val="22"/>
              </w:rPr>
              <w:t>Ritonavir</w:t>
            </w:r>
          </w:p>
          <w:p w:rsidR="003E5494" w:rsidRDefault="003E5494" w:rsidP="004D4259">
            <w:pPr>
              <w:widowControl w:val="0"/>
              <w:autoSpaceDE w:val="0"/>
              <w:autoSpaceDN w:val="0"/>
              <w:adjustRightInd w:val="0"/>
              <w:ind w:left="146" w:right="242"/>
              <w:rPr>
                <w:sz w:val="22"/>
                <w:szCs w:val="22"/>
              </w:rPr>
            </w:pPr>
          </w:p>
        </w:tc>
        <w:tc>
          <w:tcPr>
            <w:tcW w:w="1257"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 178 %</w:t>
            </w:r>
          </w:p>
          <w:p w:rsidR="003E5494" w:rsidRDefault="003E5494" w:rsidP="004D4259">
            <w:pPr>
              <w:widowControl w:val="0"/>
              <w:tabs>
                <w:tab w:val="left" w:pos="0"/>
                <w:tab w:val="left" w:pos="9070"/>
              </w:tabs>
              <w:ind w:left="146"/>
              <w:rPr>
                <w:sz w:val="22"/>
                <w:szCs w:val="22"/>
              </w:rPr>
            </w:pPr>
            <w:r>
              <w:rPr>
                <w:sz w:val="22"/>
                <w:szCs w:val="22"/>
              </w:rPr>
              <w:t>↑ 72 %</w:t>
            </w:r>
          </w:p>
          <w:p w:rsidR="003E5494" w:rsidRDefault="003E5494" w:rsidP="004D4259">
            <w:pPr>
              <w:widowControl w:val="0"/>
              <w:tabs>
                <w:tab w:val="left" w:pos="0"/>
                <w:tab w:val="left" w:pos="9070"/>
              </w:tabs>
              <w:ind w:left="146"/>
              <w:rPr>
                <w:sz w:val="22"/>
                <w:szCs w:val="22"/>
              </w:rPr>
            </w:pPr>
            <w:r>
              <w:rPr>
                <w:sz w:val="22"/>
                <w:szCs w:val="22"/>
              </w:rPr>
              <w:t>↔</w:t>
            </w:r>
          </w:p>
          <w:p w:rsidR="003E5494" w:rsidRDefault="003E5494" w:rsidP="004D4259">
            <w:pPr>
              <w:widowControl w:val="0"/>
              <w:tabs>
                <w:tab w:val="left" w:pos="0"/>
                <w:tab w:val="left" w:pos="9070"/>
              </w:tabs>
              <w:ind w:left="146"/>
              <w:rPr>
                <w:sz w:val="22"/>
                <w:szCs w:val="22"/>
              </w:rPr>
            </w:pPr>
            <w:r>
              <w:rPr>
                <w:sz w:val="22"/>
                <w:szCs w:val="22"/>
              </w:rPr>
              <w:t>↔</w:t>
            </w:r>
          </w:p>
        </w:tc>
        <w:tc>
          <w:tcPr>
            <w:tcW w:w="1368" w:type="dxa"/>
            <w:gridSpan w:val="4"/>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ND</w:t>
            </w:r>
          </w:p>
          <w:p w:rsidR="003E5494" w:rsidRDefault="003E5494" w:rsidP="004D4259">
            <w:pPr>
              <w:widowControl w:val="0"/>
              <w:tabs>
                <w:tab w:val="left" w:pos="0"/>
                <w:tab w:val="left" w:pos="9070"/>
              </w:tabs>
              <w:ind w:left="146"/>
              <w:rPr>
                <w:sz w:val="22"/>
                <w:szCs w:val="22"/>
              </w:rPr>
            </w:pPr>
            <w:r>
              <w:rPr>
                <w:sz w:val="22"/>
                <w:szCs w:val="22"/>
              </w:rPr>
              <w:t>ND</w:t>
            </w:r>
          </w:p>
          <w:p w:rsidR="003E5494" w:rsidRDefault="003E5494" w:rsidP="004D4259">
            <w:pPr>
              <w:widowControl w:val="0"/>
              <w:tabs>
                <w:tab w:val="left" w:pos="0"/>
                <w:tab w:val="left" w:pos="9070"/>
              </w:tabs>
              <w:ind w:left="146"/>
              <w:rPr>
                <w:sz w:val="22"/>
                <w:szCs w:val="22"/>
              </w:rPr>
            </w:pPr>
            <w:r>
              <w:rPr>
                <w:sz w:val="22"/>
                <w:szCs w:val="22"/>
              </w:rPr>
              <w:t>↑ 4 gange</w:t>
            </w:r>
          </w:p>
          <w:p w:rsidR="003E5494" w:rsidRDefault="003E5494" w:rsidP="004D4259">
            <w:pPr>
              <w:widowControl w:val="0"/>
              <w:tabs>
                <w:tab w:val="left" w:pos="0"/>
                <w:tab w:val="left" w:pos="9070"/>
              </w:tabs>
              <w:ind w:left="146"/>
              <w:rPr>
                <w:sz w:val="22"/>
                <w:szCs w:val="22"/>
              </w:rPr>
            </w:pPr>
            <w:r>
              <w:rPr>
                <w:sz w:val="22"/>
                <w:szCs w:val="22"/>
              </w:rPr>
              <w:t>↔</w:t>
            </w:r>
          </w:p>
        </w:tc>
      </w:tr>
      <w:tr w:rsidR="003E5494" w:rsidTr="00C70B96">
        <w:trPr>
          <w:gridAfter w:val="1"/>
          <w:wAfter w:w="279" w:type="dxa"/>
          <w:trHeight w:hRule="exact" w:val="1556"/>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indinavir som resultat af hæmning af CYP3A4. Passende doser for denne kombination med hensyn til virkning og sikkerhed er ikke blevet fastslået. Den mindst mulige fordel ved ritonavir-medieret farmakokinetisk forstærkning opnås med doser på over 100 mg to gange daglig. I tilfælde af samtidig indgift af ritonavir (100 mg to gange daglig) og indinavir (800 mg to gange daglig) er der grund til forsigtighed, da risikoen for nephrolithiasis kan øges</w:t>
            </w:r>
          </w:p>
        </w:tc>
      </w:tr>
      <w:tr w:rsidR="003E5494" w:rsidTr="00C70B96">
        <w:trPr>
          <w:gridAfter w:val="1"/>
          <w:wAfter w:w="279" w:type="dxa"/>
          <w:trHeight w:hRule="exact" w:val="1267"/>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Nelfinavir</w:t>
            </w:r>
          </w:p>
        </w:tc>
        <w:tc>
          <w:tcPr>
            <w:tcW w:w="2468" w:type="dxa"/>
            <w:gridSpan w:val="3"/>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lang w:val="nb-NO"/>
              </w:rPr>
            </w:pPr>
            <w:r>
              <w:rPr>
                <w:sz w:val="22"/>
                <w:szCs w:val="22"/>
                <w:lang w:val="nb-NO"/>
              </w:rPr>
              <w:t>1.250 mg hver 12. time</w:t>
            </w:r>
          </w:p>
          <w:p w:rsidR="003E5494" w:rsidRDefault="003E5494" w:rsidP="004D4259">
            <w:pPr>
              <w:widowControl w:val="0"/>
              <w:tabs>
                <w:tab w:val="left" w:pos="0"/>
                <w:tab w:val="left" w:pos="9070"/>
              </w:tabs>
              <w:ind w:left="146"/>
              <w:rPr>
                <w:sz w:val="22"/>
                <w:szCs w:val="22"/>
                <w:lang w:val="nb-NO"/>
              </w:rPr>
            </w:pPr>
          </w:p>
          <w:p w:rsidR="003E5494" w:rsidRDefault="003E5494" w:rsidP="004D4259">
            <w:pPr>
              <w:widowControl w:val="0"/>
              <w:tabs>
                <w:tab w:val="left" w:pos="0"/>
                <w:tab w:val="left" w:pos="9070"/>
              </w:tabs>
              <w:ind w:left="146"/>
              <w:rPr>
                <w:sz w:val="22"/>
                <w:szCs w:val="22"/>
                <w:lang w:val="nb-NO"/>
              </w:rPr>
            </w:pPr>
            <w:r>
              <w:rPr>
                <w:sz w:val="22"/>
                <w:szCs w:val="22"/>
                <w:lang w:val="nb-NO"/>
              </w:rPr>
              <w:t>750 mg, enkeltdosis</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1703"/>
                <w:tab w:val="left" w:pos="4155"/>
                <w:tab w:val="left" w:pos="9070"/>
              </w:tabs>
              <w:ind w:left="146"/>
              <w:rPr>
                <w:sz w:val="22"/>
                <w:szCs w:val="22"/>
              </w:rPr>
            </w:pPr>
            <w:r>
              <w:rPr>
                <w:sz w:val="22"/>
                <w:szCs w:val="22"/>
              </w:rPr>
              <w:t>100 mg hver 12.</w:t>
            </w:r>
          </w:p>
          <w:p w:rsidR="003E5494" w:rsidRDefault="003E5494" w:rsidP="004D4259">
            <w:pPr>
              <w:widowControl w:val="0"/>
              <w:tabs>
                <w:tab w:val="left" w:pos="0"/>
                <w:tab w:val="left" w:pos="9070"/>
              </w:tabs>
              <w:ind w:left="146" w:right="296"/>
              <w:rPr>
                <w:sz w:val="22"/>
                <w:szCs w:val="22"/>
              </w:rPr>
            </w:pPr>
            <w:r>
              <w:rPr>
                <w:sz w:val="22"/>
                <w:szCs w:val="22"/>
              </w:rPr>
              <w:t>time</w:t>
            </w:r>
          </w:p>
          <w:p w:rsidR="003E5494" w:rsidRDefault="003E5494" w:rsidP="004D4259">
            <w:pPr>
              <w:widowControl w:val="0"/>
              <w:tabs>
                <w:tab w:val="left" w:pos="0"/>
                <w:tab w:val="left" w:pos="9070"/>
              </w:tabs>
              <w:ind w:left="146" w:right="29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tcPr>
          <w:p w:rsidR="003E5494" w:rsidRDefault="003E5494" w:rsidP="004D4259">
            <w:pPr>
              <w:widowControl w:val="0"/>
              <w:autoSpaceDE w:val="0"/>
              <w:autoSpaceDN w:val="0"/>
              <w:adjustRightInd w:val="0"/>
              <w:ind w:left="146" w:right="242"/>
              <w:rPr>
                <w:sz w:val="22"/>
                <w:szCs w:val="22"/>
              </w:rPr>
            </w:pPr>
            <w:r>
              <w:rPr>
                <w:sz w:val="22"/>
                <w:szCs w:val="22"/>
              </w:rPr>
              <w:t>Nelfinavir</w:t>
            </w:r>
          </w:p>
          <w:p w:rsidR="003E5494" w:rsidRDefault="003E5494" w:rsidP="004D4259">
            <w:pPr>
              <w:widowControl w:val="0"/>
              <w:autoSpaceDE w:val="0"/>
              <w:autoSpaceDN w:val="0"/>
              <w:adjustRightInd w:val="0"/>
              <w:ind w:left="146" w:right="242"/>
              <w:rPr>
                <w:sz w:val="22"/>
                <w:szCs w:val="22"/>
              </w:rPr>
            </w:pPr>
          </w:p>
          <w:p w:rsidR="003E5494" w:rsidRDefault="003E5494" w:rsidP="004D4259">
            <w:pPr>
              <w:widowControl w:val="0"/>
              <w:autoSpaceDE w:val="0"/>
              <w:autoSpaceDN w:val="0"/>
              <w:adjustRightInd w:val="0"/>
              <w:ind w:left="146" w:right="242"/>
              <w:rPr>
                <w:sz w:val="22"/>
                <w:szCs w:val="22"/>
              </w:rPr>
            </w:pPr>
            <w:r>
              <w:rPr>
                <w:sz w:val="22"/>
                <w:szCs w:val="22"/>
              </w:rPr>
              <w:t>Nelfinavir</w:t>
            </w:r>
          </w:p>
          <w:p w:rsidR="003E5494" w:rsidRDefault="003E5494" w:rsidP="004D4259">
            <w:pPr>
              <w:widowControl w:val="0"/>
              <w:autoSpaceDE w:val="0"/>
              <w:autoSpaceDN w:val="0"/>
              <w:adjustRightInd w:val="0"/>
              <w:ind w:left="146" w:right="242"/>
              <w:rPr>
                <w:sz w:val="22"/>
                <w:szCs w:val="22"/>
              </w:rPr>
            </w:pPr>
          </w:p>
          <w:p w:rsidR="003E5494" w:rsidRDefault="003E5494" w:rsidP="004D4259">
            <w:pPr>
              <w:widowControl w:val="0"/>
              <w:autoSpaceDE w:val="0"/>
              <w:autoSpaceDN w:val="0"/>
              <w:adjustRightInd w:val="0"/>
              <w:ind w:left="146" w:right="242"/>
              <w:rPr>
                <w:sz w:val="22"/>
                <w:szCs w:val="22"/>
              </w:rPr>
            </w:pPr>
            <w:r>
              <w:rPr>
                <w:sz w:val="22"/>
                <w:szCs w:val="22"/>
              </w:rPr>
              <w:t>Ritonavir</w:t>
            </w:r>
          </w:p>
        </w:tc>
        <w:tc>
          <w:tcPr>
            <w:tcW w:w="1257" w:type="dxa"/>
            <w:gridSpan w:val="4"/>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↑20 til 39 %</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 152 %</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w:t>
            </w:r>
          </w:p>
        </w:tc>
        <w:tc>
          <w:tcPr>
            <w:tcW w:w="1368" w:type="dxa"/>
            <w:gridSpan w:val="4"/>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ND</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ND</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w:t>
            </w:r>
          </w:p>
        </w:tc>
      </w:tr>
      <w:tr w:rsidR="003E5494" w:rsidTr="00C70B96">
        <w:trPr>
          <w:gridAfter w:val="1"/>
          <w:wAfter w:w="279" w:type="dxa"/>
          <w:trHeight w:hRule="exact" w:val="1129"/>
        </w:trPr>
        <w:tc>
          <w:tcPr>
            <w:tcW w:w="1403" w:type="dxa"/>
            <w:gridSpan w:val="2"/>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Ritonavir øger serumniveauerne af nelfinavir som resultat af hæmning af CYP3A4. Passende doser for denne kombination med hensyn til virkning og sikkerhed er ikke blevet fastslået. Den mindst mulige fordel ved ritonavir-medieret farmakokinetisk forstærkning opnås med doser på over 100 mg to gange daglig.</w:t>
            </w:r>
          </w:p>
        </w:tc>
      </w:tr>
      <w:tr w:rsidR="003E5494" w:rsidTr="00C70B96">
        <w:trPr>
          <w:gridAfter w:val="1"/>
          <w:wAfter w:w="279" w:type="dxa"/>
          <w:trHeight w:hRule="exact" w:val="1080"/>
        </w:trPr>
        <w:tc>
          <w:tcPr>
            <w:tcW w:w="1403" w:type="dxa"/>
            <w:gridSpan w:val="2"/>
            <w:tcBorders>
              <w:top w:val="single" w:sz="8" w:space="0" w:color="auto"/>
              <w:left w:val="nil"/>
              <w:bottom w:val="single" w:sz="8" w:space="0" w:color="auto"/>
              <w:right w:val="nil"/>
            </w:tcBorders>
            <w:hideMark/>
          </w:tcPr>
          <w:p w:rsidR="003E5494" w:rsidRDefault="003E5494" w:rsidP="004D4259">
            <w:pPr>
              <w:widowControl w:val="0"/>
              <w:tabs>
                <w:tab w:val="left" w:pos="0"/>
                <w:tab w:val="left" w:pos="9070"/>
              </w:tabs>
              <w:ind w:left="146"/>
              <w:rPr>
                <w:sz w:val="22"/>
                <w:szCs w:val="22"/>
              </w:rPr>
            </w:pPr>
            <w:r>
              <w:rPr>
                <w:sz w:val="22"/>
                <w:szCs w:val="22"/>
              </w:rPr>
              <w:t>Saquinavir</w:t>
            </w:r>
          </w:p>
        </w:tc>
        <w:tc>
          <w:tcPr>
            <w:tcW w:w="2468" w:type="dxa"/>
            <w:gridSpan w:val="3"/>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1.000 mg hver 12. time</w:t>
            </w:r>
          </w:p>
          <w:p w:rsidR="003E5494" w:rsidRDefault="003E5494" w:rsidP="004D4259">
            <w:pPr>
              <w:widowControl w:val="0"/>
              <w:tabs>
                <w:tab w:val="left" w:pos="0"/>
                <w:tab w:val="left" w:pos="9070"/>
              </w:tabs>
              <w:ind w:left="146"/>
              <w:rPr>
                <w:sz w:val="22"/>
                <w:szCs w:val="22"/>
              </w:rPr>
            </w:pPr>
          </w:p>
          <w:p w:rsidR="003E5494" w:rsidRDefault="003E5494" w:rsidP="004D4259">
            <w:pPr>
              <w:widowControl w:val="0"/>
              <w:tabs>
                <w:tab w:val="left" w:pos="0"/>
                <w:tab w:val="left" w:pos="9070"/>
              </w:tabs>
              <w:ind w:left="146"/>
              <w:rPr>
                <w:sz w:val="22"/>
                <w:szCs w:val="22"/>
              </w:rPr>
            </w:pPr>
            <w:r>
              <w:rPr>
                <w:sz w:val="22"/>
                <w:szCs w:val="22"/>
              </w:rPr>
              <w:t>400 mg hver 12. time</w:t>
            </w:r>
          </w:p>
        </w:tc>
        <w:tc>
          <w:tcPr>
            <w:tcW w:w="1661" w:type="dxa"/>
            <w:gridSpan w:val="3"/>
            <w:tcBorders>
              <w:top w:val="single" w:sz="8" w:space="0" w:color="auto"/>
              <w:left w:val="nil"/>
              <w:bottom w:val="single" w:sz="8" w:space="0" w:color="auto"/>
              <w:right w:val="nil"/>
            </w:tcBorders>
            <w:hideMark/>
          </w:tcPr>
          <w:p w:rsidR="003E5494" w:rsidRDefault="003E5494" w:rsidP="004D4259">
            <w:pPr>
              <w:widowControl w:val="0"/>
              <w:tabs>
                <w:tab w:val="left" w:pos="0"/>
                <w:tab w:val="left" w:pos="1703"/>
                <w:tab w:val="left" w:pos="4155"/>
                <w:tab w:val="left" w:pos="9070"/>
              </w:tabs>
              <w:ind w:left="146"/>
              <w:rPr>
                <w:sz w:val="22"/>
                <w:szCs w:val="22"/>
              </w:rPr>
            </w:pPr>
            <w:r>
              <w:rPr>
                <w:sz w:val="22"/>
                <w:szCs w:val="22"/>
              </w:rPr>
              <w:t>100 mg hver 12.</w:t>
            </w:r>
          </w:p>
          <w:p w:rsidR="003E5494" w:rsidRDefault="003E5494" w:rsidP="004D4259">
            <w:pPr>
              <w:widowControl w:val="0"/>
              <w:tabs>
                <w:tab w:val="left" w:pos="0"/>
                <w:tab w:val="left" w:pos="9070"/>
              </w:tabs>
              <w:ind w:left="146" w:right="909"/>
              <w:rPr>
                <w:sz w:val="22"/>
                <w:szCs w:val="22"/>
              </w:rPr>
            </w:pPr>
            <w:r>
              <w:rPr>
                <w:sz w:val="22"/>
                <w:szCs w:val="22"/>
              </w:rPr>
              <w:t>time</w:t>
            </w:r>
          </w:p>
          <w:p w:rsidR="003E5494" w:rsidRDefault="003E5494" w:rsidP="004D4259">
            <w:pPr>
              <w:widowControl w:val="0"/>
              <w:tabs>
                <w:tab w:val="left" w:pos="0"/>
                <w:tab w:val="left" w:pos="4155"/>
                <w:tab w:val="left" w:pos="9070"/>
              </w:tabs>
              <w:ind w:left="146"/>
              <w:rPr>
                <w:sz w:val="22"/>
                <w:szCs w:val="22"/>
              </w:rPr>
            </w:pPr>
            <w:r>
              <w:rPr>
                <w:sz w:val="22"/>
                <w:szCs w:val="22"/>
              </w:rPr>
              <w:t>400 mg hver 14. time</w:t>
            </w:r>
          </w:p>
        </w:tc>
        <w:tc>
          <w:tcPr>
            <w:tcW w:w="1599" w:type="dxa"/>
            <w:gridSpan w:val="3"/>
            <w:tcBorders>
              <w:top w:val="single" w:sz="8" w:space="0" w:color="auto"/>
              <w:left w:val="nil"/>
              <w:bottom w:val="single" w:sz="8" w:space="0" w:color="auto"/>
              <w:right w:val="nil"/>
            </w:tcBorders>
          </w:tcPr>
          <w:p w:rsidR="003E5494" w:rsidRDefault="003E5494" w:rsidP="004D4259">
            <w:pPr>
              <w:widowControl w:val="0"/>
              <w:autoSpaceDE w:val="0"/>
              <w:autoSpaceDN w:val="0"/>
              <w:adjustRightInd w:val="0"/>
              <w:ind w:left="146" w:right="242"/>
              <w:rPr>
                <w:sz w:val="22"/>
                <w:szCs w:val="22"/>
              </w:rPr>
            </w:pPr>
            <w:r>
              <w:rPr>
                <w:sz w:val="22"/>
                <w:szCs w:val="22"/>
              </w:rPr>
              <w:t>Saquinavir</w:t>
            </w:r>
            <w:r>
              <w:rPr>
                <w:sz w:val="22"/>
                <w:szCs w:val="22"/>
                <w:vertAlign w:val="superscript"/>
              </w:rPr>
              <w:t>4</w:t>
            </w:r>
          </w:p>
          <w:p w:rsidR="003E5494" w:rsidRDefault="003E5494" w:rsidP="004D4259">
            <w:pPr>
              <w:widowControl w:val="0"/>
              <w:autoSpaceDE w:val="0"/>
              <w:autoSpaceDN w:val="0"/>
              <w:adjustRightInd w:val="0"/>
              <w:ind w:left="146" w:right="242"/>
              <w:rPr>
                <w:sz w:val="22"/>
                <w:szCs w:val="22"/>
              </w:rPr>
            </w:pPr>
            <w:r>
              <w:rPr>
                <w:sz w:val="22"/>
                <w:szCs w:val="22"/>
              </w:rPr>
              <w:t>Ritonavir</w:t>
            </w:r>
          </w:p>
          <w:p w:rsidR="003E5494" w:rsidRDefault="003E5494" w:rsidP="004D4259">
            <w:pPr>
              <w:widowControl w:val="0"/>
              <w:autoSpaceDE w:val="0"/>
              <w:autoSpaceDN w:val="0"/>
              <w:adjustRightInd w:val="0"/>
              <w:ind w:left="146" w:right="242"/>
              <w:rPr>
                <w:sz w:val="22"/>
                <w:szCs w:val="22"/>
              </w:rPr>
            </w:pPr>
            <w:r>
              <w:rPr>
                <w:sz w:val="22"/>
                <w:szCs w:val="22"/>
              </w:rPr>
              <w:t>Saquinavir</w:t>
            </w:r>
            <w:r>
              <w:rPr>
                <w:sz w:val="22"/>
                <w:szCs w:val="22"/>
                <w:vertAlign w:val="superscript"/>
              </w:rPr>
              <w:t>4</w:t>
            </w:r>
          </w:p>
          <w:p w:rsidR="003E5494" w:rsidRDefault="003E5494" w:rsidP="004D4259">
            <w:pPr>
              <w:widowControl w:val="0"/>
              <w:autoSpaceDE w:val="0"/>
              <w:autoSpaceDN w:val="0"/>
              <w:adjustRightInd w:val="0"/>
              <w:ind w:left="146" w:right="242"/>
              <w:rPr>
                <w:sz w:val="22"/>
                <w:szCs w:val="22"/>
              </w:rPr>
            </w:pPr>
            <w:r>
              <w:rPr>
                <w:sz w:val="22"/>
                <w:szCs w:val="22"/>
              </w:rPr>
              <w:t>Ritonavir</w:t>
            </w:r>
          </w:p>
          <w:p w:rsidR="003E5494" w:rsidRDefault="003E5494" w:rsidP="004D4259">
            <w:pPr>
              <w:widowControl w:val="0"/>
              <w:autoSpaceDE w:val="0"/>
              <w:autoSpaceDN w:val="0"/>
              <w:adjustRightInd w:val="0"/>
              <w:ind w:left="146" w:right="242"/>
              <w:rPr>
                <w:sz w:val="22"/>
                <w:szCs w:val="22"/>
              </w:rPr>
            </w:pPr>
          </w:p>
        </w:tc>
        <w:tc>
          <w:tcPr>
            <w:tcW w:w="1257" w:type="dxa"/>
            <w:gridSpan w:val="4"/>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 15 gange</w:t>
            </w:r>
          </w:p>
          <w:p w:rsidR="003E5494" w:rsidRDefault="003E5494" w:rsidP="004D4259">
            <w:pPr>
              <w:widowControl w:val="0"/>
              <w:tabs>
                <w:tab w:val="left" w:pos="0"/>
                <w:tab w:val="left" w:pos="9070"/>
              </w:tabs>
              <w:ind w:left="146"/>
              <w:rPr>
                <w:sz w:val="22"/>
                <w:szCs w:val="22"/>
              </w:rPr>
            </w:pPr>
            <w:r>
              <w:rPr>
                <w:sz w:val="22"/>
                <w:szCs w:val="22"/>
              </w:rPr>
              <w:t>↔</w:t>
            </w:r>
          </w:p>
          <w:p w:rsidR="003E5494" w:rsidRDefault="003E5494" w:rsidP="004D4259">
            <w:pPr>
              <w:widowControl w:val="0"/>
              <w:tabs>
                <w:tab w:val="left" w:pos="0"/>
                <w:tab w:val="left" w:pos="9070"/>
              </w:tabs>
              <w:ind w:left="146"/>
              <w:rPr>
                <w:sz w:val="22"/>
                <w:szCs w:val="22"/>
              </w:rPr>
            </w:pPr>
            <w:r>
              <w:rPr>
                <w:sz w:val="22"/>
                <w:szCs w:val="22"/>
              </w:rPr>
              <w:t>↑ 17-gange</w:t>
            </w:r>
          </w:p>
          <w:p w:rsidR="003E5494" w:rsidRDefault="003E5494" w:rsidP="004D4259">
            <w:pPr>
              <w:widowControl w:val="0"/>
              <w:tabs>
                <w:tab w:val="left" w:pos="0"/>
                <w:tab w:val="left" w:pos="9070"/>
              </w:tabs>
              <w:ind w:left="146"/>
              <w:rPr>
                <w:sz w:val="22"/>
                <w:szCs w:val="22"/>
              </w:rPr>
            </w:pPr>
            <w:r>
              <w:rPr>
                <w:sz w:val="22"/>
                <w:szCs w:val="22"/>
              </w:rPr>
              <w:t>↔</w:t>
            </w:r>
          </w:p>
          <w:p w:rsidR="003E5494" w:rsidRDefault="003E5494" w:rsidP="004D4259">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3E5494" w:rsidRDefault="003E5494" w:rsidP="004D4259">
            <w:pPr>
              <w:widowControl w:val="0"/>
              <w:tabs>
                <w:tab w:val="left" w:pos="0"/>
                <w:tab w:val="left" w:pos="9070"/>
              </w:tabs>
              <w:ind w:left="146"/>
              <w:rPr>
                <w:sz w:val="22"/>
                <w:szCs w:val="22"/>
              </w:rPr>
            </w:pPr>
            <w:r>
              <w:rPr>
                <w:sz w:val="22"/>
                <w:szCs w:val="22"/>
              </w:rPr>
              <w:t>↑ 5 gange</w:t>
            </w:r>
          </w:p>
          <w:p w:rsidR="003E5494" w:rsidRDefault="003E5494" w:rsidP="004D4259">
            <w:pPr>
              <w:widowControl w:val="0"/>
              <w:tabs>
                <w:tab w:val="left" w:pos="0"/>
                <w:tab w:val="left" w:pos="9070"/>
              </w:tabs>
              <w:ind w:left="146"/>
              <w:rPr>
                <w:sz w:val="22"/>
                <w:szCs w:val="22"/>
              </w:rPr>
            </w:pPr>
            <w:r>
              <w:rPr>
                <w:sz w:val="22"/>
                <w:szCs w:val="22"/>
              </w:rPr>
              <w:t>↔</w:t>
            </w:r>
          </w:p>
          <w:p w:rsidR="003E5494" w:rsidRDefault="003E5494" w:rsidP="004D4259">
            <w:pPr>
              <w:widowControl w:val="0"/>
              <w:tabs>
                <w:tab w:val="left" w:pos="0"/>
                <w:tab w:val="left" w:pos="9070"/>
              </w:tabs>
              <w:ind w:left="146"/>
              <w:rPr>
                <w:sz w:val="22"/>
                <w:szCs w:val="22"/>
              </w:rPr>
            </w:pPr>
            <w:r>
              <w:rPr>
                <w:sz w:val="22"/>
                <w:szCs w:val="22"/>
              </w:rPr>
              <w:t>ND</w:t>
            </w:r>
          </w:p>
          <w:p w:rsidR="003E5494" w:rsidRDefault="003E5494" w:rsidP="004D4259">
            <w:pPr>
              <w:widowControl w:val="0"/>
              <w:tabs>
                <w:tab w:val="left" w:pos="0"/>
                <w:tab w:val="left" w:pos="9070"/>
              </w:tabs>
              <w:ind w:left="146"/>
              <w:rPr>
                <w:sz w:val="22"/>
                <w:szCs w:val="22"/>
              </w:rPr>
            </w:pPr>
            <w:r>
              <w:rPr>
                <w:sz w:val="22"/>
                <w:szCs w:val="22"/>
              </w:rPr>
              <w:t>↔</w:t>
            </w:r>
          </w:p>
          <w:p w:rsidR="003E5494" w:rsidRDefault="003E5494" w:rsidP="004D4259">
            <w:pPr>
              <w:widowControl w:val="0"/>
              <w:tabs>
                <w:tab w:val="left" w:pos="0"/>
                <w:tab w:val="left" w:pos="9070"/>
              </w:tabs>
              <w:ind w:left="146"/>
              <w:rPr>
                <w:sz w:val="22"/>
                <w:szCs w:val="22"/>
              </w:rPr>
            </w:pPr>
          </w:p>
        </w:tc>
      </w:tr>
      <w:tr w:rsidR="00C70B96" w:rsidTr="00C70B96">
        <w:trPr>
          <w:gridAfter w:val="1"/>
          <w:wAfter w:w="279" w:type="dxa"/>
          <w:trHeight w:hRule="exact" w:val="3533"/>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ight="141"/>
              <w:rPr>
                <w:sz w:val="22"/>
                <w:szCs w:val="22"/>
              </w:rPr>
            </w:pPr>
            <w:r>
              <w:rPr>
                <w:sz w:val="22"/>
                <w:szCs w:val="22"/>
              </w:rPr>
              <w:t>Ritonavir øger serumniveauerne af saquinavir som resultat af hæmning af CYP3A4. Saquinavir bør kun indgives i kombination med ritonavir. 100 mg ritonavir to gange daglig sammen med 1.000 mg saquinavir to gange daglig medfører en systemisk saquinavir-eksponering i løbet af 24 timer, som svarer til eller er større end den, der opnås med 1.200 mg saquinavir tre gange daglig uden ritonavir.</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ight="141"/>
              <w:rPr>
                <w:sz w:val="22"/>
                <w:szCs w:val="22"/>
              </w:rPr>
            </w:pPr>
            <w:r>
              <w:rPr>
                <w:sz w:val="22"/>
                <w:szCs w:val="22"/>
              </w:rPr>
              <w:t xml:space="preserve">I et klinisk studie med raske frivillige blev interaktion mellem rifampicin 600 mg en gang daglig og saquinavir 1.000 mg med ritonavir 100 mg to gange daglig undersøgt. Der blev set alvorlig hepatocellulær tocixitet med forhøjede amonitransferaser på op til &gt; 20-gange den øvre </w:t>
            </w:r>
            <w:proofErr w:type="gramStart"/>
            <w:r>
              <w:rPr>
                <w:sz w:val="22"/>
                <w:szCs w:val="22"/>
              </w:rPr>
              <w:t>normal grænse</w:t>
            </w:r>
            <w:proofErr w:type="gramEnd"/>
            <w:r>
              <w:rPr>
                <w:sz w:val="22"/>
                <w:szCs w:val="22"/>
              </w:rPr>
              <w:t xml:space="preserve"> efter 1 til 5 dages samtidig administration. På grund af risikoen for alvorlig levertoxicitet, bør saquinavir/ritonavir ikke gives sammen med rifampicin.</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For yderligere oplysninger henvises til produktresuméet for saquinavir.</w:t>
            </w:r>
          </w:p>
        </w:tc>
      </w:tr>
      <w:tr w:rsidR="00C70B96" w:rsidTr="00C70B96">
        <w:trPr>
          <w:gridAfter w:val="1"/>
          <w:wAfter w:w="279" w:type="dxa"/>
          <w:trHeight w:hRule="exact" w:val="848"/>
        </w:trPr>
        <w:tc>
          <w:tcPr>
            <w:tcW w:w="1403" w:type="dxa"/>
            <w:gridSpan w:val="2"/>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Tipranavir</w:t>
            </w:r>
          </w:p>
        </w:tc>
        <w:tc>
          <w:tcPr>
            <w:tcW w:w="2468" w:type="dxa"/>
            <w:gridSpan w:val="3"/>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500 mg hver 12. time</w:t>
            </w:r>
          </w:p>
        </w:tc>
        <w:tc>
          <w:tcPr>
            <w:tcW w:w="1661" w:type="dxa"/>
            <w:gridSpan w:val="3"/>
            <w:tcBorders>
              <w:top w:val="single" w:sz="8" w:space="0" w:color="auto"/>
              <w:left w:val="nil"/>
              <w:bottom w:val="nil"/>
              <w:right w:val="nil"/>
            </w:tcBorders>
          </w:tcPr>
          <w:p w:rsidR="00C70B96" w:rsidRDefault="00C70B96" w:rsidP="00C70B96">
            <w:pPr>
              <w:widowControl w:val="0"/>
              <w:tabs>
                <w:tab w:val="left" w:pos="0"/>
                <w:tab w:val="left" w:pos="1703"/>
                <w:tab w:val="left" w:pos="4155"/>
                <w:tab w:val="left" w:pos="9070"/>
              </w:tabs>
              <w:ind w:left="146"/>
              <w:rPr>
                <w:sz w:val="22"/>
                <w:szCs w:val="22"/>
              </w:rPr>
            </w:pPr>
            <w:r>
              <w:rPr>
                <w:sz w:val="22"/>
                <w:szCs w:val="22"/>
              </w:rPr>
              <w:t>200 mg hver 12.</w:t>
            </w:r>
          </w:p>
          <w:p w:rsidR="00C70B96" w:rsidRDefault="00C70B96" w:rsidP="00C70B96">
            <w:pPr>
              <w:widowControl w:val="0"/>
              <w:tabs>
                <w:tab w:val="left" w:pos="0"/>
                <w:tab w:val="left" w:pos="9070"/>
              </w:tabs>
              <w:ind w:left="146" w:right="909"/>
              <w:rPr>
                <w:sz w:val="22"/>
                <w:szCs w:val="22"/>
              </w:rPr>
            </w:pPr>
            <w:r>
              <w:rPr>
                <w:sz w:val="22"/>
                <w:szCs w:val="22"/>
              </w:rPr>
              <w:t>time</w:t>
            </w:r>
          </w:p>
          <w:p w:rsidR="00C70B96" w:rsidRDefault="00C70B96" w:rsidP="00C70B96">
            <w:pPr>
              <w:widowControl w:val="0"/>
              <w:tabs>
                <w:tab w:val="left" w:pos="0"/>
                <w:tab w:val="left" w:pos="9070"/>
              </w:tabs>
              <w:ind w:left="146" w:right="296"/>
              <w:rPr>
                <w:sz w:val="22"/>
                <w:szCs w:val="22"/>
              </w:rPr>
            </w:pPr>
          </w:p>
        </w:tc>
        <w:tc>
          <w:tcPr>
            <w:tcW w:w="1599" w:type="dxa"/>
            <w:gridSpan w:val="3"/>
            <w:tcBorders>
              <w:top w:val="single" w:sz="8" w:space="0" w:color="auto"/>
              <w:left w:val="nil"/>
              <w:bottom w:val="nil"/>
              <w:right w:val="nil"/>
            </w:tcBorders>
          </w:tcPr>
          <w:p w:rsidR="00C70B96" w:rsidRDefault="00C70B96" w:rsidP="00C70B96">
            <w:pPr>
              <w:widowControl w:val="0"/>
              <w:autoSpaceDE w:val="0"/>
              <w:autoSpaceDN w:val="0"/>
              <w:adjustRightInd w:val="0"/>
              <w:ind w:left="146" w:right="242"/>
              <w:rPr>
                <w:sz w:val="22"/>
                <w:szCs w:val="22"/>
              </w:rPr>
            </w:pPr>
            <w:r>
              <w:rPr>
                <w:sz w:val="22"/>
                <w:szCs w:val="22"/>
              </w:rPr>
              <w:t>Tipranavir</w:t>
            </w:r>
          </w:p>
          <w:p w:rsidR="00C70B96" w:rsidRDefault="00C70B96" w:rsidP="00C70B96">
            <w:pPr>
              <w:widowControl w:val="0"/>
              <w:autoSpaceDE w:val="0"/>
              <w:autoSpaceDN w:val="0"/>
              <w:adjustRightInd w:val="0"/>
              <w:ind w:left="146" w:right="242"/>
              <w:rPr>
                <w:sz w:val="22"/>
                <w:szCs w:val="22"/>
              </w:rPr>
            </w:pPr>
          </w:p>
          <w:p w:rsidR="00C70B96" w:rsidRDefault="00C70B96" w:rsidP="00C70B96">
            <w:pPr>
              <w:widowControl w:val="0"/>
              <w:autoSpaceDE w:val="0"/>
              <w:autoSpaceDN w:val="0"/>
              <w:adjustRightInd w:val="0"/>
              <w:ind w:left="146" w:right="242"/>
              <w:rPr>
                <w:sz w:val="22"/>
                <w:szCs w:val="22"/>
              </w:rPr>
            </w:pPr>
            <w:r>
              <w:rPr>
                <w:sz w:val="22"/>
                <w:szCs w:val="22"/>
              </w:rPr>
              <w:t>Ritonavir</w:t>
            </w:r>
          </w:p>
        </w:tc>
        <w:tc>
          <w:tcPr>
            <w:tcW w:w="1257" w:type="dxa"/>
            <w:gridSpan w:val="4"/>
            <w:tcBorders>
              <w:top w:val="single" w:sz="8" w:space="0" w:color="auto"/>
              <w:left w:val="nil"/>
              <w:bottom w:val="nil"/>
              <w:right w:val="nil"/>
            </w:tcBorders>
          </w:tcPr>
          <w:p w:rsidR="00C70B96" w:rsidRDefault="00C70B96" w:rsidP="00C70B96">
            <w:pPr>
              <w:widowControl w:val="0"/>
              <w:tabs>
                <w:tab w:val="left" w:pos="0"/>
                <w:tab w:val="left" w:pos="9070"/>
              </w:tabs>
              <w:ind w:left="146"/>
              <w:rPr>
                <w:sz w:val="22"/>
                <w:szCs w:val="22"/>
              </w:rPr>
            </w:pPr>
            <w:r>
              <w:rPr>
                <w:sz w:val="22"/>
                <w:szCs w:val="22"/>
              </w:rPr>
              <w:t>↑ 11 gange</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40 %</w:t>
            </w:r>
          </w:p>
        </w:tc>
        <w:tc>
          <w:tcPr>
            <w:tcW w:w="1368" w:type="dxa"/>
            <w:gridSpan w:val="4"/>
            <w:tcBorders>
              <w:top w:val="single" w:sz="8" w:space="0" w:color="auto"/>
              <w:left w:val="nil"/>
              <w:bottom w:val="nil"/>
              <w:right w:val="nil"/>
            </w:tcBorders>
          </w:tcPr>
          <w:p w:rsidR="00C70B96" w:rsidRDefault="00C70B96" w:rsidP="00C70B96">
            <w:pPr>
              <w:widowControl w:val="0"/>
              <w:tabs>
                <w:tab w:val="left" w:pos="0"/>
                <w:tab w:val="left" w:pos="9070"/>
              </w:tabs>
              <w:ind w:left="146"/>
              <w:rPr>
                <w:sz w:val="22"/>
                <w:szCs w:val="22"/>
              </w:rPr>
            </w:pPr>
            <w:r>
              <w:rPr>
                <w:sz w:val="22"/>
                <w:szCs w:val="22"/>
              </w:rPr>
              <w:t>↑ 29 gange</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ND</w:t>
            </w:r>
          </w:p>
        </w:tc>
      </w:tr>
      <w:tr w:rsidR="00C70B96" w:rsidTr="00C70B96">
        <w:trPr>
          <w:gridAfter w:val="1"/>
          <w:wAfter w:w="279" w:type="dxa"/>
          <w:trHeight w:hRule="exact" w:val="1284"/>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øger serumniveauet af tipranavir som resultat af hæmning af CYP3A. Tipranavir skal indgives sammen med en lav dosis ritonavir for at sikre den terapeutiske virkning. Doser af ritonavir på mindre end 200 mg to gange daglig bør ikke anvendes sammen med tipranavir, da de kan ændre virkningen af kombinationen. For yderligere oplysninger henvises læger til produktresuméet fortipranavir.</w:t>
            </w:r>
          </w:p>
        </w:tc>
      </w:tr>
      <w:tr w:rsidR="00C70B96" w:rsidTr="00C70B96">
        <w:trPr>
          <w:gridAfter w:val="1"/>
          <w:wAfter w:w="279" w:type="dxa"/>
          <w:trHeight w:hRule="exact" w:val="56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ND: Ikke fastsat (Not Determined)</w:t>
            </w:r>
          </w:p>
        </w:tc>
      </w:tr>
      <w:tr w:rsidR="00C70B96" w:rsidTr="00C70B96">
        <w:trPr>
          <w:gridAfter w:val="1"/>
          <w:wAfter w:w="279" w:type="dxa"/>
          <w:trHeight w:hRule="exact" w:val="51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2301"/>
                <w:tab w:val="left" w:pos="9070"/>
              </w:tabs>
              <w:ind w:left="425" w:right="680" w:hanging="279"/>
              <w:rPr>
                <w:sz w:val="22"/>
                <w:szCs w:val="22"/>
              </w:rPr>
            </w:pPr>
            <w:r>
              <w:rPr>
                <w:sz w:val="22"/>
                <w:szCs w:val="22"/>
              </w:rPr>
              <w:t>1.</w:t>
            </w:r>
            <w:r>
              <w:rPr>
                <w:sz w:val="22"/>
                <w:szCs w:val="22"/>
              </w:rPr>
              <w:tab/>
              <w:t>Baseret på en sammenligning på tværs af studier med 1.200 mg amprenavir alene to gange daglig.</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58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425"/>
                <w:tab w:val="left" w:pos="9070"/>
              </w:tabs>
              <w:ind w:left="425" w:hanging="279"/>
              <w:rPr>
                <w:sz w:val="22"/>
                <w:szCs w:val="22"/>
              </w:rPr>
            </w:pPr>
            <w:r>
              <w:rPr>
                <w:sz w:val="22"/>
                <w:szCs w:val="22"/>
              </w:rPr>
              <w:t>2.</w:t>
            </w:r>
            <w:r>
              <w:rPr>
                <w:sz w:val="22"/>
                <w:szCs w:val="22"/>
              </w:rPr>
              <w:tab/>
              <w:t>Baseret på en sammenligning på tværs af studier med 400 mg atazanavir alene en gang daglig.</w:t>
            </w:r>
          </w:p>
        </w:tc>
      </w:tr>
      <w:tr w:rsidR="00C70B96" w:rsidTr="00C70B96">
        <w:trPr>
          <w:gridAfter w:val="1"/>
          <w:wAfter w:w="279" w:type="dxa"/>
          <w:trHeight w:hRule="exact" w:val="56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425"/>
                <w:tab w:val="left" w:pos="9070"/>
              </w:tabs>
              <w:ind w:left="425" w:hanging="279"/>
              <w:rPr>
                <w:sz w:val="22"/>
                <w:szCs w:val="22"/>
              </w:rPr>
            </w:pPr>
            <w:r>
              <w:rPr>
                <w:sz w:val="22"/>
                <w:szCs w:val="22"/>
              </w:rPr>
              <w:t>3.</w:t>
            </w:r>
            <w:r>
              <w:rPr>
                <w:sz w:val="22"/>
                <w:szCs w:val="22"/>
              </w:rPr>
              <w:tab/>
              <w:t>Baseret på en sammenligning på tværs af studier med 800 mg indinavir alene tre gange daglig.</w:t>
            </w:r>
          </w:p>
        </w:tc>
      </w:tr>
      <w:tr w:rsidR="00C70B96" w:rsidTr="00C70B96">
        <w:trPr>
          <w:gridAfter w:val="1"/>
          <w:wAfter w:w="279" w:type="dxa"/>
          <w:trHeight w:hRule="exact" w:val="56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425" w:hanging="279"/>
              <w:rPr>
                <w:sz w:val="22"/>
                <w:szCs w:val="22"/>
              </w:rPr>
            </w:pPr>
            <w:r>
              <w:rPr>
                <w:sz w:val="22"/>
                <w:szCs w:val="22"/>
              </w:rPr>
              <w:t>4.</w:t>
            </w:r>
            <w:r>
              <w:rPr>
                <w:sz w:val="22"/>
                <w:szCs w:val="22"/>
              </w:rPr>
              <w:tab/>
              <w:t>Baseret på en sammenligning på tværs af studier med 600 mg saquinavir alene tre gange daglig.</w:t>
            </w:r>
          </w:p>
        </w:tc>
      </w:tr>
      <w:tr w:rsidR="00C70B96" w:rsidTr="00C70B96">
        <w:trPr>
          <w:gridAfter w:val="1"/>
          <w:wAfter w:w="279" w:type="dxa"/>
          <w:trHeight w:hRule="exact" w:val="292"/>
        </w:trPr>
        <w:tc>
          <w:tcPr>
            <w:tcW w:w="1403" w:type="dxa"/>
            <w:gridSpan w:val="2"/>
            <w:tcBorders>
              <w:top w:val="nil"/>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2468" w:type="dxa"/>
            <w:gridSpan w:val="3"/>
            <w:tcBorders>
              <w:top w:val="nil"/>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661" w:type="dxa"/>
            <w:gridSpan w:val="3"/>
            <w:tcBorders>
              <w:top w:val="nil"/>
              <w:left w:val="nil"/>
              <w:bottom w:val="single" w:sz="8" w:space="0" w:color="auto"/>
              <w:right w:val="nil"/>
            </w:tcBorders>
          </w:tcPr>
          <w:p w:rsidR="00C70B96" w:rsidRDefault="00C70B96" w:rsidP="00C70B96">
            <w:pPr>
              <w:widowControl w:val="0"/>
              <w:tabs>
                <w:tab w:val="left" w:pos="0"/>
                <w:tab w:val="left" w:pos="9070"/>
              </w:tabs>
              <w:ind w:left="146" w:right="296"/>
              <w:rPr>
                <w:sz w:val="22"/>
                <w:szCs w:val="22"/>
              </w:rPr>
            </w:pPr>
          </w:p>
        </w:tc>
        <w:tc>
          <w:tcPr>
            <w:tcW w:w="1599" w:type="dxa"/>
            <w:gridSpan w:val="3"/>
            <w:tcBorders>
              <w:top w:val="nil"/>
              <w:left w:val="nil"/>
              <w:bottom w:val="single" w:sz="8" w:space="0" w:color="auto"/>
              <w:right w:val="nil"/>
            </w:tcBorders>
          </w:tcPr>
          <w:p w:rsidR="00C70B96" w:rsidRDefault="00C70B96" w:rsidP="00C70B96">
            <w:pPr>
              <w:widowControl w:val="0"/>
              <w:autoSpaceDE w:val="0"/>
              <w:autoSpaceDN w:val="0"/>
              <w:adjustRightInd w:val="0"/>
              <w:ind w:left="146" w:right="242"/>
              <w:rPr>
                <w:sz w:val="22"/>
                <w:szCs w:val="22"/>
              </w:rPr>
            </w:pPr>
          </w:p>
        </w:tc>
        <w:tc>
          <w:tcPr>
            <w:tcW w:w="1257" w:type="dxa"/>
            <w:gridSpan w:val="4"/>
            <w:tcBorders>
              <w:top w:val="nil"/>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nil"/>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b/>
                <w:bCs/>
                <w:sz w:val="22"/>
                <w:szCs w:val="22"/>
              </w:rPr>
              <w:t>Lægemiddelinteraktioner – Ritonavir med antiretrovirale stoffer som ikke er proteasehæmmere</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81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Samtidigt indgivet</w:t>
            </w:r>
          </w:p>
          <w:p w:rsidR="00C70B96" w:rsidRDefault="00C70B96" w:rsidP="00C70B96">
            <w:pPr>
              <w:widowControl w:val="0"/>
              <w:tabs>
                <w:tab w:val="left" w:pos="0"/>
                <w:tab w:val="left" w:pos="9070"/>
              </w:tabs>
              <w:ind w:left="146"/>
              <w:rPr>
                <w:sz w:val="22"/>
                <w:szCs w:val="22"/>
              </w:rPr>
            </w:pPr>
            <w:r>
              <w:rPr>
                <w:b/>
                <w:sz w:val="22"/>
                <w:szCs w:val="22"/>
              </w:rPr>
              <w:t>lægemiddel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Dosis af samtidigt indgivet lægemiddel (mg)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Dosis af ritonavir (mg)</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Vurderet lægemiddel</w:t>
            </w:r>
          </w:p>
        </w:tc>
        <w:tc>
          <w:tcPr>
            <w:tcW w:w="1257"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AUC</w:t>
            </w: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bCs/>
                <w:sz w:val="22"/>
                <w:szCs w:val="22"/>
              </w:rPr>
              <w:t>C</w:t>
            </w:r>
            <w:r>
              <w:rPr>
                <w:b/>
                <w:bCs/>
                <w:sz w:val="22"/>
                <w:szCs w:val="22"/>
                <w:vertAlign w:val="subscript"/>
              </w:rPr>
              <w:t>min</w:t>
            </w:r>
          </w:p>
        </w:tc>
      </w:tr>
      <w:tr w:rsidR="00C70B96" w:rsidTr="00C70B96">
        <w:trPr>
          <w:gridAfter w:val="1"/>
          <w:wAfter w:w="279" w:type="dxa"/>
          <w:trHeight w:hRule="exact" w:val="55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Didanosin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200 mg hver 12.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600 mg hver 12. time 2 t senere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Didanosin</w:t>
            </w:r>
          </w:p>
        </w:tc>
        <w:tc>
          <w:tcPr>
            <w:tcW w:w="1257"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13 %</w:t>
            </w: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80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Da det anbefales, at ritonavir indtages sammen med et måltid, og didanosin bør indtages på tom mave, bør intervallet mellem doseringerne være 2,5 time. Dosisændring skulle ikke være nødvendig.</w:t>
            </w:r>
          </w:p>
        </w:tc>
      </w:tr>
      <w:tr w:rsidR="00C70B96" w:rsidTr="00C70B96">
        <w:trPr>
          <w:gridAfter w:val="1"/>
          <w:wAfter w:w="279" w:type="dxa"/>
          <w:trHeight w:hRule="exact" w:val="65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Delavirdin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400 mg hver 8.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1506"/>
                <w:tab w:val="left" w:pos="3479"/>
                <w:tab w:val="left" w:pos="9070"/>
              </w:tabs>
              <w:ind w:left="146"/>
              <w:rPr>
                <w:sz w:val="22"/>
                <w:szCs w:val="22"/>
              </w:rPr>
            </w:pPr>
            <w:r>
              <w:rPr>
                <w:sz w:val="22"/>
                <w:szCs w:val="22"/>
              </w:rPr>
              <w:t>600 mg hver 12.</w:t>
            </w:r>
          </w:p>
          <w:p w:rsidR="00C70B96" w:rsidRDefault="00C70B96" w:rsidP="00C70B96">
            <w:pPr>
              <w:widowControl w:val="0"/>
              <w:tabs>
                <w:tab w:val="left" w:pos="0"/>
                <w:tab w:val="left" w:pos="9070"/>
              </w:tabs>
              <w:ind w:left="146" w:right="909"/>
              <w:rPr>
                <w:sz w:val="22"/>
                <w:szCs w:val="22"/>
              </w:rPr>
            </w:pPr>
            <w:r>
              <w:rPr>
                <w:sz w:val="22"/>
                <w:szCs w:val="22"/>
              </w:rPr>
              <w:t>time</w:t>
            </w:r>
            <w:r>
              <w:rPr>
                <w:sz w:val="22"/>
                <w:szCs w:val="22"/>
              </w:rPr>
              <w:br w:type="column"/>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autoSpaceDE w:val="0"/>
              <w:autoSpaceDN w:val="0"/>
              <w:adjustRightInd w:val="0"/>
              <w:ind w:left="146" w:right="242"/>
              <w:rPr>
                <w:sz w:val="22"/>
                <w:szCs w:val="22"/>
                <w:vertAlign w:val="superscript"/>
              </w:rPr>
            </w:pPr>
            <w:r>
              <w:rPr>
                <w:sz w:val="22"/>
                <w:szCs w:val="22"/>
              </w:rPr>
              <w:t>Delavirdin</w:t>
            </w:r>
            <w:r>
              <w:rPr>
                <w:sz w:val="22"/>
                <w:szCs w:val="22"/>
                <w:vertAlign w:val="superscript"/>
              </w:rPr>
              <w:t>1</w:t>
            </w:r>
          </w:p>
          <w:p w:rsidR="00C70B96" w:rsidRDefault="00C70B96" w:rsidP="00C70B96">
            <w:pPr>
              <w:widowControl w:val="0"/>
              <w:autoSpaceDE w:val="0"/>
              <w:autoSpaceDN w:val="0"/>
              <w:adjustRightInd w:val="0"/>
              <w:ind w:left="146" w:right="242"/>
              <w:rPr>
                <w:sz w:val="22"/>
                <w:szCs w:val="22"/>
              </w:rPr>
            </w:pPr>
            <w:r>
              <w:rPr>
                <w:sz w:val="22"/>
                <w:szCs w:val="22"/>
              </w:rPr>
              <w:t>Ritonavir</w:t>
            </w:r>
          </w:p>
        </w:tc>
        <w:tc>
          <w:tcPr>
            <w:tcW w:w="1257"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w:t>
            </w:r>
          </w:p>
          <w:p w:rsidR="00C70B96" w:rsidRDefault="00C70B96" w:rsidP="00C70B96">
            <w:pPr>
              <w:widowControl w:val="0"/>
              <w:tabs>
                <w:tab w:val="left" w:pos="0"/>
                <w:tab w:val="left" w:pos="9070"/>
              </w:tabs>
              <w:ind w:left="146"/>
              <w:rPr>
                <w:sz w:val="22"/>
                <w:szCs w:val="22"/>
              </w:rPr>
            </w:pPr>
            <w:r>
              <w:rPr>
                <w:position w:val="2"/>
                <w:sz w:val="22"/>
                <w:szCs w:val="22"/>
              </w:rPr>
              <w:t>↑ 50 %</w:t>
            </w: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w:t>
            </w:r>
          </w:p>
          <w:p w:rsidR="00C70B96" w:rsidRDefault="00C70B96" w:rsidP="00C70B96">
            <w:pPr>
              <w:widowControl w:val="0"/>
              <w:tabs>
                <w:tab w:val="left" w:pos="0"/>
                <w:tab w:val="left" w:pos="9070"/>
              </w:tabs>
              <w:ind w:left="146"/>
              <w:rPr>
                <w:sz w:val="22"/>
                <w:szCs w:val="22"/>
              </w:rPr>
            </w:pPr>
            <w:r>
              <w:rPr>
                <w:sz w:val="22"/>
                <w:szCs w:val="22"/>
              </w:rPr>
              <w:t>↑ 75 %</w:t>
            </w:r>
          </w:p>
        </w:tc>
      </w:tr>
      <w:tr w:rsidR="00C70B96" w:rsidTr="00C70B96">
        <w:trPr>
          <w:gridAfter w:val="1"/>
          <w:wAfter w:w="279" w:type="dxa"/>
          <w:trHeight w:hRule="exact" w:val="79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På baggrund af en sammenligning med historiske data synes delavirdins farmakokinetik ikke at være påvirket af ritonavir. Når ritonavir anvendes i kombination med delavirdin, kan dosisreduktion af ritonavir overvejes.</w:t>
            </w:r>
          </w:p>
        </w:tc>
      </w:tr>
      <w:tr w:rsidR="00C70B96" w:rsidTr="00C70B96">
        <w:trPr>
          <w:gridAfter w:val="1"/>
          <w:wAfter w:w="279" w:type="dxa"/>
          <w:trHeight w:hRule="exact" w:val="85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Efavirenz</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600 mg hver 24. time</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1506"/>
                <w:tab w:val="left" w:pos="3479"/>
                <w:tab w:val="left" w:pos="9070"/>
              </w:tabs>
              <w:ind w:left="146"/>
              <w:rPr>
                <w:sz w:val="22"/>
                <w:szCs w:val="22"/>
              </w:rPr>
            </w:pPr>
            <w:r>
              <w:rPr>
                <w:sz w:val="22"/>
                <w:szCs w:val="22"/>
              </w:rPr>
              <w:t>500 mg hver 12.</w:t>
            </w:r>
          </w:p>
          <w:p w:rsidR="00C70B96" w:rsidRDefault="00C70B96" w:rsidP="00C70B96">
            <w:pPr>
              <w:widowControl w:val="0"/>
              <w:tabs>
                <w:tab w:val="left" w:pos="0"/>
                <w:tab w:val="left" w:pos="9070"/>
              </w:tabs>
              <w:ind w:left="146" w:right="909"/>
              <w:rPr>
                <w:sz w:val="22"/>
                <w:szCs w:val="22"/>
              </w:rPr>
            </w:pPr>
            <w:r>
              <w:rPr>
                <w:sz w:val="22"/>
                <w:szCs w:val="22"/>
              </w:rPr>
              <w:t>time</w:t>
            </w:r>
          </w:p>
          <w:p w:rsidR="00C70B96" w:rsidRDefault="00C70B96" w:rsidP="00C70B96">
            <w:pPr>
              <w:widowControl w:val="0"/>
              <w:tabs>
                <w:tab w:val="left" w:pos="0"/>
                <w:tab w:val="left" w:pos="9070"/>
              </w:tabs>
              <w:ind w:left="146" w:right="296"/>
              <w:rPr>
                <w:sz w:val="22"/>
                <w:szCs w:val="22"/>
              </w:rPr>
            </w:pPr>
          </w:p>
        </w:tc>
        <w:tc>
          <w:tcPr>
            <w:tcW w:w="1599" w:type="dxa"/>
            <w:gridSpan w:val="3"/>
            <w:tcBorders>
              <w:top w:val="single" w:sz="8" w:space="0" w:color="auto"/>
              <w:left w:val="nil"/>
              <w:bottom w:val="single" w:sz="8" w:space="0" w:color="auto"/>
              <w:right w:val="nil"/>
            </w:tcBorders>
          </w:tcPr>
          <w:p w:rsidR="00C70B96" w:rsidRDefault="00C70B96" w:rsidP="00C70B96">
            <w:pPr>
              <w:widowControl w:val="0"/>
              <w:autoSpaceDE w:val="0"/>
              <w:autoSpaceDN w:val="0"/>
              <w:adjustRightInd w:val="0"/>
              <w:ind w:left="146" w:right="242"/>
              <w:rPr>
                <w:sz w:val="22"/>
                <w:szCs w:val="22"/>
              </w:rPr>
            </w:pPr>
            <w:r>
              <w:rPr>
                <w:sz w:val="22"/>
                <w:szCs w:val="22"/>
              </w:rPr>
              <w:t>Efavirenz</w:t>
            </w:r>
          </w:p>
          <w:p w:rsidR="00C70B96" w:rsidRDefault="00C70B96" w:rsidP="00C70B96">
            <w:pPr>
              <w:widowControl w:val="0"/>
              <w:autoSpaceDE w:val="0"/>
              <w:autoSpaceDN w:val="0"/>
              <w:adjustRightInd w:val="0"/>
              <w:ind w:left="146" w:right="242"/>
              <w:rPr>
                <w:sz w:val="22"/>
                <w:szCs w:val="22"/>
              </w:rPr>
            </w:pPr>
          </w:p>
          <w:p w:rsidR="00C70B96" w:rsidRDefault="00C70B96" w:rsidP="00C70B96">
            <w:pPr>
              <w:widowControl w:val="0"/>
              <w:autoSpaceDE w:val="0"/>
              <w:autoSpaceDN w:val="0"/>
              <w:adjustRightInd w:val="0"/>
              <w:ind w:left="146" w:right="242"/>
              <w:rPr>
                <w:sz w:val="22"/>
                <w:szCs w:val="22"/>
              </w:rPr>
            </w:pPr>
            <w:r>
              <w:rPr>
                <w:sz w:val="22"/>
                <w:szCs w:val="22"/>
              </w:rPr>
              <w:t>Ritonavir</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position w:val="2"/>
                <w:sz w:val="22"/>
                <w:szCs w:val="22"/>
              </w:rPr>
            </w:pPr>
            <w:r>
              <w:rPr>
                <w:position w:val="2"/>
                <w:sz w:val="22"/>
                <w:szCs w:val="22"/>
              </w:rPr>
              <w:t>↑ 21 %</w:t>
            </w:r>
          </w:p>
          <w:p w:rsidR="00C70B96" w:rsidRDefault="00C70B96" w:rsidP="00C70B96">
            <w:pPr>
              <w:widowControl w:val="0"/>
              <w:tabs>
                <w:tab w:val="left" w:pos="0"/>
                <w:tab w:val="left" w:pos="9070"/>
              </w:tabs>
              <w:ind w:left="146"/>
              <w:rPr>
                <w:position w:val="2"/>
                <w:sz w:val="22"/>
                <w:szCs w:val="22"/>
              </w:rPr>
            </w:pPr>
          </w:p>
          <w:p w:rsidR="00C70B96" w:rsidRDefault="00C70B96" w:rsidP="00C70B96">
            <w:pPr>
              <w:widowControl w:val="0"/>
              <w:tabs>
                <w:tab w:val="left" w:pos="0"/>
                <w:tab w:val="left" w:pos="9070"/>
              </w:tabs>
              <w:ind w:left="146"/>
              <w:rPr>
                <w:sz w:val="22"/>
                <w:szCs w:val="22"/>
              </w:rPr>
            </w:pPr>
            <w:r>
              <w:rPr>
                <w:position w:val="2"/>
                <w:sz w:val="22"/>
                <w:szCs w:val="22"/>
              </w:rPr>
              <w:t>↑ 17 %</w:t>
            </w: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84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En højere frekvens af bivirkninger (f.eks. svimmelhed, kvalme, paræstesi) og unormale laboratorieværdier (forhøjede leverenzymer) er observeret ved samtidig indgift af efavirenz og ritonavir doseret som et antiretroviralt stof.</w:t>
            </w:r>
          </w:p>
        </w:tc>
      </w:tr>
      <w:tr w:rsidR="00C70B96" w:rsidTr="00C70B96">
        <w:trPr>
          <w:gridAfter w:val="1"/>
          <w:wAfter w:w="279" w:type="dxa"/>
          <w:trHeight w:hRule="exact" w:val="54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Maraviroc</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100 mg hver 12.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100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autoSpaceDE w:val="0"/>
              <w:autoSpaceDN w:val="0"/>
              <w:adjustRightInd w:val="0"/>
              <w:ind w:left="146" w:right="242"/>
              <w:rPr>
                <w:sz w:val="22"/>
                <w:szCs w:val="22"/>
              </w:rPr>
            </w:pPr>
            <w:r>
              <w:rPr>
                <w:sz w:val="22"/>
                <w:szCs w:val="22"/>
              </w:rPr>
              <w:t>Maraviroc</w:t>
            </w:r>
          </w:p>
        </w:tc>
        <w:tc>
          <w:tcPr>
            <w:tcW w:w="1257"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↑161 %</w:t>
            </w: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↑28 %</w:t>
            </w:r>
          </w:p>
        </w:tc>
      </w:tr>
      <w:tr w:rsidR="00C70B96" w:rsidTr="00C70B96">
        <w:trPr>
          <w:gridAfter w:val="1"/>
          <w:wAfter w:w="279" w:type="dxa"/>
          <w:trHeight w:hRule="exact" w:val="86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øger serumniveauerne af maraviroc som resultat af hæmning af CYP3A. Maraviroc kan gives sammen med ritonavir for at øge ekspositionen af maraviroc. For yderligere oplysninger henvises til produktresuméet for maraviroc.</w:t>
            </w:r>
          </w:p>
        </w:tc>
      </w:tr>
      <w:tr w:rsidR="00C70B96" w:rsidTr="00C70B96">
        <w:trPr>
          <w:gridAfter w:val="1"/>
          <w:wAfter w:w="279" w:type="dxa"/>
          <w:trHeight w:hRule="exact" w:val="83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Nevirapin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200 mg hver 12. time</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1506"/>
                <w:tab w:val="left" w:pos="3479"/>
                <w:tab w:val="left" w:pos="9070"/>
              </w:tabs>
              <w:ind w:left="146"/>
              <w:rPr>
                <w:sz w:val="22"/>
                <w:szCs w:val="22"/>
              </w:rPr>
            </w:pPr>
            <w:r>
              <w:rPr>
                <w:sz w:val="22"/>
                <w:szCs w:val="22"/>
              </w:rPr>
              <w:t>600 mg hver 12.</w:t>
            </w:r>
          </w:p>
          <w:p w:rsidR="00C70B96" w:rsidRDefault="00C70B96" w:rsidP="00C70B96">
            <w:pPr>
              <w:widowControl w:val="0"/>
              <w:tabs>
                <w:tab w:val="left" w:pos="0"/>
                <w:tab w:val="left" w:pos="9070"/>
              </w:tabs>
              <w:ind w:left="146" w:right="846"/>
              <w:rPr>
                <w:sz w:val="22"/>
                <w:szCs w:val="22"/>
              </w:rPr>
            </w:pPr>
            <w:r>
              <w:rPr>
                <w:sz w:val="22"/>
                <w:szCs w:val="22"/>
              </w:rPr>
              <w:t>time</w:t>
            </w:r>
          </w:p>
          <w:p w:rsidR="00C70B96" w:rsidRDefault="00C70B96" w:rsidP="00C70B96">
            <w:pPr>
              <w:widowControl w:val="0"/>
              <w:tabs>
                <w:tab w:val="left" w:pos="0"/>
                <w:tab w:val="left" w:pos="9070"/>
              </w:tabs>
              <w:ind w:left="146" w:right="296"/>
              <w:rPr>
                <w:sz w:val="22"/>
                <w:szCs w:val="22"/>
              </w:rPr>
            </w:pPr>
          </w:p>
        </w:tc>
        <w:tc>
          <w:tcPr>
            <w:tcW w:w="1599" w:type="dxa"/>
            <w:gridSpan w:val="3"/>
            <w:tcBorders>
              <w:top w:val="single" w:sz="8" w:space="0" w:color="auto"/>
              <w:left w:val="nil"/>
              <w:bottom w:val="single" w:sz="8" w:space="0" w:color="auto"/>
              <w:right w:val="nil"/>
            </w:tcBorders>
          </w:tcPr>
          <w:p w:rsidR="00C70B96" w:rsidRDefault="00C70B96" w:rsidP="00C70B96">
            <w:pPr>
              <w:widowControl w:val="0"/>
              <w:autoSpaceDE w:val="0"/>
              <w:autoSpaceDN w:val="0"/>
              <w:adjustRightInd w:val="0"/>
              <w:ind w:left="146" w:right="242"/>
              <w:rPr>
                <w:sz w:val="22"/>
                <w:szCs w:val="22"/>
              </w:rPr>
            </w:pPr>
            <w:r>
              <w:rPr>
                <w:sz w:val="22"/>
                <w:szCs w:val="22"/>
              </w:rPr>
              <w:t>Nevirapin</w:t>
            </w:r>
          </w:p>
          <w:p w:rsidR="00C70B96" w:rsidRDefault="00C70B96" w:rsidP="00C70B96">
            <w:pPr>
              <w:widowControl w:val="0"/>
              <w:autoSpaceDE w:val="0"/>
              <w:autoSpaceDN w:val="0"/>
              <w:adjustRightInd w:val="0"/>
              <w:ind w:left="146" w:right="242"/>
              <w:rPr>
                <w:sz w:val="22"/>
                <w:szCs w:val="22"/>
              </w:rPr>
            </w:pPr>
          </w:p>
          <w:p w:rsidR="00C70B96" w:rsidRDefault="00C70B96" w:rsidP="00C70B96">
            <w:pPr>
              <w:widowControl w:val="0"/>
              <w:autoSpaceDE w:val="0"/>
              <w:autoSpaceDN w:val="0"/>
              <w:adjustRightInd w:val="0"/>
              <w:ind w:left="146" w:right="242"/>
              <w:rPr>
                <w:sz w:val="22"/>
                <w:szCs w:val="22"/>
              </w:rPr>
            </w:pPr>
            <w:r>
              <w:rPr>
                <w:sz w:val="22"/>
                <w:szCs w:val="22"/>
              </w:rPr>
              <w:t>Ritonavir</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56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indgift af ritonavir og nevirapin fører ikke til klinisk relevante ændringer i hverken nevirapins eller ritonavirs farmakokinetik.</w:t>
            </w:r>
          </w:p>
        </w:tc>
      </w:tr>
      <w:tr w:rsidR="00C70B96" w:rsidTr="00C70B96">
        <w:trPr>
          <w:gridAfter w:val="1"/>
          <w:wAfter w:w="279" w:type="dxa"/>
          <w:trHeight w:hRule="exact" w:val="57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Raltegravir</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400 enkelt</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100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autoSpaceDE w:val="0"/>
              <w:autoSpaceDN w:val="0"/>
              <w:adjustRightInd w:val="0"/>
              <w:ind w:left="146" w:right="242"/>
              <w:rPr>
                <w:sz w:val="22"/>
                <w:szCs w:val="22"/>
              </w:rPr>
            </w:pPr>
            <w:r>
              <w:rPr>
                <w:sz w:val="22"/>
                <w:szCs w:val="22"/>
              </w:rPr>
              <w:t>Raltegravir</w:t>
            </w:r>
          </w:p>
        </w:tc>
        <w:tc>
          <w:tcPr>
            <w:tcW w:w="1257"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position w:val="2"/>
                <w:sz w:val="22"/>
                <w:szCs w:val="22"/>
              </w:rPr>
              <w:t>↓ 16 %</w:t>
            </w: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1 %</w:t>
            </w:r>
          </w:p>
        </w:tc>
      </w:tr>
      <w:tr w:rsidR="00C70B96" w:rsidTr="00C70B96">
        <w:trPr>
          <w:gridAfter w:val="1"/>
          <w:wAfter w:w="279" w:type="dxa"/>
          <w:trHeight w:hRule="exact" w:val="56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administration af ritonavir og raltegravir resulterer i en mindre reduktion i raltegravir-koncentrationen</w:t>
            </w:r>
          </w:p>
        </w:tc>
      </w:tr>
      <w:tr w:rsidR="00C70B96" w:rsidTr="00C70B96">
        <w:trPr>
          <w:gridAfter w:val="1"/>
          <w:wAfter w:w="279" w:type="dxa"/>
          <w:trHeight w:hRule="exact" w:val="562"/>
        </w:trPr>
        <w:tc>
          <w:tcPr>
            <w:tcW w:w="1403" w:type="dxa"/>
            <w:gridSpan w:val="2"/>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Zidovudin</w:t>
            </w:r>
          </w:p>
        </w:tc>
        <w:tc>
          <w:tcPr>
            <w:tcW w:w="2468" w:type="dxa"/>
            <w:gridSpan w:val="3"/>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200 mg hver 8. time</w:t>
            </w:r>
          </w:p>
        </w:tc>
        <w:tc>
          <w:tcPr>
            <w:tcW w:w="1661" w:type="dxa"/>
            <w:gridSpan w:val="3"/>
            <w:tcBorders>
              <w:top w:val="single" w:sz="8" w:space="0" w:color="auto"/>
              <w:left w:val="nil"/>
              <w:bottom w:val="nil"/>
              <w:right w:val="nil"/>
            </w:tcBorders>
            <w:hideMark/>
          </w:tcPr>
          <w:p w:rsidR="00C70B96" w:rsidRDefault="00C70B96" w:rsidP="00C70B96">
            <w:pPr>
              <w:widowControl w:val="0"/>
              <w:tabs>
                <w:tab w:val="left" w:pos="0"/>
                <w:tab w:val="left" w:pos="1506"/>
                <w:tab w:val="left" w:pos="3479"/>
                <w:tab w:val="left" w:pos="9070"/>
              </w:tabs>
              <w:ind w:left="146"/>
              <w:rPr>
                <w:sz w:val="22"/>
                <w:szCs w:val="22"/>
              </w:rPr>
            </w:pPr>
            <w:r>
              <w:rPr>
                <w:sz w:val="22"/>
                <w:szCs w:val="22"/>
              </w:rPr>
              <w:t>300 mg hver 6.</w:t>
            </w:r>
          </w:p>
          <w:p w:rsidR="00C70B96" w:rsidRDefault="00C70B96" w:rsidP="00C70B96">
            <w:pPr>
              <w:widowControl w:val="0"/>
              <w:tabs>
                <w:tab w:val="left" w:pos="0"/>
                <w:tab w:val="left" w:pos="9070"/>
              </w:tabs>
              <w:ind w:left="146" w:right="296"/>
              <w:rPr>
                <w:sz w:val="22"/>
                <w:szCs w:val="22"/>
              </w:rPr>
            </w:pPr>
            <w:r>
              <w:rPr>
                <w:sz w:val="22"/>
                <w:szCs w:val="22"/>
              </w:rPr>
              <w:t>time</w:t>
            </w:r>
          </w:p>
        </w:tc>
        <w:tc>
          <w:tcPr>
            <w:tcW w:w="1599" w:type="dxa"/>
            <w:gridSpan w:val="3"/>
            <w:tcBorders>
              <w:top w:val="single" w:sz="8" w:space="0" w:color="auto"/>
              <w:left w:val="nil"/>
              <w:bottom w:val="nil"/>
              <w:right w:val="nil"/>
            </w:tcBorders>
            <w:hideMark/>
          </w:tcPr>
          <w:p w:rsidR="00C70B96" w:rsidRDefault="00C70B96" w:rsidP="00C70B96">
            <w:pPr>
              <w:widowControl w:val="0"/>
              <w:autoSpaceDE w:val="0"/>
              <w:autoSpaceDN w:val="0"/>
              <w:adjustRightInd w:val="0"/>
              <w:ind w:left="146" w:right="242"/>
              <w:rPr>
                <w:sz w:val="22"/>
                <w:szCs w:val="22"/>
              </w:rPr>
            </w:pPr>
            <w:r>
              <w:rPr>
                <w:sz w:val="22"/>
                <w:szCs w:val="22"/>
              </w:rPr>
              <w:t>Zidovudin</w:t>
            </w:r>
          </w:p>
        </w:tc>
        <w:tc>
          <w:tcPr>
            <w:tcW w:w="1257" w:type="dxa"/>
            <w:gridSpan w:val="4"/>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position w:val="2"/>
                <w:sz w:val="22"/>
                <w:szCs w:val="22"/>
              </w:rPr>
              <w:t>↓ 25 %</w:t>
            </w:r>
          </w:p>
        </w:tc>
        <w:tc>
          <w:tcPr>
            <w:tcW w:w="1368" w:type="dxa"/>
            <w:gridSpan w:val="4"/>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ND</w:t>
            </w:r>
          </w:p>
        </w:tc>
      </w:tr>
      <w:tr w:rsidR="00C70B96" w:rsidTr="00C70B96">
        <w:trPr>
          <w:gridAfter w:val="1"/>
          <w:wAfter w:w="279" w:type="dxa"/>
          <w:trHeight w:hRule="exact" w:val="57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kan fremkalde glukuronidation af zidovudin, hvilket medfører let nedsatte niveauer af zidovudin. Dosisændring skulle ikke være nødvendig.</w:t>
            </w:r>
          </w:p>
        </w:tc>
      </w:tr>
      <w:tr w:rsidR="00C70B96" w:rsidTr="00C70B96">
        <w:trPr>
          <w:gridAfter w:val="1"/>
          <w:wAfter w:w="279" w:type="dxa"/>
          <w:trHeight w:hRule="exact" w:val="46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ND: Ikke fastsat (Not Determined)</w:t>
            </w:r>
          </w:p>
        </w:tc>
      </w:tr>
      <w:tr w:rsidR="00C70B96" w:rsidTr="00C70B96">
        <w:trPr>
          <w:gridAfter w:val="1"/>
          <w:wAfter w:w="279" w:type="dxa"/>
          <w:trHeight w:hRule="exact" w:val="46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425"/>
                <w:tab w:val="left" w:pos="9070"/>
              </w:tabs>
              <w:ind w:left="425" w:hanging="279"/>
              <w:rPr>
                <w:sz w:val="22"/>
                <w:szCs w:val="22"/>
              </w:rPr>
            </w:pPr>
            <w:r>
              <w:rPr>
                <w:sz w:val="22"/>
                <w:szCs w:val="22"/>
              </w:rPr>
              <w:t>1.</w:t>
            </w:r>
            <w:r>
              <w:rPr>
                <w:sz w:val="22"/>
                <w:szCs w:val="22"/>
              </w:rPr>
              <w:tab/>
              <w:t>Baseret på en parallelgruppesammenligning</w:t>
            </w:r>
          </w:p>
        </w:tc>
      </w:tr>
      <w:tr w:rsidR="00C70B96" w:rsidTr="00C70B96">
        <w:trPr>
          <w:gridAfter w:val="1"/>
          <w:wAfter w:w="279" w:type="dxa"/>
          <w:trHeight w:val="209"/>
        </w:trPr>
        <w:tc>
          <w:tcPr>
            <w:tcW w:w="9756" w:type="dxa"/>
            <w:gridSpan w:val="19"/>
            <w:tcBorders>
              <w:top w:val="nil"/>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outlineLvl w:val="3"/>
              <w:rPr>
                <w:sz w:val="22"/>
                <w:szCs w:val="22"/>
              </w:rPr>
            </w:pPr>
            <w:r>
              <w:rPr>
                <w:b/>
                <w:bCs/>
                <w:sz w:val="22"/>
                <w:szCs w:val="22"/>
              </w:rPr>
              <w:t>Ritonavirs virkning på samtidigt indgift af ikke-antiretrovirale lægemidler</w:t>
            </w:r>
          </w:p>
          <w:p w:rsidR="00C70B96" w:rsidRDefault="00C70B96" w:rsidP="00C70B96">
            <w:pPr>
              <w:widowControl w:val="0"/>
              <w:tabs>
                <w:tab w:val="left" w:pos="0"/>
                <w:tab w:val="left" w:pos="9070"/>
              </w:tabs>
              <w:ind w:left="146"/>
              <w:rPr>
                <w:sz w:val="22"/>
                <w:szCs w:val="22"/>
              </w:rPr>
            </w:pPr>
          </w:p>
        </w:tc>
      </w:tr>
      <w:tr w:rsidR="00C70B96" w:rsidTr="00C70B96">
        <w:trPr>
          <w:gridAfter w:val="2"/>
          <w:wAfter w:w="668" w:type="dxa"/>
          <w:trHeight w:hRule="exact" w:val="1381"/>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Samtidigt indgivet lægemiddel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Dosis af samtidigt indgivet lægemiddel (mg)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b/>
                <w:sz w:val="22"/>
                <w:szCs w:val="22"/>
              </w:rPr>
              <w:t>Dosis af ritonavir (mg)</w:t>
            </w:r>
          </w:p>
        </w:tc>
        <w:tc>
          <w:tcPr>
            <w:tcW w:w="2437" w:type="dxa"/>
            <w:gridSpan w:val="6"/>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Virkning på samtidigt indgivet lægemiddel AUC</w:t>
            </w:r>
          </w:p>
        </w:tc>
        <w:tc>
          <w:tcPr>
            <w:tcW w:w="139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 xml:space="preserve">Virkning på samtidigt indgivet lægemiddel </w:t>
            </w:r>
            <w:r>
              <w:rPr>
                <w:b/>
                <w:bCs/>
                <w:sz w:val="22"/>
                <w:szCs w:val="22"/>
              </w:rPr>
              <w:t>C</w:t>
            </w:r>
            <w:r>
              <w:rPr>
                <w:b/>
                <w:bCs/>
                <w:sz w:val="22"/>
                <w:szCs w:val="22"/>
                <w:vertAlign w:val="subscript"/>
              </w:rPr>
              <w:t>max</w:t>
            </w:r>
          </w:p>
        </w:tc>
      </w:tr>
      <w:tr w:rsidR="00C70B96" w:rsidTr="00C70B96">
        <w:trPr>
          <w:gridAfter w:val="1"/>
          <w:wAfter w:w="279" w:type="dxa"/>
          <w:trHeight w:val="42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bCs/>
                <w:position w:val="-2"/>
                <w:sz w:val="22"/>
                <w:szCs w:val="22"/>
              </w:rPr>
              <w:sym w:font="Symbol" w:char="F061"/>
            </w:r>
            <w:r>
              <w:rPr>
                <w:b/>
                <w:bCs/>
                <w:position w:val="-2"/>
                <w:sz w:val="22"/>
                <w:szCs w:val="22"/>
              </w:rPr>
              <w:t>1</w:t>
            </w:r>
            <w:r>
              <w:rPr>
                <w:b/>
                <w:bCs/>
                <w:sz w:val="22"/>
                <w:szCs w:val="22"/>
              </w:rPr>
              <w:t>-adrenerge antagonister</w:t>
            </w:r>
          </w:p>
        </w:tc>
      </w:tr>
      <w:tr w:rsidR="00C70B96" w:rsidTr="00C70B96">
        <w:trPr>
          <w:gridAfter w:val="1"/>
          <w:wAfter w:w="279" w:type="dxa"/>
          <w:trHeight w:hRule="exact" w:val="57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Alfuzosin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resultere i forhøjet plasmakoncentration af alfuzosin og er derfor </w:t>
            </w:r>
            <w:r>
              <w:rPr>
                <w:b/>
                <w:sz w:val="22"/>
                <w:szCs w:val="22"/>
              </w:rPr>
              <w:t xml:space="preserve">kontraindiceret </w:t>
            </w:r>
            <w:r>
              <w:rPr>
                <w:sz w:val="22"/>
                <w:szCs w:val="22"/>
              </w:rPr>
              <w:t>(se pkt 4.3).</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outlineLvl w:val="3"/>
              <w:rPr>
                <w:sz w:val="22"/>
                <w:szCs w:val="22"/>
              </w:rPr>
            </w:pPr>
            <w:r>
              <w:rPr>
                <w:b/>
                <w:bCs/>
                <w:sz w:val="22"/>
                <w:szCs w:val="22"/>
              </w:rPr>
              <w:t>Amphetaminderivater</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109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Amphetamin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Det er sandsynligt, at ritonavir doseret som et antiretroviralt stof vil hæmme CYP2D6, og som følge heraf forventes det at øge plasmakoncentrationerne af amphetamin og derivater heraf. Nøje overvågning af terapeutiske virkninger og bivirkninger anbefales, når disse lægemidler indgives sammen med antiretrovirale doser af ritonavir (se pkt. 4.4).</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Analgetika</w:t>
            </w:r>
          </w:p>
        </w:tc>
      </w:tr>
      <w:tr w:rsidR="00C70B96" w:rsidTr="00C70B96">
        <w:trPr>
          <w:trHeight w:hRule="exact" w:val="1505"/>
        </w:trPr>
        <w:tc>
          <w:tcPr>
            <w:tcW w:w="1682"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Buprenorphin</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Norbuprenorphin</w:t>
            </w:r>
          </w:p>
          <w:p w:rsidR="00C70B96" w:rsidRDefault="00C70B96" w:rsidP="00C70B96">
            <w:pPr>
              <w:widowControl w:val="0"/>
              <w:tabs>
                <w:tab w:val="left" w:pos="0"/>
                <w:tab w:val="left" w:pos="9070"/>
              </w:tabs>
              <w:rPr>
                <w:sz w:val="22"/>
                <w:szCs w:val="22"/>
              </w:rPr>
            </w:pPr>
          </w:p>
          <w:p w:rsidR="00C70B96" w:rsidRDefault="00C70B96" w:rsidP="00C70B96">
            <w:pPr>
              <w:widowControl w:val="0"/>
              <w:tabs>
                <w:tab w:val="left" w:pos="0"/>
                <w:tab w:val="left" w:pos="9070"/>
              </w:tabs>
              <w:ind w:left="146"/>
              <w:rPr>
                <w:sz w:val="22"/>
                <w:szCs w:val="22"/>
              </w:rPr>
            </w:pPr>
            <w:r>
              <w:rPr>
                <w:position w:val="2"/>
                <w:sz w:val="22"/>
                <w:szCs w:val="22"/>
              </w:rPr>
              <w:t>Glukuronidmeta-boliter</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16 mg hver 24.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100 mg hver 12. time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57 %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33 %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77 %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108 %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1645"/>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Stigninger i buprenorphins og dens aktive metabolits plasmaniveauer førte ikke til klinisk signifikante farmakodynamiske ændringer hos en gruppe af opioid-tolerante </w:t>
            </w:r>
            <w:proofErr w:type="gramStart"/>
            <w:r>
              <w:rPr>
                <w:sz w:val="22"/>
                <w:szCs w:val="22"/>
              </w:rPr>
              <w:t>patienter.Tilpasning</w:t>
            </w:r>
            <w:proofErr w:type="gramEnd"/>
            <w:r>
              <w:rPr>
                <w:sz w:val="22"/>
                <w:szCs w:val="22"/>
              </w:rPr>
              <w:t xml:space="preserve"> af buprenorphins eller ritonavirs dosis er derfor muligvis unødvendig, når disse doseres sammen. Når ritonavir bruges i kombination med en anden protease-hæmmer og buprenorphin, skal produktresuméet for den proteasehæmmer, som administreres samtidigt, ses igennem for specifik information om dosering.</w:t>
            </w:r>
          </w:p>
        </w:tc>
      </w:tr>
      <w:tr w:rsidR="00C70B96" w:rsidTr="00C70B96">
        <w:trPr>
          <w:gridAfter w:val="1"/>
          <w:wAfter w:w="279" w:type="dxa"/>
          <w:trHeight w:hRule="exact" w:val="85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Pethidin, propoxyphen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resultere i forhøjede plasmakoncentrationer af norpethidin, og propoxyphen og er derfor </w:t>
            </w:r>
            <w:r>
              <w:rPr>
                <w:b/>
                <w:sz w:val="22"/>
                <w:szCs w:val="22"/>
              </w:rPr>
              <w:t xml:space="preserve">kontraindiceret </w:t>
            </w:r>
            <w:r>
              <w:rPr>
                <w:sz w:val="22"/>
                <w:szCs w:val="22"/>
              </w:rPr>
              <w:t>(se pkt 4.3).</w:t>
            </w:r>
          </w:p>
        </w:tc>
      </w:tr>
      <w:tr w:rsidR="00C70B96" w:rsidTr="00C70B96">
        <w:trPr>
          <w:gridAfter w:val="1"/>
          <w:wAfter w:w="279" w:type="dxa"/>
          <w:trHeight w:hRule="exact" w:val="1139"/>
        </w:trPr>
        <w:tc>
          <w:tcPr>
            <w:tcW w:w="1403" w:type="dxa"/>
            <w:gridSpan w:val="2"/>
            <w:tcBorders>
              <w:top w:val="single" w:sz="8" w:space="0" w:color="auto"/>
              <w:left w:val="nil"/>
              <w:bottom w:val="single" w:sz="8" w:space="0" w:color="auto"/>
              <w:right w:val="nil"/>
            </w:tcBorders>
            <w:hideMark/>
          </w:tcPr>
          <w:p w:rsidR="00C70B96" w:rsidRPr="00D202C5" w:rsidRDefault="00C70B96" w:rsidP="00C70B96">
            <w:pPr>
              <w:widowControl w:val="0"/>
              <w:tabs>
                <w:tab w:val="left" w:pos="0"/>
                <w:tab w:val="left" w:pos="9070"/>
              </w:tabs>
              <w:ind w:left="146"/>
              <w:rPr>
                <w:sz w:val="22"/>
                <w:szCs w:val="22"/>
                <w:vertAlign w:val="superscript"/>
              </w:rPr>
            </w:pPr>
            <w:r>
              <w:rPr>
                <w:sz w:val="22"/>
                <w:szCs w:val="22"/>
              </w:rPr>
              <w:t>Fentanyl</w:t>
            </w:r>
            <w:r>
              <w:rPr>
                <w:sz w:val="22"/>
                <w:szCs w:val="22"/>
                <w:vertAlign w:val="superscript"/>
              </w:rPr>
              <w:t>1</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9070"/>
              </w:tabs>
              <w:ind w:left="146" w:right="269"/>
              <w:rPr>
                <w:sz w:val="22"/>
                <w:szCs w:val="22"/>
              </w:rPr>
            </w:pPr>
            <w:r>
              <w:rPr>
                <w:sz w:val="22"/>
                <w:szCs w:val="22"/>
              </w:rPr>
              <w:t>Ritonavir doseret som en farmakokinetisk forstærker eller som et antiretroviralt stof hæmmer CYP3A4 og forventes som følge heraf at øge plasmakoncentrationerne af fentanyl. Omhyggelig monitorering af terapeutisk virkning og bivirkninger (inklusive respirationsdepression) anbefales, når fentanyl administreres sammen med ritonavir.</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57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Metadon</w:t>
            </w:r>
            <w:r>
              <w:rPr>
                <w:sz w:val="22"/>
                <w:szCs w:val="22"/>
                <w:vertAlign w:val="superscript"/>
              </w:rPr>
              <w:t>1</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 mg,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36 %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38 %</w:t>
            </w:r>
          </w:p>
        </w:tc>
      </w:tr>
      <w:tr w:rsidR="00C70B96" w:rsidTr="00C70B96">
        <w:trPr>
          <w:gridAfter w:val="1"/>
          <w:wAfter w:w="279" w:type="dxa"/>
          <w:trHeight w:hRule="exact" w:val="1091"/>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En øget methadondosis kan være nødvendig, når methadon indgives sammen med ritonavir doseret som et antiretroviralt stof eller som en farmakokinetisk forstærker på grund af induktion af glukuronidering. Dosisjustering bør overvejes på baggrund af patientens kliniske respons på methadonbehandlingen.</w:t>
            </w:r>
          </w:p>
        </w:tc>
      </w:tr>
      <w:tr w:rsidR="00C70B96" w:rsidTr="00C70B96">
        <w:trPr>
          <w:gridAfter w:val="1"/>
          <w:wAfter w:w="279" w:type="dxa"/>
          <w:trHeight w:hRule="exact" w:val="85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Morfin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Morfinkoncentrationerne kan blive nedsat som følge af induktion af glukurodination forårsaget af samtidigt indgivet ritonavir doseret som et antiretroviralt stof eller som en farmakokinetisk forstærker.</w:t>
            </w:r>
          </w:p>
        </w:tc>
      </w:tr>
      <w:tr w:rsidR="00C70B96" w:rsidTr="00C70B96">
        <w:trPr>
          <w:gridAfter w:val="1"/>
          <w:wAfter w:w="279" w:type="dxa"/>
          <w:trHeight w:val="507"/>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Midler mod angina pectoris</w:t>
            </w:r>
          </w:p>
        </w:tc>
      </w:tr>
      <w:tr w:rsidR="00C70B96" w:rsidTr="00C70B96">
        <w:trPr>
          <w:gridAfter w:val="1"/>
          <w:wAfter w:w="279" w:type="dxa"/>
          <w:trHeight w:hRule="exact" w:val="85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t>Ranolazin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t>På grund af ritonavirs CYP3A-hæmning forventes koncentrationen af ranolazin at stige. Samtidig administration med ranolazin er kontraindiceret (se pkt. 4.3).</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t>Antiarytmika</w:t>
            </w:r>
          </w:p>
        </w:tc>
      </w:tr>
      <w:tr w:rsidR="00C70B96" w:rsidTr="00C70B96">
        <w:trPr>
          <w:gridAfter w:val="1"/>
          <w:wAfter w:w="279" w:type="dxa"/>
          <w:trHeight w:hRule="exact" w:val="182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US"/>
              </w:rPr>
            </w:pPr>
            <w:r>
              <w:rPr>
                <w:sz w:val="22"/>
                <w:szCs w:val="22"/>
                <w:lang w:val="en-US"/>
              </w:rPr>
              <w:t>Amiodaron, bepridil,</w:t>
            </w:r>
          </w:p>
          <w:p w:rsidR="00C70B96" w:rsidRDefault="00C70B96" w:rsidP="00C70B96">
            <w:pPr>
              <w:widowControl w:val="0"/>
              <w:tabs>
                <w:tab w:val="left" w:pos="0"/>
                <w:tab w:val="left" w:pos="9070"/>
              </w:tabs>
              <w:ind w:left="146"/>
              <w:rPr>
                <w:sz w:val="22"/>
                <w:szCs w:val="22"/>
                <w:lang w:val="en-US"/>
              </w:rPr>
            </w:pPr>
            <w:r>
              <w:rPr>
                <w:sz w:val="22"/>
                <w:szCs w:val="22"/>
                <w:lang w:val="en-US"/>
              </w:rPr>
              <w:t>dronedaron, encainid, flecainid, propafenon, kinidin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resultere i forhøjede plasmakoncentrationer af amiodaron, bepridil, dronedaron, encainid, flecainid, propafenon og kinidin og er derfor </w:t>
            </w:r>
            <w:r>
              <w:rPr>
                <w:b/>
                <w:sz w:val="22"/>
                <w:szCs w:val="22"/>
              </w:rPr>
              <w:t xml:space="preserve">kontraindiceret </w:t>
            </w:r>
            <w:r>
              <w:rPr>
                <w:sz w:val="22"/>
                <w:szCs w:val="22"/>
              </w:rPr>
              <w:t>(se sektion 4.3).</w:t>
            </w:r>
          </w:p>
        </w:tc>
      </w:tr>
      <w:tr w:rsidR="00C70B96" w:rsidTr="00C70B96">
        <w:trPr>
          <w:gridAfter w:val="1"/>
          <w:wAfter w:w="279" w:type="dxa"/>
          <w:trHeight w:hRule="exact" w:val="1036"/>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Digoxin</w:t>
            </w:r>
          </w:p>
        </w:tc>
        <w:tc>
          <w:tcPr>
            <w:tcW w:w="24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nb-NO"/>
              </w:rPr>
            </w:pPr>
            <w:r>
              <w:rPr>
                <w:sz w:val="22"/>
                <w:szCs w:val="22"/>
                <w:lang w:val="nb-NO"/>
              </w:rPr>
              <w:t>0,5 mg enkeltdosis, i.v.</w:t>
            </w:r>
          </w:p>
          <w:p w:rsidR="00C70B96" w:rsidRDefault="00C70B96" w:rsidP="00C70B96">
            <w:pPr>
              <w:widowControl w:val="0"/>
              <w:tabs>
                <w:tab w:val="left" w:pos="0"/>
                <w:tab w:val="left" w:pos="9070"/>
              </w:tabs>
              <w:ind w:left="146"/>
              <w:rPr>
                <w:sz w:val="22"/>
                <w:szCs w:val="22"/>
                <w:lang w:val="nb-NO"/>
              </w:rPr>
            </w:pPr>
          </w:p>
          <w:p w:rsidR="00C70B96" w:rsidRDefault="00C70B96" w:rsidP="00C70B96">
            <w:pPr>
              <w:widowControl w:val="0"/>
              <w:tabs>
                <w:tab w:val="left" w:pos="0"/>
                <w:tab w:val="left" w:pos="9070"/>
              </w:tabs>
              <w:ind w:left="146"/>
              <w:rPr>
                <w:sz w:val="22"/>
                <w:szCs w:val="22"/>
                <w:lang w:val="nb-NO"/>
              </w:rPr>
            </w:pPr>
            <w:r>
              <w:rPr>
                <w:sz w:val="22"/>
                <w:szCs w:val="22"/>
                <w:lang w:val="nb-NO"/>
              </w:rPr>
              <w:t>0,4 mg enkeltdosis, oralt</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300 mg hver 12. time enkeltdosis</w:t>
            </w:r>
          </w:p>
          <w:p w:rsidR="00C70B96" w:rsidRDefault="00C70B96" w:rsidP="00C70B96">
            <w:pPr>
              <w:widowControl w:val="0"/>
              <w:tabs>
                <w:tab w:val="left" w:pos="0"/>
                <w:tab w:val="left" w:pos="9070"/>
              </w:tabs>
              <w:ind w:left="146" w:right="296"/>
              <w:rPr>
                <w:sz w:val="22"/>
                <w:szCs w:val="22"/>
              </w:rPr>
            </w:pPr>
            <w:r>
              <w:rPr>
                <w:sz w:val="22"/>
                <w:szCs w:val="22"/>
              </w:rPr>
              <w:t>200 mg hver 12. time i 13 dage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86 %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22 %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ND</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1279"/>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Denne interaktion kan skyldes modifikation af P-glykoprotein frembragt af digoxin-udstrømning forårsaget af ritonavir doseret som et antiretroviralt stof eller som en farmakokinetisk forstærker. De øgede digoxinkoncentrationer, der er observeret hos patienter i behandling med ritonavir, vil muligvis mindskes med tiden, efterhånden som induktionen udvikles (se pkt. 4.4).</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ind w:left="146"/>
              <w:rPr>
                <w:b/>
                <w:sz w:val="22"/>
                <w:szCs w:val="22"/>
              </w:rPr>
            </w:pPr>
            <w:r>
              <w:rPr>
                <w:b/>
                <w:sz w:val="22"/>
                <w:szCs w:val="22"/>
              </w:rPr>
              <w:t>Midler mod astma</w:t>
            </w:r>
          </w:p>
        </w:tc>
      </w:tr>
      <w:tr w:rsidR="00C70B96" w:rsidTr="00C70B96">
        <w:trPr>
          <w:gridAfter w:val="1"/>
          <w:wAfter w:w="279" w:type="dxa"/>
          <w:trHeight w:hRule="exact" w:val="52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Theophyllin</w:t>
            </w:r>
            <w:r>
              <w:rPr>
                <w:sz w:val="22"/>
                <w:szCs w:val="22"/>
                <w:vertAlign w:val="superscript"/>
              </w:rPr>
              <w:t>1</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3 mg/kg hver 8.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43 %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32 %</w:t>
            </w:r>
          </w:p>
        </w:tc>
      </w:tr>
      <w:tr w:rsidR="00C70B96" w:rsidTr="00C70B96">
        <w:trPr>
          <w:gridAfter w:val="1"/>
          <w:wAfter w:w="279" w:type="dxa"/>
          <w:trHeight w:hRule="exact" w:val="574"/>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Øget dosering af theophyllin kan være nødvendig ved indgift sammen med ritonavir på grund af induktion af CYP1A2.</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keepNext/>
              <w:widowControl w:val="0"/>
              <w:tabs>
                <w:tab w:val="left" w:pos="0"/>
                <w:tab w:val="left" w:pos="9070"/>
              </w:tabs>
              <w:ind w:left="147"/>
              <w:rPr>
                <w:sz w:val="22"/>
                <w:szCs w:val="22"/>
              </w:rPr>
            </w:pPr>
            <w:r>
              <w:rPr>
                <w:b/>
                <w:sz w:val="22"/>
                <w:szCs w:val="22"/>
              </w:rPr>
              <w:lastRenderedPageBreak/>
              <w:t xml:space="preserve">Midler mod cancer og </w:t>
            </w:r>
            <w:r w:rsidRPr="00D93FCE">
              <w:rPr>
                <w:b/>
                <w:sz w:val="22"/>
                <w:szCs w:val="22"/>
              </w:rPr>
              <w:t>kinasehæmmere</w:t>
            </w:r>
          </w:p>
        </w:tc>
      </w:tr>
      <w:tr w:rsidR="00C70B96" w:rsidTr="00C70B96">
        <w:trPr>
          <w:gridAfter w:val="1"/>
          <w:wAfter w:w="279" w:type="dxa"/>
          <w:trHeight w:hRule="exact" w:val="314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lang w:val="en-IN"/>
              </w:rPr>
              <w:t>Afatinib</w:t>
            </w:r>
          </w:p>
        </w:tc>
        <w:tc>
          <w:tcPr>
            <w:tcW w:w="8353" w:type="dxa"/>
            <w:gridSpan w:val="17"/>
            <w:tcBorders>
              <w:top w:val="single" w:sz="8" w:space="0" w:color="auto"/>
              <w:left w:val="nil"/>
              <w:bottom w:val="single" w:sz="8" w:space="0" w:color="auto"/>
              <w:right w:val="nil"/>
            </w:tcBorders>
          </w:tcPr>
          <w:p w:rsidR="00C70B96" w:rsidRDefault="00C70B96" w:rsidP="00C70B96">
            <w:pPr>
              <w:autoSpaceDE w:val="0"/>
              <w:autoSpaceDN w:val="0"/>
              <w:adjustRightInd w:val="0"/>
              <w:ind w:left="141"/>
              <w:rPr>
                <w:sz w:val="22"/>
                <w:szCs w:val="22"/>
                <w:lang w:val="nb-NO"/>
              </w:rPr>
            </w:pPr>
            <w:r>
              <w:rPr>
                <w:sz w:val="22"/>
                <w:szCs w:val="22"/>
                <w:lang w:val="nb-NO"/>
              </w:rPr>
              <w:t>20 mg, enkeltdosis    200 mg hver 12. time         ↑ 48 %                                   ↑ 39 %</w:t>
            </w:r>
          </w:p>
          <w:p w:rsidR="00C70B96" w:rsidRDefault="00C70B96" w:rsidP="00C70B96">
            <w:pPr>
              <w:autoSpaceDE w:val="0"/>
              <w:autoSpaceDN w:val="0"/>
              <w:adjustRightInd w:val="0"/>
              <w:ind w:firstLine="141"/>
              <w:rPr>
                <w:sz w:val="22"/>
                <w:szCs w:val="22"/>
                <w:lang w:val="nb-NO"/>
              </w:rPr>
            </w:pPr>
            <w:r>
              <w:rPr>
                <w:sz w:val="22"/>
                <w:szCs w:val="22"/>
                <w:lang w:val="nb-NO"/>
              </w:rPr>
              <w:t xml:space="preserve">                                  1 time før</w:t>
            </w:r>
          </w:p>
          <w:p w:rsidR="00C70B96" w:rsidRDefault="00C70B96" w:rsidP="00C70B96">
            <w:pPr>
              <w:autoSpaceDE w:val="0"/>
              <w:autoSpaceDN w:val="0"/>
              <w:adjustRightInd w:val="0"/>
              <w:ind w:left="141"/>
              <w:rPr>
                <w:sz w:val="22"/>
                <w:szCs w:val="22"/>
                <w:lang w:val="nb-NO"/>
              </w:rPr>
            </w:pPr>
            <w:r>
              <w:rPr>
                <w:sz w:val="22"/>
                <w:szCs w:val="22"/>
                <w:lang w:val="nb-NO"/>
              </w:rPr>
              <w:t>40 mg, enkeltdosis    200 mg hver 12. time         ↑ 19 %                                  ↑ 4 %</w:t>
            </w:r>
          </w:p>
          <w:p w:rsidR="00C70B96" w:rsidRDefault="00C70B96" w:rsidP="00C70B96">
            <w:pPr>
              <w:autoSpaceDE w:val="0"/>
              <w:autoSpaceDN w:val="0"/>
              <w:adjustRightInd w:val="0"/>
              <w:ind w:firstLine="141"/>
              <w:rPr>
                <w:sz w:val="22"/>
                <w:szCs w:val="22"/>
                <w:lang w:val="nb-NO"/>
              </w:rPr>
            </w:pPr>
            <w:r>
              <w:rPr>
                <w:sz w:val="22"/>
                <w:szCs w:val="22"/>
                <w:lang w:val="nb-NO"/>
              </w:rPr>
              <w:t xml:space="preserve">                                  Samtidig administration</w:t>
            </w:r>
          </w:p>
          <w:p w:rsidR="00C70B96" w:rsidRDefault="00C70B96" w:rsidP="00C70B96">
            <w:pPr>
              <w:autoSpaceDE w:val="0"/>
              <w:autoSpaceDN w:val="0"/>
              <w:adjustRightInd w:val="0"/>
              <w:ind w:firstLine="141"/>
              <w:rPr>
                <w:sz w:val="22"/>
                <w:szCs w:val="22"/>
                <w:lang w:val="nb-NO"/>
              </w:rPr>
            </w:pPr>
            <w:r>
              <w:rPr>
                <w:sz w:val="22"/>
                <w:szCs w:val="22"/>
                <w:lang w:val="nb-NO"/>
              </w:rPr>
              <w:t>40 mg, enkeltdosis    200 mg hver 12. time         ↑ 11 %                                  ↑ 5 %</w:t>
            </w:r>
          </w:p>
          <w:p w:rsidR="00C70B96" w:rsidRDefault="00C70B96" w:rsidP="00C70B96">
            <w:pPr>
              <w:autoSpaceDE w:val="0"/>
              <w:autoSpaceDN w:val="0"/>
              <w:adjustRightInd w:val="0"/>
              <w:ind w:firstLine="141"/>
              <w:rPr>
                <w:sz w:val="22"/>
                <w:szCs w:val="22"/>
                <w:lang w:val="nb-NO"/>
              </w:rPr>
            </w:pPr>
            <w:r>
              <w:rPr>
                <w:sz w:val="22"/>
                <w:szCs w:val="22"/>
                <w:lang w:val="nb-NO"/>
              </w:rPr>
              <w:t xml:space="preserve">                                  6 timer efter</w:t>
            </w:r>
          </w:p>
          <w:p w:rsidR="00C70B96" w:rsidRDefault="00C70B96" w:rsidP="00C70B96">
            <w:pPr>
              <w:autoSpaceDE w:val="0"/>
              <w:autoSpaceDN w:val="0"/>
              <w:adjustRightInd w:val="0"/>
              <w:rPr>
                <w:sz w:val="22"/>
                <w:szCs w:val="22"/>
                <w:lang w:val="nb-NO"/>
              </w:rPr>
            </w:pPr>
          </w:p>
          <w:p w:rsidR="00C70B96" w:rsidRDefault="00C70B96" w:rsidP="00C70B96">
            <w:pPr>
              <w:widowControl w:val="0"/>
              <w:tabs>
                <w:tab w:val="left" w:pos="0"/>
                <w:tab w:val="left" w:pos="9070"/>
              </w:tabs>
              <w:ind w:left="146"/>
              <w:rPr>
                <w:sz w:val="22"/>
                <w:szCs w:val="22"/>
                <w:lang w:val="en-US"/>
              </w:rPr>
            </w:pPr>
            <w:r>
              <w:rPr>
                <w:sz w:val="22"/>
                <w:szCs w:val="22"/>
                <w:lang w:val="nb-NO"/>
              </w:rPr>
              <w:t xml:space="preserve">Serumkoncentrationer kan være forhøjede på grund af brystcancer-resistensprotein (BCRP) og akut P-gp-hæmning forårsaget af ritonavir. </w:t>
            </w:r>
            <w:r>
              <w:rPr>
                <w:sz w:val="22"/>
                <w:szCs w:val="22"/>
              </w:rPr>
              <w:t xml:space="preserve">Omfanget af forhøjelsen i AUC og Cmax afhænger af timingen af ritonaviradministrationen. Der skal udvises forsigtighed ved administration af afatinib samtidig med ritonavir (der henvises til produktresuméet for afatinib). </w:t>
            </w:r>
            <w:r>
              <w:rPr>
                <w:sz w:val="22"/>
                <w:szCs w:val="22"/>
                <w:lang w:val="en-US"/>
              </w:rPr>
              <w:t>Monitorér for bivirkninger relateret til afatinib.</w:t>
            </w:r>
          </w:p>
        </w:tc>
      </w:tr>
      <w:tr w:rsidR="00C70B96" w:rsidTr="00C70B96">
        <w:trPr>
          <w:gridAfter w:val="1"/>
          <w:wAfter w:w="279" w:type="dxa"/>
          <w:trHeight w:hRule="exact" w:val="114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IN"/>
              </w:rPr>
            </w:pPr>
            <w:r>
              <w:rPr>
                <w:sz w:val="22"/>
                <w:szCs w:val="22"/>
                <w:lang w:val="en-IN"/>
              </w:rPr>
              <w:t>Abemaciclib</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Serumkoncentrationen kan øges på grund af ritonavirs hæmning af CYP3A4.</w:t>
            </w:r>
          </w:p>
          <w:p w:rsidR="00C70B96" w:rsidRDefault="00C70B96" w:rsidP="00C70B96">
            <w:pPr>
              <w:widowControl w:val="0"/>
              <w:tabs>
                <w:tab w:val="left" w:pos="0"/>
                <w:tab w:val="left" w:pos="9070"/>
              </w:tabs>
              <w:ind w:left="146"/>
              <w:rPr>
                <w:sz w:val="22"/>
                <w:szCs w:val="22"/>
              </w:rPr>
            </w:pPr>
            <w:r>
              <w:rPr>
                <w:sz w:val="22"/>
                <w:szCs w:val="22"/>
              </w:rPr>
              <w:t>Samtidig administration af abemaciclib og ritonavir bør udgås. Se abemaciclibs produktresumé vedrørende anbefalinger for dosijustering, hvis samtidig administration vurderes ikke at kunne undgås. Monitorer for bivirkninger relateret til abemaciclib.</w:t>
            </w:r>
          </w:p>
        </w:tc>
      </w:tr>
      <w:tr w:rsidR="00C70B96" w:rsidTr="00C70B96">
        <w:trPr>
          <w:gridAfter w:val="1"/>
          <w:wAfter w:w="279" w:type="dxa"/>
          <w:trHeight w:hRule="exact" w:val="1493"/>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IN"/>
              </w:rPr>
            </w:pPr>
            <w:r>
              <w:rPr>
                <w:sz w:val="22"/>
                <w:szCs w:val="22"/>
              </w:rPr>
              <w:t>Apalutamid</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sidRPr="00691959">
              <w:rPr>
                <w:sz w:val="22"/>
                <w:szCs w:val="22"/>
                <w:lang w:val="en-IN"/>
              </w:rPr>
              <w:t xml:space="preserve">Apalutamid er en moderat til stærk CYP3A4-inducer og dette kan føre til nedsat eksponering for ritonavir og potentielt give et fald i virologisk respons. </w:t>
            </w:r>
            <w:r>
              <w:rPr>
                <w:sz w:val="22"/>
                <w:szCs w:val="22"/>
              </w:rPr>
              <w:t>Derudover kan serumkoncentrationen øges ved samtidig administration med ritonavir, hvilket medfører risiko for alvorlige bivirkninger inklusive krampeanfald.</w:t>
            </w:r>
          </w:p>
          <w:p w:rsidR="00C70B96" w:rsidRDefault="00C70B96" w:rsidP="00C70B96">
            <w:pPr>
              <w:widowControl w:val="0"/>
              <w:tabs>
                <w:tab w:val="left" w:pos="0"/>
                <w:tab w:val="left" w:pos="9070"/>
              </w:tabs>
              <w:ind w:left="146"/>
              <w:rPr>
                <w:sz w:val="22"/>
                <w:szCs w:val="22"/>
              </w:rPr>
            </w:pPr>
            <w:r>
              <w:rPr>
                <w:sz w:val="22"/>
                <w:szCs w:val="22"/>
              </w:rPr>
              <w:t>Samtidig brug af ritonavir med apalutamid anbefales ikke.</w:t>
            </w:r>
          </w:p>
        </w:tc>
      </w:tr>
      <w:tr w:rsidR="00C70B96" w:rsidTr="00C70B96">
        <w:trPr>
          <w:gridAfter w:val="1"/>
          <w:wAfter w:w="279" w:type="dxa"/>
          <w:trHeight w:hRule="exact" w:val="114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lang w:val="en-IN"/>
              </w:rPr>
              <w:t>Ceritinib</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GB"/>
              </w:rPr>
            </w:pPr>
            <w:r>
              <w:rPr>
                <w:sz w:val="22"/>
                <w:szCs w:val="22"/>
              </w:rPr>
              <w:t xml:space="preserve">Serumkoncentrationer kan være forhøjede på grund af CYP3A- og P-gp-hæmning forårsaget af ritonavir. Der skal udvises forsigtighed ved administration af ceritinib samtidig med ritonavir. Der henvises til produktresuméet for ceritinib vedrørende anbefalinger med hensyn til dosisjustering. </w:t>
            </w:r>
            <w:r>
              <w:rPr>
                <w:sz w:val="22"/>
                <w:szCs w:val="22"/>
                <w:lang w:val="en-US"/>
              </w:rPr>
              <w:t>Monitorér for bivirkninger relateret til ceritinib.</w:t>
            </w:r>
          </w:p>
        </w:tc>
      </w:tr>
      <w:tr w:rsidR="00C70B96" w:rsidTr="00C70B96">
        <w:trPr>
          <w:gridAfter w:val="1"/>
          <w:wAfter w:w="279" w:type="dxa"/>
          <w:trHeight w:hRule="exact" w:val="1247"/>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en-GB"/>
              </w:rPr>
            </w:pPr>
            <w:r>
              <w:rPr>
                <w:sz w:val="22"/>
                <w:szCs w:val="22"/>
                <w:lang w:val="en-GB"/>
              </w:rPr>
              <w:t>Dasatinib, nilotinib, vincristin, vinblastine</w:t>
            </w:r>
          </w:p>
          <w:p w:rsidR="00C70B96" w:rsidRDefault="00C70B96" w:rsidP="00C70B96">
            <w:pPr>
              <w:widowControl w:val="0"/>
              <w:tabs>
                <w:tab w:val="left" w:pos="0"/>
                <w:tab w:val="left" w:pos="9070"/>
              </w:tabs>
              <w:ind w:left="146"/>
              <w:rPr>
                <w:sz w:val="22"/>
                <w:szCs w:val="22"/>
                <w:lang w:val="en-GB"/>
              </w:rPr>
            </w:pPr>
          </w:p>
          <w:p w:rsidR="00C70B96" w:rsidRDefault="00C70B96" w:rsidP="00C70B96">
            <w:pPr>
              <w:widowControl w:val="0"/>
              <w:tabs>
                <w:tab w:val="left" w:pos="0"/>
                <w:tab w:val="left" w:pos="9070"/>
              </w:tabs>
              <w:ind w:left="146"/>
              <w:rPr>
                <w:sz w:val="22"/>
                <w:szCs w:val="22"/>
                <w:lang w:val="en-GB"/>
              </w:rPr>
            </w:pPr>
          </w:p>
          <w:p w:rsidR="00C70B96" w:rsidRDefault="00C70B96" w:rsidP="00C70B96">
            <w:pPr>
              <w:widowControl w:val="0"/>
              <w:tabs>
                <w:tab w:val="left" w:pos="0"/>
                <w:tab w:val="left" w:pos="9070"/>
              </w:tabs>
              <w:ind w:left="146"/>
              <w:rPr>
                <w:sz w:val="22"/>
                <w:szCs w:val="22"/>
                <w:lang w:val="en-GB"/>
              </w:rPr>
            </w:pPr>
          </w:p>
          <w:p w:rsidR="00C70B96" w:rsidRDefault="00C70B96" w:rsidP="00C70B96">
            <w:pPr>
              <w:widowControl w:val="0"/>
              <w:tabs>
                <w:tab w:val="left" w:pos="0"/>
                <w:tab w:val="left" w:pos="9070"/>
              </w:tabs>
              <w:ind w:left="146"/>
              <w:rPr>
                <w:sz w:val="22"/>
                <w:szCs w:val="22"/>
                <w:lang w:val="en-GB"/>
              </w:rPr>
            </w:pP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Ved samtidig administration med ritonavir kan serumkoncentrationerne øges, hvilket resulterer i en potentiel øget forekomst af bivirkninger.</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141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GB"/>
              </w:rPr>
            </w:pPr>
            <w:r>
              <w:rPr>
                <w:sz w:val="22"/>
                <w:szCs w:val="22"/>
                <w:lang w:val="en-GB"/>
              </w:rPr>
              <w:t>Encorafenib</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sidRPr="00691959">
              <w:rPr>
                <w:sz w:val="22"/>
                <w:szCs w:val="22"/>
                <w:lang w:val="en-GB"/>
              </w:rPr>
              <w:t xml:space="preserve">Serumkoncentrationen kan øges ved samtidig administration med ritonavir, hvilket kan øge risikoen for toksicitet inklusive risikoen for alvorlige bivirkninger, såsom forlænget QT-interval. </w:t>
            </w:r>
            <w:r>
              <w:rPr>
                <w:sz w:val="22"/>
                <w:szCs w:val="22"/>
              </w:rPr>
              <w:t>Samtidig administration af encorafenib og ritonavir bør undgås.</w:t>
            </w:r>
          </w:p>
          <w:p w:rsidR="00C70B96" w:rsidRDefault="00C70B96" w:rsidP="00C70B96">
            <w:pPr>
              <w:widowControl w:val="0"/>
              <w:tabs>
                <w:tab w:val="left" w:pos="0"/>
                <w:tab w:val="left" w:pos="9070"/>
              </w:tabs>
              <w:ind w:left="146"/>
              <w:rPr>
                <w:sz w:val="22"/>
                <w:szCs w:val="22"/>
              </w:rPr>
            </w:pPr>
            <w:r>
              <w:rPr>
                <w:sz w:val="22"/>
                <w:szCs w:val="22"/>
              </w:rPr>
              <w:t>Hvis fordelen vurderes at opveje risikoen, og ritonavir skal anvendes, skal patienten sikkerhedsovervåges omhyggeligt</w:t>
            </w:r>
          </w:p>
        </w:tc>
      </w:tr>
      <w:tr w:rsidR="00C70B96" w:rsidRPr="00432625" w:rsidTr="00C70B96">
        <w:trPr>
          <w:gridAfter w:val="1"/>
          <w:wAfter w:w="279" w:type="dxa"/>
          <w:trHeight w:hRule="exact" w:val="1415"/>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en-GB"/>
              </w:rPr>
            </w:pPr>
            <w:r>
              <w:rPr>
                <w:sz w:val="22"/>
                <w:szCs w:val="22"/>
                <w:lang w:val="en-GB"/>
              </w:rPr>
              <w:t>Fostamatinib</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sidRPr="00691959">
              <w:rPr>
                <w:sz w:val="22"/>
                <w:szCs w:val="22"/>
                <w:lang w:val="en-GB"/>
              </w:rPr>
              <w:t xml:space="preserve">Samtidig administration af fostamatinib og ritonavir kan øge eksponeringen for fostamatinib-metabolit R406 og medføre dosisrelaterede bivirkninger såsom levertoksicitet, neutropeni, hypertension eller diarré. </w:t>
            </w:r>
            <w:r w:rsidRPr="00D202C5">
              <w:rPr>
                <w:sz w:val="22"/>
                <w:szCs w:val="22"/>
              </w:rPr>
              <w:t>Se produktresuméet for fostamatinib for anbefalinger vedrørende dosisreduktion i tilfælde af sådanne hændelser.</w:t>
            </w:r>
          </w:p>
        </w:tc>
      </w:tr>
      <w:tr w:rsidR="00C70B96" w:rsidTr="00C70B96">
        <w:trPr>
          <w:gridAfter w:val="1"/>
          <w:wAfter w:w="279" w:type="dxa"/>
          <w:trHeight w:hRule="exact" w:val="141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GB"/>
              </w:rPr>
            </w:pPr>
            <w:r>
              <w:rPr>
                <w:sz w:val="22"/>
                <w:szCs w:val="22"/>
                <w:lang w:val="en-GB"/>
              </w:rPr>
              <w:t>Ibrutinib</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Serumkoncentrationen af ibrutinib kan øges på grund af ritonavirs hæmning af CYP3A, hvilket resulterer i øget risiko for toksicitet </w:t>
            </w:r>
            <w:proofErr w:type="gramStart"/>
            <w:r>
              <w:rPr>
                <w:sz w:val="22"/>
                <w:szCs w:val="22"/>
              </w:rPr>
              <w:t>inklusiv</w:t>
            </w:r>
            <w:proofErr w:type="gramEnd"/>
            <w:r>
              <w:rPr>
                <w:sz w:val="22"/>
                <w:szCs w:val="22"/>
              </w:rPr>
              <w:t xml:space="preserve"> risiko for tumorlysesyndrom. Samtidig administration af ibrutinib og ritonavir bør undgås. Reducer ibrutinib-dosis til 140 mg, og monitorer patienten tæt for toksicitet, hvis ritonavir skal anvendes, og fordelene vurderes at opveje risikoen.</w:t>
            </w:r>
          </w:p>
        </w:tc>
      </w:tr>
      <w:tr w:rsidR="00C70B96" w:rsidTr="00C70B96">
        <w:trPr>
          <w:gridAfter w:val="1"/>
          <w:wAfter w:w="279" w:type="dxa"/>
          <w:trHeight w:hRule="exact" w:val="101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en-GB"/>
              </w:rPr>
            </w:pPr>
            <w:r>
              <w:rPr>
                <w:lang w:val="en-US"/>
              </w:rPr>
              <w:t>Neratinib</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Serumkoncentrationen kan øges på grund af ritonavirs hæmning af CYP3A4. Samtidig brug af neratinib med Ritonavir ”Accord” er kontraindiceret på grund af risiko for alvorlige og livstruende reaktioner inklusive levertoksicitet (se pkt. 4.3).</w:t>
            </w:r>
          </w:p>
        </w:tc>
      </w:tr>
      <w:tr w:rsidR="00C70B96" w:rsidTr="00C70B96">
        <w:trPr>
          <w:gridAfter w:val="1"/>
          <w:wAfter w:w="279" w:type="dxa"/>
          <w:trHeight w:hRule="exact" w:val="158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en-GB"/>
              </w:rPr>
            </w:pPr>
            <w:r>
              <w:rPr>
                <w:lang w:val="en-US"/>
              </w:rPr>
              <w:lastRenderedPageBreak/>
              <w:t>Venetoclax</w:t>
            </w:r>
          </w:p>
          <w:p w:rsidR="00C70B96" w:rsidRDefault="00C70B96" w:rsidP="00C70B96">
            <w:pPr>
              <w:widowControl w:val="0"/>
              <w:tabs>
                <w:tab w:val="left" w:pos="0"/>
                <w:tab w:val="left" w:pos="9070"/>
              </w:tabs>
              <w:ind w:left="146"/>
              <w:rPr>
                <w:sz w:val="22"/>
                <w:szCs w:val="22"/>
                <w:lang w:val="en-GB"/>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Serumkoncentrationer kan øges på grund af CYP3A-hæmning af ritonavir, hvilket resulterer i øget risiko for tumorlysesyndrom ved dosisinitiering og under optitreringsfasen (se pkt. 4.3 og se produktresuméet for venetoclax). For patienter, der har afsluttet optitreringsfasen og har en stabil daglig dosis venetoclax, reduceres venetoclax-dosis med mindst 75%, når det anvendes sammen med stærke CYP3A-hæmmere (se doseringsvejledning i produktresuméet for venetoclax).</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Antikoagulantia</w:t>
            </w:r>
          </w:p>
          <w:p w:rsidR="00CF763F" w:rsidRDefault="00CF763F" w:rsidP="00C70B96">
            <w:pPr>
              <w:widowControl w:val="0"/>
              <w:tabs>
                <w:tab w:val="left" w:pos="0"/>
                <w:tab w:val="left" w:pos="9070"/>
              </w:tabs>
              <w:ind w:left="146"/>
              <w:rPr>
                <w:sz w:val="22"/>
                <w:szCs w:val="22"/>
              </w:rPr>
            </w:pPr>
          </w:p>
          <w:tbl>
            <w:tblPr>
              <w:tblW w:w="10035" w:type="dxa"/>
              <w:tblInd w:w="138" w:type="dxa"/>
              <w:tblBorders>
                <w:insideH w:val="single" w:sz="8" w:space="0" w:color="auto"/>
              </w:tblBorders>
              <w:tblLayout w:type="fixed"/>
              <w:tblCellMar>
                <w:left w:w="0" w:type="dxa"/>
                <w:right w:w="0" w:type="dxa"/>
              </w:tblCellMar>
              <w:tblLook w:val="01E0" w:firstRow="1" w:lastRow="1" w:firstColumn="1" w:lastColumn="1" w:noHBand="0" w:noVBand="0"/>
            </w:tblPr>
            <w:tblGrid>
              <w:gridCol w:w="1443"/>
              <w:gridCol w:w="8592"/>
            </w:tblGrid>
            <w:tr w:rsidR="00CF763F" w:rsidTr="00CF763F">
              <w:trPr>
                <w:trHeight w:hRule="exact" w:val="1058"/>
              </w:trPr>
              <w:tc>
                <w:tcPr>
                  <w:tcW w:w="1403" w:type="dxa"/>
                  <w:tcBorders>
                    <w:top w:val="single" w:sz="8" w:space="0" w:color="auto"/>
                    <w:left w:val="nil"/>
                    <w:bottom w:val="single" w:sz="8" w:space="0" w:color="auto"/>
                    <w:right w:val="nil"/>
                  </w:tcBorders>
                  <w:hideMark/>
                </w:tcPr>
                <w:p w:rsidR="00CF763F" w:rsidRDefault="00CF763F" w:rsidP="00CF763F">
                  <w:pPr>
                    <w:autoSpaceDE w:val="0"/>
                    <w:autoSpaceDN w:val="0"/>
                    <w:adjustRightInd w:val="0"/>
                    <w:ind w:left="149" w:right="127"/>
                    <w:rPr>
                      <w:sz w:val="22"/>
                      <w:szCs w:val="22"/>
                    </w:rPr>
                  </w:pPr>
                  <w:r>
                    <w:rPr>
                      <w:sz w:val="22"/>
                      <w:szCs w:val="22"/>
                    </w:rPr>
                    <w:t>Dabigatran etexilate</w:t>
                  </w:r>
                </w:p>
                <w:p w:rsidR="00CF763F" w:rsidRDefault="00CF763F" w:rsidP="00CF763F">
                  <w:pPr>
                    <w:widowControl w:val="0"/>
                    <w:tabs>
                      <w:tab w:val="left" w:pos="0"/>
                      <w:tab w:val="left" w:pos="9070"/>
                    </w:tabs>
                    <w:ind w:left="146"/>
                    <w:rPr>
                      <w:sz w:val="22"/>
                      <w:szCs w:val="22"/>
                    </w:rPr>
                  </w:pPr>
                  <w:r>
                    <w:rPr>
                      <w:sz w:val="22"/>
                      <w:szCs w:val="22"/>
                    </w:rPr>
                    <w:t>Edoxaban</w:t>
                  </w:r>
                </w:p>
              </w:tc>
              <w:tc>
                <w:tcPr>
                  <w:tcW w:w="8353" w:type="dxa"/>
                  <w:tcBorders>
                    <w:top w:val="single" w:sz="8" w:space="0" w:color="auto"/>
                    <w:left w:val="nil"/>
                    <w:bottom w:val="single" w:sz="8" w:space="0" w:color="auto"/>
                    <w:right w:val="nil"/>
                  </w:tcBorders>
                  <w:hideMark/>
                </w:tcPr>
                <w:p w:rsidR="00CF763F" w:rsidRDefault="00CF763F" w:rsidP="00CF763F">
                  <w:pPr>
                    <w:widowControl w:val="0"/>
                    <w:tabs>
                      <w:tab w:val="left" w:pos="0"/>
                      <w:tab w:val="left" w:pos="9070"/>
                    </w:tabs>
                    <w:ind w:left="146"/>
                    <w:rPr>
                      <w:sz w:val="22"/>
                      <w:szCs w:val="22"/>
                    </w:rPr>
                  </w:pPr>
                  <w:r>
                    <w:rPr>
                      <w:sz w:val="22"/>
                      <w:szCs w:val="22"/>
                    </w:rPr>
                    <w:t>Serumkoncentrationer kan øges på grund af ritonavirs P-gp-hæmning. Klinisk monitorering og/eller dosisreduktion af de direkte orale antikoagulantia (DOAC) bør overvejes, når en DOAC, der transporteres af P-gp, men ikke metaboliseres af CYP3A4, inklusive dabigatran etexilat og edoxaban, administreres sammen med ritonavir.</w:t>
                  </w:r>
                </w:p>
              </w:tc>
            </w:tr>
          </w:tbl>
          <w:p w:rsidR="00CF763F" w:rsidRDefault="00CF763F" w:rsidP="00C70B96">
            <w:pPr>
              <w:widowControl w:val="0"/>
              <w:tabs>
                <w:tab w:val="left" w:pos="0"/>
                <w:tab w:val="left" w:pos="9070"/>
              </w:tabs>
              <w:ind w:left="146"/>
              <w:rPr>
                <w:sz w:val="22"/>
                <w:szCs w:val="22"/>
              </w:rPr>
            </w:pPr>
          </w:p>
        </w:tc>
      </w:tr>
      <w:tr w:rsidR="00C70B96" w:rsidTr="00C70B96">
        <w:trPr>
          <w:gridAfter w:val="1"/>
          <w:wAfter w:w="279" w:type="dxa"/>
          <w:trHeight w:hRule="exact" w:val="52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Rivaroxaban</w:t>
            </w:r>
          </w:p>
        </w:tc>
        <w:tc>
          <w:tcPr>
            <w:tcW w:w="24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9070"/>
              </w:tabs>
              <w:ind w:left="146"/>
              <w:rPr>
                <w:sz w:val="22"/>
                <w:szCs w:val="22"/>
              </w:rPr>
            </w:pPr>
            <w:r>
              <w:rPr>
                <w:sz w:val="22"/>
                <w:szCs w:val="22"/>
              </w:rPr>
              <w:t>10, enkeltdosis</w:t>
            </w:r>
          </w:p>
          <w:p w:rsidR="00C70B96" w:rsidRDefault="00C70B96" w:rsidP="00C70B96">
            <w:pPr>
              <w:widowControl w:val="0"/>
              <w:tabs>
                <w:tab w:val="left" w:pos="0"/>
                <w:tab w:val="left" w:pos="9070"/>
              </w:tabs>
              <w:ind w:left="146"/>
              <w:rPr>
                <w:sz w:val="22"/>
                <w:szCs w:val="22"/>
              </w:rPr>
            </w:pP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600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153 %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55 %</w:t>
            </w:r>
          </w:p>
        </w:tc>
      </w:tr>
      <w:tr w:rsidR="00C70B96" w:rsidTr="00C70B96">
        <w:trPr>
          <w:gridAfter w:val="1"/>
          <w:wAfter w:w="279" w:type="dxa"/>
          <w:trHeight w:hRule="exact" w:val="853"/>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Hæmning af CYP3A og P-gp medfører øget plasmaniveau og farmakodynamisk virkning af rivaroxaban, som kan medføre en øget risiko for blødning. Derfor anbefales brug af ritonavir ikke til patienter, som får rivaroxaban.</w:t>
            </w:r>
          </w:p>
        </w:tc>
      </w:tr>
      <w:tr w:rsidR="00C70B96" w:rsidTr="00C70B96">
        <w:trPr>
          <w:gridAfter w:val="1"/>
          <w:wAfter w:w="279" w:type="dxa"/>
          <w:trHeight w:hRule="exact" w:val="853"/>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lang w:val="en-IN"/>
              </w:rPr>
              <w:t>Vorapaxar</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Serumkoncentrationer kan være forhøjede på grund af CYP3A-hæmning forårsaget af ritonavir. Samtidig administration af vorapaxar og ritonavir anbefales ikke (se punkt 4.4 og produktresumeet for vorapaxar).</w:t>
            </w:r>
          </w:p>
        </w:tc>
      </w:tr>
      <w:tr w:rsidR="00C70B96" w:rsidTr="00C70B96">
        <w:trPr>
          <w:gridAfter w:val="1"/>
          <w:wAfter w:w="279" w:type="dxa"/>
          <w:trHeight w:hRule="exact" w:val="83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en-GB"/>
              </w:rPr>
            </w:pPr>
            <w:r>
              <w:rPr>
                <w:sz w:val="22"/>
                <w:szCs w:val="22"/>
                <w:lang w:val="en-GB"/>
              </w:rPr>
              <w:t>Warfarin</w:t>
            </w:r>
          </w:p>
          <w:p w:rsidR="00C70B96" w:rsidRDefault="00C70B96" w:rsidP="00C70B96">
            <w:pPr>
              <w:widowControl w:val="0"/>
              <w:tabs>
                <w:tab w:val="left" w:pos="0"/>
                <w:tab w:val="left" w:pos="9070"/>
              </w:tabs>
              <w:ind w:left="146"/>
              <w:rPr>
                <w:sz w:val="22"/>
                <w:szCs w:val="22"/>
                <w:lang w:val="en-GB"/>
              </w:rPr>
            </w:pPr>
            <w:r>
              <w:rPr>
                <w:sz w:val="22"/>
                <w:szCs w:val="22"/>
                <w:lang w:val="en-GB"/>
              </w:rPr>
              <w:t>S-Warfarin</w:t>
            </w:r>
          </w:p>
          <w:p w:rsidR="00C70B96" w:rsidRDefault="00C70B96" w:rsidP="00C70B96">
            <w:pPr>
              <w:widowControl w:val="0"/>
              <w:tabs>
                <w:tab w:val="left" w:pos="0"/>
                <w:tab w:val="left" w:pos="9070"/>
              </w:tabs>
              <w:ind w:left="146"/>
              <w:rPr>
                <w:sz w:val="22"/>
                <w:szCs w:val="22"/>
                <w:lang w:val="en-GB"/>
              </w:rPr>
            </w:pPr>
            <w:r>
              <w:rPr>
                <w:sz w:val="22"/>
                <w:szCs w:val="22"/>
                <w:lang w:val="en-GB"/>
              </w:rPr>
              <w:t>R-Warfarin</w:t>
            </w:r>
          </w:p>
          <w:p w:rsidR="00C70B96" w:rsidRDefault="00C70B96" w:rsidP="00C70B96">
            <w:pPr>
              <w:widowControl w:val="0"/>
              <w:tabs>
                <w:tab w:val="left" w:pos="0"/>
                <w:tab w:val="left" w:pos="9070"/>
              </w:tabs>
              <w:ind w:left="146"/>
              <w:rPr>
                <w:sz w:val="22"/>
                <w:szCs w:val="22"/>
                <w:lang w:val="en-GB"/>
              </w:rPr>
            </w:pP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 mg,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ight="296"/>
              <w:rPr>
                <w:sz w:val="22"/>
                <w:szCs w:val="22"/>
              </w:rPr>
            </w:pPr>
            <w:r>
              <w:rPr>
                <w:sz w:val="22"/>
                <w:szCs w:val="22"/>
              </w:rPr>
              <w:t>400 mg hver 12. time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9 %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33 %</w:t>
            </w:r>
          </w:p>
          <w:p w:rsidR="00C70B96" w:rsidRDefault="00C70B96" w:rsidP="00C70B96">
            <w:pPr>
              <w:widowControl w:val="0"/>
              <w:tabs>
                <w:tab w:val="left" w:pos="0"/>
                <w:tab w:val="left" w:pos="9070"/>
              </w:tabs>
              <w:ind w:left="146"/>
              <w:rPr>
                <w:sz w:val="22"/>
                <w:szCs w:val="22"/>
              </w:rPr>
            </w:pP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9 %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155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Induktion af CYP1A2 og CYP2C9 giver lavere koncentrationer af R-warfarin, mens der kun er registreret en lille farmakokinetisk virkning i forbindelse med S-warfarin ved samtidig indgift med ritonavir. Lavere koncentrationer af R-warfarin kan medføre reduceret antikoagulation, hvorfor det anbefales at monitorere antikoagulations-parametre ved samtidig indgift af warfarin og ritonavir doseret som et antiretroviralt stof eller som en farmakokinetisk forstærker.</w:t>
            </w:r>
          </w:p>
        </w:tc>
      </w:tr>
      <w:tr w:rsidR="00C70B96" w:rsidTr="00C70B96">
        <w:trPr>
          <w:gridAfter w:val="1"/>
          <w:wAfter w:w="279" w:type="dxa"/>
          <w:trHeight w:val="462"/>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Antiepileptika/antikonvulsiva</w:t>
            </w:r>
          </w:p>
        </w:tc>
      </w:tr>
      <w:tr w:rsidR="00C70B96" w:rsidTr="00C70B96">
        <w:trPr>
          <w:gridAfter w:val="1"/>
          <w:wAfter w:w="279" w:type="dxa"/>
          <w:trHeight w:hRule="exact" w:val="110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Carbamazepin</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9070"/>
              </w:tabs>
              <w:ind w:left="146"/>
              <w:rPr>
                <w:sz w:val="22"/>
                <w:szCs w:val="22"/>
              </w:rPr>
            </w:pPr>
            <w:r>
              <w:rPr>
                <w:sz w:val="22"/>
                <w:szCs w:val="22"/>
              </w:rPr>
              <w:t>Ritonavir doseret som en farmakokinetisk forstærker eller som et antiretroviralt stof hæmmer CYP3A4 og forventes som følge heraf at øge plasmakoncentrationerne af carbamazepin. Nøje overvågning af terapeutiske virkninger og bivirkninger anbefales, når carbamazepin indgives sammen med ritonavir.</w:t>
            </w:r>
          </w:p>
          <w:p w:rsidR="00C70B96" w:rsidRDefault="00C70B96" w:rsidP="00C70B96">
            <w:pPr>
              <w:widowControl w:val="0"/>
              <w:tabs>
                <w:tab w:val="left" w:pos="0"/>
                <w:tab w:val="left" w:pos="3308"/>
                <w:tab w:val="left" w:pos="9070"/>
              </w:tabs>
              <w:ind w:left="146"/>
              <w:rPr>
                <w:sz w:val="22"/>
                <w:szCs w:val="22"/>
              </w:rPr>
            </w:pPr>
          </w:p>
        </w:tc>
      </w:tr>
      <w:tr w:rsidR="00C70B96" w:rsidTr="00C70B96">
        <w:trPr>
          <w:gridAfter w:val="1"/>
          <w:wAfter w:w="279" w:type="dxa"/>
          <w:trHeight w:hRule="exact" w:val="1277"/>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Divalproex, lamotrigin, phenytoin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fremkalder oxidation via CYP2C9 og glukuronidation og forventes som følge heraf at sænke plasmakoncentrationerne af antikonvilsiva. Nøje overvågning af serumniveau og terapeutiske virkninger anbefales, når disse lægemidler indgives sammen med ritonavir. Phenytoin kan sænke plasmakoncentrationen af ritonavir.</w:t>
            </w:r>
          </w:p>
        </w:tc>
      </w:tr>
      <w:tr w:rsidR="00C70B96" w:rsidTr="00C70B96">
        <w:trPr>
          <w:gridAfter w:val="1"/>
          <w:wAfter w:w="279" w:type="dxa"/>
          <w:trHeight w:val="430"/>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Antidepressiva</w:t>
            </w:r>
          </w:p>
        </w:tc>
      </w:tr>
      <w:tr w:rsidR="00C70B96" w:rsidTr="00C70B96">
        <w:trPr>
          <w:gridAfter w:val="1"/>
          <w:wAfter w:w="279" w:type="dxa"/>
          <w:trHeight w:hRule="exact" w:val="1563"/>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en-US"/>
              </w:rPr>
            </w:pPr>
            <w:r>
              <w:rPr>
                <w:sz w:val="22"/>
                <w:szCs w:val="22"/>
                <w:lang w:val="en-US"/>
              </w:rPr>
              <w:t>Amitriptylin, fluoxetin, imipramin, nortriptylin, paroxetin, sertralin</w:t>
            </w:r>
          </w:p>
          <w:p w:rsidR="00C70B96" w:rsidRDefault="00C70B96" w:rsidP="00C70B96">
            <w:pPr>
              <w:widowControl w:val="0"/>
              <w:tabs>
                <w:tab w:val="left" w:pos="0"/>
                <w:tab w:val="left" w:pos="9070"/>
              </w:tabs>
              <w:ind w:left="146"/>
              <w:rPr>
                <w:sz w:val="22"/>
                <w:szCs w:val="22"/>
                <w:lang w:val="en-US"/>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Det er sandsynligt, at ritonavir doseret som et antiretroviralt stof vil hæmme CYP2D6, og som følge heraf forventes det at øge koncentrationerne af imipramin, amitriptylin, nortriptylin, fluoxetin, paroxetin eller sertralin. Nøje overvågning af terapeutiske virkninger og bivirkninger anbefales, når disse lægemidler indgives sammen med antiretrovirale doser af ritonavir (se pkt. 4.4).</w:t>
            </w:r>
          </w:p>
        </w:tc>
      </w:tr>
      <w:tr w:rsidR="00C70B96" w:rsidTr="00C70B96">
        <w:trPr>
          <w:gridAfter w:val="1"/>
          <w:wAfter w:w="279" w:type="dxa"/>
          <w:trHeight w:hRule="exact" w:val="56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Desipramin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100 mg, enkeltdosis, oral</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145 %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22 %</w:t>
            </w:r>
          </w:p>
        </w:tc>
      </w:tr>
      <w:tr w:rsidR="00C70B96" w:rsidTr="00C70B96">
        <w:trPr>
          <w:gridAfter w:val="1"/>
          <w:wAfter w:w="279" w:type="dxa"/>
          <w:trHeight w:hRule="exact" w:val="85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AUC og C</w:t>
            </w:r>
            <w:r>
              <w:rPr>
                <w:sz w:val="22"/>
                <w:szCs w:val="22"/>
                <w:vertAlign w:val="subscript"/>
              </w:rPr>
              <w:t>max</w:t>
            </w:r>
            <w:r>
              <w:rPr>
                <w:sz w:val="22"/>
                <w:szCs w:val="22"/>
              </w:rPr>
              <w:t xml:space="preserve"> af 2-hydroxymetabolitten blev nedsat med henholdsvis 15 og 67 %. Det anbefales at nedsætte dosis af desipramin, når det indgives sammen med ritonavir doseret som et antiretroviralt stof.</w:t>
            </w:r>
          </w:p>
        </w:tc>
      </w:tr>
      <w:tr w:rsidR="00C70B96" w:rsidTr="00C70B96">
        <w:trPr>
          <w:gridAfter w:val="1"/>
          <w:wAfter w:w="279" w:type="dxa"/>
          <w:trHeight w:hRule="exact" w:val="56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lastRenderedPageBreak/>
              <w:t>Trazodon</w:t>
            </w:r>
          </w:p>
        </w:tc>
        <w:tc>
          <w:tcPr>
            <w:tcW w:w="24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9070"/>
              </w:tabs>
              <w:ind w:left="146"/>
              <w:rPr>
                <w:sz w:val="22"/>
                <w:szCs w:val="22"/>
              </w:rPr>
            </w:pPr>
            <w:r>
              <w:rPr>
                <w:sz w:val="22"/>
                <w:szCs w:val="22"/>
              </w:rPr>
              <w:t>50 mg enkeltdosis</w:t>
            </w:r>
          </w:p>
          <w:p w:rsidR="00C70B96" w:rsidRDefault="00C70B96" w:rsidP="00C70B96">
            <w:pPr>
              <w:widowControl w:val="0"/>
              <w:tabs>
                <w:tab w:val="left" w:pos="0"/>
                <w:tab w:val="left" w:pos="9070"/>
              </w:tabs>
              <w:ind w:left="146"/>
              <w:rPr>
                <w:sz w:val="22"/>
                <w:szCs w:val="22"/>
              </w:rPr>
            </w:pP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200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2,4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34 %</w:t>
            </w:r>
          </w:p>
        </w:tc>
      </w:tr>
      <w:tr w:rsidR="00C70B96" w:rsidTr="00C70B96">
        <w:trPr>
          <w:gridAfter w:val="1"/>
          <w:wAfter w:w="279" w:type="dxa"/>
          <w:trHeight w:hRule="exact" w:val="127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En øget forekomst af trazodon-relaterede bivirkninger er registreret ved indgift sammen med ritonavir doseret som et antiretroviralt stof eller som en farmakokinetisk forstærker. Hvis trazodon anvendes samtidig med ritonavir, bør kombinationen gives med forsigtighed, således at behandling med trazodon initieres med laveste dosis og med overvågning af klinisk respons og tolerabilitet.</w:t>
            </w:r>
          </w:p>
        </w:tc>
      </w:tr>
      <w:tr w:rsidR="00C70B96" w:rsidTr="00C70B96">
        <w:trPr>
          <w:gridAfter w:val="1"/>
          <w:wAfter w:w="279" w:type="dxa"/>
          <w:trHeight w:val="434"/>
        </w:trPr>
        <w:tc>
          <w:tcPr>
            <w:tcW w:w="9756" w:type="dxa"/>
            <w:gridSpan w:val="19"/>
            <w:tcBorders>
              <w:top w:val="single" w:sz="8" w:space="0" w:color="auto"/>
              <w:left w:val="nil"/>
              <w:bottom w:val="single" w:sz="8" w:space="0" w:color="auto"/>
              <w:right w:val="nil"/>
            </w:tcBorders>
          </w:tcPr>
          <w:p w:rsidR="00C70B96" w:rsidRDefault="00C70B96" w:rsidP="00C70B96">
            <w:pPr>
              <w:keepNext/>
              <w:tabs>
                <w:tab w:val="left" w:pos="0"/>
                <w:tab w:val="left" w:pos="9070"/>
              </w:tabs>
              <w:ind w:left="147"/>
              <w:outlineLvl w:val="3"/>
              <w:rPr>
                <w:sz w:val="22"/>
                <w:szCs w:val="22"/>
              </w:rPr>
            </w:pPr>
            <w:r>
              <w:rPr>
                <w:b/>
                <w:bCs/>
                <w:sz w:val="22"/>
                <w:szCs w:val="22"/>
              </w:rPr>
              <w:t>Midler mod urinsyregigt</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1159"/>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Colchicin</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Koncentrationen af colchicin forventes at stige ved indgift sammen med ritonavir.</w:t>
            </w:r>
          </w:p>
          <w:p w:rsidR="00C70B96" w:rsidRDefault="00C70B96" w:rsidP="00C70B96">
            <w:pPr>
              <w:widowControl w:val="0"/>
              <w:tabs>
                <w:tab w:val="left" w:pos="0"/>
                <w:tab w:val="left" w:pos="9070"/>
              </w:tabs>
              <w:ind w:left="146"/>
              <w:rPr>
                <w:sz w:val="22"/>
                <w:szCs w:val="22"/>
              </w:rPr>
            </w:pPr>
            <w:r>
              <w:rPr>
                <w:sz w:val="22"/>
                <w:szCs w:val="22"/>
              </w:rPr>
              <w:t>Livstruende og fatale lægemiddelinteraktioner er indberettet hos patienter behandlet med colchicin og ritonavir (CYP3A4- og P-gp-hæmning) hos patienter med nedsat nyre- og/eller leverfunktion (se punkt 4.3 og 4.4). Der henvises til produktresuméet for colchicin.</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val="484"/>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Antihistaminer</w:t>
            </w:r>
          </w:p>
        </w:tc>
      </w:tr>
      <w:tr w:rsidR="00C70B96" w:rsidTr="00C70B96">
        <w:trPr>
          <w:gridAfter w:val="1"/>
          <w:wAfter w:w="279" w:type="dxa"/>
          <w:trHeight w:hRule="exact" w:val="58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Astemizol, terfenadin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w:t>
            </w:r>
            <w:proofErr w:type="gramStart"/>
            <w:r>
              <w:rPr>
                <w:sz w:val="22"/>
                <w:szCs w:val="22"/>
              </w:rPr>
              <w:t>resulterer</w:t>
            </w:r>
            <w:proofErr w:type="gramEnd"/>
            <w:r>
              <w:rPr>
                <w:sz w:val="22"/>
                <w:szCs w:val="22"/>
              </w:rPr>
              <w:t xml:space="preserve"> i forhøjet plasma-koncentration af astemizol og terfenadin og er derfor </w:t>
            </w:r>
            <w:r>
              <w:rPr>
                <w:b/>
                <w:sz w:val="22"/>
                <w:szCs w:val="22"/>
              </w:rPr>
              <w:t xml:space="preserve">kontraindiceret </w:t>
            </w:r>
            <w:r>
              <w:rPr>
                <w:sz w:val="22"/>
                <w:szCs w:val="22"/>
              </w:rPr>
              <w:t>(se pkt 4.3).</w:t>
            </w:r>
          </w:p>
        </w:tc>
      </w:tr>
      <w:tr w:rsidR="00C70B96" w:rsidTr="00C70B96">
        <w:trPr>
          <w:gridAfter w:val="1"/>
          <w:wAfter w:w="279" w:type="dxa"/>
          <w:trHeight w:hRule="exact" w:val="1131"/>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Fexofenadin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kan ændre P-glykoprotein fremkaldt fexofenadin efflux, når det doseres som antiretroviralt stof eller som en farmakokinetisk forstærker og forventes som følge heraf at øge plasmakoncentrationen af fexofenadin. Den forhøjede fexofenadinkoncentration vil muligvis mindskes med tiden, efterhånden som der fremkaldes induktion.</w:t>
            </w:r>
          </w:p>
        </w:tc>
      </w:tr>
      <w:tr w:rsidR="00C70B96" w:rsidTr="00C70B96">
        <w:trPr>
          <w:gridAfter w:val="1"/>
          <w:wAfter w:w="279" w:type="dxa"/>
          <w:trHeight w:hRule="exact" w:val="1119"/>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Loratadin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 og forventes som følge heraf at øge plasmakoncentrationen af loratidin. Nøje overvågning af terapeutisk virkning og bivirkninger anbefales, når loratidin indgives sammen med ritonavir.</w:t>
            </w:r>
          </w:p>
        </w:tc>
      </w:tr>
      <w:tr w:rsidR="00C70B96" w:rsidTr="00C70B96">
        <w:trPr>
          <w:gridAfter w:val="1"/>
          <w:wAfter w:w="279" w:type="dxa"/>
          <w:trHeight w:val="440"/>
        </w:trPr>
        <w:tc>
          <w:tcPr>
            <w:tcW w:w="9756" w:type="dxa"/>
            <w:gridSpan w:val="19"/>
            <w:tcBorders>
              <w:top w:val="single" w:sz="8" w:space="0" w:color="auto"/>
              <w:left w:val="nil"/>
              <w:bottom w:val="single" w:sz="8" w:space="0" w:color="auto"/>
              <w:right w:val="nil"/>
            </w:tcBorders>
            <w:hideMark/>
          </w:tcPr>
          <w:p w:rsidR="00C70B96" w:rsidRDefault="00C70B96" w:rsidP="00C70B96">
            <w:pPr>
              <w:keepNext/>
              <w:widowControl w:val="0"/>
              <w:tabs>
                <w:tab w:val="left" w:pos="0"/>
                <w:tab w:val="left" w:pos="9070"/>
              </w:tabs>
              <w:ind w:left="147"/>
              <w:rPr>
                <w:b/>
                <w:sz w:val="22"/>
                <w:szCs w:val="22"/>
              </w:rPr>
            </w:pPr>
            <w:r>
              <w:rPr>
                <w:b/>
                <w:sz w:val="22"/>
                <w:szCs w:val="22"/>
              </w:rPr>
              <w:t>Midler mod infektion</w:t>
            </w:r>
          </w:p>
        </w:tc>
      </w:tr>
      <w:tr w:rsidR="00C70B96" w:rsidTr="00C70B96">
        <w:trPr>
          <w:gridAfter w:val="1"/>
          <w:wAfter w:w="279" w:type="dxa"/>
          <w:trHeight w:hRule="exact" w:val="85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Fusidinsyre</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resultere i forhøjet plasma-koncentration af både fusidinsyre og af ritonavir og er derfor </w:t>
            </w:r>
            <w:r>
              <w:rPr>
                <w:b/>
                <w:sz w:val="22"/>
                <w:szCs w:val="22"/>
              </w:rPr>
              <w:t xml:space="preserve">kontraindiceret </w:t>
            </w:r>
            <w:r>
              <w:rPr>
                <w:sz w:val="22"/>
                <w:szCs w:val="22"/>
              </w:rPr>
              <w:t>(se pkt 4.3).</w:t>
            </w:r>
          </w:p>
        </w:tc>
      </w:tr>
      <w:tr w:rsidR="00C70B96" w:rsidTr="00C70B96">
        <w:trPr>
          <w:gridAfter w:val="1"/>
          <w:wAfter w:w="279" w:type="dxa"/>
          <w:trHeight w:hRule="exact" w:val="127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vertAlign w:val="superscript"/>
              </w:rPr>
            </w:pPr>
            <w:r>
              <w:rPr>
                <w:sz w:val="22"/>
                <w:szCs w:val="22"/>
              </w:rPr>
              <w:t>Rifabutin</w:t>
            </w:r>
            <w:r>
              <w:rPr>
                <w:sz w:val="22"/>
                <w:szCs w:val="22"/>
                <w:vertAlign w:val="superscript"/>
              </w:rPr>
              <w:t>1</w:t>
            </w:r>
          </w:p>
          <w:p w:rsidR="00C70B96" w:rsidRDefault="00C70B96" w:rsidP="00C70B96">
            <w:pPr>
              <w:widowControl w:val="0"/>
              <w:tabs>
                <w:tab w:val="left" w:pos="0"/>
                <w:tab w:val="left" w:pos="9070"/>
              </w:tabs>
              <w:ind w:left="146"/>
              <w:rPr>
                <w:sz w:val="22"/>
                <w:szCs w:val="22"/>
              </w:rPr>
            </w:pPr>
            <w:r>
              <w:rPr>
                <w:sz w:val="22"/>
                <w:szCs w:val="22"/>
              </w:rPr>
              <w:t>25-</w:t>
            </w:r>
            <w:r>
              <w:rPr>
                <w:i/>
                <w:sz w:val="22"/>
                <w:szCs w:val="22"/>
              </w:rPr>
              <w:t>O</w:t>
            </w:r>
            <w:r>
              <w:rPr>
                <w:sz w:val="22"/>
                <w:szCs w:val="22"/>
              </w:rPr>
              <w:t>-desacetyl-rifabutin metabolit</w:t>
            </w:r>
          </w:p>
          <w:p w:rsidR="00C70B96" w:rsidRDefault="00C70B96" w:rsidP="00C70B96">
            <w:pPr>
              <w:widowControl w:val="0"/>
              <w:tabs>
                <w:tab w:val="left" w:pos="0"/>
                <w:tab w:val="left" w:pos="9070"/>
              </w:tabs>
              <w:ind w:left="146"/>
              <w:rPr>
                <w:sz w:val="22"/>
                <w:szCs w:val="22"/>
              </w:rPr>
            </w:pP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150 mg daglig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4 gange</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38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2,5 gange</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16 gange</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256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På grund af den store stigning i AUC for rifabutin er samtidig anvendelse af rifabutin og ritonavir doseret som et antiretroviralt stof kontraindiceret (se pkt. 4.3). En nedsættelse af dosis af rifabutin til 150 mg 3 gange pr. uge kan være indiceret for udvalgte protease-hæmmere, når disse indgives sammen med ritonavir som en farmakokinetisk forstærker. En nedsættelse af dosis af rifabutin til 150 mg 3 gange pr. uge kan være indiceret for udvalgte proteasehæmmere, når disse indgives sammen med ritonavir som en farmakokinetisk forstærker. Produktresuméet for den samtidigt indgivne proteasehæmmer bør konsulteres med hensyn til konkrete anbefalinger. Den officielle vejledning vedrørende den hensigtsmæssige behandling af tuberkulose hos hiv-inficerede patienter bør tages i betragtning.</w:t>
            </w:r>
          </w:p>
        </w:tc>
      </w:tr>
      <w:tr w:rsidR="00C70B96" w:rsidTr="00C70B96">
        <w:trPr>
          <w:gridAfter w:val="1"/>
          <w:wAfter w:w="279" w:type="dxa"/>
          <w:trHeight w:hRule="exact" w:val="1001"/>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Rifampicin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Selvom rifampicin kan </w:t>
            </w:r>
            <w:proofErr w:type="gramStart"/>
            <w:r>
              <w:rPr>
                <w:sz w:val="22"/>
                <w:szCs w:val="22"/>
              </w:rPr>
              <w:t>inducerer</w:t>
            </w:r>
            <w:proofErr w:type="gramEnd"/>
            <w:r>
              <w:rPr>
                <w:sz w:val="22"/>
                <w:szCs w:val="22"/>
              </w:rPr>
              <w:t xml:space="preserve"> ritonavirs metabolisme, tyder begrænsede data på, at rifampicins øgede inducerende effekt (ved siden af ritonavirs egen) er lille og ikke har nogen klinisk relevant effekt på ritonavir-niveauer i højdosis enkeltstof-behandling. Ritonavirs effekt på rifampicin kendes ikke.</w:t>
            </w:r>
          </w:p>
        </w:tc>
      </w:tr>
      <w:tr w:rsidR="00C70B96" w:rsidTr="00C70B96">
        <w:trPr>
          <w:gridAfter w:val="1"/>
          <w:wAfter w:w="279" w:type="dxa"/>
          <w:trHeight w:hRule="exact" w:val="107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Voriconazol</w:t>
            </w:r>
          </w:p>
        </w:tc>
        <w:tc>
          <w:tcPr>
            <w:tcW w:w="24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288"/>
                <w:tab w:val="left" w:pos="9070"/>
              </w:tabs>
              <w:ind w:left="146"/>
              <w:rPr>
                <w:sz w:val="22"/>
                <w:szCs w:val="22"/>
              </w:rPr>
            </w:pPr>
            <w:r>
              <w:rPr>
                <w:sz w:val="22"/>
                <w:szCs w:val="22"/>
              </w:rPr>
              <w:t>200 mg hver 12 time</w:t>
            </w:r>
          </w:p>
          <w:p w:rsidR="00C70B96" w:rsidRDefault="00C70B96" w:rsidP="00C70B96">
            <w:pPr>
              <w:widowControl w:val="0"/>
              <w:tabs>
                <w:tab w:val="left" w:pos="0"/>
                <w:tab w:val="left" w:pos="3288"/>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200 mg hver 12 time</w:t>
            </w:r>
          </w:p>
          <w:p w:rsidR="00C70B96" w:rsidRDefault="00C70B96" w:rsidP="00C70B96">
            <w:pPr>
              <w:widowControl w:val="0"/>
              <w:tabs>
                <w:tab w:val="left" w:pos="0"/>
                <w:tab w:val="left" w:pos="9070"/>
              </w:tabs>
              <w:ind w:left="146"/>
              <w:rPr>
                <w:sz w:val="22"/>
                <w:szCs w:val="22"/>
              </w:rPr>
            </w:pP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400 mg hver 12 time</w:t>
            </w:r>
          </w:p>
          <w:p w:rsidR="00C70B96" w:rsidRDefault="00C70B96" w:rsidP="00C70B96">
            <w:pPr>
              <w:widowControl w:val="0"/>
              <w:tabs>
                <w:tab w:val="left" w:pos="0"/>
                <w:tab w:val="left" w:pos="3308"/>
                <w:tab w:val="left" w:pos="5478"/>
                <w:tab w:val="left" w:pos="9070"/>
              </w:tabs>
              <w:ind w:left="146"/>
              <w:rPr>
                <w:sz w:val="22"/>
                <w:szCs w:val="22"/>
              </w:rPr>
            </w:pPr>
            <w:r>
              <w:rPr>
                <w:sz w:val="22"/>
                <w:szCs w:val="22"/>
              </w:rPr>
              <w:t>200 mg hver 12 time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82 %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39 %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66 %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24 %</w:t>
            </w:r>
          </w:p>
        </w:tc>
      </w:tr>
      <w:tr w:rsidR="00C70B96" w:rsidTr="00C70B96">
        <w:trPr>
          <w:gridAfter w:val="1"/>
          <w:wAfter w:w="279" w:type="dxa"/>
          <w:trHeight w:hRule="exact" w:val="1271"/>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anvendelse af ritonavir doseret som et antiretroviralt stof og voriconazol er kontraindiceret på grund af reduktion af voriconazol-koncentrationen (se pkt. 4.3). Samtidig anvendelse af voriconazol og ritonavir doseret som en farmakokinetisk forstærker bør undgås, medmindre en vurdering af benefit/risk-forholdet for patienten berettiger brugen af voriconazol.</w:t>
            </w:r>
          </w:p>
        </w:tc>
      </w:tr>
      <w:tr w:rsidR="00C70B96" w:rsidTr="00C70B96">
        <w:trPr>
          <w:gridAfter w:val="1"/>
          <w:wAfter w:w="279" w:type="dxa"/>
          <w:trHeight w:hRule="exact" w:val="1067"/>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Atovaquon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fremkalder glukuronidation og forventes som følge heraf at nedsætte plasma-koncentrationerne af atovaquon. Nøje overvågning af serumniveauerne eller de terapeutiske virkninger anbefales, når atovaquon indgives sammen med ritonavir.</w:t>
            </w:r>
          </w:p>
        </w:tc>
      </w:tr>
      <w:tr w:rsidR="00C70B96" w:rsidTr="00C70B96">
        <w:trPr>
          <w:gridAfter w:val="1"/>
          <w:wAfter w:w="279" w:type="dxa"/>
          <w:trHeight w:hRule="exact" w:val="2133"/>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lang w:val="en-IN"/>
              </w:rPr>
              <w:t>Bedaquilin</w:t>
            </w:r>
          </w:p>
        </w:tc>
        <w:tc>
          <w:tcPr>
            <w:tcW w:w="8353" w:type="dxa"/>
            <w:gridSpan w:val="17"/>
            <w:tcBorders>
              <w:top w:val="single" w:sz="8" w:space="0" w:color="auto"/>
              <w:left w:val="nil"/>
              <w:bottom w:val="single" w:sz="8" w:space="0" w:color="auto"/>
              <w:right w:val="nil"/>
            </w:tcBorders>
          </w:tcPr>
          <w:p w:rsidR="00C70B96" w:rsidRDefault="00C70B96" w:rsidP="00C70B96">
            <w:pPr>
              <w:autoSpaceDE w:val="0"/>
              <w:autoSpaceDN w:val="0"/>
              <w:adjustRightInd w:val="0"/>
              <w:ind w:left="141"/>
              <w:rPr>
                <w:sz w:val="22"/>
                <w:szCs w:val="22"/>
              </w:rPr>
            </w:pPr>
            <w:r>
              <w:rPr>
                <w:sz w:val="22"/>
                <w:szCs w:val="22"/>
              </w:rPr>
              <w:t>Der foreligger ingen interaktionsstudier udelukkende med ritonavir. I et interaktionsstudie med enkeltdosis bedaquilin og flerdosis lopinavir/ritonavir blev AUC for bedaquilin øget med 22 %. Stigningen skyldes sandsynligvis ritonavir, og en mere udtalt effekt kan observeres under langvarig samtidig administration. På grund af risikoen for bedaquilinrelaterede bivirkninger bør samtidig administration undgås. Hvis fordelen opvejer risikoen, skal samtidig administration af bedaquilin og ritonavir foretages med forsigtighed. Hyppigere monitorering af elektrokardiogram og monitoring af aminotransferaser anbefales (se pkt. 4.4 og produktresuméet for bedaquilin).</w:t>
            </w:r>
          </w:p>
          <w:p w:rsidR="00C70B96" w:rsidRDefault="00C70B96" w:rsidP="00C70B96">
            <w:pPr>
              <w:autoSpaceDE w:val="0"/>
              <w:autoSpaceDN w:val="0"/>
              <w:adjustRightInd w:val="0"/>
              <w:ind w:left="141"/>
              <w:rPr>
                <w:sz w:val="22"/>
                <w:szCs w:val="22"/>
              </w:rPr>
            </w:pPr>
          </w:p>
        </w:tc>
      </w:tr>
      <w:tr w:rsidR="00C70B96" w:rsidTr="00C70B96">
        <w:trPr>
          <w:gridAfter w:val="1"/>
          <w:wAfter w:w="279" w:type="dxa"/>
          <w:trHeight w:hRule="exact" w:val="1298"/>
        </w:trPr>
        <w:tc>
          <w:tcPr>
            <w:tcW w:w="1542"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Clarithromycin</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14-OH-clarithromycin metabolit</w:t>
            </w:r>
          </w:p>
          <w:p w:rsidR="00C70B96" w:rsidRDefault="00C70B96" w:rsidP="00C70B96">
            <w:pPr>
              <w:widowControl w:val="0"/>
              <w:tabs>
                <w:tab w:val="left" w:pos="0"/>
                <w:tab w:val="left" w:pos="9070"/>
              </w:tabs>
              <w:ind w:left="146"/>
              <w:rPr>
                <w:sz w:val="22"/>
                <w:szCs w:val="22"/>
              </w:rPr>
            </w:pP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rPr>
                <w:sz w:val="22"/>
                <w:szCs w:val="22"/>
              </w:rPr>
            </w:pPr>
            <w:r>
              <w:rPr>
                <w:sz w:val="22"/>
                <w:szCs w:val="22"/>
              </w:rPr>
              <w:t>500 mg hver 12. time</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200 mg hver 8. time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77 %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100 %</w:t>
            </w:r>
          </w:p>
          <w:p w:rsidR="00C70B96" w:rsidRDefault="00C70B96" w:rsidP="00C70B96">
            <w:pPr>
              <w:widowControl w:val="0"/>
              <w:tabs>
                <w:tab w:val="left" w:pos="0"/>
                <w:tab w:val="left" w:pos="9070"/>
              </w:tabs>
              <w:ind w:left="146"/>
              <w:rPr>
                <w:sz w:val="22"/>
                <w:szCs w:val="22"/>
              </w:rPr>
            </w:pP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22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31 %</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99 %</w:t>
            </w:r>
          </w:p>
        </w:tc>
      </w:tr>
      <w:tr w:rsidR="00C70B96" w:rsidTr="00C70B96">
        <w:trPr>
          <w:gridAfter w:val="1"/>
          <w:wAfter w:w="279" w:type="dxa"/>
          <w:trHeight w:hRule="exact" w:val="1842"/>
        </w:trPr>
        <w:tc>
          <w:tcPr>
            <w:tcW w:w="1542"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214" w:type="dxa"/>
            <w:gridSpan w:val="16"/>
            <w:tcBorders>
              <w:top w:val="single" w:sz="8" w:space="0" w:color="auto"/>
              <w:left w:val="nil"/>
              <w:bottom w:val="single" w:sz="8" w:space="0" w:color="auto"/>
              <w:right w:val="nil"/>
            </w:tcBorders>
            <w:hideMark/>
          </w:tcPr>
          <w:p w:rsidR="00C70B96" w:rsidRDefault="00C70B96" w:rsidP="00C70B96">
            <w:pPr>
              <w:widowControl w:val="0"/>
              <w:tabs>
                <w:tab w:val="left" w:pos="9070"/>
              </w:tabs>
              <w:rPr>
                <w:sz w:val="22"/>
                <w:szCs w:val="22"/>
              </w:rPr>
            </w:pPr>
            <w:r>
              <w:rPr>
                <w:sz w:val="22"/>
                <w:szCs w:val="22"/>
              </w:rPr>
              <w:t>På grund af clarithromycins store terapeutiske område bør det ikke være nødvendigt at foretage nogen nedsættelse af dosis for patienter med normal nyrefunktion. Højere doser af clarithromycin end 1 g pr. dag bør ikke indgives sammen med ritonavir doseret som et antiretroviralt stof eller som en farmakokinetisk forstærker. For patienter med nedsat nyrefunktion bør en dosisnedsættelse overvejes: til patienter med en kreatininclearance på 30 til 60 ml/min. bør dosis reduceres med 50 %, til patienter med en kreatinin-clearance under 30 ml/min. bør dosis reduceres med 75 %.</w:t>
            </w:r>
          </w:p>
        </w:tc>
      </w:tr>
      <w:tr w:rsidR="00C70B96" w:rsidTr="00C70B96">
        <w:trPr>
          <w:gridAfter w:val="1"/>
          <w:wAfter w:w="279" w:type="dxa"/>
          <w:trHeight w:hRule="exact" w:val="186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lang w:val="en-IN"/>
              </w:rPr>
              <w:t>Delamanid</w:t>
            </w:r>
          </w:p>
        </w:tc>
        <w:tc>
          <w:tcPr>
            <w:tcW w:w="8353" w:type="dxa"/>
            <w:gridSpan w:val="17"/>
            <w:tcBorders>
              <w:top w:val="single" w:sz="8" w:space="0" w:color="auto"/>
              <w:left w:val="nil"/>
              <w:bottom w:val="single" w:sz="8" w:space="0" w:color="auto"/>
              <w:right w:val="nil"/>
            </w:tcBorders>
          </w:tcPr>
          <w:p w:rsidR="00C70B96" w:rsidRDefault="00C70B96" w:rsidP="00C70B96">
            <w:pPr>
              <w:autoSpaceDE w:val="0"/>
              <w:autoSpaceDN w:val="0"/>
              <w:adjustRightInd w:val="0"/>
              <w:ind w:left="141"/>
              <w:rPr>
                <w:sz w:val="22"/>
                <w:szCs w:val="22"/>
              </w:rPr>
            </w:pPr>
            <w:r>
              <w:rPr>
                <w:sz w:val="22"/>
                <w:szCs w:val="22"/>
              </w:rPr>
              <w:t>Der foreligger ingen interaktionsstudier udelukkende med ritonavir. I et interaktionsstudie med raske frivillige forsøgspersoner med 100 mg delamanid to gange dagligt og 400/100 mg lopinavir/ritonavir 2 gange dagligt i 14 dage var eksponeringen for delamanidmetabolitten DM-6705 øget med 30 %. Hvis samtidig administration af delamanid og ritonavir anses for at være nødvendig, anbefales meget hyppig EKG-monitorering i hele</w:t>
            </w:r>
          </w:p>
          <w:p w:rsidR="00C70B96" w:rsidRDefault="00C70B96" w:rsidP="00C70B96">
            <w:pPr>
              <w:autoSpaceDE w:val="0"/>
              <w:autoSpaceDN w:val="0"/>
              <w:adjustRightInd w:val="0"/>
              <w:ind w:left="141"/>
              <w:rPr>
                <w:sz w:val="22"/>
                <w:szCs w:val="22"/>
              </w:rPr>
            </w:pPr>
            <w:r>
              <w:rPr>
                <w:sz w:val="22"/>
                <w:szCs w:val="22"/>
              </w:rPr>
              <w:t>delamanidbehandlingsperioden, da DM-6705 er forbundet med risiko for forlænget QTc (se pkt. 4.4 og produktresuméet for delamanid).</w:t>
            </w:r>
          </w:p>
          <w:p w:rsidR="00C70B96" w:rsidRDefault="00C70B96" w:rsidP="00C70B96">
            <w:pPr>
              <w:autoSpaceDE w:val="0"/>
              <w:autoSpaceDN w:val="0"/>
              <w:adjustRightInd w:val="0"/>
              <w:ind w:left="141"/>
              <w:rPr>
                <w:sz w:val="22"/>
                <w:szCs w:val="22"/>
              </w:rPr>
            </w:pPr>
          </w:p>
        </w:tc>
      </w:tr>
      <w:tr w:rsidR="00C70B96" w:rsidTr="00C70B96">
        <w:trPr>
          <w:gridAfter w:val="1"/>
          <w:wAfter w:w="279" w:type="dxa"/>
          <w:trHeight w:hRule="exact" w:val="1261"/>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Erythro-mycin, itraconazol</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CYP3A4 og forventes som følge heraf at øge plasmakoncentrationerne af erythromycin og itraconazol. Nøje overvågning af terapeutiske virkninger og bivirkninger anbefales, når erythromycin eller itraconazol indgives sammen med ritonavir.</w:t>
            </w:r>
          </w:p>
        </w:tc>
      </w:tr>
      <w:tr w:rsidR="00C70B96" w:rsidTr="00C70B96">
        <w:trPr>
          <w:gridAfter w:val="1"/>
          <w:wAfter w:w="279" w:type="dxa"/>
          <w:trHeight w:hRule="exact" w:val="57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Ketoconazol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200 mg daglig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3,4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55 %</w:t>
            </w:r>
          </w:p>
        </w:tc>
      </w:tr>
      <w:tr w:rsidR="00C70B96" w:rsidTr="00C70B96">
        <w:trPr>
          <w:gridAfter w:val="1"/>
          <w:wAfter w:w="279" w:type="dxa"/>
          <w:trHeight w:hRule="exact" w:val="1008"/>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hæmmer den CYP3A-medierede metabolisering af ketoconazol. På grund af en øget forekomst af gastrointestinale og hepatiske bivirkninger bør det overvejes at reducere dosis af ketoconazol, når det indgives sammen med ritonavir doseret som et antiretroviralt stof eller som en farmakokinetisk forstærker.</w:t>
            </w:r>
          </w:p>
        </w:tc>
      </w:tr>
      <w:tr w:rsidR="00C70B96" w:rsidTr="00C70B96">
        <w:trPr>
          <w:gridAfter w:val="1"/>
          <w:wAfter w:w="279" w:type="dxa"/>
          <w:trHeight w:hRule="exact" w:val="1167"/>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Sulfa-methoxazol + trimetho-prim</w:t>
            </w:r>
            <w:r>
              <w:rPr>
                <w:sz w:val="22"/>
                <w:szCs w:val="22"/>
                <w:vertAlign w:val="superscript"/>
              </w:rPr>
              <w:t>2</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050"/>
                <w:tab w:val="left" w:pos="9070"/>
              </w:tabs>
              <w:ind w:left="146"/>
              <w:rPr>
                <w:sz w:val="22"/>
                <w:szCs w:val="22"/>
              </w:rPr>
            </w:pPr>
            <w:r>
              <w:rPr>
                <w:sz w:val="22"/>
                <w:szCs w:val="22"/>
              </w:rPr>
              <w:t>800/160 mg, enkelt 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20 % /↑ 20 %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544"/>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Dosisændring af sulfamethoxazol/trimethoprim under samtidig behandling med ritonavir skulle ikke være nødvendig.</w:t>
            </w:r>
          </w:p>
        </w:tc>
      </w:tr>
      <w:tr w:rsidR="00C70B96" w:rsidTr="00C70B96">
        <w:trPr>
          <w:gridAfter w:val="1"/>
          <w:wAfter w:w="279" w:type="dxa"/>
          <w:trHeight w:val="414"/>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b/>
                <w:sz w:val="22"/>
                <w:szCs w:val="22"/>
              </w:rPr>
              <w:lastRenderedPageBreak/>
              <w:t>Antipsykotika</w:t>
            </w:r>
          </w:p>
        </w:tc>
      </w:tr>
      <w:tr w:rsidR="00C70B96" w:rsidTr="00C70B96">
        <w:trPr>
          <w:gridAfter w:val="1"/>
          <w:wAfter w:w="279" w:type="dxa"/>
          <w:trHeight w:hRule="exact" w:val="57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Clozapin, pimozid</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w:t>
            </w:r>
            <w:proofErr w:type="gramStart"/>
            <w:r>
              <w:rPr>
                <w:sz w:val="22"/>
                <w:szCs w:val="22"/>
              </w:rPr>
              <w:t>resulterer</w:t>
            </w:r>
            <w:proofErr w:type="gramEnd"/>
            <w:r>
              <w:rPr>
                <w:sz w:val="22"/>
                <w:szCs w:val="22"/>
              </w:rPr>
              <w:t xml:space="preserve"> i forhøjede plasma-koncentrationer af clozapin eller pimozid og er derfor </w:t>
            </w:r>
            <w:r>
              <w:rPr>
                <w:b/>
                <w:sz w:val="22"/>
                <w:szCs w:val="22"/>
              </w:rPr>
              <w:t xml:space="preserve">kontraindiceret </w:t>
            </w:r>
            <w:r>
              <w:rPr>
                <w:sz w:val="22"/>
                <w:szCs w:val="22"/>
              </w:rPr>
              <w:t>(se pkt 4.3).</w:t>
            </w:r>
          </w:p>
        </w:tc>
      </w:tr>
      <w:tr w:rsidR="00C70B96" w:rsidTr="00C70B96">
        <w:trPr>
          <w:gridAfter w:val="1"/>
          <w:wAfter w:w="279" w:type="dxa"/>
          <w:trHeight w:hRule="exact" w:val="1006"/>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Haloperidol, risperidon, thioridazin.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Det er sandsynligt, at ritonavir doseret som antiretroviralt stof hæmmer CYP2D6 og forventes som følge heraf at øge plasmakoncentrationerne af haloperidol, risperidon og thioridazine. Nøje overvågning af terapeutiske virkninger og bivirkninger anbefales, når disse lægemidler indgives sammen med ritonavir i antiretrovirale doser.</w:t>
            </w:r>
          </w:p>
        </w:tc>
      </w:tr>
      <w:tr w:rsidR="00C70B96" w:rsidTr="00C70B96">
        <w:trPr>
          <w:gridAfter w:val="1"/>
          <w:wAfter w:w="279" w:type="dxa"/>
          <w:trHeight w:hRule="exact" w:val="85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Lurasidon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På grund af ritonavirs CYP3A4-hæmning forventes koncentrationen af lurasidon at stige. Samtidig administration med lurasidon er kontraindiceret (se pkt. 4.3).</w:t>
            </w:r>
          </w:p>
        </w:tc>
      </w:tr>
      <w:tr w:rsidR="00C70B96" w:rsidTr="00C70B96">
        <w:trPr>
          <w:gridAfter w:val="1"/>
          <w:wAfter w:w="279" w:type="dxa"/>
          <w:trHeight w:hRule="exact" w:val="85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Quetiapin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På grund af lopinavir/ritonavirs hæmning af CYP3A forventes koncentrationen af quetiapin at stige. Samtidig administration af ritonavir og quetiapin er kontraindiceret (se pkt. 4.3), idet quetiapin-relateret toksicitet kan øges.</w:t>
            </w:r>
          </w:p>
        </w:tc>
      </w:tr>
      <w:tr w:rsidR="00C70B96" w:rsidTr="00C70B96">
        <w:trPr>
          <w:gridAfter w:val="1"/>
          <w:wAfter w:w="279" w:type="dxa"/>
          <w:trHeight w:val="437"/>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bCs/>
                <w:sz w:val="22"/>
                <w:szCs w:val="22"/>
              </w:rPr>
              <w:t>ß2-</w:t>
            </w:r>
            <w:r>
              <w:rPr>
                <w:b/>
                <w:sz w:val="22"/>
                <w:szCs w:val="22"/>
              </w:rPr>
              <w:t>agonister (langtidsvirkende)</w:t>
            </w:r>
          </w:p>
        </w:tc>
      </w:tr>
      <w:tr w:rsidR="00C70B96" w:rsidTr="00C70B96">
        <w:trPr>
          <w:gridAfter w:val="1"/>
          <w:wAfter w:w="279" w:type="dxa"/>
          <w:trHeight w:hRule="exact" w:val="54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Salmeterol</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Ritonavir hæmmer CYP3A4 og som følge heraf forventes en udtalt stigning i plasma-koncentrationerne af salmeterol. Samtidig brug anbefales derfor ikke.</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val="437"/>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Calciumantagonister</w:t>
            </w:r>
          </w:p>
        </w:tc>
      </w:tr>
      <w:tr w:rsidR="00C70B96" w:rsidTr="00C70B96">
        <w:trPr>
          <w:gridAfter w:val="1"/>
          <w:wAfter w:w="279" w:type="dxa"/>
          <w:trHeight w:hRule="exact" w:val="1137"/>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Amlodipin, diltiazem, nifedipin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CYP3A4 og forventes som følge heraf at øge plasmakoncentrationerne af kalciumantagonister. Nøje overvågning af terapeutiske virkninger og bivirkninger anbefales, når disse lægemidler indgives sammen med ritonavir.</w:t>
            </w:r>
          </w:p>
        </w:tc>
      </w:tr>
      <w:tr w:rsidR="00C70B96" w:rsidTr="00C70B96">
        <w:trPr>
          <w:gridAfter w:val="1"/>
          <w:wAfter w:w="279" w:type="dxa"/>
          <w:trHeight w:val="416"/>
        </w:trPr>
        <w:tc>
          <w:tcPr>
            <w:tcW w:w="9756" w:type="dxa"/>
            <w:gridSpan w:val="19"/>
            <w:tcBorders>
              <w:top w:val="single" w:sz="8" w:space="0" w:color="auto"/>
              <w:left w:val="nil"/>
              <w:bottom w:val="single" w:sz="8" w:space="0" w:color="auto"/>
              <w:right w:val="nil"/>
            </w:tcBorders>
          </w:tcPr>
          <w:p w:rsidR="00C70B96" w:rsidRDefault="00C70B96" w:rsidP="00C70B96">
            <w:pPr>
              <w:keepNext/>
              <w:widowControl w:val="0"/>
              <w:tabs>
                <w:tab w:val="left" w:pos="0"/>
                <w:tab w:val="left" w:pos="9070"/>
              </w:tabs>
              <w:ind w:left="147"/>
              <w:outlineLvl w:val="3"/>
              <w:rPr>
                <w:sz w:val="22"/>
                <w:szCs w:val="22"/>
              </w:rPr>
            </w:pPr>
            <w:r>
              <w:rPr>
                <w:b/>
                <w:bCs/>
                <w:sz w:val="22"/>
                <w:szCs w:val="22"/>
              </w:rPr>
              <w:t>Endotelin-antagonister</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57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Bosentan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indgift af bosentan og ritonavir kan øge bosentans maksimum steady state koncentration (C</w:t>
            </w:r>
            <w:r>
              <w:rPr>
                <w:position w:val="-2"/>
                <w:sz w:val="22"/>
                <w:szCs w:val="22"/>
                <w:vertAlign w:val="subscript"/>
              </w:rPr>
              <w:t>max</w:t>
            </w:r>
            <w:r>
              <w:rPr>
                <w:sz w:val="22"/>
                <w:szCs w:val="22"/>
              </w:rPr>
              <w:t>) og arealet under kurven (AUC).</w:t>
            </w:r>
          </w:p>
        </w:tc>
      </w:tr>
      <w:tr w:rsidR="00C70B96" w:rsidTr="00C70B96">
        <w:trPr>
          <w:gridAfter w:val="1"/>
          <w:wAfter w:w="279" w:type="dxa"/>
          <w:trHeight w:hRule="exact" w:val="109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Riociguat</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Serumkoncentrationer kan være forhøjede på grund af CYP3A- og P-gp-hæmning</w:t>
            </w:r>
          </w:p>
          <w:p w:rsidR="00C70B96" w:rsidRDefault="00C70B96" w:rsidP="00C70B96">
            <w:pPr>
              <w:widowControl w:val="0"/>
              <w:tabs>
                <w:tab w:val="left" w:pos="0"/>
                <w:tab w:val="left" w:pos="9070"/>
              </w:tabs>
              <w:ind w:left="146"/>
              <w:rPr>
                <w:sz w:val="22"/>
                <w:szCs w:val="22"/>
              </w:rPr>
            </w:pPr>
            <w:r>
              <w:rPr>
                <w:sz w:val="22"/>
                <w:szCs w:val="22"/>
              </w:rPr>
              <w:t>forårsaget af ritonavir. Samtidig administration af riociguat og ritonavir frarådes (se punkt 4.4 og produktresuméet for riociguat).</w:t>
            </w:r>
          </w:p>
        </w:tc>
      </w:tr>
      <w:tr w:rsidR="00C70B96" w:rsidTr="00C70B96">
        <w:trPr>
          <w:gridAfter w:val="1"/>
          <w:wAfter w:w="279" w:type="dxa"/>
          <w:trHeight w:val="426"/>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Sekalederivater</w:t>
            </w:r>
          </w:p>
        </w:tc>
      </w:tr>
      <w:tr w:rsidR="00C70B96" w:rsidTr="00C70B96">
        <w:trPr>
          <w:gridAfter w:val="1"/>
          <w:wAfter w:w="279" w:type="dxa"/>
          <w:trHeight w:hRule="exact" w:val="1556"/>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Dihydroergo-tamin, ergonovin, ergotamin, methylergo-novin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w:t>
            </w:r>
            <w:proofErr w:type="gramStart"/>
            <w:r>
              <w:rPr>
                <w:sz w:val="22"/>
                <w:szCs w:val="22"/>
              </w:rPr>
              <w:t>resulterer</w:t>
            </w:r>
            <w:proofErr w:type="gramEnd"/>
            <w:r>
              <w:rPr>
                <w:sz w:val="22"/>
                <w:szCs w:val="22"/>
              </w:rPr>
              <w:t xml:space="preserve"> i forhøjet plasma-koncentration af ergotaminderivater og er derfor </w:t>
            </w:r>
            <w:r>
              <w:rPr>
                <w:b/>
                <w:sz w:val="22"/>
                <w:szCs w:val="22"/>
              </w:rPr>
              <w:t xml:space="preserve">kontraindiceret </w:t>
            </w:r>
            <w:r>
              <w:rPr>
                <w:sz w:val="22"/>
                <w:szCs w:val="22"/>
              </w:rPr>
              <w:t>(se pkt 4.3).</w:t>
            </w:r>
          </w:p>
        </w:tc>
      </w:tr>
      <w:tr w:rsidR="00C70B96" w:rsidTr="00C70B96">
        <w:trPr>
          <w:gridAfter w:val="1"/>
          <w:wAfter w:w="279" w:type="dxa"/>
          <w:trHeight w:val="513"/>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Peristaltikfremmende midler</w:t>
            </w:r>
          </w:p>
        </w:tc>
      </w:tr>
      <w:tr w:rsidR="00C70B96" w:rsidTr="00C70B96">
        <w:trPr>
          <w:gridAfter w:val="1"/>
          <w:wAfter w:w="279" w:type="dxa"/>
          <w:trHeight w:hRule="exact" w:val="54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Cisaprid</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w:t>
            </w:r>
            <w:proofErr w:type="gramStart"/>
            <w:r>
              <w:rPr>
                <w:sz w:val="22"/>
                <w:szCs w:val="22"/>
              </w:rPr>
              <w:t>resulterer</w:t>
            </w:r>
            <w:proofErr w:type="gramEnd"/>
            <w:r>
              <w:rPr>
                <w:sz w:val="22"/>
                <w:szCs w:val="22"/>
              </w:rPr>
              <w:t xml:space="preserve"> i forhøjet plasma-koncentration af cisaprid og er derfor </w:t>
            </w:r>
            <w:r>
              <w:rPr>
                <w:b/>
                <w:sz w:val="22"/>
                <w:szCs w:val="22"/>
              </w:rPr>
              <w:t xml:space="preserve">kontraindiceret </w:t>
            </w:r>
            <w:r>
              <w:rPr>
                <w:sz w:val="22"/>
                <w:szCs w:val="22"/>
              </w:rPr>
              <w:t>(se pkt 4.3).</w:t>
            </w:r>
          </w:p>
        </w:tc>
      </w:tr>
      <w:tr w:rsidR="00C70B96" w:rsidTr="00C70B96">
        <w:trPr>
          <w:gridAfter w:val="1"/>
          <w:wAfter w:w="279" w:type="dxa"/>
          <w:trHeight w:val="429"/>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bCs/>
                <w:sz w:val="22"/>
                <w:szCs w:val="22"/>
              </w:rPr>
              <w:t>HCV, Direkte virkende antivirale midler</w:t>
            </w:r>
          </w:p>
        </w:tc>
      </w:tr>
      <w:tr w:rsidR="00C70B96" w:rsidTr="00C70B96">
        <w:trPr>
          <w:gridAfter w:val="1"/>
          <w:wAfter w:w="279" w:type="dxa"/>
          <w:trHeight w:hRule="exact" w:val="118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Glecaprevir/</w:t>
            </w:r>
          </w:p>
          <w:p w:rsidR="00C70B96" w:rsidRDefault="00C70B96" w:rsidP="00C70B96">
            <w:pPr>
              <w:widowControl w:val="0"/>
              <w:tabs>
                <w:tab w:val="left" w:pos="0"/>
                <w:tab w:val="left" w:pos="9070"/>
              </w:tabs>
              <w:ind w:left="146"/>
              <w:rPr>
                <w:sz w:val="22"/>
                <w:szCs w:val="22"/>
              </w:rPr>
            </w:pPr>
            <w:r>
              <w:rPr>
                <w:sz w:val="22"/>
                <w:szCs w:val="22"/>
              </w:rPr>
              <w:t>pibrentasvir</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Serumkoncentrationen kan øges på grund af ritonavirs hæmning af P-glycoprotein, BCRP og OATP1B. Samtidig administration af glecaprevir/pibrentasvir og Ritonavir ”Accord” anbefales ikke på grund af øget risiko for ALT-stigninger forbundet med øget eksponering for glecaprevir.</w:t>
            </w:r>
          </w:p>
        </w:tc>
      </w:tr>
      <w:tr w:rsidR="00C70B96" w:rsidTr="00C70B96">
        <w:trPr>
          <w:gridAfter w:val="1"/>
          <w:wAfter w:w="279" w:type="dxa"/>
          <w:trHeight w:val="429"/>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HCV-proteasehæmmer</w:t>
            </w:r>
          </w:p>
        </w:tc>
      </w:tr>
      <w:tr w:rsidR="00C70B96" w:rsidTr="00C70B96">
        <w:trPr>
          <w:gridAfter w:val="1"/>
          <w:wAfter w:w="279" w:type="dxa"/>
          <w:trHeight w:hRule="exact" w:val="56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Simeprevir</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200 mg en gang daglig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100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7,2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4,7 gange</w:t>
            </w:r>
          </w:p>
        </w:tc>
      </w:tr>
      <w:tr w:rsidR="00C70B96" w:rsidTr="00C70B96">
        <w:trPr>
          <w:gridAfter w:val="1"/>
          <w:wAfter w:w="279" w:type="dxa"/>
          <w:trHeight w:hRule="exact" w:val="584"/>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øger plasmakoncentrationen af simeprevir som resultat af CYP3A4-hæmning. Samtidig administration af ritonavir og simeprevir anbefales ikke.</w:t>
            </w:r>
          </w:p>
        </w:tc>
      </w:tr>
      <w:tr w:rsidR="00C70B96" w:rsidTr="00C70B96">
        <w:trPr>
          <w:gridAfter w:val="1"/>
          <w:wAfter w:w="279" w:type="dxa"/>
          <w:trHeight w:val="422"/>
        </w:trPr>
        <w:tc>
          <w:tcPr>
            <w:tcW w:w="9756" w:type="dxa"/>
            <w:gridSpan w:val="19"/>
            <w:tcBorders>
              <w:top w:val="single" w:sz="8" w:space="0" w:color="auto"/>
              <w:left w:val="nil"/>
              <w:bottom w:val="single" w:sz="8" w:space="0" w:color="auto"/>
              <w:right w:val="nil"/>
            </w:tcBorders>
            <w:hideMark/>
          </w:tcPr>
          <w:p w:rsidR="00C70B96" w:rsidRDefault="00C70B96" w:rsidP="00C70B96">
            <w:pPr>
              <w:keepNext/>
              <w:tabs>
                <w:tab w:val="left" w:pos="0"/>
                <w:tab w:val="left" w:pos="9070"/>
              </w:tabs>
              <w:ind w:left="147"/>
              <w:rPr>
                <w:b/>
                <w:sz w:val="22"/>
                <w:szCs w:val="22"/>
              </w:rPr>
            </w:pPr>
            <w:r>
              <w:rPr>
                <w:b/>
                <w:sz w:val="22"/>
                <w:szCs w:val="22"/>
              </w:rPr>
              <w:t>Statiner (HMG-CoA-reduktasehæmmere</w:t>
            </w:r>
          </w:p>
        </w:tc>
      </w:tr>
      <w:tr w:rsidR="00C70B96" w:rsidTr="00C70B96">
        <w:trPr>
          <w:gridAfter w:val="1"/>
          <w:wAfter w:w="279" w:type="dxa"/>
          <w:trHeight w:hRule="exact" w:val="3645"/>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lang w:val="nn-NO"/>
              </w:rPr>
            </w:pPr>
            <w:r>
              <w:rPr>
                <w:sz w:val="22"/>
                <w:szCs w:val="22"/>
                <w:lang w:val="nn-NO"/>
              </w:rPr>
              <w:t>Atorvastatin, fluvastatin, lovastatin, pravstatin, rosuvastatin, simvastatin</w:t>
            </w:r>
          </w:p>
          <w:p w:rsidR="00C70B96" w:rsidRDefault="00C70B96" w:rsidP="00C70B96">
            <w:pPr>
              <w:widowControl w:val="0"/>
              <w:tabs>
                <w:tab w:val="left" w:pos="0"/>
                <w:tab w:val="left" w:pos="9070"/>
              </w:tabs>
              <w:ind w:left="146"/>
              <w:rPr>
                <w:sz w:val="22"/>
                <w:szCs w:val="22"/>
                <w:lang w:val="nn-NO"/>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HMG-CoA-reduktasehæmmere, som i høj grad er afhængige af CYP3A-metabolisme, f.eks. lovastatin og simvastatin, forventes at få markant øgede plasmakoncentrationer ved samtidig indgift af ritonavir doseret som et antiretroviralt stof eller som en farmakokinetisk forstærker. Da øgede koncentrationer af lovastin og simvastatin kan prædisponere patienter for myopati, herunder rhabdomyolyse, er kombinationen af disse lægemidler med ritovanir </w:t>
            </w:r>
            <w:r>
              <w:rPr>
                <w:b/>
                <w:sz w:val="22"/>
                <w:szCs w:val="22"/>
              </w:rPr>
              <w:t xml:space="preserve">kontraindiceret </w:t>
            </w:r>
            <w:r>
              <w:rPr>
                <w:sz w:val="22"/>
                <w:szCs w:val="22"/>
              </w:rPr>
              <w:t>(se pkt. 4.3). Atorvastatin er mindre afhængig af CYP3A med hensyn til metabolisme. Elimination af rosuvastatin er ikke afhængig af CYP3A. Der er imidlertid rapporteret om en stigning af rosuvastatin eksposition med samtidig administration af ritonavir. Mekanismen bag denne interaktion er ikke klarlagt, men kan være resultatet af transporter hæmning. Når atorvastatin anvendes sammen med ritonavir doseret som en farmakokinetisk forstærker eller som et antiretroviralt stof, bør der gives de lavest mulige doser af atorvastatin eller rosuvastatin. Pravastatins og fluvastatins metabolisme er ikke afhængig af CYP3A, og interaktioner med ritonavir forventes ikke. Hvis behandling med en HMG-CoA-reductasehæmmer er indiceret, anbefales pravastatin eller fluvastatin.</w:t>
            </w:r>
          </w:p>
        </w:tc>
      </w:tr>
      <w:tr w:rsidR="00C70B96" w:rsidTr="00C70B96">
        <w:trPr>
          <w:gridAfter w:val="1"/>
          <w:wAfter w:w="279" w:type="dxa"/>
          <w:trHeight w:val="413"/>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Hormonale kontraceptiva</w:t>
            </w:r>
          </w:p>
        </w:tc>
      </w:tr>
      <w:tr w:rsidR="00C70B96" w:rsidTr="00C70B96">
        <w:trPr>
          <w:gridAfter w:val="1"/>
          <w:wAfter w:w="279" w:type="dxa"/>
          <w:trHeight w:hRule="exact" w:val="57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Ethinylestra</w:t>
            </w:r>
            <w:r>
              <w:rPr>
                <w:sz w:val="22"/>
                <w:szCs w:val="22"/>
              </w:rPr>
              <w:softHyphen/>
              <w:t>diol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50 µg,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619"/>
                <w:tab w:val="left" w:pos="9070"/>
              </w:tabs>
              <w:ind w:left="146"/>
              <w:rPr>
                <w:sz w:val="22"/>
                <w:szCs w:val="22"/>
              </w:rPr>
            </w:pPr>
            <w:r>
              <w:rPr>
                <w:sz w:val="22"/>
                <w:szCs w:val="22"/>
              </w:rPr>
              <w:t>500 mg hver</w:t>
            </w:r>
          </w:p>
          <w:p w:rsidR="00C70B96" w:rsidRDefault="00C70B96" w:rsidP="00C70B96">
            <w:pPr>
              <w:widowControl w:val="0"/>
              <w:tabs>
                <w:tab w:val="left" w:pos="0"/>
                <w:tab w:val="left" w:pos="3308"/>
                <w:tab w:val="left" w:pos="5478"/>
                <w:tab w:val="left" w:pos="9070"/>
              </w:tabs>
              <w:ind w:left="146"/>
              <w:rPr>
                <w:sz w:val="22"/>
                <w:szCs w:val="22"/>
              </w:rPr>
            </w:pPr>
            <w:r>
              <w:rPr>
                <w:sz w:val="22"/>
                <w:szCs w:val="22"/>
              </w:rPr>
              <w:t>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40 %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32 %</w:t>
            </w:r>
          </w:p>
        </w:tc>
      </w:tr>
      <w:tr w:rsidR="00C70B96" w:rsidTr="00C70B96">
        <w:trPr>
          <w:gridAfter w:val="1"/>
          <w:wAfter w:w="279" w:type="dxa"/>
          <w:trHeight w:hRule="exact" w:val="1277"/>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På grund af nedsættelse af ethinylestradiolkoncentrationerne bør barrieremetoder eller andre ikke-hormonelle antikonceptionsmidler overvejes ved samtidig anvendelse af ritonavir doseret som et antiretroviralt stof eller som en farmakokinetisk forstærker. Ritonavir vil sandsynligvis ændre den uterine blødningsprofil og nedsætte virkningen af antikonceptionsmidler, som indeholder estradiol (se pkt. 4.4).</w:t>
            </w:r>
          </w:p>
        </w:tc>
      </w:tr>
      <w:tr w:rsidR="00C70B96" w:rsidTr="00C70B96">
        <w:trPr>
          <w:gridAfter w:val="1"/>
          <w:wAfter w:w="279" w:type="dxa"/>
          <w:trHeight w:val="430"/>
        </w:trPr>
        <w:tc>
          <w:tcPr>
            <w:tcW w:w="9756" w:type="dxa"/>
            <w:gridSpan w:val="19"/>
            <w:tcBorders>
              <w:top w:val="single" w:sz="8" w:space="0" w:color="auto"/>
              <w:left w:val="nil"/>
              <w:bottom w:val="single" w:sz="8" w:space="0" w:color="auto"/>
              <w:right w:val="nil"/>
            </w:tcBorders>
            <w:hideMark/>
          </w:tcPr>
          <w:p w:rsidR="00C70B96" w:rsidRDefault="00C70B96" w:rsidP="00C70B96">
            <w:pPr>
              <w:keepNext/>
              <w:widowControl w:val="0"/>
              <w:tabs>
                <w:tab w:val="left" w:pos="0"/>
                <w:tab w:val="left" w:pos="9070"/>
              </w:tabs>
              <w:ind w:left="147"/>
              <w:rPr>
                <w:b/>
                <w:sz w:val="22"/>
                <w:szCs w:val="22"/>
              </w:rPr>
            </w:pPr>
            <w:r>
              <w:rPr>
                <w:b/>
                <w:sz w:val="22"/>
                <w:szCs w:val="22"/>
              </w:rPr>
              <w:t>Immunsuppresiva</w:t>
            </w:r>
          </w:p>
        </w:tc>
      </w:tr>
      <w:tr w:rsidR="00C70B96" w:rsidTr="00C70B96">
        <w:trPr>
          <w:gridAfter w:val="1"/>
          <w:wAfter w:w="279" w:type="dxa"/>
          <w:trHeight w:hRule="exact" w:val="113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Ciclosporin, tacrolimus, everolimus</w:t>
            </w: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CYP3A4 og forventes som følge heraf at øge plasmakoncentrationerne af ciclosporin, tacrolimus eller everolimus. Nøje overvågning af terapeutiske virkninger og bivirkninger anbefales, når disse lægemidler indgives sammen med ritonavir.</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501"/>
        </w:trPr>
        <w:tc>
          <w:tcPr>
            <w:tcW w:w="9756" w:type="dxa"/>
            <w:gridSpan w:val="19"/>
            <w:tcBorders>
              <w:top w:val="single" w:sz="8" w:space="0" w:color="auto"/>
              <w:left w:val="nil"/>
              <w:bottom w:val="single" w:sz="8" w:space="0" w:color="auto"/>
              <w:right w:val="nil"/>
            </w:tcBorders>
          </w:tcPr>
          <w:p w:rsidR="00C70B96" w:rsidRPr="00D202C5" w:rsidRDefault="00C70B96" w:rsidP="00C70B96">
            <w:pPr>
              <w:widowControl w:val="0"/>
              <w:tabs>
                <w:tab w:val="left" w:pos="0"/>
                <w:tab w:val="left" w:pos="9070"/>
              </w:tabs>
              <w:ind w:left="146"/>
              <w:rPr>
                <w:b/>
                <w:bCs/>
                <w:sz w:val="22"/>
                <w:szCs w:val="22"/>
              </w:rPr>
            </w:pPr>
            <w:r w:rsidRPr="00D202C5">
              <w:rPr>
                <w:b/>
                <w:bCs/>
              </w:rPr>
              <w:t>Lipidmodificerende stoffer</w:t>
            </w:r>
          </w:p>
        </w:tc>
      </w:tr>
      <w:tr w:rsidR="00C70B96" w:rsidTr="00C70B96">
        <w:trPr>
          <w:gridAfter w:val="1"/>
          <w:wAfter w:w="279" w:type="dxa"/>
          <w:trHeight w:val="411"/>
        </w:trPr>
        <w:tc>
          <w:tcPr>
            <w:tcW w:w="1302" w:type="dxa"/>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b/>
                <w:sz w:val="22"/>
                <w:szCs w:val="22"/>
              </w:rPr>
            </w:pPr>
            <w:r w:rsidRPr="00D202C5">
              <w:rPr>
                <w:sz w:val="22"/>
                <w:szCs w:val="22"/>
              </w:rPr>
              <w:t>Lomitapid</w:t>
            </w:r>
          </w:p>
        </w:tc>
        <w:tc>
          <w:tcPr>
            <w:tcW w:w="8454" w:type="dxa"/>
            <w:gridSpan w:val="18"/>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b/>
                <w:sz w:val="22"/>
                <w:szCs w:val="22"/>
              </w:rPr>
            </w:pPr>
            <w:r>
              <w:t>CYP3A4-hæmmere øger lomitapids eksponering - for stærke hæmmere øges eksponeringen cirka 27 gange. På grund af ritonavirs CYP3A-hæmning forventes koncentrationen af lomitapid at stige. Samtidig brug af Norvir med lomitapid er kontraindiceret (se produktresuméet for lomitapid) (se pkt.4.3).</w:t>
            </w:r>
          </w:p>
        </w:tc>
      </w:tr>
      <w:tr w:rsidR="00C70B96" w:rsidTr="00C70B96">
        <w:trPr>
          <w:gridAfter w:val="1"/>
          <w:wAfter w:w="279" w:type="dxa"/>
          <w:trHeight w:val="411"/>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Phosphodiesterase-5-hæmmere</w:t>
            </w:r>
          </w:p>
        </w:tc>
      </w:tr>
      <w:tr w:rsidR="00C70B96" w:rsidTr="00C70B96">
        <w:trPr>
          <w:gridAfter w:val="1"/>
          <w:wAfter w:w="279" w:type="dxa"/>
          <w:trHeight w:hRule="exact" w:val="43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Avanafil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50,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600 hver12.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13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2,4 gange</w:t>
            </w:r>
          </w:p>
        </w:tc>
      </w:tr>
      <w:tr w:rsidR="00C70B96" w:rsidTr="00C70B96">
        <w:trPr>
          <w:gridAfter w:val="1"/>
          <w:wAfter w:w="279" w:type="dxa"/>
          <w:trHeight w:hRule="exact" w:val="42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brug af avanafil og ritonavir er kontrainidiceret (se pkt. 4.3).</w:t>
            </w:r>
          </w:p>
        </w:tc>
      </w:tr>
      <w:tr w:rsidR="00C70B96" w:rsidTr="00C70B96">
        <w:trPr>
          <w:gridAfter w:val="1"/>
          <w:wAfter w:w="279" w:type="dxa"/>
          <w:trHeight w:hRule="exact" w:val="57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Sildenafil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100 mg, enkeltdosis</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5612"/>
                <w:tab w:val="left" w:pos="9070"/>
              </w:tabs>
              <w:ind w:left="146"/>
              <w:rPr>
                <w:sz w:val="22"/>
                <w:szCs w:val="22"/>
              </w:rPr>
            </w:pPr>
            <w:r>
              <w:rPr>
                <w:sz w:val="22"/>
                <w:szCs w:val="22"/>
              </w:rPr>
              <w:t>500 mg hver</w:t>
            </w:r>
          </w:p>
          <w:p w:rsidR="00C70B96" w:rsidRDefault="00C70B96" w:rsidP="00C70B96">
            <w:pPr>
              <w:widowControl w:val="0"/>
              <w:tabs>
                <w:tab w:val="left" w:pos="0"/>
                <w:tab w:val="left" w:pos="9070"/>
              </w:tabs>
              <w:ind w:left="146" w:right="333"/>
              <w:rPr>
                <w:sz w:val="22"/>
                <w:szCs w:val="22"/>
              </w:rPr>
            </w:pPr>
            <w:r>
              <w:rPr>
                <w:sz w:val="22"/>
                <w:szCs w:val="22"/>
              </w:rPr>
              <w:t>12. time</w:t>
            </w:r>
          </w:p>
          <w:p w:rsidR="00C70B96" w:rsidRDefault="00C70B96" w:rsidP="00C70B96">
            <w:pPr>
              <w:widowControl w:val="0"/>
              <w:tabs>
                <w:tab w:val="left" w:pos="0"/>
                <w:tab w:val="left" w:pos="3308"/>
                <w:tab w:val="left" w:pos="5478"/>
                <w:tab w:val="left" w:pos="9070"/>
              </w:tabs>
              <w:ind w:left="146"/>
              <w:rPr>
                <w:sz w:val="22"/>
                <w:szCs w:val="22"/>
              </w:rPr>
            </w:pP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11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4 gange</w:t>
            </w:r>
          </w:p>
        </w:tc>
      </w:tr>
      <w:tr w:rsidR="00C70B96" w:rsidTr="00C70B96">
        <w:trPr>
          <w:gridAfter w:val="1"/>
          <w:wAfter w:w="279" w:type="dxa"/>
          <w:trHeight w:hRule="exact" w:val="129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brug af sildenafil til behandling af erektil dysfunktion og ritonavir doseret som et antiretroviralt stof eller som en farmakokinetisk forstærker bør ske med forsigtighed, og sildenafildoser bør aldrig overstige 25 mg i en 48-timers periode (se også pkt. 4.4). Samtidig brug af sildenafil og ritonavir er </w:t>
            </w:r>
            <w:r>
              <w:rPr>
                <w:b/>
                <w:sz w:val="22"/>
                <w:szCs w:val="22"/>
              </w:rPr>
              <w:t xml:space="preserve">kontraindiceret </w:t>
            </w:r>
            <w:r>
              <w:rPr>
                <w:sz w:val="22"/>
                <w:szCs w:val="22"/>
              </w:rPr>
              <w:t>til patienter med pulmonal hypertension (se punkt 4.3).</w:t>
            </w:r>
          </w:p>
        </w:tc>
      </w:tr>
      <w:tr w:rsidR="00C70B96" w:rsidTr="00C70B96">
        <w:trPr>
          <w:gridAfter w:val="1"/>
          <w:wAfter w:w="279" w:type="dxa"/>
          <w:trHeight w:hRule="exact" w:val="512"/>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Tadalafil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 mg,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612"/>
                <w:tab w:val="left" w:pos="9070"/>
              </w:tabs>
              <w:ind w:left="146"/>
              <w:rPr>
                <w:sz w:val="22"/>
                <w:szCs w:val="22"/>
              </w:rPr>
            </w:pPr>
            <w:r>
              <w:rPr>
                <w:sz w:val="22"/>
                <w:szCs w:val="22"/>
              </w:rPr>
              <w:t>200 mg hver</w:t>
            </w:r>
          </w:p>
          <w:p w:rsidR="00C70B96" w:rsidRDefault="00C70B96" w:rsidP="00C70B96">
            <w:pPr>
              <w:widowControl w:val="0"/>
              <w:tabs>
                <w:tab w:val="left" w:pos="0"/>
                <w:tab w:val="left" w:pos="3308"/>
                <w:tab w:val="left" w:pos="5478"/>
                <w:tab w:val="left" w:pos="9070"/>
              </w:tabs>
              <w:ind w:left="146"/>
              <w:rPr>
                <w:sz w:val="22"/>
                <w:szCs w:val="22"/>
              </w:rPr>
            </w:pPr>
            <w:r>
              <w:rPr>
                <w:sz w:val="22"/>
                <w:szCs w:val="22"/>
              </w:rPr>
              <w:t>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124 %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w:t>
            </w:r>
          </w:p>
        </w:tc>
      </w:tr>
      <w:tr w:rsidR="00C70B96" w:rsidTr="00C70B96">
        <w:trPr>
          <w:gridAfter w:val="1"/>
          <w:wAfter w:w="279" w:type="dxa"/>
          <w:trHeight w:hRule="exact" w:val="1363"/>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anvendelse af tadalafil til behandling af erektil dysfunktion og ritonavir doseret som et antiretroviralt stof eller som en farmakokinetisk forstærker bør ske med forsigtighed i reducerede doser på højst 10 mg tadalafil i intervaller af 72 timer med øget overvågning for bivirkninger (se pkt. 4.4). Når tadalafil bruges samtidig med ritonavir til patienter med pulmonal hypertension henvises til produktresuméet for tadalafil.</w:t>
            </w:r>
          </w:p>
        </w:tc>
      </w:tr>
      <w:tr w:rsidR="00C70B96" w:rsidTr="00C70B96">
        <w:trPr>
          <w:gridAfter w:val="1"/>
          <w:wAfter w:w="279" w:type="dxa"/>
          <w:trHeight w:hRule="exact" w:val="56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Vardenafil</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 mg, enkeltdosis</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5612"/>
                <w:tab w:val="left" w:pos="9070"/>
              </w:tabs>
              <w:ind w:left="146"/>
              <w:rPr>
                <w:sz w:val="22"/>
                <w:szCs w:val="22"/>
              </w:rPr>
            </w:pPr>
            <w:r>
              <w:rPr>
                <w:sz w:val="22"/>
                <w:szCs w:val="22"/>
              </w:rPr>
              <w:t>600 mg hver</w:t>
            </w:r>
          </w:p>
          <w:p w:rsidR="00C70B96" w:rsidRDefault="00C70B96" w:rsidP="00C70B96">
            <w:pPr>
              <w:widowControl w:val="0"/>
              <w:tabs>
                <w:tab w:val="left" w:pos="0"/>
                <w:tab w:val="left" w:pos="9070"/>
              </w:tabs>
              <w:ind w:left="146" w:right="333"/>
              <w:rPr>
                <w:sz w:val="22"/>
                <w:szCs w:val="22"/>
              </w:rPr>
            </w:pPr>
            <w:r>
              <w:rPr>
                <w:sz w:val="22"/>
                <w:szCs w:val="22"/>
              </w:rPr>
              <w:t>12. time</w:t>
            </w:r>
          </w:p>
          <w:p w:rsidR="00C70B96" w:rsidRDefault="00C70B96" w:rsidP="00C70B96">
            <w:pPr>
              <w:widowControl w:val="0"/>
              <w:tabs>
                <w:tab w:val="left" w:pos="0"/>
                <w:tab w:val="left" w:pos="3308"/>
                <w:tab w:val="left" w:pos="5478"/>
                <w:tab w:val="left" w:pos="9070"/>
              </w:tabs>
              <w:ind w:left="146"/>
              <w:rPr>
                <w:sz w:val="22"/>
                <w:szCs w:val="22"/>
              </w:rPr>
            </w:pP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49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13 gange</w:t>
            </w:r>
          </w:p>
        </w:tc>
      </w:tr>
      <w:tr w:rsidR="00C70B96" w:rsidTr="00C70B96">
        <w:trPr>
          <w:gridAfter w:val="1"/>
          <w:wAfter w:w="279" w:type="dxa"/>
          <w:trHeight w:hRule="exact" w:val="41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Samtidig brug af vardenafil og ritonavir er kontrainidiceret (se pkt. 4.3).</w:t>
            </w:r>
          </w:p>
        </w:tc>
      </w:tr>
      <w:tr w:rsidR="00C70B96" w:rsidTr="00C70B96">
        <w:trPr>
          <w:gridAfter w:val="1"/>
          <w:wAfter w:w="279" w:type="dxa"/>
          <w:trHeight w:val="433"/>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Sedativa/hypnotika</w:t>
            </w:r>
          </w:p>
        </w:tc>
      </w:tr>
      <w:tr w:rsidR="00C70B96" w:rsidTr="00C70B96">
        <w:trPr>
          <w:gridAfter w:val="1"/>
          <w:wAfter w:w="279" w:type="dxa"/>
          <w:trHeight w:hRule="exact" w:val="4110"/>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Clorazepat, diazepam, estazolam, flurazepam, oral og parenteral midazolam</w:t>
            </w:r>
          </w:p>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resultere i forhøjede plasma-koncentrationer af Clorazepat, diazepam, estazolam, flurazepam og midazolam og er derfor </w:t>
            </w:r>
            <w:r>
              <w:rPr>
                <w:b/>
                <w:bCs/>
                <w:sz w:val="22"/>
                <w:szCs w:val="22"/>
              </w:rPr>
              <w:t xml:space="preserve">kontraindiceret </w:t>
            </w:r>
            <w:r>
              <w:rPr>
                <w:sz w:val="22"/>
                <w:szCs w:val="22"/>
              </w:rPr>
              <w:t xml:space="preserve">(se pkt 4.3). Midazolam metaboliseres i udstrakt grad af CYP3A4. Samtidig administration af ritonavir kan forårsage en stor stigning i koncen-trationen af </w:t>
            </w:r>
            <w:proofErr w:type="gramStart"/>
            <w:r>
              <w:rPr>
                <w:sz w:val="22"/>
                <w:szCs w:val="22"/>
              </w:rPr>
              <w:t>dette benzodiazepin</w:t>
            </w:r>
            <w:proofErr w:type="gramEnd"/>
            <w:r>
              <w:rPr>
                <w:sz w:val="22"/>
                <w:szCs w:val="22"/>
              </w:rPr>
              <w:t>. Der er ikke udført interaktionsstudier med samtidig administration af ritonavir med benzodiazepiner. Baseret på data fra andre CYP3A4-hæmmere forventes plasmakoncentrationerne af midazolam at være signifikant højere, når midazolam gives oralt. Ritonavir bør derfor ikke administreres samtidig med oralt administreret midazolam (se pkt 4.3), hvorimod der bør udvises forsigtighed ved samtidig administration af ritonavir og parenteral midazolam. Data fra samtidig anvendelse af parenteral midazolam med andre protease-hæmmere tyder på en mulig stigning på 3-4 gange i plasmaniveauerne for midazolam. Hvis ritonavir administreres samtidig med parenteral midazolam, bør det gøres på en intensivafdeling eller under lignende forhold, der sikrer tæt klinisk monitorering og passende medicinsk behandling i tilfælde af respi-rationsdepression og/eller forlænget sedation. Dosisjustering af midazolam bør overvejes, specielt hvis der administreres mere end en enkelt dosis midazolam.</w:t>
            </w:r>
          </w:p>
        </w:tc>
      </w:tr>
      <w:tr w:rsidR="00C70B96" w:rsidTr="00C70B96">
        <w:trPr>
          <w:gridAfter w:val="1"/>
          <w:wAfter w:w="279" w:type="dxa"/>
          <w:trHeight w:hRule="exact" w:val="28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Triazolam</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0,125 mg, enkeltdosis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478"/>
                <w:tab w:val="left" w:pos="9070"/>
              </w:tabs>
              <w:ind w:left="146"/>
              <w:rPr>
                <w:sz w:val="22"/>
                <w:szCs w:val="22"/>
              </w:rPr>
            </w:pPr>
            <w:r>
              <w:rPr>
                <w:sz w:val="22"/>
                <w:szCs w:val="22"/>
              </w:rPr>
              <w:t>200 mg, 4 doser</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&gt; 20 gange</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87 %</w:t>
            </w:r>
          </w:p>
        </w:tc>
      </w:tr>
      <w:tr w:rsidR="00C70B96" w:rsidTr="00C70B96">
        <w:trPr>
          <w:gridAfter w:val="1"/>
          <w:wAfter w:w="279" w:type="dxa"/>
          <w:trHeight w:hRule="exact" w:val="57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xml:space="preserve">Samtidig administration af ritonavir vil sandsynligvis </w:t>
            </w:r>
            <w:proofErr w:type="gramStart"/>
            <w:r>
              <w:rPr>
                <w:sz w:val="22"/>
                <w:szCs w:val="22"/>
              </w:rPr>
              <w:t>resulterer</w:t>
            </w:r>
            <w:proofErr w:type="gramEnd"/>
            <w:r>
              <w:rPr>
                <w:sz w:val="22"/>
                <w:szCs w:val="22"/>
              </w:rPr>
              <w:t xml:space="preserve"> i forhøjede plasma-koncentrationer af triazolam og er derfor </w:t>
            </w:r>
            <w:r>
              <w:rPr>
                <w:b/>
                <w:bCs/>
                <w:sz w:val="22"/>
                <w:szCs w:val="22"/>
              </w:rPr>
              <w:t xml:space="preserve">kontraindiceret </w:t>
            </w:r>
            <w:r>
              <w:rPr>
                <w:sz w:val="22"/>
                <w:szCs w:val="22"/>
              </w:rPr>
              <w:t>(se pkt 4.3).</w:t>
            </w:r>
          </w:p>
        </w:tc>
      </w:tr>
      <w:tr w:rsidR="00C70B96" w:rsidTr="00C70B96">
        <w:trPr>
          <w:gridAfter w:val="1"/>
          <w:wAfter w:w="279" w:type="dxa"/>
          <w:trHeight w:hRule="exact" w:val="56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Pethidin</w:t>
            </w:r>
          </w:p>
          <w:p w:rsidR="00C70B96" w:rsidRDefault="00C70B96" w:rsidP="00C70B96">
            <w:pPr>
              <w:widowControl w:val="0"/>
              <w:tabs>
                <w:tab w:val="left" w:pos="0"/>
                <w:tab w:val="left" w:pos="9070"/>
              </w:tabs>
              <w:ind w:left="146"/>
              <w:rPr>
                <w:sz w:val="22"/>
                <w:szCs w:val="22"/>
              </w:rPr>
            </w:pP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50 mg enkeltdosis oral</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2562"/>
                <w:tab w:val="left" w:pos="9070"/>
              </w:tabs>
              <w:ind w:left="146"/>
              <w:rPr>
                <w:sz w:val="22"/>
                <w:szCs w:val="22"/>
              </w:rPr>
            </w:pPr>
            <w:r>
              <w:rPr>
                <w:sz w:val="22"/>
                <w:szCs w:val="22"/>
              </w:rPr>
              <w:t>500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62 %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59 %</w:t>
            </w:r>
          </w:p>
        </w:tc>
      </w:tr>
      <w:tr w:rsidR="00C70B96" w:rsidTr="00C70B96">
        <w:trPr>
          <w:gridAfter w:val="1"/>
          <w:wAfter w:w="279" w:type="dxa"/>
          <w:trHeight w:hRule="exact" w:val="56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Norpethidin metabolit</w:t>
            </w:r>
          </w:p>
          <w:p w:rsidR="00C70B96" w:rsidRDefault="00C70B96" w:rsidP="00C70B96">
            <w:pPr>
              <w:widowControl w:val="0"/>
              <w:tabs>
                <w:tab w:val="left" w:pos="0"/>
                <w:tab w:val="left" w:pos="9070"/>
              </w:tabs>
              <w:ind w:left="146"/>
              <w:rPr>
                <w:sz w:val="22"/>
                <w:szCs w:val="22"/>
              </w:rPr>
            </w:pPr>
          </w:p>
        </w:tc>
        <w:tc>
          <w:tcPr>
            <w:tcW w:w="2468"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5478"/>
                <w:tab w:val="left" w:pos="9070"/>
              </w:tabs>
              <w:ind w:left="146"/>
              <w:rPr>
                <w:sz w:val="22"/>
                <w:szCs w:val="22"/>
              </w:rPr>
            </w:pP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 47 %</w:t>
            </w:r>
          </w:p>
          <w:p w:rsidR="00C70B96" w:rsidRDefault="00C70B96" w:rsidP="00C70B96">
            <w:pPr>
              <w:widowControl w:val="0"/>
              <w:tabs>
                <w:tab w:val="left" w:pos="0"/>
                <w:tab w:val="left" w:pos="9070"/>
              </w:tabs>
              <w:ind w:left="146"/>
              <w:rPr>
                <w:sz w:val="22"/>
                <w:szCs w:val="22"/>
              </w:rPr>
            </w:pP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87 %</w:t>
            </w:r>
          </w:p>
        </w:tc>
      </w:tr>
      <w:tr w:rsidR="00C70B96" w:rsidTr="00C70B96">
        <w:trPr>
          <w:gridAfter w:val="1"/>
          <w:wAfter w:w="279" w:type="dxa"/>
          <w:trHeight w:hRule="exact" w:val="1135"/>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Anvendelsen af pethidin sammen med ritonavir er kontraindiceret på grund af de øgede koncentrationer af metabolitten, norpethidin, som både har smertestillende og central-stimulende virkning. Forhøjede norpethidinkoncentrationer kan øge risikoen for virk-ninger på centralnervesystemet (f.eks. krampeanfald), se pkt. 4.3.</w:t>
            </w:r>
          </w:p>
        </w:tc>
      </w:tr>
      <w:tr w:rsidR="00C70B96" w:rsidTr="00C70B96">
        <w:trPr>
          <w:gridAfter w:val="1"/>
          <w:wAfter w:w="279" w:type="dxa"/>
          <w:trHeight w:hRule="exact" w:val="114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Alprazolam</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 mg, enkelt dosis</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050"/>
                <w:tab w:val="left" w:pos="5114"/>
                <w:tab w:val="left" w:pos="9070"/>
              </w:tabs>
              <w:ind w:left="146"/>
              <w:rPr>
                <w:sz w:val="22"/>
                <w:szCs w:val="22"/>
              </w:rPr>
            </w:pPr>
            <w:r>
              <w:rPr>
                <w:sz w:val="22"/>
                <w:szCs w:val="22"/>
              </w:rPr>
              <w:t>200 mg hver 12.</w:t>
            </w:r>
          </w:p>
          <w:p w:rsidR="00C70B96" w:rsidRDefault="00C70B96" w:rsidP="00C70B96">
            <w:pPr>
              <w:widowControl w:val="0"/>
              <w:tabs>
                <w:tab w:val="left" w:pos="0"/>
                <w:tab w:val="left" w:pos="9070"/>
              </w:tabs>
              <w:ind w:left="146" w:right="311"/>
              <w:rPr>
                <w:sz w:val="22"/>
                <w:szCs w:val="22"/>
              </w:rPr>
            </w:pPr>
            <w:r>
              <w:rPr>
                <w:sz w:val="22"/>
                <w:szCs w:val="22"/>
              </w:rPr>
              <w:t>time, 2 dage</w:t>
            </w:r>
          </w:p>
          <w:p w:rsidR="00C70B96" w:rsidRDefault="00C70B96" w:rsidP="00C70B96">
            <w:pPr>
              <w:widowControl w:val="0"/>
              <w:tabs>
                <w:tab w:val="left" w:pos="0"/>
                <w:tab w:val="left" w:pos="9070"/>
              </w:tabs>
              <w:ind w:left="146"/>
              <w:rPr>
                <w:sz w:val="22"/>
                <w:szCs w:val="22"/>
              </w:rPr>
            </w:pPr>
            <w:r>
              <w:rPr>
                <w:sz w:val="22"/>
                <w:szCs w:val="22"/>
              </w:rPr>
              <w:t>500 mg hver 12.</w:t>
            </w:r>
          </w:p>
          <w:p w:rsidR="00C70B96" w:rsidRDefault="00C70B96" w:rsidP="00C70B96">
            <w:pPr>
              <w:widowControl w:val="0"/>
              <w:tabs>
                <w:tab w:val="left" w:pos="0"/>
                <w:tab w:val="left" w:pos="9070"/>
              </w:tabs>
              <w:ind w:left="146" w:right="215"/>
              <w:rPr>
                <w:sz w:val="22"/>
                <w:szCs w:val="22"/>
              </w:rPr>
            </w:pPr>
            <w:r>
              <w:rPr>
                <w:sz w:val="22"/>
                <w:szCs w:val="22"/>
              </w:rPr>
              <w:t>time, 10 dage</w:t>
            </w:r>
          </w:p>
        </w:tc>
        <w:tc>
          <w:tcPr>
            <w:tcW w:w="1599"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↑2.5gange</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12 %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w:t>
            </w:r>
          </w:p>
          <w:p w:rsidR="00C70B96" w:rsidRDefault="00C70B96" w:rsidP="00C70B96">
            <w:pPr>
              <w:widowControl w:val="0"/>
              <w:tabs>
                <w:tab w:val="left" w:pos="0"/>
                <w:tab w:val="left" w:pos="9070"/>
              </w:tabs>
              <w:ind w:left="146"/>
              <w:rPr>
                <w:sz w:val="22"/>
                <w:szCs w:val="22"/>
              </w:rPr>
            </w:pPr>
          </w:p>
          <w:p w:rsidR="00C70B96" w:rsidRDefault="00C70B96" w:rsidP="00C70B96">
            <w:pPr>
              <w:widowControl w:val="0"/>
              <w:tabs>
                <w:tab w:val="left" w:pos="0"/>
                <w:tab w:val="left" w:pos="9070"/>
              </w:tabs>
              <w:ind w:left="146"/>
              <w:rPr>
                <w:sz w:val="22"/>
                <w:szCs w:val="22"/>
              </w:rPr>
            </w:pPr>
            <w:r>
              <w:rPr>
                <w:sz w:val="22"/>
                <w:szCs w:val="22"/>
              </w:rPr>
              <w:t>↓ 16 %</w:t>
            </w:r>
          </w:p>
        </w:tc>
      </w:tr>
      <w:tr w:rsidR="00C70B96" w:rsidTr="00C70B96">
        <w:trPr>
          <w:gridAfter w:val="1"/>
          <w:wAfter w:w="279" w:type="dxa"/>
          <w:trHeight w:hRule="exact" w:val="1279"/>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r>
              <w:rPr>
                <w:sz w:val="22"/>
                <w:szCs w:val="22"/>
              </w:rPr>
              <w:t>Metabolismen af alprazolam blev hæmmet efter introduction af ritonavir. Efter anven-delse af ritonavir i 10 dage, blev der ikke set nogen hæmmende effekt på ritonavir. Der er grund til forsigtighed i de første mange dage, når aprazolam indgives sammen med ritonavir doseret som et antiretroviralt stof eller som en farmakokinetisk forstærker, inden induktion af alprazolammetabolismen er indtruffet.</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1127"/>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Buspiron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 og forventes som følge heraf at øge plasmakoncentrationerne af buspiron. Nøje overvågning af terapeutiske virkninger og bivirkninger anbefales, når buspiron indgives sammen med ritonavir.</w:t>
            </w:r>
          </w:p>
        </w:tc>
      </w:tr>
      <w:tr w:rsidR="00C70B96" w:rsidTr="00C70B96">
        <w:trPr>
          <w:gridAfter w:val="1"/>
          <w:wAfter w:w="279" w:type="dxa"/>
          <w:trHeight w:val="335"/>
        </w:trPr>
        <w:tc>
          <w:tcPr>
            <w:tcW w:w="9756" w:type="dxa"/>
            <w:gridSpan w:val="19"/>
            <w:tcBorders>
              <w:top w:val="single" w:sz="8" w:space="0" w:color="auto"/>
              <w:left w:val="nil"/>
              <w:bottom w:val="single" w:sz="8" w:space="0" w:color="auto"/>
              <w:right w:val="nil"/>
            </w:tcBorders>
            <w:hideMark/>
          </w:tcPr>
          <w:p w:rsidR="00C70B96" w:rsidRDefault="00C70B96" w:rsidP="00C70B96">
            <w:pPr>
              <w:keepNext/>
              <w:widowControl w:val="0"/>
              <w:tabs>
                <w:tab w:val="left" w:pos="0"/>
                <w:tab w:val="left" w:pos="9070"/>
              </w:tabs>
              <w:ind w:left="146"/>
              <w:rPr>
                <w:b/>
                <w:sz w:val="22"/>
                <w:szCs w:val="22"/>
              </w:rPr>
            </w:pPr>
            <w:r>
              <w:rPr>
                <w:b/>
                <w:sz w:val="22"/>
                <w:szCs w:val="22"/>
              </w:rPr>
              <w:lastRenderedPageBreak/>
              <w:t>Sovemidler</w:t>
            </w:r>
          </w:p>
        </w:tc>
      </w:tr>
      <w:tr w:rsidR="00C70B96" w:rsidTr="00C70B96">
        <w:trPr>
          <w:gridAfter w:val="1"/>
          <w:wAfter w:w="279" w:type="dxa"/>
          <w:trHeight w:hRule="exact" w:val="414"/>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Zolpidem</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5 mg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372"/>
                <w:tab w:val="left" w:pos="9070"/>
              </w:tabs>
              <w:ind w:left="146"/>
              <w:rPr>
                <w:sz w:val="22"/>
                <w:szCs w:val="22"/>
              </w:rPr>
            </w:pPr>
            <w:r>
              <w:rPr>
                <w:sz w:val="22"/>
                <w:szCs w:val="22"/>
              </w:rPr>
              <w:t>200 mg, 4 doser</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28 %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22 %</w:t>
            </w:r>
          </w:p>
        </w:tc>
      </w:tr>
      <w:tr w:rsidR="00C70B96" w:rsidTr="00C70B96">
        <w:trPr>
          <w:gridAfter w:val="1"/>
          <w:wAfter w:w="279" w:type="dxa"/>
          <w:trHeight w:hRule="exact" w:val="51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Zolpidem og ritonavir kan indgives samtidigt under nøje overvågning med hensyn til forstærkede sedative virkninger.</w:t>
            </w:r>
          </w:p>
        </w:tc>
      </w:tr>
      <w:tr w:rsidR="00C70B96" w:rsidTr="00C70B96">
        <w:trPr>
          <w:gridAfter w:val="1"/>
          <w:wAfter w:w="279" w:type="dxa"/>
          <w:trHeight w:val="414"/>
        </w:trPr>
        <w:tc>
          <w:tcPr>
            <w:tcW w:w="9756" w:type="dxa"/>
            <w:gridSpan w:val="19"/>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outlineLvl w:val="0"/>
              <w:rPr>
                <w:sz w:val="22"/>
                <w:szCs w:val="22"/>
              </w:rPr>
            </w:pPr>
            <w:r>
              <w:rPr>
                <w:b/>
                <w:bCs/>
                <w:sz w:val="22"/>
                <w:szCs w:val="22"/>
              </w:rPr>
              <w:t>Rygeophør</w:t>
            </w:r>
          </w:p>
          <w:p w:rsidR="00C70B96" w:rsidRDefault="00C70B96" w:rsidP="00C70B96">
            <w:pPr>
              <w:widowControl w:val="0"/>
              <w:tabs>
                <w:tab w:val="left" w:pos="0"/>
                <w:tab w:val="left" w:pos="9070"/>
              </w:tabs>
              <w:ind w:left="146"/>
              <w:rPr>
                <w:sz w:val="22"/>
                <w:szCs w:val="22"/>
              </w:rPr>
            </w:pPr>
          </w:p>
        </w:tc>
      </w:tr>
      <w:tr w:rsidR="00C70B96" w:rsidTr="00C70B96">
        <w:trPr>
          <w:gridAfter w:val="1"/>
          <w:wAfter w:w="279" w:type="dxa"/>
          <w:trHeight w:hRule="exact" w:val="568"/>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Bupropion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150 mg</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3308"/>
                <w:tab w:val="left" w:pos="5231"/>
                <w:tab w:val="left" w:pos="9070"/>
              </w:tabs>
              <w:ind w:left="146"/>
              <w:rPr>
                <w:sz w:val="22"/>
                <w:szCs w:val="22"/>
              </w:rPr>
            </w:pPr>
            <w:r>
              <w:rPr>
                <w:sz w:val="22"/>
                <w:szCs w:val="22"/>
              </w:rPr>
              <w:t>100 mg hver 12. time</w:t>
            </w:r>
          </w:p>
          <w:p w:rsidR="00C70B96" w:rsidRDefault="00C70B96" w:rsidP="00C70B96">
            <w:pPr>
              <w:widowControl w:val="0"/>
              <w:tabs>
                <w:tab w:val="left" w:pos="0"/>
                <w:tab w:val="left" w:pos="3308"/>
                <w:tab w:val="left" w:pos="5372"/>
                <w:tab w:val="left" w:pos="9070"/>
              </w:tabs>
              <w:ind w:left="146"/>
              <w:rPr>
                <w:sz w:val="22"/>
                <w:szCs w:val="22"/>
              </w:rPr>
            </w:pP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22 %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21 %</w:t>
            </w:r>
          </w:p>
        </w:tc>
      </w:tr>
      <w:tr w:rsidR="00C70B96" w:rsidTr="00C70B96">
        <w:trPr>
          <w:gridAfter w:val="1"/>
          <w:wAfter w:w="279" w:type="dxa"/>
          <w:trHeight w:hRule="exact" w:val="562"/>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150 mg</w:t>
            </w:r>
          </w:p>
        </w:tc>
        <w:tc>
          <w:tcPr>
            <w:tcW w:w="1661" w:type="dxa"/>
            <w:gridSpan w:val="3"/>
            <w:tcBorders>
              <w:top w:val="single" w:sz="8" w:space="0" w:color="auto"/>
              <w:left w:val="nil"/>
              <w:bottom w:val="single" w:sz="8" w:space="0" w:color="auto"/>
              <w:right w:val="nil"/>
            </w:tcBorders>
          </w:tcPr>
          <w:p w:rsidR="00C70B96" w:rsidRDefault="00C70B96" w:rsidP="00C70B96">
            <w:pPr>
              <w:widowControl w:val="0"/>
              <w:tabs>
                <w:tab w:val="left" w:pos="0"/>
                <w:tab w:val="left" w:pos="5231"/>
                <w:tab w:val="left" w:pos="9070"/>
              </w:tabs>
              <w:ind w:left="146"/>
              <w:rPr>
                <w:sz w:val="22"/>
                <w:szCs w:val="22"/>
              </w:rPr>
            </w:pPr>
            <w:r>
              <w:rPr>
                <w:sz w:val="22"/>
                <w:szCs w:val="22"/>
              </w:rPr>
              <w:t>600 mg hver 12. time</w:t>
            </w:r>
          </w:p>
          <w:p w:rsidR="00C70B96" w:rsidRDefault="00C70B96" w:rsidP="00C70B96">
            <w:pPr>
              <w:widowControl w:val="0"/>
              <w:tabs>
                <w:tab w:val="left" w:pos="0"/>
                <w:tab w:val="left" w:pos="3308"/>
                <w:tab w:val="left" w:pos="5372"/>
                <w:tab w:val="left" w:pos="9070"/>
              </w:tabs>
              <w:ind w:left="146"/>
              <w:rPr>
                <w:sz w:val="22"/>
                <w:szCs w:val="22"/>
              </w:rPr>
            </w:pP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66 %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62 %</w:t>
            </w:r>
          </w:p>
        </w:tc>
      </w:tr>
      <w:tr w:rsidR="00C70B96" w:rsidTr="00C70B96">
        <w:trPr>
          <w:gridAfter w:val="1"/>
          <w:wAfter w:w="279" w:type="dxa"/>
          <w:trHeight w:hRule="exact" w:val="2285"/>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Bupropion metaboliseres hovedsagelig af CYP2B6. Samtidig administration af bupro-pion med gentagne doser af ritonavir forventes at formindske bupropion-niveauer. Disse effekter menes at repræsentere induktion af bupropion metabolisme. Den anbefalede dosis af bupropion skal imidlertid ikke overskrides, fordi ritonavir også er vist at hæmme CYP2B6 in vitro. I modsætning til lang tids administration af ritonavir, var der ingen sig-nifikant interaktion med bupropion efter kort tids administration af lave doser af ritona-vir (200 mg to gange daglig i 2 dage), hvilket tyder på reduktion af bupropion koncen-trationer kan begynde adskillige dage efter initiering af samtidig administration af ritonavir.</w:t>
            </w:r>
          </w:p>
        </w:tc>
      </w:tr>
      <w:tr w:rsidR="00C70B96" w:rsidTr="00C70B96">
        <w:trPr>
          <w:gridAfter w:val="1"/>
          <w:wAfter w:w="279" w:type="dxa"/>
          <w:trHeight w:val="414"/>
        </w:trPr>
        <w:tc>
          <w:tcPr>
            <w:tcW w:w="9756" w:type="dxa"/>
            <w:gridSpan w:val="19"/>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b/>
                <w:sz w:val="22"/>
                <w:szCs w:val="22"/>
              </w:rPr>
            </w:pPr>
            <w:r>
              <w:rPr>
                <w:b/>
                <w:sz w:val="22"/>
                <w:szCs w:val="22"/>
              </w:rPr>
              <w:t>Steroider</w:t>
            </w:r>
          </w:p>
        </w:tc>
      </w:tr>
      <w:tr w:rsidR="00C70B96" w:rsidTr="00C70B96">
        <w:trPr>
          <w:gridAfter w:val="1"/>
          <w:wAfter w:w="279" w:type="dxa"/>
          <w:trHeight w:hRule="exact" w:val="3126"/>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lang w:val="sv-SE"/>
              </w:rPr>
            </w:pPr>
            <w:r>
              <w:rPr>
                <w:sz w:val="22"/>
                <w:szCs w:val="22"/>
                <w:lang w:val="sv-SE"/>
              </w:rPr>
              <w:t>Inhalations-, injektions- eller intranasal fluticasonpropionat, budesonid, triamcinolon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Systemiske bivirkninger forårsaget af kortikosteroider, herunder Cushings syndrom og binyrebarksuppression (i ovennævnte studie blev der registreret fald i plasmakortisol-niveauer på 86 %), er rapporteret hos patienter, der får ritonavir og inhaleret eller intra-nasal fluticasonpropionat; lignende virkninger kan også forekomme med andre korti-kosteroider, som metaboliseres via CYP3A, f.eks. budesonid og triamcinolon. Samtidig indgift af rito-navir doseret som et antiretroviralt stof eller som en farmakokinetisk forstærker og disse glukokortikoider anbefales derfor ikke, medmindre den potentielle fordel ved behand-lingen opvejer risikoen for systemiske bivirkninger forårsaget af kortikosteroider (se pkt. 4.4). Det bør overvejes at reducere dosis af glukokortikoidet samtidig med tæt monitorering af lokale og systemiske bivirkninger eller at skifte til et glukokortikoid, som ikke er et substrat for CYP3A4 (f.eks. beclomethason). Endvidere kan det i tilfælde af behandlingsophør med glukokortikoider være nødvendigt, at nedtrapning sker gradvist over en længere periode.</w:t>
            </w:r>
          </w:p>
        </w:tc>
      </w:tr>
      <w:tr w:rsidR="00C70B96" w:rsidTr="00C70B96">
        <w:trPr>
          <w:gridAfter w:val="1"/>
          <w:wAfter w:w="279" w:type="dxa"/>
          <w:trHeight w:hRule="exact" w:val="1125"/>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Dexametha</w:t>
            </w:r>
            <w:r>
              <w:rPr>
                <w:sz w:val="22"/>
                <w:szCs w:val="22"/>
              </w:rPr>
              <w:softHyphen/>
              <w:t>son</w:t>
            </w: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Ritonavir doseret som en farmakokinetisk forstærker eller som et antiretroviralt stof hæmmer CYP3A og forventes som følge heraf at øge plasmakoncentrationerne af dexa-methason. Nøje overvågning af terapeutiske virkninger og bivirkninger anbefales, når dexamethason indgives sammen med ritonavir.</w:t>
            </w:r>
          </w:p>
        </w:tc>
      </w:tr>
      <w:tr w:rsidR="00C70B96" w:rsidTr="00C70B96">
        <w:trPr>
          <w:gridAfter w:val="1"/>
          <w:wAfter w:w="279" w:type="dxa"/>
          <w:trHeight w:hRule="exact" w:val="560"/>
        </w:trPr>
        <w:tc>
          <w:tcPr>
            <w:tcW w:w="1403" w:type="dxa"/>
            <w:gridSpan w:val="2"/>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Prednison</w:t>
            </w:r>
          </w:p>
        </w:tc>
        <w:tc>
          <w:tcPr>
            <w:tcW w:w="2468"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20 mg</w:t>
            </w:r>
          </w:p>
        </w:tc>
        <w:tc>
          <w:tcPr>
            <w:tcW w:w="1661"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3308"/>
                <w:tab w:val="left" w:pos="5372"/>
                <w:tab w:val="left" w:pos="9070"/>
              </w:tabs>
              <w:ind w:left="146"/>
              <w:rPr>
                <w:sz w:val="22"/>
                <w:szCs w:val="22"/>
              </w:rPr>
            </w:pPr>
            <w:r>
              <w:rPr>
                <w:sz w:val="22"/>
                <w:szCs w:val="22"/>
              </w:rPr>
              <w:t>200 mg hver 12. time</w:t>
            </w:r>
          </w:p>
        </w:tc>
        <w:tc>
          <w:tcPr>
            <w:tcW w:w="1599" w:type="dxa"/>
            <w:gridSpan w:val="3"/>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28 %</w:t>
            </w:r>
          </w:p>
        </w:tc>
        <w:tc>
          <w:tcPr>
            <w:tcW w:w="1257" w:type="dxa"/>
            <w:gridSpan w:val="4"/>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1368" w:type="dxa"/>
            <w:gridSpan w:val="4"/>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 9 %</w:t>
            </w:r>
          </w:p>
        </w:tc>
      </w:tr>
      <w:tr w:rsidR="00C70B96" w:rsidTr="00C70B96">
        <w:trPr>
          <w:gridAfter w:val="1"/>
          <w:wAfter w:w="279" w:type="dxa"/>
          <w:trHeight w:hRule="exact" w:val="866"/>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Nøje overvågning af terapeutiske virkninger og bivirkninger anbefales, når prednison indgives sammen med ritonavir. AUC for metaboliten prednisolon steg med 37 og 28 % efter henholdsvis 4 og 14 dage med ritonavir.</w:t>
            </w:r>
          </w:p>
        </w:tc>
      </w:tr>
      <w:tr w:rsidR="00C70B96" w:rsidTr="00C70B96">
        <w:trPr>
          <w:gridAfter w:val="1"/>
          <w:wAfter w:w="279" w:type="dxa"/>
          <w:trHeight w:val="414"/>
        </w:trPr>
        <w:tc>
          <w:tcPr>
            <w:tcW w:w="9756" w:type="dxa"/>
            <w:gridSpan w:val="19"/>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Thyroideahormoner</w:t>
            </w:r>
          </w:p>
        </w:tc>
      </w:tr>
      <w:tr w:rsidR="00C70B96" w:rsidTr="00C70B96">
        <w:trPr>
          <w:gridAfter w:val="1"/>
          <w:wAfter w:w="279" w:type="dxa"/>
          <w:trHeight w:hRule="exact" w:val="1158"/>
        </w:trPr>
        <w:tc>
          <w:tcPr>
            <w:tcW w:w="1403" w:type="dxa"/>
            <w:gridSpan w:val="2"/>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Levothyroxin</w:t>
            </w:r>
          </w:p>
        </w:tc>
        <w:tc>
          <w:tcPr>
            <w:tcW w:w="8353" w:type="dxa"/>
            <w:gridSpan w:val="17"/>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Der er rapporteret post-marketing tilfælde, som indikerer en mulig interaktion mellem levothyroxin og produkter, der indeholder ritonavir. Thyroidea-stimulerende hormon (TSH) skal som minimum monitoreres hos patienter i behandling med levothyroxin den første måned efter start og/eller afslutning på ritonavir-behandling.</w:t>
            </w:r>
          </w:p>
        </w:tc>
      </w:tr>
      <w:tr w:rsidR="00C70B96" w:rsidTr="00C70B96">
        <w:trPr>
          <w:gridAfter w:val="1"/>
          <w:wAfter w:w="279" w:type="dxa"/>
          <w:trHeight w:hRule="exact" w:val="414"/>
        </w:trPr>
        <w:tc>
          <w:tcPr>
            <w:tcW w:w="1403" w:type="dxa"/>
            <w:gridSpan w:val="2"/>
            <w:tcBorders>
              <w:top w:val="single" w:sz="8" w:space="0" w:color="auto"/>
              <w:left w:val="nil"/>
              <w:bottom w:val="nil"/>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ND: Ikke fastsat (not determined).</w:t>
            </w:r>
          </w:p>
        </w:tc>
      </w:tr>
      <w:tr w:rsidR="00C70B96" w:rsidTr="00C70B96">
        <w:trPr>
          <w:gridAfter w:val="1"/>
          <w:wAfter w:w="279" w:type="dxa"/>
          <w:trHeight w:hRule="exact" w:val="414"/>
        </w:trPr>
        <w:tc>
          <w:tcPr>
            <w:tcW w:w="1403" w:type="dxa"/>
            <w:gridSpan w:val="2"/>
            <w:tcBorders>
              <w:top w:val="single" w:sz="8" w:space="0" w:color="auto"/>
              <w:left w:val="nil"/>
              <w:bottom w:val="single" w:sz="8" w:space="0" w:color="auto"/>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single" w:sz="8" w:space="0" w:color="auto"/>
              <w:right w:val="nil"/>
            </w:tcBorders>
            <w:hideMark/>
          </w:tcPr>
          <w:p w:rsidR="00C70B96" w:rsidRDefault="00C70B96" w:rsidP="00C70B96">
            <w:pPr>
              <w:widowControl w:val="0"/>
              <w:tabs>
                <w:tab w:val="left" w:pos="0"/>
                <w:tab w:val="left" w:pos="9070"/>
              </w:tabs>
              <w:ind w:left="146"/>
              <w:rPr>
                <w:sz w:val="22"/>
                <w:szCs w:val="22"/>
              </w:rPr>
            </w:pPr>
            <w:r>
              <w:rPr>
                <w:sz w:val="22"/>
                <w:szCs w:val="22"/>
              </w:rPr>
              <w:t>1. Baseret på en parallelgruppesammenligning</w:t>
            </w:r>
          </w:p>
        </w:tc>
      </w:tr>
      <w:tr w:rsidR="00C70B96" w:rsidTr="00C70B96">
        <w:trPr>
          <w:gridAfter w:val="1"/>
          <w:wAfter w:w="279" w:type="dxa"/>
          <w:trHeight w:hRule="exact" w:val="414"/>
        </w:trPr>
        <w:tc>
          <w:tcPr>
            <w:tcW w:w="1403" w:type="dxa"/>
            <w:gridSpan w:val="2"/>
            <w:tcBorders>
              <w:top w:val="single" w:sz="8" w:space="0" w:color="auto"/>
              <w:left w:val="nil"/>
              <w:bottom w:val="nil"/>
              <w:right w:val="nil"/>
            </w:tcBorders>
          </w:tcPr>
          <w:p w:rsidR="00C70B96" w:rsidRDefault="00C70B96" w:rsidP="00C70B96">
            <w:pPr>
              <w:widowControl w:val="0"/>
              <w:tabs>
                <w:tab w:val="left" w:pos="0"/>
                <w:tab w:val="left" w:pos="9070"/>
              </w:tabs>
              <w:ind w:left="146"/>
              <w:rPr>
                <w:sz w:val="22"/>
                <w:szCs w:val="22"/>
              </w:rPr>
            </w:pPr>
          </w:p>
        </w:tc>
        <w:tc>
          <w:tcPr>
            <w:tcW w:w="8353" w:type="dxa"/>
            <w:gridSpan w:val="17"/>
            <w:tcBorders>
              <w:top w:val="single" w:sz="8" w:space="0" w:color="auto"/>
              <w:left w:val="nil"/>
              <w:bottom w:val="nil"/>
              <w:right w:val="nil"/>
            </w:tcBorders>
            <w:hideMark/>
          </w:tcPr>
          <w:p w:rsidR="00C70B96" w:rsidRDefault="00C70B96" w:rsidP="00C70B96">
            <w:pPr>
              <w:widowControl w:val="0"/>
              <w:tabs>
                <w:tab w:val="left" w:pos="0"/>
                <w:tab w:val="left" w:pos="9070"/>
              </w:tabs>
              <w:ind w:left="146"/>
              <w:rPr>
                <w:sz w:val="22"/>
                <w:szCs w:val="22"/>
              </w:rPr>
            </w:pPr>
            <w:r>
              <w:rPr>
                <w:sz w:val="22"/>
                <w:szCs w:val="22"/>
              </w:rPr>
              <w:t>2. Sulfamethoxazol blev indgivet sammen med trimethoprim</w:t>
            </w:r>
          </w:p>
        </w:tc>
      </w:tr>
    </w:tbl>
    <w:p w:rsidR="00C70B96" w:rsidRDefault="00C70B96" w:rsidP="00C70B96">
      <w:pPr>
        <w:widowControl w:val="0"/>
        <w:tabs>
          <w:tab w:val="left" w:pos="0"/>
          <w:tab w:val="left" w:pos="9070"/>
        </w:tabs>
        <w:ind w:left="851" w:right="385"/>
        <w:rPr>
          <w:sz w:val="24"/>
          <w:szCs w:val="24"/>
        </w:rPr>
      </w:pPr>
    </w:p>
    <w:p w:rsidR="00C70B96" w:rsidRDefault="00C70B96" w:rsidP="00C70B96">
      <w:pPr>
        <w:widowControl w:val="0"/>
        <w:tabs>
          <w:tab w:val="left" w:pos="0"/>
          <w:tab w:val="left" w:pos="9070"/>
        </w:tabs>
        <w:ind w:left="851" w:right="385"/>
        <w:rPr>
          <w:sz w:val="24"/>
          <w:szCs w:val="24"/>
        </w:rPr>
      </w:pPr>
      <w:r>
        <w:rPr>
          <w:sz w:val="24"/>
          <w:szCs w:val="24"/>
        </w:rPr>
        <w:t>Der er rapporteret hjertetilfælde og neurologiske bivirkninger i forbindelse med samtidig indgift af ritonavir og disopyramid, mexiletin eller nefazodon. Muligheden for lægemiddelinteraktion kan ikke udelukkes.</w:t>
      </w:r>
    </w:p>
    <w:p w:rsidR="00C70B96" w:rsidRDefault="00C70B96" w:rsidP="00C70B96">
      <w:pPr>
        <w:widowControl w:val="0"/>
        <w:tabs>
          <w:tab w:val="left" w:pos="0"/>
          <w:tab w:val="left" w:pos="9070"/>
        </w:tabs>
        <w:ind w:left="851"/>
        <w:rPr>
          <w:sz w:val="24"/>
          <w:szCs w:val="24"/>
        </w:rPr>
      </w:pPr>
    </w:p>
    <w:p w:rsidR="00C70B96" w:rsidRDefault="00C70B96" w:rsidP="00C70B96">
      <w:pPr>
        <w:widowControl w:val="0"/>
        <w:tabs>
          <w:tab w:val="left" w:pos="0"/>
          <w:tab w:val="left" w:pos="9070"/>
        </w:tabs>
        <w:ind w:left="851" w:right="385"/>
        <w:rPr>
          <w:sz w:val="24"/>
          <w:szCs w:val="24"/>
        </w:rPr>
      </w:pPr>
      <w:r>
        <w:rPr>
          <w:sz w:val="24"/>
          <w:szCs w:val="24"/>
        </w:rPr>
        <w:t>Ud over de ovenfor anførte interaktioner bør der, da ritonavir i høj grad er proteinbundet, tages højde for en mulig øget terapeutisk virkning og toksisk virkning på grund af ændret proteinbinding af samtidigt indgivne lægemidler.</w:t>
      </w:r>
    </w:p>
    <w:p w:rsidR="00C70B96" w:rsidRDefault="00C70B96" w:rsidP="00C70B96">
      <w:pPr>
        <w:widowControl w:val="0"/>
        <w:tabs>
          <w:tab w:val="left" w:pos="0"/>
          <w:tab w:val="left" w:pos="9070"/>
        </w:tabs>
        <w:ind w:left="851"/>
        <w:rPr>
          <w:sz w:val="24"/>
          <w:szCs w:val="24"/>
        </w:rPr>
      </w:pPr>
    </w:p>
    <w:p w:rsidR="00C70B96" w:rsidRDefault="00C70B96" w:rsidP="00C70B96">
      <w:pPr>
        <w:keepNext/>
        <w:tabs>
          <w:tab w:val="left" w:pos="0"/>
          <w:tab w:val="left" w:pos="9070"/>
        </w:tabs>
        <w:ind w:left="851"/>
        <w:rPr>
          <w:b/>
          <w:sz w:val="24"/>
          <w:szCs w:val="24"/>
        </w:rPr>
      </w:pPr>
      <w:r>
        <w:rPr>
          <w:b/>
          <w:sz w:val="24"/>
          <w:szCs w:val="24"/>
        </w:rPr>
        <w:t>Ritonavir doseret som en farmakokinetisk forstærker</w:t>
      </w:r>
    </w:p>
    <w:p w:rsidR="00C70B96" w:rsidRDefault="00C70B96" w:rsidP="00C70B96">
      <w:pPr>
        <w:tabs>
          <w:tab w:val="left" w:pos="0"/>
          <w:tab w:val="left" w:pos="9070"/>
        </w:tabs>
        <w:ind w:left="851"/>
        <w:rPr>
          <w:sz w:val="24"/>
          <w:szCs w:val="24"/>
        </w:rPr>
      </w:pPr>
      <w:r>
        <w:rPr>
          <w:sz w:val="24"/>
          <w:szCs w:val="24"/>
        </w:rPr>
        <w:t>Vigtige oplysninger vedrørende lægemiddelinteraktioner, når ritonavir anvendes som en farmakokinetisk forstærker, kan også findes i produktresuméet for den samtidigt indgivne proteasehæmmer.</w:t>
      </w:r>
    </w:p>
    <w:p w:rsidR="00C70B96" w:rsidRDefault="00C70B96" w:rsidP="00C70B96">
      <w:pPr>
        <w:widowControl w:val="0"/>
        <w:tabs>
          <w:tab w:val="left" w:pos="0"/>
          <w:tab w:val="left" w:pos="9070"/>
        </w:tabs>
        <w:ind w:left="851" w:right="2"/>
        <w:rPr>
          <w:sz w:val="24"/>
          <w:szCs w:val="24"/>
        </w:rPr>
      </w:pPr>
    </w:p>
    <w:p w:rsidR="00C70B96" w:rsidRDefault="00C70B96" w:rsidP="00C70B96">
      <w:pPr>
        <w:widowControl w:val="0"/>
        <w:tabs>
          <w:tab w:val="left" w:pos="0"/>
          <w:tab w:val="left" w:pos="9070"/>
        </w:tabs>
        <w:ind w:left="851" w:right="253"/>
        <w:rPr>
          <w:sz w:val="24"/>
          <w:szCs w:val="24"/>
          <w:u w:val="single"/>
        </w:rPr>
      </w:pPr>
      <w:r>
        <w:rPr>
          <w:sz w:val="24"/>
          <w:szCs w:val="24"/>
          <w:u w:val="single"/>
        </w:rPr>
        <w:t>Protonpumpehæmmere og H2-receptor-antagonister</w:t>
      </w:r>
    </w:p>
    <w:p w:rsidR="00C70B96" w:rsidRDefault="00C70B96" w:rsidP="00C70B96">
      <w:pPr>
        <w:widowControl w:val="0"/>
        <w:tabs>
          <w:tab w:val="left" w:pos="0"/>
          <w:tab w:val="left" w:pos="9070"/>
        </w:tabs>
        <w:ind w:left="851" w:right="253"/>
        <w:rPr>
          <w:sz w:val="24"/>
          <w:szCs w:val="24"/>
        </w:rPr>
      </w:pPr>
      <w:r>
        <w:rPr>
          <w:sz w:val="24"/>
          <w:szCs w:val="24"/>
        </w:rPr>
        <w:t>Protonpumpehæmmere og H2-receptor-antagonister (f.eks. omeprazol eller ranitidin) kan nedsætte koncentrationen af proteasehæmmere, som administreres samtidig. For særlig information vedrørende virkningen af samtidig administration af syrehæmmende midler, se produktresuméet for proteasehæmmeren, som administreres samtidig.</w:t>
      </w:r>
    </w:p>
    <w:p w:rsidR="00C70B96" w:rsidRDefault="00C70B96" w:rsidP="00C70B96">
      <w:pPr>
        <w:widowControl w:val="0"/>
        <w:tabs>
          <w:tab w:val="left" w:pos="0"/>
          <w:tab w:val="left" w:pos="9070"/>
        </w:tabs>
        <w:ind w:left="851" w:right="2"/>
        <w:rPr>
          <w:sz w:val="24"/>
          <w:szCs w:val="24"/>
        </w:rPr>
      </w:pPr>
      <w:r>
        <w:rPr>
          <w:sz w:val="24"/>
          <w:szCs w:val="24"/>
        </w:rPr>
        <w:t>Baseret på interaktionsstudie med ritonavir boostet proteasehæmmere (lopinavir/ritonavir, atazanavir) ændrer samtidig administration af omeprazol eller ranitidin ikke signifikant ritonavirs effekt som farmakokinetisk forstærker, selv om der er en mindre ændring af eksponering (omkring 6-18 %).</w:t>
      </w:r>
    </w:p>
    <w:p w:rsidR="006C56FF"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Pr>
          <w:b/>
          <w:sz w:val="24"/>
          <w:szCs w:val="24"/>
        </w:rPr>
        <w:t>4.6</w:t>
      </w:r>
      <w:r>
        <w:rPr>
          <w:b/>
          <w:sz w:val="24"/>
          <w:szCs w:val="24"/>
        </w:rPr>
        <w:tab/>
      </w:r>
      <w:r w:rsidR="00C70B96">
        <w:rPr>
          <w:b/>
          <w:sz w:val="24"/>
          <w:szCs w:val="24"/>
        </w:rPr>
        <w:t>Fertilitet, g</w:t>
      </w:r>
      <w:r>
        <w:rPr>
          <w:b/>
          <w:sz w:val="24"/>
          <w:szCs w:val="24"/>
        </w:rPr>
        <w:t>raviditet og amning</w:t>
      </w:r>
    </w:p>
    <w:p w:rsidR="006C56FF" w:rsidRDefault="006C56FF" w:rsidP="006C56FF">
      <w:pPr>
        <w:widowControl w:val="0"/>
        <w:tabs>
          <w:tab w:val="left" w:pos="0"/>
          <w:tab w:val="left" w:pos="9070"/>
        </w:tabs>
        <w:ind w:left="851" w:right="109"/>
        <w:rPr>
          <w:sz w:val="24"/>
          <w:szCs w:val="24"/>
          <w:u w:val="single"/>
        </w:rPr>
      </w:pPr>
      <w:r>
        <w:rPr>
          <w:sz w:val="24"/>
          <w:szCs w:val="24"/>
          <w:u w:val="single"/>
        </w:rPr>
        <w:t>Graviditet</w:t>
      </w:r>
    </w:p>
    <w:p w:rsidR="006C56FF" w:rsidRDefault="006C56FF" w:rsidP="006C56FF">
      <w:pPr>
        <w:widowControl w:val="0"/>
        <w:tabs>
          <w:tab w:val="left" w:pos="0"/>
          <w:tab w:val="left" w:pos="9070"/>
        </w:tabs>
        <w:ind w:left="851" w:right="109"/>
        <w:rPr>
          <w:sz w:val="24"/>
          <w:szCs w:val="24"/>
        </w:rPr>
      </w:pPr>
      <w:r>
        <w:rPr>
          <w:sz w:val="24"/>
          <w:szCs w:val="24"/>
        </w:rPr>
        <w:t>Et stort antal (6100 levende fødsler f) af gravide kvinder har været eksponeret for ritonavir under graviditet; af disse har 2800 levende fødsler været eksponeret i første trimester. Disse data refererer overvejende til eksposition, hvor ritonavir blev anvendt i kombinationsbehandling og ikke i terapeutiske ritonavir doser men i lavere doser som farmakokinetisk forstærker af andre proteasehæmmere. Disse data indikerer ingen øget forekomst af medfødte defekter sammenlignet med forekomsten fundet i populationsbaserede overvågningssystemer af fødselsdefekter. Dyredata har vist reproduktionstoksicitet (se pkt. 5.3). Ritonavir Accord kan anvendes under graviditet, hvis det er klinisk nødvendigt.</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76"/>
        <w:rPr>
          <w:sz w:val="24"/>
          <w:szCs w:val="24"/>
        </w:rPr>
      </w:pPr>
      <w:r>
        <w:rPr>
          <w:sz w:val="24"/>
          <w:szCs w:val="24"/>
        </w:rPr>
        <w:t>Ritonavir giver alvorlige interaktioner med orale kontraceptiva (OK'er). Derfor bør der anvendes en alternativ, effektiv og sikker kontraceptionsmetode under behandling.</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253"/>
        <w:rPr>
          <w:sz w:val="24"/>
          <w:szCs w:val="24"/>
          <w:u w:val="single"/>
        </w:rPr>
      </w:pPr>
      <w:r>
        <w:rPr>
          <w:sz w:val="24"/>
          <w:szCs w:val="24"/>
          <w:u w:val="single"/>
        </w:rPr>
        <w:t>Amning</w:t>
      </w:r>
    </w:p>
    <w:p w:rsidR="00C70B96" w:rsidRDefault="00C70B96" w:rsidP="00C70B96">
      <w:pPr>
        <w:widowControl w:val="0"/>
        <w:tabs>
          <w:tab w:val="left" w:pos="0"/>
          <w:tab w:val="left" w:pos="9070"/>
        </w:tabs>
        <w:ind w:left="851" w:right="253"/>
        <w:rPr>
          <w:sz w:val="24"/>
          <w:szCs w:val="24"/>
        </w:rPr>
      </w:pPr>
      <w:r>
        <w:rPr>
          <w:sz w:val="24"/>
          <w:szCs w:val="24"/>
        </w:rPr>
        <w:t>Begrænsede offentliggjorte data rapporterer, at ritonavir er til stede i modermælk.</w:t>
      </w:r>
    </w:p>
    <w:p w:rsidR="00C70B96" w:rsidRDefault="00C70B96" w:rsidP="00C70B96">
      <w:pPr>
        <w:widowControl w:val="0"/>
        <w:tabs>
          <w:tab w:val="left" w:pos="0"/>
          <w:tab w:val="left" w:pos="9070"/>
        </w:tabs>
        <w:ind w:left="851" w:right="253"/>
        <w:rPr>
          <w:sz w:val="24"/>
          <w:szCs w:val="24"/>
        </w:rPr>
      </w:pPr>
      <w:r>
        <w:rPr>
          <w:sz w:val="24"/>
          <w:szCs w:val="24"/>
        </w:rPr>
        <w:t xml:space="preserve">Der er ingen oplysninger om virkningerne af ritonavir på det ammende barn eller virkningen af lægemidlet på mælkeproduktion. På grund af muligheden for (1) hiv-transmission (hos hiv-negative spædbørn), (2) udvikling af viral resistens (hos hiv-positive spædbørn) og (3) alvorlige bivirkninger hos et ammende barn bør </w:t>
      </w:r>
      <w:r>
        <w:t>kvinder som lever med hiv undlader at</w:t>
      </w:r>
      <w:r w:rsidDel="00AE01E3">
        <w:rPr>
          <w:sz w:val="24"/>
          <w:szCs w:val="24"/>
        </w:rPr>
        <w:t xml:space="preserve"> </w:t>
      </w:r>
      <w:r>
        <w:rPr>
          <w:sz w:val="24"/>
          <w:szCs w:val="24"/>
        </w:rPr>
        <w:t>amme deres børn, hvis de får Ritonavir Accord.</w:t>
      </w:r>
    </w:p>
    <w:p w:rsidR="006C56FF" w:rsidRDefault="006C56FF" w:rsidP="006C56FF">
      <w:pPr>
        <w:widowControl w:val="0"/>
        <w:tabs>
          <w:tab w:val="left" w:pos="0"/>
          <w:tab w:val="left" w:pos="9070"/>
        </w:tabs>
        <w:ind w:left="851" w:right="253"/>
        <w:rPr>
          <w:sz w:val="24"/>
          <w:szCs w:val="24"/>
        </w:rPr>
      </w:pPr>
    </w:p>
    <w:p w:rsidR="006C56FF" w:rsidRDefault="006C56FF" w:rsidP="006C56FF">
      <w:pPr>
        <w:widowControl w:val="0"/>
        <w:tabs>
          <w:tab w:val="left" w:pos="0"/>
          <w:tab w:val="left" w:pos="9070"/>
        </w:tabs>
        <w:ind w:left="851" w:right="253"/>
        <w:rPr>
          <w:sz w:val="24"/>
          <w:szCs w:val="24"/>
        </w:rPr>
      </w:pPr>
      <w:r>
        <w:rPr>
          <w:sz w:val="24"/>
          <w:szCs w:val="24"/>
          <w:u w:val="single"/>
        </w:rPr>
        <w:t>Fertilitet</w:t>
      </w:r>
    </w:p>
    <w:p w:rsidR="006C56FF" w:rsidRDefault="006C56FF" w:rsidP="006C56FF">
      <w:pPr>
        <w:widowControl w:val="0"/>
        <w:tabs>
          <w:tab w:val="left" w:pos="0"/>
          <w:tab w:val="left" w:pos="9070"/>
        </w:tabs>
        <w:ind w:left="851" w:right="253"/>
        <w:rPr>
          <w:sz w:val="24"/>
          <w:szCs w:val="24"/>
        </w:rPr>
      </w:pPr>
      <w:r>
        <w:rPr>
          <w:sz w:val="24"/>
          <w:szCs w:val="24"/>
        </w:rPr>
        <w:t>Der foreligger ingen humandata om ritonavirs effekt på fertiliteten. Dyrestudier indikerer ingen skadelige virkninger af ritonavir på fertiliteten (se pkt. 5.3).</w:t>
      </w:r>
    </w:p>
    <w:p w:rsidR="006C56FF" w:rsidRDefault="006C56FF" w:rsidP="006C56FF">
      <w:pPr>
        <w:tabs>
          <w:tab w:val="left" w:pos="851"/>
        </w:tabs>
        <w:ind w:left="851"/>
        <w:rPr>
          <w:sz w:val="24"/>
          <w:szCs w:val="24"/>
        </w:rPr>
      </w:pPr>
    </w:p>
    <w:p w:rsidR="006C56FF" w:rsidRDefault="006C56FF" w:rsidP="006C56FF">
      <w:pPr>
        <w:tabs>
          <w:tab w:val="left" w:pos="851"/>
        </w:tabs>
        <w:ind w:left="851" w:hanging="851"/>
        <w:rPr>
          <w:b/>
          <w:sz w:val="24"/>
          <w:szCs w:val="24"/>
        </w:rPr>
      </w:pPr>
      <w:r>
        <w:rPr>
          <w:b/>
          <w:sz w:val="24"/>
          <w:szCs w:val="24"/>
        </w:rPr>
        <w:lastRenderedPageBreak/>
        <w:t>4.7</w:t>
      </w:r>
      <w:r>
        <w:rPr>
          <w:b/>
          <w:sz w:val="24"/>
          <w:szCs w:val="24"/>
        </w:rPr>
        <w:tab/>
      </w:r>
      <w:bookmarkStart w:id="0" w:name="_Hlk143255910"/>
      <w:r w:rsidR="00E916DB" w:rsidRPr="00F31B64">
        <w:rPr>
          <w:b/>
          <w:sz w:val="24"/>
          <w:szCs w:val="24"/>
        </w:rPr>
        <w:t xml:space="preserve">Virkning på evnen til at føre motorkøretøj </w:t>
      </w:r>
      <w:r w:rsidR="00E916DB" w:rsidRPr="00F31B64">
        <w:rPr>
          <w:b/>
          <w:noProof/>
          <w:sz w:val="24"/>
          <w:szCs w:val="24"/>
        </w:rPr>
        <w:t>og</w:t>
      </w:r>
      <w:r w:rsidR="00E916DB" w:rsidRPr="00F31B64">
        <w:rPr>
          <w:b/>
          <w:sz w:val="24"/>
          <w:szCs w:val="24"/>
        </w:rPr>
        <w:t xml:space="preserve"> betjene maskiner</w:t>
      </w:r>
      <w:bookmarkEnd w:id="0"/>
    </w:p>
    <w:p w:rsidR="006C56FF" w:rsidRDefault="006C56FF" w:rsidP="006C56FF">
      <w:pPr>
        <w:ind w:left="851"/>
        <w:rPr>
          <w:sz w:val="24"/>
          <w:szCs w:val="24"/>
          <w:lang w:eastAsia="da-DK"/>
        </w:rPr>
      </w:pPr>
      <w:r>
        <w:rPr>
          <w:sz w:val="24"/>
          <w:szCs w:val="24"/>
          <w:lang w:eastAsia="da-DK"/>
        </w:rPr>
        <w:t>Ikke mærkning.</w:t>
      </w:r>
    </w:p>
    <w:p w:rsidR="006C56FF" w:rsidRDefault="006C56FF" w:rsidP="006C56FF">
      <w:pPr>
        <w:ind w:left="851"/>
        <w:rPr>
          <w:sz w:val="24"/>
          <w:szCs w:val="24"/>
          <w:lang w:eastAsia="da-DK"/>
        </w:rPr>
      </w:pPr>
      <w:r>
        <w:rPr>
          <w:sz w:val="24"/>
          <w:szCs w:val="24"/>
          <w:lang w:eastAsia="da-DK"/>
        </w:rPr>
        <w:t>Der er ikke udført studier af påvirkning af evnen til at føre bil eller betjene maskiner. Svimmelhed er en kendt bivirkning, og der skal tages hensyn til dette, når man kører bil eller anvender maskiner.</w:t>
      </w:r>
    </w:p>
    <w:p w:rsidR="006C56FF" w:rsidRDefault="006C56FF" w:rsidP="006C56FF">
      <w:pPr>
        <w:tabs>
          <w:tab w:val="left" w:pos="851"/>
        </w:tabs>
        <w:ind w:left="851"/>
        <w:rPr>
          <w:sz w:val="24"/>
          <w:szCs w:val="24"/>
        </w:rPr>
      </w:pPr>
    </w:p>
    <w:p w:rsidR="006C56FF" w:rsidRDefault="006C56FF" w:rsidP="007C1BB9">
      <w:pPr>
        <w:keepNext/>
        <w:tabs>
          <w:tab w:val="left" w:pos="851"/>
        </w:tabs>
        <w:ind w:left="851" w:hanging="851"/>
        <w:rPr>
          <w:b/>
          <w:sz w:val="24"/>
          <w:szCs w:val="24"/>
        </w:rPr>
      </w:pPr>
      <w:r>
        <w:rPr>
          <w:b/>
          <w:sz w:val="24"/>
          <w:szCs w:val="24"/>
        </w:rPr>
        <w:t>4.8</w:t>
      </w:r>
      <w:r>
        <w:rPr>
          <w:b/>
          <w:sz w:val="24"/>
          <w:szCs w:val="24"/>
        </w:rPr>
        <w:tab/>
        <w:t>Bivirkninger</w:t>
      </w:r>
    </w:p>
    <w:p w:rsidR="007C1BB9" w:rsidRDefault="007C1BB9" w:rsidP="007C1BB9">
      <w:pPr>
        <w:keepNext/>
        <w:tabs>
          <w:tab w:val="left" w:pos="0"/>
          <w:tab w:val="left" w:pos="9070"/>
        </w:tabs>
        <w:ind w:left="851"/>
        <w:rPr>
          <w:i/>
          <w:sz w:val="24"/>
          <w:szCs w:val="24"/>
          <w:u w:val="single"/>
          <w:lang w:eastAsia="da-DK"/>
        </w:rPr>
      </w:pPr>
      <w:r>
        <w:rPr>
          <w:i/>
          <w:sz w:val="24"/>
          <w:szCs w:val="24"/>
          <w:u w:val="single"/>
          <w:lang w:eastAsia="da-DK"/>
        </w:rPr>
        <w:t>Sammendrag af sikkerhedsprofilen</w:t>
      </w:r>
    </w:p>
    <w:p w:rsidR="007C1BB9" w:rsidRDefault="007C1BB9" w:rsidP="007C1BB9">
      <w:pPr>
        <w:keepNext/>
        <w:tabs>
          <w:tab w:val="left" w:pos="0"/>
          <w:tab w:val="left" w:pos="9070"/>
        </w:tabs>
        <w:ind w:left="851"/>
        <w:rPr>
          <w:i/>
          <w:sz w:val="24"/>
          <w:szCs w:val="24"/>
          <w:lang w:eastAsia="da-DK"/>
        </w:rPr>
      </w:pPr>
    </w:p>
    <w:p w:rsidR="007C1BB9" w:rsidRDefault="007C1BB9" w:rsidP="007C1BB9">
      <w:pPr>
        <w:tabs>
          <w:tab w:val="left" w:pos="0"/>
          <w:tab w:val="left" w:pos="9070"/>
        </w:tabs>
        <w:ind w:left="851"/>
        <w:rPr>
          <w:i/>
          <w:sz w:val="24"/>
          <w:szCs w:val="24"/>
          <w:lang w:eastAsia="da-DK"/>
        </w:rPr>
      </w:pPr>
      <w:r>
        <w:rPr>
          <w:i/>
          <w:sz w:val="24"/>
          <w:szCs w:val="24"/>
          <w:lang w:eastAsia="da-DK"/>
        </w:rPr>
        <w:t>Ritonavir doseret som en farmakokinetisk forstærker</w:t>
      </w:r>
    </w:p>
    <w:p w:rsidR="007C1BB9" w:rsidRDefault="007C1BB9" w:rsidP="007C1BB9">
      <w:pPr>
        <w:widowControl w:val="0"/>
        <w:tabs>
          <w:tab w:val="left" w:pos="0"/>
          <w:tab w:val="left" w:pos="9070"/>
        </w:tabs>
        <w:ind w:left="851" w:right="176"/>
        <w:rPr>
          <w:sz w:val="24"/>
          <w:szCs w:val="24"/>
        </w:rPr>
      </w:pPr>
    </w:p>
    <w:p w:rsidR="007C1BB9" w:rsidRDefault="007C1BB9" w:rsidP="007C1BB9">
      <w:pPr>
        <w:widowControl w:val="0"/>
        <w:tabs>
          <w:tab w:val="left" w:pos="0"/>
          <w:tab w:val="left" w:pos="9070"/>
        </w:tabs>
        <w:ind w:left="851" w:right="176"/>
        <w:rPr>
          <w:sz w:val="24"/>
          <w:szCs w:val="24"/>
        </w:rPr>
      </w:pPr>
      <w:r>
        <w:rPr>
          <w:sz w:val="24"/>
          <w:szCs w:val="24"/>
        </w:rPr>
        <w:t>Bivirkninger i forbindelse med anvendelse af ritonavir som en farmakokinetisk forstærker afhænger af den konkrete samtidigt indgivne proteasehæmmer. For oplysninger om bivirkninger henvises til produktresuméet for den samtidigt indgivne proteasehæmmer.</w:t>
      </w:r>
    </w:p>
    <w:p w:rsidR="007C1BB9" w:rsidRDefault="007C1BB9" w:rsidP="007C1BB9">
      <w:pPr>
        <w:tabs>
          <w:tab w:val="left" w:pos="0"/>
          <w:tab w:val="left" w:pos="9070"/>
        </w:tabs>
        <w:ind w:left="851"/>
        <w:rPr>
          <w:sz w:val="24"/>
          <w:szCs w:val="24"/>
          <w:lang w:eastAsia="da-DK"/>
        </w:rPr>
      </w:pPr>
    </w:p>
    <w:p w:rsidR="007C1BB9" w:rsidRDefault="007C1BB9" w:rsidP="007C1BB9">
      <w:pPr>
        <w:tabs>
          <w:tab w:val="left" w:pos="0"/>
          <w:tab w:val="left" w:pos="9070"/>
        </w:tabs>
        <w:ind w:left="851"/>
        <w:rPr>
          <w:i/>
          <w:sz w:val="24"/>
          <w:szCs w:val="24"/>
          <w:lang w:eastAsia="da-DK"/>
        </w:rPr>
      </w:pPr>
      <w:r>
        <w:rPr>
          <w:i/>
          <w:sz w:val="24"/>
          <w:szCs w:val="24"/>
          <w:lang w:eastAsia="da-DK"/>
        </w:rPr>
        <w:t>Ritonavir doseret som et antiretroviralt stof</w:t>
      </w:r>
    </w:p>
    <w:p w:rsidR="007C1BB9" w:rsidRDefault="007C1BB9" w:rsidP="007C1BB9">
      <w:pPr>
        <w:tabs>
          <w:tab w:val="left" w:pos="0"/>
          <w:tab w:val="left" w:pos="9070"/>
        </w:tabs>
        <w:ind w:left="851"/>
        <w:rPr>
          <w:i/>
          <w:sz w:val="24"/>
          <w:szCs w:val="24"/>
          <w:lang w:eastAsia="da-DK"/>
        </w:rPr>
      </w:pPr>
    </w:p>
    <w:p w:rsidR="007C1BB9" w:rsidRDefault="007C1BB9" w:rsidP="007C1BB9">
      <w:pPr>
        <w:widowControl w:val="0"/>
        <w:tabs>
          <w:tab w:val="left" w:pos="0"/>
          <w:tab w:val="left" w:pos="9070"/>
        </w:tabs>
        <w:ind w:left="851"/>
        <w:rPr>
          <w:sz w:val="24"/>
          <w:szCs w:val="24"/>
          <w:u w:val="single"/>
        </w:rPr>
      </w:pPr>
      <w:r>
        <w:rPr>
          <w:sz w:val="24"/>
          <w:szCs w:val="24"/>
          <w:u w:val="single" w:color="000000"/>
        </w:rPr>
        <w:t>Bivirkninger hos i voksne patienter fra kliniske studier og erfaring efter markedsføring</w:t>
      </w:r>
    </w:p>
    <w:p w:rsidR="007C1BB9" w:rsidRDefault="007C1BB9" w:rsidP="007C1BB9">
      <w:pPr>
        <w:widowControl w:val="0"/>
        <w:tabs>
          <w:tab w:val="left" w:pos="0"/>
          <w:tab w:val="left" w:pos="9070"/>
        </w:tabs>
        <w:ind w:left="851" w:right="176"/>
        <w:rPr>
          <w:sz w:val="24"/>
          <w:szCs w:val="24"/>
        </w:rPr>
      </w:pPr>
      <w:r>
        <w:rPr>
          <w:sz w:val="24"/>
          <w:szCs w:val="24"/>
        </w:rPr>
        <w:t>De hyppigst rapporterede bivirkninger hos patienter, som har fået ritonavir alene eller i kombination med andre antiretrovirale lægemidler, er gastrointestinale (inklusive diarré, kvalme, opkastning, abdominalsmerter (øvre og nedre)), neurologiske forstyrrelser (inklusive paræstesi og oral paræstesi) samt træthed/asteni.</w:t>
      </w:r>
    </w:p>
    <w:p w:rsidR="007C1BB9" w:rsidRDefault="007C1BB9" w:rsidP="007C1BB9">
      <w:pPr>
        <w:widowControl w:val="0"/>
        <w:tabs>
          <w:tab w:val="left" w:pos="0"/>
          <w:tab w:val="left" w:pos="9070"/>
        </w:tabs>
        <w:ind w:left="851"/>
        <w:rPr>
          <w:sz w:val="24"/>
          <w:szCs w:val="24"/>
          <w:u w:val="single" w:color="000000"/>
        </w:rPr>
      </w:pPr>
    </w:p>
    <w:p w:rsidR="00C70B96" w:rsidRDefault="00C70B96" w:rsidP="00C70B96">
      <w:pPr>
        <w:widowControl w:val="0"/>
        <w:tabs>
          <w:tab w:val="left" w:pos="0"/>
          <w:tab w:val="left" w:pos="9070"/>
        </w:tabs>
        <w:ind w:left="851" w:right="381"/>
        <w:rPr>
          <w:sz w:val="24"/>
          <w:szCs w:val="24"/>
        </w:rPr>
      </w:pPr>
      <w:r>
        <w:rPr>
          <w:sz w:val="24"/>
          <w:szCs w:val="24"/>
          <w:u w:val="single"/>
        </w:rPr>
        <w:t>Tabel over bivirkninger</w:t>
      </w:r>
    </w:p>
    <w:p w:rsidR="00C70B96" w:rsidRDefault="00C70B96" w:rsidP="00C70B96">
      <w:pPr>
        <w:widowControl w:val="0"/>
        <w:tabs>
          <w:tab w:val="left" w:pos="0"/>
          <w:tab w:val="left" w:pos="9070"/>
        </w:tabs>
        <w:ind w:left="851" w:right="381"/>
        <w:rPr>
          <w:sz w:val="24"/>
          <w:szCs w:val="24"/>
        </w:rPr>
      </w:pPr>
      <w:r>
        <w:rPr>
          <w:sz w:val="24"/>
          <w:szCs w:val="24"/>
        </w:rPr>
        <w:t>Følgende bivirkninger af moderat til svær grad med en mulig eller sandsynlig relation til ritonavir er blevet rapporteret.</w:t>
      </w:r>
    </w:p>
    <w:p w:rsidR="00C70B96" w:rsidRDefault="00C70B96" w:rsidP="00C70B96">
      <w:pPr>
        <w:widowControl w:val="0"/>
        <w:tabs>
          <w:tab w:val="left" w:pos="0"/>
          <w:tab w:val="left" w:pos="9070"/>
        </w:tabs>
        <w:ind w:left="851" w:right="381"/>
        <w:rPr>
          <w:sz w:val="24"/>
          <w:szCs w:val="24"/>
        </w:rPr>
      </w:pPr>
      <w:r>
        <w:rPr>
          <w:sz w:val="24"/>
          <w:szCs w:val="24"/>
        </w:rPr>
        <w:t xml:space="preserve">Inden for hver frekvensgruppe er bivirkningerne opstillet efter faldende alvorlighed: Meget almindelig </w:t>
      </w:r>
      <w:proofErr w:type="gramStart"/>
      <w:r w:rsidRPr="00C70B96">
        <w:t xml:space="preserve">≥ </w:t>
      </w:r>
      <w:r>
        <w:rPr>
          <w:sz w:val="24"/>
          <w:szCs w:val="24"/>
        </w:rPr>
        <w:t xml:space="preserve"> 1</w:t>
      </w:r>
      <w:proofErr w:type="gramEnd"/>
      <w:r>
        <w:rPr>
          <w:sz w:val="24"/>
          <w:szCs w:val="24"/>
        </w:rPr>
        <w:t xml:space="preserve">/10; almindelig </w:t>
      </w:r>
      <w:r w:rsidRPr="00C70B96">
        <w:t xml:space="preserve">≥ </w:t>
      </w:r>
      <w:r>
        <w:rPr>
          <w:sz w:val="24"/>
          <w:szCs w:val="24"/>
        </w:rPr>
        <w:t xml:space="preserve"> 1/100 til &lt; 1/10; ikke almindelig </w:t>
      </w:r>
      <w:r w:rsidRPr="00C70B96">
        <w:t>≥</w:t>
      </w:r>
      <w:r>
        <w:rPr>
          <w:sz w:val="24"/>
          <w:szCs w:val="24"/>
        </w:rPr>
        <w:t xml:space="preserve">1/1.000 til&lt; 1/100; sjælden </w:t>
      </w:r>
      <w:r>
        <w:t xml:space="preserve">≥ </w:t>
      </w:r>
      <w:r>
        <w:rPr>
          <w:sz w:val="24"/>
          <w:szCs w:val="24"/>
        </w:rPr>
        <w:t xml:space="preserve"> 1/10.000 til &lt; 1/1.000. Ikke kendt (kan ikke estimeres ud fra forhåndenværende data).</w:t>
      </w:r>
    </w:p>
    <w:p w:rsidR="007C1BB9" w:rsidRDefault="007C1BB9" w:rsidP="007C1BB9">
      <w:pPr>
        <w:tabs>
          <w:tab w:val="left" w:pos="0"/>
          <w:tab w:val="left" w:pos="9070"/>
        </w:tabs>
        <w:ind w:left="851"/>
        <w:rPr>
          <w:sz w:val="24"/>
          <w:szCs w:val="24"/>
          <w:lang w:eastAsia="da-DK"/>
        </w:rPr>
      </w:pPr>
    </w:p>
    <w:p w:rsidR="007C1BB9" w:rsidRDefault="007C1BB9" w:rsidP="007C1BB9">
      <w:pPr>
        <w:widowControl w:val="0"/>
        <w:tabs>
          <w:tab w:val="left" w:pos="0"/>
          <w:tab w:val="left" w:pos="9070"/>
        </w:tabs>
        <w:ind w:left="851" w:right="379"/>
        <w:rPr>
          <w:sz w:val="24"/>
          <w:szCs w:val="24"/>
        </w:rPr>
      </w:pPr>
      <w:r>
        <w:rPr>
          <w:sz w:val="24"/>
          <w:szCs w:val="24"/>
        </w:rPr>
        <w:t>Bivirkninger, der er registreret med ikke kendt hyppighed, blev identificeret i forbindelse med postmarketing overvågning.</w:t>
      </w:r>
    </w:p>
    <w:p w:rsidR="007C1BB9" w:rsidRDefault="007C1BB9" w:rsidP="007C1BB9">
      <w:pPr>
        <w:widowControl w:val="0"/>
        <w:tabs>
          <w:tab w:val="left" w:pos="0"/>
          <w:tab w:val="left" w:pos="9070"/>
        </w:tabs>
        <w:ind w:left="851" w:right="379"/>
        <w:rPr>
          <w:sz w:val="24"/>
          <w:szCs w:val="24"/>
        </w:rPr>
      </w:pPr>
    </w:p>
    <w:tbl>
      <w:tblPr>
        <w:tblW w:w="9240" w:type="dxa"/>
        <w:tblInd w:w="104" w:type="dxa"/>
        <w:tblLayout w:type="fixed"/>
        <w:tblCellMar>
          <w:left w:w="0" w:type="dxa"/>
          <w:right w:w="0" w:type="dxa"/>
        </w:tblCellMar>
        <w:tblLook w:val="01E0" w:firstRow="1" w:lastRow="1" w:firstColumn="1" w:lastColumn="1" w:noHBand="0" w:noVBand="0"/>
      </w:tblPr>
      <w:tblGrid>
        <w:gridCol w:w="3160"/>
        <w:gridCol w:w="2303"/>
        <w:gridCol w:w="3777"/>
      </w:tblGrid>
      <w:tr w:rsidR="003E5494" w:rsidTr="004D4259">
        <w:trPr>
          <w:trHeight w:val="504"/>
        </w:trPr>
        <w:tc>
          <w:tcPr>
            <w:tcW w:w="9246" w:type="dxa"/>
            <w:gridSpan w:val="3"/>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b/>
                <w:sz w:val="22"/>
                <w:szCs w:val="22"/>
              </w:rPr>
              <w:t>Bivirkninger i kliniske studier og postmarketing hos voksne patienter</w:t>
            </w:r>
          </w:p>
        </w:tc>
      </w:tr>
      <w:tr w:rsidR="003E5494" w:rsidTr="004D4259">
        <w:trPr>
          <w:trHeight w:hRule="exact" w:val="264"/>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b/>
                <w:sz w:val="22"/>
                <w:szCs w:val="22"/>
              </w:rPr>
              <w:t>Systemorganklasse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b/>
                <w:sz w:val="22"/>
                <w:szCs w:val="22"/>
              </w:rPr>
              <w:t>Hyppighed</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b/>
                <w:sz w:val="22"/>
                <w:szCs w:val="22"/>
              </w:rPr>
              <w:t>Bivirkning</w:t>
            </w:r>
          </w:p>
        </w:tc>
      </w:tr>
      <w:tr w:rsidR="003E5494" w:rsidTr="004D4259">
        <w:trPr>
          <w:trHeight w:hRule="exact" w:val="1698"/>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Blod- og lymfesystem</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Ikke almindelig</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395"/>
              <w:rPr>
                <w:sz w:val="22"/>
                <w:szCs w:val="22"/>
              </w:rPr>
            </w:pPr>
            <w:r>
              <w:rPr>
                <w:sz w:val="22"/>
                <w:szCs w:val="22"/>
              </w:rPr>
              <w:t>Nedsat antal leukocytter, nedsat hæmoglobin, nedsat antal neutrofile celler, forhøjet antal eosinofile celler, trombocytopeni</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Forhøjet antal neutrofile celler</w:t>
            </w:r>
          </w:p>
        </w:tc>
      </w:tr>
      <w:tr w:rsidR="003E5494" w:rsidTr="004D4259">
        <w:trPr>
          <w:trHeight w:hRule="exact" w:val="1141"/>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Immunsystemet</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Sjælden</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404"/>
              <w:rPr>
                <w:sz w:val="22"/>
                <w:szCs w:val="22"/>
              </w:rPr>
            </w:pPr>
            <w:r>
              <w:rPr>
                <w:sz w:val="22"/>
                <w:szCs w:val="22"/>
              </w:rPr>
              <w:t>Overfølsomhed inklusive urticaria og ansigtsødem</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Anafylaksi</w:t>
            </w:r>
          </w:p>
        </w:tc>
      </w:tr>
      <w:tr w:rsidR="003E5494" w:rsidTr="004D4259">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Metabolisme og ernæring</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448"/>
              <w:rPr>
                <w:sz w:val="22"/>
                <w:szCs w:val="22"/>
              </w:rPr>
            </w:pPr>
          </w:p>
          <w:p w:rsidR="003E5494" w:rsidRDefault="003E5494" w:rsidP="004D4259">
            <w:pPr>
              <w:widowControl w:val="0"/>
              <w:tabs>
                <w:tab w:val="left" w:pos="0"/>
                <w:tab w:val="left" w:pos="9070"/>
              </w:tabs>
              <w:ind w:left="175" w:right="47"/>
              <w:rPr>
                <w:sz w:val="22"/>
                <w:szCs w:val="22"/>
              </w:rPr>
            </w:pPr>
            <w:r>
              <w:rPr>
                <w:sz w:val="22"/>
                <w:szCs w:val="22"/>
              </w:rPr>
              <w:t xml:space="preserve">Ikke almindelig </w:t>
            </w:r>
          </w:p>
          <w:p w:rsidR="003E5494" w:rsidRDefault="003E5494" w:rsidP="004D4259">
            <w:pPr>
              <w:widowControl w:val="0"/>
              <w:tabs>
                <w:tab w:val="left" w:pos="0"/>
                <w:tab w:val="left" w:pos="9070"/>
              </w:tabs>
              <w:ind w:left="175" w:right="47"/>
              <w:rPr>
                <w:sz w:val="22"/>
                <w:szCs w:val="22"/>
              </w:rPr>
            </w:pPr>
          </w:p>
          <w:p w:rsidR="003E5494" w:rsidRDefault="003E5494" w:rsidP="004D4259">
            <w:pPr>
              <w:widowControl w:val="0"/>
              <w:tabs>
                <w:tab w:val="left" w:pos="0"/>
                <w:tab w:val="left" w:pos="9070"/>
              </w:tabs>
              <w:ind w:left="175" w:right="448"/>
              <w:rPr>
                <w:sz w:val="22"/>
                <w:szCs w:val="22"/>
              </w:rPr>
            </w:pPr>
            <w:r>
              <w:rPr>
                <w:sz w:val="22"/>
                <w:szCs w:val="22"/>
              </w:rPr>
              <w:t>Sjælden</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lastRenderedPageBreak/>
              <w:t xml:space="preserve">Hyperkolesterolæmi, hypertriglyceridæmi, urica, ødem og perifert ødem, dehydrering (ofte </w:t>
            </w:r>
            <w:r>
              <w:rPr>
                <w:sz w:val="22"/>
                <w:szCs w:val="22"/>
              </w:rPr>
              <w:lastRenderedPageBreak/>
              <w:t>forbundet med gastrointestinale symptomer)</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141"/>
              <w:rPr>
                <w:sz w:val="22"/>
                <w:szCs w:val="22"/>
              </w:rPr>
            </w:pPr>
            <w:r>
              <w:rPr>
                <w:sz w:val="22"/>
                <w:szCs w:val="22"/>
              </w:rPr>
              <w:t xml:space="preserve">Diabetes mellitus </w:t>
            </w:r>
          </w:p>
          <w:p w:rsidR="003E5494" w:rsidRDefault="003E5494" w:rsidP="004D4259">
            <w:pPr>
              <w:widowControl w:val="0"/>
              <w:tabs>
                <w:tab w:val="left" w:pos="0"/>
                <w:tab w:val="left" w:pos="9070"/>
              </w:tabs>
              <w:ind w:left="175" w:right="141"/>
              <w:rPr>
                <w:sz w:val="22"/>
                <w:szCs w:val="22"/>
              </w:rPr>
            </w:pPr>
          </w:p>
          <w:p w:rsidR="003E5494" w:rsidRDefault="003E5494" w:rsidP="004D4259">
            <w:pPr>
              <w:widowControl w:val="0"/>
              <w:tabs>
                <w:tab w:val="left" w:pos="0"/>
                <w:tab w:val="left" w:pos="9070"/>
              </w:tabs>
              <w:ind w:left="175" w:right="2162"/>
              <w:rPr>
                <w:sz w:val="22"/>
                <w:szCs w:val="22"/>
              </w:rPr>
            </w:pPr>
            <w:r>
              <w:rPr>
                <w:sz w:val="22"/>
                <w:szCs w:val="22"/>
              </w:rPr>
              <w:t>Hyperglykæmi</w:t>
            </w:r>
          </w:p>
        </w:tc>
      </w:tr>
      <w:tr w:rsidR="003E5494" w:rsidTr="004D4259">
        <w:trPr>
          <w:trHeight w:hRule="exact" w:val="1857"/>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lastRenderedPageBreak/>
              <w:t>Nervesystemet</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Meget 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579"/>
              <w:rPr>
                <w:sz w:val="22"/>
                <w:szCs w:val="22"/>
              </w:rPr>
            </w:pPr>
            <w:r>
              <w:rPr>
                <w:sz w:val="22"/>
                <w:szCs w:val="22"/>
              </w:rPr>
              <w:t>Dysgeusi, oral og perifer paræstesi, hovedpine, svimmelhed, perifer neuropati</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232"/>
              <w:rPr>
                <w:sz w:val="22"/>
                <w:szCs w:val="22"/>
              </w:rPr>
            </w:pPr>
            <w:r>
              <w:rPr>
                <w:sz w:val="22"/>
                <w:szCs w:val="22"/>
              </w:rPr>
              <w:t>Søvnløshed, angst, konfusion, opmærksomhedsforstyrrelser, synkope, krampeanfald</w:t>
            </w:r>
          </w:p>
        </w:tc>
      </w:tr>
      <w:tr w:rsidR="003E5494" w:rsidTr="004D4259">
        <w:trPr>
          <w:trHeight w:hRule="exact" w:val="516"/>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Øjne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Sløret syn</w:t>
            </w:r>
          </w:p>
        </w:tc>
      </w:tr>
      <w:tr w:rsidR="003E5494" w:rsidTr="004D4259">
        <w:trPr>
          <w:trHeight w:hRule="exact" w:val="514"/>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Hjerte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Ikke 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Myokardieinfarkt</w:t>
            </w:r>
          </w:p>
        </w:tc>
      </w:tr>
      <w:tr w:rsidR="003E5494" w:rsidTr="004D4259">
        <w:trPr>
          <w:trHeight w:hRule="exact" w:val="792"/>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Vaskulære sygdomme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ight="406"/>
              <w:rPr>
                <w:sz w:val="22"/>
                <w:szCs w:val="22"/>
              </w:rPr>
            </w:pPr>
            <w:r>
              <w:rPr>
                <w:sz w:val="22"/>
                <w:szCs w:val="22"/>
              </w:rPr>
              <w:t>Hypertension, hypotension inklusive ortostatisk hypotension, perifer kuldefølelse</w:t>
            </w:r>
          </w:p>
        </w:tc>
      </w:tr>
      <w:tr w:rsidR="003E5494" w:rsidTr="004D4259">
        <w:trPr>
          <w:trHeight w:hRule="exact" w:val="432"/>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Luftveje, thorax og mediastinum</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Meget 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Faryngitis, orofaryngeal smerte, hoste</w:t>
            </w:r>
          </w:p>
        </w:tc>
      </w:tr>
      <w:tr w:rsidR="003E5494" w:rsidTr="004D4259">
        <w:trPr>
          <w:trHeight w:hRule="exact" w:val="2297"/>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Mave-tarm-kanalen</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Meget 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Abdominalsmerter (øvre og nedre), kvalme, diarré (inklusive svær med elektrolytforstyrrelser), opkastning, dyspepsi</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Anoreksi, flatulens, mundsår, gastro-intestinal blødning, gastroøsofageal reflukssygdom, pankreatit</w:t>
            </w:r>
          </w:p>
        </w:tc>
      </w:tr>
      <w:tr w:rsidR="003E5494" w:rsidTr="004D4259">
        <w:trPr>
          <w:trHeight w:hRule="exact" w:val="862"/>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Lever og galdeveje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ight="212"/>
              <w:rPr>
                <w:sz w:val="22"/>
                <w:szCs w:val="22"/>
              </w:rPr>
            </w:pPr>
            <w:r>
              <w:rPr>
                <w:sz w:val="22"/>
                <w:szCs w:val="22"/>
              </w:rPr>
              <w:t>Hepatitis inklusive øget AST, ALT, GGT), øget bilirubin i blodet (inklusive gulsot)</w:t>
            </w:r>
          </w:p>
        </w:tc>
      </w:tr>
      <w:tr w:rsidR="003E5494" w:rsidTr="004D4259">
        <w:trPr>
          <w:trHeight w:hRule="exact" w:val="1829"/>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Hud og subkutane væv</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Meget 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640"/>
              <w:rPr>
                <w:sz w:val="22"/>
                <w:szCs w:val="22"/>
              </w:rPr>
            </w:pPr>
            <w:r>
              <w:rPr>
                <w:sz w:val="22"/>
                <w:szCs w:val="22"/>
              </w:rPr>
              <w:t xml:space="preserve">Almindelig </w:t>
            </w:r>
          </w:p>
          <w:p w:rsidR="003E5494" w:rsidRDefault="003E5494" w:rsidP="004D4259">
            <w:pPr>
              <w:widowControl w:val="0"/>
              <w:tabs>
                <w:tab w:val="left" w:pos="0"/>
                <w:tab w:val="left" w:pos="9070"/>
              </w:tabs>
              <w:ind w:left="175" w:right="640"/>
              <w:rPr>
                <w:sz w:val="22"/>
                <w:szCs w:val="22"/>
              </w:rPr>
            </w:pPr>
          </w:p>
          <w:p w:rsidR="003E5494" w:rsidRDefault="003E5494" w:rsidP="004D4259">
            <w:pPr>
              <w:widowControl w:val="0"/>
              <w:tabs>
                <w:tab w:val="left" w:pos="0"/>
                <w:tab w:val="left" w:pos="9070"/>
              </w:tabs>
              <w:ind w:left="175" w:right="640"/>
              <w:rPr>
                <w:sz w:val="22"/>
                <w:szCs w:val="22"/>
              </w:rPr>
            </w:pPr>
            <w:r>
              <w:rPr>
                <w:sz w:val="22"/>
                <w:szCs w:val="22"/>
              </w:rPr>
              <w:t>Sjælden</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351"/>
              <w:rPr>
                <w:sz w:val="22"/>
                <w:szCs w:val="22"/>
              </w:rPr>
            </w:pPr>
            <w:r>
              <w:rPr>
                <w:sz w:val="22"/>
                <w:szCs w:val="22"/>
              </w:rPr>
              <w:t>Pruritus, udslæt (inklusive erytematøst og makulopapuløst)</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Akne</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283"/>
              <w:rPr>
                <w:sz w:val="22"/>
                <w:szCs w:val="22"/>
              </w:rPr>
            </w:pPr>
            <w:r>
              <w:rPr>
                <w:sz w:val="22"/>
                <w:szCs w:val="22"/>
              </w:rPr>
              <w:t>Stevens-Johnson's syndrom, toksisk epidermal nekrolyse (TEN)</w:t>
            </w:r>
          </w:p>
        </w:tc>
      </w:tr>
      <w:tr w:rsidR="003E5494" w:rsidTr="004D4259">
        <w:trPr>
          <w:trHeight w:hRule="exact" w:val="1329"/>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ight="853"/>
              <w:rPr>
                <w:sz w:val="22"/>
                <w:szCs w:val="22"/>
              </w:rPr>
            </w:pPr>
            <w:r>
              <w:rPr>
                <w:sz w:val="22"/>
                <w:szCs w:val="22"/>
              </w:rPr>
              <w:t>Knogler, led, muskler og bindevæv</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364"/>
              <w:rPr>
                <w:sz w:val="22"/>
                <w:szCs w:val="22"/>
              </w:rPr>
            </w:pPr>
            <w:r>
              <w:rPr>
                <w:sz w:val="22"/>
                <w:szCs w:val="22"/>
              </w:rPr>
              <w:t xml:space="preserve">Meget almindelig </w:t>
            </w:r>
          </w:p>
          <w:p w:rsidR="003E5494" w:rsidRDefault="003E5494" w:rsidP="004D4259">
            <w:pPr>
              <w:widowControl w:val="0"/>
              <w:tabs>
                <w:tab w:val="left" w:pos="0"/>
                <w:tab w:val="left" w:pos="9070"/>
              </w:tabs>
              <w:ind w:left="175" w:right="364"/>
              <w:rPr>
                <w:sz w:val="22"/>
                <w:szCs w:val="22"/>
              </w:rPr>
            </w:pPr>
          </w:p>
          <w:p w:rsidR="003E5494" w:rsidRDefault="003E5494" w:rsidP="004D4259">
            <w:pPr>
              <w:widowControl w:val="0"/>
              <w:tabs>
                <w:tab w:val="left" w:pos="0"/>
                <w:tab w:val="left" w:pos="9070"/>
              </w:tabs>
              <w:ind w:left="175" w:right="364"/>
              <w:rPr>
                <w:sz w:val="22"/>
                <w:szCs w:val="22"/>
              </w:rPr>
            </w:pPr>
            <w:r>
              <w:rPr>
                <w:sz w:val="22"/>
                <w:szCs w:val="22"/>
              </w:rPr>
              <w:t>Ikke almindelig</w:t>
            </w:r>
          </w:p>
          <w:p w:rsidR="003E5494" w:rsidRDefault="003E5494" w:rsidP="004D4259">
            <w:pPr>
              <w:widowControl w:val="0"/>
              <w:tabs>
                <w:tab w:val="left" w:pos="0"/>
                <w:tab w:val="left" w:pos="9070"/>
              </w:tabs>
              <w:ind w:left="175" w:right="364"/>
              <w:rPr>
                <w:sz w:val="22"/>
                <w:szCs w:val="22"/>
              </w:rPr>
            </w:pPr>
          </w:p>
          <w:p w:rsidR="003E5494" w:rsidRDefault="003E5494" w:rsidP="004D4259">
            <w:pPr>
              <w:widowControl w:val="0"/>
              <w:tabs>
                <w:tab w:val="left" w:pos="0"/>
                <w:tab w:val="left" w:pos="9070"/>
              </w:tabs>
              <w:ind w:left="175" w:right="364"/>
              <w:rPr>
                <w:sz w:val="22"/>
                <w:szCs w:val="22"/>
              </w:rPr>
            </w:pPr>
          </w:p>
          <w:p w:rsidR="003E5494" w:rsidRDefault="003E5494" w:rsidP="004D4259">
            <w:pPr>
              <w:widowControl w:val="0"/>
              <w:tabs>
                <w:tab w:val="left" w:pos="0"/>
                <w:tab w:val="left" w:pos="9070"/>
              </w:tabs>
              <w:ind w:left="175" w:right="364"/>
              <w:rPr>
                <w:sz w:val="22"/>
                <w:szCs w:val="22"/>
              </w:rPr>
            </w:pPr>
          </w:p>
          <w:p w:rsidR="003E5494" w:rsidRDefault="003E5494" w:rsidP="004D4259">
            <w:pPr>
              <w:widowControl w:val="0"/>
              <w:tabs>
                <w:tab w:val="left" w:pos="0"/>
                <w:tab w:val="left" w:pos="9070"/>
              </w:tabs>
              <w:ind w:left="175" w:right="364"/>
              <w:rPr>
                <w:sz w:val="22"/>
                <w:szCs w:val="22"/>
              </w:rPr>
            </w:pP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Artralgi og rygsmerter</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939"/>
              <w:rPr>
                <w:sz w:val="22"/>
                <w:szCs w:val="22"/>
              </w:rPr>
            </w:pPr>
            <w:r>
              <w:rPr>
                <w:sz w:val="22"/>
                <w:szCs w:val="22"/>
              </w:rPr>
              <w:t>Myositis, rabdomyolyse, myalgi, myopati/forhøjet kreatinase</w:t>
            </w:r>
          </w:p>
        </w:tc>
      </w:tr>
      <w:tr w:rsidR="003E5494" w:rsidTr="004D4259">
        <w:trPr>
          <w:trHeight w:hRule="exact" w:val="1796"/>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Nyre og urinveje</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Ikke 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Ikke kendt</w:t>
            </w:r>
          </w:p>
          <w:p w:rsidR="003E5494" w:rsidRDefault="003E5494" w:rsidP="004D4259">
            <w:pPr>
              <w:widowControl w:val="0"/>
              <w:tabs>
                <w:tab w:val="left" w:pos="0"/>
                <w:tab w:val="left" w:pos="9070"/>
              </w:tabs>
              <w:rPr>
                <w:sz w:val="22"/>
                <w:szCs w:val="22"/>
              </w:rPr>
            </w:pPr>
            <w:r>
              <w:rPr>
                <w:sz w:val="22"/>
                <w:szCs w:val="22"/>
              </w:rPr>
              <w:br/>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260"/>
              <w:rPr>
                <w:sz w:val="22"/>
                <w:szCs w:val="22"/>
              </w:rPr>
            </w:pPr>
            <w:r>
              <w:rPr>
                <w:sz w:val="22"/>
                <w:szCs w:val="22"/>
              </w:rPr>
              <w:t>Øget vandladning, nedsat nyrefunktion (f.eks. oliguri, forhøjet kreatinin)</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Akut nyresvigt</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sidRPr="00D202C5">
              <w:rPr>
                <w:sz w:val="22"/>
                <w:szCs w:val="22"/>
              </w:rPr>
              <w:t>Ne</w:t>
            </w:r>
            <w:r>
              <w:rPr>
                <w:sz w:val="22"/>
                <w:szCs w:val="22"/>
              </w:rPr>
              <w:t>f</w:t>
            </w:r>
            <w:r w:rsidRPr="00D202C5">
              <w:rPr>
                <w:sz w:val="22"/>
                <w:szCs w:val="22"/>
              </w:rPr>
              <w:t>rolithiasis</w:t>
            </w:r>
          </w:p>
        </w:tc>
      </w:tr>
      <w:tr w:rsidR="003E5494" w:rsidTr="004D4259">
        <w:trPr>
          <w:trHeight w:hRule="exact" w:val="516"/>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ight="608"/>
              <w:rPr>
                <w:sz w:val="22"/>
                <w:szCs w:val="22"/>
              </w:rPr>
            </w:pPr>
            <w:r>
              <w:rPr>
                <w:sz w:val="22"/>
                <w:szCs w:val="22"/>
              </w:rPr>
              <w:t>Det reproduktive system og mammae</w:t>
            </w:r>
          </w:p>
        </w:tc>
        <w:tc>
          <w:tcPr>
            <w:tcW w:w="2304"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Menoragi</w:t>
            </w:r>
          </w:p>
        </w:tc>
      </w:tr>
      <w:tr w:rsidR="003E5494" w:rsidTr="004D4259">
        <w:trPr>
          <w:trHeight w:hRule="exact" w:val="1032"/>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ight="1033"/>
              <w:rPr>
                <w:sz w:val="22"/>
                <w:szCs w:val="22"/>
              </w:rPr>
            </w:pPr>
            <w:r>
              <w:rPr>
                <w:sz w:val="22"/>
                <w:szCs w:val="22"/>
              </w:rPr>
              <w:lastRenderedPageBreak/>
              <w:t>Almene symptomer og reaktioner på administrationsstedet</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Meget 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Almindelig</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380"/>
              <w:rPr>
                <w:sz w:val="22"/>
                <w:szCs w:val="22"/>
              </w:rPr>
            </w:pPr>
            <w:r>
              <w:rPr>
                <w:sz w:val="22"/>
                <w:szCs w:val="22"/>
              </w:rPr>
              <w:t>Udmattelse inklusive asteni, flushing, varmefølelse</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Feber, vægttab</w:t>
            </w:r>
          </w:p>
        </w:tc>
      </w:tr>
      <w:tr w:rsidR="003E5494" w:rsidTr="004D4259">
        <w:trPr>
          <w:trHeight w:hRule="exact" w:val="1572"/>
        </w:trPr>
        <w:tc>
          <w:tcPr>
            <w:tcW w:w="3163" w:type="dxa"/>
            <w:tcBorders>
              <w:top w:val="single" w:sz="4" w:space="0" w:color="000000"/>
              <w:left w:val="single" w:sz="4" w:space="0" w:color="000000"/>
              <w:bottom w:val="single" w:sz="4" w:space="0" w:color="000000"/>
              <w:right w:val="single" w:sz="4" w:space="0" w:color="000000"/>
            </w:tcBorders>
            <w:hideMark/>
          </w:tcPr>
          <w:p w:rsidR="003E5494" w:rsidRDefault="003E5494" w:rsidP="004D4259">
            <w:pPr>
              <w:widowControl w:val="0"/>
              <w:tabs>
                <w:tab w:val="left" w:pos="0"/>
                <w:tab w:val="left" w:pos="9070"/>
              </w:tabs>
              <w:ind w:left="175"/>
              <w:rPr>
                <w:sz w:val="22"/>
                <w:szCs w:val="22"/>
              </w:rPr>
            </w:pPr>
            <w:r>
              <w:rPr>
                <w:sz w:val="22"/>
                <w:szCs w:val="22"/>
              </w:rPr>
              <w:t>Undersøgelser</w:t>
            </w:r>
          </w:p>
        </w:tc>
        <w:tc>
          <w:tcPr>
            <w:tcW w:w="2304"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Pr>
                <w:sz w:val="22"/>
                <w:szCs w:val="22"/>
              </w:rPr>
            </w:pPr>
            <w:r>
              <w:rPr>
                <w:sz w:val="22"/>
                <w:szCs w:val="22"/>
              </w:rPr>
              <w:t>Almindelig</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Pr>
                <w:sz w:val="22"/>
                <w:szCs w:val="22"/>
              </w:rPr>
            </w:pPr>
            <w:r>
              <w:rPr>
                <w:sz w:val="22"/>
                <w:szCs w:val="22"/>
              </w:rPr>
              <w:t>Ikke almindelig</w:t>
            </w:r>
          </w:p>
        </w:tc>
        <w:tc>
          <w:tcPr>
            <w:tcW w:w="3779" w:type="dxa"/>
            <w:tcBorders>
              <w:top w:val="single" w:sz="4" w:space="0" w:color="000000"/>
              <w:left w:val="single" w:sz="4" w:space="0" w:color="000000"/>
              <w:bottom w:val="single" w:sz="4" w:space="0" w:color="000000"/>
              <w:right w:val="single" w:sz="4" w:space="0" w:color="000000"/>
            </w:tcBorders>
          </w:tcPr>
          <w:p w:rsidR="003E5494" w:rsidRDefault="003E5494" w:rsidP="004D4259">
            <w:pPr>
              <w:widowControl w:val="0"/>
              <w:tabs>
                <w:tab w:val="left" w:pos="0"/>
                <w:tab w:val="left" w:pos="9070"/>
              </w:tabs>
              <w:ind w:left="175" w:right="446"/>
              <w:rPr>
                <w:sz w:val="22"/>
                <w:szCs w:val="22"/>
              </w:rPr>
            </w:pPr>
            <w:r>
              <w:rPr>
                <w:sz w:val="22"/>
                <w:szCs w:val="22"/>
              </w:rPr>
              <w:t>Forhøjet amylase, nedsat fri og total-thyroxin</w:t>
            </w:r>
          </w:p>
          <w:p w:rsidR="003E5494" w:rsidRDefault="003E5494" w:rsidP="004D4259">
            <w:pPr>
              <w:widowControl w:val="0"/>
              <w:tabs>
                <w:tab w:val="left" w:pos="0"/>
                <w:tab w:val="left" w:pos="9070"/>
              </w:tabs>
              <w:ind w:left="175"/>
              <w:rPr>
                <w:sz w:val="22"/>
                <w:szCs w:val="22"/>
              </w:rPr>
            </w:pPr>
          </w:p>
          <w:p w:rsidR="003E5494" w:rsidRDefault="003E5494" w:rsidP="004D4259">
            <w:pPr>
              <w:widowControl w:val="0"/>
              <w:tabs>
                <w:tab w:val="left" w:pos="0"/>
                <w:tab w:val="left" w:pos="9070"/>
              </w:tabs>
              <w:ind w:left="175" w:right="294"/>
              <w:rPr>
                <w:sz w:val="22"/>
                <w:szCs w:val="22"/>
              </w:rPr>
            </w:pPr>
            <w:r>
              <w:rPr>
                <w:sz w:val="22"/>
                <w:szCs w:val="22"/>
              </w:rPr>
              <w:t>Forhøjet glucose, forhøjet magnesium, forhøjet alkalisk fosfatase</w:t>
            </w:r>
          </w:p>
        </w:tc>
      </w:tr>
    </w:tbl>
    <w:p w:rsidR="007C1BB9" w:rsidRDefault="007C1BB9" w:rsidP="007C1BB9">
      <w:pPr>
        <w:tabs>
          <w:tab w:val="left" w:pos="0"/>
          <w:tab w:val="left" w:pos="9070"/>
        </w:tabs>
        <w:ind w:left="851"/>
        <w:rPr>
          <w:sz w:val="24"/>
          <w:szCs w:val="24"/>
          <w:lang w:eastAsia="da-DK"/>
        </w:rPr>
      </w:pPr>
    </w:p>
    <w:p w:rsidR="007C1BB9" w:rsidRDefault="007C1BB9" w:rsidP="007C1BB9">
      <w:pPr>
        <w:widowControl w:val="0"/>
        <w:tabs>
          <w:tab w:val="left" w:pos="0"/>
          <w:tab w:val="left" w:pos="9070"/>
        </w:tabs>
        <w:ind w:left="851" w:right="2"/>
        <w:rPr>
          <w:sz w:val="24"/>
          <w:szCs w:val="24"/>
          <w:u w:val="single"/>
        </w:rPr>
      </w:pPr>
      <w:r>
        <w:rPr>
          <w:sz w:val="24"/>
          <w:szCs w:val="24"/>
          <w:u w:val="single"/>
        </w:rPr>
        <w:t>Beskrivelse af udvalgte bivirkninger</w:t>
      </w:r>
    </w:p>
    <w:p w:rsidR="007C1BB9" w:rsidRDefault="007C1BB9" w:rsidP="007C1BB9">
      <w:pPr>
        <w:widowControl w:val="0"/>
        <w:tabs>
          <w:tab w:val="left" w:pos="0"/>
          <w:tab w:val="left" w:pos="9070"/>
        </w:tabs>
        <w:ind w:left="851" w:right="2"/>
        <w:rPr>
          <w:sz w:val="24"/>
          <w:szCs w:val="24"/>
        </w:rPr>
      </w:pPr>
      <w:r>
        <w:rPr>
          <w:sz w:val="24"/>
          <w:szCs w:val="24"/>
        </w:rPr>
        <w:t>Stigning i hepatiske aminotransferaser udover 5 gange den øvre normalgrænse, klinisk hepatit og gulsot er set hos patienter, som fik ritonavir alene eller i kombination med andre retrovirale medikamenter.</w:t>
      </w:r>
    </w:p>
    <w:p w:rsidR="007C1BB9" w:rsidRDefault="007C1BB9" w:rsidP="007C1BB9">
      <w:pPr>
        <w:widowControl w:val="0"/>
        <w:tabs>
          <w:tab w:val="left" w:pos="0"/>
          <w:tab w:val="left" w:pos="9070"/>
        </w:tabs>
        <w:ind w:left="851" w:right="2"/>
        <w:rPr>
          <w:sz w:val="24"/>
          <w:szCs w:val="24"/>
          <w:u w:val="single"/>
        </w:rPr>
      </w:pPr>
    </w:p>
    <w:p w:rsidR="007C1BB9" w:rsidRDefault="007C1BB9" w:rsidP="007C1BB9">
      <w:pPr>
        <w:widowControl w:val="0"/>
        <w:tabs>
          <w:tab w:val="left" w:pos="0"/>
          <w:tab w:val="left" w:pos="9070"/>
        </w:tabs>
        <w:ind w:left="851" w:right="2"/>
        <w:rPr>
          <w:sz w:val="24"/>
          <w:szCs w:val="24"/>
          <w:u w:val="single"/>
        </w:rPr>
      </w:pPr>
      <w:r>
        <w:rPr>
          <w:sz w:val="24"/>
          <w:szCs w:val="24"/>
          <w:u w:val="single"/>
        </w:rPr>
        <w:t>Metaboliske parametre</w:t>
      </w:r>
    </w:p>
    <w:p w:rsidR="007C1BB9" w:rsidRDefault="007C1BB9" w:rsidP="007C1BB9">
      <w:pPr>
        <w:widowControl w:val="0"/>
        <w:tabs>
          <w:tab w:val="left" w:pos="0"/>
          <w:tab w:val="left" w:pos="9070"/>
        </w:tabs>
        <w:ind w:left="851" w:right="2"/>
        <w:rPr>
          <w:sz w:val="24"/>
          <w:szCs w:val="24"/>
        </w:rPr>
      </w:pPr>
      <w:r>
        <w:rPr>
          <w:sz w:val="24"/>
          <w:szCs w:val="24"/>
        </w:rPr>
        <w:t>Kropsvægt og lipid- og glucoseniveauerne i blodet kan stige under antiretroviral behandling (se pkt. 4.4).</w:t>
      </w:r>
    </w:p>
    <w:p w:rsidR="007C1BB9" w:rsidRDefault="007C1BB9" w:rsidP="007C1BB9">
      <w:pPr>
        <w:tabs>
          <w:tab w:val="left" w:pos="0"/>
          <w:tab w:val="left" w:pos="9070"/>
        </w:tabs>
        <w:ind w:left="851"/>
        <w:rPr>
          <w:sz w:val="24"/>
          <w:szCs w:val="24"/>
          <w:lang w:eastAsia="da-DK"/>
        </w:rPr>
      </w:pPr>
    </w:p>
    <w:p w:rsidR="007C1BB9" w:rsidRDefault="007C1BB9" w:rsidP="007C1BB9">
      <w:pPr>
        <w:tabs>
          <w:tab w:val="left" w:pos="0"/>
          <w:tab w:val="left" w:pos="9070"/>
        </w:tabs>
        <w:ind w:left="851"/>
        <w:rPr>
          <w:sz w:val="24"/>
          <w:szCs w:val="24"/>
        </w:rPr>
      </w:pPr>
      <w:r>
        <w:rPr>
          <w:sz w:val="24"/>
          <w:szCs w:val="24"/>
        </w:rPr>
        <w:t>Hos hiv-inficerede patienter med svær immuninsufficiens kan der ved påbegyndelse af antiretroviral kombinationsbehandling (CART) opstå en inflammatorisk reaktion på asymptomatiske eller residuale opportunistiske infektioner. Der er også rapporteret autoimmune sygdomme (såsom Graves sygdom og autoimmun hepatitis). Den rapporterede tid til reaktionen indtræder er dog mere variabel, og reaktionen kan forekomme flere måneder efter påbegyndelse af behandlingen (se pkt. 4.4).</w:t>
      </w:r>
    </w:p>
    <w:p w:rsidR="007C1BB9" w:rsidRDefault="007C1BB9" w:rsidP="007C1BB9">
      <w:pPr>
        <w:widowControl w:val="0"/>
        <w:tabs>
          <w:tab w:val="left" w:pos="0"/>
          <w:tab w:val="left" w:pos="9070"/>
        </w:tabs>
        <w:ind w:left="851" w:right="253"/>
        <w:rPr>
          <w:sz w:val="24"/>
          <w:szCs w:val="24"/>
        </w:rPr>
      </w:pPr>
    </w:p>
    <w:p w:rsidR="007C1BB9" w:rsidRDefault="007C1BB9" w:rsidP="007C1BB9">
      <w:pPr>
        <w:widowControl w:val="0"/>
        <w:tabs>
          <w:tab w:val="left" w:pos="0"/>
          <w:tab w:val="left" w:pos="9070"/>
        </w:tabs>
        <w:ind w:left="851" w:right="253"/>
        <w:rPr>
          <w:sz w:val="24"/>
          <w:szCs w:val="24"/>
        </w:rPr>
      </w:pPr>
      <w:r>
        <w:rPr>
          <w:sz w:val="24"/>
          <w:szCs w:val="24"/>
        </w:rPr>
        <w:t>Pankreatit er observeret hos patienter i behandling med ritonavir, herunder patienter, der udviklede hypertriglyceridæmi. I nogle tilfælde er der observeret letale forløb. Patienter med fremskreden hiv-sygdom kan have en risiko for forhøjede triglyceridværdier og pankreatit (se pkt. 4.4).</w:t>
      </w:r>
    </w:p>
    <w:p w:rsidR="007C1BB9" w:rsidRDefault="007C1BB9" w:rsidP="007C1BB9">
      <w:pPr>
        <w:tabs>
          <w:tab w:val="left" w:pos="0"/>
          <w:tab w:val="left" w:pos="9070"/>
        </w:tabs>
        <w:ind w:left="851"/>
        <w:rPr>
          <w:sz w:val="24"/>
          <w:szCs w:val="24"/>
          <w:lang w:eastAsia="da-DK"/>
        </w:rPr>
      </w:pPr>
    </w:p>
    <w:p w:rsidR="007C1BB9" w:rsidRDefault="007C1BB9" w:rsidP="007C1BB9">
      <w:pPr>
        <w:widowControl w:val="0"/>
        <w:tabs>
          <w:tab w:val="left" w:pos="0"/>
          <w:tab w:val="left" w:pos="9070"/>
        </w:tabs>
        <w:ind w:left="851" w:right="176"/>
        <w:rPr>
          <w:sz w:val="24"/>
          <w:szCs w:val="24"/>
        </w:rPr>
      </w:pPr>
      <w:r>
        <w:rPr>
          <w:sz w:val="24"/>
          <w:szCs w:val="24"/>
        </w:rPr>
        <w:t>Der er rapporteret om tilfælde af osteonekrose, især hos patienter med generelt anerkendte risikofaktorer, fremskreden hiv-sygdom eller langvarig kombinationsbehandling med antiretroviral lægemidler (CART). Hyppigheden heraf er ukendt (se pkt. 4.4).</w:t>
      </w:r>
    </w:p>
    <w:p w:rsidR="007C1BB9" w:rsidRDefault="007C1BB9" w:rsidP="007C1BB9">
      <w:pPr>
        <w:tabs>
          <w:tab w:val="left" w:pos="0"/>
          <w:tab w:val="left" w:pos="9070"/>
        </w:tabs>
        <w:ind w:left="851"/>
        <w:rPr>
          <w:sz w:val="24"/>
          <w:szCs w:val="24"/>
          <w:lang w:eastAsia="da-DK"/>
        </w:rPr>
      </w:pPr>
    </w:p>
    <w:p w:rsidR="007C1BB9" w:rsidRDefault="007C1BB9" w:rsidP="007C1BB9">
      <w:pPr>
        <w:widowControl w:val="0"/>
        <w:tabs>
          <w:tab w:val="left" w:pos="0"/>
          <w:tab w:val="left" w:pos="9070"/>
        </w:tabs>
        <w:ind w:left="851"/>
        <w:rPr>
          <w:i/>
          <w:sz w:val="24"/>
          <w:szCs w:val="24"/>
        </w:rPr>
      </w:pPr>
      <w:r>
        <w:rPr>
          <w:i/>
          <w:sz w:val="24"/>
          <w:szCs w:val="24"/>
        </w:rPr>
        <w:t>Pædiatriske populationer</w:t>
      </w:r>
    </w:p>
    <w:p w:rsidR="007C1BB9" w:rsidRDefault="007C1BB9" w:rsidP="007C1BB9">
      <w:pPr>
        <w:widowControl w:val="0"/>
        <w:tabs>
          <w:tab w:val="left" w:pos="0"/>
          <w:tab w:val="left" w:pos="9070"/>
        </w:tabs>
        <w:ind w:left="851"/>
        <w:rPr>
          <w:sz w:val="24"/>
          <w:szCs w:val="24"/>
        </w:rPr>
      </w:pPr>
      <w:r>
        <w:rPr>
          <w:sz w:val="24"/>
          <w:szCs w:val="24"/>
        </w:rPr>
        <w:t>Ritonavirs sikkerhedsprofil hos børn i alderen 2 år og ældre svarer til sikkerhedsprofilen hos voksne.</w:t>
      </w:r>
    </w:p>
    <w:p w:rsidR="007C1BB9" w:rsidRDefault="007C1BB9" w:rsidP="007C1BB9">
      <w:pPr>
        <w:widowControl w:val="0"/>
        <w:tabs>
          <w:tab w:val="left" w:pos="0"/>
          <w:tab w:val="left" w:pos="9070"/>
        </w:tabs>
        <w:ind w:left="851"/>
        <w:rPr>
          <w:sz w:val="24"/>
          <w:szCs w:val="24"/>
        </w:rPr>
      </w:pPr>
    </w:p>
    <w:p w:rsidR="007C1BB9" w:rsidRDefault="007C1BB9" w:rsidP="007C1BB9">
      <w:pPr>
        <w:widowControl w:val="0"/>
        <w:tabs>
          <w:tab w:val="left" w:pos="0"/>
          <w:tab w:val="left" w:pos="9070"/>
        </w:tabs>
        <w:ind w:left="851"/>
        <w:rPr>
          <w:sz w:val="24"/>
          <w:szCs w:val="24"/>
        </w:rPr>
      </w:pPr>
      <w:r>
        <w:rPr>
          <w:sz w:val="24"/>
          <w:szCs w:val="24"/>
          <w:u w:val="single" w:color="000000"/>
        </w:rPr>
        <w:t>Indberetning af formodede bivirkninger</w:t>
      </w:r>
    </w:p>
    <w:p w:rsidR="007C1BB9" w:rsidRDefault="007C1BB9" w:rsidP="007C1BB9">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7C1BB9" w:rsidRDefault="007C1BB9" w:rsidP="007C1BB9">
      <w:pPr>
        <w:ind w:left="851"/>
        <w:rPr>
          <w:sz w:val="24"/>
          <w:szCs w:val="24"/>
          <w:lang w:eastAsia="da-DK"/>
        </w:rPr>
      </w:pPr>
    </w:p>
    <w:p w:rsidR="007C1BB9" w:rsidRDefault="007C1BB9" w:rsidP="007C1BB9">
      <w:pPr>
        <w:ind w:left="851"/>
        <w:rPr>
          <w:sz w:val="24"/>
          <w:szCs w:val="24"/>
          <w:lang w:eastAsia="da-DK"/>
        </w:rPr>
      </w:pPr>
      <w:r>
        <w:rPr>
          <w:sz w:val="24"/>
          <w:szCs w:val="24"/>
          <w:lang w:eastAsia="da-DK"/>
        </w:rPr>
        <w:t>Lægemiddelstyrelsen</w:t>
      </w:r>
    </w:p>
    <w:p w:rsidR="007C1BB9" w:rsidRDefault="007C1BB9" w:rsidP="007C1BB9">
      <w:pPr>
        <w:ind w:left="851"/>
        <w:rPr>
          <w:sz w:val="24"/>
          <w:szCs w:val="24"/>
          <w:lang w:eastAsia="da-DK"/>
        </w:rPr>
      </w:pPr>
      <w:r>
        <w:rPr>
          <w:sz w:val="24"/>
          <w:szCs w:val="24"/>
          <w:lang w:eastAsia="da-DK"/>
        </w:rPr>
        <w:t>Axel Heides Gade 1</w:t>
      </w:r>
    </w:p>
    <w:p w:rsidR="007C1BB9" w:rsidRDefault="007C1BB9" w:rsidP="007C1BB9">
      <w:pPr>
        <w:ind w:left="851"/>
        <w:rPr>
          <w:sz w:val="24"/>
          <w:szCs w:val="24"/>
          <w:lang w:eastAsia="da-DK"/>
        </w:rPr>
      </w:pPr>
      <w:r>
        <w:rPr>
          <w:sz w:val="24"/>
          <w:szCs w:val="24"/>
          <w:lang w:eastAsia="da-DK"/>
        </w:rPr>
        <w:t>DK-2300 København S</w:t>
      </w:r>
    </w:p>
    <w:p w:rsidR="007C1BB9" w:rsidRPr="00CE79DE" w:rsidRDefault="007C1BB9" w:rsidP="007C1BB9">
      <w:pPr>
        <w:ind w:left="851"/>
        <w:rPr>
          <w:sz w:val="24"/>
          <w:szCs w:val="24"/>
          <w:lang w:eastAsia="da-DK"/>
        </w:rPr>
      </w:pPr>
      <w:r w:rsidRPr="00CE79DE">
        <w:rPr>
          <w:sz w:val="24"/>
          <w:szCs w:val="24"/>
          <w:lang w:eastAsia="da-DK"/>
        </w:rPr>
        <w:t xml:space="preserve">Websted: </w:t>
      </w:r>
      <w:hyperlink r:id="rId9" w:history="1">
        <w:r w:rsidRPr="00CE79DE">
          <w:rPr>
            <w:rStyle w:val="Hyperlink"/>
            <w:sz w:val="24"/>
            <w:szCs w:val="24"/>
            <w:lang w:eastAsia="da-DK"/>
          </w:rPr>
          <w:t>www.meldenbivirkning.dk</w:t>
        </w:r>
      </w:hyperlink>
    </w:p>
    <w:p w:rsidR="006C56FF" w:rsidRPr="00CE79DE" w:rsidRDefault="006C56FF" w:rsidP="006C56FF">
      <w:pPr>
        <w:pStyle w:val="Sidehoved"/>
        <w:tabs>
          <w:tab w:val="left" w:pos="851"/>
        </w:tabs>
        <w:ind w:left="851"/>
        <w:rPr>
          <w:szCs w:val="24"/>
        </w:rPr>
      </w:pPr>
    </w:p>
    <w:p w:rsidR="006C56FF" w:rsidRPr="00CE79DE" w:rsidRDefault="006C56FF" w:rsidP="003E5494">
      <w:pPr>
        <w:keepNext/>
        <w:tabs>
          <w:tab w:val="left" w:pos="851"/>
        </w:tabs>
        <w:ind w:left="851" w:hanging="851"/>
        <w:rPr>
          <w:b/>
          <w:sz w:val="24"/>
          <w:szCs w:val="24"/>
        </w:rPr>
      </w:pPr>
      <w:r w:rsidRPr="00CE79DE">
        <w:rPr>
          <w:b/>
          <w:sz w:val="24"/>
          <w:szCs w:val="24"/>
        </w:rPr>
        <w:lastRenderedPageBreak/>
        <w:t>4.9</w:t>
      </w:r>
      <w:r w:rsidRPr="00CE79DE">
        <w:rPr>
          <w:b/>
          <w:sz w:val="24"/>
          <w:szCs w:val="24"/>
        </w:rPr>
        <w:tab/>
        <w:t>Overdosering</w:t>
      </w:r>
    </w:p>
    <w:p w:rsidR="006C56FF" w:rsidRPr="00CE79DE" w:rsidRDefault="006C56FF" w:rsidP="006C56FF">
      <w:pPr>
        <w:widowControl w:val="0"/>
        <w:tabs>
          <w:tab w:val="left" w:pos="0"/>
          <w:tab w:val="left" w:pos="9070"/>
        </w:tabs>
        <w:ind w:left="851" w:right="176"/>
        <w:rPr>
          <w:sz w:val="24"/>
          <w:szCs w:val="24"/>
          <w:u w:val="single"/>
        </w:rPr>
      </w:pPr>
      <w:r w:rsidRPr="00CE79DE">
        <w:rPr>
          <w:sz w:val="24"/>
          <w:szCs w:val="24"/>
          <w:u w:val="single"/>
        </w:rPr>
        <w:t>Symptomer</w:t>
      </w:r>
    </w:p>
    <w:p w:rsidR="006C56FF" w:rsidRDefault="006C56FF" w:rsidP="006C56FF">
      <w:pPr>
        <w:widowControl w:val="0"/>
        <w:tabs>
          <w:tab w:val="left" w:pos="0"/>
          <w:tab w:val="left" w:pos="9070"/>
        </w:tabs>
        <w:ind w:left="851" w:right="176"/>
        <w:rPr>
          <w:sz w:val="24"/>
          <w:szCs w:val="24"/>
        </w:rPr>
      </w:pPr>
      <w:r>
        <w:rPr>
          <w:sz w:val="24"/>
          <w:szCs w:val="24"/>
        </w:rPr>
        <w:t>Der er begrænsede erfaringer med overdosering af ritonavir. I et klinisk studie tog en patient ritonavir i en dosis på 1500 mg/dag i to dage og meldte om paræstesi, der svandt efter at dosis blev sat ned. Et tilfælde af nyresvigt med eosinofili er rapporteret.</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76"/>
        <w:rPr>
          <w:sz w:val="24"/>
          <w:szCs w:val="24"/>
        </w:rPr>
      </w:pPr>
      <w:r>
        <w:rPr>
          <w:sz w:val="24"/>
          <w:szCs w:val="24"/>
        </w:rPr>
        <w:t>De tegn på toksicitet, der blev observeret hos dyr (mus og rotter), omfattede nedsat aktivitet, ataksi, dyspnø og tremor.</w:t>
      </w:r>
    </w:p>
    <w:p w:rsidR="006C56FF"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29"/>
        <w:rPr>
          <w:sz w:val="24"/>
          <w:szCs w:val="24"/>
        </w:rPr>
      </w:pPr>
      <w:r>
        <w:rPr>
          <w:sz w:val="24"/>
          <w:szCs w:val="24"/>
          <w:u w:val="single"/>
        </w:rPr>
        <w:t>Behandling</w:t>
      </w:r>
    </w:p>
    <w:p w:rsidR="006C56FF" w:rsidRDefault="006C56FF" w:rsidP="006C56FF">
      <w:pPr>
        <w:widowControl w:val="0"/>
        <w:tabs>
          <w:tab w:val="left" w:pos="0"/>
          <w:tab w:val="left" w:pos="9070"/>
        </w:tabs>
        <w:ind w:left="851" w:right="129"/>
        <w:rPr>
          <w:sz w:val="24"/>
          <w:szCs w:val="24"/>
        </w:rPr>
      </w:pPr>
      <w:r>
        <w:rPr>
          <w:sz w:val="24"/>
          <w:szCs w:val="24"/>
        </w:rPr>
        <w:t>Der er ingen specifik modgift mod en overdosis af ritonavir. Behandling af overdosering med ritonavir bør bestå i generelle forholdsregler såsom overvågning af vitale tegn og observation af patientens kliniske tilstand. På grund af opløselighedsegenskaberne og muligheden for transintestinal elimination foreslås det at behandling i forbindelse med overdosering bør omfatte maveudskyldning og indgift af aktivt kul. Da ritonavir i udstrakt grad omsættes i leveren og er stærkt proteinbundet, vil dialyse ikke i væsentligt omfang kunne bidrage til udskillelse af stoffet.</w:t>
      </w:r>
    </w:p>
    <w:p w:rsidR="006C56FF" w:rsidRPr="00C84483" w:rsidRDefault="006C56FF" w:rsidP="007C1BB9">
      <w:pPr>
        <w:tabs>
          <w:tab w:val="left" w:pos="851"/>
        </w:tabs>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4.10</w:t>
      </w:r>
      <w:r w:rsidRPr="00C84483">
        <w:rPr>
          <w:b/>
          <w:sz w:val="24"/>
          <w:szCs w:val="24"/>
        </w:rPr>
        <w:tab/>
        <w:t>Udlevering</w:t>
      </w:r>
    </w:p>
    <w:p w:rsidR="006C56FF" w:rsidRPr="00C84483" w:rsidRDefault="006C56FF" w:rsidP="006C56FF">
      <w:pPr>
        <w:tabs>
          <w:tab w:val="left" w:pos="851"/>
        </w:tabs>
        <w:ind w:left="851"/>
        <w:rPr>
          <w:sz w:val="24"/>
          <w:szCs w:val="24"/>
        </w:rPr>
      </w:pPr>
      <w:r>
        <w:rPr>
          <w:sz w:val="24"/>
          <w:szCs w:val="24"/>
        </w:rPr>
        <w:t>BEGR (kun til sygehuse)</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56FF" w:rsidRPr="00C84483" w:rsidRDefault="006C56FF" w:rsidP="00E916DB">
      <w:pPr>
        <w:tabs>
          <w:tab w:val="left" w:pos="851"/>
        </w:tabs>
        <w:rPr>
          <w:sz w:val="24"/>
          <w:szCs w:val="24"/>
        </w:rPr>
      </w:pPr>
    </w:p>
    <w:p w:rsidR="006C56FF" w:rsidRDefault="006C56FF" w:rsidP="006C56F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916DB" w:rsidRDefault="00E916DB" w:rsidP="006C56FF">
      <w:pPr>
        <w:tabs>
          <w:tab w:val="num" w:pos="851"/>
        </w:tabs>
        <w:ind w:left="851" w:hanging="851"/>
        <w:rPr>
          <w:spacing w:val="-1"/>
          <w:sz w:val="24"/>
          <w:szCs w:val="24"/>
        </w:rPr>
      </w:pPr>
      <w:r>
        <w:rPr>
          <w:b/>
          <w:sz w:val="24"/>
          <w:szCs w:val="24"/>
        </w:rPr>
        <w:t xml:space="preserve">              </w:t>
      </w:r>
      <w:r>
        <w:rPr>
          <w:sz w:val="24"/>
          <w:szCs w:val="24"/>
        </w:rPr>
        <w:t>"</w:t>
      </w:r>
      <w:bookmarkStart w:id="1" w:name="_Hlk143256010"/>
      <w:r w:rsidRPr="00C922B2">
        <w:rPr>
          <w:sz w:val="24"/>
          <w:szCs w:val="24"/>
        </w:rPr>
        <w:t>Farmakoterapeutisk klassifikation</w:t>
      </w:r>
      <w:bookmarkEnd w:id="1"/>
      <w:r>
        <w:rPr>
          <w:sz w:val="24"/>
          <w:szCs w:val="24"/>
        </w:rPr>
        <w:t xml:space="preserve">": </w:t>
      </w:r>
      <w:r>
        <w:rPr>
          <w:spacing w:val="-1"/>
          <w:sz w:val="24"/>
          <w:szCs w:val="24"/>
        </w:rPr>
        <w:t>A</w:t>
      </w:r>
      <w:r w:rsidRPr="00EC361A">
        <w:rPr>
          <w:spacing w:val="-1"/>
          <w:sz w:val="24"/>
          <w:szCs w:val="24"/>
        </w:rPr>
        <w:t>ntivirale</w:t>
      </w:r>
      <w:r w:rsidRPr="00EC361A">
        <w:rPr>
          <w:sz w:val="24"/>
          <w:szCs w:val="24"/>
        </w:rPr>
        <w:t xml:space="preserve"> </w:t>
      </w:r>
      <w:r w:rsidRPr="00EC361A">
        <w:rPr>
          <w:spacing w:val="-1"/>
          <w:sz w:val="24"/>
          <w:szCs w:val="24"/>
        </w:rPr>
        <w:t>midler til systemisk anvendelse,</w:t>
      </w:r>
      <w:r w:rsidRPr="00EC361A">
        <w:rPr>
          <w:spacing w:val="-2"/>
          <w:sz w:val="24"/>
          <w:szCs w:val="24"/>
        </w:rPr>
        <w:t xml:space="preserve"> </w:t>
      </w:r>
      <w:r w:rsidRPr="00EC361A">
        <w:rPr>
          <w:spacing w:val="-1"/>
          <w:sz w:val="24"/>
          <w:szCs w:val="24"/>
        </w:rPr>
        <w:t>proteasehæmmere</w:t>
      </w:r>
      <w:r>
        <w:rPr>
          <w:spacing w:val="-1"/>
          <w:sz w:val="24"/>
          <w:szCs w:val="24"/>
        </w:rPr>
        <w:t xml:space="preserve">, </w:t>
      </w:r>
      <w:r w:rsidRPr="00EC361A">
        <w:rPr>
          <w:spacing w:val="-1"/>
          <w:sz w:val="24"/>
          <w:szCs w:val="24"/>
        </w:rPr>
        <w:t>AT</w:t>
      </w:r>
      <w:r w:rsidR="00C74D39">
        <w:rPr>
          <w:spacing w:val="-1"/>
          <w:sz w:val="24"/>
          <w:szCs w:val="24"/>
        </w:rPr>
        <w:t>C</w:t>
      </w:r>
      <w:r w:rsidR="00C74D39">
        <w:rPr>
          <w:sz w:val="24"/>
          <w:szCs w:val="24"/>
        </w:rPr>
        <w:t>-</w:t>
      </w:r>
      <w:r w:rsidRPr="00EC361A">
        <w:rPr>
          <w:spacing w:val="-1"/>
          <w:sz w:val="24"/>
          <w:szCs w:val="24"/>
        </w:rPr>
        <w:t>kode:</w:t>
      </w:r>
      <w:r w:rsidRPr="00EC361A">
        <w:rPr>
          <w:spacing w:val="56"/>
          <w:sz w:val="24"/>
          <w:szCs w:val="24"/>
        </w:rPr>
        <w:t xml:space="preserve"> </w:t>
      </w:r>
      <w:r w:rsidRPr="00EC361A">
        <w:rPr>
          <w:spacing w:val="-1"/>
          <w:sz w:val="24"/>
          <w:szCs w:val="24"/>
        </w:rPr>
        <w:t>J05AE03</w:t>
      </w:r>
      <w:r>
        <w:rPr>
          <w:spacing w:val="-1"/>
          <w:sz w:val="24"/>
          <w:szCs w:val="24"/>
        </w:rPr>
        <w:t>.</w:t>
      </w:r>
    </w:p>
    <w:p w:rsidR="00E916DB" w:rsidRPr="00C84483" w:rsidRDefault="00E916DB" w:rsidP="006C56FF">
      <w:pPr>
        <w:tabs>
          <w:tab w:val="num" w:pos="851"/>
        </w:tabs>
        <w:ind w:left="851" w:hanging="851"/>
        <w:rPr>
          <w:b/>
          <w:sz w:val="24"/>
          <w:szCs w:val="24"/>
        </w:rPr>
      </w:pPr>
    </w:p>
    <w:p w:rsidR="006C56FF" w:rsidRPr="00C20392" w:rsidRDefault="006C56FF" w:rsidP="006C56FF">
      <w:pPr>
        <w:widowControl w:val="0"/>
        <w:tabs>
          <w:tab w:val="left" w:pos="0"/>
          <w:tab w:val="left" w:pos="9070"/>
        </w:tabs>
        <w:ind w:left="851"/>
        <w:rPr>
          <w:b/>
          <w:sz w:val="24"/>
          <w:szCs w:val="24"/>
        </w:rPr>
      </w:pPr>
      <w:r w:rsidRPr="00C20392">
        <w:rPr>
          <w:b/>
          <w:spacing w:val="-1"/>
          <w:sz w:val="24"/>
          <w:szCs w:val="24"/>
          <w:u w:color="000000"/>
        </w:rPr>
        <w:t>Ritonavir doseret som en farmakokinetisk forstærker</w:t>
      </w:r>
    </w:p>
    <w:p w:rsidR="006C56FF" w:rsidRPr="00EC361A" w:rsidRDefault="006C56FF" w:rsidP="006C56FF">
      <w:pPr>
        <w:widowControl w:val="0"/>
        <w:tabs>
          <w:tab w:val="left" w:pos="0"/>
          <w:tab w:val="left" w:pos="9070"/>
        </w:tabs>
        <w:ind w:left="851" w:right="2"/>
        <w:rPr>
          <w:sz w:val="24"/>
          <w:szCs w:val="24"/>
        </w:rPr>
      </w:pPr>
      <w:r w:rsidRPr="00EC361A">
        <w:rPr>
          <w:spacing w:val="-1"/>
          <w:sz w:val="24"/>
          <w:szCs w:val="24"/>
        </w:rPr>
        <w:t>Farmakokinetisk forstærkning via ritonavir er baseret på ritonavirs stærkt hæmmende virkning på</w:t>
      </w:r>
      <w:r w:rsidRPr="00EC361A">
        <w:rPr>
          <w:spacing w:val="22"/>
          <w:sz w:val="24"/>
          <w:szCs w:val="24"/>
        </w:rPr>
        <w:t xml:space="preserve"> </w:t>
      </w:r>
      <w:r w:rsidRPr="00EC361A">
        <w:rPr>
          <w:spacing w:val="-1"/>
          <w:sz w:val="24"/>
          <w:szCs w:val="24"/>
        </w:rPr>
        <w:t>CYP3A-medieret metabolisme.</w:t>
      </w:r>
      <w:r w:rsidRPr="00EC361A">
        <w:rPr>
          <w:spacing w:val="54"/>
          <w:sz w:val="24"/>
          <w:szCs w:val="24"/>
        </w:rPr>
        <w:t xml:space="preserve"> </w:t>
      </w:r>
      <w:r w:rsidRPr="00EC361A">
        <w:rPr>
          <w:spacing w:val="-1"/>
          <w:sz w:val="24"/>
          <w:szCs w:val="24"/>
        </w:rPr>
        <w:t>Graden af den forstærkende virkning er relateret til den metaboliske</w:t>
      </w:r>
      <w:r w:rsidRPr="00EC361A">
        <w:rPr>
          <w:spacing w:val="26"/>
          <w:sz w:val="24"/>
          <w:szCs w:val="24"/>
        </w:rPr>
        <w:t xml:space="preserve"> </w:t>
      </w:r>
      <w:r w:rsidRPr="00EC361A">
        <w:rPr>
          <w:spacing w:val="-1"/>
          <w:sz w:val="24"/>
          <w:szCs w:val="24"/>
        </w:rPr>
        <w:t>pathway for den samtidigt indgivne proteasehæmmer og dennes indvirkning på ritonavirs</w:t>
      </w:r>
      <w:r w:rsidRPr="00EC361A">
        <w:rPr>
          <w:spacing w:val="20"/>
          <w:sz w:val="24"/>
          <w:szCs w:val="24"/>
        </w:rPr>
        <w:t xml:space="preserve"> </w:t>
      </w:r>
      <w:r w:rsidRPr="00EC361A">
        <w:rPr>
          <w:spacing w:val="-1"/>
          <w:sz w:val="24"/>
          <w:szCs w:val="24"/>
        </w:rPr>
        <w:t>metabolisme.</w:t>
      </w:r>
      <w:r w:rsidRPr="00EC361A">
        <w:rPr>
          <w:spacing w:val="54"/>
          <w:sz w:val="24"/>
          <w:szCs w:val="24"/>
        </w:rPr>
        <w:t xml:space="preserve"> </w:t>
      </w:r>
      <w:r w:rsidRPr="00EC361A">
        <w:rPr>
          <w:spacing w:val="-1"/>
          <w:sz w:val="24"/>
          <w:szCs w:val="24"/>
        </w:rPr>
        <w:t>Maksimal hæmning af den samtidigt indgivne proteasehæmmers metabolisme</w:t>
      </w:r>
      <w:r w:rsidRPr="00EC361A">
        <w:rPr>
          <w:spacing w:val="-2"/>
          <w:sz w:val="24"/>
          <w:szCs w:val="24"/>
        </w:rPr>
        <w:t xml:space="preserve"> </w:t>
      </w:r>
      <w:r w:rsidRPr="00EC361A">
        <w:rPr>
          <w:sz w:val="24"/>
          <w:szCs w:val="24"/>
        </w:rPr>
        <w:t>opnås</w:t>
      </w:r>
      <w:r w:rsidRPr="00EC361A">
        <w:rPr>
          <w:spacing w:val="30"/>
          <w:sz w:val="24"/>
          <w:szCs w:val="24"/>
        </w:rPr>
        <w:t xml:space="preserve"> </w:t>
      </w:r>
      <w:r w:rsidRPr="00EC361A">
        <w:rPr>
          <w:spacing w:val="-1"/>
          <w:sz w:val="24"/>
          <w:szCs w:val="24"/>
        </w:rPr>
        <w:t>generelt med doser af ritonavir på mellem 100 mg daglig og 200 mg to gange daglig og afhænger af</w:t>
      </w:r>
      <w:r w:rsidRPr="00EC361A">
        <w:rPr>
          <w:spacing w:val="36"/>
          <w:sz w:val="24"/>
          <w:szCs w:val="24"/>
        </w:rPr>
        <w:t xml:space="preserve"> </w:t>
      </w:r>
      <w:r w:rsidRPr="00EC361A">
        <w:rPr>
          <w:spacing w:val="-1"/>
          <w:sz w:val="24"/>
          <w:szCs w:val="24"/>
        </w:rPr>
        <w:t>den samtidigt indgivne proteasehæmmer.</w:t>
      </w:r>
      <w:r w:rsidRPr="00EC361A">
        <w:rPr>
          <w:spacing w:val="54"/>
          <w:sz w:val="24"/>
          <w:szCs w:val="24"/>
        </w:rPr>
        <w:t xml:space="preserve"> </w:t>
      </w:r>
      <w:r w:rsidRPr="00EC361A">
        <w:rPr>
          <w:spacing w:val="-1"/>
          <w:sz w:val="24"/>
          <w:szCs w:val="24"/>
        </w:rPr>
        <w:t>For yderligere oplysninger om ritonavirs virkning på</w:t>
      </w:r>
      <w:r w:rsidRPr="00EC361A">
        <w:rPr>
          <w:spacing w:val="20"/>
          <w:sz w:val="24"/>
          <w:szCs w:val="24"/>
        </w:rPr>
        <w:t xml:space="preserve"> </w:t>
      </w:r>
      <w:r w:rsidRPr="00EC361A">
        <w:rPr>
          <w:spacing w:val="-1"/>
          <w:sz w:val="24"/>
          <w:szCs w:val="24"/>
        </w:rPr>
        <w:t>metabolismen af den samtidigt indgivne proteasehæmmer henvises til pkt. 4.5 samt til</w:t>
      </w:r>
      <w:r w:rsidRPr="00EC361A">
        <w:rPr>
          <w:spacing w:val="20"/>
          <w:sz w:val="24"/>
          <w:szCs w:val="24"/>
        </w:rPr>
        <w:t xml:space="preserve"> </w:t>
      </w:r>
      <w:r w:rsidRPr="00EC361A">
        <w:rPr>
          <w:spacing w:val="-1"/>
          <w:sz w:val="24"/>
          <w:szCs w:val="24"/>
        </w:rPr>
        <w:t>produktresuméet for den konkrete samtidigt indgivne proteasehæmmer.</w:t>
      </w:r>
    </w:p>
    <w:p w:rsidR="006C56FF" w:rsidRPr="00EC361A" w:rsidRDefault="006C56FF" w:rsidP="006C56FF">
      <w:pPr>
        <w:widowControl w:val="0"/>
        <w:tabs>
          <w:tab w:val="left" w:pos="0"/>
          <w:tab w:val="left" w:pos="9070"/>
        </w:tabs>
        <w:ind w:left="851"/>
        <w:rPr>
          <w:spacing w:val="-1"/>
          <w:sz w:val="24"/>
          <w:szCs w:val="24"/>
          <w:u w:val="single" w:color="000000"/>
        </w:rPr>
      </w:pPr>
    </w:p>
    <w:p w:rsidR="006C56FF" w:rsidRPr="00C20392" w:rsidRDefault="006C56FF" w:rsidP="006C56FF">
      <w:pPr>
        <w:widowControl w:val="0"/>
        <w:tabs>
          <w:tab w:val="left" w:pos="0"/>
          <w:tab w:val="left" w:pos="9070"/>
        </w:tabs>
        <w:ind w:left="851"/>
        <w:rPr>
          <w:b/>
          <w:sz w:val="24"/>
          <w:szCs w:val="24"/>
        </w:rPr>
      </w:pPr>
      <w:r w:rsidRPr="00C20392">
        <w:rPr>
          <w:b/>
          <w:spacing w:val="-1"/>
          <w:sz w:val="24"/>
          <w:szCs w:val="24"/>
          <w:u w:color="000000"/>
        </w:rPr>
        <w:t>Ritonavir doseret som et antiretroviralt stof</w:t>
      </w:r>
    </w:p>
    <w:p w:rsidR="006C56FF" w:rsidRPr="00EC361A" w:rsidRDefault="006C56FF" w:rsidP="006C56FF">
      <w:pPr>
        <w:widowControl w:val="0"/>
        <w:tabs>
          <w:tab w:val="left" w:pos="0"/>
          <w:tab w:val="left" w:pos="9070"/>
        </w:tabs>
        <w:ind w:left="851" w:right="2"/>
        <w:rPr>
          <w:sz w:val="24"/>
          <w:szCs w:val="24"/>
        </w:rPr>
      </w:pPr>
      <w:r w:rsidRPr="00EC361A">
        <w:rPr>
          <w:spacing w:val="-1"/>
          <w:sz w:val="24"/>
          <w:szCs w:val="24"/>
        </w:rPr>
        <w:t>Ritonavir er et oralt aktivt, peptidomimetisk stof, der hæmmer</w:t>
      </w:r>
      <w:r w:rsidRPr="00EC361A">
        <w:rPr>
          <w:spacing w:val="-2"/>
          <w:sz w:val="24"/>
          <w:szCs w:val="24"/>
        </w:rPr>
        <w:t xml:space="preserve"> </w:t>
      </w:r>
      <w:r w:rsidRPr="00EC361A">
        <w:rPr>
          <w:spacing w:val="-1"/>
          <w:sz w:val="24"/>
          <w:szCs w:val="24"/>
        </w:rPr>
        <w:t>hiv-1</w:t>
      </w:r>
      <w:r w:rsidRPr="00EC361A">
        <w:rPr>
          <w:spacing w:val="1"/>
          <w:sz w:val="24"/>
          <w:szCs w:val="24"/>
        </w:rPr>
        <w:t xml:space="preserve"> </w:t>
      </w:r>
      <w:r>
        <w:rPr>
          <w:spacing w:val="-1"/>
          <w:sz w:val="24"/>
          <w:szCs w:val="24"/>
        </w:rPr>
        <w:t>og hiv-2 aspartyl</w:t>
      </w:r>
      <w:r w:rsidRPr="00EC361A">
        <w:rPr>
          <w:spacing w:val="-1"/>
          <w:sz w:val="24"/>
          <w:szCs w:val="24"/>
        </w:rPr>
        <w:t>protease. Denne</w:t>
      </w:r>
      <w:r w:rsidRPr="00EC361A">
        <w:rPr>
          <w:spacing w:val="24"/>
          <w:sz w:val="24"/>
          <w:szCs w:val="24"/>
        </w:rPr>
        <w:t xml:space="preserve"> </w:t>
      </w:r>
      <w:r w:rsidRPr="00EC361A">
        <w:rPr>
          <w:spacing w:val="-1"/>
          <w:sz w:val="24"/>
          <w:szCs w:val="24"/>
        </w:rPr>
        <w:t>hæmning af hiv-proteasen bevirker at enzymet bliver ude af stand til at danne</w:t>
      </w:r>
      <w:r w:rsidRPr="00EC361A">
        <w:rPr>
          <w:spacing w:val="-2"/>
          <w:sz w:val="24"/>
          <w:szCs w:val="24"/>
        </w:rPr>
        <w:t xml:space="preserve"> </w:t>
      </w:r>
      <w:r w:rsidRPr="00EC361A">
        <w:rPr>
          <w:i/>
          <w:spacing w:val="-1"/>
          <w:sz w:val="24"/>
          <w:szCs w:val="24"/>
        </w:rPr>
        <w:t xml:space="preserve">gag-pol </w:t>
      </w:r>
      <w:r w:rsidRPr="00EC361A">
        <w:rPr>
          <w:spacing w:val="-1"/>
          <w:sz w:val="24"/>
          <w:szCs w:val="24"/>
        </w:rPr>
        <w:t>polyprotein-</w:t>
      </w:r>
      <w:r w:rsidRPr="00EC361A">
        <w:rPr>
          <w:spacing w:val="33"/>
          <w:sz w:val="24"/>
          <w:szCs w:val="24"/>
        </w:rPr>
        <w:t xml:space="preserve"> </w:t>
      </w:r>
      <w:r w:rsidRPr="00EC361A">
        <w:rPr>
          <w:spacing w:val="-1"/>
          <w:sz w:val="24"/>
          <w:szCs w:val="24"/>
        </w:rPr>
        <w:t>precursor</w:t>
      </w:r>
      <w:r w:rsidRPr="00EC361A">
        <w:rPr>
          <w:spacing w:val="54"/>
          <w:sz w:val="24"/>
          <w:szCs w:val="24"/>
        </w:rPr>
        <w:t xml:space="preserve"> </w:t>
      </w:r>
      <w:r w:rsidRPr="00EC361A">
        <w:rPr>
          <w:spacing w:val="-1"/>
          <w:sz w:val="24"/>
          <w:szCs w:val="24"/>
        </w:rPr>
        <w:t xml:space="preserve">hvorved der dannes </w:t>
      </w:r>
      <w:r w:rsidRPr="00EC361A">
        <w:rPr>
          <w:spacing w:val="-2"/>
          <w:sz w:val="24"/>
          <w:szCs w:val="24"/>
        </w:rPr>
        <w:t>hivpartikler</w:t>
      </w:r>
      <w:r w:rsidRPr="00EC361A">
        <w:rPr>
          <w:spacing w:val="-1"/>
          <w:sz w:val="24"/>
          <w:szCs w:val="24"/>
        </w:rPr>
        <w:t xml:space="preserve"> med umoden morfologi, der er ude af stand til at starte en</w:t>
      </w:r>
      <w:r w:rsidRPr="00EC361A">
        <w:rPr>
          <w:spacing w:val="52"/>
          <w:sz w:val="24"/>
          <w:szCs w:val="24"/>
        </w:rPr>
        <w:t xml:space="preserve"> </w:t>
      </w:r>
      <w:r w:rsidRPr="00EC361A">
        <w:rPr>
          <w:spacing w:val="-1"/>
          <w:sz w:val="24"/>
          <w:szCs w:val="24"/>
        </w:rPr>
        <w:t>ny omgang infektion. Ritonavir har selektiv affinitet for hivprotease</w:t>
      </w:r>
      <w:r w:rsidRPr="00EC361A">
        <w:rPr>
          <w:sz w:val="24"/>
          <w:szCs w:val="24"/>
        </w:rPr>
        <w:t xml:space="preserve"> </w:t>
      </w:r>
      <w:r w:rsidRPr="00EC361A">
        <w:rPr>
          <w:spacing w:val="-1"/>
          <w:sz w:val="24"/>
          <w:szCs w:val="24"/>
        </w:rPr>
        <w:t xml:space="preserve">og virker kun </w:t>
      </w:r>
      <w:r w:rsidRPr="00EC361A">
        <w:rPr>
          <w:sz w:val="24"/>
          <w:szCs w:val="24"/>
        </w:rPr>
        <w:t>i</w:t>
      </w:r>
      <w:r w:rsidRPr="00EC361A">
        <w:rPr>
          <w:spacing w:val="-1"/>
          <w:sz w:val="24"/>
          <w:szCs w:val="24"/>
        </w:rPr>
        <w:t xml:space="preserve"> ringe udstrækning</w:t>
      </w:r>
      <w:r w:rsidRPr="00EC361A">
        <w:rPr>
          <w:spacing w:val="26"/>
          <w:sz w:val="24"/>
          <w:szCs w:val="24"/>
        </w:rPr>
        <w:t xml:space="preserve"> </w:t>
      </w:r>
      <w:r>
        <w:rPr>
          <w:spacing w:val="-1"/>
          <w:sz w:val="24"/>
          <w:szCs w:val="24"/>
        </w:rPr>
        <w:t>hæmmende på humane aspartyl</w:t>
      </w:r>
      <w:r w:rsidRPr="00EC361A">
        <w:rPr>
          <w:spacing w:val="-1"/>
          <w:sz w:val="24"/>
          <w:szCs w:val="24"/>
        </w:rPr>
        <w:t>proteaser.</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widowControl w:val="0"/>
        <w:tabs>
          <w:tab w:val="left" w:pos="0"/>
          <w:tab w:val="left" w:pos="9070"/>
        </w:tabs>
        <w:ind w:left="851" w:right="202"/>
        <w:rPr>
          <w:sz w:val="24"/>
          <w:szCs w:val="24"/>
        </w:rPr>
      </w:pPr>
      <w:r w:rsidRPr="00EC361A">
        <w:rPr>
          <w:spacing w:val="-1"/>
          <w:sz w:val="24"/>
          <w:szCs w:val="24"/>
        </w:rPr>
        <w:t xml:space="preserve">Ritonavir var den første proteasehæmmer (godkendt </w:t>
      </w:r>
      <w:r w:rsidRPr="00EC361A">
        <w:rPr>
          <w:sz w:val="24"/>
          <w:szCs w:val="24"/>
        </w:rPr>
        <w:t>i</w:t>
      </w:r>
      <w:r w:rsidRPr="00EC361A">
        <w:rPr>
          <w:spacing w:val="-1"/>
          <w:sz w:val="24"/>
          <w:szCs w:val="24"/>
        </w:rPr>
        <w:t xml:space="preserve"> 1996), hvis virkning blev påvist </w:t>
      </w:r>
      <w:r w:rsidRPr="00EC361A">
        <w:rPr>
          <w:sz w:val="24"/>
          <w:szCs w:val="24"/>
        </w:rPr>
        <w:t>i</w:t>
      </w:r>
      <w:r w:rsidRPr="00EC361A">
        <w:rPr>
          <w:spacing w:val="-1"/>
          <w:sz w:val="24"/>
          <w:szCs w:val="24"/>
        </w:rPr>
        <w:t xml:space="preserve"> et</w:t>
      </w:r>
      <w:r w:rsidRPr="00EC361A">
        <w:rPr>
          <w:spacing w:val="-2"/>
          <w:sz w:val="24"/>
          <w:szCs w:val="24"/>
        </w:rPr>
        <w:t xml:space="preserve"> </w:t>
      </w:r>
      <w:r w:rsidRPr="00EC361A">
        <w:rPr>
          <w:spacing w:val="-1"/>
          <w:sz w:val="24"/>
          <w:szCs w:val="24"/>
        </w:rPr>
        <w:t>studie</w:t>
      </w:r>
      <w:r w:rsidRPr="00EC361A">
        <w:rPr>
          <w:sz w:val="24"/>
          <w:szCs w:val="24"/>
        </w:rPr>
        <w:t xml:space="preserve"> </w:t>
      </w:r>
      <w:r w:rsidRPr="00EC361A">
        <w:rPr>
          <w:spacing w:val="-2"/>
          <w:sz w:val="24"/>
          <w:szCs w:val="24"/>
        </w:rPr>
        <w:t>med</w:t>
      </w:r>
      <w:r w:rsidRPr="00EC361A">
        <w:rPr>
          <w:spacing w:val="25"/>
          <w:sz w:val="24"/>
          <w:szCs w:val="24"/>
        </w:rPr>
        <w:t xml:space="preserve"> </w:t>
      </w:r>
      <w:r w:rsidRPr="00EC361A">
        <w:rPr>
          <w:spacing w:val="-1"/>
          <w:sz w:val="24"/>
          <w:szCs w:val="24"/>
        </w:rPr>
        <w:t>kliniske effektmål. På grund af ritonavirs egenskaber med hensyn til at hæmme metabolisme</w:t>
      </w:r>
      <w:r w:rsidRPr="00EC361A">
        <w:rPr>
          <w:sz w:val="24"/>
          <w:szCs w:val="24"/>
        </w:rPr>
        <w:t xml:space="preserve"> </w:t>
      </w:r>
      <w:r w:rsidRPr="00EC361A">
        <w:rPr>
          <w:spacing w:val="-1"/>
          <w:sz w:val="24"/>
          <w:szCs w:val="24"/>
        </w:rPr>
        <w:t>er</w:t>
      </w:r>
      <w:r w:rsidRPr="00EC361A">
        <w:rPr>
          <w:sz w:val="24"/>
          <w:szCs w:val="24"/>
        </w:rPr>
        <w:t xml:space="preserve"> </w:t>
      </w:r>
      <w:r w:rsidRPr="00EC361A">
        <w:rPr>
          <w:spacing w:val="-1"/>
          <w:sz w:val="24"/>
          <w:szCs w:val="24"/>
        </w:rPr>
        <w:t>det</w:t>
      </w:r>
      <w:r w:rsidRPr="00EC361A">
        <w:rPr>
          <w:spacing w:val="26"/>
          <w:sz w:val="24"/>
          <w:szCs w:val="24"/>
        </w:rPr>
        <w:t xml:space="preserve"> </w:t>
      </w:r>
      <w:r w:rsidRPr="00EC361A">
        <w:rPr>
          <w:spacing w:val="-1"/>
          <w:sz w:val="24"/>
          <w:szCs w:val="24"/>
        </w:rPr>
        <w:t>imidlertid brugen af ritonavir som en farmakokinetisk forstærker af andre proteasehæmmere, der er</w:t>
      </w:r>
      <w:r w:rsidRPr="00EC361A">
        <w:rPr>
          <w:spacing w:val="24"/>
          <w:sz w:val="24"/>
          <w:szCs w:val="24"/>
        </w:rPr>
        <w:t xml:space="preserve"> </w:t>
      </w:r>
      <w:r w:rsidRPr="00EC361A">
        <w:rPr>
          <w:spacing w:val="-1"/>
          <w:sz w:val="24"/>
          <w:szCs w:val="24"/>
        </w:rPr>
        <w:t xml:space="preserve">dominerende </w:t>
      </w:r>
      <w:r w:rsidRPr="00EC361A">
        <w:rPr>
          <w:sz w:val="24"/>
          <w:szCs w:val="24"/>
        </w:rPr>
        <w:t>i</w:t>
      </w:r>
      <w:r w:rsidRPr="00EC361A">
        <w:rPr>
          <w:spacing w:val="-1"/>
          <w:sz w:val="24"/>
          <w:szCs w:val="24"/>
        </w:rPr>
        <w:t xml:space="preserve"> klinisk praksis (se pkt. 4.2).</w:t>
      </w:r>
    </w:p>
    <w:p w:rsidR="006C56FF" w:rsidRPr="00EC361A" w:rsidRDefault="006C56FF" w:rsidP="006C56FF">
      <w:pPr>
        <w:tabs>
          <w:tab w:val="left" w:pos="0"/>
          <w:tab w:val="left" w:pos="9070"/>
        </w:tabs>
        <w:ind w:left="851"/>
        <w:rPr>
          <w:sz w:val="24"/>
          <w:szCs w:val="24"/>
          <w:lang w:eastAsia="da-DK"/>
        </w:rPr>
      </w:pPr>
    </w:p>
    <w:p w:rsidR="006C56FF" w:rsidRPr="00C20392" w:rsidRDefault="006C56FF" w:rsidP="006C56FF">
      <w:pPr>
        <w:widowControl w:val="0"/>
        <w:tabs>
          <w:tab w:val="left" w:pos="0"/>
          <w:tab w:val="left" w:pos="9070"/>
        </w:tabs>
        <w:ind w:left="851"/>
        <w:rPr>
          <w:sz w:val="24"/>
          <w:szCs w:val="24"/>
          <w:u w:val="single"/>
        </w:rPr>
      </w:pPr>
      <w:r w:rsidRPr="00C20392">
        <w:rPr>
          <w:spacing w:val="-1"/>
          <w:sz w:val="24"/>
          <w:szCs w:val="24"/>
          <w:u w:val="single" w:color="000000"/>
        </w:rPr>
        <w:t>Effekt på elektrokardiogram</w:t>
      </w:r>
    </w:p>
    <w:p w:rsidR="006C56FF" w:rsidRPr="00EC361A" w:rsidRDefault="006C56FF" w:rsidP="006C56FF">
      <w:pPr>
        <w:widowControl w:val="0"/>
        <w:tabs>
          <w:tab w:val="left" w:pos="0"/>
          <w:tab w:val="left" w:pos="9070"/>
        </w:tabs>
        <w:ind w:left="851" w:right="149"/>
        <w:rPr>
          <w:sz w:val="24"/>
          <w:szCs w:val="24"/>
        </w:rPr>
      </w:pPr>
      <w:r w:rsidRPr="00EC361A">
        <w:rPr>
          <w:spacing w:val="-1"/>
          <w:sz w:val="24"/>
          <w:szCs w:val="24"/>
        </w:rPr>
        <w:t xml:space="preserve">QTcF-intervallet blev evalueret </w:t>
      </w:r>
      <w:r w:rsidRPr="00EC361A">
        <w:rPr>
          <w:sz w:val="24"/>
          <w:szCs w:val="24"/>
        </w:rPr>
        <w:t>i</w:t>
      </w:r>
      <w:r w:rsidRPr="00EC361A">
        <w:rPr>
          <w:spacing w:val="-1"/>
          <w:sz w:val="24"/>
          <w:szCs w:val="24"/>
        </w:rPr>
        <w:t xml:space="preserve"> et randomiseret, placebo og aktiv (moxifloxacin 400 mg</w:t>
      </w:r>
      <w:r w:rsidRPr="00EC361A">
        <w:rPr>
          <w:spacing w:val="-2"/>
          <w:sz w:val="24"/>
          <w:szCs w:val="24"/>
        </w:rPr>
        <w:t xml:space="preserve"> </w:t>
      </w:r>
      <w:r w:rsidRPr="00EC361A">
        <w:rPr>
          <w:spacing w:val="-1"/>
          <w:sz w:val="24"/>
          <w:szCs w:val="24"/>
        </w:rPr>
        <w:t>en</w:t>
      </w:r>
      <w:r w:rsidRPr="00EC361A">
        <w:rPr>
          <w:spacing w:val="-2"/>
          <w:sz w:val="24"/>
          <w:szCs w:val="24"/>
        </w:rPr>
        <w:t xml:space="preserve"> </w:t>
      </w:r>
      <w:r w:rsidRPr="00EC361A">
        <w:rPr>
          <w:spacing w:val="-1"/>
          <w:sz w:val="24"/>
          <w:szCs w:val="24"/>
        </w:rPr>
        <w:t>gang</w:t>
      </w:r>
      <w:r w:rsidRPr="00EC361A">
        <w:rPr>
          <w:spacing w:val="24"/>
          <w:sz w:val="24"/>
          <w:szCs w:val="24"/>
        </w:rPr>
        <w:t xml:space="preserve"> </w:t>
      </w:r>
      <w:r w:rsidRPr="00EC361A">
        <w:rPr>
          <w:spacing w:val="-1"/>
          <w:sz w:val="24"/>
          <w:szCs w:val="24"/>
        </w:rPr>
        <w:t>daglig) kontrolleret overkrydsnings-studie</w:t>
      </w:r>
      <w:r w:rsidRPr="00EC361A">
        <w:rPr>
          <w:spacing w:val="-2"/>
          <w:sz w:val="24"/>
          <w:szCs w:val="24"/>
        </w:rPr>
        <w:t xml:space="preserve"> </w:t>
      </w:r>
      <w:r w:rsidRPr="00EC361A">
        <w:rPr>
          <w:spacing w:val="-1"/>
          <w:sz w:val="24"/>
          <w:szCs w:val="24"/>
        </w:rPr>
        <w:t>hos 45 raske voksne, med 10 målinger over 12 timer på dag</w:t>
      </w:r>
      <w:r>
        <w:rPr>
          <w:spacing w:val="-1"/>
          <w:sz w:val="24"/>
          <w:szCs w:val="24"/>
        </w:rPr>
        <w:t xml:space="preserve"> </w:t>
      </w:r>
      <w:r w:rsidRPr="00EC361A">
        <w:rPr>
          <w:spacing w:val="-1"/>
          <w:sz w:val="24"/>
          <w:szCs w:val="24"/>
        </w:rPr>
        <w:t>3. De maksimale gennemsnitlige (95</w:t>
      </w:r>
      <w:r>
        <w:rPr>
          <w:spacing w:val="-1"/>
          <w:sz w:val="24"/>
          <w:szCs w:val="24"/>
        </w:rPr>
        <w:t xml:space="preserve"> %</w:t>
      </w:r>
      <w:r w:rsidRPr="00EC361A">
        <w:rPr>
          <w:spacing w:val="-1"/>
          <w:sz w:val="24"/>
          <w:szCs w:val="24"/>
        </w:rPr>
        <w:t xml:space="preserve"> øvre konfidensgrænse) forskelle </w:t>
      </w:r>
      <w:r w:rsidRPr="00EC361A">
        <w:rPr>
          <w:sz w:val="24"/>
          <w:szCs w:val="24"/>
        </w:rPr>
        <w:t>i</w:t>
      </w:r>
      <w:r w:rsidRPr="00EC361A">
        <w:rPr>
          <w:spacing w:val="-1"/>
          <w:sz w:val="24"/>
          <w:szCs w:val="24"/>
        </w:rPr>
        <w:t xml:space="preserve"> QTcF fra placebo var 5,5</w:t>
      </w:r>
      <w:r w:rsidRPr="00EC361A">
        <w:rPr>
          <w:spacing w:val="24"/>
          <w:sz w:val="24"/>
          <w:szCs w:val="24"/>
        </w:rPr>
        <w:t xml:space="preserve"> </w:t>
      </w:r>
      <w:r w:rsidRPr="00EC361A">
        <w:rPr>
          <w:spacing w:val="-1"/>
          <w:sz w:val="24"/>
          <w:szCs w:val="24"/>
        </w:rPr>
        <w:t>(7,6)</w:t>
      </w:r>
      <w:r w:rsidRPr="00EC361A">
        <w:rPr>
          <w:sz w:val="24"/>
          <w:szCs w:val="24"/>
        </w:rPr>
        <w:t xml:space="preserve"> </w:t>
      </w:r>
      <w:r w:rsidRPr="00EC361A">
        <w:rPr>
          <w:spacing w:val="-1"/>
          <w:sz w:val="24"/>
          <w:szCs w:val="24"/>
        </w:rPr>
        <w:t>for</w:t>
      </w:r>
      <w:r w:rsidRPr="00EC361A">
        <w:rPr>
          <w:sz w:val="24"/>
          <w:szCs w:val="24"/>
        </w:rPr>
        <w:t xml:space="preserve"> </w:t>
      </w:r>
      <w:r w:rsidRPr="00EC361A">
        <w:rPr>
          <w:spacing w:val="-1"/>
          <w:sz w:val="24"/>
          <w:szCs w:val="24"/>
        </w:rPr>
        <w:t>400</w:t>
      </w:r>
      <w:r w:rsidRPr="00EC361A">
        <w:rPr>
          <w:sz w:val="24"/>
          <w:szCs w:val="24"/>
        </w:rPr>
        <w:t xml:space="preserve"> </w:t>
      </w:r>
      <w:r w:rsidRPr="00EC361A">
        <w:rPr>
          <w:spacing w:val="-1"/>
          <w:sz w:val="24"/>
          <w:szCs w:val="24"/>
        </w:rPr>
        <w:t>mg ritonavir to</w:t>
      </w:r>
      <w:r w:rsidRPr="00EC361A">
        <w:rPr>
          <w:sz w:val="24"/>
          <w:szCs w:val="24"/>
        </w:rPr>
        <w:t xml:space="preserve"> </w:t>
      </w:r>
      <w:r w:rsidRPr="00EC361A">
        <w:rPr>
          <w:spacing w:val="-1"/>
          <w:sz w:val="24"/>
          <w:szCs w:val="24"/>
        </w:rPr>
        <w:t xml:space="preserve">gange daglig. Eksposition af ritonavir dag </w:t>
      </w:r>
      <w:r w:rsidRPr="00EC361A">
        <w:rPr>
          <w:sz w:val="24"/>
          <w:szCs w:val="24"/>
        </w:rPr>
        <w:t>3</w:t>
      </w:r>
      <w:r w:rsidRPr="00EC361A">
        <w:rPr>
          <w:spacing w:val="-1"/>
          <w:sz w:val="24"/>
          <w:szCs w:val="24"/>
        </w:rPr>
        <w:t xml:space="preserve"> var tilnærmelsesvis 1,5</w:t>
      </w:r>
      <w:r w:rsidRPr="00EC361A">
        <w:rPr>
          <w:spacing w:val="28"/>
          <w:sz w:val="24"/>
          <w:szCs w:val="24"/>
        </w:rPr>
        <w:t xml:space="preserve"> </w:t>
      </w:r>
      <w:r w:rsidRPr="00EC361A">
        <w:rPr>
          <w:spacing w:val="-1"/>
          <w:sz w:val="24"/>
          <w:szCs w:val="24"/>
        </w:rPr>
        <w:t>gange højere end den, som blev set med dosen 600 mg to gange daglig ved steady state. Ingen</w:t>
      </w:r>
      <w:r w:rsidRPr="00EC361A">
        <w:rPr>
          <w:spacing w:val="34"/>
          <w:sz w:val="24"/>
          <w:szCs w:val="24"/>
        </w:rPr>
        <w:t xml:space="preserve"> </w:t>
      </w:r>
      <w:r w:rsidRPr="00EC361A">
        <w:rPr>
          <w:spacing w:val="-1"/>
          <w:sz w:val="24"/>
          <w:szCs w:val="24"/>
        </w:rPr>
        <w:t xml:space="preserve">individer oplevede en øgning </w:t>
      </w:r>
      <w:r w:rsidRPr="00EC361A">
        <w:rPr>
          <w:sz w:val="24"/>
          <w:szCs w:val="24"/>
        </w:rPr>
        <w:t>i</w:t>
      </w:r>
      <w:r w:rsidRPr="00EC361A">
        <w:rPr>
          <w:spacing w:val="-1"/>
          <w:sz w:val="24"/>
          <w:szCs w:val="24"/>
        </w:rPr>
        <w:t xml:space="preserve"> QTcF på </w:t>
      </w:r>
      <w:r w:rsidRPr="00EC361A">
        <w:rPr>
          <w:sz w:val="24"/>
          <w:szCs w:val="24"/>
        </w:rPr>
        <w:t>≥</w:t>
      </w:r>
      <w:r w:rsidRPr="00EC361A">
        <w:rPr>
          <w:spacing w:val="-4"/>
          <w:sz w:val="24"/>
          <w:szCs w:val="24"/>
        </w:rPr>
        <w:t xml:space="preserve"> </w:t>
      </w:r>
      <w:r w:rsidRPr="00EC361A">
        <w:rPr>
          <w:spacing w:val="-1"/>
          <w:sz w:val="24"/>
          <w:szCs w:val="24"/>
        </w:rPr>
        <w:t xml:space="preserve">60 msek fra baseline eller et </w:t>
      </w:r>
      <w:r w:rsidRPr="00EC361A">
        <w:rPr>
          <w:spacing w:val="-2"/>
          <w:sz w:val="24"/>
          <w:szCs w:val="24"/>
        </w:rPr>
        <w:t>QTcF-interval,</w:t>
      </w:r>
      <w:r w:rsidRPr="00EC361A">
        <w:rPr>
          <w:spacing w:val="-1"/>
          <w:sz w:val="24"/>
          <w:szCs w:val="24"/>
        </w:rPr>
        <w:t xml:space="preserve"> som oversteg</w:t>
      </w:r>
      <w:r w:rsidRPr="00EC361A">
        <w:rPr>
          <w:spacing w:val="50"/>
          <w:sz w:val="24"/>
          <w:szCs w:val="24"/>
        </w:rPr>
        <w:t xml:space="preserve"> </w:t>
      </w:r>
      <w:r w:rsidRPr="00EC361A">
        <w:rPr>
          <w:spacing w:val="-1"/>
          <w:sz w:val="24"/>
          <w:szCs w:val="24"/>
        </w:rPr>
        <w:t>den potentielt kliniske relevante grænse på 500 msek.</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widowControl w:val="0"/>
        <w:tabs>
          <w:tab w:val="left" w:pos="0"/>
          <w:tab w:val="left" w:pos="9070"/>
        </w:tabs>
        <w:ind w:left="851" w:right="158"/>
        <w:rPr>
          <w:sz w:val="24"/>
          <w:szCs w:val="24"/>
        </w:rPr>
      </w:pPr>
      <w:r w:rsidRPr="00EC361A">
        <w:rPr>
          <w:spacing w:val="-1"/>
          <w:sz w:val="24"/>
          <w:szCs w:val="24"/>
        </w:rPr>
        <w:t xml:space="preserve">På dag </w:t>
      </w:r>
      <w:r w:rsidRPr="00EC361A">
        <w:rPr>
          <w:sz w:val="24"/>
          <w:szCs w:val="24"/>
        </w:rPr>
        <w:t>3</w:t>
      </w:r>
      <w:r w:rsidRPr="00EC361A">
        <w:rPr>
          <w:spacing w:val="-1"/>
          <w:sz w:val="24"/>
          <w:szCs w:val="24"/>
        </w:rPr>
        <w:t xml:space="preserve"> blev også set beskeden forlængelse af </w:t>
      </w:r>
      <w:r w:rsidRPr="00EC361A">
        <w:rPr>
          <w:spacing w:val="-2"/>
          <w:sz w:val="24"/>
          <w:szCs w:val="24"/>
        </w:rPr>
        <w:t>PR-intervallet</w:t>
      </w:r>
      <w:r w:rsidRPr="00EC361A">
        <w:rPr>
          <w:spacing w:val="-1"/>
          <w:sz w:val="24"/>
          <w:szCs w:val="24"/>
        </w:rPr>
        <w:t xml:space="preserve"> hos individer, som fik ritonavir </w:t>
      </w:r>
      <w:r w:rsidRPr="00EC361A">
        <w:rPr>
          <w:sz w:val="24"/>
          <w:szCs w:val="24"/>
        </w:rPr>
        <w:t>i</w:t>
      </w:r>
      <w:r w:rsidRPr="00EC361A">
        <w:rPr>
          <w:spacing w:val="-1"/>
          <w:sz w:val="24"/>
          <w:szCs w:val="24"/>
        </w:rPr>
        <w:t xml:space="preserve"> det</w:t>
      </w:r>
      <w:r w:rsidRPr="00EC361A">
        <w:rPr>
          <w:spacing w:val="48"/>
          <w:sz w:val="24"/>
          <w:szCs w:val="24"/>
        </w:rPr>
        <w:t xml:space="preserve"> </w:t>
      </w:r>
      <w:r w:rsidRPr="00EC361A">
        <w:rPr>
          <w:spacing w:val="-1"/>
          <w:sz w:val="24"/>
          <w:szCs w:val="24"/>
        </w:rPr>
        <w:t xml:space="preserve">samme studie. De gennemsnitlige ændringer </w:t>
      </w:r>
      <w:r w:rsidRPr="00EC361A">
        <w:rPr>
          <w:sz w:val="24"/>
          <w:szCs w:val="24"/>
        </w:rPr>
        <w:t>i</w:t>
      </w:r>
      <w:r w:rsidRPr="00EC361A">
        <w:rPr>
          <w:spacing w:val="-1"/>
          <w:sz w:val="24"/>
          <w:szCs w:val="24"/>
        </w:rPr>
        <w:t xml:space="preserve"> </w:t>
      </w:r>
      <w:r w:rsidRPr="00EC361A">
        <w:rPr>
          <w:spacing w:val="-2"/>
          <w:sz w:val="24"/>
          <w:szCs w:val="24"/>
        </w:rPr>
        <w:t>PR-interval</w:t>
      </w:r>
      <w:r w:rsidRPr="00EC361A">
        <w:rPr>
          <w:spacing w:val="-1"/>
          <w:sz w:val="24"/>
          <w:szCs w:val="24"/>
        </w:rPr>
        <w:t xml:space="preserve"> fra baseline strækker sig fra 11,0 til 24,0</w:t>
      </w:r>
      <w:r w:rsidRPr="00EC361A">
        <w:rPr>
          <w:spacing w:val="48"/>
          <w:sz w:val="24"/>
          <w:szCs w:val="24"/>
        </w:rPr>
        <w:t xml:space="preserve"> </w:t>
      </w:r>
      <w:r w:rsidRPr="00EC361A">
        <w:rPr>
          <w:spacing w:val="-1"/>
          <w:sz w:val="24"/>
          <w:szCs w:val="24"/>
        </w:rPr>
        <w:t xml:space="preserve">msek </w:t>
      </w:r>
      <w:r w:rsidRPr="00EC361A">
        <w:rPr>
          <w:sz w:val="24"/>
          <w:szCs w:val="24"/>
        </w:rPr>
        <w:t>i</w:t>
      </w:r>
      <w:r w:rsidRPr="00EC361A">
        <w:rPr>
          <w:spacing w:val="-1"/>
          <w:sz w:val="24"/>
          <w:szCs w:val="24"/>
        </w:rPr>
        <w:t xml:space="preserve"> et interval på 12 timer efter dosen. Det maksimale </w:t>
      </w:r>
      <w:r w:rsidRPr="00EC361A">
        <w:rPr>
          <w:spacing w:val="-2"/>
          <w:sz w:val="24"/>
          <w:szCs w:val="24"/>
        </w:rPr>
        <w:t>PR-interval</w:t>
      </w:r>
      <w:r w:rsidRPr="00EC361A">
        <w:rPr>
          <w:spacing w:val="-1"/>
          <w:sz w:val="24"/>
          <w:szCs w:val="24"/>
        </w:rPr>
        <w:t xml:space="preserve"> var 252 msek, og der blev ikke</w:t>
      </w:r>
      <w:r w:rsidRPr="00EC361A">
        <w:rPr>
          <w:spacing w:val="46"/>
          <w:sz w:val="24"/>
          <w:szCs w:val="24"/>
        </w:rPr>
        <w:t xml:space="preserve"> </w:t>
      </w:r>
      <w:r w:rsidRPr="00EC361A">
        <w:rPr>
          <w:spacing w:val="-1"/>
          <w:sz w:val="24"/>
          <w:szCs w:val="24"/>
        </w:rPr>
        <w:t xml:space="preserve">observeret nogen anden eller tredie grads </w:t>
      </w:r>
      <w:r w:rsidRPr="00EC361A">
        <w:rPr>
          <w:spacing w:val="-2"/>
          <w:sz w:val="24"/>
          <w:szCs w:val="24"/>
        </w:rPr>
        <w:t>hjerte-blokade</w:t>
      </w:r>
      <w:r w:rsidRPr="00EC361A">
        <w:rPr>
          <w:spacing w:val="-1"/>
          <w:sz w:val="24"/>
          <w:szCs w:val="24"/>
        </w:rPr>
        <w:t xml:space="preserve"> (se </w:t>
      </w:r>
      <w:r>
        <w:rPr>
          <w:spacing w:val="-1"/>
          <w:sz w:val="24"/>
          <w:szCs w:val="24"/>
        </w:rPr>
        <w:t>pkt.</w:t>
      </w:r>
      <w:r w:rsidRPr="00EC361A">
        <w:rPr>
          <w:spacing w:val="-1"/>
          <w:sz w:val="24"/>
          <w:szCs w:val="24"/>
        </w:rPr>
        <w:t xml:space="preserve"> 4.4).</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keepNext/>
        <w:widowControl w:val="0"/>
        <w:tabs>
          <w:tab w:val="left" w:pos="0"/>
          <w:tab w:val="left" w:pos="9070"/>
        </w:tabs>
        <w:ind w:left="851"/>
        <w:rPr>
          <w:sz w:val="24"/>
          <w:szCs w:val="24"/>
        </w:rPr>
      </w:pPr>
      <w:r w:rsidRPr="00EC361A">
        <w:rPr>
          <w:spacing w:val="-1"/>
          <w:sz w:val="24"/>
          <w:szCs w:val="24"/>
          <w:u w:val="single" w:color="000000"/>
        </w:rPr>
        <w:t>Resistens</w:t>
      </w:r>
    </w:p>
    <w:p w:rsidR="006C56FF" w:rsidRDefault="006C56FF" w:rsidP="006C56FF">
      <w:pPr>
        <w:widowControl w:val="0"/>
        <w:tabs>
          <w:tab w:val="left" w:pos="0"/>
          <w:tab w:val="left" w:pos="9070"/>
        </w:tabs>
        <w:ind w:left="851" w:right="110"/>
        <w:rPr>
          <w:spacing w:val="-1"/>
          <w:sz w:val="24"/>
          <w:szCs w:val="24"/>
        </w:rPr>
      </w:pPr>
      <w:r w:rsidRPr="00EC361A">
        <w:rPr>
          <w:spacing w:val="-2"/>
          <w:sz w:val="24"/>
          <w:szCs w:val="24"/>
        </w:rPr>
        <w:t>Ritonavir-resistente</w:t>
      </w:r>
      <w:r w:rsidRPr="00EC361A">
        <w:rPr>
          <w:sz w:val="24"/>
          <w:szCs w:val="24"/>
        </w:rPr>
        <w:t xml:space="preserve"> </w:t>
      </w:r>
      <w:r w:rsidRPr="00EC361A">
        <w:rPr>
          <w:spacing w:val="-1"/>
          <w:sz w:val="24"/>
          <w:szCs w:val="24"/>
        </w:rPr>
        <w:t>isolater</w:t>
      </w:r>
      <w:r w:rsidRPr="00EC361A">
        <w:rPr>
          <w:sz w:val="24"/>
          <w:szCs w:val="24"/>
        </w:rPr>
        <w:t xml:space="preserve"> </w:t>
      </w:r>
      <w:r w:rsidRPr="00EC361A">
        <w:rPr>
          <w:spacing w:val="-1"/>
          <w:sz w:val="24"/>
          <w:szCs w:val="24"/>
        </w:rPr>
        <w:t xml:space="preserve">af </w:t>
      </w:r>
      <w:r w:rsidRPr="00EC361A">
        <w:rPr>
          <w:spacing w:val="-2"/>
          <w:sz w:val="24"/>
          <w:szCs w:val="24"/>
        </w:rPr>
        <w:t>hiv-1</w:t>
      </w:r>
      <w:r w:rsidRPr="00EC361A">
        <w:rPr>
          <w:sz w:val="24"/>
          <w:szCs w:val="24"/>
        </w:rPr>
        <w:t xml:space="preserve"> er </w:t>
      </w:r>
      <w:r w:rsidRPr="00EC361A">
        <w:rPr>
          <w:spacing w:val="-1"/>
          <w:sz w:val="24"/>
          <w:szCs w:val="24"/>
        </w:rPr>
        <w:t>blevet selekteret</w:t>
      </w:r>
      <w:r w:rsidRPr="00EC361A">
        <w:rPr>
          <w:sz w:val="24"/>
          <w:szCs w:val="24"/>
        </w:rPr>
        <w:t xml:space="preserve"> </w:t>
      </w:r>
      <w:r w:rsidRPr="00EC361A">
        <w:rPr>
          <w:i/>
          <w:spacing w:val="-1"/>
          <w:sz w:val="24"/>
          <w:szCs w:val="24"/>
        </w:rPr>
        <w:t>in vitro</w:t>
      </w:r>
      <w:r w:rsidRPr="00EC361A">
        <w:rPr>
          <w:i/>
          <w:spacing w:val="5"/>
          <w:sz w:val="24"/>
          <w:szCs w:val="24"/>
        </w:rPr>
        <w:t xml:space="preserve"> </w:t>
      </w:r>
      <w:r w:rsidRPr="00EC361A">
        <w:rPr>
          <w:spacing w:val="-1"/>
          <w:sz w:val="24"/>
          <w:szCs w:val="24"/>
        </w:rPr>
        <w:t xml:space="preserve">og isoleret fra patienter </w:t>
      </w:r>
      <w:r w:rsidRPr="00EC361A">
        <w:rPr>
          <w:sz w:val="24"/>
          <w:szCs w:val="24"/>
        </w:rPr>
        <w:t>i</w:t>
      </w:r>
      <w:r w:rsidRPr="00EC361A">
        <w:rPr>
          <w:spacing w:val="-1"/>
          <w:sz w:val="24"/>
          <w:szCs w:val="24"/>
        </w:rPr>
        <w:t xml:space="preserve"> behandling</w:t>
      </w:r>
      <w:r w:rsidRPr="00EC361A">
        <w:rPr>
          <w:spacing w:val="66"/>
          <w:sz w:val="24"/>
          <w:szCs w:val="24"/>
        </w:rPr>
        <w:t xml:space="preserve"> </w:t>
      </w:r>
      <w:r w:rsidRPr="00EC361A">
        <w:rPr>
          <w:spacing w:val="-1"/>
          <w:sz w:val="24"/>
          <w:szCs w:val="24"/>
        </w:rPr>
        <w:t>med terapeutiske doser af ritonavir</w:t>
      </w:r>
      <w:r>
        <w:rPr>
          <w:spacing w:val="-1"/>
          <w:sz w:val="24"/>
          <w:szCs w:val="24"/>
        </w:rPr>
        <w:t>.</w:t>
      </w:r>
    </w:p>
    <w:p w:rsidR="006C56FF" w:rsidRPr="00EC361A" w:rsidRDefault="006C56FF" w:rsidP="006C56FF">
      <w:pPr>
        <w:widowControl w:val="0"/>
        <w:tabs>
          <w:tab w:val="left" w:pos="0"/>
          <w:tab w:val="left" w:pos="9070"/>
        </w:tabs>
        <w:ind w:left="851" w:right="110"/>
        <w:rPr>
          <w:sz w:val="24"/>
          <w:szCs w:val="24"/>
        </w:rPr>
      </w:pPr>
      <w:r w:rsidRPr="00EC361A">
        <w:rPr>
          <w:spacing w:val="-1"/>
          <w:sz w:val="24"/>
          <w:szCs w:val="24"/>
        </w:rPr>
        <w:t>Reduktion af ritonavirs antiretrovirale aktivitet er primært knyttet til</w:t>
      </w:r>
      <w:r w:rsidRPr="00EC361A">
        <w:rPr>
          <w:spacing w:val="26"/>
          <w:sz w:val="24"/>
          <w:szCs w:val="24"/>
        </w:rPr>
        <w:t xml:space="preserve"> </w:t>
      </w:r>
      <w:r w:rsidRPr="00EC361A">
        <w:rPr>
          <w:spacing w:val="-1"/>
          <w:sz w:val="24"/>
          <w:szCs w:val="24"/>
        </w:rPr>
        <w:t>proteasemutationerne V82A/F/T/S og I84V.</w:t>
      </w:r>
      <w:r w:rsidRPr="00EC361A">
        <w:rPr>
          <w:spacing w:val="54"/>
          <w:sz w:val="24"/>
          <w:szCs w:val="24"/>
        </w:rPr>
        <w:t xml:space="preserve"> </w:t>
      </w:r>
      <w:r w:rsidRPr="00EC361A">
        <w:rPr>
          <w:spacing w:val="-1"/>
          <w:sz w:val="24"/>
          <w:szCs w:val="24"/>
        </w:rPr>
        <w:t xml:space="preserve">Akkumulation af andre mutationer </w:t>
      </w:r>
      <w:r w:rsidRPr="00EC361A">
        <w:rPr>
          <w:sz w:val="24"/>
          <w:szCs w:val="24"/>
        </w:rPr>
        <w:t>i</w:t>
      </w:r>
      <w:r w:rsidRPr="00EC361A">
        <w:rPr>
          <w:spacing w:val="-1"/>
          <w:sz w:val="24"/>
          <w:szCs w:val="24"/>
        </w:rPr>
        <w:t xml:space="preserve"> proteasegenet (bl.a.</w:t>
      </w:r>
      <w:r w:rsidRPr="00EC361A">
        <w:rPr>
          <w:spacing w:val="29"/>
          <w:sz w:val="24"/>
          <w:szCs w:val="24"/>
        </w:rPr>
        <w:t xml:space="preserve"> </w:t>
      </w:r>
      <w:r w:rsidRPr="00EC361A">
        <w:rPr>
          <w:spacing w:val="-1"/>
          <w:sz w:val="24"/>
          <w:szCs w:val="24"/>
        </w:rPr>
        <w:t>ved positionerne 20, 33, 36, 46, 54, 71 og 90) kan også bidrage til resistens over for ritonavir. Som</w:t>
      </w:r>
      <w:r w:rsidRPr="00EC361A">
        <w:rPr>
          <w:spacing w:val="36"/>
          <w:sz w:val="24"/>
          <w:szCs w:val="24"/>
        </w:rPr>
        <w:t xml:space="preserve"> </w:t>
      </w:r>
      <w:r w:rsidRPr="00EC361A">
        <w:rPr>
          <w:spacing w:val="-1"/>
          <w:sz w:val="24"/>
          <w:szCs w:val="24"/>
        </w:rPr>
        <w:t>udgangspunkt, akkumuleres mutationer associeret med resistens over for ritonavir og muligheden for</w:t>
      </w:r>
      <w:r w:rsidRPr="00EC361A">
        <w:rPr>
          <w:sz w:val="24"/>
          <w:szCs w:val="24"/>
        </w:rPr>
        <w:t xml:space="preserve"> </w:t>
      </w:r>
      <w:r w:rsidRPr="00EC361A">
        <w:rPr>
          <w:spacing w:val="22"/>
          <w:sz w:val="24"/>
          <w:szCs w:val="24"/>
        </w:rPr>
        <w:t>at</w:t>
      </w:r>
      <w:r w:rsidRPr="00EC361A">
        <w:rPr>
          <w:spacing w:val="-1"/>
          <w:sz w:val="24"/>
          <w:szCs w:val="24"/>
        </w:rPr>
        <w:t xml:space="preserve"> vælge andre proteasehæmmere falde på grund af krydsresistens.</w:t>
      </w:r>
      <w:r w:rsidRPr="00EC361A">
        <w:rPr>
          <w:spacing w:val="54"/>
          <w:sz w:val="24"/>
          <w:szCs w:val="24"/>
        </w:rPr>
        <w:t xml:space="preserve"> </w:t>
      </w:r>
      <w:r w:rsidRPr="00EC361A">
        <w:rPr>
          <w:spacing w:val="-1"/>
          <w:sz w:val="24"/>
          <w:szCs w:val="24"/>
        </w:rPr>
        <w:t>Produktresuméet for andre</w:t>
      </w:r>
      <w:r w:rsidRPr="00EC361A">
        <w:rPr>
          <w:spacing w:val="22"/>
          <w:sz w:val="24"/>
          <w:szCs w:val="24"/>
        </w:rPr>
        <w:t xml:space="preserve"> </w:t>
      </w:r>
      <w:r w:rsidRPr="00EC361A">
        <w:rPr>
          <w:spacing w:val="-1"/>
          <w:sz w:val="24"/>
          <w:szCs w:val="24"/>
        </w:rPr>
        <w:t>proteasehæmmere eller andre officielle opdateringer bør konsulteres med hensyn til konkrete</w:t>
      </w:r>
      <w:r w:rsidRPr="00EC361A">
        <w:rPr>
          <w:spacing w:val="20"/>
          <w:sz w:val="24"/>
          <w:szCs w:val="24"/>
        </w:rPr>
        <w:t xml:space="preserve"> </w:t>
      </w:r>
      <w:r w:rsidRPr="00EC361A">
        <w:rPr>
          <w:spacing w:val="-1"/>
          <w:sz w:val="24"/>
          <w:szCs w:val="24"/>
        </w:rPr>
        <w:t>oplysninger vedrørende proteasemutationer associeret med nedsat respons på disse stoffer.</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widowControl w:val="0"/>
        <w:tabs>
          <w:tab w:val="left" w:pos="0"/>
          <w:tab w:val="left" w:pos="9070"/>
        </w:tabs>
        <w:ind w:left="851"/>
        <w:rPr>
          <w:sz w:val="24"/>
          <w:szCs w:val="24"/>
        </w:rPr>
      </w:pPr>
      <w:r w:rsidRPr="00EC361A">
        <w:rPr>
          <w:spacing w:val="-1"/>
          <w:sz w:val="24"/>
          <w:szCs w:val="24"/>
          <w:u w:val="single" w:color="000000"/>
        </w:rPr>
        <w:t>Kliniske farmakodynamiske data</w:t>
      </w:r>
    </w:p>
    <w:p w:rsidR="006C56FF" w:rsidRPr="00EC361A" w:rsidRDefault="006C56FF" w:rsidP="006C56FF">
      <w:pPr>
        <w:widowControl w:val="0"/>
        <w:tabs>
          <w:tab w:val="left" w:pos="0"/>
          <w:tab w:val="left" w:pos="9070"/>
        </w:tabs>
        <w:ind w:left="851" w:right="156"/>
        <w:rPr>
          <w:sz w:val="24"/>
          <w:szCs w:val="24"/>
        </w:rPr>
      </w:pPr>
      <w:r w:rsidRPr="00EC361A">
        <w:rPr>
          <w:spacing w:val="-1"/>
          <w:sz w:val="24"/>
          <w:szCs w:val="24"/>
        </w:rPr>
        <w:t>Ritonavirs</w:t>
      </w:r>
      <w:r w:rsidRPr="00EC361A">
        <w:rPr>
          <w:sz w:val="24"/>
          <w:szCs w:val="24"/>
        </w:rPr>
        <w:t xml:space="preserve"> </w:t>
      </w:r>
      <w:r w:rsidRPr="00EC361A">
        <w:rPr>
          <w:spacing w:val="-1"/>
          <w:sz w:val="24"/>
          <w:szCs w:val="24"/>
        </w:rPr>
        <w:t>virkning (alene eller sammen med andre antiretrovirale stoffer) på biologiske markører på</w:t>
      </w:r>
      <w:r w:rsidRPr="00EC361A">
        <w:rPr>
          <w:spacing w:val="24"/>
          <w:sz w:val="24"/>
          <w:szCs w:val="24"/>
        </w:rPr>
        <w:t xml:space="preserve"> </w:t>
      </w:r>
      <w:r w:rsidRPr="00EC361A">
        <w:rPr>
          <w:spacing w:val="-1"/>
          <w:sz w:val="24"/>
          <w:szCs w:val="24"/>
        </w:rPr>
        <w:t xml:space="preserve">sygdomsaktivitet, f.eks. CD4 celletælling og viralt RNA, blev vurderet </w:t>
      </w:r>
      <w:r w:rsidRPr="00EC361A">
        <w:rPr>
          <w:sz w:val="24"/>
          <w:szCs w:val="24"/>
        </w:rPr>
        <w:t>i</w:t>
      </w:r>
      <w:r w:rsidRPr="00EC361A">
        <w:rPr>
          <w:spacing w:val="-1"/>
          <w:sz w:val="24"/>
          <w:szCs w:val="24"/>
        </w:rPr>
        <w:t xml:space="preserve"> flere</w:t>
      </w:r>
      <w:r w:rsidRPr="00EC361A">
        <w:rPr>
          <w:spacing w:val="-2"/>
          <w:sz w:val="24"/>
          <w:szCs w:val="24"/>
        </w:rPr>
        <w:t xml:space="preserve"> </w:t>
      </w:r>
      <w:r w:rsidRPr="00EC361A">
        <w:rPr>
          <w:spacing w:val="-1"/>
          <w:sz w:val="24"/>
          <w:szCs w:val="24"/>
        </w:rPr>
        <w:t>studier, hvori der indgik</w:t>
      </w:r>
      <w:r w:rsidRPr="00EC361A">
        <w:rPr>
          <w:spacing w:val="28"/>
          <w:sz w:val="24"/>
          <w:szCs w:val="24"/>
        </w:rPr>
        <w:t xml:space="preserve"> </w:t>
      </w:r>
      <w:r w:rsidRPr="00EC361A">
        <w:rPr>
          <w:spacing w:val="-1"/>
          <w:sz w:val="24"/>
          <w:szCs w:val="24"/>
        </w:rPr>
        <w:t>hiv-1 smittede patienter. Følgende studier</w:t>
      </w:r>
      <w:r w:rsidRPr="00EC361A">
        <w:rPr>
          <w:spacing w:val="-2"/>
          <w:sz w:val="24"/>
          <w:szCs w:val="24"/>
        </w:rPr>
        <w:t xml:space="preserve"> </w:t>
      </w:r>
      <w:r w:rsidRPr="00EC361A">
        <w:rPr>
          <w:spacing w:val="-1"/>
          <w:sz w:val="24"/>
          <w:szCs w:val="24"/>
        </w:rPr>
        <w:t>er de vigtigste:</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tabs>
          <w:tab w:val="left" w:pos="0"/>
          <w:tab w:val="left" w:pos="9070"/>
        </w:tabs>
        <w:ind w:left="851"/>
        <w:rPr>
          <w:sz w:val="24"/>
          <w:szCs w:val="24"/>
          <w:lang w:eastAsia="da-DK"/>
        </w:rPr>
      </w:pPr>
      <w:r w:rsidRPr="00EC361A">
        <w:rPr>
          <w:i/>
          <w:spacing w:val="-1"/>
          <w:sz w:val="24"/>
          <w:szCs w:val="24"/>
          <w:lang w:eastAsia="da-DK"/>
        </w:rPr>
        <w:t>Voksne</w:t>
      </w:r>
    </w:p>
    <w:p w:rsidR="00E916DB" w:rsidRPr="00EC361A" w:rsidRDefault="00E916DB" w:rsidP="00E916DB">
      <w:pPr>
        <w:widowControl w:val="0"/>
        <w:tabs>
          <w:tab w:val="left" w:pos="0"/>
          <w:tab w:val="left" w:pos="9070"/>
        </w:tabs>
        <w:ind w:left="851" w:right="247"/>
        <w:rPr>
          <w:sz w:val="24"/>
          <w:szCs w:val="24"/>
        </w:rPr>
      </w:pPr>
      <w:r w:rsidRPr="00EC361A">
        <w:rPr>
          <w:spacing w:val="-1"/>
          <w:sz w:val="24"/>
          <w:szCs w:val="24"/>
        </w:rPr>
        <w:t>Et kontrolleret studie</w:t>
      </w:r>
      <w:r w:rsidRPr="00EC361A">
        <w:rPr>
          <w:sz w:val="24"/>
          <w:szCs w:val="24"/>
        </w:rPr>
        <w:t xml:space="preserve"> </w:t>
      </w:r>
      <w:r w:rsidRPr="00EC361A">
        <w:rPr>
          <w:spacing w:val="-1"/>
          <w:sz w:val="24"/>
          <w:szCs w:val="24"/>
        </w:rPr>
        <w:t xml:space="preserve">afsluttet </w:t>
      </w:r>
      <w:r w:rsidRPr="00EC361A">
        <w:rPr>
          <w:sz w:val="24"/>
          <w:szCs w:val="24"/>
        </w:rPr>
        <w:t>i</w:t>
      </w:r>
      <w:r w:rsidRPr="00EC361A">
        <w:rPr>
          <w:spacing w:val="-1"/>
          <w:sz w:val="24"/>
          <w:szCs w:val="24"/>
        </w:rPr>
        <w:t xml:space="preserve"> 1996</w:t>
      </w:r>
      <w:r w:rsidRPr="00EC361A">
        <w:rPr>
          <w:spacing w:val="4"/>
          <w:sz w:val="24"/>
          <w:szCs w:val="24"/>
        </w:rPr>
        <w:t xml:space="preserve"> </w:t>
      </w:r>
      <w:r w:rsidRPr="00EC361A">
        <w:rPr>
          <w:spacing w:val="-1"/>
          <w:sz w:val="24"/>
          <w:szCs w:val="24"/>
        </w:rPr>
        <w:t xml:space="preserve">med ritonavir som supplerende behandling hos </w:t>
      </w:r>
      <w:r w:rsidRPr="00EC361A">
        <w:rPr>
          <w:spacing w:val="-2"/>
          <w:sz w:val="24"/>
          <w:szCs w:val="24"/>
        </w:rPr>
        <w:t>hiv-1</w:t>
      </w:r>
      <w:r w:rsidRPr="00EC361A">
        <w:rPr>
          <w:sz w:val="24"/>
          <w:szCs w:val="24"/>
        </w:rPr>
        <w:t xml:space="preserve"> patienter</w:t>
      </w:r>
      <w:r w:rsidRPr="00EC361A">
        <w:rPr>
          <w:spacing w:val="29"/>
          <w:sz w:val="24"/>
          <w:szCs w:val="24"/>
        </w:rPr>
        <w:t xml:space="preserve"> </w:t>
      </w:r>
      <w:r w:rsidRPr="00EC361A">
        <w:rPr>
          <w:spacing w:val="-1"/>
          <w:sz w:val="24"/>
          <w:szCs w:val="24"/>
        </w:rPr>
        <w:t>efter intensiv forudgående behandling med nukleoside analoger og CD4 celletal</w:t>
      </w:r>
      <w:r w:rsidRPr="00EC361A">
        <w:rPr>
          <w:spacing w:val="-5"/>
          <w:sz w:val="24"/>
          <w:szCs w:val="24"/>
        </w:rPr>
        <w:t xml:space="preserve"> </w:t>
      </w:r>
      <w:r w:rsidRPr="00EC361A">
        <w:rPr>
          <w:sz w:val="24"/>
          <w:szCs w:val="24"/>
        </w:rPr>
        <w:t xml:space="preserve">≤ </w:t>
      </w:r>
      <w:r w:rsidRPr="00EC361A">
        <w:rPr>
          <w:spacing w:val="-1"/>
          <w:sz w:val="24"/>
          <w:szCs w:val="24"/>
        </w:rPr>
        <w:t>100 celler/</w:t>
      </w:r>
      <w:r w:rsidRPr="00EC361A">
        <w:rPr>
          <w:sz w:val="24"/>
          <w:szCs w:val="24"/>
        </w:rPr>
        <w:t>µ</w:t>
      </w:r>
      <w:r w:rsidRPr="00EC361A">
        <w:rPr>
          <w:spacing w:val="-1"/>
          <w:sz w:val="24"/>
          <w:szCs w:val="24"/>
        </w:rPr>
        <w:t>l</w:t>
      </w:r>
      <w:r w:rsidRPr="00EC361A">
        <w:rPr>
          <w:sz w:val="24"/>
          <w:szCs w:val="24"/>
        </w:rPr>
        <w:t xml:space="preserve"> viste</w:t>
      </w:r>
      <w:r w:rsidRPr="00EC361A">
        <w:rPr>
          <w:spacing w:val="23"/>
          <w:sz w:val="24"/>
          <w:szCs w:val="24"/>
        </w:rPr>
        <w:t xml:space="preserve"> </w:t>
      </w:r>
      <w:r w:rsidRPr="00EC361A">
        <w:rPr>
          <w:spacing w:val="-1"/>
          <w:sz w:val="24"/>
          <w:szCs w:val="24"/>
        </w:rPr>
        <w:t xml:space="preserve">et fald </w:t>
      </w:r>
      <w:r w:rsidRPr="00EC361A">
        <w:rPr>
          <w:sz w:val="24"/>
          <w:szCs w:val="24"/>
        </w:rPr>
        <w:t>i</w:t>
      </w:r>
      <w:r w:rsidRPr="00EC361A">
        <w:rPr>
          <w:spacing w:val="-1"/>
          <w:sz w:val="24"/>
          <w:szCs w:val="24"/>
        </w:rPr>
        <w:t xml:space="preserve"> dødeligheden og AIDS definerende begivenheder. Den gennemsnitlige ændring fra basis </w:t>
      </w:r>
      <w:r w:rsidRPr="00EC361A">
        <w:rPr>
          <w:sz w:val="24"/>
          <w:szCs w:val="24"/>
        </w:rPr>
        <w:t xml:space="preserve">i </w:t>
      </w:r>
      <w:r w:rsidRPr="00EC361A">
        <w:rPr>
          <w:spacing w:val="-1"/>
          <w:sz w:val="24"/>
          <w:szCs w:val="24"/>
        </w:rPr>
        <w:t>løbet</w:t>
      </w:r>
      <w:r w:rsidRPr="00EC361A">
        <w:rPr>
          <w:spacing w:val="-2"/>
          <w:sz w:val="24"/>
          <w:szCs w:val="24"/>
        </w:rPr>
        <w:t xml:space="preserve"> </w:t>
      </w:r>
      <w:r w:rsidRPr="00EC361A">
        <w:rPr>
          <w:spacing w:val="-1"/>
          <w:sz w:val="24"/>
          <w:szCs w:val="24"/>
        </w:rPr>
        <w:t>af 16 uger for</w:t>
      </w:r>
      <w:r w:rsidRPr="00EC361A">
        <w:rPr>
          <w:spacing w:val="-3"/>
          <w:sz w:val="24"/>
          <w:szCs w:val="24"/>
        </w:rPr>
        <w:t xml:space="preserve"> </w:t>
      </w:r>
      <w:r w:rsidRPr="00EC361A">
        <w:rPr>
          <w:spacing w:val="-1"/>
          <w:sz w:val="24"/>
          <w:szCs w:val="24"/>
        </w:rPr>
        <w:t>hiv-RNA-niveauerne</w:t>
      </w:r>
      <w:r w:rsidRPr="00EC361A">
        <w:rPr>
          <w:sz w:val="24"/>
          <w:szCs w:val="24"/>
        </w:rPr>
        <w:t xml:space="preserve"> var </w:t>
      </w:r>
      <w:r w:rsidRPr="00EC361A">
        <w:rPr>
          <w:spacing w:val="-1"/>
          <w:sz w:val="24"/>
          <w:szCs w:val="24"/>
        </w:rPr>
        <w:t>-0,79</w:t>
      </w:r>
      <w:r w:rsidRPr="00EC361A">
        <w:rPr>
          <w:sz w:val="24"/>
          <w:szCs w:val="24"/>
        </w:rPr>
        <w:t xml:space="preserve"> </w:t>
      </w:r>
      <w:r w:rsidRPr="00EC361A">
        <w:rPr>
          <w:spacing w:val="-1"/>
          <w:sz w:val="24"/>
          <w:szCs w:val="24"/>
        </w:rPr>
        <w:t>log</w:t>
      </w:r>
      <w:r w:rsidRPr="00EC361A">
        <w:rPr>
          <w:spacing w:val="-1"/>
          <w:position w:val="-2"/>
          <w:sz w:val="24"/>
          <w:szCs w:val="24"/>
          <w:vertAlign w:val="subscript"/>
        </w:rPr>
        <w:t>10</w:t>
      </w:r>
      <w:r w:rsidRPr="00EC361A">
        <w:rPr>
          <w:spacing w:val="20"/>
          <w:position w:val="-2"/>
          <w:sz w:val="24"/>
          <w:szCs w:val="24"/>
        </w:rPr>
        <w:t xml:space="preserve"> </w:t>
      </w:r>
      <w:r w:rsidRPr="00EC361A">
        <w:rPr>
          <w:spacing w:val="-1"/>
          <w:sz w:val="24"/>
          <w:szCs w:val="24"/>
        </w:rPr>
        <w:t>(maksimalt gennemsnitlige</w:t>
      </w:r>
      <w:r w:rsidRPr="00EC361A">
        <w:rPr>
          <w:spacing w:val="-2"/>
          <w:sz w:val="24"/>
          <w:szCs w:val="24"/>
        </w:rPr>
        <w:t xml:space="preserve"> </w:t>
      </w:r>
      <w:r w:rsidRPr="00EC361A">
        <w:rPr>
          <w:spacing w:val="-1"/>
          <w:sz w:val="24"/>
          <w:szCs w:val="24"/>
        </w:rPr>
        <w:t>fald: 1,29 log</w:t>
      </w:r>
      <w:r w:rsidRPr="00EC361A">
        <w:rPr>
          <w:spacing w:val="-1"/>
          <w:position w:val="-3"/>
          <w:sz w:val="24"/>
          <w:szCs w:val="24"/>
          <w:vertAlign w:val="subscript"/>
        </w:rPr>
        <w:t>10</w:t>
      </w:r>
      <w:r w:rsidRPr="00EC361A">
        <w:rPr>
          <w:spacing w:val="-1"/>
          <w:sz w:val="24"/>
          <w:szCs w:val="24"/>
        </w:rPr>
        <w:t>)</w:t>
      </w:r>
      <w:r w:rsidRPr="00EC361A">
        <w:rPr>
          <w:spacing w:val="1"/>
          <w:sz w:val="24"/>
          <w:szCs w:val="24"/>
        </w:rPr>
        <w:t xml:space="preserve"> </w:t>
      </w:r>
      <w:r w:rsidRPr="00EC361A">
        <w:rPr>
          <w:sz w:val="24"/>
          <w:szCs w:val="24"/>
        </w:rPr>
        <w:t>i</w:t>
      </w:r>
      <w:r w:rsidRPr="00EC361A">
        <w:rPr>
          <w:spacing w:val="45"/>
          <w:sz w:val="24"/>
          <w:szCs w:val="24"/>
        </w:rPr>
        <w:t xml:space="preserve"> </w:t>
      </w:r>
      <w:r w:rsidRPr="00EC361A">
        <w:rPr>
          <w:spacing w:val="-1"/>
          <w:sz w:val="24"/>
          <w:szCs w:val="24"/>
        </w:rPr>
        <w:t>ritonavirgruppen</w:t>
      </w:r>
      <w:r w:rsidRPr="00EC361A">
        <w:rPr>
          <w:spacing w:val="-2"/>
          <w:sz w:val="24"/>
          <w:szCs w:val="24"/>
        </w:rPr>
        <w:t xml:space="preserve"> </w:t>
      </w:r>
      <w:r w:rsidRPr="00EC361A">
        <w:rPr>
          <w:spacing w:val="-1"/>
          <w:sz w:val="24"/>
          <w:szCs w:val="24"/>
        </w:rPr>
        <w:t>sammenlignet med</w:t>
      </w:r>
      <w:r w:rsidRPr="00EC361A">
        <w:rPr>
          <w:spacing w:val="1"/>
          <w:sz w:val="24"/>
          <w:szCs w:val="24"/>
        </w:rPr>
        <w:t xml:space="preserve"> </w:t>
      </w:r>
      <w:r w:rsidRPr="00EC361A">
        <w:rPr>
          <w:spacing w:val="-1"/>
          <w:sz w:val="24"/>
          <w:szCs w:val="24"/>
        </w:rPr>
        <w:t>-0,01</w:t>
      </w:r>
      <w:r w:rsidRPr="00EC361A">
        <w:rPr>
          <w:sz w:val="24"/>
          <w:szCs w:val="24"/>
        </w:rPr>
        <w:t xml:space="preserve"> </w:t>
      </w:r>
      <w:r w:rsidRPr="00EC361A">
        <w:rPr>
          <w:spacing w:val="-1"/>
          <w:sz w:val="24"/>
          <w:szCs w:val="24"/>
        </w:rPr>
        <w:t>log</w:t>
      </w:r>
      <w:r w:rsidRPr="00EC361A">
        <w:rPr>
          <w:spacing w:val="-1"/>
          <w:position w:val="-2"/>
          <w:sz w:val="24"/>
          <w:szCs w:val="24"/>
          <w:vertAlign w:val="subscript"/>
        </w:rPr>
        <w:t>10</w:t>
      </w:r>
      <w:r w:rsidRPr="00EC361A">
        <w:rPr>
          <w:spacing w:val="20"/>
          <w:position w:val="-2"/>
          <w:sz w:val="24"/>
          <w:szCs w:val="24"/>
        </w:rPr>
        <w:t xml:space="preserve"> </w:t>
      </w:r>
      <w:r w:rsidRPr="00EC361A">
        <w:rPr>
          <w:sz w:val="24"/>
          <w:szCs w:val="24"/>
        </w:rPr>
        <w:t>i</w:t>
      </w:r>
      <w:r w:rsidRPr="00EC361A">
        <w:rPr>
          <w:spacing w:val="-1"/>
          <w:sz w:val="24"/>
          <w:szCs w:val="24"/>
        </w:rPr>
        <w:t xml:space="preserve"> kontrolgruppen. De</w:t>
      </w:r>
      <w:r w:rsidRPr="00EC361A">
        <w:rPr>
          <w:spacing w:val="-2"/>
          <w:sz w:val="24"/>
          <w:szCs w:val="24"/>
        </w:rPr>
        <w:t xml:space="preserve"> </w:t>
      </w:r>
      <w:r w:rsidRPr="00EC361A">
        <w:rPr>
          <w:spacing w:val="-1"/>
          <w:sz w:val="24"/>
          <w:szCs w:val="24"/>
        </w:rPr>
        <w:t xml:space="preserve">oftest anvendte nukleosider </w:t>
      </w:r>
      <w:r w:rsidRPr="00EC361A">
        <w:rPr>
          <w:sz w:val="24"/>
          <w:szCs w:val="24"/>
        </w:rPr>
        <w:t>i</w:t>
      </w:r>
      <w:r w:rsidRPr="00EC361A">
        <w:rPr>
          <w:spacing w:val="23"/>
          <w:sz w:val="24"/>
          <w:szCs w:val="24"/>
        </w:rPr>
        <w:t xml:space="preserve"> </w:t>
      </w:r>
      <w:r w:rsidRPr="00EC361A">
        <w:rPr>
          <w:sz w:val="24"/>
          <w:szCs w:val="24"/>
        </w:rPr>
        <w:t xml:space="preserve">dette </w:t>
      </w:r>
      <w:r w:rsidRPr="00EC361A">
        <w:rPr>
          <w:spacing w:val="-1"/>
          <w:sz w:val="24"/>
          <w:szCs w:val="24"/>
        </w:rPr>
        <w:t>studie</w:t>
      </w:r>
      <w:r w:rsidRPr="00EC361A">
        <w:rPr>
          <w:sz w:val="24"/>
          <w:szCs w:val="24"/>
        </w:rPr>
        <w:t xml:space="preserve"> </w:t>
      </w:r>
      <w:r w:rsidRPr="00EC361A">
        <w:rPr>
          <w:spacing w:val="-1"/>
          <w:sz w:val="24"/>
          <w:szCs w:val="24"/>
        </w:rPr>
        <w:t>var zidovudin, stavudin, didanosin og zalcitabin.</w:t>
      </w:r>
    </w:p>
    <w:p w:rsidR="00E916DB" w:rsidRPr="00EC361A" w:rsidRDefault="00E916DB" w:rsidP="00E916DB">
      <w:pPr>
        <w:tabs>
          <w:tab w:val="left" w:pos="0"/>
          <w:tab w:val="left" w:pos="9070"/>
        </w:tabs>
        <w:ind w:left="851"/>
        <w:rPr>
          <w:sz w:val="24"/>
          <w:szCs w:val="24"/>
          <w:lang w:eastAsia="da-DK"/>
        </w:rPr>
      </w:pPr>
    </w:p>
    <w:p w:rsidR="00E916DB" w:rsidRPr="00EC361A" w:rsidRDefault="00E916DB" w:rsidP="00E916DB">
      <w:pPr>
        <w:widowControl w:val="0"/>
        <w:tabs>
          <w:tab w:val="left" w:pos="0"/>
          <w:tab w:val="left" w:pos="9070"/>
        </w:tabs>
        <w:ind w:left="851" w:right="202"/>
        <w:rPr>
          <w:sz w:val="24"/>
          <w:szCs w:val="24"/>
        </w:rPr>
      </w:pPr>
      <w:r w:rsidRPr="00EC361A">
        <w:rPr>
          <w:sz w:val="24"/>
          <w:szCs w:val="24"/>
        </w:rPr>
        <w:t>I</w:t>
      </w:r>
      <w:r w:rsidRPr="00EC361A">
        <w:rPr>
          <w:spacing w:val="-2"/>
          <w:sz w:val="24"/>
          <w:szCs w:val="24"/>
        </w:rPr>
        <w:t xml:space="preserve"> </w:t>
      </w:r>
      <w:r w:rsidRPr="00EC361A">
        <w:rPr>
          <w:spacing w:val="-1"/>
          <w:sz w:val="24"/>
          <w:szCs w:val="24"/>
        </w:rPr>
        <w:t xml:space="preserve">et </w:t>
      </w:r>
      <w:r w:rsidRPr="00EC361A">
        <w:rPr>
          <w:sz w:val="24"/>
          <w:szCs w:val="24"/>
        </w:rPr>
        <w:t>studie</w:t>
      </w:r>
      <w:r w:rsidRPr="00EC361A">
        <w:rPr>
          <w:spacing w:val="-2"/>
          <w:sz w:val="24"/>
          <w:szCs w:val="24"/>
        </w:rPr>
        <w:t xml:space="preserve"> </w:t>
      </w:r>
      <w:r w:rsidRPr="00EC361A">
        <w:rPr>
          <w:spacing w:val="-1"/>
          <w:sz w:val="24"/>
          <w:szCs w:val="24"/>
        </w:rPr>
        <w:t xml:space="preserve">afsluttet </w:t>
      </w:r>
      <w:r w:rsidRPr="00EC361A">
        <w:rPr>
          <w:sz w:val="24"/>
          <w:szCs w:val="24"/>
        </w:rPr>
        <w:t>i</w:t>
      </w:r>
      <w:r w:rsidRPr="00EC361A">
        <w:rPr>
          <w:spacing w:val="-1"/>
          <w:sz w:val="24"/>
          <w:szCs w:val="24"/>
        </w:rPr>
        <w:t xml:space="preserve"> 1996 med patienter med mindre fremskredet</w:t>
      </w:r>
      <w:r w:rsidRPr="00EC361A">
        <w:rPr>
          <w:spacing w:val="-2"/>
          <w:sz w:val="24"/>
          <w:szCs w:val="24"/>
        </w:rPr>
        <w:t xml:space="preserve"> hiv-1</w:t>
      </w:r>
      <w:r w:rsidRPr="00EC361A">
        <w:rPr>
          <w:sz w:val="24"/>
          <w:szCs w:val="24"/>
        </w:rPr>
        <w:t xml:space="preserve"> </w:t>
      </w:r>
      <w:r w:rsidRPr="00EC361A">
        <w:rPr>
          <w:spacing w:val="-1"/>
          <w:sz w:val="24"/>
          <w:szCs w:val="24"/>
        </w:rPr>
        <w:t>(CD4</w:t>
      </w:r>
      <w:r w:rsidRPr="00EC361A">
        <w:rPr>
          <w:sz w:val="24"/>
          <w:szCs w:val="24"/>
        </w:rPr>
        <w:t xml:space="preserve"> </w:t>
      </w:r>
      <w:r w:rsidRPr="00EC361A">
        <w:rPr>
          <w:spacing w:val="-1"/>
          <w:sz w:val="24"/>
          <w:szCs w:val="24"/>
        </w:rPr>
        <w:t>200-500</w:t>
      </w:r>
      <w:r w:rsidRPr="00EC361A">
        <w:rPr>
          <w:sz w:val="24"/>
          <w:szCs w:val="24"/>
        </w:rPr>
        <w:t xml:space="preserve"> </w:t>
      </w:r>
      <w:r w:rsidRPr="00EC361A">
        <w:rPr>
          <w:spacing w:val="-1"/>
          <w:sz w:val="24"/>
          <w:szCs w:val="24"/>
        </w:rPr>
        <w:t>celler/</w:t>
      </w:r>
      <w:r w:rsidRPr="00EC361A">
        <w:rPr>
          <w:sz w:val="24"/>
          <w:szCs w:val="24"/>
        </w:rPr>
        <w:t>µ</w:t>
      </w:r>
      <w:r w:rsidRPr="00EC361A">
        <w:rPr>
          <w:spacing w:val="-1"/>
          <w:sz w:val="24"/>
          <w:szCs w:val="24"/>
        </w:rPr>
        <w:t>l)</w:t>
      </w:r>
      <w:r w:rsidRPr="00EC361A">
        <w:rPr>
          <w:sz w:val="24"/>
          <w:szCs w:val="24"/>
        </w:rPr>
        <w:t xml:space="preserve"> uden</w:t>
      </w:r>
      <w:r w:rsidRPr="00EC361A">
        <w:rPr>
          <w:spacing w:val="41"/>
          <w:sz w:val="24"/>
          <w:szCs w:val="24"/>
        </w:rPr>
        <w:t xml:space="preserve"> </w:t>
      </w:r>
      <w:r w:rsidRPr="00EC361A">
        <w:rPr>
          <w:spacing w:val="-1"/>
          <w:sz w:val="24"/>
          <w:szCs w:val="24"/>
        </w:rPr>
        <w:t>forudgående antiretroviral behandling, medførte ritonavir sammen med zidovudin eller alene nedsat</w:t>
      </w:r>
      <w:r w:rsidRPr="00EC361A">
        <w:rPr>
          <w:spacing w:val="20"/>
          <w:sz w:val="24"/>
          <w:szCs w:val="24"/>
        </w:rPr>
        <w:t xml:space="preserve"> </w:t>
      </w:r>
      <w:r w:rsidRPr="00EC361A">
        <w:rPr>
          <w:spacing w:val="-1"/>
          <w:sz w:val="24"/>
          <w:szCs w:val="24"/>
        </w:rPr>
        <w:t xml:space="preserve">viralbelastning </w:t>
      </w:r>
      <w:r w:rsidRPr="00EC361A">
        <w:rPr>
          <w:sz w:val="24"/>
          <w:szCs w:val="24"/>
        </w:rPr>
        <w:t>i</w:t>
      </w:r>
      <w:r w:rsidRPr="00EC361A">
        <w:rPr>
          <w:spacing w:val="-1"/>
          <w:sz w:val="24"/>
          <w:szCs w:val="24"/>
        </w:rPr>
        <w:t xml:space="preserve"> plasma og forøget CD4 tal. Gennemsnitsændringen fra basis </w:t>
      </w:r>
      <w:r w:rsidRPr="00EC361A">
        <w:rPr>
          <w:sz w:val="24"/>
          <w:szCs w:val="24"/>
        </w:rPr>
        <w:t>i</w:t>
      </w:r>
      <w:r w:rsidRPr="00EC361A">
        <w:rPr>
          <w:spacing w:val="-1"/>
          <w:sz w:val="24"/>
          <w:szCs w:val="24"/>
        </w:rPr>
        <w:t xml:space="preserve"> løbet af 48 uger for hiv-RNA</w:t>
      </w:r>
      <w:r w:rsidRPr="00EC361A">
        <w:rPr>
          <w:spacing w:val="-2"/>
          <w:sz w:val="24"/>
          <w:szCs w:val="24"/>
        </w:rPr>
        <w:t xml:space="preserve"> </w:t>
      </w:r>
      <w:r w:rsidRPr="00EC361A">
        <w:rPr>
          <w:spacing w:val="-1"/>
          <w:sz w:val="24"/>
          <w:szCs w:val="24"/>
        </w:rPr>
        <w:t>var</w:t>
      </w:r>
      <w:r w:rsidRPr="00EC361A">
        <w:rPr>
          <w:spacing w:val="2"/>
          <w:sz w:val="24"/>
          <w:szCs w:val="24"/>
        </w:rPr>
        <w:t xml:space="preserve"> </w:t>
      </w:r>
      <w:r w:rsidRPr="00EC361A">
        <w:rPr>
          <w:spacing w:val="-1"/>
          <w:sz w:val="24"/>
          <w:szCs w:val="24"/>
        </w:rPr>
        <w:t>-0,88</w:t>
      </w:r>
      <w:r w:rsidRPr="00EC361A">
        <w:rPr>
          <w:sz w:val="24"/>
          <w:szCs w:val="24"/>
        </w:rPr>
        <w:t xml:space="preserve"> </w:t>
      </w:r>
      <w:r w:rsidRPr="00EC361A">
        <w:rPr>
          <w:spacing w:val="-1"/>
          <w:sz w:val="24"/>
          <w:szCs w:val="24"/>
        </w:rPr>
        <w:t>log</w:t>
      </w:r>
      <w:r w:rsidRPr="00EC361A">
        <w:rPr>
          <w:spacing w:val="-1"/>
          <w:position w:val="-3"/>
          <w:sz w:val="24"/>
          <w:szCs w:val="24"/>
          <w:vertAlign w:val="subscript"/>
        </w:rPr>
        <w:t>10</w:t>
      </w:r>
      <w:r w:rsidRPr="00EC361A">
        <w:rPr>
          <w:position w:val="-3"/>
          <w:sz w:val="24"/>
          <w:szCs w:val="24"/>
        </w:rPr>
        <w:t xml:space="preserve"> </w:t>
      </w:r>
      <w:r w:rsidRPr="00EC361A">
        <w:rPr>
          <w:spacing w:val="-1"/>
          <w:sz w:val="24"/>
          <w:szCs w:val="24"/>
        </w:rPr>
        <w:t xml:space="preserve">for ritonavir-gruppen </w:t>
      </w:r>
      <w:r w:rsidRPr="00EC361A">
        <w:rPr>
          <w:sz w:val="24"/>
          <w:szCs w:val="24"/>
        </w:rPr>
        <w:t>i</w:t>
      </w:r>
      <w:r w:rsidRPr="00EC361A">
        <w:rPr>
          <w:spacing w:val="-1"/>
          <w:sz w:val="24"/>
          <w:szCs w:val="24"/>
        </w:rPr>
        <w:t xml:space="preserve"> forhold til -0,66</w:t>
      </w:r>
      <w:r w:rsidRPr="00EC361A">
        <w:rPr>
          <w:sz w:val="24"/>
          <w:szCs w:val="24"/>
        </w:rPr>
        <w:t xml:space="preserve"> </w:t>
      </w:r>
      <w:r w:rsidRPr="00EC361A">
        <w:rPr>
          <w:spacing w:val="-1"/>
          <w:sz w:val="24"/>
          <w:szCs w:val="24"/>
        </w:rPr>
        <w:t>log</w:t>
      </w:r>
      <w:r w:rsidRPr="00EC361A">
        <w:rPr>
          <w:spacing w:val="-1"/>
          <w:position w:val="-2"/>
          <w:sz w:val="24"/>
          <w:szCs w:val="24"/>
          <w:vertAlign w:val="subscript"/>
        </w:rPr>
        <w:t>10</w:t>
      </w:r>
      <w:r w:rsidRPr="00EC361A">
        <w:rPr>
          <w:spacing w:val="19"/>
          <w:position w:val="-2"/>
          <w:sz w:val="24"/>
          <w:szCs w:val="24"/>
        </w:rPr>
        <w:t xml:space="preserve"> </w:t>
      </w:r>
      <w:r w:rsidRPr="00EC361A">
        <w:rPr>
          <w:spacing w:val="-1"/>
          <w:sz w:val="24"/>
          <w:szCs w:val="24"/>
        </w:rPr>
        <w:t>for den gruppe, der fik</w:t>
      </w:r>
      <w:r w:rsidRPr="00EC361A">
        <w:rPr>
          <w:spacing w:val="30"/>
          <w:sz w:val="24"/>
          <w:szCs w:val="24"/>
        </w:rPr>
        <w:t xml:space="preserve"> </w:t>
      </w:r>
      <w:r w:rsidRPr="00EC361A">
        <w:rPr>
          <w:spacing w:val="-1"/>
          <w:sz w:val="24"/>
          <w:szCs w:val="24"/>
        </w:rPr>
        <w:t>ritonavir + zidovudin</w:t>
      </w:r>
      <w:r w:rsidRPr="00EC361A">
        <w:rPr>
          <w:spacing w:val="-2"/>
          <w:sz w:val="24"/>
          <w:szCs w:val="24"/>
        </w:rPr>
        <w:t xml:space="preserve"> </w:t>
      </w:r>
      <w:r w:rsidRPr="00EC361A">
        <w:rPr>
          <w:spacing w:val="-1"/>
          <w:sz w:val="24"/>
          <w:szCs w:val="24"/>
        </w:rPr>
        <w:t>og sammenlignet med</w:t>
      </w:r>
      <w:r w:rsidRPr="00EC361A">
        <w:rPr>
          <w:spacing w:val="1"/>
          <w:sz w:val="24"/>
          <w:szCs w:val="24"/>
        </w:rPr>
        <w:t xml:space="preserve"> </w:t>
      </w:r>
      <w:r w:rsidRPr="00EC361A">
        <w:rPr>
          <w:spacing w:val="-1"/>
          <w:sz w:val="24"/>
          <w:szCs w:val="24"/>
        </w:rPr>
        <w:t>-0,42</w:t>
      </w:r>
      <w:r w:rsidRPr="00EC361A">
        <w:rPr>
          <w:sz w:val="24"/>
          <w:szCs w:val="24"/>
        </w:rPr>
        <w:t xml:space="preserve"> </w:t>
      </w:r>
      <w:r w:rsidRPr="00EC361A">
        <w:rPr>
          <w:spacing w:val="-1"/>
          <w:sz w:val="24"/>
          <w:szCs w:val="24"/>
        </w:rPr>
        <w:t>log</w:t>
      </w:r>
      <w:r w:rsidRPr="00EC361A">
        <w:rPr>
          <w:spacing w:val="-1"/>
          <w:position w:val="-2"/>
          <w:sz w:val="24"/>
          <w:szCs w:val="24"/>
          <w:vertAlign w:val="subscript"/>
        </w:rPr>
        <w:t>10</w:t>
      </w:r>
      <w:r w:rsidRPr="00EC361A">
        <w:rPr>
          <w:spacing w:val="19"/>
          <w:position w:val="-2"/>
          <w:sz w:val="24"/>
          <w:szCs w:val="24"/>
        </w:rPr>
        <w:t xml:space="preserve"> </w:t>
      </w:r>
      <w:r w:rsidRPr="00EC361A">
        <w:rPr>
          <w:sz w:val="24"/>
          <w:szCs w:val="24"/>
        </w:rPr>
        <w:t xml:space="preserve">for </w:t>
      </w:r>
      <w:r w:rsidRPr="00EC361A">
        <w:rPr>
          <w:spacing w:val="-1"/>
          <w:sz w:val="24"/>
          <w:szCs w:val="24"/>
        </w:rPr>
        <w:t>zidovudin-gruppen.</w:t>
      </w:r>
    </w:p>
    <w:p w:rsidR="006C56FF" w:rsidRPr="00EC361A"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92"/>
        <w:rPr>
          <w:sz w:val="24"/>
          <w:szCs w:val="24"/>
        </w:rPr>
      </w:pPr>
      <w:r>
        <w:rPr>
          <w:sz w:val="24"/>
          <w:szCs w:val="24"/>
        </w:rPr>
        <w:t xml:space="preserve">Fortsat indgift af ritonavir bør vurderes med undersøgelse for virusbelastning på grund af </w:t>
      </w:r>
      <w:r>
        <w:rPr>
          <w:sz w:val="24"/>
          <w:szCs w:val="24"/>
        </w:rPr>
        <w:lastRenderedPageBreak/>
        <w:t>muligheden for udvikling af resistens</w:t>
      </w:r>
      <w:r>
        <w:rPr>
          <w:b/>
          <w:i/>
          <w:sz w:val="24"/>
          <w:szCs w:val="24"/>
        </w:rPr>
        <w:t xml:space="preserve">, </w:t>
      </w:r>
      <w:r>
        <w:rPr>
          <w:sz w:val="24"/>
          <w:szCs w:val="24"/>
        </w:rPr>
        <w:t>som beskrevet i 4.1.</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7C1BB9">
      <w:pPr>
        <w:keepNext/>
        <w:tabs>
          <w:tab w:val="left" w:pos="0"/>
          <w:tab w:val="left" w:pos="9070"/>
        </w:tabs>
        <w:ind w:left="851"/>
        <w:rPr>
          <w:sz w:val="24"/>
          <w:szCs w:val="24"/>
          <w:lang w:eastAsia="da-DK"/>
        </w:rPr>
      </w:pPr>
      <w:r w:rsidRPr="00EC361A">
        <w:rPr>
          <w:i/>
          <w:spacing w:val="-1"/>
          <w:sz w:val="24"/>
          <w:szCs w:val="24"/>
          <w:lang w:eastAsia="da-DK"/>
        </w:rPr>
        <w:t>Pædiatrisk anvendelse</w:t>
      </w:r>
    </w:p>
    <w:p w:rsidR="006C56FF" w:rsidRDefault="006C56FF" w:rsidP="007C1BB9">
      <w:pPr>
        <w:tabs>
          <w:tab w:val="left" w:pos="0"/>
          <w:tab w:val="left" w:pos="9070"/>
        </w:tabs>
        <w:ind w:left="851" w:right="170"/>
        <w:rPr>
          <w:spacing w:val="-1"/>
          <w:sz w:val="24"/>
          <w:szCs w:val="24"/>
        </w:rPr>
      </w:pPr>
      <w:r w:rsidRPr="00EC361A">
        <w:rPr>
          <w:sz w:val="24"/>
          <w:szCs w:val="24"/>
        </w:rPr>
        <w:t xml:space="preserve">I </w:t>
      </w:r>
      <w:r w:rsidRPr="00EC361A">
        <w:rPr>
          <w:spacing w:val="-1"/>
          <w:sz w:val="24"/>
          <w:szCs w:val="24"/>
        </w:rPr>
        <w:t>et</w:t>
      </w:r>
      <w:r w:rsidRPr="00EC361A">
        <w:rPr>
          <w:sz w:val="24"/>
          <w:szCs w:val="24"/>
        </w:rPr>
        <w:t xml:space="preserve"> </w:t>
      </w:r>
      <w:r w:rsidRPr="00EC361A">
        <w:rPr>
          <w:spacing w:val="-1"/>
          <w:sz w:val="24"/>
          <w:szCs w:val="24"/>
        </w:rPr>
        <w:t>åbent studie</w:t>
      </w:r>
      <w:r w:rsidRPr="00EC361A">
        <w:rPr>
          <w:spacing w:val="5"/>
          <w:sz w:val="24"/>
          <w:szCs w:val="24"/>
        </w:rPr>
        <w:t xml:space="preserve"> </w:t>
      </w:r>
      <w:r w:rsidRPr="00EC361A">
        <w:rPr>
          <w:spacing w:val="-1"/>
          <w:sz w:val="24"/>
          <w:szCs w:val="24"/>
        </w:rPr>
        <w:t xml:space="preserve">afsluttet </w:t>
      </w:r>
      <w:r w:rsidRPr="00EC361A">
        <w:rPr>
          <w:sz w:val="24"/>
          <w:szCs w:val="24"/>
        </w:rPr>
        <w:t>i</w:t>
      </w:r>
      <w:r w:rsidRPr="00EC361A">
        <w:rPr>
          <w:spacing w:val="-1"/>
          <w:sz w:val="24"/>
          <w:szCs w:val="24"/>
        </w:rPr>
        <w:t xml:space="preserve"> 1998 </w:t>
      </w:r>
      <w:r w:rsidRPr="00EC361A">
        <w:rPr>
          <w:spacing w:val="-2"/>
          <w:sz w:val="24"/>
          <w:szCs w:val="24"/>
        </w:rPr>
        <w:t>med</w:t>
      </w:r>
      <w:r w:rsidRPr="00EC361A">
        <w:rPr>
          <w:spacing w:val="-1"/>
          <w:sz w:val="24"/>
          <w:szCs w:val="24"/>
        </w:rPr>
        <w:t xml:space="preserve"> hiv-smittede, klinisk stabile børn sås en signifikant forskel (p </w:t>
      </w:r>
      <w:r w:rsidRPr="00EC361A">
        <w:rPr>
          <w:sz w:val="24"/>
          <w:szCs w:val="24"/>
        </w:rPr>
        <w:t>=</w:t>
      </w:r>
      <w:r w:rsidRPr="00EC361A">
        <w:rPr>
          <w:spacing w:val="29"/>
          <w:sz w:val="24"/>
          <w:szCs w:val="24"/>
        </w:rPr>
        <w:t xml:space="preserve"> </w:t>
      </w:r>
      <w:r w:rsidRPr="00EC361A">
        <w:rPr>
          <w:spacing w:val="-1"/>
          <w:sz w:val="24"/>
          <w:szCs w:val="24"/>
        </w:rPr>
        <w:t xml:space="preserve">0,03) </w:t>
      </w:r>
      <w:r w:rsidRPr="00EC361A">
        <w:rPr>
          <w:sz w:val="24"/>
          <w:szCs w:val="24"/>
        </w:rPr>
        <w:t>i</w:t>
      </w:r>
      <w:r w:rsidRPr="00EC361A">
        <w:rPr>
          <w:spacing w:val="-1"/>
          <w:sz w:val="24"/>
          <w:szCs w:val="24"/>
        </w:rPr>
        <w:t xml:space="preserve"> de påviselige </w:t>
      </w:r>
      <w:r w:rsidRPr="00EC361A">
        <w:rPr>
          <w:spacing w:val="-2"/>
          <w:sz w:val="24"/>
          <w:szCs w:val="24"/>
        </w:rPr>
        <w:t>RNA-niveauer</w:t>
      </w:r>
      <w:r w:rsidRPr="00EC361A">
        <w:rPr>
          <w:spacing w:val="-1"/>
          <w:sz w:val="24"/>
          <w:szCs w:val="24"/>
        </w:rPr>
        <w:t xml:space="preserve"> efter en 48 ugers </w:t>
      </w:r>
      <w:r w:rsidRPr="00EC361A">
        <w:rPr>
          <w:spacing w:val="-2"/>
          <w:sz w:val="24"/>
          <w:szCs w:val="24"/>
        </w:rPr>
        <w:t>triple-behandling</w:t>
      </w:r>
      <w:r w:rsidRPr="00EC361A">
        <w:rPr>
          <w:spacing w:val="-1"/>
          <w:sz w:val="24"/>
          <w:szCs w:val="24"/>
        </w:rPr>
        <w:t xml:space="preserve"> (ritonavir </w:t>
      </w:r>
      <w:r w:rsidRPr="00EC361A">
        <w:rPr>
          <w:sz w:val="24"/>
          <w:szCs w:val="24"/>
        </w:rPr>
        <w:t>+</w:t>
      </w:r>
      <w:r w:rsidRPr="00EC361A">
        <w:rPr>
          <w:spacing w:val="-1"/>
          <w:sz w:val="24"/>
          <w:szCs w:val="24"/>
        </w:rPr>
        <w:t xml:space="preserve"> zidovudine </w:t>
      </w:r>
      <w:r w:rsidRPr="00EC361A">
        <w:rPr>
          <w:sz w:val="24"/>
          <w:szCs w:val="24"/>
        </w:rPr>
        <w:t>+</w:t>
      </w:r>
      <w:r w:rsidRPr="00EC361A">
        <w:rPr>
          <w:spacing w:val="71"/>
          <w:sz w:val="24"/>
          <w:szCs w:val="24"/>
        </w:rPr>
        <w:t xml:space="preserve"> </w:t>
      </w:r>
      <w:r w:rsidRPr="00EC361A">
        <w:rPr>
          <w:spacing w:val="-1"/>
          <w:sz w:val="24"/>
          <w:szCs w:val="24"/>
        </w:rPr>
        <w:t>lamivudine).</w:t>
      </w:r>
    </w:p>
    <w:p w:rsidR="006C56FF" w:rsidRPr="00EC361A" w:rsidRDefault="006C56FF" w:rsidP="006C56FF">
      <w:pPr>
        <w:widowControl w:val="0"/>
        <w:tabs>
          <w:tab w:val="left" w:pos="0"/>
          <w:tab w:val="left" w:pos="9070"/>
        </w:tabs>
        <w:ind w:left="851" w:right="172"/>
        <w:rPr>
          <w:sz w:val="24"/>
          <w:szCs w:val="24"/>
        </w:rPr>
      </w:pPr>
    </w:p>
    <w:p w:rsidR="006C56FF" w:rsidRPr="00EC361A" w:rsidRDefault="006C56FF" w:rsidP="006C56FF">
      <w:pPr>
        <w:widowControl w:val="0"/>
        <w:tabs>
          <w:tab w:val="left" w:pos="0"/>
          <w:tab w:val="left" w:pos="9070"/>
        </w:tabs>
        <w:ind w:left="851" w:right="172"/>
        <w:rPr>
          <w:sz w:val="24"/>
          <w:szCs w:val="24"/>
        </w:rPr>
      </w:pPr>
      <w:r w:rsidRPr="00EC361A">
        <w:rPr>
          <w:sz w:val="24"/>
          <w:szCs w:val="24"/>
        </w:rPr>
        <w:t>I</w:t>
      </w:r>
      <w:r w:rsidRPr="00EC361A">
        <w:rPr>
          <w:spacing w:val="-2"/>
          <w:sz w:val="24"/>
          <w:szCs w:val="24"/>
        </w:rPr>
        <w:t xml:space="preserve"> </w:t>
      </w:r>
      <w:r w:rsidRPr="00EC361A">
        <w:rPr>
          <w:spacing w:val="-1"/>
          <w:sz w:val="24"/>
          <w:szCs w:val="24"/>
        </w:rPr>
        <w:t xml:space="preserve">et </w:t>
      </w:r>
      <w:r w:rsidRPr="00EC361A">
        <w:rPr>
          <w:sz w:val="24"/>
          <w:szCs w:val="24"/>
        </w:rPr>
        <w:t>studie</w:t>
      </w:r>
      <w:r w:rsidRPr="00EC361A">
        <w:rPr>
          <w:spacing w:val="-2"/>
          <w:sz w:val="24"/>
          <w:szCs w:val="24"/>
        </w:rPr>
        <w:t xml:space="preserve"> </w:t>
      </w:r>
      <w:r w:rsidRPr="00EC361A">
        <w:rPr>
          <w:spacing w:val="-1"/>
          <w:sz w:val="24"/>
          <w:szCs w:val="24"/>
        </w:rPr>
        <w:t xml:space="preserve">afsluttet </w:t>
      </w:r>
      <w:r w:rsidRPr="00EC361A">
        <w:rPr>
          <w:sz w:val="24"/>
          <w:szCs w:val="24"/>
        </w:rPr>
        <w:t>i</w:t>
      </w:r>
      <w:r w:rsidRPr="00EC361A">
        <w:rPr>
          <w:spacing w:val="-1"/>
          <w:sz w:val="24"/>
          <w:szCs w:val="24"/>
        </w:rPr>
        <w:t xml:space="preserve"> 2003 fik 50 hiv-1-inficerede børn </w:t>
      </w:r>
      <w:r w:rsidRPr="00EC361A">
        <w:rPr>
          <w:sz w:val="24"/>
          <w:szCs w:val="24"/>
        </w:rPr>
        <w:t>i</w:t>
      </w:r>
      <w:r w:rsidRPr="00EC361A">
        <w:rPr>
          <w:spacing w:val="-1"/>
          <w:sz w:val="24"/>
          <w:szCs w:val="24"/>
        </w:rPr>
        <w:t xml:space="preserve"> alderen </w:t>
      </w:r>
      <w:r w:rsidRPr="00EC361A">
        <w:rPr>
          <w:sz w:val="24"/>
          <w:szCs w:val="24"/>
        </w:rPr>
        <w:t>4</w:t>
      </w:r>
      <w:r w:rsidRPr="00EC361A">
        <w:rPr>
          <w:spacing w:val="-1"/>
          <w:sz w:val="24"/>
          <w:szCs w:val="24"/>
        </w:rPr>
        <w:t xml:space="preserve"> uger til </w:t>
      </w:r>
      <w:r w:rsidRPr="00EC361A">
        <w:rPr>
          <w:sz w:val="24"/>
          <w:szCs w:val="24"/>
        </w:rPr>
        <w:t>2</w:t>
      </w:r>
      <w:r w:rsidRPr="00EC361A">
        <w:rPr>
          <w:spacing w:val="-1"/>
          <w:sz w:val="24"/>
          <w:szCs w:val="24"/>
        </w:rPr>
        <w:t xml:space="preserve"> år, der ikke tidligere </w:t>
      </w:r>
      <w:r w:rsidRPr="00EC361A">
        <w:rPr>
          <w:spacing w:val="-2"/>
          <w:sz w:val="24"/>
          <w:szCs w:val="24"/>
        </w:rPr>
        <w:t>havde</w:t>
      </w:r>
      <w:r w:rsidRPr="00EC361A">
        <w:rPr>
          <w:spacing w:val="34"/>
          <w:sz w:val="24"/>
          <w:szCs w:val="24"/>
        </w:rPr>
        <w:t xml:space="preserve"> </w:t>
      </w:r>
      <w:r w:rsidRPr="00EC361A">
        <w:rPr>
          <w:spacing w:val="-1"/>
          <w:sz w:val="24"/>
          <w:szCs w:val="24"/>
        </w:rPr>
        <w:t>fået</w:t>
      </w:r>
      <w:r w:rsidRPr="00EC361A">
        <w:rPr>
          <w:spacing w:val="-2"/>
          <w:sz w:val="24"/>
          <w:szCs w:val="24"/>
        </w:rPr>
        <w:t xml:space="preserve"> </w:t>
      </w:r>
      <w:r w:rsidRPr="00EC361A">
        <w:rPr>
          <w:spacing w:val="-1"/>
          <w:sz w:val="24"/>
          <w:szCs w:val="24"/>
        </w:rPr>
        <w:t xml:space="preserve">proteasehæmmer og lamivudin, 350 eller 450 </w:t>
      </w:r>
      <w:r w:rsidRPr="00EC361A">
        <w:rPr>
          <w:spacing w:val="-2"/>
          <w:sz w:val="24"/>
          <w:szCs w:val="24"/>
        </w:rPr>
        <w:t>mg/m</w:t>
      </w:r>
      <w:r w:rsidRPr="00EC361A">
        <w:rPr>
          <w:spacing w:val="-2"/>
          <w:sz w:val="24"/>
          <w:szCs w:val="24"/>
          <w:vertAlign w:val="superscript"/>
        </w:rPr>
        <w:t>2</w:t>
      </w:r>
      <w:r w:rsidRPr="00EC361A">
        <w:rPr>
          <w:spacing w:val="20"/>
          <w:position w:val="10"/>
          <w:sz w:val="24"/>
          <w:szCs w:val="24"/>
        </w:rPr>
        <w:t xml:space="preserve"> </w:t>
      </w:r>
      <w:r w:rsidRPr="00EC361A">
        <w:rPr>
          <w:spacing w:val="-1"/>
          <w:sz w:val="24"/>
          <w:szCs w:val="24"/>
        </w:rPr>
        <w:t>ritonavir hver 12. time sammen med 160</w:t>
      </w:r>
      <w:r w:rsidRPr="00EC361A">
        <w:rPr>
          <w:spacing w:val="30"/>
          <w:sz w:val="24"/>
          <w:szCs w:val="24"/>
        </w:rPr>
        <w:t xml:space="preserve"> </w:t>
      </w:r>
      <w:r w:rsidRPr="00EC361A">
        <w:rPr>
          <w:spacing w:val="-1"/>
          <w:sz w:val="24"/>
          <w:szCs w:val="24"/>
        </w:rPr>
        <w:t>mg/m</w:t>
      </w:r>
      <w:r w:rsidRPr="00EC361A">
        <w:rPr>
          <w:spacing w:val="-1"/>
          <w:sz w:val="24"/>
          <w:szCs w:val="24"/>
          <w:vertAlign w:val="superscript"/>
        </w:rPr>
        <w:t>2</w:t>
      </w:r>
      <w:r w:rsidRPr="00EC361A">
        <w:rPr>
          <w:spacing w:val="21"/>
          <w:position w:val="10"/>
          <w:sz w:val="24"/>
          <w:szCs w:val="24"/>
        </w:rPr>
        <w:t xml:space="preserve"> </w:t>
      </w:r>
      <w:r w:rsidRPr="00EC361A">
        <w:rPr>
          <w:spacing w:val="-1"/>
          <w:sz w:val="24"/>
          <w:szCs w:val="24"/>
        </w:rPr>
        <w:t xml:space="preserve">zidovudin hver 8. time og </w:t>
      </w:r>
      <w:r w:rsidRPr="00EC361A">
        <w:rPr>
          <w:sz w:val="24"/>
          <w:szCs w:val="24"/>
        </w:rPr>
        <w:t>4</w:t>
      </w:r>
      <w:r w:rsidRPr="00EC361A">
        <w:rPr>
          <w:spacing w:val="-1"/>
          <w:sz w:val="24"/>
          <w:szCs w:val="24"/>
        </w:rPr>
        <w:t xml:space="preserve"> mg/kg lamivudin hver 12. time.</w:t>
      </w:r>
      <w:r w:rsidRPr="00EC361A">
        <w:rPr>
          <w:spacing w:val="54"/>
          <w:sz w:val="24"/>
          <w:szCs w:val="24"/>
        </w:rPr>
        <w:t xml:space="preserve"> </w:t>
      </w:r>
      <w:r w:rsidRPr="00EC361A">
        <w:rPr>
          <w:sz w:val="24"/>
          <w:szCs w:val="24"/>
        </w:rPr>
        <w:t>I</w:t>
      </w:r>
      <w:r w:rsidRPr="00EC361A">
        <w:rPr>
          <w:spacing w:val="-1"/>
          <w:sz w:val="24"/>
          <w:szCs w:val="24"/>
        </w:rPr>
        <w:t xml:space="preserve"> intent-to-treat analyser opnåede</w:t>
      </w:r>
      <w:r w:rsidRPr="00EC361A">
        <w:rPr>
          <w:spacing w:val="22"/>
          <w:sz w:val="24"/>
          <w:szCs w:val="24"/>
        </w:rPr>
        <w:t xml:space="preserve"> </w:t>
      </w:r>
      <w:r w:rsidRPr="00EC361A">
        <w:rPr>
          <w:spacing w:val="-1"/>
          <w:sz w:val="24"/>
          <w:szCs w:val="24"/>
        </w:rPr>
        <w:t xml:space="preserve">72 </w:t>
      </w:r>
      <w:r w:rsidRPr="00EC361A">
        <w:rPr>
          <w:sz w:val="24"/>
          <w:szCs w:val="24"/>
        </w:rPr>
        <w:t>%</w:t>
      </w:r>
      <w:r w:rsidRPr="00EC361A">
        <w:rPr>
          <w:spacing w:val="-1"/>
          <w:sz w:val="24"/>
          <w:szCs w:val="24"/>
        </w:rPr>
        <w:t xml:space="preserve"> og 36 </w:t>
      </w:r>
      <w:r w:rsidRPr="00EC361A">
        <w:rPr>
          <w:sz w:val="24"/>
          <w:szCs w:val="24"/>
        </w:rPr>
        <w:t>%</w:t>
      </w:r>
      <w:r w:rsidRPr="00EC361A">
        <w:rPr>
          <w:spacing w:val="-1"/>
          <w:sz w:val="24"/>
          <w:szCs w:val="24"/>
        </w:rPr>
        <w:t xml:space="preserve"> af patienterne reduktion </w:t>
      </w:r>
      <w:r w:rsidRPr="00EC361A">
        <w:rPr>
          <w:sz w:val="24"/>
          <w:szCs w:val="24"/>
        </w:rPr>
        <w:t>i</w:t>
      </w:r>
      <w:r w:rsidRPr="00EC361A">
        <w:rPr>
          <w:spacing w:val="-1"/>
          <w:sz w:val="24"/>
          <w:szCs w:val="24"/>
        </w:rPr>
        <w:t xml:space="preserve"> plasma hiv-1 RNA på</w:t>
      </w:r>
      <w:r w:rsidRPr="00EC361A">
        <w:rPr>
          <w:sz w:val="24"/>
          <w:szCs w:val="24"/>
        </w:rPr>
        <w:t xml:space="preserve"> </w:t>
      </w:r>
      <w:r w:rsidRPr="00EC361A">
        <w:rPr>
          <w:sz w:val="24"/>
          <w:szCs w:val="24"/>
          <w:u w:val="single" w:color="000000"/>
        </w:rPr>
        <w:t xml:space="preserve">&lt; </w:t>
      </w:r>
      <w:r w:rsidRPr="00EC361A">
        <w:rPr>
          <w:spacing w:val="-1"/>
          <w:sz w:val="24"/>
          <w:szCs w:val="24"/>
        </w:rPr>
        <w:t xml:space="preserve">400 kopier/ml </w:t>
      </w:r>
      <w:r w:rsidRPr="00EC361A">
        <w:rPr>
          <w:sz w:val="24"/>
          <w:szCs w:val="24"/>
        </w:rPr>
        <w:t>i</w:t>
      </w:r>
      <w:r w:rsidRPr="00EC361A">
        <w:rPr>
          <w:spacing w:val="-1"/>
          <w:sz w:val="24"/>
          <w:szCs w:val="24"/>
        </w:rPr>
        <w:t xml:space="preserve"> henholdsvis uge 16</w:t>
      </w:r>
      <w:r w:rsidRPr="00EC361A">
        <w:rPr>
          <w:spacing w:val="26"/>
          <w:sz w:val="24"/>
          <w:szCs w:val="24"/>
        </w:rPr>
        <w:t xml:space="preserve"> </w:t>
      </w:r>
      <w:r w:rsidRPr="00EC361A">
        <w:rPr>
          <w:spacing w:val="-1"/>
          <w:sz w:val="24"/>
          <w:szCs w:val="24"/>
        </w:rPr>
        <w:t>og 104.</w:t>
      </w:r>
      <w:r w:rsidRPr="00EC361A">
        <w:rPr>
          <w:spacing w:val="54"/>
          <w:sz w:val="24"/>
          <w:szCs w:val="24"/>
        </w:rPr>
        <w:t xml:space="preserve"> </w:t>
      </w:r>
      <w:r w:rsidRPr="00EC361A">
        <w:rPr>
          <w:spacing w:val="-1"/>
          <w:sz w:val="24"/>
          <w:szCs w:val="24"/>
        </w:rPr>
        <w:t>Der var stort set samme respons for begge dosisregimer og på tværs af</w:t>
      </w:r>
      <w:r w:rsidRPr="00EC361A">
        <w:rPr>
          <w:spacing w:val="54"/>
          <w:sz w:val="24"/>
          <w:szCs w:val="24"/>
        </w:rPr>
        <w:t xml:space="preserve"> </w:t>
      </w:r>
      <w:r w:rsidRPr="00EC361A">
        <w:rPr>
          <w:spacing w:val="-1"/>
          <w:sz w:val="24"/>
          <w:szCs w:val="24"/>
        </w:rPr>
        <w:t>patientaldre.</w:t>
      </w:r>
    </w:p>
    <w:p w:rsidR="006C56FF" w:rsidRPr="00EC361A" w:rsidRDefault="006C56FF" w:rsidP="006C56FF">
      <w:pPr>
        <w:tabs>
          <w:tab w:val="left" w:pos="0"/>
          <w:tab w:val="left" w:pos="9070"/>
        </w:tabs>
        <w:ind w:left="851"/>
        <w:rPr>
          <w:sz w:val="24"/>
          <w:szCs w:val="24"/>
          <w:lang w:eastAsia="da-DK"/>
        </w:rPr>
      </w:pPr>
    </w:p>
    <w:p w:rsidR="006C56FF" w:rsidRPr="00521347" w:rsidRDefault="006C56FF" w:rsidP="006C56FF">
      <w:pPr>
        <w:ind w:left="851"/>
        <w:rPr>
          <w:spacing w:val="-1"/>
          <w:sz w:val="24"/>
          <w:szCs w:val="24"/>
          <w:lang w:eastAsia="da-DK"/>
        </w:rPr>
      </w:pPr>
      <w:r w:rsidRPr="00EC361A">
        <w:rPr>
          <w:sz w:val="24"/>
          <w:szCs w:val="24"/>
          <w:lang w:eastAsia="da-DK"/>
        </w:rPr>
        <w:t>I</w:t>
      </w:r>
      <w:r w:rsidRPr="00EC361A">
        <w:rPr>
          <w:spacing w:val="-2"/>
          <w:sz w:val="24"/>
          <w:szCs w:val="24"/>
          <w:lang w:eastAsia="da-DK"/>
        </w:rPr>
        <w:t xml:space="preserve"> </w:t>
      </w:r>
      <w:r w:rsidRPr="00EC361A">
        <w:rPr>
          <w:spacing w:val="-1"/>
          <w:sz w:val="24"/>
          <w:szCs w:val="24"/>
          <w:lang w:eastAsia="da-DK"/>
        </w:rPr>
        <w:t xml:space="preserve">et </w:t>
      </w:r>
      <w:r w:rsidRPr="00EC361A">
        <w:rPr>
          <w:sz w:val="24"/>
          <w:szCs w:val="24"/>
          <w:lang w:eastAsia="da-DK"/>
        </w:rPr>
        <w:t>studie</w:t>
      </w:r>
      <w:r w:rsidRPr="00EC361A">
        <w:rPr>
          <w:spacing w:val="-2"/>
          <w:sz w:val="24"/>
          <w:szCs w:val="24"/>
          <w:lang w:eastAsia="da-DK"/>
        </w:rPr>
        <w:t xml:space="preserve"> </w:t>
      </w:r>
      <w:r w:rsidRPr="00EC361A">
        <w:rPr>
          <w:spacing w:val="-1"/>
          <w:sz w:val="24"/>
          <w:szCs w:val="24"/>
          <w:lang w:eastAsia="da-DK"/>
        </w:rPr>
        <w:t xml:space="preserve">afsluttet </w:t>
      </w:r>
      <w:r w:rsidRPr="00EC361A">
        <w:rPr>
          <w:sz w:val="24"/>
          <w:szCs w:val="24"/>
          <w:lang w:eastAsia="da-DK"/>
        </w:rPr>
        <w:t>i</w:t>
      </w:r>
      <w:r w:rsidRPr="00EC361A">
        <w:rPr>
          <w:spacing w:val="-1"/>
          <w:sz w:val="24"/>
          <w:szCs w:val="24"/>
          <w:lang w:eastAsia="da-DK"/>
        </w:rPr>
        <w:t xml:space="preserve"> 2000 fik 76 hiv-1 inficerede børn </w:t>
      </w:r>
      <w:r w:rsidRPr="00EC361A">
        <w:rPr>
          <w:sz w:val="24"/>
          <w:szCs w:val="24"/>
          <w:lang w:eastAsia="da-DK"/>
        </w:rPr>
        <w:t>i</w:t>
      </w:r>
      <w:r w:rsidRPr="00EC361A">
        <w:rPr>
          <w:spacing w:val="-1"/>
          <w:sz w:val="24"/>
          <w:szCs w:val="24"/>
          <w:lang w:eastAsia="da-DK"/>
        </w:rPr>
        <w:t xml:space="preserve"> alderen fra </w:t>
      </w:r>
      <w:r w:rsidRPr="00EC361A">
        <w:rPr>
          <w:sz w:val="24"/>
          <w:szCs w:val="24"/>
          <w:lang w:eastAsia="da-DK"/>
        </w:rPr>
        <w:t>6</w:t>
      </w:r>
      <w:r w:rsidRPr="00EC361A">
        <w:rPr>
          <w:spacing w:val="-1"/>
          <w:sz w:val="24"/>
          <w:szCs w:val="24"/>
          <w:lang w:eastAsia="da-DK"/>
        </w:rPr>
        <w:t xml:space="preserve"> måneder til 12 år, som var</w:t>
      </w:r>
      <w:r w:rsidRPr="00EC361A">
        <w:rPr>
          <w:spacing w:val="28"/>
          <w:sz w:val="24"/>
          <w:szCs w:val="24"/>
          <w:lang w:eastAsia="da-DK"/>
        </w:rPr>
        <w:t xml:space="preserve"> </w:t>
      </w:r>
      <w:r w:rsidRPr="00EC361A">
        <w:rPr>
          <w:spacing w:val="-1"/>
          <w:sz w:val="24"/>
          <w:szCs w:val="24"/>
          <w:lang w:eastAsia="da-DK"/>
        </w:rPr>
        <w:t xml:space="preserve">proteasehæmmer-naive og naive overfor lamivudin og/eller stavudin, ritonavir 350 eller 450 </w:t>
      </w:r>
      <w:r w:rsidRPr="00EC361A">
        <w:rPr>
          <w:spacing w:val="-2"/>
          <w:sz w:val="24"/>
          <w:szCs w:val="24"/>
          <w:lang w:eastAsia="da-DK"/>
        </w:rPr>
        <w:t>mg/m</w:t>
      </w:r>
      <w:r w:rsidRPr="00EC361A">
        <w:rPr>
          <w:spacing w:val="-2"/>
          <w:sz w:val="24"/>
          <w:szCs w:val="24"/>
          <w:vertAlign w:val="superscript"/>
          <w:lang w:eastAsia="da-DK"/>
        </w:rPr>
        <w:t>2</w:t>
      </w:r>
      <w:r w:rsidRPr="00EC361A">
        <w:rPr>
          <w:spacing w:val="-1"/>
          <w:sz w:val="24"/>
          <w:szCs w:val="24"/>
          <w:lang w:eastAsia="da-DK"/>
        </w:rPr>
        <w:t xml:space="preserve">hver 12. time indgivet sammen med lamivudin og stavudin. </w:t>
      </w:r>
      <w:r w:rsidRPr="00EC361A">
        <w:rPr>
          <w:sz w:val="24"/>
          <w:szCs w:val="24"/>
          <w:lang w:eastAsia="da-DK"/>
        </w:rPr>
        <w:t>I</w:t>
      </w:r>
      <w:r w:rsidRPr="00EC361A">
        <w:rPr>
          <w:spacing w:val="-1"/>
          <w:sz w:val="24"/>
          <w:szCs w:val="24"/>
          <w:lang w:eastAsia="da-DK"/>
        </w:rPr>
        <w:t xml:space="preserve"> </w:t>
      </w:r>
      <w:r w:rsidRPr="00EC361A">
        <w:rPr>
          <w:spacing w:val="-2"/>
          <w:sz w:val="24"/>
          <w:szCs w:val="24"/>
          <w:lang w:eastAsia="da-DK"/>
        </w:rPr>
        <w:t>intention-to-treat</w:t>
      </w:r>
      <w:r w:rsidRPr="00EC361A">
        <w:rPr>
          <w:spacing w:val="-1"/>
          <w:sz w:val="24"/>
          <w:szCs w:val="24"/>
          <w:lang w:eastAsia="da-DK"/>
        </w:rPr>
        <w:t xml:space="preserve"> opnåede henholdsvis</w:t>
      </w:r>
      <w:r w:rsidRPr="00EC361A">
        <w:rPr>
          <w:spacing w:val="54"/>
          <w:sz w:val="24"/>
          <w:szCs w:val="24"/>
          <w:lang w:eastAsia="da-DK"/>
        </w:rPr>
        <w:t xml:space="preserve"> </w:t>
      </w:r>
      <w:r w:rsidRPr="00EC361A">
        <w:rPr>
          <w:spacing w:val="-1"/>
          <w:sz w:val="24"/>
          <w:szCs w:val="24"/>
          <w:lang w:eastAsia="da-DK"/>
        </w:rPr>
        <w:t>50</w:t>
      </w:r>
      <w:r>
        <w:rPr>
          <w:spacing w:val="-1"/>
          <w:sz w:val="24"/>
          <w:szCs w:val="24"/>
          <w:lang w:eastAsia="da-DK"/>
        </w:rPr>
        <w:t xml:space="preserve"> %</w:t>
      </w:r>
      <w:r w:rsidRPr="00EC361A">
        <w:rPr>
          <w:spacing w:val="-1"/>
          <w:sz w:val="24"/>
          <w:szCs w:val="24"/>
          <w:lang w:eastAsia="da-DK"/>
        </w:rPr>
        <w:t xml:space="preserve"> og 57</w:t>
      </w:r>
      <w:r>
        <w:rPr>
          <w:spacing w:val="-1"/>
          <w:sz w:val="24"/>
          <w:szCs w:val="24"/>
          <w:lang w:eastAsia="da-DK"/>
        </w:rPr>
        <w:t xml:space="preserve"> %</w:t>
      </w:r>
      <w:r w:rsidRPr="00EC361A">
        <w:rPr>
          <w:spacing w:val="-1"/>
          <w:sz w:val="24"/>
          <w:szCs w:val="24"/>
          <w:lang w:eastAsia="da-DK"/>
        </w:rPr>
        <w:t xml:space="preserve"> af patienterne </w:t>
      </w:r>
      <w:r w:rsidRPr="00EC361A">
        <w:rPr>
          <w:sz w:val="24"/>
          <w:szCs w:val="24"/>
          <w:lang w:eastAsia="da-DK"/>
        </w:rPr>
        <w:t>i</w:t>
      </w:r>
      <w:r w:rsidRPr="00EC361A">
        <w:rPr>
          <w:spacing w:val="-1"/>
          <w:sz w:val="24"/>
          <w:szCs w:val="24"/>
          <w:lang w:eastAsia="da-DK"/>
        </w:rPr>
        <w:t xml:space="preserve"> dosisgrupperne 350 og 450 </w:t>
      </w:r>
      <w:r w:rsidRPr="00EC361A">
        <w:rPr>
          <w:spacing w:val="-2"/>
          <w:sz w:val="24"/>
          <w:szCs w:val="24"/>
          <w:lang w:eastAsia="da-DK"/>
        </w:rPr>
        <w:t>mg/m</w:t>
      </w:r>
      <w:r w:rsidRPr="00EC361A">
        <w:rPr>
          <w:spacing w:val="-2"/>
          <w:sz w:val="24"/>
          <w:szCs w:val="24"/>
          <w:vertAlign w:val="superscript"/>
          <w:lang w:eastAsia="da-DK"/>
        </w:rPr>
        <w:t>2</w:t>
      </w:r>
      <w:r w:rsidRPr="00EC361A">
        <w:rPr>
          <w:position w:val="6"/>
          <w:sz w:val="24"/>
          <w:szCs w:val="24"/>
          <w:lang w:eastAsia="da-DK"/>
        </w:rPr>
        <w:t xml:space="preserve"> </w:t>
      </w:r>
      <w:r w:rsidRPr="00EC361A">
        <w:rPr>
          <w:spacing w:val="-1"/>
          <w:sz w:val="24"/>
          <w:szCs w:val="24"/>
          <w:lang w:eastAsia="da-DK"/>
        </w:rPr>
        <w:t xml:space="preserve">reduktion </w:t>
      </w:r>
      <w:r w:rsidRPr="00EC361A">
        <w:rPr>
          <w:sz w:val="24"/>
          <w:szCs w:val="24"/>
          <w:lang w:eastAsia="da-DK"/>
        </w:rPr>
        <w:t>i</w:t>
      </w:r>
      <w:r w:rsidRPr="00EC361A">
        <w:rPr>
          <w:spacing w:val="-1"/>
          <w:sz w:val="24"/>
          <w:szCs w:val="24"/>
          <w:lang w:eastAsia="da-DK"/>
        </w:rPr>
        <w:t xml:space="preserve"> plasma-hiv-1</w:t>
      </w:r>
      <w:r w:rsidRPr="00EC361A">
        <w:rPr>
          <w:sz w:val="24"/>
          <w:szCs w:val="24"/>
          <w:lang w:eastAsia="da-DK"/>
        </w:rPr>
        <w:t xml:space="preserve"> RNA til ≤</w:t>
      </w:r>
      <w:r w:rsidRPr="00EC361A">
        <w:rPr>
          <w:spacing w:val="27"/>
          <w:sz w:val="24"/>
          <w:szCs w:val="24"/>
          <w:lang w:eastAsia="da-DK"/>
        </w:rPr>
        <w:t xml:space="preserve"> </w:t>
      </w:r>
      <w:r w:rsidRPr="00EC361A">
        <w:rPr>
          <w:spacing w:val="-1"/>
          <w:sz w:val="24"/>
          <w:szCs w:val="24"/>
          <w:lang w:eastAsia="da-DK"/>
        </w:rPr>
        <w:t>400 kopier/ml ved uge 48.</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C56FF" w:rsidRPr="00EC361A" w:rsidRDefault="006C56FF" w:rsidP="006C56FF">
      <w:pPr>
        <w:widowControl w:val="0"/>
        <w:tabs>
          <w:tab w:val="left" w:pos="0"/>
          <w:tab w:val="left" w:pos="9070"/>
        </w:tabs>
        <w:ind w:left="851"/>
        <w:rPr>
          <w:sz w:val="24"/>
          <w:szCs w:val="24"/>
        </w:rPr>
      </w:pPr>
      <w:r w:rsidRPr="00EC361A">
        <w:rPr>
          <w:sz w:val="24"/>
          <w:szCs w:val="24"/>
          <w:u w:val="single" w:color="000000"/>
        </w:rPr>
        <w:t>Absorption</w:t>
      </w:r>
    </w:p>
    <w:p w:rsidR="006C56FF" w:rsidRPr="00EC361A" w:rsidRDefault="006C56FF" w:rsidP="006C56FF">
      <w:pPr>
        <w:widowControl w:val="0"/>
        <w:tabs>
          <w:tab w:val="left" w:pos="0"/>
          <w:tab w:val="left" w:pos="9070"/>
        </w:tabs>
        <w:ind w:left="851" w:right="124"/>
        <w:rPr>
          <w:sz w:val="24"/>
          <w:szCs w:val="24"/>
        </w:rPr>
      </w:pPr>
      <w:r w:rsidRPr="00EC361A">
        <w:rPr>
          <w:spacing w:val="-1"/>
          <w:sz w:val="24"/>
          <w:szCs w:val="24"/>
        </w:rPr>
        <w:t>Der findes ingen parenteral formulering af ritonavir, og derfor er omfanget af absorption og den</w:t>
      </w:r>
      <w:r w:rsidRPr="00EC361A">
        <w:rPr>
          <w:spacing w:val="28"/>
          <w:sz w:val="24"/>
          <w:szCs w:val="24"/>
        </w:rPr>
        <w:t xml:space="preserve"> </w:t>
      </w:r>
      <w:r w:rsidRPr="00EC361A">
        <w:rPr>
          <w:spacing w:val="-1"/>
          <w:sz w:val="24"/>
          <w:szCs w:val="24"/>
        </w:rPr>
        <w:t>absolutte biotilgængelighed ikke målt.</w:t>
      </w:r>
      <w:r w:rsidRPr="00EC361A">
        <w:rPr>
          <w:spacing w:val="54"/>
          <w:sz w:val="24"/>
          <w:szCs w:val="24"/>
        </w:rPr>
        <w:t xml:space="preserve"> </w:t>
      </w:r>
      <w:r w:rsidRPr="00EC361A">
        <w:rPr>
          <w:spacing w:val="-1"/>
          <w:sz w:val="24"/>
          <w:szCs w:val="24"/>
        </w:rPr>
        <w:t xml:space="preserve">Ritonavirs farmakokinetik ved </w:t>
      </w:r>
      <w:r w:rsidRPr="00EC361A">
        <w:rPr>
          <w:spacing w:val="-2"/>
          <w:sz w:val="24"/>
          <w:szCs w:val="24"/>
        </w:rPr>
        <w:t>flergangsdosering</w:t>
      </w:r>
      <w:r w:rsidRPr="00EC361A">
        <w:rPr>
          <w:spacing w:val="-1"/>
          <w:sz w:val="24"/>
          <w:szCs w:val="24"/>
        </w:rPr>
        <w:t xml:space="preserve"> er blevet</w:t>
      </w:r>
      <w:r w:rsidRPr="00EC361A">
        <w:rPr>
          <w:spacing w:val="48"/>
          <w:sz w:val="24"/>
          <w:szCs w:val="24"/>
        </w:rPr>
        <w:t xml:space="preserve"> </w:t>
      </w:r>
      <w:r w:rsidRPr="00EC361A">
        <w:rPr>
          <w:spacing w:val="-1"/>
          <w:sz w:val="24"/>
          <w:szCs w:val="24"/>
        </w:rPr>
        <w:t xml:space="preserve">undersøgt </w:t>
      </w:r>
      <w:r w:rsidRPr="00EC361A">
        <w:rPr>
          <w:sz w:val="24"/>
          <w:szCs w:val="24"/>
        </w:rPr>
        <w:t>i</w:t>
      </w:r>
      <w:r w:rsidRPr="00EC361A">
        <w:rPr>
          <w:spacing w:val="-1"/>
          <w:sz w:val="24"/>
          <w:szCs w:val="24"/>
        </w:rPr>
        <w:t xml:space="preserve"> ikke-fastende</w:t>
      </w:r>
      <w:r w:rsidRPr="00EC361A">
        <w:rPr>
          <w:spacing w:val="-2"/>
          <w:sz w:val="24"/>
          <w:szCs w:val="24"/>
        </w:rPr>
        <w:t xml:space="preserve"> hiv-positive</w:t>
      </w:r>
      <w:r w:rsidRPr="00EC361A">
        <w:rPr>
          <w:spacing w:val="-1"/>
          <w:sz w:val="24"/>
          <w:szCs w:val="24"/>
        </w:rPr>
        <w:t xml:space="preserve"> voksne frivillige forsøgspersoner.</w:t>
      </w:r>
      <w:r w:rsidRPr="00EC361A">
        <w:rPr>
          <w:spacing w:val="52"/>
          <w:sz w:val="24"/>
          <w:szCs w:val="24"/>
        </w:rPr>
        <w:t xml:space="preserve"> </w:t>
      </w:r>
      <w:r w:rsidRPr="00EC361A">
        <w:rPr>
          <w:spacing w:val="-1"/>
          <w:sz w:val="24"/>
          <w:szCs w:val="24"/>
        </w:rPr>
        <w:t>Ved flergangsdosering er</w:t>
      </w:r>
      <w:r w:rsidRPr="00EC361A">
        <w:rPr>
          <w:spacing w:val="48"/>
          <w:sz w:val="24"/>
          <w:szCs w:val="24"/>
        </w:rPr>
        <w:t xml:space="preserve"> </w:t>
      </w:r>
      <w:r w:rsidRPr="00EC361A">
        <w:rPr>
          <w:spacing w:val="-2"/>
          <w:sz w:val="24"/>
          <w:szCs w:val="24"/>
        </w:rPr>
        <w:t>ritonavir-akkumuleringen</w:t>
      </w:r>
      <w:r w:rsidRPr="00EC361A">
        <w:rPr>
          <w:spacing w:val="-1"/>
          <w:sz w:val="24"/>
          <w:szCs w:val="24"/>
        </w:rPr>
        <w:t xml:space="preserve"> en smule mindre end forventet ud fra en enkelt dosis på grund af en tids-</w:t>
      </w:r>
      <w:r w:rsidRPr="00EC361A">
        <w:rPr>
          <w:spacing w:val="-4"/>
          <w:sz w:val="24"/>
          <w:szCs w:val="24"/>
        </w:rPr>
        <w:t xml:space="preserve"> </w:t>
      </w:r>
      <w:r w:rsidRPr="00EC361A">
        <w:rPr>
          <w:spacing w:val="-2"/>
          <w:sz w:val="24"/>
          <w:szCs w:val="24"/>
        </w:rPr>
        <w:t>og</w:t>
      </w:r>
      <w:r w:rsidRPr="00EC361A">
        <w:rPr>
          <w:spacing w:val="73"/>
          <w:sz w:val="24"/>
          <w:szCs w:val="24"/>
        </w:rPr>
        <w:t xml:space="preserve"> </w:t>
      </w:r>
      <w:r w:rsidRPr="00EC361A">
        <w:rPr>
          <w:spacing w:val="-1"/>
          <w:sz w:val="24"/>
          <w:szCs w:val="24"/>
        </w:rPr>
        <w:t xml:space="preserve">dosisafhængig øgning </w:t>
      </w:r>
      <w:r w:rsidRPr="00EC361A">
        <w:rPr>
          <w:sz w:val="24"/>
          <w:szCs w:val="24"/>
        </w:rPr>
        <w:t>i</w:t>
      </w:r>
      <w:r w:rsidRPr="00EC361A">
        <w:rPr>
          <w:spacing w:val="-1"/>
          <w:sz w:val="24"/>
          <w:szCs w:val="24"/>
        </w:rPr>
        <w:t xml:space="preserve"> den tilsyneladende clearance (Cl/F).</w:t>
      </w:r>
      <w:r w:rsidRPr="00EC361A">
        <w:rPr>
          <w:spacing w:val="52"/>
          <w:sz w:val="24"/>
          <w:szCs w:val="24"/>
        </w:rPr>
        <w:t xml:space="preserve"> </w:t>
      </w:r>
      <w:r w:rsidRPr="00EC361A">
        <w:rPr>
          <w:spacing w:val="-1"/>
          <w:sz w:val="24"/>
          <w:szCs w:val="24"/>
        </w:rPr>
        <w:t>De laveste koncentrationer af ritonavir</w:t>
      </w:r>
      <w:r w:rsidRPr="00EC361A">
        <w:rPr>
          <w:spacing w:val="29"/>
          <w:sz w:val="24"/>
          <w:szCs w:val="24"/>
        </w:rPr>
        <w:t xml:space="preserve"> </w:t>
      </w:r>
      <w:r w:rsidRPr="00EC361A">
        <w:rPr>
          <w:spacing w:val="-1"/>
          <w:sz w:val="24"/>
          <w:szCs w:val="24"/>
        </w:rPr>
        <w:t xml:space="preserve">falder med tiden, muligvis på grund af enzyminduktion, men syntes at stabilisere sig efter </w:t>
      </w:r>
      <w:r w:rsidRPr="00EC361A">
        <w:rPr>
          <w:sz w:val="24"/>
          <w:szCs w:val="24"/>
        </w:rPr>
        <w:t>2</w:t>
      </w:r>
      <w:r w:rsidRPr="00EC361A">
        <w:rPr>
          <w:spacing w:val="-1"/>
          <w:sz w:val="24"/>
          <w:szCs w:val="24"/>
        </w:rPr>
        <w:t xml:space="preserve"> uger.</w:t>
      </w:r>
    </w:p>
    <w:p w:rsidR="006C56FF" w:rsidRPr="00EC361A" w:rsidRDefault="006C56FF" w:rsidP="006C56FF">
      <w:pPr>
        <w:widowControl w:val="0"/>
        <w:tabs>
          <w:tab w:val="left" w:pos="0"/>
          <w:tab w:val="left" w:pos="9070"/>
        </w:tabs>
        <w:ind w:left="851" w:right="172"/>
        <w:rPr>
          <w:sz w:val="24"/>
          <w:szCs w:val="24"/>
        </w:rPr>
      </w:pPr>
      <w:r w:rsidRPr="00EC361A">
        <w:rPr>
          <w:spacing w:val="-1"/>
          <w:sz w:val="24"/>
          <w:szCs w:val="24"/>
        </w:rPr>
        <w:t>Tiden</w:t>
      </w:r>
      <w:r w:rsidRPr="00EC361A">
        <w:rPr>
          <w:spacing w:val="-2"/>
          <w:sz w:val="24"/>
          <w:szCs w:val="24"/>
        </w:rPr>
        <w:t xml:space="preserve"> </w:t>
      </w:r>
      <w:r w:rsidRPr="00EC361A">
        <w:rPr>
          <w:spacing w:val="-1"/>
          <w:sz w:val="24"/>
          <w:szCs w:val="24"/>
        </w:rPr>
        <w:t xml:space="preserve">til maksimumkoncentration </w:t>
      </w:r>
      <w:r w:rsidRPr="00EC361A">
        <w:rPr>
          <w:spacing w:val="-2"/>
          <w:sz w:val="24"/>
          <w:szCs w:val="24"/>
        </w:rPr>
        <w:t>(T</w:t>
      </w:r>
      <w:r w:rsidRPr="00521347">
        <w:rPr>
          <w:spacing w:val="-2"/>
          <w:position w:val="-2"/>
          <w:sz w:val="24"/>
          <w:szCs w:val="24"/>
          <w:vertAlign w:val="subscript"/>
        </w:rPr>
        <w:t>max</w:t>
      </w:r>
      <w:r w:rsidRPr="00EC361A">
        <w:rPr>
          <w:spacing w:val="-2"/>
          <w:sz w:val="24"/>
          <w:szCs w:val="24"/>
        </w:rPr>
        <w:t>)</w:t>
      </w:r>
      <w:r w:rsidRPr="00EC361A">
        <w:rPr>
          <w:sz w:val="24"/>
          <w:szCs w:val="24"/>
        </w:rPr>
        <w:t xml:space="preserve"> forblev </w:t>
      </w:r>
      <w:r w:rsidRPr="00EC361A">
        <w:rPr>
          <w:spacing w:val="-1"/>
          <w:sz w:val="24"/>
          <w:szCs w:val="24"/>
        </w:rPr>
        <w:t>konstant</w:t>
      </w:r>
      <w:r w:rsidRPr="00EC361A">
        <w:rPr>
          <w:spacing w:val="-2"/>
          <w:sz w:val="24"/>
          <w:szCs w:val="24"/>
        </w:rPr>
        <w:t xml:space="preserve"> </w:t>
      </w:r>
      <w:r w:rsidRPr="00EC361A">
        <w:rPr>
          <w:spacing w:val="-1"/>
          <w:sz w:val="24"/>
          <w:szCs w:val="24"/>
        </w:rPr>
        <w:t xml:space="preserve">på hen ved </w:t>
      </w:r>
      <w:r w:rsidRPr="00EC361A">
        <w:rPr>
          <w:sz w:val="24"/>
          <w:szCs w:val="24"/>
        </w:rPr>
        <w:t>4</w:t>
      </w:r>
      <w:r w:rsidRPr="00EC361A">
        <w:rPr>
          <w:spacing w:val="-1"/>
          <w:sz w:val="24"/>
          <w:szCs w:val="24"/>
        </w:rPr>
        <w:t xml:space="preserve"> timer</w:t>
      </w:r>
      <w:r w:rsidRPr="00EC361A">
        <w:rPr>
          <w:spacing w:val="-2"/>
          <w:sz w:val="24"/>
          <w:szCs w:val="24"/>
        </w:rPr>
        <w:t xml:space="preserve"> </w:t>
      </w:r>
      <w:r w:rsidRPr="00EC361A">
        <w:rPr>
          <w:spacing w:val="-1"/>
          <w:sz w:val="24"/>
          <w:szCs w:val="24"/>
        </w:rPr>
        <w:t>ved øget</w:t>
      </w:r>
      <w:r w:rsidRPr="00EC361A">
        <w:rPr>
          <w:spacing w:val="-2"/>
          <w:sz w:val="24"/>
          <w:szCs w:val="24"/>
        </w:rPr>
        <w:t xml:space="preserve"> </w:t>
      </w:r>
      <w:r w:rsidRPr="00EC361A">
        <w:rPr>
          <w:spacing w:val="-1"/>
          <w:sz w:val="24"/>
          <w:szCs w:val="24"/>
        </w:rPr>
        <w:t>dosering.</w:t>
      </w:r>
      <w:r w:rsidRPr="00EC361A">
        <w:rPr>
          <w:spacing w:val="28"/>
          <w:sz w:val="24"/>
          <w:szCs w:val="24"/>
        </w:rPr>
        <w:t xml:space="preserve"> </w:t>
      </w:r>
      <w:r w:rsidRPr="00EC361A">
        <w:rPr>
          <w:spacing w:val="-1"/>
          <w:sz w:val="24"/>
          <w:szCs w:val="24"/>
        </w:rPr>
        <w:t xml:space="preserve">Nyreclearance udgjorde </w:t>
      </w:r>
      <w:r w:rsidRPr="00EC361A">
        <w:rPr>
          <w:sz w:val="24"/>
          <w:szCs w:val="24"/>
        </w:rPr>
        <w:t>i</w:t>
      </w:r>
      <w:r w:rsidRPr="00EC361A">
        <w:rPr>
          <w:spacing w:val="-1"/>
          <w:sz w:val="24"/>
          <w:szCs w:val="24"/>
        </w:rPr>
        <w:t xml:space="preserve"> gennemsnit mindre end 0,1 l/t og var relativt konstant </w:t>
      </w:r>
      <w:r w:rsidRPr="00EC361A">
        <w:rPr>
          <w:sz w:val="24"/>
          <w:szCs w:val="24"/>
        </w:rPr>
        <w:t>i</w:t>
      </w:r>
      <w:r w:rsidRPr="00EC361A">
        <w:rPr>
          <w:spacing w:val="-1"/>
          <w:sz w:val="24"/>
          <w:szCs w:val="24"/>
        </w:rPr>
        <w:t xml:space="preserve"> doseringsintervallet.</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6C56FF">
      <w:pPr>
        <w:widowControl w:val="0"/>
        <w:tabs>
          <w:tab w:val="left" w:pos="0"/>
          <w:tab w:val="left" w:pos="9070"/>
        </w:tabs>
        <w:ind w:left="851" w:right="172"/>
        <w:rPr>
          <w:sz w:val="24"/>
          <w:szCs w:val="24"/>
        </w:rPr>
      </w:pPr>
      <w:r w:rsidRPr="00EC361A">
        <w:rPr>
          <w:sz w:val="24"/>
          <w:szCs w:val="24"/>
        </w:rPr>
        <w:t>I</w:t>
      </w:r>
      <w:r w:rsidRPr="00EC361A">
        <w:rPr>
          <w:spacing w:val="-1"/>
          <w:sz w:val="24"/>
          <w:szCs w:val="24"/>
        </w:rPr>
        <w:t xml:space="preserve"> nedenstående tabel vises de farmakokinetiske parametre, der er observeret med forskellige</w:t>
      </w:r>
      <w:r w:rsidRPr="00EC361A">
        <w:rPr>
          <w:spacing w:val="20"/>
          <w:sz w:val="24"/>
          <w:szCs w:val="24"/>
        </w:rPr>
        <w:t xml:space="preserve"> </w:t>
      </w:r>
      <w:r w:rsidRPr="00EC361A">
        <w:rPr>
          <w:spacing w:val="-1"/>
          <w:sz w:val="24"/>
          <w:szCs w:val="24"/>
        </w:rPr>
        <w:t>doseringsregimer med ritonavir alene. Plasmakoncentrationen</w:t>
      </w:r>
      <w:r w:rsidRPr="00EC361A">
        <w:rPr>
          <w:sz w:val="24"/>
          <w:szCs w:val="24"/>
        </w:rPr>
        <w:t xml:space="preserve"> </w:t>
      </w:r>
      <w:r w:rsidRPr="00EC361A">
        <w:rPr>
          <w:spacing w:val="-1"/>
          <w:sz w:val="24"/>
          <w:szCs w:val="24"/>
        </w:rPr>
        <w:t>af</w:t>
      </w:r>
      <w:r w:rsidRPr="00EC361A">
        <w:rPr>
          <w:spacing w:val="-3"/>
          <w:sz w:val="24"/>
          <w:szCs w:val="24"/>
        </w:rPr>
        <w:t xml:space="preserve"> </w:t>
      </w:r>
      <w:r w:rsidRPr="00EC361A">
        <w:rPr>
          <w:spacing w:val="-1"/>
          <w:sz w:val="24"/>
          <w:szCs w:val="24"/>
        </w:rPr>
        <w:t>ritonavir efter administration af en</w:t>
      </w:r>
      <w:r w:rsidRPr="00EC361A">
        <w:rPr>
          <w:spacing w:val="24"/>
          <w:sz w:val="24"/>
          <w:szCs w:val="24"/>
        </w:rPr>
        <w:t xml:space="preserve"> </w:t>
      </w:r>
      <w:r w:rsidRPr="00EC361A">
        <w:rPr>
          <w:spacing w:val="-1"/>
          <w:sz w:val="24"/>
          <w:szCs w:val="24"/>
        </w:rPr>
        <w:t>enkelt 100 mg tablet er den samme som efter</w:t>
      </w:r>
      <w:r w:rsidRPr="00EC361A">
        <w:rPr>
          <w:sz w:val="24"/>
          <w:szCs w:val="24"/>
        </w:rPr>
        <w:t xml:space="preserve"> </w:t>
      </w:r>
      <w:r w:rsidRPr="00EC361A">
        <w:rPr>
          <w:spacing w:val="-1"/>
          <w:sz w:val="24"/>
          <w:szCs w:val="24"/>
        </w:rPr>
        <w:t>en</w:t>
      </w:r>
      <w:r w:rsidRPr="00EC361A">
        <w:rPr>
          <w:spacing w:val="-2"/>
          <w:sz w:val="24"/>
          <w:szCs w:val="24"/>
        </w:rPr>
        <w:t xml:space="preserve"> </w:t>
      </w:r>
      <w:r w:rsidRPr="00EC361A">
        <w:rPr>
          <w:spacing w:val="-1"/>
          <w:sz w:val="24"/>
          <w:szCs w:val="24"/>
        </w:rPr>
        <w:t>100</w:t>
      </w:r>
      <w:r w:rsidRPr="00EC361A">
        <w:rPr>
          <w:spacing w:val="-3"/>
          <w:sz w:val="24"/>
          <w:szCs w:val="24"/>
        </w:rPr>
        <w:t xml:space="preserve"> </w:t>
      </w:r>
      <w:r w:rsidRPr="00EC361A">
        <w:rPr>
          <w:spacing w:val="-1"/>
          <w:sz w:val="24"/>
          <w:szCs w:val="24"/>
        </w:rPr>
        <w:t>mg</w:t>
      </w:r>
      <w:r w:rsidRPr="00EC361A">
        <w:rPr>
          <w:spacing w:val="-2"/>
          <w:sz w:val="24"/>
          <w:szCs w:val="24"/>
        </w:rPr>
        <w:t xml:space="preserve"> </w:t>
      </w:r>
      <w:r w:rsidRPr="00EC361A">
        <w:rPr>
          <w:sz w:val="24"/>
          <w:szCs w:val="24"/>
        </w:rPr>
        <w:t xml:space="preserve">blød </w:t>
      </w:r>
      <w:r w:rsidRPr="00EC361A">
        <w:rPr>
          <w:spacing w:val="-1"/>
          <w:sz w:val="24"/>
          <w:szCs w:val="24"/>
        </w:rPr>
        <w:t>gelatinekapsel efter fødeindtagelse.</w:t>
      </w:r>
    </w:p>
    <w:p w:rsidR="006C56FF" w:rsidRPr="00EC361A" w:rsidRDefault="006C56FF" w:rsidP="006C56FF">
      <w:pPr>
        <w:widowControl w:val="0"/>
        <w:tabs>
          <w:tab w:val="left" w:pos="0"/>
          <w:tab w:val="left" w:pos="9070"/>
        </w:tabs>
        <w:ind w:left="851"/>
        <w:rPr>
          <w:sz w:val="24"/>
          <w:szCs w:val="24"/>
        </w:rPr>
      </w:pPr>
    </w:p>
    <w:p w:rsidR="006C56FF" w:rsidRPr="00472F65" w:rsidRDefault="006C56FF" w:rsidP="006C56FF">
      <w:pPr>
        <w:widowControl w:val="0"/>
        <w:tabs>
          <w:tab w:val="left" w:pos="0"/>
          <w:tab w:val="left" w:pos="9070"/>
        </w:tabs>
        <w:ind w:left="284" w:right="246"/>
        <w:outlineLvl w:val="3"/>
        <w:rPr>
          <w:sz w:val="24"/>
          <w:szCs w:val="24"/>
        </w:rPr>
      </w:pPr>
      <w:r w:rsidRPr="00EC361A">
        <w:rPr>
          <w:b/>
          <w:bCs/>
          <w:spacing w:val="-1"/>
          <w:sz w:val="24"/>
          <w:szCs w:val="24"/>
        </w:rPr>
        <w:t>Doseringregime med ritonavir</w:t>
      </w: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Pr>
          <w:b/>
          <w:bCs/>
          <w:sz w:val="24"/>
          <w:szCs w:val="24"/>
        </w:rPr>
      </w:pPr>
    </w:p>
    <w:p w:rsidR="006C56FF" w:rsidRPr="00EC361A" w:rsidRDefault="006C56FF" w:rsidP="006C56FF">
      <w:pPr>
        <w:widowControl w:val="0"/>
        <w:tabs>
          <w:tab w:val="left" w:pos="0"/>
          <w:tab w:val="left" w:pos="9070"/>
        </w:tabs>
        <w:ind w:left="851" w:right="92"/>
        <w:rPr>
          <w:sz w:val="24"/>
          <w:szCs w:val="24"/>
        </w:rPr>
      </w:pPr>
      <w:r w:rsidRPr="00EC361A">
        <w:rPr>
          <w:noProof/>
          <w:sz w:val="24"/>
          <w:szCs w:val="24"/>
          <w:lang w:eastAsia="da-DK"/>
        </w:rPr>
        <mc:AlternateContent>
          <mc:Choice Requires="wps">
            <w:drawing>
              <wp:anchor distT="0" distB="0" distL="114300" distR="114300" simplePos="0" relativeHeight="251660288" behindDoc="0" locked="0" layoutInCell="1" allowOverlap="1" wp14:anchorId="5AA10E5C" wp14:editId="6FB0C77F">
                <wp:simplePos x="0" y="0"/>
                <wp:positionH relativeFrom="page">
                  <wp:posOffset>831850</wp:posOffset>
                </wp:positionH>
                <wp:positionV relativeFrom="paragraph">
                  <wp:posOffset>-1320165</wp:posOffset>
                </wp:positionV>
                <wp:extent cx="5623560" cy="1348740"/>
                <wp:effectExtent l="0" t="0" r="15240" b="381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12"/>
                              <w:gridCol w:w="1399"/>
                              <w:gridCol w:w="1555"/>
                              <w:gridCol w:w="1415"/>
                              <w:gridCol w:w="1499"/>
                              <w:gridCol w:w="1476"/>
                            </w:tblGrid>
                            <w:tr w:rsidR="00C70B96">
                              <w:trPr>
                                <w:trHeight w:hRule="exact" w:val="516"/>
                              </w:trPr>
                              <w:tc>
                                <w:tcPr>
                                  <w:tcW w:w="1512" w:type="dxa"/>
                                  <w:tcBorders>
                                    <w:top w:val="single" w:sz="4" w:space="0" w:color="000000"/>
                                    <w:left w:val="nil"/>
                                    <w:bottom w:val="single" w:sz="4" w:space="0" w:color="000000"/>
                                    <w:right w:val="nil"/>
                                  </w:tcBorders>
                                </w:tcPr>
                                <w:p w:rsidR="00C70B96" w:rsidRDefault="00C70B96"/>
                              </w:tc>
                              <w:tc>
                                <w:tcPr>
                                  <w:tcW w:w="1399"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84" w:right="175" w:hanging="3"/>
                                    <w:jc w:val="center"/>
                                    <w:rPr>
                                      <w:rFonts w:ascii="Times New Roman" w:hAnsi="Times New Roman"/>
                                    </w:rPr>
                                  </w:pPr>
                                  <w:r>
                                    <w:rPr>
                                      <w:rFonts w:ascii="Times New Roman" w:hAnsi="Times New Roman"/>
                                      <w:spacing w:val="-1"/>
                                    </w:rPr>
                                    <w:t>100</w:t>
                                  </w:r>
                                  <w:r>
                                    <w:rPr>
                                      <w:rFonts w:ascii="Times New Roman" w:hAnsi="Times New Roman"/>
                                      <w:spacing w:val="-2"/>
                                    </w:rPr>
                                    <w:t xml:space="preserve"> </w:t>
                                  </w:r>
                                  <w:r>
                                    <w:rPr>
                                      <w:rFonts w:ascii="Times New Roman" w:hAnsi="Times New Roman"/>
                                      <w:spacing w:val="-1"/>
                                    </w:rPr>
                                    <w:t>mg</w:t>
                                  </w:r>
                                  <w:r>
                                    <w:rPr>
                                      <w:rFonts w:ascii="Times New Roman" w:hAnsi="Times New Roman"/>
                                    </w:rPr>
                                    <w:t xml:space="preserve"> en</w:t>
                                  </w:r>
                                  <w:r>
                                    <w:rPr>
                                      <w:rFonts w:ascii="Times New Roman" w:hAnsi="Times New Roman"/>
                                      <w:spacing w:val="22"/>
                                    </w:rPr>
                                    <w:t xml:space="preserve"> </w:t>
                                  </w:r>
                                  <w:r>
                                    <w:rPr>
                                      <w:rFonts w:ascii="Times New Roman" w:hAnsi="Times New Roman"/>
                                      <w:spacing w:val="-1"/>
                                    </w:rPr>
                                    <w:t>gang daglig</w:t>
                                  </w:r>
                                </w:p>
                              </w:tc>
                              <w:tc>
                                <w:tcPr>
                                  <w:tcW w:w="1555" w:type="dxa"/>
                                  <w:tcBorders>
                                    <w:top w:val="single" w:sz="4" w:space="0" w:color="000000"/>
                                    <w:left w:val="nil"/>
                                    <w:bottom w:val="single" w:sz="4" w:space="0" w:color="000000"/>
                                    <w:right w:val="nil"/>
                                  </w:tcBorders>
                                </w:tcPr>
                                <w:p w:rsidR="00C70B96" w:rsidRDefault="00C70B96" w:rsidP="004D4259">
                                  <w:pPr>
                                    <w:pStyle w:val="TableParagraph"/>
                                    <w:spacing w:before="16" w:line="215" w:lineRule="auto"/>
                                    <w:ind w:left="177" w:right="179" w:firstLine="153"/>
                                    <w:jc w:val="center"/>
                                    <w:rPr>
                                      <w:rFonts w:ascii="Times New Roman" w:hAnsi="Times New Roman"/>
                                      <w:sz w:val="14"/>
                                      <w:szCs w:val="14"/>
                                    </w:rPr>
                                  </w:pPr>
                                  <w:r>
                                    <w:rPr>
                                      <w:rFonts w:ascii="Times New Roman"/>
                                      <w:spacing w:val="-1"/>
                                    </w:rPr>
                                    <w:t>100 mg to</w:t>
                                  </w:r>
                                  <w:r>
                                    <w:rPr>
                                      <w:rFonts w:ascii="Times New Roman"/>
                                      <w:spacing w:val="22"/>
                                    </w:rPr>
                                    <w:t xml:space="preserve"> </w:t>
                                  </w:r>
                                  <w:r>
                                    <w:rPr>
                                      <w:rFonts w:ascii="Times New Roman"/>
                                      <w:spacing w:val="-1"/>
                                    </w:rPr>
                                    <w:t>gange</w:t>
                                  </w:r>
                                  <w:r>
                                    <w:rPr>
                                      <w:rFonts w:ascii="Times New Roman"/>
                                      <w:spacing w:val="-2"/>
                                    </w:rPr>
                                    <w:t xml:space="preserve"> daglig</w:t>
                                  </w:r>
                                  <w:r>
                                    <w:rPr>
                                      <w:rFonts w:ascii="Times New Roman"/>
                                      <w:spacing w:val="-2"/>
                                      <w:position w:val="10"/>
                                      <w:sz w:val="14"/>
                                    </w:rPr>
                                    <w:t>1</w:t>
                                  </w:r>
                                </w:p>
                              </w:tc>
                              <w:tc>
                                <w:tcPr>
                                  <w:tcW w:w="1415"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82" w:right="193" w:hanging="3"/>
                                    <w:jc w:val="center"/>
                                    <w:rPr>
                                      <w:rFonts w:ascii="Times New Roman" w:hAnsi="Times New Roman"/>
                                    </w:rPr>
                                  </w:pPr>
                                  <w:r>
                                    <w:rPr>
                                      <w:rFonts w:ascii="Times New Roman" w:hAnsi="Times New Roman"/>
                                      <w:spacing w:val="-1"/>
                                    </w:rPr>
                                    <w:t>200</w:t>
                                  </w:r>
                                  <w:r>
                                    <w:rPr>
                                      <w:rFonts w:ascii="Times New Roman" w:hAnsi="Times New Roman"/>
                                      <w:spacing w:val="-2"/>
                                    </w:rPr>
                                    <w:t xml:space="preserve"> </w:t>
                                  </w:r>
                                  <w:r>
                                    <w:rPr>
                                      <w:rFonts w:ascii="Times New Roman" w:hAnsi="Times New Roman"/>
                                      <w:spacing w:val="-1"/>
                                    </w:rPr>
                                    <w:t>mg</w:t>
                                  </w:r>
                                  <w:r>
                                    <w:rPr>
                                      <w:rFonts w:ascii="Times New Roman" w:hAnsi="Times New Roman"/>
                                      <w:spacing w:val="54"/>
                                    </w:rPr>
                                    <w:t xml:space="preserve"> </w:t>
                                  </w:r>
                                  <w:r>
                                    <w:rPr>
                                      <w:rFonts w:ascii="Times New Roman" w:hAnsi="Times New Roman"/>
                                    </w:rPr>
                                    <w:t>en</w:t>
                                  </w:r>
                                  <w:r>
                                    <w:rPr>
                                      <w:rFonts w:ascii="Times New Roman" w:hAnsi="Times New Roman"/>
                                      <w:spacing w:val="22"/>
                                    </w:rPr>
                                    <w:t xml:space="preserve"> </w:t>
                                  </w:r>
                                  <w:r>
                                    <w:rPr>
                                      <w:rFonts w:ascii="Times New Roman" w:hAnsi="Times New Roman"/>
                                      <w:spacing w:val="-1"/>
                                    </w:rPr>
                                    <w:t>gang daglig</w:t>
                                  </w:r>
                                </w:p>
                              </w:tc>
                              <w:tc>
                                <w:tcPr>
                                  <w:tcW w:w="1499"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95" w:right="170" w:firstLine="117"/>
                                    <w:jc w:val="center"/>
                                    <w:rPr>
                                      <w:rFonts w:ascii="Times New Roman" w:hAnsi="Times New Roman"/>
                                    </w:rPr>
                                  </w:pPr>
                                  <w:r>
                                    <w:rPr>
                                      <w:rFonts w:ascii="Times New Roman"/>
                                    </w:rPr>
                                    <w:t>200</w:t>
                                  </w:r>
                                  <w:r>
                                    <w:rPr>
                                      <w:rFonts w:ascii="Times New Roman"/>
                                      <w:spacing w:val="-1"/>
                                    </w:rPr>
                                    <w:t xml:space="preserve"> mg to</w:t>
                                  </w:r>
                                  <w:r>
                                    <w:rPr>
                                      <w:rFonts w:ascii="Times New Roman"/>
                                      <w:spacing w:val="20"/>
                                    </w:rPr>
                                    <w:t xml:space="preserve"> </w:t>
                                  </w:r>
                                  <w:r>
                                    <w:rPr>
                                      <w:rFonts w:ascii="Times New Roman"/>
                                      <w:spacing w:val="-1"/>
                                    </w:rPr>
                                    <w:t>gange daglig</w:t>
                                  </w:r>
                                </w:p>
                              </w:tc>
                              <w:tc>
                                <w:tcPr>
                                  <w:tcW w:w="1476"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72" w:right="170" w:firstLine="117"/>
                                    <w:jc w:val="center"/>
                                    <w:rPr>
                                      <w:rFonts w:ascii="Times New Roman" w:hAnsi="Times New Roman"/>
                                    </w:rPr>
                                  </w:pPr>
                                  <w:r>
                                    <w:rPr>
                                      <w:rFonts w:ascii="Times New Roman"/>
                                      <w:spacing w:val="-1"/>
                                    </w:rPr>
                                    <w:t>600 mg to</w:t>
                                  </w:r>
                                  <w:r>
                                    <w:rPr>
                                      <w:rFonts w:ascii="Times New Roman"/>
                                      <w:spacing w:val="22"/>
                                    </w:rPr>
                                    <w:t xml:space="preserve"> </w:t>
                                  </w:r>
                                  <w:r>
                                    <w:rPr>
                                      <w:rFonts w:ascii="Times New Roman"/>
                                      <w:spacing w:val="-1"/>
                                    </w:rPr>
                                    <w:t>gange daglig</w:t>
                                  </w:r>
                                </w:p>
                              </w:tc>
                            </w:tr>
                            <w:tr w:rsidR="00C70B96">
                              <w:trPr>
                                <w:trHeight w:hRule="exact" w:val="284"/>
                              </w:trPr>
                              <w:tc>
                                <w:tcPr>
                                  <w:tcW w:w="1512" w:type="dxa"/>
                                  <w:tcBorders>
                                    <w:top w:val="single" w:sz="4" w:space="0" w:color="000000"/>
                                    <w:left w:val="nil"/>
                                    <w:bottom w:val="nil"/>
                                    <w:right w:val="nil"/>
                                  </w:tcBorders>
                                </w:tcPr>
                                <w:p w:rsidR="00C70B96" w:rsidRDefault="00C70B96">
                                  <w:pPr>
                                    <w:pStyle w:val="TableParagraph"/>
                                    <w:spacing w:line="278" w:lineRule="exact"/>
                                    <w:ind w:left="108"/>
                                    <w:rPr>
                                      <w:rFonts w:ascii="Times New Roman" w:hAnsi="Times New Roman"/>
                                    </w:rPr>
                                  </w:pPr>
                                  <w:r>
                                    <w:rPr>
                                      <w:rFonts w:ascii="Times New Roman" w:hAnsi="Times New Roman"/>
                                      <w:spacing w:val="-1"/>
                                    </w:rPr>
                                    <w:t>C</w:t>
                                  </w:r>
                                  <w:r>
                                    <w:rPr>
                                      <w:rFonts w:ascii="Times New Roman" w:hAnsi="Times New Roman"/>
                                      <w:spacing w:val="-1"/>
                                      <w:position w:val="-2"/>
                                      <w:sz w:val="14"/>
                                      <w:szCs w:val="14"/>
                                    </w:rPr>
                                    <w:t>max</w:t>
                                  </w:r>
                                  <w:r>
                                    <w:rPr>
                                      <w:rFonts w:ascii="Times New Roman" w:hAnsi="Times New Roman"/>
                                      <w:spacing w:val="-5"/>
                                      <w:position w:val="-2"/>
                                      <w:sz w:val="14"/>
                                      <w:szCs w:val="14"/>
                                    </w:rPr>
                                    <w:t xml:space="preserve"> </w:t>
                                  </w:r>
                                  <w:r>
                                    <w:rPr>
                                      <w:rFonts w:ascii="Times New Roman" w:hAnsi="Times New Roman"/>
                                      <w:spacing w:val="-1"/>
                                    </w:rPr>
                                    <w:t>(</w:t>
                                  </w:r>
                                  <w:r>
                                    <w:rPr>
                                      <w:rFonts w:ascii="Symbol" w:hAnsi="Symbol" w:cs="Symbol"/>
                                      <w:spacing w:val="-1"/>
                                    </w:rPr>
                                    <w:t></w:t>
                                  </w:r>
                                  <w:r>
                                    <w:rPr>
                                      <w:rFonts w:ascii="Times New Roman" w:hAnsi="Times New Roman"/>
                                      <w:spacing w:val="-1"/>
                                    </w:rPr>
                                    <w:t>g/ml)</w:t>
                                  </w:r>
                                </w:p>
                              </w:tc>
                              <w:tc>
                                <w:tcPr>
                                  <w:tcW w:w="1399" w:type="dxa"/>
                                  <w:tcBorders>
                                    <w:top w:val="single" w:sz="4" w:space="0" w:color="000000"/>
                                    <w:left w:val="nil"/>
                                    <w:bottom w:val="nil"/>
                                    <w:right w:val="nil"/>
                                  </w:tcBorders>
                                </w:tcPr>
                                <w:p w:rsidR="00C70B96" w:rsidRDefault="00C70B96" w:rsidP="004D4259">
                                  <w:pPr>
                                    <w:pStyle w:val="TableParagraph"/>
                                    <w:spacing w:line="266" w:lineRule="exact"/>
                                    <w:ind w:left="201"/>
                                    <w:jc w:val="center"/>
                                    <w:rPr>
                                      <w:rFonts w:ascii="Times New Roman" w:hAnsi="Times New Roman"/>
                                    </w:rPr>
                                  </w:pPr>
                                  <w:r>
                                    <w:rPr>
                                      <w:rFonts w:ascii="Times New Roman" w:hAnsi="Times New Roman"/>
                                    </w:rPr>
                                    <w:t xml:space="preserve">0,84 </w:t>
                                  </w:r>
                                  <w:r>
                                    <w:rPr>
                                      <w:rFonts w:ascii="Symbol" w:hAnsi="Symbol" w:cs="Symbol"/>
                                    </w:rPr>
                                    <w:t></w:t>
                                  </w:r>
                                  <w:r>
                                    <w:rPr>
                                      <w:rFonts w:ascii="Symbol" w:hAnsi="Symbol" w:cs="Symbol"/>
                                      <w:spacing w:val="-1"/>
                                    </w:rPr>
                                    <w:t></w:t>
                                  </w:r>
                                </w:p>
                              </w:tc>
                              <w:tc>
                                <w:tcPr>
                                  <w:tcW w:w="1555" w:type="dxa"/>
                                  <w:tcBorders>
                                    <w:top w:val="single" w:sz="4" w:space="0" w:color="000000"/>
                                    <w:left w:val="nil"/>
                                    <w:bottom w:val="nil"/>
                                    <w:right w:val="nil"/>
                                  </w:tcBorders>
                                </w:tcPr>
                                <w:p w:rsidR="00C70B96" w:rsidRDefault="00C70B96" w:rsidP="004D4259">
                                  <w:pPr>
                                    <w:pStyle w:val="TableParagraph"/>
                                    <w:spacing w:line="248" w:lineRule="exact"/>
                                    <w:ind w:left="2"/>
                                    <w:jc w:val="center"/>
                                    <w:rPr>
                                      <w:rFonts w:ascii="Times New Roman" w:hAnsi="Times New Roman"/>
                                    </w:rPr>
                                  </w:pPr>
                                  <w:r>
                                    <w:rPr>
                                      <w:rFonts w:ascii="Times New Roman"/>
                                    </w:rPr>
                                    <w:t>0,89</w:t>
                                  </w:r>
                                </w:p>
                              </w:tc>
                              <w:tc>
                                <w:tcPr>
                                  <w:tcW w:w="1415" w:type="dxa"/>
                                  <w:tcBorders>
                                    <w:top w:val="single" w:sz="4" w:space="0" w:color="000000"/>
                                    <w:left w:val="nil"/>
                                    <w:bottom w:val="nil"/>
                                    <w:right w:val="nil"/>
                                  </w:tcBorders>
                                </w:tcPr>
                                <w:p w:rsidR="00C70B96" w:rsidRDefault="00C70B96" w:rsidP="004D4259">
                                  <w:pPr>
                                    <w:pStyle w:val="TableParagraph"/>
                                    <w:spacing w:line="266" w:lineRule="exact"/>
                                    <w:ind w:left="309"/>
                                    <w:jc w:val="center"/>
                                    <w:rPr>
                                      <w:rFonts w:ascii="Times New Roman" w:hAnsi="Times New Roman"/>
                                    </w:rPr>
                                  </w:pPr>
                                  <w:r>
                                    <w:rPr>
                                      <w:rFonts w:ascii="Times New Roman" w:hAnsi="Times New Roman"/>
                                    </w:rPr>
                                    <w:t xml:space="preserve">3,4 </w:t>
                                  </w:r>
                                  <w:r>
                                    <w:rPr>
                                      <w:rFonts w:ascii="Symbol" w:hAnsi="Symbol" w:cs="Symbol"/>
                                    </w:rPr>
                                    <w:t></w:t>
                                  </w:r>
                                  <w:r>
                                    <w:rPr>
                                      <w:rFonts w:ascii="Symbol" w:hAnsi="Symbol" w:cs="Symbol"/>
                                      <w:spacing w:val="1"/>
                                    </w:rPr>
                                    <w:t></w:t>
                                  </w:r>
                                  <w:r>
                                    <w:rPr>
                                      <w:rFonts w:ascii="Times New Roman" w:hAnsi="Times New Roman"/>
                                      <w:spacing w:val="-2"/>
                                    </w:rPr>
                                    <w:t>1,3</w:t>
                                  </w:r>
                                </w:p>
                              </w:tc>
                              <w:tc>
                                <w:tcPr>
                                  <w:tcW w:w="1499" w:type="dxa"/>
                                  <w:tcBorders>
                                    <w:top w:val="single" w:sz="4" w:space="0" w:color="000000"/>
                                    <w:left w:val="nil"/>
                                    <w:bottom w:val="nil"/>
                                    <w:right w:val="nil"/>
                                  </w:tcBorders>
                                </w:tcPr>
                                <w:p w:rsidR="00C70B96" w:rsidRDefault="00C70B96" w:rsidP="004D4259">
                                  <w:pPr>
                                    <w:pStyle w:val="TableParagraph"/>
                                    <w:spacing w:line="266" w:lineRule="exact"/>
                                    <w:ind w:left="370"/>
                                    <w:jc w:val="center"/>
                                    <w:rPr>
                                      <w:rFonts w:ascii="Times New Roman" w:hAnsi="Times New Roman"/>
                                    </w:rPr>
                                  </w:pPr>
                                  <w:r>
                                    <w:rPr>
                                      <w:rFonts w:ascii="Times New Roman" w:hAnsi="Times New Roman"/>
                                    </w:rPr>
                                    <w:t xml:space="preserve">4,5 </w:t>
                                  </w:r>
                                  <w:r>
                                    <w:rPr>
                                      <w:rFonts w:ascii="Symbol" w:hAnsi="Symbol" w:cs="Symbol"/>
                                    </w:rPr>
                                    <w:t></w:t>
                                  </w:r>
                                  <w:r>
                                    <w:rPr>
                                      <w:rFonts w:ascii="Symbol" w:hAnsi="Symbol" w:cs="Symbol"/>
                                      <w:spacing w:val="1"/>
                                    </w:rPr>
                                    <w:t></w:t>
                                  </w:r>
                                  <w:r>
                                    <w:rPr>
                                      <w:rFonts w:ascii="Times New Roman" w:hAnsi="Times New Roman"/>
                                      <w:spacing w:val="-2"/>
                                    </w:rPr>
                                    <w:t>1,3</w:t>
                                  </w:r>
                                </w:p>
                              </w:tc>
                              <w:tc>
                                <w:tcPr>
                                  <w:tcW w:w="1476" w:type="dxa"/>
                                  <w:tcBorders>
                                    <w:top w:val="single" w:sz="4" w:space="0" w:color="000000"/>
                                    <w:left w:val="nil"/>
                                    <w:bottom w:val="nil"/>
                                    <w:right w:val="nil"/>
                                  </w:tcBorders>
                                </w:tcPr>
                                <w:p w:rsidR="00C70B96" w:rsidRDefault="00C70B96" w:rsidP="004D4259">
                                  <w:pPr>
                                    <w:pStyle w:val="TableParagraph"/>
                                    <w:spacing w:line="266" w:lineRule="exact"/>
                                    <w:ind w:left="292"/>
                                    <w:jc w:val="center"/>
                                    <w:rPr>
                                      <w:rFonts w:ascii="Times New Roman" w:hAnsi="Times New Roman"/>
                                    </w:rPr>
                                  </w:pPr>
                                  <w:r>
                                    <w:rPr>
                                      <w:rFonts w:ascii="Times New Roman" w:hAnsi="Times New Roman"/>
                                    </w:rPr>
                                    <w:t xml:space="preserve">11,2 </w:t>
                                  </w:r>
                                  <w:r>
                                    <w:rPr>
                                      <w:rFonts w:ascii="Symbol" w:hAnsi="Symbol" w:cs="Symbol"/>
                                    </w:rPr>
                                    <w:t></w:t>
                                  </w:r>
                                  <w:r>
                                    <w:rPr>
                                      <w:rFonts w:ascii="Symbol" w:hAnsi="Symbol" w:cs="Symbol"/>
                                      <w:spacing w:val="-1"/>
                                    </w:rPr>
                                    <w:t></w:t>
                                  </w:r>
                                  <w:r>
                                    <w:rPr>
                                      <w:rFonts w:ascii="Times New Roman" w:hAnsi="Times New Roman"/>
                                    </w:rPr>
                                    <w:t>3,6</w:t>
                                  </w:r>
                                </w:p>
                              </w:tc>
                            </w:tr>
                            <w:tr w:rsidR="00C70B96">
                              <w:trPr>
                                <w:trHeight w:hRule="exact" w:val="269"/>
                              </w:trPr>
                              <w:tc>
                                <w:tcPr>
                                  <w:tcW w:w="1512" w:type="dxa"/>
                                  <w:tcBorders>
                                    <w:top w:val="nil"/>
                                    <w:left w:val="nil"/>
                                    <w:bottom w:val="nil"/>
                                    <w:right w:val="nil"/>
                                  </w:tcBorders>
                                </w:tcPr>
                                <w:p w:rsidR="00C70B96" w:rsidRDefault="00C70B96">
                                  <w:pPr>
                                    <w:pStyle w:val="TableParagraph"/>
                                    <w:spacing w:line="263" w:lineRule="exact"/>
                                    <w:ind w:left="108"/>
                                    <w:rPr>
                                      <w:rFonts w:ascii="Times New Roman" w:hAnsi="Times New Roman"/>
                                    </w:rPr>
                                  </w:pPr>
                                  <w:r>
                                    <w:rPr>
                                      <w:rFonts w:ascii="Times New Roman" w:hAnsi="Times New Roman"/>
                                      <w:spacing w:val="-1"/>
                                    </w:rPr>
                                    <w:t>C</w:t>
                                  </w:r>
                                  <w:r>
                                    <w:rPr>
                                      <w:rFonts w:ascii="Times New Roman" w:hAnsi="Times New Roman"/>
                                      <w:spacing w:val="-1"/>
                                      <w:position w:val="-2"/>
                                      <w:sz w:val="14"/>
                                      <w:szCs w:val="14"/>
                                    </w:rPr>
                                    <w:t>trough</w:t>
                                  </w:r>
                                  <w:r>
                                    <w:rPr>
                                      <w:rFonts w:ascii="Times New Roman" w:hAnsi="Times New Roman"/>
                                      <w:spacing w:val="-4"/>
                                      <w:position w:val="-2"/>
                                      <w:sz w:val="14"/>
                                      <w:szCs w:val="14"/>
                                    </w:rPr>
                                    <w:t xml:space="preserve"> </w:t>
                                  </w:r>
                                  <w:r>
                                    <w:rPr>
                                      <w:rFonts w:ascii="Times New Roman" w:hAnsi="Times New Roman"/>
                                      <w:spacing w:val="-1"/>
                                    </w:rPr>
                                    <w:t>(</w:t>
                                  </w:r>
                                  <w:r>
                                    <w:rPr>
                                      <w:rFonts w:ascii="Symbol" w:hAnsi="Symbol" w:cs="Symbol"/>
                                      <w:spacing w:val="-1"/>
                                    </w:rPr>
                                    <w:t></w:t>
                                  </w:r>
                                  <w:r>
                                    <w:rPr>
                                      <w:rFonts w:ascii="Times New Roman" w:hAnsi="Times New Roman"/>
                                      <w:spacing w:val="-1"/>
                                    </w:rPr>
                                    <w:t>g/ml)</w:t>
                                  </w:r>
                                </w:p>
                              </w:tc>
                              <w:tc>
                                <w:tcPr>
                                  <w:tcW w:w="1399" w:type="dxa"/>
                                  <w:tcBorders>
                                    <w:top w:val="nil"/>
                                    <w:left w:val="nil"/>
                                    <w:bottom w:val="nil"/>
                                    <w:right w:val="nil"/>
                                  </w:tcBorders>
                                </w:tcPr>
                                <w:p w:rsidR="00C70B96" w:rsidRDefault="00C70B96" w:rsidP="004D4259">
                                  <w:pPr>
                                    <w:pStyle w:val="TableParagraph"/>
                                    <w:spacing w:line="251" w:lineRule="exact"/>
                                    <w:ind w:left="201"/>
                                    <w:jc w:val="center"/>
                                    <w:rPr>
                                      <w:rFonts w:ascii="Times New Roman" w:hAnsi="Times New Roman"/>
                                    </w:rPr>
                                  </w:pPr>
                                  <w:r>
                                    <w:rPr>
                                      <w:rFonts w:ascii="Times New Roman" w:hAnsi="Times New Roman"/>
                                    </w:rPr>
                                    <w:t xml:space="preserve">0,08 </w:t>
                                  </w:r>
                                  <w:r>
                                    <w:rPr>
                                      <w:rFonts w:ascii="Symbol" w:hAnsi="Symbol" w:cs="Symbol"/>
                                    </w:rPr>
                                    <w:t></w:t>
                                  </w:r>
                                  <w:r>
                                    <w:rPr>
                                      <w:rFonts w:ascii="Symbol" w:hAnsi="Symbol" w:cs="Symbol"/>
                                      <w:spacing w:val="-1"/>
                                    </w:rPr>
                                    <w:t></w:t>
                                  </w:r>
                                </w:p>
                              </w:tc>
                              <w:tc>
                                <w:tcPr>
                                  <w:tcW w:w="1555" w:type="dxa"/>
                                  <w:tcBorders>
                                    <w:top w:val="nil"/>
                                    <w:left w:val="nil"/>
                                    <w:bottom w:val="nil"/>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0,22</w:t>
                                  </w:r>
                                </w:p>
                              </w:tc>
                              <w:tc>
                                <w:tcPr>
                                  <w:tcW w:w="1415" w:type="dxa"/>
                                  <w:tcBorders>
                                    <w:top w:val="nil"/>
                                    <w:left w:val="nil"/>
                                    <w:bottom w:val="nil"/>
                                    <w:right w:val="nil"/>
                                  </w:tcBorders>
                                </w:tcPr>
                                <w:p w:rsidR="00C70B96" w:rsidRDefault="00C70B96" w:rsidP="004D4259">
                                  <w:pPr>
                                    <w:pStyle w:val="TableParagraph"/>
                                    <w:spacing w:line="251" w:lineRule="exact"/>
                                    <w:ind w:left="199"/>
                                    <w:jc w:val="center"/>
                                    <w:rPr>
                                      <w:rFonts w:ascii="Times New Roman" w:hAnsi="Times New Roman"/>
                                    </w:rPr>
                                  </w:pPr>
                                  <w:r>
                                    <w:rPr>
                                      <w:rFonts w:ascii="Times New Roman" w:hAnsi="Times New Roman"/>
                                    </w:rPr>
                                    <w:t xml:space="preserve">0,16 </w:t>
                                  </w:r>
                                  <w:r>
                                    <w:rPr>
                                      <w:rFonts w:ascii="Symbol" w:hAnsi="Symbol" w:cs="Symbol"/>
                                    </w:rPr>
                                    <w:t></w:t>
                                  </w:r>
                                  <w:r>
                                    <w:rPr>
                                      <w:rFonts w:ascii="Symbol" w:hAnsi="Symbol" w:cs="Symbol"/>
                                      <w:spacing w:val="-1"/>
                                    </w:rPr>
                                    <w:t></w:t>
                                  </w:r>
                                </w:p>
                              </w:tc>
                              <w:tc>
                                <w:tcPr>
                                  <w:tcW w:w="1499" w:type="dxa"/>
                                  <w:tcBorders>
                                    <w:top w:val="nil"/>
                                    <w:left w:val="nil"/>
                                    <w:bottom w:val="nil"/>
                                    <w:right w:val="nil"/>
                                  </w:tcBorders>
                                </w:tcPr>
                                <w:p w:rsidR="00C70B96" w:rsidRDefault="00C70B96" w:rsidP="004D4259">
                                  <w:pPr>
                                    <w:pStyle w:val="TableParagraph"/>
                                    <w:spacing w:line="251" w:lineRule="exact"/>
                                    <w:ind w:left="370"/>
                                    <w:jc w:val="center"/>
                                    <w:rPr>
                                      <w:rFonts w:ascii="Times New Roman" w:hAnsi="Times New Roman"/>
                                    </w:rPr>
                                  </w:pPr>
                                  <w:r>
                                    <w:rPr>
                                      <w:rFonts w:ascii="Times New Roman" w:hAnsi="Times New Roman"/>
                                    </w:rPr>
                                    <w:t xml:space="preserve">0,6 </w:t>
                                  </w:r>
                                  <w:r>
                                    <w:rPr>
                                      <w:rFonts w:ascii="Symbol" w:hAnsi="Symbol" w:cs="Symbol"/>
                                    </w:rPr>
                                    <w:t></w:t>
                                  </w:r>
                                  <w:r>
                                    <w:rPr>
                                      <w:rFonts w:ascii="Symbol" w:hAnsi="Symbol" w:cs="Symbol"/>
                                      <w:spacing w:val="1"/>
                                    </w:rPr>
                                    <w:t></w:t>
                                  </w:r>
                                  <w:r>
                                    <w:rPr>
                                      <w:rFonts w:ascii="Times New Roman" w:hAnsi="Times New Roman"/>
                                      <w:spacing w:val="-2"/>
                                    </w:rPr>
                                    <w:t>0,2</w:t>
                                  </w:r>
                                </w:p>
                              </w:tc>
                              <w:tc>
                                <w:tcPr>
                                  <w:tcW w:w="1476" w:type="dxa"/>
                                  <w:tcBorders>
                                    <w:top w:val="nil"/>
                                    <w:left w:val="nil"/>
                                    <w:bottom w:val="nil"/>
                                    <w:right w:val="nil"/>
                                  </w:tcBorders>
                                </w:tcPr>
                                <w:p w:rsidR="00C70B96" w:rsidRDefault="00C70B96" w:rsidP="004D4259">
                                  <w:pPr>
                                    <w:pStyle w:val="TableParagraph"/>
                                    <w:spacing w:line="251" w:lineRule="exact"/>
                                    <w:ind w:left="348"/>
                                    <w:jc w:val="center"/>
                                    <w:rPr>
                                      <w:rFonts w:ascii="Times New Roman" w:hAnsi="Times New Roman"/>
                                    </w:rPr>
                                  </w:pPr>
                                  <w:r>
                                    <w:rPr>
                                      <w:rFonts w:ascii="Times New Roman" w:hAnsi="Times New Roman"/>
                                    </w:rPr>
                                    <w:t xml:space="preserve">3,7 </w:t>
                                  </w:r>
                                  <w:r>
                                    <w:rPr>
                                      <w:rFonts w:ascii="Symbol" w:hAnsi="Symbol" w:cs="Symbol"/>
                                    </w:rPr>
                                    <w:t></w:t>
                                  </w:r>
                                  <w:r>
                                    <w:rPr>
                                      <w:rFonts w:ascii="Symbol" w:hAnsi="Symbol" w:cs="Symbol"/>
                                      <w:spacing w:val="1"/>
                                    </w:rPr>
                                    <w:t></w:t>
                                  </w:r>
                                  <w:r>
                                    <w:rPr>
                                      <w:rFonts w:ascii="Times New Roman" w:hAnsi="Times New Roman"/>
                                      <w:spacing w:val="-2"/>
                                    </w:rPr>
                                    <w:t>2,6</w:t>
                                  </w:r>
                                </w:p>
                              </w:tc>
                            </w:tr>
                            <w:tr w:rsidR="00C70B96">
                              <w:trPr>
                                <w:trHeight w:hRule="exact" w:val="261"/>
                              </w:trPr>
                              <w:tc>
                                <w:tcPr>
                                  <w:tcW w:w="1512" w:type="dxa"/>
                                  <w:tcBorders>
                                    <w:top w:val="nil"/>
                                    <w:left w:val="nil"/>
                                    <w:bottom w:val="nil"/>
                                    <w:right w:val="nil"/>
                                  </w:tcBorders>
                                </w:tcPr>
                                <w:p w:rsidR="00C70B96" w:rsidRDefault="00C70B96">
                                  <w:pPr>
                                    <w:pStyle w:val="TableParagraph"/>
                                    <w:spacing w:line="247" w:lineRule="exact"/>
                                    <w:ind w:left="108"/>
                                    <w:rPr>
                                      <w:rFonts w:ascii="Times New Roman" w:hAnsi="Times New Roman"/>
                                      <w:sz w:val="14"/>
                                      <w:szCs w:val="14"/>
                                    </w:rPr>
                                  </w:pPr>
                                  <w:r>
                                    <w:rPr>
                                      <w:rFonts w:ascii="Times New Roman"/>
                                      <w:spacing w:val="-1"/>
                                      <w:position w:val="3"/>
                                    </w:rPr>
                                    <w:t>AUC</w:t>
                                  </w:r>
                                  <w:r>
                                    <w:rPr>
                                      <w:rFonts w:ascii="Times New Roman"/>
                                      <w:spacing w:val="-1"/>
                                      <w:sz w:val="14"/>
                                    </w:rPr>
                                    <w:t>12</w:t>
                                  </w:r>
                                  <w:r>
                                    <w:rPr>
                                      <w:rFonts w:ascii="Times New Roman"/>
                                      <w:spacing w:val="-3"/>
                                      <w:sz w:val="14"/>
                                    </w:rPr>
                                    <w:t xml:space="preserve"> </w:t>
                                  </w:r>
                                  <w:r>
                                    <w:rPr>
                                      <w:rFonts w:ascii="Times New Roman"/>
                                      <w:sz w:val="14"/>
                                    </w:rPr>
                                    <w:t>eller</w:t>
                                  </w:r>
                                  <w:r>
                                    <w:rPr>
                                      <w:rFonts w:ascii="Times New Roman"/>
                                      <w:spacing w:val="-3"/>
                                      <w:sz w:val="14"/>
                                    </w:rPr>
                                    <w:t xml:space="preserve"> </w:t>
                                  </w:r>
                                  <w:r>
                                    <w:rPr>
                                      <w:rFonts w:ascii="Times New Roman"/>
                                      <w:sz w:val="14"/>
                                    </w:rPr>
                                    <w:t>24</w:t>
                                  </w:r>
                                </w:p>
                              </w:tc>
                              <w:tc>
                                <w:tcPr>
                                  <w:tcW w:w="1399" w:type="dxa"/>
                                  <w:tcBorders>
                                    <w:top w:val="nil"/>
                                    <w:left w:val="nil"/>
                                    <w:bottom w:val="nil"/>
                                    <w:right w:val="nil"/>
                                  </w:tcBorders>
                                </w:tcPr>
                                <w:p w:rsidR="00C70B96" w:rsidRDefault="00C70B96" w:rsidP="004D4259">
                                  <w:pPr>
                                    <w:pStyle w:val="TableParagraph"/>
                                    <w:spacing w:line="251" w:lineRule="exact"/>
                                    <w:ind w:left="311"/>
                                    <w:jc w:val="center"/>
                                    <w:rPr>
                                      <w:rFonts w:ascii="Times New Roman" w:hAnsi="Times New Roman"/>
                                    </w:rPr>
                                  </w:pPr>
                                  <w:r>
                                    <w:rPr>
                                      <w:rFonts w:ascii="Times New Roman" w:hAnsi="Times New Roman"/>
                                    </w:rPr>
                                    <w:t xml:space="preserve">6,6 </w:t>
                                  </w:r>
                                  <w:r>
                                    <w:rPr>
                                      <w:rFonts w:ascii="Symbol" w:hAnsi="Symbol" w:cs="Symbol"/>
                                    </w:rPr>
                                    <w:t></w:t>
                                  </w:r>
                                  <w:r>
                                    <w:rPr>
                                      <w:rFonts w:ascii="Symbol" w:hAnsi="Symbol" w:cs="Symbol"/>
                                      <w:spacing w:val="1"/>
                                    </w:rPr>
                                    <w:t></w:t>
                                  </w:r>
                                  <w:r>
                                    <w:rPr>
                                      <w:rFonts w:ascii="Times New Roman" w:hAnsi="Times New Roman"/>
                                      <w:spacing w:val="-2"/>
                                    </w:rPr>
                                    <w:t>2,4</w:t>
                                  </w:r>
                                </w:p>
                              </w:tc>
                              <w:tc>
                                <w:tcPr>
                                  <w:tcW w:w="1555" w:type="dxa"/>
                                  <w:tcBorders>
                                    <w:top w:val="nil"/>
                                    <w:left w:val="nil"/>
                                    <w:bottom w:val="nil"/>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6,2</w:t>
                                  </w:r>
                                </w:p>
                              </w:tc>
                              <w:tc>
                                <w:tcPr>
                                  <w:tcW w:w="1415" w:type="dxa"/>
                                  <w:tcBorders>
                                    <w:top w:val="nil"/>
                                    <w:left w:val="nil"/>
                                    <w:bottom w:val="nil"/>
                                    <w:right w:val="nil"/>
                                  </w:tcBorders>
                                </w:tcPr>
                                <w:p w:rsidR="00C70B96" w:rsidRDefault="00C70B96" w:rsidP="004D4259">
                                  <w:pPr>
                                    <w:pStyle w:val="TableParagraph"/>
                                    <w:spacing w:line="251" w:lineRule="exact"/>
                                    <w:ind w:left="254"/>
                                    <w:jc w:val="center"/>
                                    <w:rPr>
                                      <w:rFonts w:ascii="Times New Roman" w:hAnsi="Times New Roman"/>
                                    </w:rPr>
                                  </w:pPr>
                                  <w:r>
                                    <w:rPr>
                                      <w:rFonts w:ascii="Times New Roman" w:hAnsi="Times New Roman"/>
                                    </w:rPr>
                                    <w:t xml:space="preserve">20,0 </w:t>
                                  </w:r>
                                  <w:r>
                                    <w:rPr>
                                      <w:rFonts w:ascii="Symbol" w:hAnsi="Symbol" w:cs="Symbol"/>
                                    </w:rPr>
                                    <w:t></w:t>
                                  </w:r>
                                  <w:r>
                                    <w:rPr>
                                      <w:rFonts w:ascii="Symbol" w:hAnsi="Symbol" w:cs="Symbol"/>
                                      <w:spacing w:val="-1"/>
                                    </w:rPr>
                                    <w:t></w:t>
                                  </w:r>
                                  <w:r>
                                    <w:rPr>
                                      <w:rFonts w:ascii="Times New Roman" w:hAnsi="Times New Roman"/>
                                    </w:rPr>
                                    <w:t>5,6</w:t>
                                  </w:r>
                                </w:p>
                              </w:tc>
                              <w:tc>
                                <w:tcPr>
                                  <w:tcW w:w="1499" w:type="dxa"/>
                                  <w:tcBorders>
                                    <w:top w:val="nil"/>
                                    <w:left w:val="nil"/>
                                    <w:bottom w:val="nil"/>
                                    <w:right w:val="nil"/>
                                  </w:tcBorders>
                                </w:tcPr>
                                <w:p w:rsidR="00C70B96" w:rsidRDefault="00C70B96" w:rsidP="004D4259">
                                  <w:pPr>
                                    <w:pStyle w:val="TableParagraph"/>
                                    <w:spacing w:line="251" w:lineRule="exact"/>
                                    <w:ind w:left="205"/>
                                    <w:jc w:val="center"/>
                                    <w:rPr>
                                      <w:rFonts w:ascii="Times New Roman" w:hAnsi="Times New Roman"/>
                                    </w:rPr>
                                  </w:pPr>
                                  <w:r>
                                    <w:rPr>
                                      <w:rFonts w:ascii="Times New Roman" w:hAnsi="Times New Roman"/>
                                    </w:rPr>
                                    <w:t xml:space="preserve">21,92 </w:t>
                                  </w:r>
                                  <w:r>
                                    <w:rPr>
                                      <w:rFonts w:ascii="Symbol" w:hAnsi="Symbol" w:cs="Symbol"/>
                                    </w:rPr>
                                    <w:t></w:t>
                                  </w:r>
                                  <w:r>
                                    <w:rPr>
                                      <w:rFonts w:ascii="Symbol" w:hAnsi="Symbol" w:cs="Symbol"/>
                                      <w:spacing w:val="-1"/>
                                    </w:rPr>
                                    <w:t></w:t>
                                  </w:r>
                                  <w:r>
                                    <w:rPr>
                                      <w:rFonts w:ascii="Times New Roman" w:hAnsi="Times New Roman"/>
                                    </w:rPr>
                                    <w:t>6,48</w:t>
                                  </w:r>
                                </w:p>
                              </w:tc>
                              <w:tc>
                                <w:tcPr>
                                  <w:tcW w:w="1476" w:type="dxa"/>
                                  <w:tcBorders>
                                    <w:top w:val="nil"/>
                                    <w:left w:val="nil"/>
                                    <w:bottom w:val="nil"/>
                                    <w:right w:val="nil"/>
                                  </w:tcBorders>
                                </w:tcPr>
                                <w:p w:rsidR="00C70B96" w:rsidRDefault="00C70B96" w:rsidP="004D4259">
                                  <w:pPr>
                                    <w:pStyle w:val="TableParagraph"/>
                                    <w:spacing w:line="251" w:lineRule="exact"/>
                                    <w:ind w:left="237"/>
                                    <w:jc w:val="center"/>
                                    <w:rPr>
                                      <w:rFonts w:ascii="Times New Roman" w:hAnsi="Times New Roman"/>
                                    </w:rPr>
                                  </w:pPr>
                                  <w:r>
                                    <w:rPr>
                                      <w:rFonts w:ascii="Times New Roman" w:hAnsi="Times New Roman"/>
                                    </w:rPr>
                                    <w:t xml:space="preserve">77,5 </w:t>
                                  </w:r>
                                  <w:r>
                                    <w:rPr>
                                      <w:rFonts w:ascii="Symbol" w:hAnsi="Symbol" w:cs="Symbol"/>
                                    </w:rPr>
                                    <w:t></w:t>
                                  </w:r>
                                  <w:r>
                                    <w:rPr>
                                      <w:rFonts w:ascii="Symbol" w:hAnsi="Symbol" w:cs="Symbol"/>
                                      <w:spacing w:val="-1"/>
                                    </w:rPr>
                                    <w:t></w:t>
                                  </w:r>
                                </w:p>
                              </w:tc>
                            </w:tr>
                            <w:tr w:rsidR="00C70B96">
                              <w:trPr>
                                <w:trHeight w:hRule="exact" w:val="255"/>
                              </w:trPr>
                              <w:tc>
                                <w:tcPr>
                                  <w:tcW w:w="1512" w:type="dxa"/>
                                  <w:tcBorders>
                                    <w:top w:val="nil"/>
                                    <w:left w:val="nil"/>
                                    <w:bottom w:val="nil"/>
                                    <w:right w:val="nil"/>
                                  </w:tcBorders>
                                </w:tcPr>
                                <w:p w:rsidR="00C70B96" w:rsidRDefault="00C70B96">
                                  <w:pPr>
                                    <w:pStyle w:val="TableParagraph"/>
                                    <w:spacing w:line="245" w:lineRule="exact"/>
                                    <w:ind w:left="108"/>
                                    <w:rPr>
                                      <w:rFonts w:ascii="Times New Roman" w:hAnsi="Times New Roman"/>
                                    </w:rPr>
                                  </w:pPr>
                                  <w:r>
                                    <w:rPr>
                                      <w:rFonts w:ascii="Times New Roman" w:hAnsi="Times New Roman"/>
                                      <w:spacing w:val="-1"/>
                                    </w:rPr>
                                    <w:t>(</w:t>
                                  </w:r>
                                  <w:r>
                                    <w:rPr>
                                      <w:rFonts w:ascii="Symbol" w:hAnsi="Symbol" w:cs="Symbol"/>
                                      <w:spacing w:val="-1"/>
                                    </w:rPr>
                                    <w:t></w:t>
                                  </w:r>
                                  <w:r>
                                    <w:rPr>
                                      <w:rFonts w:ascii="Times New Roman" w:hAnsi="Times New Roman"/>
                                      <w:spacing w:val="-1"/>
                                    </w:rPr>
                                    <w:t>g</w:t>
                                  </w:r>
                                  <w:r>
                                    <w:rPr>
                                      <w:rFonts w:ascii="Symbol" w:hAnsi="Symbol" w:cs="Symbol"/>
                                      <w:spacing w:val="-1"/>
                                    </w:rPr>
                                    <w:t></w:t>
                                  </w:r>
                                  <w:r>
                                    <w:rPr>
                                      <w:rFonts w:ascii="Times New Roman" w:hAnsi="Times New Roman"/>
                                      <w:spacing w:val="-1"/>
                                    </w:rPr>
                                    <w:t>t/ml)</w:t>
                                  </w:r>
                                </w:p>
                              </w:tc>
                              <w:tc>
                                <w:tcPr>
                                  <w:tcW w:w="1399" w:type="dxa"/>
                                  <w:tcBorders>
                                    <w:top w:val="nil"/>
                                    <w:left w:val="nil"/>
                                    <w:bottom w:val="nil"/>
                                    <w:right w:val="nil"/>
                                  </w:tcBorders>
                                </w:tcPr>
                                <w:p w:rsidR="00C70B96" w:rsidRDefault="00C70B96" w:rsidP="004D4259">
                                  <w:pPr>
                                    <w:jc w:val="center"/>
                                  </w:pPr>
                                </w:p>
                              </w:tc>
                              <w:tc>
                                <w:tcPr>
                                  <w:tcW w:w="1555" w:type="dxa"/>
                                  <w:tcBorders>
                                    <w:top w:val="nil"/>
                                    <w:left w:val="nil"/>
                                    <w:bottom w:val="nil"/>
                                    <w:right w:val="nil"/>
                                  </w:tcBorders>
                                </w:tcPr>
                                <w:p w:rsidR="00C70B96" w:rsidRDefault="00C70B96" w:rsidP="004D4259">
                                  <w:pPr>
                                    <w:jc w:val="center"/>
                                  </w:pPr>
                                </w:p>
                              </w:tc>
                              <w:tc>
                                <w:tcPr>
                                  <w:tcW w:w="1415" w:type="dxa"/>
                                  <w:tcBorders>
                                    <w:top w:val="nil"/>
                                    <w:left w:val="nil"/>
                                    <w:bottom w:val="nil"/>
                                    <w:right w:val="nil"/>
                                  </w:tcBorders>
                                </w:tcPr>
                                <w:p w:rsidR="00C70B96" w:rsidRDefault="00C70B96" w:rsidP="004D4259">
                                  <w:pPr>
                                    <w:jc w:val="center"/>
                                  </w:pPr>
                                </w:p>
                              </w:tc>
                              <w:tc>
                                <w:tcPr>
                                  <w:tcW w:w="1499" w:type="dxa"/>
                                  <w:tcBorders>
                                    <w:top w:val="nil"/>
                                    <w:left w:val="nil"/>
                                    <w:bottom w:val="nil"/>
                                    <w:right w:val="nil"/>
                                  </w:tcBorders>
                                </w:tcPr>
                                <w:p w:rsidR="00C70B96" w:rsidRDefault="00C70B96" w:rsidP="004D4259">
                                  <w:pPr>
                                    <w:jc w:val="center"/>
                                  </w:pPr>
                                </w:p>
                              </w:tc>
                              <w:tc>
                                <w:tcPr>
                                  <w:tcW w:w="1476" w:type="dxa"/>
                                  <w:tcBorders>
                                    <w:top w:val="nil"/>
                                    <w:left w:val="nil"/>
                                    <w:bottom w:val="nil"/>
                                    <w:right w:val="nil"/>
                                  </w:tcBorders>
                                </w:tcPr>
                                <w:p w:rsidR="00C70B96" w:rsidRDefault="00C70B96" w:rsidP="004D4259">
                                  <w:pPr>
                                    <w:jc w:val="center"/>
                                  </w:pPr>
                                  <w:r>
                                    <w:t>31,5</w:t>
                                  </w:r>
                                </w:p>
                              </w:tc>
                            </w:tr>
                            <w:tr w:rsidR="00C70B96">
                              <w:trPr>
                                <w:trHeight w:hRule="exact" w:val="260"/>
                              </w:trPr>
                              <w:tc>
                                <w:tcPr>
                                  <w:tcW w:w="1512" w:type="dxa"/>
                                  <w:tcBorders>
                                    <w:top w:val="nil"/>
                                    <w:left w:val="nil"/>
                                    <w:bottom w:val="nil"/>
                                    <w:right w:val="nil"/>
                                  </w:tcBorders>
                                </w:tcPr>
                                <w:p w:rsidR="00C70B96" w:rsidRDefault="00C70B96">
                                  <w:pPr>
                                    <w:pStyle w:val="TableParagraph"/>
                                    <w:spacing w:line="254" w:lineRule="exact"/>
                                    <w:ind w:left="108"/>
                                    <w:rPr>
                                      <w:rFonts w:ascii="Times New Roman" w:hAnsi="Times New Roman"/>
                                    </w:rPr>
                                  </w:pPr>
                                  <w:r>
                                    <w:rPr>
                                      <w:rFonts w:ascii="Times New Roman" w:hAnsi="Times New Roman"/>
                                    </w:rPr>
                                    <w:t>t</w:t>
                                  </w:r>
                                  <w:r>
                                    <w:rPr>
                                      <w:rFonts w:ascii="Times New Roman" w:hAnsi="Times New Roman"/>
                                      <w:position w:val="-2"/>
                                      <w:sz w:val="14"/>
                                    </w:rPr>
                                    <w:t>½</w:t>
                                  </w:r>
                                  <w:r>
                                    <w:rPr>
                                      <w:rFonts w:ascii="Times New Roman" w:hAnsi="Times New Roman"/>
                                      <w:spacing w:val="19"/>
                                      <w:position w:val="-2"/>
                                      <w:sz w:val="14"/>
                                    </w:rPr>
                                    <w:t xml:space="preserve"> </w:t>
                                  </w:r>
                                  <w:r>
                                    <w:rPr>
                                      <w:rFonts w:ascii="Times New Roman" w:hAnsi="Times New Roman"/>
                                      <w:spacing w:val="-1"/>
                                    </w:rPr>
                                    <w:t>(t)</w:t>
                                  </w:r>
                                </w:p>
                              </w:tc>
                              <w:tc>
                                <w:tcPr>
                                  <w:tcW w:w="1399" w:type="dxa"/>
                                  <w:tcBorders>
                                    <w:top w:val="nil"/>
                                    <w:left w:val="nil"/>
                                    <w:bottom w:val="nil"/>
                                    <w:right w:val="nil"/>
                                  </w:tcBorders>
                                </w:tcPr>
                                <w:p w:rsidR="00C70B96" w:rsidRDefault="00C70B96" w:rsidP="004D4259">
                                  <w:pPr>
                                    <w:pStyle w:val="TableParagraph"/>
                                    <w:spacing w:line="241" w:lineRule="exact"/>
                                    <w:ind w:left="7"/>
                                    <w:jc w:val="center"/>
                                    <w:rPr>
                                      <w:rFonts w:ascii="Times New Roman" w:hAnsi="Times New Roman"/>
                                    </w:rPr>
                                  </w:pPr>
                                  <w:r>
                                    <w:rPr>
                                      <w:rFonts w:ascii="Times New Roman"/>
                                    </w:rPr>
                                    <w:t>~5</w:t>
                                  </w:r>
                                </w:p>
                              </w:tc>
                              <w:tc>
                                <w:tcPr>
                                  <w:tcW w:w="1555" w:type="dxa"/>
                                  <w:tcBorders>
                                    <w:top w:val="nil"/>
                                    <w:left w:val="nil"/>
                                    <w:bottom w:val="nil"/>
                                    <w:right w:val="nil"/>
                                  </w:tcBorders>
                                </w:tcPr>
                                <w:p w:rsidR="00C70B96" w:rsidRDefault="00C70B96" w:rsidP="004D4259">
                                  <w:pPr>
                                    <w:pStyle w:val="TableParagraph"/>
                                    <w:spacing w:line="241" w:lineRule="exact"/>
                                    <w:ind w:left="5"/>
                                    <w:jc w:val="center"/>
                                    <w:rPr>
                                      <w:rFonts w:ascii="Times New Roman" w:hAnsi="Times New Roman"/>
                                    </w:rPr>
                                  </w:pPr>
                                  <w:r>
                                    <w:rPr>
                                      <w:rFonts w:ascii="Times New Roman"/>
                                    </w:rPr>
                                    <w:t>~5</w:t>
                                  </w:r>
                                </w:p>
                              </w:tc>
                              <w:tc>
                                <w:tcPr>
                                  <w:tcW w:w="1415" w:type="dxa"/>
                                  <w:tcBorders>
                                    <w:top w:val="nil"/>
                                    <w:left w:val="nil"/>
                                    <w:bottom w:val="nil"/>
                                    <w:right w:val="nil"/>
                                  </w:tcBorders>
                                </w:tcPr>
                                <w:p w:rsidR="00C70B96" w:rsidRDefault="00C70B96" w:rsidP="004D4259">
                                  <w:pPr>
                                    <w:pStyle w:val="TableParagraph"/>
                                    <w:spacing w:line="241" w:lineRule="exact"/>
                                    <w:ind w:right="10"/>
                                    <w:jc w:val="center"/>
                                    <w:rPr>
                                      <w:rFonts w:ascii="Times New Roman" w:hAnsi="Times New Roman"/>
                                    </w:rPr>
                                  </w:pPr>
                                  <w:r>
                                    <w:rPr>
                                      <w:rFonts w:ascii="Times New Roman"/>
                                    </w:rPr>
                                    <w:t>~4</w:t>
                                  </w:r>
                                </w:p>
                              </w:tc>
                              <w:tc>
                                <w:tcPr>
                                  <w:tcW w:w="1499" w:type="dxa"/>
                                  <w:tcBorders>
                                    <w:top w:val="nil"/>
                                    <w:left w:val="nil"/>
                                    <w:bottom w:val="nil"/>
                                    <w:right w:val="nil"/>
                                  </w:tcBorders>
                                </w:tcPr>
                                <w:p w:rsidR="00C70B96" w:rsidRDefault="00C70B96" w:rsidP="004D4259">
                                  <w:pPr>
                                    <w:pStyle w:val="TableParagraph"/>
                                    <w:spacing w:line="241" w:lineRule="exact"/>
                                    <w:ind w:left="25"/>
                                    <w:jc w:val="center"/>
                                    <w:rPr>
                                      <w:rFonts w:ascii="Times New Roman" w:hAnsi="Times New Roman"/>
                                    </w:rPr>
                                  </w:pPr>
                                  <w:r>
                                    <w:rPr>
                                      <w:rFonts w:ascii="Times New Roman"/>
                                    </w:rPr>
                                    <w:t>~8</w:t>
                                  </w:r>
                                </w:p>
                              </w:tc>
                              <w:tc>
                                <w:tcPr>
                                  <w:tcW w:w="1476" w:type="dxa"/>
                                  <w:tcBorders>
                                    <w:top w:val="nil"/>
                                    <w:left w:val="nil"/>
                                    <w:bottom w:val="nil"/>
                                    <w:right w:val="nil"/>
                                  </w:tcBorders>
                                </w:tcPr>
                                <w:p w:rsidR="00C70B96" w:rsidRDefault="00C70B96" w:rsidP="004D4259">
                                  <w:pPr>
                                    <w:pStyle w:val="TableParagraph"/>
                                    <w:spacing w:line="241" w:lineRule="exact"/>
                                    <w:ind w:left="420"/>
                                    <w:jc w:val="center"/>
                                    <w:rPr>
                                      <w:rFonts w:ascii="Times New Roman" w:hAnsi="Times New Roman"/>
                                    </w:rPr>
                                  </w:pPr>
                                  <w:r>
                                    <w:rPr>
                                      <w:rFonts w:ascii="Times New Roman"/>
                                    </w:rPr>
                                    <w:t>~3 til 5</w:t>
                                  </w:r>
                                </w:p>
                              </w:tc>
                            </w:tr>
                            <w:tr w:rsidR="00C70B96">
                              <w:trPr>
                                <w:trHeight w:hRule="exact" w:val="268"/>
                              </w:trPr>
                              <w:tc>
                                <w:tcPr>
                                  <w:tcW w:w="1512" w:type="dxa"/>
                                  <w:tcBorders>
                                    <w:top w:val="nil"/>
                                    <w:left w:val="nil"/>
                                    <w:bottom w:val="single" w:sz="4" w:space="0" w:color="000000"/>
                                    <w:right w:val="nil"/>
                                  </w:tcBorders>
                                </w:tcPr>
                                <w:p w:rsidR="00C70B96" w:rsidRDefault="00C70B96">
                                  <w:pPr>
                                    <w:pStyle w:val="TableParagraph"/>
                                    <w:spacing w:line="233" w:lineRule="exact"/>
                                    <w:ind w:left="108"/>
                                    <w:rPr>
                                      <w:rFonts w:ascii="Times New Roman" w:hAnsi="Times New Roman"/>
                                    </w:rPr>
                                  </w:pPr>
                                  <w:r>
                                    <w:rPr>
                                      <w:rFonts w:ascii="Times New Roman"/>
                                      <w:spacing w:val="-1"/>
                                    </w:rPr>
                                    <w:t>Cl/F (l/t)</w:t>
                                  </w:r>
                                </w:p>
                              </w:tc>
                              <w:tc>
                                <w:tcPr>
                                  <w:tcW w:w="1399" w:type="dxa"/>
                                  <w:tcBorders>
                                    <w:top w:val="nil"/>
                                    <w:left w:val="nil"/>
                                    <w:bottom w:val="single" w:sz="4" w:space="0" w:color="000000"/>
                                    <w:right w:val="nil"/>
                                  </w:tcBorders>
                                </w:tcPr>
                                <w:p w:rsidR="00C70B96" w:rsidRDefault="00C70B96" w:rsidP="004D4259">
                                  <w:pPr>
                                    <w:pStyle w:val="TableParagraph"/>
                                    <w:spacing w:line="251" w:lineRule="exact"/>
                                    <w:ind w:left="256"/>
                                    <w:jc w:val="center"/>
                                    <w:rPr>
                                      <w:rFonts w:ascii="Times New Roman" w:hAnsi="Times New Roman"/>
                                    </w:rPr>
                                  </w:pPr>
                                  <w:r>
                                    <w:rPr>
                                      <w:rFonts w:ascii="Times New Roman" w:hAnsi="Times New Roman"/>
                                    </w:rPr>
                                    <w:t xml:space="preserve">17,2 </w:t>
                                  </w:r>
                                  <w:r>
                                    <w:rPr>
                                      <w:rFonts w:ascii="Symbol" w:hAnsi="Symbol" w:cs="Symbol"/>
                                    </w:rPr>
                                    <w:t></w:t>
                                  </w:r>
                                  <w:r>
                                    <w:rPr>
                                      <w:rFonts w:ascii="Symbol" w:hAnsi="Symbol" w:cs="Symbol"/>
                                      <w:spacing w:val="-1"/>
                                    </w:rPr>
                                    <w:t></w:t>
                                  </w:r>
                                  <w:r>
                                    <w:rPr>
                                      <w:rFonts w:ascii="Times New Roman" w:hAnsi="Times New Roman"/>
                                    </w:rPr>
                                    <w:t>6,6</w:t>
                                  </w:r>
                                </w:p>
                              </w:tc>
                              <w:tc>
                                <w:tcPr>
                                  <w:tcW w:w="1555" w:type="dxa"/>
                                  <w:tcBorders>
                                    <w:top w:val="nil"/>
                                    <w:left w:val="nil"/>
                                    <w:bottom w:val="single" w:sz="4" w:space="0" w:color="000000"/>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16,1</w:t>
                                  </w:r>
                                </w:p>
                              </w:tc>
                              <w:tc>
                                <w:tcPr>
                                  <w:tcW w:w="1415" w:type="dxa"/>
                                  <w:tcBorders>
                                    <w:top w:val="nil"/>
                                    <w:left w:val="nil"/>
                                    <w:bottom w:val="single" w:sz="4" w:space="0" w:color="000000"/>
                                    <w:right w:val="nil"/>
                                  </w:tcBorders>
                                </w:tcPr>
                                <w:p w:rsidR="00C70B96" w:rsidRDefault="00C70B96" w:rsidP="004D4259">
                                  <w:pPr>
                                    <w:pStyle w:val="TableParagraph"/>
                                    <w:spacing w:line="251" w:lineRule="exact"/>
                                    <w:ind w:left="254"/>
                                    <w:jc w:val="center"/>
                                    <w:rPr>
                                      <w:rFonts w:ascii="Times New Roman" w:hAnsi="Times New Roman"/>
                                    </w:rPr>
                                  </w:pPr>
                                  <w:r>
                                    <w:rPr>
                                      <w:rFonts w:ascii="Times New Roman" w:hAnsi="Times New Roman"/>
                                    </w:rPr>
                                    <w:t xml:space="preserve">10,8 </w:t>
                                  </w:r>
                                  <w:r>
                                    <w:rPr>
                                      <w:rFonts w:ascii="Symbol" w:hAnsi="Symbol" w:cs="Symbol"/>
                                    </w:rPr>
                                    <w:t></w:t>
                                  </w:r>
                                  <w:r>
                                    <w:rPr>
                                      <w:rFonts w:ascii="Symbol" w:hAnsi="Symbol" w:cs="Symbol"/>
                                      <w:spacing w:val="-1"/>
                                    </w:rPr>
                                    <w:t></w:t>
                                  </w:r>
                                  <w:r>
                                    <w:rPr>
                                      <w:rFonts w:ascii="Times New Roman" w:hAnsi="Times New Roman"/>
                                    </w:rPr>
                                    <w:t>3,1</w:t>
                                  </w:r>
                                </w:p>
                              </w:tc>
                              <w:tc>
                                <w:tcPr>
                                  <w:tcW w:w="1499" w:type="dxa"/>
                                  <w:tcBorders>
                                    <w:top w:val="nil"/>
                                    <w:left w:val="nil"/>
                                    <w:bottom w:val="single" w:sz="4" w:space="0" w:color="000000"/>
                                    <w:right w:val="nil"/>
                                  </w:tcBorders>
                                </w:tcPr>
                                <w:p w:rsidR="00C70B96" w:rsidRDefault="00C70B96" w:rsidP="004D4259">
                                  <w:pPr>
                                    <w:pStyle w:val="TableParagraph"/>
                                    <w:spacing w:line="251" w:lineRule="exact"/>
                                    <w:ind w:left="315"/>
                                    <w:jc w:val="center"/>
                                    <w:rPr>
                                      <w:rFonts w:ascii="Times New Roman" w:hAnsi="Times New Roman"/>
                                    </w:rPr>
                                  </w:pPr>
                                  <w:r>
                                    <w:rPr>
                                      <w:rFonts w:ascii="Times New Roman" w:hAnsi="Times New Roman"/>
                                    </w:rPr>
                                    <w:t xml:space="preserve">10,0 </w:t>
                                  </w:r>
                                  <w:r>
                                    <w:rPr>
                                      <w:rFonts w:ascii="Symbol" w:hAnsi="Symbol" w:cs="Symbol"/>
                                    </w:rPr>
                                    <w:t></w:t>
                                  </w:r>
                                  <w:r>
                                    <w:rPr>
                                      <w:rFonts w:ascii="Symbol" w:hAnsi="Symbol" w:cs="Symbol"/>
                                      <w:spacing w:val="-1"/>
                                    </w:rPr>
                                    <w:t></w:t>
                                  </w:r>
                                  <w:r>
                                    <w:rPr>
                                      <w:rFonts w:ascii="Times New Roman" w:hAnsi="Times New Roman"/>
                                    </w:rPr>
                                    <w:t>3,2</w:t>
                                  </w:r>
                                </w:p>
                              </w:tc>
                              <w:tc>
                                <w:tcPr>
                                  <w:tcW w:w="1476" w:type="dxa"/>
                                  <w:tcBorders>
                                    <w:top w:val="nil"/>
                                    <w:left w:val="nil"/>
                                    <w:bottom w:val="single" w:sz="4" w:space="0" w:color="000000"/>
                                    <w:right w:val="nil"/>
                                  </w:tcBorders>
                                </w:tcPr>
                                <w:p w:rsidR="00C70B96" w:rsidRDefault="00C70B96" w:rsidP="004D4259">
                                  <w:pPr>
                                    <w:pStyle w:val="TableParagraph"/>
                                    <w:spacing w:line="251" w:lineRule="exact"/>
                                    <w:ind w:left="348"/>
                                    <w:jc w:val="center"/>
                                    <w:rPr>
                                      <w:rFonts w:ascii="Times New Roman" w:hAnsi="Times New Roman"/>
                                    </w:rPr>
                                  </w:pPr>
                                  <w:r>
                                    <w:rPr>
                                      <w:rFonts w:ascii="Times New Roman" w:hAnsi="Times New Roman"/>
                                    </w:rPr>
                                    <w:t xml:space="preserve">8,8 </w:t>
                                  </w:r>
                                  <w:r>
                                    <w:rPr>
                                      <w:rFonts w:ascii="Symbol" w:hAnsi="Symbol" w:cs="Symbol"/>
                                    </w:rPr>
                                    <w:t></w:t>
                                  </w:r>
                                  <w:r>
                                    <w:rPr>
                                      <w:rFonts w:ascii="Symbol" w:hAnsi="Symbol" w:cs="Symbol"/>
                                      <w:spacing w:val="1"/>
                                    </w:rPr>
                                    <w:t></w:t>
                                  </w:r>
                                  <w:r>
                                    <w:rPr>
                                      <w:rFonts w:ascii="Times New Roman" w:hAnsi="Times New Roman"/>
                                      <w:spacing w:val="-2"/>
                                    </w:rPr>
                                    <w:t>3,2</w:t>
                                  </w:r>
                                </w:p>
                              </w:tc>
                            </w:tr>
                          </w:tbl>
                          <w:p w:rsidR="00C70B96" w:rsidRDefault="00C70B96" w:rsidP="006C56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0E5C" id="_x0000_t202" coordsize="21600,21600" o:spt="202" path="m,l,21600r21600,l21600,xe">
                <v:stroke joinstyle="miter"/>
                <v:path gradientshapeok="t" o:connecttype="rect"/>
              </v:shapetype>
              <v:shape id="Tekstfelt 2" o:spid="_x0000_s1026" type="#_x0000_t202" style="position:absolute;left:0;text-align:left;margin-left:65.5pt;margin-top:-103.95pt;width:442.8pt;height:10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12"/>
                        <w:gridCol w:w="1399"/>
                        <w:gridCol w:w="1555"/>
                        <w:gridCol w:w="1415"/>
                        <w:gridCol w:w="1499"/>
                        <w:gridCol w:w="1476"/>
                      </w:tblGrid>
                      <w:tr w:rsidR="00C70B96">
                        <w:trPr>
                          <w:trHeight w:hRule="exact" w:val="516"/>
                        </w:trPr>
                        <w:tc>
                          <w:tcPr>
                            <w:tcW w:w="1512" w:type="dxa"/>
                            <w:tcBorders>
                              <w:top w:val="single" w:sz="4" w:space="0" w:color="000000"/>
                              <w:left w:val="nil"/>
                              <w:bottom w:val="single" w:sz="4" w:space="0" w:color="000000"/>
                              <w:right w:val="nil"/>
                            </w:tcBorders>
                          </w:tcPr>
                          <w:p w:rsidR="00C70B96" w:rsidRDefault="00C70B96"/>
                        </w:tc>
                        <w:tc>
                          <w:tcPr>
                            <w:tcW w:w="1399"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84" w:right="175" w:hanging="3"/>
                              <w:jc w:val="center"/>
                              <w:rPr>
                                <w:rFonts w:ascii="Times New Roman" w:hAnsi="Times New Roman"/>
                              </w:rPr>
                            </w:pPr>
                            <w:r>
                              <w:rPr>
                                <w:rFonts w:ascii="Times New Roman" w:hAnsi="Times New Roman"/>
                                <w:spacing w:val="-1"/>
                              </w:rPr>
                              <w:t>100</w:t>
                            </w:r>
                            <w:r>
                              <w:rPr>
                                <w:rFonts w:ascii="Times New Roman" w:hAnsi="Times New Roman"/>
                                <w:spacing w:val="-2"/>
                              </w:rPr>
                              <w:t xml:space="preserve"> </w:t>
                            </w:r>
                            <w:r>
                              <w:rPr>
                                <w:rFonts w:ascii="Times New Roman" w:hAnsi="Times New Roman"/>
                                <w:spacing w:val="-1"/>
                              </w:rPr>
                              <w:t>mg</w:t>
                            </w:r>
                            <w:r>
                              <w:rPr>
                                <w:rFonts w:ascii="Times New Roman" w:hAnsi="Times New Roman"/>
                              </w:rPr>
                              <w:t xml:space="preserve"> en</w:t>
                            </w:r>
                            <w:r>
                              <w:rPr>
                                <w:rFonts w:ascii="Times New Roman" w:hAnsi="Times New Roman"/>
                                <w:spacing w:val="22"/>
                              </w:rPr>
                              <w:t xml:space="preserve"> </w:t>
                            </w:r>
                            <w:r>
                              <w:rPr>
                                <w:rFonts w:ascii="Times New Roman" w:hAnsi="Times New Roman"/>
                                <w:spacing w:val="-1"/>
                              </w:rPr>
                              <w:t>gang daglig</w:t>
                            </w:r>
                          </w:p>
                        </w:tc>
                        <w:tc>
                          <w:tcPr>
                            <w:tcW w:w="1555" w:type="dxa"/>
                            <w:tcBorders>
                              <w:top w:val="single" w:sz="4" w:space="0" w:color="000000"/>
                              <w:left w:val="nil"/>
                              <w:bottom w:val="single" w:sz="4" w:space="0" w:color="000000"/>
                              <w:right w:val="nil"/>
                            </w:tcBorders>
                          </w:tcPr>
                          <w:p w:rsidR="00C70B96" w:rsidRDefault="00C70B96" w:rsidP="004D4259">
                            <w:pPr>
                              <w:pStyle w:val="TableParagraph"/>
                              <w:spacing w:before="16" w:line="215" w:lineRule="auto"/>
                              <w:ind w:left="177" w:right="179" w:firstLine="153"/>
                              <w:jc w:val="center"/>
                              <w:rPr>
                                <w:rFonts w:ascii="Times New Roman" w:hAnsi="Times New Roman"/>
                                <w:sz w:val="14"/>
                                <w:szCs w:val="14"/>
                              </w:rPr>
                            </w:pPr>
                            <w:r>
                              <w:rPr>
                                <w:rFonts w:ascii="Times New Roman"/>
                                <w:spacing w:val="-1"/>
                              </w:rPr>
                              <w:t>100 mg to</w:t>
                            </w:r>
                            <w:r>
                              <w:rPr>
                                <w:rFonts w:ascii="Times New Roman"/>
                                <w:spacing w:val="22"/>
                              </w:rPr>
                              <w:t xml:space="preserve"> </w:t>
                            </w:r>
                            <w:r>
                              <w:rPr>
                                <w:rFonts w:ascii="Times New Roman"/>
                                <w:spacing w:val="-1"/>
                              </w:rPr>
                              <w:t>gange</w:t>
                            </w:r>
                            <w:r>
                              <w:rPr>
                                <w:rFonts w:ascii="Times New Roman"/>
                                <w:spacing w:val="-2"/>
                              </w:rPr>
                              <w:t xml:space="preserve"> daglig</w:t>
                            </w:r>
                            <w:r>
                              <w:rPr>
                                <w:rFonts w:ascii="Times New Roman"/>
                                <w:spacing w:val="-2"/>
                                <w:position w:val="10"/>
                                <w:sz w:val="14"/>
                              </w:rPr>
                              <w:t>1</w:t>
                            </w:r>
                          </w:p>
                        </w:tc>
                        <w:tc>
                          <w:tcPr>
                            <w:tcW w:w="1415"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82" w:right="193" w:hanging="3"/>
                              <w:jc w:val="center"/>
                              <w:rPr>
                                <w:rFonts w:ascii="Times New Roman" w:hAnsi="Times New Roman"/>
                              </w:rPr>
                            </w:pPr>
                            <w:r>
                              <w:rPr>
                                <w:rFonts w:ascii="Times New Roman" w:hAnsi="Times New Roman"/>
                                <w:spacing w:val="-1"/>
                              </w:rPr>
                              <w:t>200</w:t>
                            </w:r>
                            <w:r>
                              <w:rPr>
                                <w:rFonts w:ascii="Times New Roman" w:hAnsi="Times New Roman"/>
                                <w:spacing w:val="-2"/>
                              </w:rPr>
                              <w:t xml:space="preserve"> </w:t>
                            </w:r>
                            <w:r>
                              <w:rPr>
                                <w:rFonts w:ascii="Times New Roman" w:hAnsi="Times New Roman"/>
                                <w:spacing w:val="-1"/>
                              </w:rPr>
                              <w:t>mg</w:t>
                            </w:r>
                            <w:r>
                              <w:rPr>
                                <w:rFonts w:ascii="Times New Roman" w:hAnsi="Times New Roman"/>
                                <w:spacing w:val="54"/>
                              </w:rPr>
                              <w:t xml:space="preserve"> </w:t>
                            </w:r>
                            <w:r>
                              <w:rPr>
                                <w:rFonts w:ascii="Times New Roman" w:hAnsi="Times New Roman"/>
                              </w:rPr>
                              <w:t>en</w:t>
                            </w:r>
                            <w:r>
                              <w:rPr>
                                <w:rFonts w:ascii="Times New Roman" w:hAnsi="Times New Roman"/>
                                <w:spacing w:val="22"/>
                              </w:rPr>
                              <w:t xml:space="preserve"> </w:t>
                            </w:r>
                            <w:r>
                              <w:rPr>
                                <w:rFonts w:ascii="Times New Roman" w:hAnsi="Times New Roman"/>
                                <w:spacing w:val="-1"/>
                              </w:rPr>
                              <w:t>gang daglig</w:t>
                            </w:r>
                          </w:p>
                        </w:tc>
                        <w:tc>
                          <w:tcPr>
                            <w:tcW w:w="1499"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95" w:right="170" w:firstLine="117"/>
                              <w:jc w:val="center"/>
                              <w:rPr>
                                <w:rFonts w:ascii="Times New Roman" w:hAnsi="Times New Roman"/>
                              </w:rPr>
                            </w:pPr>
                            <w:r>
                              <w:rPr>
                                <w:rFonts w:ascii="Times New Roman"/>
                              </w:rPr>
                              <w:t>200</w:t>
                            </w:r>
                            <w:r>
                              <w:rPr>
                                <w:rFonts w:ascii="Times New Roman"/>
                                <w:spacing w:val="-1"/>
                              </w:rPr>
                              <w:t xml:space="preserve"> mg to</w:t>
                            </w:r>
                            <w:r>
                              <w:rPr>
                                <w:rFonts w:ascii="Times New Roman"/>
                                <w:spacing w:val="20"/>
                              </w:rPr>
                              <w:t xml:space="preserve"> </w:t>
                            </w:r>
                            <w:r>
                              <w:rPr>
                                <w:rFonts w:ascii="Times New Roman"/>
                                <w:spacing w:val="-1"/>
                              </w:rPr>
                              <w:t>gange daglig</w:t>
                            </w:r>
                          </w:p>
                        </w:tc>
                        <w:tc>
                          <w:tcPr>
                            <w:tcW w:w="1476" w:type="dxa"/>
                            <w:tcBorders>
                              <w:top w:val="single" w:sz="4" w:space="0" w:color="000000"/>
                              <w:left w:val="nil"/>
                              <w:bottom w:val="single" w:sz="4" w:space="0" w:color="000000"/>
                              <w:right w:val="nil"/>
                            </w:tcBorders>
                          </w:tcPr>
                          <w:p w:rsidR="00C70B96" w:rsidRDefault="00C70B96" w:rsidP="004D4259">
                            <w:pPr>
                              <w:pStyle w:val="TableParagraph"/>
                              <w:spacing w:line="239" w:lineRule="auto"/>
                              <w:ind w:left="172" w:right="170" w:firstLine="117"/>
                              <w:jc w:val="center"/>
                              <w:rPr>
                                <w:rFonts w:ascii="Times New Roman" w:hAnsi="Times New Roman"/>
                              </w:rPr>
                            </w:pPr>
                            <w:r>
                              <w:rPr>
                                <w:rFonts w:ascii="Times New Roman"/>
                                <w:spacing w:val="-1"/>
                              </w:rPr>
                              <w:t>600 mg to</w:t>
                            </w:r>
                            <w:r>
                              <w:rPr>
                                <w:rFonts w:ascii="Times New Roman"/>
                                <w:spacing w:val="22"/>
                              </w:rPr>
                              <w:t xml:space="preserve"> </w:t>
                            </w:r>
                            <w:r>
                              <w:rPr>
                                <w:rFonts w:ascii="Times New Roman"/>
                                <w:spacing w:val="-1"/>
                              </w:rPr>
                              <w:t>gange daglig</w:t>
                            </w:r>
                          </w:p>
                        </w:tc>
                      </w:tr>
                      <w:tr w:rsidR="00C70B96">
                        <w:trPr>
                          <w:trHeight w:hRule="exact" w:val="284"/>
                        </w:trPr>
                        <w:tc>
                          <w:tcPr>
                            <w:tcW w:w="1512" w:type="dxa"/>
                            <w:tcBorders>
                              <w:top w:val="single" w:sz="4" w:space="0" w:color="000000"/>
                              <w:left w:val="nil"/>
                              <w:bottom w:val="nil"/>
                              <w:right w:val="nil"/>
                            </w:tcBorders>
                          </w:tcPr>
                          <w:p w:rsidR="00C70B96" w:rsidRDefault="00C70B96">
                            <w:pPr>
                              <w:pStyle w:val="TableParagraph"/>
                              <w:spacing w:line="278" w:lineRule="exact"/>
                              <w:ind w:left="108"/>
                              <w:rPr>
                                <w:rFonts w:ascii="Times New Roman" w:hAnsi="Times New Roman"/>
                              </w:rPr>
                            </w:pPr>
                            <w:r>
                              <w:rPr>
                                <w:rFonts w:ascii="Times New Roman" w:hAnsi="Times New Roman"/>
                                <w:spacing w:val="-1"/>
                              </w:rPr>
                              <w:t>C</w:t>
                            </w:r>
                            <w:r>
                              <w:rPr>
                                <w:rFonts w:ascii="Times New Roman" w:hAnsi="Times New Roman"/>
                                <w:spacing w:val="-1"/>
                                <w:position w:val="-2"/>
                                <w:sz w:val="14"/>
                                <w:szCs w:val="14"/>
                              </w:rPr>
                              <w:t>max</w:t>
                            </w:r>
                            <w:r>
                              <w:rPr>
                                <w:rFonts w:ascii="Times New Roman" w:hAnsi="Times New Roman"/>
                                <w:spacing w:val="-5"/>
                                <w:position w:val="-2"/>
                                <w:sz w:val="14"/>
                                <w:szCs w:val="14"/>
                              </w:rPr>
                              <w:t xml:space="preserve"> </w:t>
                            </w:r>
                            <w:r>
                              <w:rPr>
                                <w:rFonts w:ascii="Times New Roman" w:hAnsi="Times New Roman"/>
                                <w:spacing w:val="-1"/>
                              </w:rPr>
                              <w:t>(</w:t>
                            </w:r>
                            <w:r>
                              <w:rPr>
                                <w:rFonts w:ascii="Symbol" w:hAnsi="Symbol" w:cs="Symbol"/>
                                <w:spacing w:val="-1"/>
                              </w:rPr>
                              <w:t></w:t>
                            </w:r>
                            <w:r>
                              <w:rPr>
                                <w:rFonts w:ascii="Times New Roman" w:hAnsi="Times New Roman"/>
                                <w:spacing w:val="-1"/>
                              </w:rPr>
                              <w:t>g/ml)</w:t>
                            </w:r>
                          </w:p>
                        </w:tc>
                        <w:tc>
                          <w:tcPr>
                            <w:tcW w:w="1399" w:type="dxa"/>
                            <w:tcBorders>
                              <w:top w:val="single" w:sz="4" w:space="0" w:color="000000"/>
                              <w:left w:val="nil"/>
                              <w:bottom w:val="nil"/>
                              <w:right w:val="nil"/>
                            </w:tcBorders>
                          </w:tcPr>
                          <w:p w:rsidR="00C70B96" w:rsidRDefault="00C70B96" w:rsidP="004D4259">
                            <w:pPr>
                              <w:pStyle w:val="TableParagraph"/>
                              <w:spacing w:line="266" w:lineRule="exact"/>
                              <w:ind w:left="201"/>
                              <w:jc w:val="center"/>
                              <w:rPr>
                                <w:rFonts w:ascii="Times New Roman" w:hAnsi="Times New Roman"/>
                              </w:rPr>
                            </w:pPr>
                            <w:r>
                              <w:rPr>
                                <w:rFonts w:ascii="Times New Roman" w:hAnsi="Times New Roman"/>
                              </w:rPr>
                              <w:t xml:space="preserve">0,84 </w:t>
                            </w:r>
                            <w:r>
                              <w:rPr>
                                <w:rFonts w:ascii="Symbol" w:hAnsi="Symbol" w:cs="Symbol"/>
                              </w:rPr>
                              <w:t></w:t>
                            </w:r>
                            <w:r>
                              <w:rPr>
                                <w:rFonts w:ascii="Symbol" w:hAnsi="Symbol" w:cs="Symbol"/>
                                <w:spacing w:val="-1"/>
                              </w:rPr>
                              <w:t></w:t>
                            </w:r>
                          </w:p>
                        </w:tc>
                        <w:tc>
                          <w:tcPr>
                            <w:tcW w:w="1555" w:type="dxa"/>
                            <w:tcBorders>
                              <w:top w:val="single" w:sz="4" w:space="0" w:color="000000"/>
                              <w:left w:val="nil"/>
                              <w:bottom w:val="nil"/>
                              <w:right w:val="nil"/>
                            </w:tcBorders>
                          </w:tcPr>
                          <w:p w:rsidR="00C70B96" w:rsidRDefault="00C70B96" w:rsidP="004D4259">
                            <w:pPr>
                              <w:pStyle w:val="TableParagraph"/>
                              <w:spacing w:line="248" w:lineRule="exact"/>
                              <w:ind w:left="2"/>
                              <w:jc w:val="center"/>
                              <w:rPr>
                                <w:rFonts w:ascii="Times New Roman" w:hAnsi="Times New Roman"/>
                              </w:rPr>
                            </w:pPr>
                            <w:r>
                              <w:rPr>
                                <w:rFonts w:ascii="Times New Roman"/>
                              </w:rPr>
                              <w:t>0,89</w:t>
                            </w:r>
                          </w:p>
                        </w:tc>
                        <w:tc>
                          <w:tcPr>
                            <w:tcW w:w="1415" w:type="dxa"/>
                            <w:tcBorders>
                              <w:top w:val="single" w:sz="4" w:space="0" w:color="000000"/>
                              <w:left w:val="nil"/>
                              <w:bottom w:val="nil"/>
                              <w:right w:val="nil"/>
                            </w:tcBorders>
                          </w:tcPr>
                          <w:p w:rsidR="00C70B96" w:rsidRDefault="00C70B96" w:rsidP="004D4259">
                            <w:pPr>
                              <w:pStyle w:val="TableParagraph"/>
                              <w:spacing w:line="266" w:lineRule="exact"/>
                              <w:ind w:left="309"/>
                              <w:jc w:val="center"/>
                              <w:rPr>
                                <w:rFonts w:ascii="Times New Roman" w:hAnsi="Times New Roman"/>
                              </w:rPr>
                            </w:pPr>
                            <w:r>
                              <w:rPr>
                                <w:rFonts w:ascii="Times New Roman" w:hAnsi="Times New Roman"/>
                              </w:rPr>
                              <w:t xml:space="preserve">3,4 </w:t>
                            </w:r>
                            <w:r>
                              <w:rPr>
                                <w:rFonts w:ascii="Symbol" w:hAnsi="Symbol" w:cs="Symbol"/>
                              </w:rPr>
                              <w:t></w:t>
                            </w:r>
                            <w:r>
                              <w:rPr>
                                <w:rFonts w:ascii="Symbol" w:hAnsi="Symbol" w:cs="Symbol"/>
                                <w:spacing w:val="1"/>
                              </w:rPr>
                              <w:t></w:t>
                            </w:r>
                            <w:r>
                              <w:rPr>
                                <w:rFonts w:ascii="Times New Roman" w:hAnsi="Times New Roman"/>
                                <w:spacing w:val="-2"/>
                              </w:rPr>
                              <w:t>1,3</w:t>
                            </w:r>
                          </w:p>
                        </w:tc>
                        <w:tc>
                          <w:tcPr>
                            <w:tcW w:w="1499" w:type="dxa"/>
                            <w:tcBorders>
                              <w:top w:val="single" w:sz="4" w:space="0" w:color="000000"/>
                              <w:left w:val="nil"/>
                              <w:bottom w:val="nil"/>
                              <w:right w:val="nil"/>
                            </w:tcBorders>
                          </w:tcPr>
                          <w:p w:rsidR="00C70B96" w:rsidRDefault="00C70B96" w:rsidP="004D4259">
                            <w:pPr>
                              <w:pStyle w:val="TableParagraph"/>
                              <w:spacing w:line="266" w:lineRule="exact"/>
                              <w:ind w:left="370"/>
                              <w:jc w:val="center"/>
                              <w:rPr>
                                <w:rFonts w:ascii="Times New Roman" w:hAnsi="Times New Roman"/>
                              </w:rPr>
                            </w:pPr>
                            <w:r>
                              <w:rPr>
                                <w:rFonts w:ascii="Times New Roman" w:hAnsi="Times New Roman"/>
                              </w:rPr>
                              <w:t xml:space="preserve">4,5 </w:t>
                            </w:r>
                            <w:r>
                              <w:rPr>
                                <w:rFonts w:ascii="Symbol" w:hAnsi="Symbol" w:cs="Symbol"/>
                              </w:rPr>
                              <w:t></w:t>
                            </w:r>
                            <w:r>
                              <w:rPr>
                                <w:rFonts w:ascii="Symbol" w:hAnsi="Symbol" w:cs="Symbol"/>
                                <w:spacing w:val="1"/>
                              </w:rPr>
                              <w:t></w:t>
                            </w:r>
                            <w:r>
                              <w:rPr>
                                <w:rFonts w:ascii="Times New Roman" w:hAnsi="Times New Roman"/>
                                <w:spacing w:val="-2"/>
                              </w:rPr>
                              <w:t>1,3</w:t>
                            </w:r>
                          </w:p>
                        </w:tc>
                        <w:tc>
                          <w:tcPr>
                            <w:tcW w:w="1476" w:type="dxa"/>
                            <w:tcBorders>
                              <w:top w:val="single" w:sz="4" w:space="0" w:color="000000"/>
                              <w:left w:val="nil"/>
                              <w:bottom w:val="nil"/>
                              <w:right w:val="nil"/>
                            </w:tcBorders>
                          </w:tcPr>
                          <w:p w:rsidR="00C70B96" w:rsidRDefault="00C70B96" w:rsidP="004D4259">
                            <w:pPr>
                              <w:pStyle w:val="TableParagraph"/>
                              <w:spacing w:line="266" w:lineRule="exact"/>
                              <w:ind w:left="292"/>
                              <w:jc w:val="center"/>
                              <w:rPr>
                                <w:rFonts w:ascii="Times New Roman" w:hAnsi="Times New Roman"/>
                              </w:rPr>
                            </w:pPr>
                            <w:r>
                              <w:rPr>
                                <w:rFonts w:ascii="Times New Roman" w:hAnsi="Times New Roman"/>
                              </w:rPr>
                              <w:t xml:space="preserve">11,2 </w:t>
                            </w:r>
                            <w:r>
                              <w:rPr>
                                <w:rFonts w:ascii="Symbol" w:hAnsi="Symbol" w:cs="Symbol"/>
                              </w:rPr>
                              <w:t></w:t>
                            </w:r>
                            <w:r>
                              <w:rPr>
                                <w:rFonts w:ascii="Symbol" w:hAnsi="Symbol" w:cs="Symbol"/>
                                <w:spacing w:val="-1"/>
                              </w:rPr>
                              <w:t></w:t>
                            </w:r>
                            <w:r>
                              <w:rPr>
                                <w:rFonts w:ascii="Times New Roman" w:hAnsi="Times New Roman"/>
                              </w:rPr>
                              <w:t>3,6</w:t>
                            </w:r>
                          </w:p>
                        </w:tc>
                      </w:tr>
                      <w:tr w:rsidR="00C70B96">
                        <w:trPr>
                          <w:trHeight w:hRule="exact" w:val="269"/>
                        </w:trPr>
                        <w:tc>
                          <w:tcPr>
                            <w:tcW w:w="1512" w:type="dxa"/>
                            <w:tcBorders>
                              <w:top w:val="nil"/>
                              <w:left w:val="nil"/>
                              <w:bottom w:val="nil"/>
                              <w:right w:val="nil"/>
                            </w:tcBorders>
                          </w:tcPr>
                          <w:p w:rsidR="00C70B96" w:rsidRDefault="00C70B96">
                            <w:pPr>
                              <w:pStyle w:val="TableParagraph"/>
                              <w:spacing w:line="263" w:lineRule="exact"/>
                              <w:ind w:left="108"/>
                              <w:rPr>
                                <w:rFonts w:ascii="Times New Roman" w:hAnsi="Times New Roman"/>
                              </w:rPr>
                            </w:pPr>
                            <w:r>
                              <w:rPr>
                                <w:rFonts w:ascii="Times New Roman" w:hAnsi="Times New Roman"/>
                                <w:spacing w:val="-1"/>
                              </w:rPr>
                              <w:t>C</w:t>
                            </w:r>
                            <w:r>
                              <w:rPr>
                                <w:rFonts w:ascii="Times New Roman" w:hAnsi="Times New Roman"/>
                                <w:spacing w:val="-1"/>
                                <w:position w:val="-2"/>
                                <w:sz w:val="14"/>
                                <w:szCs w:val="14"/>
                              </w:rPr>
                              <w:t>trough</w:t>
                            </w:r>
                            <w:r>
                              <w:rPr>
                                <w:rFonts w:ascii="Times New Roman" w:hAnsi="Times New Roman"/>
                                <w:spacing w:val="-4"/>
                                <w:position w:val="-2"/>
                                <w:sz w:val="14"/>
                                <w:szCs w:val="14"/>
                              </w:rPr>
                              <w:t xml:space="preserve"> </w:t>
                            </w:r>
                            <w:r>
                              <w:rPr>
                                <w:rFonts w:ascii="Times New Roman" w:hAnsi="Times New Roman"/>
                                <w:spacing w:val="-1"/>
                              </w:rPr>
                              <w:t>(</w:t>
                            </w:r>
                            <w:r>
                              <w:rPr>
                                <w:rFonts w:ascii="Symbol" w:hAnsi="Symbol" w:cs="Symbol"/>
                                <w:spacing w:val="-1"/>
                              </w:rPr>
                              <w:t></w:t>
                            </w:r>
                            <w:r>
                              <w:rPr>
                                <w:rFonts w:ascii="Times New Roman" w:hAnsi="Times New Roman"/>
                                <w:spacing w:val="-1"/>
                              </w:rPr>
                              <w:t>g/ml)</w:t>
                            </w:r>
                          </w:p>
                        </w:tc>
                        <w:tc>
                          <w:tcPr>
                            <w:tcW w:w="1399" w:type="dxa"/>
                            <w:tcBorders>
                              <w:top w:val="nil"/>
                              <w:left w:val="nil"/>
                              <w:bottom w:val="nil"/>
                              <w:right w:val="nil"/>
                            </w:tcBorders>
                          </w:tcPr>
                          <w:p w:rsidR="00C70B96" w:rsidRDefault="00C70B96" w:rsidP="004D4259">
                            <w:pPr>
                              <w:pStyle w:val="TableParagraph"/>
                              <w:spacing w:line="251" w:lineRule="exact"/>
                              <w:ind w:left="201"/>
                              <w:jc w:val="center"/>
                              <w:rPr>
                                <w:rFonts w:ascii="Times New Roman" w:hAnsi="Times New Roman"/>
                              </w:rPr>
                            </w:pPr>
                            <w:r>
                              <w:rPr>
                                <w:rFonts w:ascii="Times New Roman" w:hAnsi="Times New Roman"/>
                              </w:rPr>
                              <w:t xml:space="preserve">0,08 </w:t>
                            </w:r>
                            <w:r>
                              <w:rPr>
                                <w:rFonts w:ascii="Symbol" w:hAnsi="Symbol" w:cs="Symbol"/>
                              </w:rPr>
                              <w:t></w:t>
                            </w:r>
                            <w:r>
                              <w:rPr>
                                <w:rFonts w:ascii="Symbol" w:hAnsi="Symbol" w:cs="Symbol"/>
                                <w:spacing w:val="-1"/>
                              </w:rPr>
                              <w:t></w:t>
                            </w:r>
                          </w:p>
                        </w:tc>
                        <w:tc>
                          <w:tcPr>
                            <w:tcW w:w="1555" w:type="dxa"/>
                            <w:tcBorders>
                              <w:top w:val="nil"/>
                              <w:left w:val="nil"/>
                              <w:bottom w:val="nil"/>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0,22</w:t>
                            </w:r>
                          </w:p>
                        </w:tc>
                        <w:tc>
                          <w:tcPr>
                            <w:tcW w:w="1415" w:type="dxa"/>
                            <w:tcBorders>
                              <w:top w:val="nil"/>
                              <w:left w:val="nil"/>
                              <w:bottom w:val="nil"/>
                              <w:right w:val="nil"/>
                            </w:tcBorders>
                          </w:tcPr>
                          <w:p w:rsidR="00C70B96" w:rsidRDefault="00C70B96" w:rsidP="004D4259">
                            <w:pPr>
                              <w:pStyle w:val="TableParagraph"/>
                              <w:spacing w:line="251" w:lineRule="exact"/>
                              <w:ind w:left="199"/>
                              <w:jc w:val="center"/>
                              <w:rPr>
                                <w:rFonts w:ascii="Times New Roman" w:hAnsi="Times New Roman"/>
                              </w:rPr>
                            </w:pPr>
                            <w:r>
                              <w:rPr>
                                <w:rFonts w:ascii="Times New Roman" w:hAnsi="Times New Roman"/>
                              </w:rPr>
                              <w:t xml:space="preserve">0,16 </w:t>
                            </w:r>
                            <w:r>
                              <w:rPr>
                                <w:rFonts w:ascii="Symbol" w:hAnsi="Symbol" w:cs="Symbol"/>
                              </w:rPr>
                              <w:t></w:t>
                            </w:r>
                            <w:r>
                              <w:rPr>
                                <w:rFonts w:ascii="Symbol" w:hAnsi="Symbol" w:cs="Symbol"/>
                                <w:spacing w:val="-1"/>
                              </w:rPr>
                              <w:t></w:t>
                            </w:r>
                          </w:p>
                        </w:tc>
                        <w:tc>
                          <w:tcPr>
                            <w:tcW w:w="1499" w:type="dxa"/>
                            <w:tcBorders>
                              <w:top w:val="nil"/>
                              <w:left w:val="nil"/>
                              <w:bottom w:val="nil"/>
                              <w:right w:val="nil"/>
                            </w:tcBorders>
                          </w:tcPr>
                          <w:p w:rsidR="00C70B96" w:rsidRDefault="00C70B96" w:rsidP="004D4259">
                            <w:pPr>
                              <w:pStyle w:val="TableParagraph"/>
                              <w:spacing w:line="251" w:lineRule="exact"/>
                              <w:ind w:left="370"/>
                              <w:jc w:val="center"/>
                              <w:rPr>
                                <w:rFonts w:ascii="Times New Roman" w:hAnsi="Times New Roman"/>
                              </w:rPr>
                            </w:pPr>
                            <w:r>
                              <w:rPr>
                                <w:rFonts w:ascii="Times New Roman" w:hAnsi="Times New Roman"/>
                              </w:rPr>
                              <w:t xml:space="preserve">0,6 </w:t>
                            </w:r>
                            <w:r>
                              <w:rPr>
                                <w:rFonts w:ascii="Symbol" w:hAnsi="Symbol" w:cs="Symbol"/>
                              </w:rPr>
                              <w:t></w:t>
                            </w:r>
                            <w:r>
                              <w:rPr>
                                <w:rFonts w:ascii="Symbol" w:hAnsi="Symbol" w:cs="Symbol"/>
                                <w:spacing w:val="1"/>
                              </w:rPr>
                              <w:t></w:t>
                            </w:r>
                            <w:r>
                              <w:rPr>
                                <w:rFonts w:ascii="Times New Roman" w:hAnsi="Times New Roman"/>
                                <w:spacing w:val="-2"/>
                              </w:rPr>
                              <w:t>0,2</w:t>
                            </w:r>
                          </w:p>
                        </w:tc>
                        <w:tc>
                          <w:tcPr>
                            <w:tcW w:w="1476" w:type="dxa"/>
                            <w:tcBorders>
                              <w:top w:val="nil"/>
                              <w:left w:val="nil"/>
                              <w:bottom w:val="nil"/>
                              <w:right w:val="nil"/>
                            </w:tcBorders>
                          </w:tcPr>
                          <w:p w:rsidR="00C70B96" w:rsidRDefault="00C70B96" w:rsidP="004D4259">
                            <w:pPr>
                              <w:pStyle w:val="TableParagraph"/>
                              <w:spacing w:line="251" w:lineRule="exact"/>
                              <w:ind w:left="348"/>
                              <w:jc w:val="center"/>
                              <w:rPr>
                                <w:rFonts w:ascii="Times New Roman" w:hAnsi="Times New Roman"/>
                              </w:rPr>
                            </w:pPr>
                            <w:r>
                              <w:rPr>
                                <w:rFonts w:ascii="Times New Roman" w:hAnsi="Times New Roman"/>
                              </w:rPr>
                              <w:t xml:space="preserve">3,7 </w:t>
                            </w:r>
                            <w:r>
                              <w:rPr>
                                <w:rFonts w:ascii="Symbol" w:hAnsi="Symbol" w:cs="Symbol"/>
                              </w:rPr>
                              <w:t></w:t>
                            </w:r>
                            <w:r>
                              <w:rPr>
                                <w:rFonts w:ascii="Symbol" w:hAnsi="Symbol" w:cs="Symbol"/>
                                <w:spacing w:val="1"/>
                              </w:rPr>
                              <w:t></w:t>
                            </w:r>
                            <w:r>
                              <w:rPr>
                                <w:rFonts w:ascii="Times New Roman" w:hAnsi="Times New Roman"/>
                                <w:spacing w:val="-2"/>
                              </w:rPr>
                              <w:t>2,6</w:t>
                            </w:r>
                          </w:p>
                        </w:tc>
                      </w:tr>
                      <w:tr w:rsidR="00C70B96">
                        <w:trPr>
                          <w:trHeight w:hRule="exact" w:val="261"/>
                        </w:trPr>
                        <w:tc>
                          <w:tcPr>
                            <w:tcW w:w="1512" w:type="dxa"/>
                            <w:tcBorders>
                              <w:top w:val="nil"/>
                              <w:left w:val="nil"/>
                              <w:bottom w:val="nil"/>
                              <w:right w:val="nil"/>
                            </w:tcBorders>
                          </w:tcPr>
                          <w:p w:rsidR="00C70B96" w:rsidRDefault="00C70B96">
                            <w:pPr>
                              <w:pStyle w:val="TableParagraph"/>
                              <w:spacing w:line="247" w:lineRule="exact"/>
                              <w:ind w:left="108"/>
                              <w:rPr>
                                <w:rFonts w:ascii="Times New Roman" w:hAnsi="Times New Roman"/>
                                <w:sz w:val="14"/>
                                <w:szCs w:val="14"/>
                              </w:rPr>
                            </w:pPr>
                            <w:r>
                              <w:rPr>
                                <w:rFonts w:ascii="Times New Roman"/>
                                <w:spacing w:val="-1"/>
                                <w:position w:val="3"/>
                              </w:rPr>
                              <w:t>AUC</w:t>
                            </w:r>
                            <w:r>
                              <w:rPr>
                                <w:rFonts w:ascii="Times New Roman"/>
                                <w:spacing w:val="-1"/>
                                <w:sz w:val="14"/>
                              </w:rPr>
                              <w:t>12</w:t>
                            </w:r>
                            <w:r>
                              <w:rPr>
                                <w:rFonts w:ascii="Times New Roman"/>
                                <w:spacing w:val="-3"/>
                                <w:sz w:val="14"/>
                              </w:rPr>
                              <w:t xml:space="preserve"> </w:t>
                            </w:r>
                            <w:r>
                              <w:rPr>
                                <w:rFonts w:ascii="Times New Roman"/>
                                <w:sz w:val="14"/>
                              </w:rPr>
                              <w:t>eller</w:t>
                            </w:r>
                            <w:r>
                              <w:rPr>
                                <w:rFonts w:ascii="Times New Roman"/>
                                <w:spacing w:val="-3"/>
                                <w:sz w:val="14"/>
                              </w:rPr>
                              <w:t xml:space="preserve"> </w:t>
                            </w:r>
                            <w:r>
                              <w:rPr>
                                <w:rFonts w:ascii="Times New Roman"/>
                                <w:sz w:val="14"/>
                              </w:rPr>
                              <w:t>24</w:t>
                            </w:r>
                          </w:p>
                        </w:tc>
                        <w:tc>
                          <w:tcPr>
                            <w:tcW w:w="1399" w:type="dxa"/>
                            <w:tcBorders>
                              <w:top w:val="nil"/>
                              <w:left w:val="nil"/>
                              <w:bottom w:val="nil"/>
                              <w:right w:val="nil"/>
                            </w:tcBorders>
                          </w:tcPr>
                          <w:p w:rsidR="00C70B96" w:rsidRDefault="00C70B96" w:rsidP="004D4259">
                            <w:pPr>
                              <w:pStyle w:val="TableParagraph"/>
                              <w:spacing w:line="251" w:lineRule="exact"/>
                              <w:ind w:left="311"/>
                              <w:jc w:val="center"/>
                              <w:rPr>
                                <w:rFonts w:ascii="Times New Roman" w:hAnsi="Times New Roman"/>
                              </w:rPr>
                            </w:pPr>
                            <w:r>
                              <w:rPr>
                                <w:rFonts w:ascii="Times New Roman" w:hAnsi="Times New Roman"/>
                              </w:rPr>
                              <w:t xml:space="preserve">6,6 </w:t>
                            </w:r>
                            <w:r>
                              <w:rPr>
                                <w:rFonts w:ascii="Symbol" w:hAnsi="Symbol" w:cs="Symbol"/>
                              </w:rPr>
                              <w:t></w:t>
                            </w:r>
                            <w:r>
                              <w:rPr>
                                <w:rFonts w:ascii="Symbol" w:hAnsi="Symbol" w:cs="Symbol"/>
                                <w:spacing w:val="1"/>
                              </w:rPr>
                              <w:t></w:t>
                            </w:r>
                            <w:r>
                              <w:rPr>
                                <w:rFonts w:ascii="Times New Roman" w:hAnsi="Times New Roman"/>
                                <w:spacing w:val="-2"/>
                              </w:rPr>
                              <w:t>2,4</w:t>
                            </w:r>
                          </w:p>
                        </w:tc>
                        <w:tc>
                          <w:tcPr>
                            <w:tcW w:w="1555" w:type="dxa"/>
                            <w:tcBorders>
                              <w:top w:val="nil"/>
                              <w:left w:val="nil"/>
                              <w:bottom w:val="nil"/>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6,2</w:t>
                            </w:r>
                          </w:p>
                        </w:tc>
                        <w:tc>
                          <w:tcPr>
                            <w:tcW w:w="1415" w:type="dxa"/>
                            <w:tcBorders>
                              <w:top w:val="nil"/>
                              <w:left w:val="nil"/>
                              <w:bottom w:val="nil"/>
                              <w:right w:val="nil"/>
                            </w:tcBorders>
                          </w:tcPr>
                          <w:p w:rsidR="00C70B96" w:rsidRDefault="00C70B96" w:rsidP="004D4259">
                            <w:pPr>
                              <w:pStyle w:val="TableParagraph"/>
                              <w:spacing w:line="251" w:lineRule="exact"/>
                              <w:ind w:left="254"/>
                              <w:jc w:val="center"/>
                              <w:rPr>
                                <w:rFonts w:ascii="Times New Roman" w:hAnsi="Times New Roman"/>
                              </w:rPr>
                            </w:pPr>
                            <w:r>
                              <w:rPr>
                                <w:rFonts w:ascii="Times New Roman" w:hAnsi="Times New Roman"/>
                              </w:rPr>
                              <w:t xml:space="preserve">20,0 </w:t>
                            </w:r>
                            <w:r>
                              <w:rPr>
                                <w:rFonts w:ascii="Symbol" w:hAnsi="Symbol" w:cs="Symbol"/>
                              </w:rPr>
                              <w:t></w:t>
                            </w:r>
                            <w:r>
                              <w:rPr>
                                <w:rFonts w:ascii="Symbol" w:hAnsi="Symbol" w:cs="Symbol"/>
                                <w:spacing w:val="-1"/>
                              </w:rPr>
                              <w:t></w:t>
                            </w:r>
                            <w:r>
                              <w:rPr>
                                <w:rFonts w:ascii="Times New Roman" w:hAnsi="Times New Roman"/>
                              </w:rPr>
                              <w:t>5,6</w:t>
                            </w:r>
                          </w:p>
                        </w:tc>
                        <w:tc>
                          <w:tcPr>
                            <w:tcW w:w="1499" w:type="dxa"/>
                            <w:tcBorders>
                              <w:top w:val="nil"/>
                              <w:left w:val="nil"/>
                              <w:bottom w:val="nil"/>
                              <w:right w:val="nil"/>
                            </w:tcBorders>
                          </w:tcPr>
                          <w:p w:rsidR="00C70B96" w:rsidRDefault="00C70B96" w:rsidP="004D4259">
                            <w:pPr>
                              <w:pStyle w:val="TableParagraph"/>
                              <w:spacing w:line="251" w:lineRule="exact"/>
                              <w:ind w:left="205"/>
                              <w:jc w:val="center"/>
                              <w:rPr>
                                <w:rFonts w:ascii="Times New Roman" w:hAnsi="Times New Roman"/>
                              </w:rPr>
                            </w:pPr>
                            <w:r>
                              <w:rPr>
                                <w:rFonts w:ascii="Times New Roman" w:hAnsi="Times New Roman"/>
                              </w:rPr>
                              <w:t xml:space="preserve">21,92 </w:t>
                            </w:r>
                            <w:r>
                              <w:rPr>
                                <w:rFonts w:ascii="Symbol" w:hAnsi="Symbol" w:cs="Symbol"/>
                              </w:rPr>
                              <w:t></w:t>
                            </w:r>
                            <w:r>
                              <w:rPr>
                                <w:rFonts w:ascii="Symbol" w:hAnsi="Symbol" w:cs="Symbol"/>
                                <w:spacing w:val="-1"/>
                              </w:rPr>
                              <w:t></w:t>
                            </w:r>
                            <w:r>
                              <w:rPr>
                                <w:rFonts w:ascii="Times New Roman" w:hAnsi="Times New Roman"/>
                              </w:rPr>
                              <w:t>6,48</w:t>
                            </w:r>
                          </w:p>
                        </w:tc>
                        <w:tc>
                          <w:tcPr>
                            <w:tcW w:w="1476" w:type="dxa"/>
                            <w:tcBorders>
                              <w:top w:val="nil"/>
                              <w:left w:val="nil"/>
                              <w:bottom w:val="nil"/>
                              <w:right w:val="nil"/>
                            </w:tcBorders>
                          </w:tcPr>
                          <w:p w:rsidR="00C70B96" w:rsidRDefault="00C70B96" w:rsidP="004D4259">
                            <w:pPr>
                              <w:pStyle w:val="TableParagraph"/>
                              <w:spacing w:line="251" w:lineRule="exact"/>
                              <w:ind w:left="237"/>
                              <w:jc w:val="center"/>
                              <w:rPr>
                                <w:rFonts w:ascii="Times New Roman" w:hAnsi="Times New Roman"/>
                              </w:rPr>
                            </w:pPr>
                            <w:r>
                              <w:rPr>
                                <w:rFonts w:ascii="Times New Roman" w:hAnsi="Times New Roman"/>
                              </w:rPr>
                              <w:t xml:space="preserve">77,5 </w:t>
                            </w:r>
                            <w:r>
                              <w:rPr>
                                <w:rFonts w:ascii="Symbol" w:hAnsi="Symbol" w:cs="Symbol"/>
                              </w:rPr>
                              <w:t></w:t>
                            </w:r>
                            <w:r>
                              <w:rPr>
                                <w:rFonts w:ascii="Symbol" w:hAnsi="Symbol" w:cs="Symbol"/>
                                <w:spacing w:val="-1"/>
                              </w:rPr>
                              <w:t></w:t>
                            </w:r>
                          </w:p>
                        </w:tc>
                      </w:tr>
                      <w:tr w:rsidR="00C70B96">
                        <w:trPr>
                          <w:trHeight w:hRule="exact" w:val="255"/>
                        </w:trPr>
                        <w:tc>
                          <w:tcPr>
                            <w:tcW w:w="1512" w:type="dxa"/>
                            <w:tcBorders>
                              <w:top w:val="nil"/>
                              <w:left w:val="nil"/>
                              <w:bottom w:val="nil"/>
                              <w:right w:val="nil"/>
                            </w:tcBorders>
                          </w:tcPr>
                          <w:p w:rsidR="00C70B96" w:rsidRDefault="00C70B96">
                            <w:pPr>
                              <w:pStyle w:val="TableParagraph"/>
                              <w:spacing w:line="245" w:lineRule="exact"/>
                              <w:ind w:left="108"/>
                              <w:rPr>
                                <w:rFonts w:ascii="Times New Roman" w:hAnsi="Times New Roman"/>
                              </w:rPr>
                            </w:pPr>
                            <w:r>
                              <w:rPr>
                                <w:rFonts w:ascii="Times New Roman" w:hAnsi="Times New Roman"/>
                                <w:spacing w:val="-1"/>
                              </w:rPr>
                              <w:t>(</w:t>
                            </w:r>
                            <w:r>
                              <w:rPr>
                                <w:rFonts w:ascii="Symbol" w:hAnsi="Symbol" w:cs="Symbol"/>
                                <w:spacing w:val="-1"/>
                              </w:rPr>
                              <w:t></w:t>
                            </w:r>
                            <w:r>
                              <w:rPr>
                                <w:rFonts w:ascii="Times New Roman" w:hAnsi="Times New Roman"/>
                                <w:spacing w:val="-1"/>
                              </w:rPr>
                              <w:t>g</w:t>
                            </w:r>
                            <w:r>
                              <w:rPr>
                                <w:rFonts w:ascii="Symbol" w:hAnsi="Symbol" w:cs="Symbol"/>
                                <w:spacing w:val="-1"/>
                              </w:rPr>
                              <w:t></w:t>
                            </w:r>
                            <w:r>
                              <w:rPr>
                                <w:rFonts w:ascii="Times New Roman" w:hAnsi="Times New Roman"/>
                                <w:spacing w:val="-1"/>
                              </w:rPr>
                              <w:t>t/ml)</w:t>
                            </w:r>
                          </w:p>
                        </w:tc>
                        <w:tc>
                          <w:tcPr>
                            <w:tcW w:w="1399" w:type="dxa"/>
                            <w:tcBorders>
                              <w:top w:val="nil"/>
                              <w:left w:val="nil"/>
                              <w:bottom w:val="nil"/>
                              <w:right w:val="nil"/>
                            </w:tcBorders>
                          </w:tcPr>
                          <w:p w:rsidR="00C70B96" w:rsidRDefault="00C70B96" w:rsidP="004D4259">
                            <w:pPr>
                              <w:jc w:val="center"/>
                            </w:pPr>
                          </w:p>
                        </w:tc>
                        <w:tc>
                          <w:tcPr>
                            <w:tcW w:w="1555" w:type="dxa"/>
                            <w:tcBorders>
                              <w:top w:val="nil"/>
                              <w:left w:val="nil"/>
                              <w:bottom w:val="nil"/>
                              <w:right w:val="nil"/>
                            </w:tcBorders>
                          </w:tcPr>
                          <w:p w:rsidR="00C70B96" w:rsidRDefault="00C70B96" w:rsidP="004D4259">
                            <w:pPr>
                              <w:jc w:val="center"/>
                            </w:pPr>
                          </w:p>
                        </w:tc>
                        <w:tc>
                          <w:tcPr>
                            <w:tcW w:w="1415" w:type="dxa"/>
                            <w:tcBorders>
                              <w:top w:val="nil"/>
                              <w:left w:val="nil"/>
                              <w:bottom w:val="nil"/>
                              <w:right w:val="nil"/>
                            </w:tcBorders>
                          </w:tcPr>
                          <w:p w:rsidR="00C70B96" w:rsidRDefault="00C70B96" w:rsidP="004D4259">
                            <w:pPr>
                              <w:jc w:val="center"/>
                            </w:pPr>
                          </w:p>
                        </w:tc>
                        <w:tc>
                          <w:tcPr>
                            <w:tcW w:w="1499" w:type="dxa"/>
                            <w:tcBorders>
                              <w:top w:val="nil"/>
                              <w:left w:val="nil"/>
                              <w:bottom w:val="nil"/>
                              <w:right w:val="nil"/>
                            </w:tcBorders>
                          </w:tcPr>
                          <w:p w:rsidR="00C70B96" w:rsidRDefault="00C70B96" w:rsidP="004D4259">
                            <w:pPr>
                              <w:jc w:val="center"/>
                            </w:pPr>
                          </w:p>
                        </w:tc>
                        <w:tc>
                          <w:tcPr>
                            <w:tcW w:w="1476" w:type="dxa"/>
                            <w:tcBorders>
                              <w:top w:val="nil"/>
                              <w:left w:val="nil"/>
                              <w:bottom w:val="nil"/>
                              <w:right w:val="nil"/>
                            </w:tcBorders>
                          </w:tcPr>
                          <w:p w:rsidR="00C70B96" w:rsidRDefault="00C70B96" w:rsidP="004D4259">
                            <w:pPr>
                              <w:jc w:val="center"/>
                            </w:pPr>
                            <w:r>
                              <w:t>31,5</w:t>
                            </w:r>
                          </w:p>
                        </w:tc>
                      </w:tr>
                      <w:tr w:rsidR="00C70B96">
                        <w:trPr>
                          <w:trHeight w:hRule="exact" w:val="260"/>
                        </w:trPr>
                        <w:tc>
                          <w:tcPr>
                            <w:tcW w:w="1512" w:type="dxa"/>
                            <w:tcBorders>
                              <w:top w:val="nil"/>
                              <w:left w:val="nil"/>
                              <w:bottom w:val="nil"/>
                              <w:right w:val="nil"/>
                            </w:tcBorders>
                          </w:tcPr>
                          <w:p w:rsidR="00C70B96" w:rsidRDefault="00C70B96">
                            <w:pPr>
                              <w:pStyle w:val="TableParagraph"/>
                              <w:spacing w:line="254" w:lineRule="exact"/>
                              <w:ind w:left="108"/>
                              <w:rPr>
                                <w:rFonts w:ascii="Times New Roman" w:hAnsi="Times New Roman"/>
                              </w:rPr>
                            </w:pPr>
                            <w:r>
                              <w:rPr>
                                <w:rFonts w:ascii="Times New Roman" w:hAnsi="Times New Roman"/>
                              </w:rPr>
                              <w:t>t</w:t>
                            </w:r>
                            <w:r>
                              <w:rPr>
                                <w:rFonts w:ascii="Times New Roman" w:hAnsi="Times New Roman"/>
                                <w:position w:val="-2"/>
                                <w:sz w:val="14"/>
                              </w:rPr>
                              <w:t>½</w:t>
                            </w:r>
                            <w:r>
                              <w:rPr>
                                <w:rFonts w:ascii="Times New Roman" w:hAnsi="Times New Roman"/>
                                <w:spacing w:val="19"/>
                                <w:position w:val="-2"/>
                                <w:sz w:val="14"/>
                              </w:rPr>
                              <w:t xml:space="preserve"> </w:t>
                            </w:r>
                            <w:r>
                              <w:rPr>
                                <w:rFonts w:ascii="Times New Roman" w:hAnsi="Times New Roman"/>
                                <w:spacing w:val="-1"/>
                              </w:rPr>
                              <w:t>(t)</w:t>
                            </w:r>
                          </w:p>
                        </w:tc>
                        <w:tc>
                          <w:tcPr>
                            <w:tcW w:w="1399" w:type="dxa"/>
                            <w:tcBorders>
                              <w:top w:val="nil"/>
                              <w:left w:val="nil"/>
                              <w:bottom w:val="nil"/>
                              <w:right w:val="nil"/>
                            </w:tcBorders>
                          </w:tcPr>
                          <w:p w:rsidR="00C70B96" w:rsidRDefault="00C70B96" w:rsidP="004D4259">
                            <w:pPr>
                              <w:pStyle w:val="TableParagraph"/>
                              <w:spacing w:line="241" w:lineRule="exact"/>
                              <w:ind w:left="7"/>
                              <w:jc w:val="center"/>
                              <w:rPr>
                                <w:rFonts w:ascii="Times New Roman" w:hAnsi="Times New Roman"/>
                              </w:rPr>
                            </w:pPr>
                            <w:r>
                              <w:rPr>
                                <w:rFonts w:ascii="Times New Roman"/>
                              </w:rPr>
                              <w:t>~5</w:t>
                            </w:r>
                          </w:p>
                        </w:tc>
                        <w:tc>
                          <w:tcPr>
                            <w:tcW w:w="1555" w:type="dxa"/>
                            <w:tcBorders>
                              <w:top w:val="nil"/>
                              <w:left w:val="nil"/>
                              <w:bottom w:val="nil"/>
                              <w:right w:val="nil"/>
                            </w:tcBorders>
                          </w:tcPr>
                          <w:p w:rsidR="00C70B96" w:rsidRDefault="00C70B96" w:rsidP="004D4259">
                            <w:pPr>
                              <w:pStyle w:val="TableParagraph"/>
                              <w:spacing w:line="241" w:lineRule="exact"/>
                              <w:ind w:left="5"/>
                              <w:jc w:val="center"/>
                              <w:rPr>
                                <w:rFonts w:ascii="Times New Roman" w:hAnsi="Times New Roman"/>
                              </w:rPr>
                            </w:pPr>
                            <w:r>
                              <w:rPr>
                                <w:rFonts w:ascii="Times New Roman"/>
                              </w:rPr>
                              <w:t>~5</w:t>
                            </w:r>
                          </w:p>
                        </w:tc>
                        <w:tc>
                          <w:tcPr>
                            <w:tcW w:w="1415" w:type="dxa"/>
                            <w:tcBorders>
                              <w:top w:val="nil"/>
                              <w:left w:val="nil"/>
                              <w:bottom w:val="nil"/>
                              <w:right w:val="nil"/>
                            </w:tcBorders>
                          </w:tcPr>
                          <w:p w:rsidR="00C70B96" w:rsidRDefault="00C70B96" w:rsidP="004D4259">
                            <w:pPr>
                              <w:pStyle w:val="TableParagraph"/>
                              <w:spacing w:line="241" w:lineRule="exact"/>
                              <w:ind w:right="10"/>
                              <w:jc w:val="center"/>
                              <w:rPr>
                                <w:rFonts w:ascii="Times New Roman" w:hAnsi="Times New Roman"/>
                              </w:rPr>
                            </w:pPr>
                            <w:r>
                              <w:rPr>
                                <w:rFonts w:ascii="Times New Roman"/>
                              </w:rPr>
                              <w:t>~4</w:t>
                            </w:r>
                          </w:p>
                        </w:tc>
                        <w:tc>
                          <w:tcPr>
                            <w:tcW w:w="1499" w:type="dxa"/>
                            <w:tcBorders>
                              <w:top w:val="nil"/>
                              <w:left w:val="nil"/>
                              <w:bottom w:val="nil"/>
                              <w:right w:val="nil"/>
                            </w:tcBorders>
                          </w:tcPr>
                          <w:p w:rsidR="00C70B96" w:rsidRDefault="00C70B96" w:rsidP="004D4259">
                            <w:pPr>
                              <w:pStyle w:val="TableParagraph"/>
                              <w:spacing w:line="241" w:lineRule="exact"/>
                              <w:ind w:left="25"/>
                              <w:jc w:val="center"/>
                              <w:rPr>
                                <w:rFonts w:ascii="Times New Roman" w:hAnsi="Times New Roman"/>
                              </w:rPr>
                            </w:pPr>
                            <w:r>
                              <w:rPr>
                                <w:rFonts w:ascii="Times New Roman"/>
                              </w:rPr>
                              <w:t>~8</w:t>
                            </w:r>
                          </w:p>
                        </w:tc>
                        <w:tc>
                          <w:tcPr>
                            <w:tcW w:w="1476" w:type="dxa"/>
                            <w:tcBorders>
                              <w:top w:val="nil"/>
                              <w:left w:val="nil"/>
                              <w:bottom w:val="nil"/>
                              <w:right w:val="nil"/>
                            </w:tcBorders>
                          </w:tcPr>
                          <w:p w:rsidR="00C70B96" w:rsidRDefault="00C70B96" w:rsidP="004D4259">
                            <w:pPr>
                              <w:pStyle w:val="TableParagraph"/>
                              <w:spacing w:line="241" w:lineRule="exact"/>
                              <w:ind w:left="420"/>
                              <w:jc w:val="center"/>
                              <w:rPr>
                                <w:rFonts w:ascii="Times New Roman" w:hAnsi="Times New Roman"/>
                              </w:rPr>
                            </w:pPr>
                            <w:r>
                              <w:rPr>
                                <w:rFonts w:ascii="Times New Roman"/>
                              </w:rPr>
                              <w:t>~3 til 5</w:t>
                            </w:r>
                          </w:p>
                        </w:tc>
                      </w:tr>
                      <w:tr w:rsidR="00C70B96">
                        <w:trPr>
                          <w:trHeight w:hRule="exact" w:val="268"/>
                        </w:trPr>
                        <w:tc>
                          <w:tcPr>
                            <w:tcW w:w="1512" w:type="dxa"/>
                            <w:tcBorders>
                              <w:top w:val="nil"/>
                              <w:left w:val="nil"/>
                              <w:bottom w:val="single" w:sz="4" w:space="0" w:color="000000"/>
                              <w:right w:val="nil"/>
                            </w:tcBorders>
                          </w:tcPr>
                          <w:p w:rsidR="00C70B96" w:rsidRDefault="00C70B96">
                            <w:pPr>
                              <w:pStyle w:val="TableParagraph"/>
                              <w:spacing w:line="233" w:lineRule="exact"/>
                              <w:ind w:left="108"/>
                              <w:rPr>
                                <w:rFonts w:ascii="Times New Roman" w:hAnsi="Times New Roman"/>
                              </w:rPr>
                            </w:pPr>
                            <w:r>
                              <w:rPr>
                                <w:rFonts w:ascii="Times New Roman"/>
                                <w:spacing w:val="-1"/>
                              </w:rPr>
                              <w:t>Cl/F (l/t)</w:t>
                            </w:r>
                          </w:p>
                        </w:tc>
                        <w:tc>
                          <w:tcPr>
                            <w:tcW w:w="1399" w:type="dxa"/>
                            <w:tcBorders>
                              <w:top w:val="nil"/>
                              <w:left w:val="nil"/>
                              <w:bottom w:val="single" w:sz="4" w:space="0" w:color="000000"/>
                              <w:right w:val="nil"/>
                            </w:tcBorders>
                          </w:tcPr>
                          <w:p w:rsidR="00C70B96" w:rsidRDefault="00C70B96" w:rsidP="004D4259">
                            <w:pPr>
                              <w:pStyle w:val="TableParagraph"/>
                              <w:spacing w:line="251" w:lineRule="exact"/>
                              <w:ind w:left="256"/>
                              <w:jc w:val="center"/>
                              <w:rPr>
                                <w:rFonts w:ascii="Times New Roman" w:hAnsi="Times New Roman"/>
                              </w:rPr>
                            </w:pPr>
                            <w:r>
                              <w:rPr>
                                <w:rFonts w:ascii="Times New Roman" w:hAnsi="Times New Roman"/>
                              </w:rPr>
                              <w:t xml:space="preserve">17,2 </w:t>
                            </w:r>
                            <w:r>
                              <w:rPr>
                                <w:rFonts w:ascii="Symbol" w:hAnsi="Symbol" w:cs="Symbol"/>
                              </w:rPr>
                              <w:t></w:t>
                            </w:r>
                            <w:r>
                              <w:rPr>
                                <w:rFonts w:ascii="Symbol" w:hAnsi="Symbol" w:cs="Symbol"/>
                                <w:spacing w:val="-1"/>
                              </w:rPr>
                              <w:t></w:t>
                            </w:r>
                            <w:r>
                              <w:rPr>
                                <w:rFonts w:ascii="Times New Roman" w:hAnsi="Times New Roman"/>
                              </w:rPr>
                              <w:t>6,6</w:t>
                            </w:r>
                          </w:p>
                        </w:tc>
                        <w:tc>
                          <w:tcPr>
                            <w:tcW w:w="1555" w:type="dxa"/>
                            <w:tcBorders>
                              <w:top w:val="nil"/>
                              <w:left w:val="nil"/>
                              <w:bottom w:val="single" w:sz="4" w:space="0" w:color="000000"/>
                              <w:right w:val="nil"/>
                            </w:tcBorders>
                          </w:tcPr>
                          <w:p w:rsidR="00C70B96" w:rsidRDefault="00C70B96" w:rsidP="004D4259">
                            <w:pPr>
                              <w:pStyle w:val="TableParagraph"/>
                              <w:spacing w:line="233" w:lineRule="exact"/>
                              <w:ind w:left="2"/>
                              <w:jc w:val="center"/>
                              <w:rPr>
                                <w:rFonts w:ascii="Times New Roman" w:hAnsi="Times New Roman"/>
                              </w:rPr>
                            </w:pPr>
                            <w:r>
                              <w:rPr>
                                <w:rFonts w:ascii="Times New Roman"/>
                              </w:rPr>
                              <w:t>16,1</w:t>
                            </w:r>
                          </w:p>
                        </w:tc>
                        <w:tc>
                          <w:tcPr>
                            <w:tcW w:w="1415" w:type="dxa"/>
                            <w:tcBorders>
                              <w:top w:val="nil"/>
                              <w:left w:val="nil"/>
                              <w:bottom w:val="single" w:sz="4" w:space="0" w:color="000000"/>
                              <w:right w:val="nil"/>
                            </w:tcBorders>
                          </w:tcPr>
                          <w:p w:rsidR="00C70B96" w:rsidRDefault="00C70B96" w:rsidP="004D4259">
                            <w:pPr>
                              <w:pStyle w:val="TableParagraph"/>
                              <w:spacing w:line="251" w:lineRule="exact"/>
                              <w:ind w:left="254"/>
                              <w:jc w:val="center"/>
                              <w:rPr>
                                <w:rFonts w:ascii="Times New Roman" w:hAnsi="Times New Roman"/>
                              </w:rPr>
                            </w:pPr>
                            <w:r>
                              <w:rPr>
                                <w:rFonts w:ascii="Times New Roman" w:hAnsi="Times New Roman"/>
                              </w:rPr>
                              <w:t xml:space="preserve">10,8 </w:t>
                            </w:r>
                            <w:r>
                              <w:rPr>
                                <w:rFonts w:ascii="Symbol" w:hAnsi="Symbol" w:cs="Symbol"/>
                              </w:rPr>
                              <w:t></w:t>
                            </w:r>
                            <w:r>
                              <w:rPr>
                                <w:rFonts w:ascii="Symbol" w:hAnsi="Symbol" w:cs="Symbol"/>
                                <w:spacing w:val="-1"/>
                              </w:rPr>
                              <w:t></w:t>
                            </w:r>
                            <w:r>
                              <w:rPr>
                                <w:rFonts w:ascii="Times New Roman" w:hAnsi="Times New Roman"/>
                              </w:rPr>
                              <w:t>3,1</w:t>
                            </w:r>
                          </w:p>
                        </w:tc>
                        <w:tc>
                          <w:tcPr>
                            <w:tcW w:w="1499" w:type="dxa"/>
                            <w:tcBorders>
                              <w:top w:val="nil"/>
                              <w:left w:val="nil"/>
                              <w:bottom w:val="single" w:sz="4" w:space="0" w:color="000000"/>
                              <w:right w:val="nil"/>
                            </w:tcBorders>
                          </w:tcPr>
                          <w:p w:rsidR="00C70B96" w:rsidRDefault="00C70B96" w:rsidP="004D4259">
                            <w:pPr>
                              <w:pStyle w:val="TableParagraph"/>
                              <w:spacing w:line="251" w:lineRule="exact"/>
                              <w:ind w:left="315"/>
                              <w:jc w:val="center"/>
                              <w:rPr>
                                <w:rFonts w:ascii="Times New Roman" w:hAnsi="Times New Roman"/>
                              </w:rPr>
                            </w:pPr>
                            <w:r>
                              <w:rPr>
                                <w:rFonts w:ascii="Times New Roman" w:hAnsi="Times New Roman"/>
                              </w:rPr>
                              <w:t xml:space="preserve">10,0 </w:t>
                            </w:r>
                            <w:r>
                              <w:rPr>
                                <w:rFonts w:ascii="Symbol" w:hAnsi="Symbol" w:cs="Symbol"/>
                              </w:rPr>
                              <w:t></w:t>
                            </w:r>
                            <w:r>
                              <w:rPr>
                                <w:rFonts w:ascii="Symbol" w:hAnsi="Symbol" w:cs="Symbol"/>
                                <w:spacing w:val="-1"/>
                              </w:rPr>
                              <w:t></w:t>
                            </w:r>
                            <w:r>
                              <w:rPr>
                                <w:rFonts w:ascii="Times New Roman" w:hAnsi="Times New Roman"/>
                              </w:rPr>
                              <w:t>3,2</w:t>
                            </w:r>
                          </w:p>
                        </w:tc>
                        <w:tc>
                          <w:tcPr>
                            <w:tcW w:w="1476" w:type="dxa"/>
                            <w:tcBorders>
                              <w:top w:val="nil"/>
                              <w:left w:val="nil"/>
                              <w:bottom w:val="single" w:sz="4" w:space="0" w:color="000000"/>
                              <w:right w:val="nil"/>
                            </w:tcBorders>
                          </w:tcPr>
                          <w:p w:rsidR="00C70B96" w:rsidRDefault="00C70B96" w:rsidP="004D4259">
                            <w:pPr>
                              <w:pStyle w:val="TableParagraph"/>
                              <w:spacing w:line="251" w:lineRule="exact"/>
                              <w:ind w:left="348"/>
                              <w:jc w:val="center"/>
                              <w:rPr>
                                <w:rFonts w:ascii="Times New Roman" w:hAnsi="Times New Roman"/>
                              </w:rPr>
                            </w:pPr>
                            <w:r>
                              <w:rPr>
                                <w:rFonts w:ascii="Times New Roman" w:hAnsi="Times New Roman"/>
                              </w:rPr>
                              <w:t xml:space="preserve">8,8 </w:t>
                            </w:r>
                            <w:r>
                              <w:rPr>
                                <w:rFonts w:ascii="Symbol" w:hAnsi="Symbol" w:cs="Symbol"/>
                              </w:rPr>
                              <w:t></w:t>
                            </w:r>
                            <w:r>
                              <w:rPr>
                                <w:rFonts w:ascii="Symbol" w:hAnsi="Symbol" w:cs="Symbol"/>
                                <w:spacing w:val="1"/>
                              </w:rPr>
                              <w:t></w:t>
                            </w:r>
                            <w:r>
                              <w:rPr>
                                <w:rFonts w:ascii="Times New Roman" w:hAnsi="Times New Roman"/>
                                <w:spacing w:val="-2"/>
                              </w:rPr>
                              <w:t>3,2</w:t>
                            </w:r>
                          </w:p>
                        </w:tc>
                      </w:tr>
                    </w:tbl>
                    <w:p w:rsidR="00C70B96" w:rsidRDefault="00C70B96" w:rsidP="006C56FF"/>
                  </w:txbxContent>
                </v:textbox>
                <w10:wrap anchorx="page"/>
              </v:shape>
            </w:pict>
          </mc:Fallback>
        </mc:AlternateContent>
      </w:r>
      <w:r w:rsidRPr="00EC361A">
        <w:rPr>
          <w:position w:val="10"/>
          <w:sz w:val="24"/>
          <w:szCs w:val="24"/>
          <w:vertAlign w:val="superscript"/>
        </w:rPr>
        <w:t xml:space="preserve">1 </w:t>
      </w:r>
      <w:r w:rsidRPr="00EC361A">
        <w:rPr>
          <w:spacing w:val="-1"/>
          <w:sz w:val="24"/>
          <w:szCs w:val="24"/>
        </w:rPr>
        <w:t>Værdier udtrykt som geometriske middelværdier.</w:t>
      </w:r>
      <w:r w:rsidRPr="00EC361A">
        <w:rPr>
          <w:spacing w:val="54"/>
          <w:sz w:val="24"/>
          <w:szCs w:val="24"/>
        </w:rPr>
        <w:t xml:space="preserve"> </w:t>
      </w:r>
      <w:r w:rsidRPr="00EC361A">
        <w:rPr>
          <w:spacing w:val="-1"/>
          <w:sz w:val="24"/>
          <w:szCs w:val="24"/>
        </w:rPr>
        <w:t>Bemærk:</w:t>
      </w:r>
      <w:r>
        <w:rPr>
          <w:spacing w:val="-1"/>
          <w:sz w:val="24"/>
          <w:szCs w:val="24"/>
        </w:rPr>
        <w:t xml:space="preserve"> R</w:t>
      </w:r>
      <w:r w:rsidRPr="00EC361A">
        <w:rPr>
          <w:spacing w:val="-1"/>
          <w:sz w:val="24"/>
          <w:szCs w:val="24"/>
        </w:rPr>
        <w:t>itonavir blev doseret efter et måltid for</w:t>
      </w:r>
      <w:r w:rsidRPr="00EC361A">
        <w:rPr>
          <w:spacing w:val="24"/>
          <w:sz w:val="24"/>
          <w:szCs w:val="24"/>
        </w:rPr>
        <w:t xml:space="preserve"> </w:t>
      </w:r>
      <w:r w:rsidRPr="00EC361A">
        <w:rPr>
          <w:spacing w:val="-1"/>
          <w:sz w:val="24"/>
          <w:szCs w:val="24"/>
        </w:rPr>
        <w:t>alle anførte regimer.</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3E5494">
      <w:pPr>
        <w:keepNext/>
        <w:widowControl w:val="0"/>
        <w:tabs>
          <w:tab w:val="left" w:pos="0"/>
          <w:tab w:val="left" w:pos="9070"/>
        </w:tabs>
        <w:ind w:left="851"/>
        <w:rPr>
          <w:sz w:val="24"/>
          <w:szCs w:val="24"/>
        </w:rPr>
      </w:pPr>
      <w:r w:rsidRPr="00EC361A">
        <w:rPr>
          <w:spacing w:val="-1"/>
          <w:sz w:val="24"/>
          <w:szCs w:val="24"/>
          <w:u w:val="single" w:color="000000"/>
        </w:rPr>
        <w:lastRenderedPageBreak/>
        <w:t>Virkning af føde på oral absorption</w:t>
      </w:r>
    </w:p>
    <w:p w:rsidR="006C56FF" w:rsidRPr="00EC361A" w:rsidRDefault="006C56FF" w:rsidP="006C56FF">
      <w:pPr>
        <w:widowControl w:val="0"/>
        <w:tabs>
          <w:tab w:val="left" w:pos="0"/>
          <w:tab w:val="left" w:pos="9070"/>
        </w:tabs>
        <w:ind w:left="851" w:right="172"/>
        <w:rPr>
          <w:sz w:val="24"/>
          <w:szCs w:val="24"/>
        </w:rPr>
      </w:pPr>
      <w:r w:rsidRPr="00EC361A">
        <w:rPr>
          <w:spacing w:val="-1"/>
          <w:sz w:val="24"/>
          <w:szCs w:val="24"/>
        </w:rPr>
        <w:t>Føde nedsætter biotilgængeligheden af ritonavir</w:t>
      </w:r>
      <w:r w:rsidRPr="00EC361A">
        <w:rPr>
          <w:spacing w:val="-2"/>
          <w:sz w:val="24"/>
          <w:szCs w:val="24"/>
        </w:rPr>
        <w:t>-tabletten</w:t>
      </w:r>
      <w:r w:rsidRPr="00EC361A">
        <w:rPr>
          <w:spacing w:val="-1"/>
          <w:sz w:val="24"/>
          <w:szCs w:val="24"/>
        </w:rPr>
        <w:t xml:space="preserve"> lidt. Administration af en enkelt 100 mg</w:t>
      </w:r>
      <w:r w:rsidRPr="00EC361A">
        <w:rPr>
          <w:spacing w:val="52"/>
          <w:sz w:val="24"/>
          <w:szCs w:val="24"/>
        </w:rPr>
        <w:t xml:space="preserve"> </w:t>
      </w:r>
      <w:r w:rsidRPr="00EC361A">
        <w:rPr>
          <w:spacing w:val="-1"/>
          <w:sz w:val="24"/>
          <w:szCs w:val="24"/>
        </w:rPr>
        <w:t>ritonavir</w:t>
      </w:r>
      <w:r w:rsidRPr="00EC361A">
        <w:rPr>
          <w:spacing w:val="-2"/>
          <w:sz w:val="24"/>
          <w:szCs w:val="24"/>
        </w:rPr>
        <w:t>-tablet</w:t>
      </w:r>
      <w:r w:rsidRPr="00EC361A">
        <w:rPr>
          <w:spacing w:val="-1"/>
          <w:sz w:val="24"/>
          <w:szCs w:val="24"/>
        </w:rPr>
        <w:t xml:space="preserve"> med et moderat fedt måltid (857 kcal, 31</w:t>
      </w:r>
      <w:r>
        <w:rPr>
          <w:spacing w:val="-1"/>
          <w:sz w:val="24"/>
          <w:szCs w:val="24"/>
        </w:rPr>
        <w:t xml:space="preserve"> %</w:t>
      </w:r>
      <w:r w:rsidRPr="00EC361A">
        <w:rPr>
          <w:spacing w:val="-1"/>
          <w:sz w:val="24"/>
          <w:szCs w:val="24"/>
        </w:rPr>
        <w:t xml:space="preserve"> kalorier fra fedt) eller et fedtrigt måltid (907</w:t>
      </w:r>
      <w:r w:rsidRPr="00EC361A">
        <w:rPr>
          <w:spacing w:val="54"/>
          <w:sz w:val="24"/>
          <w:szCs w:val="24"/>
        </w:rPr>
        <w:t xml:space="preserve"> </w:t>
      </w:r>
      <w:r w:rsidRPr="00EC361A">
        <w:rPr>
          <w:spacing w:val="-1"/>
          <w:sz w:val="24"/>
          <w:szCs w:val="24"/>
        </w:rPr>
        <w:t>kcal, 52</w:t>
      </w:r>
      <w:r>
        <w:rPr>
          <w:spacing w:val="-1"/>
          <w:sz w:val="24"/>
          <w:szCs w:val="24"/>
        </w:rPr>
        <w:t xml:space="preserve"> %</w:t>
      </w:r>
      <w:r w:rsidRPr="00EC361A">
        <w:rPr>
          <w:spacing w:val="-1"/>
          <w:sz w:val="24"/>
          <w:szCs w:val="24"/>
        </w:rPr>
        <w:t xml:space="preserve"> kalorier fra fedt) blev sat </w:t>
      </w:r>
      <w:r w:rsidRPr="00EC361A">
        <w:rPr>
          <w:sz w:val="24"/>
          <w:szCs w:val="24"/>
        </w:rPr>
        <w:t>i</w:t>
      </w:r>
      <w:r w:rsidRPr="00EC361A">
        <w:rPr>
          <w:spacing w:val="-1"/>
          <w:sz w:val="24"/>
          <w:szCs w:val="24"/>
        </w:rPr>
        <w:t xml:space="preserve"> forbindelse med et gennemsnitlig fald på 20-23</w:t>
      </w:r>
      <w:r>
        <w:rPr>
          <w:spacing w:val="-1"/>
          <w:sz w:val="24"/>
          <w:szCs w:val="24"/>
        </w:rPr>
        <w:t xml:space="preserve"> %</w:t>
      </w:r>
      <w:r w:rsidRPr="00EC361A">
        <w:rPr>
          <w:spacing w:val="-1"/>
          <w:sz w:val="24"/>
          <w:szCs w:val="24"/>
        </w:rPr>
        <w:t xml:space="preserve"> </w:t>
      </w:r>
      <w:r w:rsidRPr="00EC361A">
        <w:rPr>
          <w:sz w:val="24"/>
          <w:szCs w:val="24"/>
        </w:rPr>
        <w:t>i</w:t>
      </w:r>
      <w:r w:rsidRPr="00EC361A">
        <w:rPr>
          <w:spacing w:val="-1"/>
          <w:sz w:val="24"/>
          <w:szCs w:val="24"/>
        </w:rPr>
        <w:t xml:space="preserve"> ritonavir</w:t>
      </w:r>
      <w:r w:rsidRPr="00EC361A">
        <w:rPr>
          <w:spacing w:val="24"/>
          <w:sz w:val="24"/>
          <w:szCs w:val="24"/>
        </w:rPr>
        <w:t xml:space="preserve"> </w:t>
      </w:r>
      <w:r w:rsidRPr="00EC361A">
        <w:rPr>
          <w:spacing w:val="-1"/>
          <w:sz w:val="24"/>
          <w:szCs w:val="24"/>
        </w:rPr>
        <w:t>AUC</w:t>
      </w:r>
      <w:r w:rsidRPr="00EC361A">
        <w:rPr>
          <w:spacing w:val="-4"/>
          <w:sz w:val="24"/>
          <w:szCs w:val="24"/>
        </w:rPr>
        <w:t xml:space="preserve"> </w:t>
      </w:r>
      <w:r w:rsidRPr="00EC361A">
        <w:rPr>
          <w:spacing w:val="-1"/>
          <w:sz w:val="24"/>
          <w:szCs w:val="24"/>
        </w:rPr>
        <w:t>og</w:t>
      </w:r>
      <w:r w:rsidRPr="00EC361A">
        <w:rPr>
          <w:spacing w:val="-3"/>
          <w:sz w:val="24"/>
          <w:szCs w:val="24"/>
        </w:rPr>
        <w:t xml:space="preserve"> </w:t>
      </w:r>
      <w:r w:rsidRPr="00EC361A">
        <w:rPr>
          <w:spacing w:val="-1"/>
          <w:sz w:val="24"/>
          <w:szCs w:val="24"/>
        </w:rPr>
        <w:t>C</w:t>
      </w:r>
      <w:r w:rsidRPr="00521347">
        <w:rPr>
          <w:spacing w:val="-1"/>
          <w:position w:val="-2"/>
          <w:sz w:val="24"/>
          <w:szCs w:val="24"/>
          <w:vertAlign w:val="subscript"/>
        </w:rPr>
        <w:t>max</w:t>
      </w:r>
      <w:r w:rsidRPr="00EC361A">
        <w:rPr>
          <w:spacing w:val="-1"/>
          <w:sz w:val="24"/>
          <w:szCs w:val="24"/>
        </w:rPr>
        <w:t>.</w:t>
      </w:r>
    </w:p>
    <w:p w:rsidR="006C56FF" w:rsidRPr="00EC361A" w:rsidRDefault="006C56FF" w:rsidP="006C56FF">
      <w:pPr>
        <w:widowControl w:val="0"/>
        <w:tabs>
          <w:tab w:val="left" w:pos="0"/>
          <w:tab w:val="left" w:pos="9070"/>
        </w:tabs>
        <w:ind w:left="851"/>
        <w:rPr>
          <w:sz w:val="24"/>
          <w:szCs w:val="24"/>
          <w:u w:val="single" w:color="000000"/>
        </w:rPr>
      </w:pPr>
    </w:p>
    <w:p w:rsidR="003E5494" w:rsidRPr="00EC361A" w:rsidRDefault="003E5494" w:rsidP="003E5494">
      <w:pPr>
        <w:widowControl w:val="0"/>
        <w:tabs>
          <w:tab w:val="left" w:pos="0"/>
          <w:tab w:val="left" w:pos="9070"/>
        </w:tabs>
        <w:ind w:left="851"/>
        <w:rPr>
          <w:sz w:val="24"/>
          <w:szCs w:val="24"/>
        </w:rPr>
      </w:pPr>
      <w:r w:rsidRPr="00EC361A">
        <w:rPr>
          <w:sz w:val="24"/>
          <w:szCs w:val="24"/>
          <w:u w:val="single" w:color="000000"/>
        </w:rPr>
        <w:t>Fordeling</w:t>
      </w:r>
    </w:p>
    <w:p w:rsidR="00E916DB" w:rsidRPr="00EC361A" w:rsidRDefault="00E916DB" w:rsidP="00E916DB">
      <w:pPr>
        <w:widowControl w:val="0"/>
        <w:tabs>
          <w:tab w:val="left" w:pos="0"/>
          <w:tab w:val="left" w:pos="9070"/>
        </w:tabs>
        <w:ind w:left="851" w:right="153"/>
        <w:rPr>
          <w:sz w:val="24"/>
          <w:szCs w:val="24"/>
        </w:rPr>
      </w:pPr>
      <w:r w:rsidRPr="00EC361A">
        <w:rPr>
          <w:spacing w:val="-1"/>
          <w:sz w:val="24"/>
          <w:szCs w:val="24"/>
        </w:rPr>
        <w:t>Det</w:t>
      </w:r>
      <w:r w:rsidRPr="00EC361A">
        <w:rPr>
          <w:spacing w:val="-2"/>
          <w:sz w:val="24"/>
          <w:szCs w:val="24"/>
        </w:rPr>
        <w:t xml:space="preserve"> </w:t>
      </w:r>
      <w:r w:rsidRPr="00EC361A">
        <w:rPr>
          <w:spacing w:val="-1"/>
          <w:sz w:val="24"/>
          <w:szCs w:val="24"/>
        </w:rPr>
        <w:t>tilsyneladende fordelingsvolumen af ritonavir</w:t>
      </w:r>
      <w:r w:rsidRPr="00EC361A">
        <w:rPr>
          <w:spacing w:val="-4"/>
          <w:sz w:val="24"/>
          <w:szCs w:val="24"/>
        </w:rPr>
        <w:t xml:space="preserve"> </w:t>
      </w:r>
      <w:r w:rsidRPr="00EC361A">
        <w:rPr>
          <w:spacing w:val="-1"/>
          <w:sz w:val="24"/>
          <w:szCs w:val="24"/>
        </w:rPr>
        <w:t>(V</w:t>
      </w:r>
      <w:r w:rsidRPr="00EC361A">
        <w:rPr>
          <w:spacing w:val="-1"/>
          <w:position w:val="-2"/>
          <w:sz w:val="24"/>
          <w:szCs w:val="24"/>
        </w:rPr>
        <w:t>B</w:t>
      </w:r>
      <w:r w:rsidRPr="00EC361A">
        <w:rPr>
          <w:spacing w:val="-1"/>
          <w:sz w:val="24"/>
          <w:szCs w:val="24"/>
        </w:rPr>
        <w:t xml:space="preserve">/F) er ca. </w:t>
      </w:r>
      <w:r w:rsidRPr="00EC361A">
        <w:rPr>
          <w:spacing w:val="-2"/>
          <w:sz w:val="24"/>
          <w:szCs w:val="24"/>
        </w:rPr>
        <w:t>20-40</w:t>
      </w:r>
      <w:r w:rsidRPr="00EC361A">
        <w:rPr>
          <w:spacing w:val="-1"/>
          <w:sz w:val="24"/>
          <w:szCs w:val="24"/>
        </w:rPr>
        <w:t xml:space="preserve"> </w:t>
      </w:r>
      <w:r w:rsidRPr="00EC361A">
        <w:rPr>
          <w:sz w:val="24"/>
          <w:szCs w:val="24"/>
        </w:rPr>
        <w:t>l</w:t>
      </w:r>
      <w:r w:rsidRPr="00EC361A">
        <w:rPr>
          <w:spacing w:val="-1"/>
          <w:sz w:val="24"/>
          <w:szCs w:val="24"/>
        </w:rPr>
        <w:t xml:space="preserve"> efter en enkelt 600 mg dosis.</w:t>
      </w:r>
      <w:r w:rsidRPr="00EC361A">
        <w:rPr>
          <w:spacing w:val="36"/>
          <w:sz w:val="24"/>
          <w:szCs w:val="24"/>
        </w:rPr>
        <w:t xml:space="preserve"> </w:t>
      </w:r>
      <w:r w:rsidRPr="00EC361A">
        <w:rPr>
          <w:spacing w:val="-1"/>
          <w:sz w:val="24"/>
          <w:szCs w:val="24"/>
        </w:rPr>
        <w:t xml:space="preserve">Ritonavirs binding til humane plasmaproteiner er ca. </w:t>
      </w:r>
      <w:r w:rsidRPr="00EC361A">
        <w:rPr>
          <w:spacing w:val="-2"/>
          <w:sz w:val="24"/>
          <w:szCs w:val="24"/>
        </w:rPr>
        <w:t>98-99</w:t>
      </w:r>
      <w:r>
        <w:rPr>
          <w:spacing w:val="-2"/>
          <w:sz w:val="24"/>
          <w:szCs w:val="24"/>
        </w:rPr>
        <w:t xml:space="preserve"> %</w:t>
      </w:r>
      <w:r w:rsidRPr="00EC361A">
        <w:rPr>
          <w:spacing w:val="-1"/>
          <w:sz w:val="24"/>
          <w:szCs w:val="24"/>
        </w:rPr>
        <w:t xml:space="preserve"> og er konstant inden for</w:t>
      </w:r>
      <w:r w:rsidRPr="00EC361A">
        <w:rPr>
          <w:spacing w:val="28"/>
          <w:sz w:val="24"/>
          <w:szCs w:val="24"/>
        </w:rPr>
        <w:t xml:space="preserve"> </w:t>
      </w:r>
      <w:r w:rsidRPr="00EC361A">
        <w:rPr>
          <w:spacing w:val="-1"/>
          <w:sz w:val="24"/>
          <w:szCs w:val="24"/>
        </w:rPr>
        <w:t xml:space="preserve">koncentrationsområdet </w:t>
      </w:r>
      <w:r w:rsidRPr="00EC361A">
        <w:rPr>
          <w:sz w:val="24"/>
          <w:szCs w:val="24"/>
        </w:rPr>
        <w:t>1,0</w:t>
      </w:r>
      <w:r>
        <w:rPr>
          <w:sz w:val="24"/>
          <w:szCs w:val="24"/>
        </w:rPr>
        <w:t>-</w:t>
      </w:r>
      <w:r w:rsidRPr="00EC361A">
        <w:rPr>
          <w:sz w:val="24"/>
          <w:szCs w:val="24"/>
        </w:rPr>
        <w:t>100 µ</w:t>
      </w:r>
      <w:r w:rsidRPr="00EC361A">
        <w:rPr>
          <w:spacing w:val="-1"/>
          <w:sz w:val="24"/>
          <w:szCs w:val="24"/>
        </w:rPr>
        <w:t>g/ml.</w:t>
      </w:r>
      <w:r w:rsidRPr="00EC361A">
        <w:rPr>
          <w:spacing w:val="53"/>
          <w:sz w:val="24"/>
          <w:szCs w:val="24"/>
        </w:rPr>
        <w:t xml:space="preserve"> </w:t>
      </w:r>
      <w:r w:rsidRPr="00EC361A">
        <w:rPr>
          <w:spacing w:val="-1"/>
          <w:sz w:val="24"/>
          <w:szCs w:val="24"/>
        </w:rPr>
        <w:t>Ritonavir binder</w:t>
      </w:r>
      <w:r w:rsidRPr="00EC361A">
        <w:rPr>
          <w:spacing w:val="-3"/>
          <w:sz w:val="24"/>
          <w:szCs w:val="24"/>
        </w:rPr>
        <w:t xml:space="preserve"> </w:t>
      </w:r>
      <w:r w:rsidRPr="00EC361A">
        <w:rPr>
          <w:spacing w:val="-1"/>
          <w:sz w:val="24"/>
          <w:szCs w:val="24"/>
        </w:rPr>
        <w:t>til</w:t>
      </w:r>
      <w:r w:rsidRPr="00EC361A">
        <w:rPr>
          <w:spacing w:val="1"/>
          <w:sz w:val="24"/>
          <w:szCs w:val="24"/>
        </w:rPr>
        <w:t xml:space="preserve"> </w:t>
      </w:r>
      <w:r w:rsidRPr="00EC361A">
        <w:rPr>
          <w:spacing w:val="-1"/>
          <w:sz w:val="24"/>
          <w:szCs w:val="24"/>
        </w:rPr>
        <w:t xml:space="preserve">både humant </w:t>
      </w:r>
      <w:r w:rsidRPr="00EC361A">
        <w:rPr>
          <w:sz w:val="24"/>
          <w:szCs w:val="24"/>
        </w:rPr>
        <w:t>surt</w:t>
      </w:r>
      <w:r w:rsidRPr="00EC361A">
        <w:rPr>
          <w:spacing w:val="-3"/>
          <w:sz w:val="24"/>
          <w:szCs w:val="24"/>
        </w:rPr>
        <w:t xml:space="preserve"> </w:t>
      </w:r>
      <w:r w:rsidRPr="00EC361A">
        <w:rPr>
          <w:spacing w:val="-1"/>
          <w:sz w:val="24"/>
          <w:szCs w:val="24"/>
        </w:rPr>
        <w:t xml:space="preserve">alfa </w:t>
      </w:r>
      <w:r w:rsidRPr="00EC361A">
        <w:rPr>
          <w:spacing w:val="-2"/>
          <w:sz w:val="24"/>
          <w:szCs w:val="24"/>
        </w:rPr>
        <w:t>1-glykoprotein</w:t>
      </w:r>
      <w:r w:rsidRPr="00EC361A">
        <w:rPr>
          <w:spacing w:val="44"/>
          <w:sz w:val="24"/>
          <w:szCs w:val="24"/>
        </w:rPr>
        <w:t xml:space="preserve"> </w:t>
      </w:r>
      <w:r w:rsidRPr="00EC361A">
        <w:rPr>
          <w:spacing w:val="-1"/>
          <w:sz w:val="24"/>
          <w:szCs w:val="24"/>
        </w:rPr>
        <w:t>(AAG) og humant serumalbumin (HSA) med sammenlignelig affinitet.</w:t>
      </w:r>
    </w:p>
    <w:p w:rsidR="00E916DB" w:rsidRPr="00EC361A" w:rsidRDefault="00E916DB" w:rsidP="00E916DB">
      <w:pPr>
        <w:widowControl w:val="0"/>
        <w:tabs>
          <w:tab w:val="left" w:pos="0"/>
          <w:tab w:val="left" w:pos="9070"/>
        </w:tabs>
        <w:ind w:left="851" w:right="222"/>
        <w:rPr>
          <w:sz w:val="24"/>
          <w:szCs w:val="24"/>
        </w:rPr>
      </w:pPr>
      <w:r w:rsidRPr="00EC361A">
        <w:rPr>
          <w:spacing w:val="-1"/>
          <w:sz w:val="24"/>
          <w:szCs w:val="24"/>
        </w:rPr>
        <w:t>Vævsdistributionsstudier</w:t>
      </w:r>
      <w:r w:rsidRPr="00EC361A">
        <w:rPr>
          <w:sz w:val="24"/>
          <w:szCs w:val="24"/>
        </w:rPr>
        <w:t xml:space="preserve"> </w:t>
      </w:r>
      <w:r w:rsidRPr="00EC361A">
        <w:rPr>
          <w:spacing w:val="-2"/>
          <w:sz w:val="24"/>
          <w:szCs w:val="24"/>
        </w:rPr>
        <w:t>med</w:t>
      </w:r>
      <w:r w:rsidRPr="00EC361A">
        <w:rPr>
          <w:spacing w:val="-1"/>
          <w:sz w:val="24"/>
          <w:szCs w:val="24"/>
        </w:rPr>
        <w:t xml:space="preserve"> </w:t>
      </w:r>
      <w:r w:rsidRPr="00323D44">
        <w:rPr>
          <w:spacing w:val="-1"/>
          <w:sz w:val="24"/>
          <w:szCs w:val="24"/>
          <w:vertAlign w:val="superscript"/>
        </w:rPr>
        <w:t>14</w:t>
      </w:r>
      <w:r w:rsidRPr="00EC361A">
        <w:rPr>
          <w:spacing w:val="-1"/>
          <w:sz w:val="24"/>
          <w:szCs w:val="24"/>
        </w:rPr>
        <w:t xml:space="preserve">C-mærket ritonavir </w:t>
      </w:r>
      <w:r w:rsidRPr="00EC361A">
        <w:rPr>
          <w:sz w:val="24"/>
          <w:szCs w:val="24"/>
        </w:rPr>
        <w:t>i</w:t>
      </w:r>
      <w:r w:rsidRPr="00EC361A">
        <w:rPr>
          <w:spacing w:val="-1"/>
          <w:sz w:val="24"/>
          <w:szCs w:val="24"/>
        </w:rPr>
        <w:t xml:space="preserve"> rotter har vist, at</w:t>
      </w:r>
      <w:r w:rsidRPr="00EC361A">
        <w:rPr>
          <w:spacing w:val="-2"/>
          <w:sz w:val="24"/>
          <w:szCs w:val="24"/>
        </w:rPr>
        <w:t xml:space="preserve"> </w:t>
      </w:r>
      <w:r w:rsidRPr="00EC361A">
        <w:rPr>
          <w:spacing w:val="-1"/>
          <w:sz w:val="24"/>
          <w:szCs w:val="24"/>
        </w:rPr>
        <w:t>lever, binyrer, pankreas, nyrer</w:t>
      </w:r>
      <w:r w:rsidRPr="00EC361A">
        <w:rPr>
          <w:spacing w:val="28"/>
          <w:sz w:val="24"/>
          <w:szCs w:val="24"/>
        </w:rPr>
        <w:t xml:space="preserve"> </w:t>
      </w:r>
      <w:r w:rsidRPr="00EC361A">
        <w:rPr>
          <w:spacing w:val="-1"/>
          <w:sz w:val="24"/>
          <w:szCs w:val="24"/>
        </w:rPr>
        <w:t>og thyreoidea indeholdt den højeste koncentration af ritonavir.</w:t>
      </w:r>
      <w:r w:rsidRPr="00EC361A">
        <w:rPr>
          <w:spacing w:val="54"/>
          <w:sz w:val="24"/>
          <w:szCs w:val="24"/>
        </w:rPr>
        <w:t xml:space="preserve"> </w:t>
      </w:r>
      <w:r w:rsidRPr="00EC361A">
        <w:rPr>
          <w:spacing w:val="-1"/>
          <w:sz w:val="24"/>
          <w:szCs w:val="24"/>
        </w:rPr>
        <w:t>Et forhold mellem væv og plasma på</w:t>
      </w:r>
      <w:r w:rsidRPr="00EC361A">
        <w:rPr>
          <w:spacing w:val="28"/>
          <w:sz w:val="24"/>
          <w:szCs w:val="24"/>
        </w:rPr>
        <w:t xml:space="preserve"> </w:t>
      </w:r>
      <w:r w:rsidRPr="00EC361A">
        <w:rPr>
          <w:spacing w:val="-1"/>
          <w:sz w:val="24"/>
          <w:szCs w:val="24"/>
        </w:rPr>
        <w:t xml:space="preserve">ca. </w:t>
      </w:r>
      <w:r w:rsidRPr="00EC361A">
        <w:rPr>
          <w:sz w:val="24"/>
          <w:szCs w:val="24"/>
        </w:rPr>
        <w:t>1</w:t>
      </w:r>
      <w:r w:rsidRPr="00EC361A">
        <w:rPr>
          <w:spacing w:val="-1"/>
          <w:sz w:val="24"/>
          <w:szCs w:val="24"/>
        </w:rPr>
        <w:t xml:space="preserve"> målt </w:t>
      </w:r>
      <w:r w:rsidRPr="00EC361A">
        <w:rPr>
          <w:sz w:val="24"/>
          <w:szCs w:val="24"/>
        </w:rPr>
        <w:t>i</w:t>
      </w:r>
      <w:r w:rsidRPr="00EC361A">
        <w:rPr>
          <w:spacing w:val="-1"/>
          <w:sz w:val="24"/>
          <w:szCs w:val="24"/>
        </w:rPr>
        <w:t xml:space="preserve"> rotters lymfekirtler viser, at ritonavir fordeler sig </w:t>
      </w:r>
      <w:r w:rsidRPr="00EC361A">
        <w:rPr>
          <w:sz w:val="24"/>
          <w:szCs w:val="24"/>
        </w:rPr>
        <w:t>i</w:t>
      </w:r>
      <w:r w:rsidRPr="00EC361A">
        <w:rPr>
          <w:spacing w:val="-1"/>
          <w:sz w:val="24"/>
          <w:szCs w:val="24"/>
        </w:rPr>
        <w:t xml:space="preserve"> lymfevæv.</w:t>
      </w:r>
      <w:r w:rsidRPr="00EC361A">
        <w:rPr>
          <w:spacing w:val="53"/>
          <w:sz w:val="24"/>
          <w:szCs w:val="24"/>
        </w:rPr>
        <w:t xml:space="preserve"> </w:t>
      </w:r>
      <w:r w:rsidRPr="00EC361A">
        <w:rPr>
          <w:spacing w:val="-1"/>
          <w:sz w:val="24"/>
          <w:szCs w:val="24"/>
        </w:rPr>
        <w:t>Ritonavir trænger minimalt</w:t>
      </w:r>
      <w:r w:rsidRPr="00EC361A">
        <w:rPr>
          <w:spacing w:val="24"/>
          <w:sz w:val="24"/>
          <w:szCs w:val="24"/>
        </w:rPr>
        <w:t xml:space="preserve"> </w:t>
      </w:r>
      <w:r w:rsidRPr="00EC361A">
        <w:rPr>
          <w:spacing w:val="-1"/>
          <w:sz w:val="24"/>
          <w:szCs w:val="24"/>
        </w:rPr>
        <w:t>igennem til hjernen.</w:t>
      </w:r>
    </w:p>
    <w:p w:rsidR="003E5494" w:rsidRPr="00EC361A" w:rsidRDefault="003E5494" w:rsidP="003E5494">
      <w:pPr>
        <w:widowControl w:val="0"/>
        <w:tabs>
          <w:tab w:val="left" w:pos="0"/>
          <w:tab w:val="left" w:pos="9070"/>
        </w:tabs>
        <w:ind w:left="851"/>
        <w:rPr>
          <w:sz w:val="24"/>
          <w:szCs w:val="24"/>
        </w:rPr>
      </w:pPr>
    </w:p>
    <w:p w:rsidR="003E5494" w:rsidRPr="00EC361A" w:rsidRDefault="003E5494" w:rsidP="003E5494">
      <w:pPr>
        <w:keepNext/>
        <w:widowControl w:val="0"/>
        <w:tabs>
          <w:tab w:val="left" w:pos="0"/>
          <w:tab w:val="left" w:pos="9070"/>
        </w:tabs>
        <w:ind w:left="851"/>
        <w:rPr>
          <w:sz w:val="24"/>
          <w:szCs w:val="24"/>
        </w:rPr>
      </w:pPr>
      <w:r>
        <w:rPr>
          <w:spacing w:val="-1"/>
          <w:sz w:val="24"/>
          <w:szCs w:val="24"/>
          <w:u w:val="single" w:color="000000"/>
        </w:rPr>
        <w:t>Biotransformation</w:t>
      </w:r>
    </w:p>
    <w:p w:rsidR="006C56FF" w:rsidRPr="00EC361A" w:rsidRDefault="006C56FF" w:rsidP="006C56FF">
      <w:pPr>
        <w:widowControl w:val="0"/>
        <w:tabs>
          <w:tab w:val="left" w:pos="0"/>
          <w:tab w:val="left" w:pos="9070"/>
        </w:tabs>
        <w:ind w:left="851" w:right="338"/>
        <w:rPr>
          <w:sz w:val="24"/>
          <w:szCs w:val="24"/>
        </w:rPr>
      </w:pPr>
      <w:r w:rsidRPr="00EC361A">
        <w:rPr>
          <w:spacing w:val="-1"/>
          <w:sz w:val="24"/>
          <w:szCs w:val="24"/>
        </w:rPr>
        <w:t xml:space="preserve">Det er konstateret, at ritonavir </w:t>
      </w:r>
      <w:r w:rsidRPr="00EC361A">
        <w:rPr>
          <w:sz w:val="24"/>
          <w:szCs w:val="24"/>
        </w:rPr>
        <w:t>i</w:t>
      </w:r>
      <w:r w:rsidRPr="00EC361A">
        <w:rPr>
          <w:spacing w:val="-1"/>
          <w:sz w:val="24"/>
          <w:szCs w:val="24"/>
        </w:rPr>
        <w:t xml:space="preserve"> stor udstrækning metaboliseres af det hepatiske cytokrom P450-system, især af isoenzym CYP3A4-familien og </w:t>
      </w:r>
      <w:r w:rsidRPr="00EC361A">
        <w:rPr>
          <w:sz w:val="24"/>
          <w:szCs w:val="24"/>
        </w:rPr>
        <w:t>i</w:t>
      </w:r>
      <w:r w:rsidRPr="00EC361A">
        <w:rPr>
          <w:spacing w:val="-1"/>
          <w:sz w:val="24"/>
          <w:szCs w:val="24"/>
        </w:rPr>
        <w:t xml:space="preserve"> mindre udstrækning af CYP2D6-isoformen.</w:t>
      </w:r>
    </w:p>
    <w:p w:rsidR="006C56FF" w:rsidRPr="00EC361A" w:rsidRDefault="006C56FF" w:rsidP="006C56FF">
      <w:pPr>
        <w:widowControl w:val="0"/>
        <w:tabs>
          <w:tab w:val="left" w:pos="0"/>
          <w:tab w:val="left" w:pos="9070"/>
        </w:tabs>
        <w:ind w:left="851" w:right="90"/>
        <w:rPr>
          <w:sz w:val="24"/>
          <w:szCs w:val="24"/>
        </w:rPr>
      </w:pPr>
      <w:r w:rsidRPr="00EC361A">
        <w:rPr>
          <w:spacing w:val="-1"/>
          <w:sz w:val="24"/>
          <w:szCs w:val="24"/>
        </w:rPr>
        <w:t>Dyrestudier</w:t>
      </w:r>
      <w:r w:rsidRPr="00EC361A">
        <w:rPr>
          <w:spacing w:val="-2"/>
          <w:sz w:val="24"/>
          <w:szCs w:val="24"/>
        </w:rPr>
        <w:t xml:space="preserve"> </w:t>
      </w:r>
      <w:r w:rsidRPr="00EC361A">
        <w:rPr>
          <w:spacing w:val="-1"/>
          <w:sz w:val="24"/>
          <w:szCs w:val="24"/>
        </w:rPr>
        <w:t xml:space="preserve">samt </w:t>
      </w:r>
      <w:r w:rsidRPr="00EC361A">
        <w:rPr>
          <w:i/>
          <w:spacing w:val="-1"/>
          <w:sz w:val="24"/>
          <w:szCs w:val="24"/>
        </w:rPr>
        <w:t>in</w:t>
      </w:r>
      <w:r w:rsidRPr="00EC361A">
        <w:rPr>
          <w:i/>
          <w:sz w:val="24"/>
          <w:szCs w:val="24"/>
        </w:rPr>
        <w:t xml:space="preserve"> </w:t>
      </w:r>
      <w:r w:rsidRPr="00EC361A">
        <w:rPr>
          <w:i/>
          <w:spacing w:val="-1"/>
          <w:sz w:val="24"/>
          <w:szCs w:val="24"/>
        </w:rPr>
        <w:t>vitro</w:t>
      </w:r>
      <w:r w:rsidRPr="00EC361A">
        <w:rPr>
          <w:spacing w:val="-1"/>
          <w:sz w:val="24"/>
          <w:szCs w:val="24"/>
        </w:rPr>
        <w:t>-studie</w:t>
      </w:r>
      <w:r w:rsidRPr="00EC361A">
        <w:rPr>
          <w:sz w:val="24"/>
          <w:szCs w:val="24"/>
        </w:rPr>
        <w:t xml:space="preserve"> </w:t>
      </w:r>
      <w:r w:rsidRPr="00EC361A">
        <w:rPr>
          <w:spacing w:val="-1"/>
          <w:sz w:val="24"/>
          <w:szCs w:val="24"/>
        </w:rPr>
        <w:t>med humane hepatiske mikrosomer har vist, at ritonavir hovedsagelig</w:t>
      </w:r>
      <w:r w:rsidRPr="00EC361A">
        <w:rPr>
          <w:spacing w:val="42"/>
          <w:sz w:val="24"/>
          <w:szCs w:val="24"/>
        </w:rPr>
        <w:t xml:space="preserve"> </w:t>
      </w:r>
      <w:r w:rsidRPr="00EC361A">
        <w:rPr>
          <w:spacing w:val="-1"/>
          <w:sz w:val="24"/>
          <w:szCs w:val="24"/>
        </w:rPr>
        <w:t>metaboliseres oxidativt.</w:t>
      </w:r>
      <w:r w:rsidRPr="00EC361A">
        <w:rPr>
          <w:spacing w:val="54"/>
          <w:sz w:val="24"/>
          <w:szCs w:val="24"/>
        </w:rPr>
        <w:t xml:space="preserve"> </w:t>
      </w:r>
      <w:r w:rsidRPr="00EC361A">
        <w:rPr>
          <w:spacing w:val="-1"/>
          <w:sz w:val="24"/>
          <w:szCs w:val="24"/>
        </w:rPr>
        <w:t>Der er identificeret fire metabolitter af ritonavir hos mennesker.</w:t>
      </w:r>
    </w:p>
    <w:p w:rsidR="006C56FF" w:rsidRPr="00EC361A" w:rsidRDefault="006C56FF" w:rsidP="006C56FF">
      <w:pPr>
        <w:widowControl w:val="0"/>
        <w:tabs>
          <w:tab w:val="left" w:pos="0"/>
          <w:tab w:val="left" w:pos="9070"/>
        </w:tabs>
        <w:ind w:left="851" w:right="90"/>
        <w:rPr>
          <w:sz w:val="24"/>
          <w:szCs w:val="24"/>
        </w:rPr>
      </w:pPr>
      <w:r w:rsidRPr="00EC361A">
        <w:rPr>
          <w:spacing w:val="-1"/>
          <w:sz w:val="24"/>
          <w:szCs w:val="24"/>
        </w:rPr>
        <w:t xml:space="preserve">Isopropylthiazol oxidationsmetabolitten </w:t>
      </w:r>
      <w:r w:rsidRPr="00EC361A">
        <w:rPr>
          <w:spacing w:val="-2"/>
          <w:sz w:val="24"/>
          <w:szCs w:val="24"/>
        </w:rPr>
        <w:t>(M-2)</w:t>
      </w:r>
      <w:r w:rsidRPr="00EC361A">
        <w:rPr>
          <w:spacing w:val="-1"/>
          <w:sz w:val="24"/>
          <w:szCs w:val="24"/>
        </w:rPr>
        <w:t xml:space="preserve"> er den vigtigste metabolit og har en antiviral aktivitet,</w:t>
      </w:r>
      <w:r w:rsidRPr="00EC361A">
        <w:rPr>
          <w:spacing w:val="26"/>
          <w:sz w:val="24"/>
          <w:szCs w:val="24"/>
        </w:rPr>
        <w:t xml:space="preserve"> </w:t>
      </w:r>
      <w:r w:rsidRPr="00EC361A">
        <w:rPr>
          <w:spacing w:val="-1"/>
          <w:sz w:val="24"/>
          <w:szCs w:val="24"/>
        </w:rPr>
        <w:t>der ligner moderstoffets.</w:t>
      </w:r>
      <w:r w:rsidRPr="00EC361A">
        <w:rPr>
          <w:spacing w:val="52"/>
          <w:sz w:val="24"/>
          <w:szCs w:val="24"/>
        </w:rPr>
        <w:t xml:space="preserve"> </w:t>
      </w:r>
      <w:r w:rsidRPr="00EC361A">
        <w:rPr>
          <w:spacing w:val="-1"/>
          <w:sz w:val="24"/>
          <w:szCs w:val="24"/>
        </w:rPr>
        <w:t xml:space="preserve">Men AUC for </w:t>
      </w:r>
      <w:r w:rsidRPr="00EC361A">
        <w:rPr>
          <w:spacing w:val="-2"/>
          <w:sz w:val="24"/>
          <w:szCs w:val="24"/>
        </w:rPr>
        <w:t>M-2</w:t>
      </w:r>
      <w:r w:rsidRPr="00EC361A">
        <w:rPr>
          <w:sz w:val="24"/>
          <w:szCs w:val="24"/>
        </w:rPr>
        <w:t xml:space="preserve"> </w:t>
      </w:r>
      <w:r w:rsidRPr="00EC361A">
        <w:rPr>
          <w:spacing w:val="-1"/>
          <w:sz w:val="24"/>
          <w:szCs w:val="24"/>
        </w:rPr>
        <w:t xml:space="preserve">metabolitten var ca. </w:t>
      </w:r>
      <w:r w:rsidRPr="00EC361A">
        <w:rPr>
          <w:sz w:val="24"/>
          <w:szCs w:val="24"/>
        </w:rPr>
        <w:t>3</w:t>
      </w:r>
      <w:r w:rsidRPr="00EC361A">
        <w:rPr>
          <w:spacing w:val="-1"/>
          <w:sz w:val="24"/>
          <w:szCs w:val="24"/>
        </w:rPr>
        <w:t xml:space="preserve"> </w:t>
      </w:r>
      <w:r w:rsidRPr="00EC361A">
        <w:rPr>
          <w:sz w:val="24"/>
          <w:szCs w:val="24"/>
        </w:rPr>
        <w:t>%</w:t>
      </w:r>
      <w:r w:rsidRPr="00EC361A">
        <w:rPr>
          <w:spacing w:val="-1"/>
          <w:sz w:val="24"/>
          <w:szCs w:val="24"/>
        </w:rPr>
        <w:t xml:space="preserve"> af moderstoffets AUC.</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6C56FF">
      <w:pPr>
        <w:widowControl w:val="0"/>
        <w:tabs>
          <w:tab w:val="left" w:pos="0"/>
          <w:tab w:val="left" w:pos="9070"/>
        </w:tabs>
        <w:ind w:left="851" w:right="338"/>
        <w:rPr>
          <w:sz w:val="24"/>
          <w:szCs w:val="24"/>
        </w:rPr>
      </w:pPr>
      <w:r w:rsidRPr="00EC361A">
        <w:rPr>
          <w:spacing w:val="-1"/>
          <w:sz w:val="24"/>
          <w:szCs w:val="24"/>
        </w:rPr>
        <w:t>Lave doser af ritonavir har vist sig at have betydelig virkning på andre proteasehæmmeres</w:t>
      </w:r>
      <w:r w:rsidRPr="00EC361A">
        <w:rPr>
          <w:spacing w:val="26"/>
          <w:sz w:val="24"/>
          <w:szCs w:val="24"/>
        </w:rPr>
        <w:t xml:space="preserve"> </w:t>
      </w:r>
      <w:r w:rsidRPr="00EC361A">
        <w:rPr>
          <w:spacing w:val="-1"/>
          <w:sz w:val="24"/>
          <w:szCs w:val="24"/>
        </w:rPr>
        <w:t>farmakokinetik (og andre produkter metaboliseret via CYP3A4), og andre proteasehæmmere kan</w:t>
      </w:r>
      <w:r w:rsidRPr="00EC361A">
        <w:rPr>
          <w:spacing w:val="20"/>
          <w:sz w:val="24"/>
          <w:szCs w:val="24"/>
        </w:rPr>
        <w:t xml:space="preserve"> </w:t>
      </w:r>
      <w:r w:rsidRPr="00EC361A">
        <w:rPr>
          <w:spacing w:val="-1"/>
          <w:sz w:val="24"/>
          <w:szCs w:val="24"/>
        </w:rPr>
        <w:t xml:space="preserve">påvirke ritonavirs </w:t>
      </w:r>
      <w:r w:rsidRPr="00EC361A">
        <w:rPr>
          <w:spacing w:val="-2"/>
          <w:sz w:val="24"/>
          <w:szCs w:val="24"/>
        </w:rPr>
        <w:t>farmakokinetik</w:t>
      </w:r>
      <w:r w:rsidRPr="00EC361A">
        <w:rPr>
          <w:spacing w:val="-1"/>
          <w:sz w:val="24"/>
          <w:szCs w:val="24"/>
        </w:rPr>
        <w:t xml:space="preserve"> (se pkt. 4.5).</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6C56FF">
      <w:pPr>
        <w:widowControl w:val="0"/>
        <w:tabs>
          <w:tab w:val="left" w:pos="0"/>
          <w:tab w:val="left" w:pos="9070"/>
        </w:tabs>
        <w:ind w:left="851"/>
        <w:rPr>
          <w:sz w:val="24"/>
          <w:szCs w:val="24"/>
        </w:rPr>
      </w:pPr>
      <w:r w:rsidRPr="00EC361A">
        <w:rPr>
          <w:spacing w:val="-1"/>
          <w:sz w:val="24"/>
          <w:szCs w:val="24"/>
          <w:u w:val="single" w:color="000000"/>
        </w:rPr>
        <w:t>Elimination</w:t>
      </w:r>
    </w:p>
    <w:p w:rsidR="006C56FF" w:rsidRPr="00EC361A" w:rsidRDefault="006C56FF" w:rsidP="006C56FF">
      <w:pPr>
        <w:widowControl w:val="0"/>
        <w:tabs>
          <w:tab w:val="left" w:pos="0"/>
          <w:tab w:val="left" w:pos="9070"/>
        </w:tabs>
        <w:ind w:left="851" w:right="153"/>
        <w:rPr>
          <w:sz w:val="24"/>
          <w:szCs w:val="24"/>
        </w:rPr>
      </w:pPr>
      <w:r w:rsidRPr="00EC361A">
        <w:rPr>
          <w:spacing w:val="-1"/>
          <w:sz w:val="24"/>
          <w:szCs w:val="24"/>
        </w:rPr>
        <w:t xml:space="preserve">Humane </w:t>
      </w:r>
      <w:r w:rsidRPr="00EC361A">
        <w:rPr>
          <w:sz w:val="24"/>
          <w:szCs w:val="24"/>
        </w:rPr>
        <w:t>studier</w:t>
      </w:r>
      <w:r w:rsidRPr="00EC361A">
        <w:rPr>
          <w:spacing w:val="1"/>
          <w:sz w:val="24"/>
          <w:szCs w:val="24"/>
        </w:rPr>
        <w:t xml:space="preserve"> </w:t>
      </w:r>
      <w:r w:rsidRPr="00EC361A">
        <w:rPr>
          <w:spacing w:val="-1"/>
          <w:sz w:val="24"/>
          <w:szCs w:val="24"/>
        </w:rPr>
        <w:t>med radiomærket ritonavir har vist, at udskillelsen af ritonavir hovedsagelig sker via</w:t>
      </w:r>
      <w:r w:rsidRPr="00EC361A">
        <w:rPr>
          <w:spacing w:val="24"/>
          <w:sz w:val="24"/>
          <w:szCs w:val="24"/>
        </w:rPr>
        <w:t xml:space="preserve"> </w:t>
      </w:r>
      <w:r w:rsidRPr="00EC361A">
        <w:rPr>
          <w:spacing w:val="-2"/>
          <w:sz w:val="24"/>
          <w:szCs w:val="24"/>
        </w:rPr>
        <w:t>lever-/galdesystemet;</w:t>
      </w:r>
      <w:r w:rsidRPr="00EC361A">
        <w:rPr>
          <w:spacing w:val="-1"/>
          <w:sz w:val="24"/>
          <w:szCs w:val="24"/>
        </w:rPr>
        <w:t xml:space="preserve"> ca. 86 </w:t>
      </w:r>
      <w:r w:rsidRPr="00EC361A">
        <w:rPr>
          <w:sz w:val="24"/>
          <w:szCs w:val="24"/>
        </w:rPr>
        <w:t>%</w:t>
      </w:r>
      <w:r w:rsidRPr="00EC361A">
        <w:rPr>
          <w:spacing w:val="-1"/>
          <w:sz w:val="24"/>
          <w:szCs w:val="24"/>
        </w:rPr>
        <w:t xml:space="preserve"> af radiomærkningen blev genfundet </w:t>
      </w:r>
      <w:r w:rsidRPr="00EC361A">
        <w:rPr>
          <w:sz w:val="24"/>
          <w:szCs w:val="24"/>
        </w:rPr>
        <w:t>i</w:t>
      </w:r>
      <w:r w:rsidRPr="00EC361A">
        <w:rPr>
          <w:spacing w:val="-1"/>
          <w:sz w:val="24"/>
          <w:szCs w:val="24"/>
        </w:rPr>
        <w:t xml:space="preserve"> fæces, hvoraf en del anses for at</w:t>
      </w:r>
      <w:r w:rsidRPr="00EC361A">
        <w:rPr>
          <w:spacing w:val="64"/>
          <w:sz w:val="24"/>
          <w:szCs w:val="24"/>
        </w:rPr>
        <w:t xml:space="preserve"> </w:t>
      </w:r>
      <w:r w:rsidRPr="00EC361A">
        <w:rPr>
          <w:spacing w:val="-1"/>
          <w:sz w:val="24"/>
          <w:szCs w:val="24"/>
        </w:rPr>
        <w:t>være uabsorberet ritonavir.</w:t>
      </w:r>
      <w:r w:rsidRPr="00EC361A">
        <w:rPr>
          <w:spacing w:val="54"/>
          <w:sz w:val="24"/>
          <w:szCs w:val="24"/>
        </w:rPr>
        <w:t xml:space="preserve"> </w:t>
      </w:r>
      <w:r w:rsidRPr="00EC361A">
        <w:rPr>
          <w:sz w:val="24"/>
          <w:szCs w:val="24"/>
        </w:rPr>
        <w:t>I</w:t>
      </w:r>
      <w:r w:rsidRPr="00EC361A">
        <w:rPr>
          <w:spacing w:val="-1"/>
          <w:sz w:val="24"/>
          <w:szCs w:val="24"/>
        </w:rPr>
        <w:t xml:space="preserve"> disse studier</w:t>
      </w:r>
      <w:r w:rsidRPr="00EC361A">
        <w:rPr>
          <w:spacing w:val="1"/>
          <w:sz w:val="24"/>
          <w:szCs w:val="24"/>
        </w:rPr>
        <w:t xml:space="preserve"> </w:t>
      </w:r>
      <w:r w:rsidRPr="00EC361A">
        <w:rPr>
          <w:spacing w:val="-1"/>
          <w:sz w:val="24"/>
          <w:szCs w:val="24"/>
        </w:rPr>
        <w:t>fandtes udskillelse via nyrerne ikke at være en vigtig vej til</w:t>
      </w:r>
      <w:r w:rsidRPr="00EC361A">
        <w:rPr>
          <w:spacing w:val="28"/>
          <w:sz w:val="24"/>
          <w:szCs w:val="24"/>
        </w:rPr>
        <w:t xml:space="preserve"> </w:t>
      </w:r>
      <w:r w:rsidRPr="00EC361A">
        <w:rPr>
          <w:spacing w:val="-1"/>
          <w:sz w:val="24"/>
          <w:szCs w:val="24"/>
        </w:rPr>
        <w:t>udskillelse af ritonavir.</w:t>
      </w:r>
      <w:r w:rsidRPr="00EC361A">
        <w:rPr>
          <w:spacing w:val="54"/>
          <w:sz w:val="24"/>
          <w:szCs w:val="24"/>
        </w:rPr>
        <w:t xml:space="preserve"> </w:t>
      </w:r>
      <w:r w:rsidRPr="00EC361A">
        <w:rPr>
          <w:spacing w:val="-1"/>
          <w:sz w:val="24"/>
          <w:szCs w:val="24"/>
        </w:rPr>
        <w:t xml:space="preserve">Dette var </w:t>
      </w:r>
      <w:r w:rsidRPr="00EC361A">
        <w:rPr>
          <w:sz w:val="24"/>
          <w:szCs w:val="24"/>
        </w:rPr>
        <w:t>i</w:t>
      </w:r>
      <w:r w:rsidRPr="00EC361A">
        <w:rPr>
          <w:spacing w:val="-1"/>
          <w:sz w:val="24"/>
          <w:szCs w:val="24"/>
        </w:rPr>
        <w:t xml:space="preserve"> overensstemmelse med observationerne </w:t>
      </w:r>
      <w:r w:rsidRPr="00EC361A">
        <w:rPr>
          <w:sz w:val="24"/>
          <w:szCs w:val="24"/>
        </w:rPr>
        <w:t>i</w:t>
      </w:r>
      <w:r w:rsidRPr="00EC361A">
        <w:rPr>
          <w:spacing w:val="-1"/>
          <w:sz w:val="24"/>
          <w:szCs w:val="24"/>
        </w:rPr>
        <w:t xml:space="preserve"> dyrestudier.</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6C56FF">
      <w:pPr>
        <w:widowControl w:val="0"/>
        <w:tabs>
          <w:tab w:val="left" w:pos="0"/>
          <w:tab w:val="left" w:pos="9070"/>
        </w:tabs>
        <w:ind w:left="851"/>
        <w:rPr>
          <w:sz w:val="24"/>
          <w:szCs w:val="24"/>
        </w:rPr>
      </w:pPr>
      <w:r w:rsidRPr="00EC361A">
        <w:rPr>
          <w:spacing w:val="-1"/>
          <w:sz w:val="24"/>
          <w:szCs w:val="24"/>
          <w:u w:val="single" w:color="000000"/>
        </w:rPr>
        <w:t>Særlige populationer</w:t>
      </w:r>
    </w:p>
    <w:p w:rsidR="006C56FF" w:rsidRPr="00EC361A" w:rsidRDefault="006C56FF" w:rsidP="006C56FF">
      <w:pPr>
        <w:widowControl w:val="0"/>
        <w:tabs>
          <w:tab w:val="left" w:pos="0"/>
          <w:tab w:val="left" w:pos="9070"/>
        </w:tabs>
        <w:ind w:left="851" w:right="222"/>
        <w:rPr>
          <w:sz w:val="24"/>
          <w:szCs w:val="24"/>
        </w:rPr>
      </w:pPr>
      <w:r w:rsidRPr="00EC361A">
        <w:rPr>
          <w:spacing w:val="-1"/>
          <w:sz w:val="24"/>
          <w:szCs w:val="24"/>
        </w:rPr>
        <w:t>Der blev ikke konstateret nogen klinisk betydningsfuld</w:t>
      </w:r>
      <w:r w:rsidRPr="00EC361A">
        <w:rPr>
          <w:spacing w:val="54"/>
          <w:sz w:val="24"/>
          <w:szCs w:val="24"/>
        </w:rPr>
        <w:t xml:space="preserve"> </w:t>
      </w:r>
      <w:r w:rsidRPr="00EC361A">
        <w:rPr>
          <w:spacing w:val="-1"/>
          <w:sz w:val="24"/>
          <w:szCs w:val="24"/>
        </w:rPr>
        <w:t xml:space="preserve">forskel </w:t>
      </w:r>
      <w:r w:rsidRPr="00EC361A">
        <w:rPr>
          <w:sz w:val="24"/>
          <w:szCs w:val="24"/>
        </w:rPr>
        <w:t>i</w:t>
      </w:r>
      <w:r w:rsidRPr="00EC361A">
        <w:rPr>
          <w:spacing w:val="-1"/>
          <w:sz w:val="24"/>
          <w:szCs w:val="24"/>
        </w:rPr>
        <w:t xml:space="preserve"> AUC eller </w:t>
      </w:r>
      <w:r w:rsidRPr="00EC361A">
        <w:rPr>
          <w:spacing w:val="-2"/>
          <w:sz w:val="24"/>
          <w:szCs w:val="24"/>
        </w:rPr>
        <w:t>C</w:t>
      </w:r>
      <w:r w:rsidRPr="00485FFD">
        <w:rPr>
          <w:spacing w:val="-2"/>
          <w:position w:val="-3"/>
          <w:sz w:val="24"/>
          <w:szCs w:val="24"/>
          <w:vertAlign w:val="subscript"/>
        </w:rPr>
        <w:t>max</w:t>
      </w:r>
      <w:r w:rsidRPr="00EC361A">
        <w:rPr>
          <w:position w:val="-3"/>
          <w:sz w:val="24"/>
          <w:szCs w:val="24"/>
        </w:rPr>
        <w:t xml:space="preserve"> </w:t>
      </w:r>
      <w:r w:rsidRPr="00EC361A">
        <w:rPr>
          <w:spacing w:val="-1"/>
          <w:sz w:val="24"/>
          <w:szCs w:val="24"/>
        </w:rPr>
        <w:t>mellem</w:t>
      </w:r>
      <w:r w:rsidRPr="00EC361A">
        <w:rPr>
          <w:spacing w:val="-2"/>
          <w:sz w:val="24"/>
          <w:szCs w:val="24"/>
        </w:rPr>
        <w:t xml:space="preserve"> </w:t>
      </w:r>
      <w:r w:rsidRPr="00EC361A">
        <w:rPr>
          <w:spacing w:val="-1"/>
          <w:sz w:val="24"/>
          <w:szCs w:val="24"/>
        </w:rPr>
        <w:t>mænd</w:t>
      </w:r>
      <w:r w:rsidRPr="00EC361A">
        <w:rPr>
          <w:spacing w:val="-2"/>
          <w:sz w:val="24"/>
          <w:szCs w:val="24"/>
        </w:rPr>
        <w:t xml:space="preserve"> </w:t>
      </w:r>
      <w:r w:rsidRPr="00EC361A">
        <w:rPr>
          <w:spacing w:val="-1"/>
          <w:sz w:val="24"/>
          <w:szCs w:val="24"/>
        </w:rPr>
        <w:t>og</w:t>
      </w:r>
      <w:r w:rsidRPr="00EC361A">
        <w:rPr>
          <w:spacing w:val="28"/>
          <w:sz w:val="24"/>
          <w:szCs w:val="24"/>
        </w:rPr>
        <w:t xml:space="preserve"> </w:t>
      </w:r>
      <w:r w:rsidRPr="00EC361A">
        <w:rPr>
          <w:spacing w:val="-1"/>
          <w:sz w:val="24"/>
          <w:szCs w:val="24"/>
        </w:rPr>
        <w:t>kvinder. Ritonavirs farmakokinetiske parametre var ikke statistisk signifikant associeret</w:t>
      </w:r>
      <w:r w:rsidRPr="00EC361A">
        <w:rPr>
          <w:spacing w:val="54"/>
          <w:sz w:val="24"/>
          <w:szCs w:val="24"/>
        </w:rPr>
        <w:t xml:space="preserve"> </w:t>
      </w:r>
      <w:r w:rsidRPr="00EC361A">
        <w:rPr>
          <w:spacing w:val="-1"/>
          <w:sz w:val="24"/>
          <w:szCs w:val="24"/>
        </w:rPr>
        <w:t>med</w:t>
      </w:r>
      <w:r w:rsidRPr="00EC361A">
        <w:rPr>
          <w:spacing w:val="29"/>
          <w:sz w:val="24"/>
          <w:szCs w:val="24"/>
        </w:rPr>
        <w:t xml:space="preserve"> </w:t>
      </w:r>
      <w:r w:rsidRPr="00EC361A">
        <w:rPr>
          <w:spacing w:val="-1"/>
          <w:sz w:val="24"/>
          <w:szCs w:val="24"/>
        </w:rPr>
        <w:t>legemsvægt eller fedtfri kropsmasse.</w:t>
      </w:r>
      <w:r>
        <w:rPr>
          <w:sz w:val="24"/>
          <w:szCs w:val="24"/>
        </w:rPr>
        <w:t xml:space="preserve"> </w:t>
      </w:r>
      <w:r w:rsidRPr="00EC361A">
        <w:rPr>
          <w:spacing w:val="-1"/>
          <w:sz w:val="24"/>
          <w:szCs w:val="24"/>
        </w:rPr>
        <w:t>Ritonavir plasma-eksponering hos patienter på 50</w:t>
      </w:r>
      <w:r>
        <w:rPr>
          <w:spacing w:val="-1"/>
          <w:sz w:val="24"/>
          <w:szCs w:val="24"/>
        </w:rPr>
        <w:t>-</w:t>
      </w:r>
      <w:r w:rsidRPr="00EC361A">
        <w:rPr>
          <w:spacing w:val="-1"/>
          <w:sz w:val="24"/>
          <w:szCs w:val="24"/>
        </w:rPr>
        <w:t>70 år</w:t>
      </w:r>
      <w:r w:rsidRPr="00EC361A">
        <w:rPr>
          <w:spacing w:val="20"/>
          <w:sz w:val="24"/>
          <w:szCs w:val="24"/>
        </w:rPr>
        <w:t xml:space="preserve"> </w:t>
      </w:r>
      <w:r w:rsidRPr="00EC361A">
        <w:rPr>
          <w:spacing w:val="-1"/>
          <w:sz w:val="24"/>
          <w:szCs w:val="24"/>
        </w:rPr>
        <w:t>doseret med 100 mg</w:t>
      </w:r>
      <w:r w:rsidRPr="00EC361A">
        <w:rPr>
          <w:spacing w:val="-3"/>
          <w:sz w:val="24"/>
          <w:szCs w:val="24"/>
        </w:rPr>
        <w:t xml:space="preserve"> </w:t>
      </w:r>
      <w:r w:rsidRPr="00EC361A">
        <w:rPr>
          <w:sz w:val="24"/>
          <w:szCs w:val="24"/>
        </w:rPr>
        <w:t>i</w:t>
      </w:r>
      <w:r w:rsidRPr="00EC361A">
        <w:rPr>
          <w:spacing w:val="-1"/>
          <w:sz w:val="24"/>
          <w:szCs w:val="24"/>
        </w:rPr>
        <w:t xml:space="preserve"> kombination med lopinavir eller </w:t>
      </w:r>
      <w:r w:rsidRPr="00EC361A">
        <w:rPr>
          <w:sz w:val="24"/>
          <w:szCs w:val="24"/>
        </w:rPr>
        <w:t>i</w:t>
      </w:r>
      <w:r w:rsidRPr="00EC361A">
        <w:rPr>
          <w:spacing w:val="-1"/>
          <w:sz w:val="24"/>
          <w:szCs w:val="24"/>
        </w:rPr>
        <w:t xml:space="preserve"> højere doser ved fravær af andre protease-</w:t>
      </w:r>
      <w:r w:rsidRPr="00EC361A">
        <w:rPr>
          <w:spacing w:val="29"/>
          <w:sz w:val="24"/>
          <w:szCs w:val="24"/>
        </w:rPr>
        <w:t xml:space="preserve"> </w:t>
      </w:r>
      <w:r w:rsidRPr="00EC361A">
        <w:rPr>
          <w:spacing w:val="-1"/>
          <w:sz w:val="24"/>
          <w:szCs w:val="24"/>
        </w:rPr>
        <w:t>hæmmere, er sammenlignelig med, hvad der observeres hos yngre voksne.</w:t>
      </w:r>
    </w:p>
    <w:p w:rsidR="006C56FF" w:rsidRPr="00EC361A" w:rsidRDefault="006C56FF" w:rsidP="006C56FF">
      <w:pPr>
        <w:widowControl w:val="0"/>
        <w:tabs>
          <w:tab w:val="left" w:pos="0"/>
          <w:tab w:val="left" w:pos="9070"/>
        </w:tabs>
        <w:ind w:left="851"/>
        <w:rPr>
          <w:sz w:val="24"/>
          <w:szCs w:val="24"/>
        </w:rPr>
      </w:pPr>
    </w:p>
    <w:p w:rsidR="006C56FF" w:rsidRDefault="006C56FF" w:rsidP="006C56FF">
      <w:pPr>
        <w:widowControl w:val="0"/>
        <w:tabs>
          <w:tab w:val="left" w:pos="0"/>
          <w:tab w:val="left" w:pos="9070"/>
        </w:tabs>
        <w:ind w:left="851"/>
        <w:rPr>
          <w:sz w:val="24"/>
          <w:szCs w:val="24"/>
          <w:u w:val="single"/>
        </w:rPr>
      </w:pPr>
      <w:r>
        <w:rPr>
          <w:sz w:val="24"/>
          <w:szCs w:val="24"/>
          <w:u w:val="single"/>
        </w:rPr>
        <w:t>Patienter med nedsat leverfunktion</w:t>
      </w:r>
    </w:p>
    <w:p w:rsidR="006C56FF" w:rsidRDefault="006C56FF" w:rsidP="006C56FF">
      <w:pPr>
        <w:widowControl w:val="0"/>
        <w:tabs>
          <w:tab w:val="left" w:pos="0"/>
          <w:tab w:val="left" w:pos="9070"/>
        </w:tabs>
        <w:ind w:left="851" w:right="191"/>
        <w:rPr>
          <w:sz w:val="24"/>
          <w:szCs w:val="24"/>
        </w:rPr>
      </w:pPr>
      <w:r>
        <w:rPr>
          <w:sz w:val="24"/>
          <w:szCs w:val="24"/>
        </w:rPr>
        <w:t xml:space="preserve">Efter gentagen dosering af ritonavir til raske frivilige (500 mg to gange daglig) og patienter med mild til moderat svækket leverfunktion (400 mg to gange daglig) var dosiseksponeringen af ritonavir efter normaliseing af dosis ikke signifikant forskellig i de </w:t>
      </w:r>
      <w:r>
        <w:rPr>
          <w:sz w:val="24"/>
          <w:szCs w:val="24"/>
        </w:rPr>
        <w:lastRenderedPageBreak/>
        <w:t>to grupper.</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7C1BB9">
      <w:pPr>
        <w:keepNext/>
        <w:tabs>
          <w:tab w:val="left" w:pos="0"/>
          <w:tab w:val="left" w:pos="9070"/>
        </w:tabs>
        <w:ind w:left="851"/>
        <w:rPr>
          <w:sz w:val="24"/>
          <w:szCs w:val="24"/>
          <w:u w:val="single"/>
        </w:rPr>
      </w:pPr>
      <w:r w:rsidRPr="00EC361A">
        <w:rPr>
          <w:spacing w:val="-1"/>
          <w:sz w:val="24"/>
          <w:szCs w:val="24"/>
          <w:u w:val="single"/>
        </w:rPr>
        <w:t>Patienter</w:t>
      </w:r>
      <w:r w:rsidRPr="00EC361A">
        <w:rPr>
          <w:sz w:val="24"/>
          <w:szCs w:val="24"/>
          <w:u w:val="single"/>
        </w:rPr>
        <w:t xml:space="preserve"> </w:t>
      </w:r>
      <w:r w:rsidRPr="00EC361A">
        <w:rPr>
          <w:spacing w:val="-1"/>
          <w:sz w:val="24"/>
          <w:szCs w:val="24"/>
          <w:u w:val="single"/>
        </w:rPr>
        <w:t>med nedsat</w:t>
      </w:r>
      <w:r w:rsidRPr="00EC361A">
        <w:rPr>
          <w:spacing w:val="1"/>
          <w:sz w:val="24"/>
          <w:szCs w:val="24"/>
          <w:u w:val="single"/>
        </w:rPr>
        <w:t xml:space="preserve"> </w:t>
      </w:r>
      <w:r w:rsidRPr="00EC361A">
        <w:rPr>
          <w:spacing w:val="-1"/>
          <w:sz w:val="24"/>
          <w:szCs w:val="24"/>
          <w:u w:val="single"/>
        </w:rPr>
        <w:t>nyrefunktion</w:t>
      </w:r>
    </w:p>
    <w:p w:rsidR="006C56FF" w:rsidRPr="00EC361A" w:rsidRDefault="006C56FF" w:rsidP="006C56FF">
      <w:pPr>
        <w:widowControl w:val="0"/>
        <w:tabs>
          <w:tab w:val="left" w:pos="0"/>
          <w:tab w:val="left" w:pos="9070"/>
        </w:tabs>
        <w:ind w:left="851" w:right="338"/>
        <w:rPr>
          <w:sz w:val="24"/>
          <w:szCs w:val="24"/>
        </w:rPr>
      </w:pPr>
      <w:r w:rsidRPr="00EC361A">
        <w:rPr>
          <w:spacing w:val="-1"/>
          <w:sz w:val="24"/>
          <w:szCs w:val="24"/>
        </w:rPr>
        <w:t>Ritonavirs farmakokinetiske parametre er ikke undersøgt hos patienter med svækket nyrefunktion.</w:t>
      </w:r>
      <w:r w:rsidRPr="00EC361A">
        <w:rPr>
          <w:spacing w:val="20"/>
          <w:sz w:val="24"/>
          <w:szCs w:val="24"/>
        </w:rPr>
        <w:t xml:space="preserve"> </w:t>
      </w:r>
      <w:r w:rsidRPr="00EC361A">
        <w:rPr>
          <w:spacing w:val="-1"/>
          <w:sz w:val="24"/>
          <w:szCs w:val="24"/>
        </w:rPr>
        <w:t xml:space="preserve">Eftersom nyreclearance af ritonavir er minimal, forventes der imidlertid ingen ændringer </w:t>
      </w:r>
      <w:r w:rsidRPr="00EC361A">
        <w:rPr>
          <w:sz w:val="24"/>
          <w:szCs w:val="24"/>
        </w:rPr>
        <w:t>i</w:t>
      </w:r>
      <w:r w:rsidRPr="00EC361A">
        <w:rPr>
          <w:spacing w:val="-1"/>
          <w:sz w:val="24"/>
          <w:szCs w:val="24"/>
        </w:rPr>
        <w:t xml:space="preserve"> kroppens</w:t>
      </w:r>
      <w:r w:rsidRPr="00EC361A">
        <w:rPr>
          <w:spacing w:val="22"/>
          <w:sz w:val="24"/>
          <w:szCs w:val="24"/>
        </w:rPr>
        <w:t xml:space="preserve"> </w:t>
      </w:r>
      <w:r w:rsidRPr="00EC361A">
        <w:rPr>
          <w:spacing w:val="-1"/>
          <w:sz w:val="24"/>
          <w:szCs w:val="24"/>
        </w:rPr>
        <w:t>samlede clearance hos patienter med nedsat nyrefunktion.</w:t>
      </w:r>
    </w:p>
    <w:p w:rsidR="006C56FF" w:rsidRPr="00EC361A" w:rsidRDefault="006C56FF" w:rsidP="006C56FF">
      <w:pPr>
        <w:widowControl w:val="0"/>
        <w:tabs>
          <w:tab w:val="left" w:pos="0"/>
          <w:tab w:val="left" w:pos="9070"/>
        </w:tabs>
        <w:ind w:left="851"/>
        <w:rPr>
          <w:sz w:val="24"/>
          <w:szCs w:val="24"/>
        </w:rPr>
      </w:pPr>
    </w:p>
    <w:p w:rsidR="006C56FF" w:rsidRPr="00EC361A" w:rsidRDefault="006C56FF" w:rsidP="006C56FF">
      <w:pPr>
        <w:widowControl w:val="0"/>
        <w:ind w:left="851"/>
        <w:rPr>
          <w:sz w:val="24"/>
          <w:szCs w:val="24"/>
          <w:u w:val="single"/>
        </w:rPr>
      </w:pPr>
      <w:r w:rsidRPr="00EC361A">
        <w:rPr>
          <w:sz w:val="24"/>
          <w:szCs w:val="24"/>
          <w:u w:val="single"/>
        </w:rPr>
        <w:t>Pædiatriske patienter</w:t>
      </w:r>
    </w:p>
    <w:p w:rsidR="006C56FF" w:rsidRPr="00EC361A" w:rsidRDefault="006C56FF" w:rsidP="006C56FF">
      <w:pPr>
        <w:widowControl w:val="0"/>
        <w:ind w:left="851"/>
        <w:rPr>
          <w:sz w:val="24"/>
          <w:szCs w:val="24"/>
        </w:rPr>
      </w:pPr>
      <w:r w:rsidRPr="00EC361A">
        <w:rPr>
          <w:sz w:val="24"/>
          <w:szCs w:val="24"/>
        </w:rPr>
        <w:t>Ritonavirs steady-state farmakokinetiske parametre er blevet undersøgt hos hiv-inficerede børn over 2 år, som fik doser fra 250 mg/m² to gange daglig til 400 mg/m² to gange daglig. De opnåede koncentrationer af ritonavir efter 350 til 400 mg/m² to gange daglig hos pædiatriske patienter var sammenlignelige med de koncentrationer, der blev opnået hos voksne, som fik 600 mg (ca. 330 mg/m²) to gange daglig. På tværs af dosisgrupper var oral clearance (CL/F/m</w:t>
      </w:r>
      <w:r w:rsidRPr="00EC361A">
        <w:rPr>
          <w:sz w:val="24"/>
          <w:szCs w:val="24"/>
          <w:vertAlign w:val="superscript"/>
        </w:rPr>
        <w:t>2</w:t>
      </w:r>
      <w:r w:rsidRPr="00EC361A">
        <w:rPr>
          <w:sz w:val="24"/>
          <w:szCs w:val="24"/>
        </w:rPr>
        <w:t>) af ritonavir ca. 1,5 til 1,7 gange hurtigere hos pædiatriske patienter over 2 år end hos voksne forsøgspersoner.</w:t>
      </w:r>
    </w:p>
    <w:p w:rsidR="006C56FF" w:rsidRPr="00EC361A" w:rsidRDefault="006C56FF" w:rsidP="006C56FF">
      <w:pPr>
        <w:widowControl w:val="0"/>
        <w:ind w:left="851"/>
        <w:rPr>
          <w:sz w:val="24"/>
          <w:szCs w:val="24"/>
        </w:rPr>
      </w:pPr>
    </w:p>
    <w:p w:rsidR="006C56FF" w:rsidRPr="00C84483" w:rsidRDefault="006C56FF" w:rsidP="006C56FF">
      <w:pPr>
        <w:ind w:left="851"/>
        <w:rPr>
          <w:sz w:val="24"/>
          <w:szCs w:val="24"/>
        </w:rPr>
      </w:pPr>
      <w:r w:rsidRPr="00EC361A">
        <w:rPr>
          <w:sz w:val="24"/>
          <w:szCs w:val="24"/>
        </w:rPr>
        <w:t>Ritonavirs steady-state farmakokinetiske parametre blev undersøgt hos hiv-inficerede børn under 2 år, som fik doser fra 350 til 450 mg/m² to gange daglig. De opnåede koncentrationer af ritonavir i dette</w:t>
      </w:r>
      <w:r>
        <w:rPr>
          <w:sz w:val="24"/>
          <w:szCs w:val="24"/>
        </w:rPr>
        <w:t xml:space="preserve"> </w:t>
      </w:r>
      <w:r w:rsidRPr="00EC361A">
        <w:rPr>
          <w:sz w:val="24"/>
          <w:szCs w:val="24"/>
        </w:rPr>
        <w:t>studie var meget variable og noget lavere end de koncentrationer, der blev opnået hos voksne, som fik 600 mg (ca. 330 mg/m²) to gange daglig. På tværs af dosisgrupper var oral clearance (CL/F/m</w:t>
      </w:r>
      <w:r w:rsidRPr="00EC361A">
        <w:rPr>
          <w:sz w:val="24"/>
          <w:szCs w:val="24"/>
          <w:vertAlign w:val="superscript"/>
        </w:rPr>
        <w:t>2</w:t>
      </w:r>
      <w:r w:rsidRPr="00EC361A">
        <w:rPr>
          <w:sz w:val="24"/>
          <w:szCs w:val="24"/>
        </w:rPr>
        <w:t>) af ritonavir faldt med alder med middelværdier på 9,0 l/t/m</w:t>
      </w:r>
      <w:r w:rsidRPr="00EC361A">
        <w:rPr>
          <w:sz w:val="24"/>
          <w:szCs w:val="24"/>
          <w:vertAlign w:val="superscript"/>
        </w:rPr>
        <w:t>2</w:t>
      </w:r>
      <w:r w:rsidRPr="00EC361A">
        <w:rPr>
          <w:sz w:val="24"/>
          <w:szCs w:val="24"/>
        </w:rPr>
        <w:t xml:space="preserve"> hos børn på under 3 måneder, 7,8 l/t/m</w:t>
      </w:r>
      <w:r w:rsidRPr="00EC361A">
        <w:rPr>
          <w:sz w:val="24"/>
          <w:szCs w:val="24"/>
          <w:vertAlign w:val="superscript"/>
        </w:rPr>
        <w:t>2</w:t>
      </w:r>
      <w:r w:rsidRPr="00EC361A">
        <w:rPr>
          <w:sz w:val="24"/>
          <w:szCs w:val="24"/>
        </w:rPr>
        <w:t xml:space="preserve"> hos børn på mellem 3 og 6 måneder og 4,4 l/t/m</w:t>
      </w:r>
      <w:r w:rsidRPr="00EC361A">
        <w:rPr>
          <w:sz w:val="24"/>
          <w:szCs w:val="24"/>
          <w:vertAlign w:val="superscript"/>
        </w:rPr>
        <w:t>2</w:t>
      </w:r>
      <w:r w:rsidRPr="00EC361A">
        <w:rPr>
          <w:sz w:val="24"/>
          <w:szCs w:val="24"/>
        </w:rPr>
        <w:t xml:space="preserve"> hos børn på mellem 6 og 24 måneder.</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5.3</w:t>
      </w:r>
      <w:r w:rsidRPr="00C84483">
        <w:rPr>
          <w:b/>
          <w:sz w:val="24"/>
          <w:szCs w:val="24"/>
        </w:rPr>
        <w:tab/>
      </w:r>
      <w:bookmarkStart w:id="2" w:name="_Hlk143256142"/>
      <w:r w:rsidR="00E916DB" w:rsidRPr="00421BF6">
        <w:rPr>
          <w:b/>
          <w:sz w:val="24"/>
          <w:szCs w:val="24"/>
        </w:rPr>
        <w:t>Non-kliniske sikkerhedsdata</w:t>
      </w:r>
      <w:bookmarkEnd w:id="2"/>
    </w:p>
    <w:p w:rsidR="006C56FF" w:rsidRPr="00EC361A" w:rsidRDefault="006C56FF" w:rsidP="006C56FF">
      <w:pPr>
        <w:widowControl w:val="0"/>
        <w:tabs>
          <w:tab w:val="left" w:pos="0"/>
          <w:tab w:val="left" w:pos="9070"/>
        </w:tabs>
        <w:ind w:left="851" w:right="158"/>
        <w:rPr>
          <w:sz w:val="24"/>
          <w:szCs w:val="24"/>
        </w:rPr>
      </w:pPr>
      <w:r w:rsidRPr="00EC361A">
        <w:rPr>
          <w:spacing w:val="-1"/>
          <w:sz w:val="24"/>
          <w:szCs w:val="24"/>
        </w:rPr>
        <w:t xml:space="preserve">Toksicitetsundersøgelser med gentagen indgift </w:t>
      </w:r>
      <w:r w:rsidRPr="00EC361A">
        <w:rPr>
          <w:sz w:val="24"/>
          <w:szCs w:val="24"/>
        </w:rPr>
        <w:t>i</w:t>
      </w:r>
      <w:r w:rsidRPr="00EC361A">
        <w:rPr>
          <w:spacing w:val="-1"/>
          <w:sz w:val="24"/>
          <w:szCs w:val="24"/>
        </w:rPr>
        <w:t xml:space="preserve"> dyr</w:t>
      </w:r>
      <w:r w:rsidRPr="00EC361A">
        <w:rPr>
          <w:spacing w:val="54"/>
          <w:sz w:val="24"/>
          <w:szCs w:val="24"/>
        </w:rPr>
        <w:t xml:space="preserve"> </w:t>
      </w:r>
      <w:r w:rsidRPr="00EC361A">
        <w:rPr>
          <w:spacing w:val="-1"/>
          <w:sz w:val="24"/>
          <w:szCs w:val="24"/>
        </w:rPr>
        <w:t xml:space="preserve">har påvist de vigtigste </w:t>
      </w:r>
      <w:r w:rsidRPr="00EC361A">
        <w:rPr>
          <w:spacing w:val="-2"/>
          <w:sz w:val="24"/>
          <w:szCs w:val="24"/>
        </w:rPr>
        <w:t>målorganer</w:t>
      </w:r>
      <w:r w:rsidRPr="00EC361A">
        <w:rPr>
          <w:spacing w:val="-1"/>
          <w:sz w:val="24"/>
          <w:szCs w:val="24"/>
        </w:rPr>
        <w:t xml:space="preserve"> som værende</w:t>
      </w:r>
      <w:r w:rsidRPr="00EC361A">
        <w:rPr>
          <w:spacing w:val="32"/>
          <w:sz w:val="24"/>
          <w:szCs w:val="24"/>
        </w:rPr>
        <w:t xml:space="preserve"> </w:t>
      </w:r>
      <w:r w:rsidRPr="00EC361A">
        <w:rPr>
          <w:spacing w:val="-1"/>
          <w:sz w:val="24"/>
          <w:szCs w:val="24"/>
        </w:rPr>
        <w:t>lever, nethinde, thyreoidea og nyrer. Leverforandringer omfattede hepatocellulære, biliære</w:t>
      </w:r>
      <w:r w:rsidRPr="00EC361A">
        <w:rPr>
          <w:spacing w:val="54"/>
          <w:sz w:val="24"/>
          <w:szCs w:val="24"/>
        </w:rPr>
        <w:t xml:space="preserve"> </w:t>
      </w:r>
      <w:r w:rsidRPr="00EC361A">
        <w:rPr>
          <w:spacing w:val="-1"/>
          <w:sz w:val="24"/>
          <w:szCs w:val="24"/>
        </w:rPr>
        <w:t>og</w:t>
      </w:r>
      <w:r w:rsidRPr="00EC361A">
        <w:rPr>
          <w:spacing w:val="29"/>
          <w:sz w:val="24"/>
          <w:szCs w:val="24"/>
        </w:rPr>
        <w:t xml:space="preserve"> </w:t>
      </w:r>
      <w:r w:rsidRPr="00EC361A">
        <w:rPr>
          <w:spacing w:val="-1"/>
          <w:sz w:val="24"/>
          <w:szCs w:val="24"/>
        </w:rPr>
        <w:t xml:space="preserve">fagocyterende elementer og ledsagedes af en stigning </w:t>
      </w:r>
      <w:r w:rsidRPr="00EC361A">
        <w:rPr>
          <w:sz w:val="24"/>
          <w:szCs w:val="24"/>
        </w:rPr>
        <w:t>i</w:t>
      </w:r>
      <w:r w:rsidRPr="00EC361A">
        <w:rPr>
          <w:spacing w:val="-1"/>
          <w:sz w:val="24"/>
          <w:szCs w:val="24"/>
        </w:rPr>
        <w:t xml:space="preserve"> leverenzymer.</w:t>
      </w:r>
      <w:r w:rsidRPr="00EC361A">
        <w:rPr>
          <w:spacing w:val="54"/>
          <w:sz w:val="24"/>
          <w:szCs w:val="24"/>
        </w:rPr>
        <w:t xml:space="preserve"> </w:t>
      </w:r>
      <w:r w:rsidRPr="00EC361A">
        <w:rPr>
          <w:spacing w:val="-1"/>
          <w:sz w:val="24"/>
          <w:szCs w:val="24"/>
        </w:rPr>
        <w:t>Hyperplasi af</w:t>
      </w:r>
      <w:r w:rsidRPr="00EC361A">
        <w:rPr>
          <w:spacing w:val="54"/>
          <w:sz w:val="24"/>
          <w:szCs w:val="24"/>
        </w:rPr>
        <w:t xml:space="preserve"> </w:t>
      </w:r>
      <w:r w:rsidRPr="00EC361A">
        <w:rPr>
          <w:spacing w:val="-1"/>
          <w:sz w:val="24"/>
          <w:szCs w:val="24"/>
        </w:rPr>
        <w:t>nethindens</w:t>
      </w:r>
      <w:r w:rsidRPr="00EC361A">
        <w:rPr>
          <w:spacing w:val="20"/>
          <w:sz w:val="24"/>
          <w:szCs w:val="24"/>
        </w:rPr>
        <w:t xml:space="preserve"> </w:t>
      </w:r>
      <w:r w:rsidRPr="00EC361A">
        <w:rPr>
          <w:spacing w:val="-1"/>
          <w:sz w:val="24"/>
          <w:szCs w:val="24"/>
        </w:rPr>
        <w:t xml:space="preserve">pigmentepitel og nedbrydning af nethinden </w:t>
      </w:r>
      <w:r w:rsidRPr="00EC361A">
        <w:rPr>
          <w:spacing w:val="-2"/>
          <w:sz w:val="24"/>
          <w:szCs w:val="24"/>
        </w:rPr>
        <w:t>er</w:t>
      </w:r>
      <w:r w:rsidRPr="00EC361A">
        <w:rPr>
          <w:spacing w:val="-1"/>
          <w:sz w:val="24"/>
          <w:szCs w:val="24"/>
        </w:rPr>
        <w:t xml:space="preserve"> forekommet </w:t>
      </w:r>
      <w:r w:rsidRPr="00EC361A">
        <w:rPr>
          <w:sz w:val="24"/>
          <w:szCs w:val="24"/>
        </w:rPr>
        <w:t>i</w:t>
      </w:r>
      <w:r w:rsidRPr="00EC361A">
        <w:rPr>
          <w:spacing w:val="-1"/>
          <w:sz w:val="24"/>
          <w:szCs w:val="24"/>
        </w:rPr>
        <w:t xml:space="preserve"> alle de undersøgelser på gnavere, der er</w:t>
      </w:r>
      <w:r w:rsidRPr="00EC361A">
        <w:rPr>
          <w:spacing w:val="24"/>
          <w:sz w:val="24"/>
          <w:szCs w:val="24"/>
        </w:rPr>
        <w:t xml:space="preserve"> </w:t>
      </w:r>
      <w:r w:rsidRPr="00EC361A">
        <w:rPr>
          <w:spacing w:val="-1"/>
          <w:sz w:val="24"/>
          <w:szCs w:val="24"/>
        </w:rPr>
        <w:t xml:space="preserve">foretaget med ritonavir, men er ikke set </w:t>
      </w:r>
      <w:r w:rsidRPr="00EC361A">
        <w:rPr>
          <w:sz w:val="24"/>
          <w:szCs w:val="24"/>
        </w:rPr>
        <w:t>i</w:t>
      </w:r>
      <w:r w:rsidRPr="00EC361A">
        <w:rPr>
          <w:spacing w:val="-1"/>
          <w:sz w:val="24"/>
          <w:szCs w:val="24"/>
        </w:rPr>
        <w:t xml:space="preserve"> hunde. Ultrastrukturelle tegn antyder, at disse ændringer </w:t>
      </w:r>
      <w:r w:rsidRPr="00EC361A">
        <w:rPr>
          <w:sz w:val="24"/>
          <w:szCs w:val="24"/>
        </w:rPr>
        <w:t>i</w:t>
      </w:r>
      <w:r w:rsidRPr="00EC361A">
        <w:rPr>
          <w:spacing w:val="29"/>
          <w:sz w:val="24"/>
          <w:szCs w:val="24"/>
        </w:rPr>
        <w:t xml:space="preserve"> </w:t>
      </w:r>
      <w:r w:rsidRPr="00EC361A">
        <w:rPr>
          <w:spacing w:val="-1"/>
          <w:sz w:val="24"/>
          <w:szCs w:val="24"/>
        </w:rPr>
        <w:t xml:space="preserve">nethinden kan være en følge af fosfolipidose. Kliniske undersøgelser viste </w:t>
      </w:r>
      <w:r w:rsidRPr="00EC361A">
        <w:rPr>
          <w:spacing w:val="-2"/>
          <w:sz w:val="24"/>
          <w:szCs w:val="24"/>
        </w:rPr>
        <w:t>imidlertid</w:t>
      </w:r>
      <w:r w:rsidRPr="00EC361A">
        <w:rPr>
          <w:spacing w:val="-1"/>
          <w:sz w:val="24"/>
          <w:szCs w:val="24"/>
        </w:rPr>
        <w:t xml:space="preserve"> ingen klinisk</w:t>
      </w:r>
      <w:r w:rsidRPr="00EC361A">
        <w:rPr>
          <w:spacing w:val="40"/>
          <w:sz w:val="24"/>
          <w:szCs w:val="24"/>
        </w:rPr>
        <w:t xml:space="preserve"> </w:t>
      </w:r>
      <w:r w:rsidRPr="00EC361A">
        <w:rPr>
          <w:spacing w:val="-1"/>
          <w:sz w:val="24"/>
          <w:szCs w:val="24"/>
        </w:rPr>
        <w:t>betydningsfulde</w:t>
      </w:r>
      <w:r w:rsidRPr="00EC361A">
        <w:rPr>
          <w:spacing w:val="54"/>
          <w:sz w:val="24"/>
          <w:szCs w:val="24"/>
        </w:rPr>
        <w:t xml:space="preserve"> </w:t>
      </w:r>
      <w:r w:rsidRPr="00EC361A">
        <w:rPr>
          <w:spacing w:val="-1"/>
          <w:sz w:val="24"/>
          <w:szCs w:val="24"/>
        </w:rPr>
        <w:t>øjenforandringer hos mennesker på grund af medikamentet. Alle thyreoidea-</w:t>
      </w:r>
      <w:r w:rsidRPr="00EC361A">
        <w:rPr>
          <w:spacing w:val="30"/>
          <w:sz w:val="24"/>
          <w:szCs w:val="24"/>
        </w:rPr>
        <w:t xml:space="preserve"> </w:t>
      </w:r>
      <w:r w:rsidRPr="00EC361A">
        <w:rPr>
          <w:spacing w:val="-1"/>
          <w:sz w:val="24"/>
          <w:szCs w:val="24"/>
        </w:rPr>
        <w:t>forandringer</w:t>
      </w:r>
      <w:r w:rsidRPr="00EC361A">
        <w:rPr>
          <w:spacing w:val="54"/>
          <w:sz w:val="24"/>
          <w:szCs w:val="24"/>
        </w:rPr>
        <w:t xml:space="preserve"> </w:t>
      </w:r>
      <w:r w:rsidRPr="00EC361A">
        <w:rPr>
          <w:spacing w:val="-1"/>
          <w:sz w:val="24"/>
          <w:szCs w:val="24"/>
        </w:rPr>
        <w:t>var reversible efter ophør med indtagelse af medikamentet. Kliniske undersøgelser hos</w:t>
      </w:r>
      <w:r w:rsidRPr="00EC361A">
        <w:rPr>
          <w:spacing w:val="26"/>
          <w:sz w:val="24"/>
          <w:szCs w:val="24"/>
        </w:rPr>
        <w:t xml:space="preserve"> </w:t>
      </w:r>
      <w:r w:rsidRPr="00EC361A">
        <w:rPr>
          <w:spacing w:val="-1"/>
          <w:sz w:val="24"/>
          <w:szCs w:val="24"/>
        </w:rPr>
        <w:t>mennesker har ikke påvist nogen ændring af klinisk betydning</w:t>
      </w:r>
      <w:r w:rsidRPr="00EC361A">
        <w:rPr>
          <w:spacing w:val="-3"/>
          <w:sz w:val="24"/>
          <w:szCs w:val="24"/>
        </w:rPr>
        <w:t xml:space="preserve"> </w:t>
      </w:r>
      <w:r w:rsidRPr="00EC361A">
        <w:rPr>
          <w:sz w:val="24"/>
          <w:szCs w:val="24"/>
        </w:rPr>
        <w:t>i</w:t>
      </w:r>
      <w:r w:rsidRPr="00EC361A">
        <w:rPr>
          <w:spacing w:val="-1"/>
          <w:sz w:val="24"/>
          <w:szCs w:val="24"/>
        </w:rPr>
        <w:t xml:space="preserve"> thyreoideafunktionsundersøgelser.</w:t>
      </w:r>
    </w:p>
    <w:p w:rsidR="006C56FF" w:rsidRPr="00EC361A" w:rsidRDefault="006C56FF" w:rsidP="006C56FF">
      <w:pPr>
        <w:widowControl w:val="0"/>
        <w:tabs>
          <w:tab w:val="left" w:pos="0"/>
          <w:tab w:val="left" w:pos="9070"/>
        </w:tabs>
        <w:ind w:left="851" w:right="247"/>
        <w:rPr>
          <w:sz w:val="24"/>
          <w:szCs w:val="24"/>
        </w:rPr>
      </w:pPr>
      <w:r w:rsidRPr="00EC361A">
        <w:rPr>
          <w:spacing w:val="-1"/>
          <w:sz w:val="24"/>
          <w:szCs w:val="24"/>
        </w:rPr>
        <w:t>Nyreforandringer, herunder tubulær degeneration, kronisk inflammation</w:t>
      </w:r>
      <w:r w:rsidRPr="00EC361A">
        <w:rPr>
          <w:spacing w:val="54"/>
          <w:sz w:val="24"/>
          <w:szCs w:val="24"/>
        </w:rPr>
        <w:t xml:space="preserve"> </w:t>
      </w:r>
      <w:r w:rsidRPr="00EC361A">
        <w:rPr>
          <w:spacing w:val="-1"/>
          <w:sz w:val="24"/>
          <w:szCs w:val="24"/>
        </w:rPr>
        <w:t xml:space="preserve">og proteinuri er påvist </w:t>
      </w:r>
      <w:r w:rsidRPr="00EC361A">
        <w:rPr>
          <w:sz w:val="24"/>
          <w:szCs w:val="24"/>
        </w:rPr>
        <w:t>i</w:t>
      </w:r>
      <w:r w:rsidRPr="00EC361A">
        <w:rPr>
          <w:spacing w:val="33"/>
          <w:sz w:val="24"/>
          <w:szCs w:val="24"/>
        </w:rPr>
        <w:t xml:space="preserve"> </w:t>
      </w:r>
      <w:r w:rsidRPr="00EC361A">
        <w:rPr>
          <w:spacing w:val="-1"/>
          <w:sz w:val="24"/>
          <w:szCs w:val="24"/>
        </w:rPr>
        <w:t>rotter og menes at være forårsaget af en artsspecifik, spontan sygdom. Der er desuden ikke bemærket</w:t>
      </w:r>
      <w:r w:rsidRPr="00EC361A">
        <w:rPr>
          <w:spacing w:val="30"/>
          <w:sz w:val="24"/>
          <w:szCs w:val="24"/>
        </w:rPr>
        <w:t xml:space="preserve"> </w:t>
      </w:r>
      <w:r w:rsidRPr="00EC361A">
        <w:rPr>
          <w:spacing w:val="-1"/>
          <w:sz w:val="24"/>
          <w:szCs w:val="24"/>
        </w:rPr>
        <w:t>klinisk betydningsfulde nyreforandringer</w:t>
      </w:r>
      <w:r w:rsidRPr="00EC361A">
        <w:rPr>
          <w:spacing w:val="54"/>
          <w:sz w:val="24"/>
          <w:szCs w:val="24"/>
        </w:rPr>
        <w:t xml:space="preserve"> </w:t>
      </w:r>
      <w:r w:rsidRPr="00EC361A">
        <w:rPr>
          <w:sz w:val="24"/>
          <w:szCs w:val="24"/>
        </w:rPr>
        <w:t>i</w:t>
      </w:r>
      <w:r w:rsidRPr="00EC361A">
        <w:rPr>
          <w:spacing w:val="-1"/>
          <w:sz w:val="24"/>
          <w:szCs w:val="24"/>
        </w:rPr>
        <w:t xml:space="preserve"> kliniske </w:t>
      </w:r>
      <w:r w:rsidRPr="00EC361A">
        <w:rPr>
          <w:spacing w:val="-2"/>
          <w:sz w:val="24"/>
          <w:szCs w:val="24"/>
        </w:rPr>
        <w:t>undersøgelser.</w:t>
      </w:r>
    </w:p>
    <w:p w:rsidR="006C56FF" w:rsidRPr="00EC361A" w:rsidRDefault="006C56FF" w:rsidP="006C56FF">
      <w:pPr>
        <w:tabs>
          <w:tab w:val="left" w:pos="0"/>
          <w:tab w:val="left" w:pos="9070"/>
        </w:tabs>
        <w:ind w:left="851"/>
        <w:rPr>
          <w:sz w:val="24"/>
          <w:szCs w:val="24"/>
          <w:lang w:eastAsia="da-DK"/>
        </w:rPr>
      </w:pPr>
    </w:p>
    <w:p w:rsidR="006C56FF" w:rsidRPr="00EC361A" w:rsidRDefault="006C56FF" w:rsidP="006C56FF">
      <w:pPr>
        <w:widowControl w:val="0"/>
        <w:tabs>
          <w:tab w:val="left" w:pos="0"/>
          <w:tab w:val="left" w:pos="9070"/>
        </w:tabs>
        <w:ind w:left="851" w:right="202"/>
        <w:rPr>
          <w:sz w:val="24"/>
          <w:szCs w:val="24"/>
        </w:rPr>
      </w:pPr>
      <w:r w:rsidRPr="00EC361A">
        <w:rPr>
          <w:spacing w:val="-1"/>
          <w:sz w:val="24"/>
          <w:szCs w:val="24"/>
        </w:rPr>
        <w:t>Toksisk påvirkning af</w:t>
      </w:r>
      <w:r w:rsidRPr="00EC361A">
        <w:rPr>
          <w:spacing w:val="54"/>
          <w:sz w:val="24"/>
          <w:szCs w:val="24"/>
        </w:rPr>
        <w:t xml:space="preserve"> </w:t>
      </w:r>
      <w:r w:rsidRPr="00EC361A">
        <w:rPr>
          <w:spacing w:val="-1"/>
          <w:sz w:val="24"/>
          <w:szCs w:val="24"/>
        </w:rPr>
        <w:t>rotters udvikling</w:t>
      </w:r>
      <w:r w:rsidRPr="00EC361A">
        <w:rPr>
          <w:spacing w:val="54"/>
          <w:sz w:val="24"/>
          <w:szCs w:val="24"/>
        </w:rPr>
        <w:t xml:space="preserve"> </w:t>
      </w:r>
      <w:r w:rsidRPr="00EC361A">
        <w:rPr>
          <w:spacing w:val="-1"/>
          <w:sz w:val="24"/>
          <w:szCs w:val="24"/>
        </w:rPr>
        <w:t xml:space="preserve">(fosterdødelighed, nedsat </w:t>
      </w:r>
      <w:r w:rsidRPr="00EC361A">
        <w:rPr>
          <w:spacing w:val="-2"/>
          <w:sz w:val="24"/>
          <w:szCs w:val="24"/>
        </w:rPr>
        <w:t>fostervægt,</w:t>
      </w:r>
      <w:r w:rsidRPr="00EC361A">
        <w:rPr>
          <w:spacing w:val="-1"/>
          <w:sz w:val="24"/>
          <w:szCs w:val="24"/>
        </w:rPr>
        <w:t xml:space="preserve"> forsinket</w:t>
      </w:r>
      <w:r w:rsidRPr="00EC361A">
        <w:rPr>
          <w:spacing w:val="32"/>
          <w:sz w:val="24"/>
          <w:szCs w:val="24"/>
        </w:rPr>
        <w:t xml:space="preserve"> </w:t>
      </w:r>
      <w:r w:rsidRPr="00EC361A">
        <w:rPr>
          <w:spacing w:val="-1"/>
          <w:sz w:val="24"/>
          <w:szCs w:val="24"/>
        </w:rPr>
        <w:t xml:space="preserve">knogledannelse og ændringer </w:t>
      </w:r>
      <w:r w:rsidRPr="00EC361A">
        <w:rPr>
          <w:sz w:val="24"/>
          <w:szCs w:val="24"/>
        </w:rPr>
        <w:t>i</w:t>
      </w:r>
      <w:r w:rsidRPr="00EC361A">
        <w:rPr>
          <w:spacing w:val="-1"/>
          <w:sz w:val="24"/>
          <w:szCs w:val="24"/>
        </w:rPr>
        <w:t xml:space="preserve"> de indre organer, herunder forsinket testis retention) fandtes</w:t>
      </w:r>
      <w:r w:rsidRPr="00EC361A">
        <w:rPr>
          <w:spacing w:val="20"/>
          <w:sz w:val="24"/>
          <w:szCs w:val="24"/>
        </w:rPr>
        <w:t xml:space="preserve"> </w:t>
      </w:r>
      <w:r w:rsidRPr="00EC361A">
        <w:rPr>
          <w:spacing w:val="-1"/>
          <w:sz w:val="24"/>
          <w:szCs w:val="24"/>
        </w:rPr>
        <w:t>hovedsaglig ved en maternelt toksisk dosis. Toksisk påvirkning af kaniners udvikling</w:t>
      </w:r>
      <w:r w:rsidRPr="00EC361A">
        <w:rPr>
          <w:spacing w:val="22"/>
          <w:sz w:val="24"/>
          <w:szCs w:val="24"/>
        </w:rPr>
        <w:t xml:space="preserve"> </w:t>
      </w:r>
      <w:r w:rsidRPr="00EC361A">
        <w:rPr>
          <w:spacing w:val="-1"/>
          <w:sz w:val="24"/>
          <w:szCs w:val="24"/>
        </w:rPr>
        <w:t xml:space="preserve">(fosterdødelighed, fald </w:t>
      </w:r>
      <w:r w:rsidRPr="00EC361A">
        <w:rPr>
          <w:sz w:val="24"/>
          <w:szCs w:val="24"/>
        </w:rPr>
        <w:t>i</w:t>
      </w:r>
      <w:r w:rsidRPr="00EC361A">
        <w:rPr>
          <w:spacing w:val="-1"/>
          <w:sz w:val="24"/>
          <w:szCs w:val="24"/>
        </w:rPr>
        <w:t xml:space="preserve"> kuldstørrelse og nedsat fostervægt) fandtes ved en maternelt toksisk dosis.</w:t>
      </w:r>
    </w:p>
    <w:p w:rsidR="006C56FF" w:rsidRPr="00EC361A" w:rsidRDefault="006C56FF" w:rsidP="006C56FF">
      <w:pPr>
        <w:tabs>
          <w:tab w:val="left" w:pos="0"/>
          <w:tab w:val="left" w:pos="9070"/>
        </w:tabs>
        <w:ind w:left="851"/>
        <w:rPr>
          <w:sz w:val="24"/>
          <w:szCs w:val="24"/>
          <w:lang w:eastAsia="da-DK"/>
        </w:rPr>
      </w:pPr>
    </w:p>
    <w:p w:rsidR="006C56FF" w:rsidRDefault="006C56FF" w:rsidP="006C56FF">
      <w:pPr>
        <w:widowControl w:val="0"/>
        <w:tabs>
          <w:tab w:val="left" w:pos="0"/>
          <w:tab w:val="left" w:pos="9070"/>
        </w:tabs>
        <w:ind w:left="851" w:right="149"/>
        <w:rPr>
          <w:sz w:val="24"/>
          <w:szCs w:val="24"/>
        </w:rPr>
      </w:pPr>
      <w:r>
        <w:rPr>
          <w:sz w:val="24"/>
          <w:szCs w:val="24"/>
        </w:rPr>
        <w:t xml:space="preserve">Ritonavir er ikke fundet at være mutagent eller klastogent i en serie af </w:t>
      </w:r>
      <w:r>
        <w:rPr>
          <w:i/>
          <w:sz w:val="24"/>
          <w:szCs w:val="24"/>
        </w:rPr>
        <w:t xml:space="preserve">in vitro </w:t>
      </w:r>
      <w:r>
        <w:rPr>
          <w:sz w:val="24"/>
          <w:szCs w:val="24"/>
        </w:rPr>
        <w:t xml:space="preserve">og </w:t>
      </w:r>
      <w:r>
        <w:rPr>
          <w:i/>
          <w:sz w:val="24"/>
          <w:szCs w:val="24"/>
        </w:rPr>
        <w:t xml:space="preserve">in vivo </w:t>
      </w:r>
      <w:r>
        <w:rPr>
          <w:sz w:val="24"/>
          <w:szCs w:val="24"/>
        </w:rPr>
        <w:t xml:space="preserve">målinger, herunder Ames bakterielle tilbagemutationsmåling ved hjælp af </w:t>
      </w:r>
      <w:r>
        <w:rPr>
          <w:i/>
          <w:sz w:val="24"/>
          <w:szCs w:val="24"/>
        </w:rPr>
        <w:t xml:space="preserve">S. typhimurium </w:t>
      </w:r>
      <w:r>
        <w:rPr>
          <w:sz w:val="24"/>
          <w:szCs w:val="24"/>
        </w:rPr>
        <w:t xml:space="preserve">og </w:t>
      </w:r>
      <w:r>
        <w:rPr>
          <w:i/>
          <w:sz w:val="24"/>
          <w:szCs w:val="24"/>
        </w:rPr>
        <w:t>Escherichia coli</w:t>
      </w:r>
      <w:r>
        <w:rPr>
          <w:sz w:val="24"/>
          <w:szCs w:val="24"/>
        </w:rPr>
        <w:t>, muselymfomtesten, musemikronukleustesten og måling af kromosomændringer i humane lymfocytter.</w:t>
      </w:r>
    </w:p>
    <w:p w:rsidR="006C56FF" w:rsidRPr="00EC361A" w:rsidRDefault="006C56FF" w:rsidP="006C56FF">
      <w:pPr>
        <w:tabs>
          <w:tab w:val="left" w:pos="0"/>
          <w:tab w:val="left" w:pos="9070"/>
        </w:tabs>
        <w:ind w:left="851"/>
        <w:rPr>
          <w:sz w:val="24"/>
          <w:szCs w:val="24"/>
          <w:lang w:eastAsia="da-DK"/>
        </w:rPr>
      </w:pPr>
    </w:p>
    <w:p w:rsidR="006C56FF" w:rsidRPr="00C84483" w:rsidRDefault="006C56FF" w:rsidP="007C1BB9">
      <w:pPr>
        <w:keepNext/>
        <w:tabs>
          <w:tab w:val="left" w:pos="0"/>
          <w:tab w:val="left" w:pos="9070"/>
        </w:tabs>
        <w:ind w:left="851" w:right="204"/>
        <w:rPr>
          <w:sz w:val="24"/>
          <w:szCs w:val="24"/>
        </w:rPr>
      </w:pPr>
      <w:r w:rsidRPr="00EC361A">
        <w:rPr>
          <w:spacing w:val="-1"/>
          <w:sz w:val="24"/>
          <w:szCs w:val="24"/>
        </w:rPr>
        <w:t xml:space="preserve">Langtids-karcinogenicitetsundersøgelser på mus og rotter </w:t>
      </w:r>
      <w:r w:rsidRPr="00EC361A">
        <w:rPr>
          <w:spacing w:val="-2"/>
          <w:sz w:val="24"/>
          <w:szCs w:val="24"/>
        </w:rPr>
        <w:t>har</w:t>
      </w:r>
      <w:r w:rsidRPr="00EC361A">
        <w:rPr>
          <w:spacing w:val="-1"/>
          <w:sz w:val="24"/>
          <w:szCs w:val="24"/>
        </w:rPr>
        <w:t xml:space="preserve"> vist et tumorgent potentiale hos disse</w:t>
      </w:r>
      <w:r w:rsidRPr="00EC361A">
        <w:rPr>
          <w:spacing w:val="24"/>
          <w:sz w:val="24"/>
          <w:szCs w:val="24"/>
        </w:rPr>
        <w:t xml:space="preserve"> </w:t>
      </w:r>
      <w:r w:rsidRPr="00EC361A">
        <w:rPr>
          <w:spacing w:val="-1"/>
          <w:sz w:val="24"/>
          <w:szCs w:val="24"/>
        </w:rPr>
        <w:t>arter, som ikke anses at være relevant for mennesker.</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C56FF" w:rsidRPr="00BA09F1"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6.1</w:t>
      </w:r>
      <w:r w:rsidRPr="00C84483">
        <w:rPr>
          <w:b/>
          <w:sz w:val="24"/>
          <w:szCs w:val="24"/>
        </w:rPr>
        <w:tab/>
        <w:t>Hjælpestoffer</w:t>
      </w:r>
    </w:p>
    <w:p w:rsidR="006C56FF" w:rsidRPr="00EC361A" w:rsidRDefault="006C56FF" w:rsidP="006C56FF">
      <w:pPr>
        <w:widowControl w:val="0"/>
        <w:tabs>
          <w:tab w:val="left" w:pos="0"/>
          <w:tab w:val="left" w:pos="9070"/>
        </w:tabs>
        <w:ind w:left="851" w:right="-2"/>
        <w:rPr>
          <w:sz w:val="24"/>
          <w:szCs w:val="24"/>
        </w:rPr>
      </w:pPr>
      <w:r w:rsidRPr="00EC361A">
        <w:rPr>
          <w:sz w:val="24"/>
          <w:szCs w:val="24"/>
          <w:u w:val="single" w:color="000000"/>
        </w:rPr>
        <w:t>Tablet</w:t>
      </w:r>
      <w:r>
        <w:rPr>
          <w:sz w:val="24"/>
          <w:szCs w:val="24"/>
          <w:u w:val="single" w:color="000000"/>
        </w:rPr>
        <w:t>kerne</w:t>
      </w:r>
      <w:r w:rsidRPr="00EC361A">
        <w:rPr>
          <w:sz w:val="24"/>
          <w:szCs w:val="24"/>
        </w:rPr>
        <w:t xml:space="preserve"> </w:t>
      </w:r>
    </w:p>
    <w:p w:rsidR="006C56FF" w:rsidRPr="00EC361A" w:rsidRDefault="006C56FF" w:rsidP="006C56FF">
      <w:pPr>
        <w:widowControl w:val="0"/>
        <w:tabs>
          <w:tab w:val="left" w:pos="0"/>
          <w:tab w:val="left" w:pos="9070"/>
        </w:tabs>
        <w:ind w:left="851" w:right="-2"/>
        <w:rPr>
          <w:spacing w:val="20"/>
          <w:sz w:val="24"/>
          <w:szCs w:val="24"/>
        </w:rPr>
      </w:pPr>
      <w:r w:rsidRPr="00EC361A">
        <w:rPr>
          <w:spacing w:val="-1"/>
          <w:sz w:val="24"/>
          <w:szCs w:val="24"/>
        </w:rPr>
        <w:t>Copovidon</w:t>
      </w:r>
    </w:p>
    <w:p w:rsidR="006C56FF" w:rsidRPr="00EC361A" w:rsidRDefault="006C56FF" w:rsidP="006C56FF">
      <w:pPr>
        <w:widowControl w:val="0"/>
        <w:tabs>
          <w:tab w:val="left" w:pos="0"/>
          <w:tab w:val="left" w:pos="9070"/>
        </w:tabs>
        <w:ind w:left="851" w:right="-2"/>
        <w:rPr>
          <w:sz w:val="24"/>
          <w:szCs w:val="24"/>
        </w:rPr>
      </w:pPr>
      <w:r w:rsidRPr="00EC361A">
        <w:rPr>
          <w:spacing w:val="-1"/>
          <w:sz w:val="24"/>
          <w:szCs w:val="24"/>
        </w:rPr>
        <w:t>Sorbitanlaurat (E493)</w:t>
      </w:r>
    </w:p>
    <w:p w:rsidR="006C56FF" w:rsidRPr="00EC361A" w:rsidRDefault="006C56FF" w:rsidP="006C56FF">
      <w:pPr>
        <w:widowControl w:val="0"/>
        <w:tabs>
          <w:tab w:val="left" w:pos="0"/>
          <w:tab w:val="left" w:pos="9070"/>
        </w:tabs>
        <w:ind w:left="851" w:right="-2"/>
        <w:rPr>
          <w:spacing w:val="22"/>
          <w:sz w:val="24"/>
          <w:szCs w:val="24"/>
        </w:rPr>
      </w:pPr>
      <w:r w:rsidRPr="00EC361A">
        <w:rPr>
          <w:spacing w:val="-1"/>
          <w:sz w:val="24"/>
          <w:szCs w:val="24"/>
        </w:rPr>
        <w:t>Kolloid silica, vandfri</w:t>
      </w:r>
      <w:r w:rsidRPr="00EC361A">
        <w:rPr>
          <w:spacing w:val="22"/>
          <w:sz w:val="24"/>
          <w:szCs w:val="24"/>
        </w:rPr>
        <w:t xml:space="preserve"> (E551)</w:t>
      </w:r>
    </w:p>
    <w:p w:rsidR="006C56FF" w:rsidRPr="00EC361A" w:rsidRDefault="006C56FF" w:rsidP="006C56FF">
      <w:pPr>
        <w:widowControl w:val="0"/>
        <w:tabs>
          <w:tab w:val="left" w:pos="0"/>
          <w:tab w:val="left" w:pos="9070"/>
        </w:tabs>
        <w:ind w:left="851" w:right="-2"/>
        <w:rPr>
          <w:spacing w:val="21"/>
          <w:sz w:val="24"/>
          <w:szCs w:val="24"/>
        </w:rPr>
      </w:pPr>
      <w:r w:rsidRPr="00EC361A">
        <w:rPr>
          <w:spacing w:val="-1"/>
          <w:sz w:val="24"/>
          <w:szCs w:val="24"/>
        </w:rPr>
        <w:t>Calciumhydrogenphosphat, vandfri</w:t>
      </w:r>
      <w:r w:rsidRPr="00EC361A">
        <w:rPr>
          <w:spacing w:val="21"/>
          <w:sz w:val="24"/>
          <w:szCs w:val="24"/>
        </w:rPr>
        <w:t xml:space="preserve"> </w:t>
      </w:r>
    </w:p>
    <w:p w:rsidR="006C56FF" w:rsidRPr="00EC361A" w:rsidRDefault="006C56FF" w:rsidP="006C56FF">
      <w:pPr>
        <w:widowControl w:val="0"/>
        <w:tabs>
          <w:tab w:val="left" w:pos="0"/>
          <w:tab w:val="left" w:pos="9070"/>
        </w:tabs>
        <w:ind w:left="851" w:right="-2"/>
        <w:rPr>
          <w:sz w:val="24"/>
          <w:szCs w:val="24"/>
        </w:rPr>
      </w:pPr>
      <w:r w:rsidRPr="00EC361A">
        <w:rPr>
          <w:spacing w:val="-1"/>
          <w:sz w:val="24"/>
          <w:szCs w:val="24"/>
        </w:rPr>
        <w:t>Natriumstearylfumarat</w:t>
      </w:r>
    </w:p>
    <w:p w:rsidR="006C56FF" w:rsidRPr="00EC361A" w:rsidRDefault="006C56FF" w:rsidP="006C56FF">
      <w:pPr>
        <w:tabs>
          <w:tab w:val="left" w:pos="0"/>
          <w:tab w:val="left" w:pos="9070"/>
        </w:tabs>
        <w:ind w:left="851"/>
        <w:rPr>
          <w:sz w:val="24"/>
          <w:szCs w:val="24"/>
          <w:lang w:eastAsia="da-DK"/>
        </w:rPr>
      </w:pPr>
    </w:p>
    <w:p w:rsidR="006C56FF" w:rsidRDefault="006C56FF" w:rsidP="006C56FF">
      <w:pPr>
        <w:keepNext/>
        <w:widowControl w:val="0"/>
        <w:tabs>
          <w:tab w:val="left" w:pos="0"/>
          <w:tab w:val="left" w:pos="9070"/>
        </w:tabs>
        <w:ind w:left="851"/>
        <w:rPr>
          <w:sz w:val="24"/>
          <w:szCs w:val="24"/>
        </w:rPr>
      </w:pPr>
      <w:r>
        <w:rPr>
          <w:sz w:val="24"/>
          <w:szCs w:val="24"/>
          <w:u w:val="single" w:color="000000"/>
        </w:rPr>
        <w:t>Filmovertræk</w:t>
      </w:r>
    </w:p>
    <w:p w:rsidR="006C56FF" w:rsidRDefault="006C56FF" w:rsidP="006C56FF">
      <w:pPr>
        <w:widowControl w:val="0"/>
        <w:tabs>
          <w:tab w:val="left" w:pos="0"/>
          <w:tab w:val="left" w:pos="9070"/>
        </w:tabs>
        <w:ind w:left="851" w:right="-2"/>
        <w:rPr>
          <w:sz w:val="24"/>
          <w:szCs w:val="24"/>
        </w:rPr>
      </w:pPr>
      <w:r>
        <w:rPr>
          <w:sz w:val="24"/>
          <w:szCs w:val="24"/>
        </w:rPr>
        <w:t>Hypromellose (E464)</w:t>
      </w:r>
    </w:p>
    <w:p w:rsidR="006C56FF" w:rsidRDefault="006C56FF" w:rsidP="006C56FF">
      <w:pPr>
        <w:widowControl w:val="0"/>
        <w:tabs>
          <w:tab w:val="left" w:pos="0"/>
          <w:tab w:val="left" w:pos="9070"/>
        </w:tabs>
        <w:ind w:left="851" w:right="-2"/>
        <w:rPr>
          <w:sz w:val="24"/>
          <w:szCs w:val="24"/>
        </w:rPr>
      </w:pPr>
      <w:r>
        <w:rPr>
          <w:sz w:val="24"/>
          <w:szCs w:val="24"/>
        </w:rPr>
        <w:t xml:space="preserve">Titandioxid (E171) </w:t>
      </w:r>
    </w:p>
    <w:p w:rsidR="006C56FF" w:rsidRPr="00167C6A" w:rsidRDefault="006C56FF" w:rsidP="006C56FF">
      <w:pPr>
        <w:widowControl w:val="0"/>
        <w:tabs>
          <w:tab w:val="left" w:pos="0"/>
          <w:tab w:val="left" w:pos="9070"/>
        </w:tabs>
        <w:ind w:left="851" w:right="-2"/>
        <w:rPr>
          <w:sz w:val="24"/>
          <w:szCs w:val="24"/>
        </w:rPr>
      </w:pPr>
      <w:r w:rsidRPr="00167C6A">
        <w:rPr>
          <w:sz w:val="24"/>
          <w:szCs w:val="24"/>
        </w:rPr>
        <w:t>Macrogol</w:t>
      </w:r>
    </w:p>
    <w:p w:rsidR="006C56FF" w:rsidRPr="00167C6A" w:rsidRDefault="006C56FF" w:rsidP="006C56FF">
      <w:pPr>
        <w:widowControl w:val="0"/>
        <w:tabs>
          <w:tab w:val="left" w:pos="0"/>
          <w:tab w:val="left" w:pos="9070"/>
        </w:tabs>
        <w:ind w:left="851" w:right="-2"/>
        <w:rPr>
          <w:sz w:val="24"/>
          <w:szCs w:val="24"/>
        </w:rPr>
      </w:pPr>
      <w:r w:rsidRPr="00167C6A">
        <w:rPr>
          <w:sz w:val="24"/>
          <w:szCs w:val="24"/>
        </w:rPr>
        <w:t>Hydroxypropylcellulose (E463)</w:t>
      </w:r>
    </w:p>
    <w:p w:rsidR="006C56FF" w:rsidRPr="00691959" w:rsidRDefault="006C56FF" w:rsidP="006C56FF">
      <w:pPr>
        <w:widowControl w:val="0"/>
        <w:tabs>
          <w:tab w:val="left" w:pos="0"/>
          <w:tab w:val="left" w:pos="9070"/>
        </w:tabs>
        <w:ind w:left="851" w:right="-2"/>
        <w:rPr>
          <w:sz w:val="24"/>
          <w:szCs w:val="24"/>
        </w:rPr>
      </w:pPr>
      <w:r w:rsidRPr="00691959">
        <w:rPr>
          <w:sz w:val="24"/>
          <w:szCs w:val="24"/>
        </w:rPr>
        <w:t>Talcum (E553b)</w:t>
      </w:r>
    </w:p>
    <w:p w:rsidR="006C56FF" w:rsidRPr="00691959" w:rsidRDefault="006C56FF" w:rsidP="006C56FF">
      <w:pPr>
        <w:widowControl w:val="0"/>
        <w:tabs>
          <w:tab w:val="left" w:pos="0"/>
          <w:tab w:val="left" w:pos="9070"/>
        </w:tabs>
        <w:ind w:left="851" w:right="-2"/>
        <w:rPr>
          <w:sz w:val="24"/>
          <w:szCs w:val="24"/>
        </w:rPr>
      </w:pPr>
      <w:r w:rsidRPr="00691959">
        <w:rPr>
          <w:sz w:val="24"/>
          <w:szCs w:val="24"/>
        </w:rPr>
        <w:t>Kolloid silica, vandfri (E551)</w:t>
      </w:r>
    </w:p>
    <w:p w:rsidR="006C56FF" w:rsidRDefault="006C56FF" w:rsidP="006C56FF">
      <w:pPr>
        <w:widowControl w:val="0"/>
        <w:tabs>
          <w:tab w:val="left" w:pos="0"/>
          <w:tab w:val="left" w:pos="9070"/>
        </w:tabs>
        <w:ind w:left="851" w:right="-2"/>
        <w:rPr>
          <w:sz w:val="24"/>
          <w:szCs w:val="24"/>
        </w:rPr>
      </w:pPr>
      <w:r>
        <w:rPr>
          <w:sz w:val="24"/>
          <w:szCs w:val="24"/>
        </w:rPr>
        <w:t>Polysorbat 80 (E433)</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6.2</w:t>
      </w:r>
      <w:r w:rsidRPr="00C84483">
        <w:rPr>
          <w:b/>
          <w:sz w:val="24"/>
          <w:szCs w:val="24"/>
        </w:rPr>
        <w:tab/>
        <w:t>Uforligeligheder</w:t>
      </w:r>
    </w:p>
    <w:p w:rsidR="006C56FF" w:rsidRPr="00D97B9B" w:rsidRDefault="006C56FF" w:rsidP="006C56FF">
      <w:pPr>
        <w:widowControl w:val="0"/>
        <w:tabs>
          <w:tab w:val="left" w:pos="0"/>
          <w:tab w:val="left" w:pos="9070"/>
        </w:tabs>
        <w:ind w:left="851"/>
        <w:rPr>
          <w:spacing w:val="-1"/>
          <w:sz w:val="24"/>
          <w:szCs w:val="24"/>
        </w:rPr>
      </w:pPr>
      <w:r w:rsidRPr="00EC361A">
        <w:rPr>
          <w:spacing w:val="-1"/>
          <w:sz w:val="24"/>
          <w:szCs w:val="24"/>
        </w:rPr>
        <w:t>Ikke relevan</w:t>
      </w:r>
      <w:r>
        <w:rPr>
          <w:spacing w:val="-1"/>
          <w:sz w:val="24"/>
          <w:szCs w:val="24"/>
        </w:rPr>
        <w:t>t.</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6.3</w:t>
      </w:r>
      <w:r w:rsidRPr="00C84483">
        <w:rPr>
          <w:b/>
          <w:sz w:val="24"/>
          <w:szCs w:val="24"/>
        </w:rPr>
        <w:tab/>
        <w:t>Opbevaringstid</w:t>
      </w:r>
    </w:p>
    <w:p w:rsidR="006C56FF" w:rsidRDefault="006C56FF" w:rsidP="006C56FF">
      <w:pPr>
        <w:widowControl w:val="0"/>
        <w:tabs>
          <w:tab w:val="left" w:pos="0"/>
          <w:tab w:val="left" w:pos="9070"/>
        </w:tabs>
        <w:ind w:left="851"/>
        <w:rPr>
          <w:sz w:val="24"/>
          <w:szCs w:val="24"/>
        </w:rPr>
      </w:pPr>
      <w:r>
        <w:rPr>
          <w:sz w:val="24"/>
          <w:szCs w:val="24"/>
        </w:rPr>
        <w:t>Blisterpakning: 2 år.</w:t>
      </w:r>
    </w:p>
    <w:p w:rsidR="006C56FF" w:rsidRDefault="006C56FF" w:rsidP="006C56FF">
      <w:pPr>
        <w:widowControl w:val="0"/>
        <w:tabs>
          <w:tab w:val="left" w:pos="0"/>
          <w:tab w:val="left" w:pos="9070"/>
        </w:tabs>
        <w:ind w:left="851"/>
        <w:rPr>
          <w:sz w:val="24"/>
          <w:szCs w:val="24"/>
        </w:rPr>
      </w:pPr>
      <w:r>
        <w:rPr>
          <w:sz w:val="24"/>
          <w:szCs w:val="24"/>
        </w:rPr>
        <w:t>Flaske 3 år.</w:t>
      </w:r>
    </w:p>
    <w:p w:rsidR="006C56FF" w:rsidRPr="00C84483" w:rsidRDefault="006C56FF" w:rsidP="006C56FF">
      <w:pPr>
        <w:widowControl w:val="0"/>
        <w:tabs>
          <w:tab w:val="left" w:pos="0"/>
          <w:tab w:val="left" w:pos="9070"/>
        </w:tabs>
        <w:ind w:left="851"/>
        <w:rPr>
          <w:sz w:val="24"/>
          <w:szCs w:val="24"/>
        </w:rPr>
      </w:pPr>
      <w:r>
        <w:rPr>
          <w:sz w:val="24"/>
          <w:szCs w:val="24"/>
        </w:rPr>
        <w:t>Efter åbning af beholder: 120 dage.</w:t>
      </w:r>
      <w:r w:rsidRPr="00C84483">
        <w:rPr>
          <w:sz w:val="24"/>
          <w:szCs w:val="24"/>
        </w:rPr>
        <w:t xml:space="preserve"> </w:t>
      </w:r>
    </w:p>
    <w:p w:rsidR="006C56FF"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C56FF" w:rsidRPr="00C84483" w:rsidRDefault="006C56FF" w:rsidP="006C56FF">
      <w:pPr>
        <w:widowControl w:val="0"/>
        <w:tabs>
          <w:tab w:val="left" w:pos="0"/>
          <w:tab w:val="left" w:pos="9070"/>
        </w:tabs>
        <w:ind w:left="851" w:right="849"/>
        <w:rPr>
          <w:sz w:val="24"/>
          <w:szCs w:val="24"/>
        </w:rPr>
      </w:pPr>
      <w:r>
        <w:rPr>
          <w:spacing w:val="-1"/>
          <w:sz w:val="24"/>
          <w:szCs w:val="24"/>
        </w:rPr>
        <w:t>Opbevares ved temperaturer under 25 °C.</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6.5</w:t>
      </w:r>
      <w:r w:rsidRPr="00C84483">
        <w:rPr>
          <w:b/>
          <w:sz w:val="24"/>
          <w:szCs w:val="24"/>
        </w:rPr>
        <w:tab/>
      </w:r>
      <w:r w:rsidR="00E916DB" w:rsidRPr="00421BF6">
        <w:rPr>
          <w:b/>
          <w:sz w:val="24"/>
          <w:szCs w:val="24"/>
        </w:rPr>
        <w:t>Emballagetype og pakningsstørrelser</w:t>
      </w:r>
    </w:p>
    <w:p w:rsidR="006C56FF" w:rsidRDefault="006C56FF" w:rsidP="006C56FF">
      <w:pPr>
        <w:widowControl w:val="0"/>
        <w:tabs>
          <w:tab w:val="left" w:pos="0"/>
          <w:tab w:val="left" w:pos="9070"/>
        </w:tabs>
        <w:ind w:left="851" w:right="-2"/>
        <w:rPr>
          <w:spacing w:val="30"/>
          <w:sz w:val="24"/>
          <w:szCs w:val="24"/>
        </w:rPr>
      </w:pPr>
      <w:r>
        <w:rPr>
          <w:spacing w:val="-1"/>
          <w:sz w:val="24"/>
          <w:szCs w:val="24"/>
        </w:rPr>
        <w:t>Ritonavir Accord tabletter er pakket i hvid polyethylen (HDPE) beholder med hvidt, børnesikret polypropylen-skruelåg og i Alu-Alu blisterpakning.</w:t>
      </w:r>
    </w:p>
    <w:p w:rsidR="006C56FF" w:rsidRDefault="006C56FF" w:rsidP="006C56FF">
      <w:pPr>
        <w:widowControl w:val="0"/>
        <w:tabs>
          <w:tab w:val="left" w:pos="0"/>
          <w:tab w:val="left" w:pos="9070"/>
        </w:tabs>
        <w:ind w:left="851" w:right="-2"/>
        <w:rPr>
          <w:sz w:val="24"/>
          <w:szCs w:val="24"/>
        </w:rPr>
      </w:pPr>
    </w:p>
    <w:p w:rsidR="006C56FF" w:rsidRDefault="006C56FF" w:rsidP="006C56FF">
      <w:pPr>
        <w:widowControl w:val="0"/>
        <w:tabs>
          <w:tab w:val="left" w:pos="0"/>
          <w:tab w:val="left" w:pos="9070"/>
        </w:tabs>
        <w:ind w:left="851"/>
        <w:rPr>
          <w:sz w:val="24"/>
          <w:szCs w:val="24"/>
        </w:rPr>
      </w:pPr>
      <w:r>
        <w:rPr>
          <w:sz w:val="24"/>
          <w:szCs w:val="24"/>
        </w:rPr>
        <w:t xml:space="preserve">Pakningsstørrelser: </w:t>
      </w:r>
    </w:p>
    <w:p w:rsidR="006C56FF" w:rsidRDefault="006C56FF" w:rsidP="006C56FF">
      <w:pPr>
        <w:widowControl w:val="0"/>
        <w:tabs>
          <w:tab w:val="left" w:pos="0"/>
          <w:tab w:val="left" w:pos="9070"/>
        </w:tabs>
        <w:ind w:left="851"/>
        <w:rPr>
          <w:spacing w:val="-1"/>
          <w:sz w:val="24"/>
          <w:szCs w:val="24"/>
        </w:rPr>
      </w:pPr>
      <w:r>
        <w:rPr>
          <w:sz w:val="24"/>
          <w:szCs w:val="24"/>
        </w:rPr>
        <w:t xml:space="preserve">HDPE-flaske: </w:t>
      </w:r>
      <w:r>
        <w:rPr>
          <w:spacing w:val="-1"/>
          <w:sz w:val="24"/>
          <w:szCs w:val="24"/>
        </w:rPr>
        <w:t>30, 90 og 120 stk.</w:t>
      </w:r>
    </w:p>
    <w:p w:rsidR="006C56FF" w:rsidRDefault="006C56FF" w:rsidP="006C56FF">
      <w:pPr>
        <w:widowControl w:val="0"/>
        <w:tabs>
          <w:tab w:val="left" w:pos="0"/>
          <w:tab w:val="left" w:pos="9070"/>
        </w:tabs>
        <w:ind w:left="851"/>
        <w:rPr>
          <w:spacing w:val="-1"/>
          <w:sz w:val="24"/>
          <w:szCs w:val="24"/>
        </w:rPr>
      </w:pPr>
      <w:r>
        <w:rPr>
          <w:sz w:val="24"/>
          <w:szCs w:val="24"/>
        </w:rPr>
        <w:t>Blisterpakning:</w:t>
      </w:r>
      <w:r>
        <w:rPr>
          <w:spacing w:val="-1"/>
          <w:sz w:val="24"/>
          <w:szCs w:val="24"/>
        </w:rPr>
        <w:t xml:space="preserve"> 30x1, 90x1 og 120x1stk.</w:t>
      </w:r>
    </w:p>
    <w:p w:rsidR="006C56FF" w:rsidRDefault="006C56FF" w:rsidP="006C56FF">
      <w:pPr>
        <w:widowControl w:val="0"/>
        <w:tabs>
          <w:tab w:val="left" w:pos="0"/>
          <w:tab w:val="left" w:pos="9070"/>
        </w:tabs>
        <w:ind w:left="851"/>
        <w:rPr>
          <w:spacing w:val="-1"/>
          <w:sz w:val="24"/>
          <w:szCs w:val="24"/>
        </w:rPr>
      </w:pPr>
    </w:p>
    <w:p w:rsidR="006C56FF" w:rsidRDefault="006C56FF" w:rsidP="006C56FF">
      <w:pPr>
        <w:widowControl w:val="0"/>
        <w:tabs>
          <w:tab w:val="left" w:pos="0"/>
          <w:tab w:val="left" w:pos="9070"/>
        </w:tabs>
        <w:ind w:left="851" w:right="-2"/>
        <w:rPr>
          <w:sz w:val="24"/>
          <w:szCs w:val="24"/>
        </w:rPr>
      </w:pPr>
      <w:r>
        <w:rPr>
          <w:spacing w:val="-1"/>
          <w:sz w:val="24"/>
          <w:szCs w:val="24"/>
        </w:rPr>
        <w:t>Ikke alle pakningstørrelser er nødvendigvis markedsført.</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6.6</w:t>
      </w:r>
      <w:r w:rsidRPr="00C84483">
        <w:rPr>
          <w:b/>
          <w:sz w:val="24"/>
          <w:szCs w:val="24"/>
        </w:rPr>
        <w:tab/>
      </w:r>
      <w:bookmarkStart w:id="3" w:name="_Hlk143256191"/>
      <w:r w:rsidR="00E916DB" w:rsidRPr="00421BF6">
        <w:rPr>
          <w:b/>
          <w:noProof/>
          <w:sz w:val="24"/>
          <w:szCs w:val="24"/>
        </w:rPr>
        <w:t>Regler for bortskaffelse og anden håndtering</w:t>
      </w:r>
      <w:bookmarkEnd w:id="3"/>
    </w:p>
    <w:p w:rsidR="006C56FF" w:rsidRPr="00C84483" w:rsidRDefault="006C56FF" w:rsidP="006C56FF">
      <w:pPr>
        <w:widowControl w:val="0"/>
        <w:tabs>
          <w:tab w:val="left" w:pos="0"/>
          <w:tab w:val="left" w:pos="9070"/>
        </w:tabs>
        <w:ind w:left="851"/>
        <w:rPr>
          <w:sz w:val="24"/>
          <w:szCs w:val="24"/>
        </w:rPr>
      </w:pPr>
      <w:r w:rsidRPr="003769BD">
        <w:rPr>
          <w:spacing w:val="-1"/>
          <w:sz w:val="24"/>
          <w:szCs w:val="24"/>
        </w:rPr>
        <w:t>Ikke anvendt lægemiddel samt affald heraf bør bortskaffes i overensstemmelse med lokale krav.</w:t>
      </w:r>
    </w:p>
    <w:p w:rsidR="006C56FF" w:rsidRPr="00C84483" w:rsidRDefault="006C56FF" w:rsidP="006C56FF">
      <w:pPr>
        <w:tabs>
          <w:tab w:val="left" w:pos="851"/>
        </w:tabs>
        <w:ind w:left="851"/>
        <w:jc w:val="both"/>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C56FF" w:rsidRPr="00C776B8" w:rsidRDefault="006C56FF" w:rsidP="006C56FF">
      <w:pPr>
        <w:widowControl w:val="0"/>
        <w:autoSpaceDE w:val="0"/>
        <w:autoSpaceDN w:val="0"/>
        <w:adjustRightInd w:val="0"/>
        <w:ind w:left="851" w:right="-30"/>
        <w:rPr>
          <w:spacing w:val="-1"/>
          <w:sz w:val="24"/>
          <w:szCs w:val="24"/>
        </w:rPr>
      </w:pPr>
      <w:r w:rsidRPr="00C776B8">
        <w:rPr>
          <w:spacing w:val="-1"/>
          <w:sz w:val="24"/>
          <w:szCs w:val="24"/>
        </w:rPr>
        <w:t>Accord Healthcare B.V.</w:t>
      </w:r>
    </w:p>
    <w:p w:rsidR="006C56FF" w:rsidRPr="00C776B8" w:rsidRDefault="006C56FF" w:rsidP="006C56FF">
      <w:pPr>
        <w:widowControl w:val="0"/>
        <w:autoSpaceDE w:val="0"/>
        <w:autoSpaceDN w:val="0"/>
        <w:adjustRightInd w:val="0"/>
        <w:ind w:left="851" w:right="-30"/>
        <w:rPr>
          <w:spacing w:val="-1"/>
          <w:sz w:val="24"/>
          <w:szCs w:val="24"/>
        </w:rPr>
      </w:pPr>
      <w:r w:rsidRPr="00C776B8">
        <w:rPr>
          <w:spacing w:val="-1"/>
          <w:sz w:val="24"/>
          <w:szCs w:val="24"/>
        </w:rPr>
        <w:lastRenderedPageBreak/>
        <w:t>Winthontlaan 200</w:t>
      </w:r>
    </w:p>
    <w:p w:rsidR="006C56FF" w:rsidRDefault="006C56FF" w:rsidP="006C56FF">
      <w:pPr>
        <w:ind w:left="851"/>
        <w:rPr>
          <w:spacing w:val="-1"/>
          <w:sz w:val="24"/>
          <w:szCs w:val="24"/>
        </w:rPr>
      </w:pPr>
      <w:r w:rsidRPr="005B3C75">
        <w:rPr>
          <w:spacing w:val="-1"/>
          <w:sz w:val="24"/>
          <w:szCs w:val="24"/>
        </w:rPr>
        <w:t>3526 KV</w:t>
      </w:r>
      <w:r>
        <w:rPr>
          <w:spacing w:val="-1"/>
          <w:sz w:val="24"/>
          <w:szCs w:val="24"/>
        </w:rPr>
        <w:t xml:space="preserve"> Utrecht</w:t>
      </w:r>
    </w:p>
    <w:p w:rsidR="006C56FF" w:rsidRPr="00176B6C" w:rsidRDefault="006C56FF" w:rsidP="006C56FF">
      <w:pPr>
        <w:widowControl w:val="0"/>
        <w:tabs>
          <w:tab w:val="left" w:pos="0"/>
          <w:tab w:val="left" w:pos="9070"/>
        </w:tabs>
        <w:ind w:left="851"/>
        <w:rPr>
          <w:sz w:val="24"/>
          <w:szCs w:val="24"/>
        </w:rPr>
      </w:pPr>
      <w:r>
        <w:rPr>
          <w:spacing w:val="-1"/>
          <w:sz w:val="24"/>
          <w:szCs w:val="24"/>
        </w:rPr>
        <w:t>Holland</w:t>
      </w:r>
    </w:p>
    <w:p w:rsidR="006C56FF" w:rsidRPr="00176B6C"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916DB">
        <w:rPr>
          <w:b/>
          <w:sz w:val="24"/>
          <w:szCs w:val="24"/>
        </w:rPr>
        <w:t>-</w:t>
      </w:r>
      <w:r w:rsidRPr="00C84483">
        <w:rPr>
          <w:b/>
          <w:sz w:val="24"/>
          <w:szCs w:val="24"/>
        </w:rPr>
        <w:t>NUMRE)</w:t>
      </w:r>
    </w:p>
    <w:p w:rsidR="006C56FF" w:rsidRDefault="006C56FF" w:rsidP="006C56FF">
      <w:pPr>
        <w:tabs>
          <w:tab w:val="left" w:pos="851"/>
        </w:tabs>
        <w:ind w:left="851"/>
        <w:rPr>
          <w:sz w:val="24"/>
          <w:szCs w:val="24"/>
        </w:rPr>
      </w:pPr>
      <w:r>
        <w:rPr>
          <w:sz w:val="24"/>
          <w:szCs w:val="24"/>
        </w:rPr>
        <w:t xml:space="preserve">58129  </w:t>
      </w:r>
    </w:p>
    <w:p w:rsidR="006C56FF" w:rsidRPr="00C84483" w:rsidRDefault="006C56FF" w:rsidP="006C56FF">
      <w:pPr>
        <w:tabs>
          <w:tab w:val="left" w:pos="851"/>
        </w:tabs>
        <w:ind w:left="851"/>
        <w:jc w:val="both"/>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C56FF" w:rsidRPr="00C84483" w:rsidRDefault="006C56FF" w:rsidP="006C56FF">
      <w:pPr>
        <w:tabs>
          <w:tab w:val="left" w:pos="851"/>
        </w:tabs>
        <w:ind w:left="851"/>
        <w:rPr>
          <w:sz w:val="24"/>
          <w:szCs w:val="24"/>
        </w:rPr>
      </w:pPr>
      <w:r>
        <w:rPr>
          <w:sz w:val="24"/>
          <w:szCs w:val="24"/>
        </w:rPr>
        <w:t>20. februar 2017</w:t>
      </w:r>
    </w:p>
    <w:p w:rsidR="006C56FF" w:rsidRPr="00C84483" w:rsidRDefault="006C56FF" w:rsidP="006C56FF">
      <w:pPr>
        <w:tabs>
          <w:tab w:val="left" w:pos="851"/>
        </w:tabs>
        <w:ind w:left="851"/>
        <w:rPr>
          <w:sz w:val="24"/>
          <w:szCs w:val="24"/>
        </w:rPr>
      </w:pPr>
    </w:p>
    <w:p w:rsidR="006C56FF" w:rsidRPr="00C84483" w:rsidRDefault="006C56FF" w:rsidP="006C56F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C56FF" w:rsidRPr="003923DF" w:rsidRDefault="00C74D39" w:rsidP="006C56FF">
      <w:pPr>
        <w:tabs>
          <w:tab w:val="left" w:pos="851"/>
        </w:tabs>
        <w:ind w:left="851"/>
        <w:rPr>
          <w:sz w:val="24"/>
          <w:szCs w:val="24"/>
        </w:rPr>
      </w:pPr>
      <w:r>
        <w:rPr>
          <w:sz w:val="24"/>
          <w:szCs w:val="24"/>
        </w:rPr>
        <w:t>6</w:t>
      </w:r>
      <w:r w:rsidR="004D4259">
        <w:rPr>
          <w:sz w:val="24"/>
          <w:szCs w:val="24"/>
        </w:rPr>
        <w:t xml:space="preserve">. </w:t>
      </w:r>
      <w:r w:rsidR="00CF763F">
        <w:rPr>
          <w:sz w:val="24"/>
          <w:szCs w:val="24"/>
        </w:rPr>
        <w:t>marts</w:t>
      </w:r>
      <w:r w:rsidR="004D4259">
        <w:rPr>
          <w:sz w:val="24"/>
          <w:szCs w:val="24"/>
        </w:rPr>
        <w:t xml:space="preserve"> 202</w:t>
      </w:r>
      <w:r w:rsidR="00CF763F">
        <w:rPr>
          <w:sz w:val="24"/>
          <w:szCs w:val="24"/>
        </w:rPr>
        <w:t>5</w:t>
      </w:r>
      <w:bookmarkStart w:id="4" w:name="_GoBack"/>
      <w:bookmarkEnd w:id="4"/>
    </w:p>
    <w:p w:rsidR="006C56FF" w:rsidRPr="00241162" w:rsidRDefault="006C56FF" w:rsidP="006C56FF"/>
    <w:p w:rsidR="006C56FF" w:rsidRPr="00FC3064" w:rsidRDefault="006C56FF" w:rsidP="006C56FF"/>
    <w:p w:rsidR="009260DE" w:rsidRPr="006C56FF" w:rsidRDefault="009260DE" w:rsidP="006C56FF"/>
    <w:sectPr w:rsidR="009260DE" w:rsidRPr="006C56F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B96" w:rsidRDefault="00C70B96">
      <w:r>
        <w:separator/>
      </w:r>
    </w:p>
  </w:endnote>
  <w:endnote w:type="continuationSeparator" w:id="0">
    <w:p w:rsidR="00C70B96" w:rsidRDefault="00C7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96" w:rsidRDefault="00C70B96">
    <w:pPr>
      <w:pStyle w:val="Sidefod"/>
      <w:pBdr>
        <w:bottom w:val="single" w:sz="6" w:space="1" w:color="auto"/>
      </w:pBdr>
    </w:pPr>
  </w:p>
  <w:p w:rsidR="00C70B96" w:rsidRDefault="00C70B96" w:rsidP="00C42586">
    <w:pPr>
      <w:pStyle w:val="Sidefod"/>
      <w:tabs>
        <w:tab w:val="clear" w:pos="4819"/>
        <w:tab w:val="left" w:pos="8505"/>
      </w:tabs>
      <w:rPr>
        <w:i/>
        <w:sz w:val="18"/>
        <w:szCs w:val="18"/>
      </w:rPr>
    </w:pPr>
  </w:p>
  <w:p w:rsidR="00C70B96" w:rsidRPr="00B373D7" w:rsidRDefault="00C70B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Ritonavir Accord, filmovertrukne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B96" w:rsidRDefault="00C70B96">
      <w:r>
        <w:separator/>
      </w:r>
    </w:p>
  </w:footnote>
  <w:footnote w:type="continuationSeparator" w:id="0">
    <w:p w:rsidR="00C70B96" w:rsidRDefault="00C7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EA0164"/>
    <w:multiLevelType w:val="hybridMultilevel"/>
    <w:tmpl w:val="FC04CCC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FF"/>
    <w:rsid w:val="000259B9"/>
    <w:rsid w:val="00041491"/>
    <w:rsid w:val="00045F55"/>
    <w:rsid w:val="00050D16"/>
    <w:rsid w:val="00074F2A"/>
    <w:rsid w:val="0009135E"/>
    <w:rsid w:val="000A1CA8"/>
    <w:rsid w:val="000A466B"/>
    <w:rsid w:val="000B058C"/>
    <w:rsid w:val="000E4EE6"/>
    <w:rsid w:val="001454E2"/>
    <w:rsid w:val="00167C6A"/>
    <w:rsid w:val="00206CE8"/>
    <w:rsid w:val="0021526C"/>
    <w:rsid w:val="00283A2B"/>
    <w:rsid w:val="002B30AD"/>
    <w:rsid w:val="002B3CD6"/>
    <w:rsid w:val="002C2C01"/>
    <w:rsid w:val="003A29AE"/>
    <w:rsid w:val="003A32D7"/>
    <w:rsid w:val="003B4074"/>
    <w:rsid w:val="003C769A"/>
    <w:rsid w:val="003E5494"/>
    <w:rsid w:val="003F1838"/>
    <w:rsid w:val="0045746C"/>
    <w:rsid w:val="0049104B"/>
    <w:rsid w:val="004D4259"/>
    <w:rsid w:val="004E3B12"/>
    <w:rsid w:val="00532310"/>
    <w:rsid w:val="00560ECC"/>
    <w:rsid w:val="00565F0F"/>
    <w:rsid w:val="00594A86"/>
    <w:rsid w:val="00596D86"/>
    <w:rsid w:val="005D04F7"/>
    <w:rsid w:val="00637F5A"/>
    <w:rsid w:val="006560B1"/>
    <w:rsid w:val="006756DD"/>
    <w:rsid w:val="00691959"/>
    <w:rsid w:val="006C2FCA"/>
    <w:rsid w:val="006C56FF"/>
    <w:rsid w:val="00702581"/>
    <w:rsid w:val="00737275"/>
    <w:rsid w:val="00740EEC"/>
    <w:rsid w:val="0078011A"/>
    <w:rsid w:val="00782AF4"/>
    <w:rsid w:val="00790EE7"/>
    <w:rsid w:val="007B6649"/>
    <w:rsid w:val="007C1BB9"/>
    <w:rsid w:val="0081546F"/>
    <w:rsid w:val="0082576E"/>
    <w:rsid w:val="00907F75"/>
    <w:rsid w:val="009260DE"/>
    <w:rsid w:val="00931005"/>
    <w:rsid w:val="0093258A"/>
    <w:rsid w:val="009437A8"/>
    <w:rsid w:val="009C7BA3"/>
    <w:rsid w:val="009D1F5A"/>
    <w:rsid w:val="00AF5C0D"/>
    <w:rsid w:val="00B003BF"/>
    <w:rsid w:val="00B06A4E"/>
    <w:rsid w:val="00B174B2"/>
    <w:rsid w:val="00B373D7"/>
    <w:rsid w:val="00C36276"/>
    <w:rsid w:val="00C42586"/>
    <w:rsid w:val="00C60CCD"/>
    <w:rsid w:val="00C70B96"/>
    <w:rsid w:val="00C74D39"/>
    <w:rsid w:val="00C84483"/>
    <w:rsid w:val="00C95551"/>
    <w:rsid w:val="00CB20D7"/>
    <w:rsid w:val="00CE79DE"/>
    <w:rsid w:val="00CF763F"/>
    <w:rsid w:val="00D020B0"/>
    <w:rsid w:val="00D11748"/>
    <w:rsid w:val="00D366CF"/>
    <w:rsid w:val="00E108AA"/>
    <w:rsid w:val="00E3104D"/>
    <w:rsid w:val="00E31812"/>
    <w:rsid w:val="00E3749A"/>
    <w:rsid w:val="00E7437F"/>
    <w:rsid w:val="00E865B8"/>
    <w:rsid w:val="00E916DB"/>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EA5FA"/>
  <w15:chartTrackingRefBased/>
  <w15:docId w15:val="{07DA44EA-DCE9-42FD-8D19-D449F7F7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6C56FF"/>
    <w:pPr>
      <w:widowControl w:val="0"/>
      <w:ind w:left="118"/>
      <w:outlineLvl w:val="1"/>
    </w:pPr>
    <w:rPr>
      <w:sz w:val="24"/>
      <w:szCs w:val="24"/>
      <w:lang w:val="en-US"/>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paragraph" w:styleId="Overskrift4">
    <w:name w:val="heading 4"/>
    <w:basedOn w:val="Normal"/>
    <w:link w:val="Overskrift4Tegn"/>
    <w:uiPriority w:val="1"/>
    <w:qFormat/>
    <w:rsid w:val="006C56FF"/>
    <w:pPr>
      <w:widowControl w:val="0"/>
      <w:ind w:left="118"/>
      <w:outlineLvl w:val="3"/>
    </w:pPr>
    <w:rPr>
      <w:b/>
      <w:bCs/>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6C56FF"/>
    <w:rPr>
      <w:sz w:val="24"/>
      <w:szCs w:val="24"/>
      <w:lang w:val="en-US" w:eastAsia="en-US"/>
    </w:rPr>
  </w:style>
  <w:style w:type="character" w:customStyle="1" w:styleId="Overskrift4Tegn">
    <w:name w:val="Overskrift 4 Tegn"/>
    <w:basedOn w:val="Standardskrifttypeiafsnit"/>
    <w:link w:val="Overskrift4"/>
    <w:uiPriority w:val="1"/>
    <w:rsid w:val="006C56FF"/>
    <w:rPr>
      <w:b/>
      <w:bCs/>
      <w:sz w:val="22"/>
      <w:szCs w:val="22"/>
      <w:lang w:val="en-US" w:eastAsia="en-US"/>
    </w:rPr>
  </w:style>
  <w:style w:type="character" w:styleId="Pladsholdertekst">
    <w:name w:val="Placeholder Text"/>
    <w:basedOn w:val="Standardskrifttypeiafsnit"/>
    <w:uiPriority w:val="99"/>
    <w:semiHidden/>
    <w:rsid w:val="006C56FF"/>
    <w:rPr>
      <w:color w:val="808080"/>
    </w:rPr>
  </w:style>
  <w:style w:type="character" w:customStyle="1" w:styleId="Overskrift1Tegn">
    <w:name w:val="Overskrift 1 Tegn"/>
    <w:basedOn w:val="Standardskrifttypeiafsnit"/>
    <w:link w:val="Overskrift1"/>
    <w:uiPriority w:val="1"/>
    <w:locked/>
    <w:rsid w:val="006C56FF"/>
    <w:rPr>
      <w:rFonts w:ascii="Arial" w:hAnsi="Arial"/>
      <w:b/>
      <w:kern w:val="28"/>
      <w:sz w:val="28"/>
      <w:lang w:eastAsia="en-US"/>
    </w:rPr>
  </w:style>
  <w:style w:type="character" w:customStyle="1" w:styleId="Overskrift3Tegn">
    <w:name w:val="Overskrift 3 Tegn"/>
    <w:basedOn w:val="Standardskrifttypeiafsnit"/>
    <w:link w:val="Overskrift3"/>
    <w:uiPriority w:val="1"/>
    <w:locked/>
    <w:rsid w:val="006C56FF"/>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locked/>
    <w:rsid w:val="006C56FF"/>
    <w:rPr>
      <w:rFonts w:ascii="Tahoma" w:hAnsi="Tahoma" w:cs="Tahoma"/>
      <w:sz w:val="16"/>
      <w:szCs w:val="16"/>
      <w:lang w:eastAsia="en-US"/>
    </w:rPr>
  </w:style>
  <w:style w:type="character" w:customStyle="1" w:styleId="SidefodTegn">
    <w:name w:val="Sidefod Tegn"/>
    <w:basedOn w:val="Standardskrifttypeiafsnit"/>
    <w:link w:val="Sidefod"/>
    <w:uiPriority w:val="99"/>
    <w:locked/>
    <w:rsid w:val="006C56FF"/>
    <w:rPr>
      <w:sz w:val="23"/>
      <w:lang w:eastAsia="en-US"/>
    </w:rPr>
  </w:style>
  <w:style w:type="paragraph" w:styleId="Brdtekst">
    <w:name w:val="Body Text"/>
    <w:basedOn w:val="Normal"/>
    <w:link w:val="BrdtekstTegn"/>
    <w:uiPriority w:val="1"/>
    <w:qFormat/>
    <w:rsid w:val="006C56FF"/>
    <w:pPr>
      <w:widowControl w:val="0"/>
      <w:ind w:left="118"/>
    </w:pPr>
    <w:rPr>
      <w:sz w:val="22"/>
      <w:szCs w:val="22"/>
      <w:lang w:val="en-US"/>
    </w:rPr>
  </w:style>
  <w:style w:type="character" w:customStyle="1" w:styleId="BrdtekstTegn">
    <w:name w:val="Brødtekst Tegn"/>
    <w:basedOn w:val="Standardskrifttypeiafsnit"/>
    <w:link w:val="Brdtekst"/>
    <w:uiPriority w:val="1"/>
    <w:rsid w:val="006C56FF"/>
    <w:rPr>
      <w:sz w:val="22"/>
      <w:szCs w:val="22"/>
      <w:lang w:val="en-US" w:eastAsia="en-US"/>
    </w:rPr>
  </w:style>
  <w:style w:type="character" w:styleId="Hyperlink">
    <w:name w:val="Hyperlink"/>
    <w:basedOn w:val="Standardskrifttypeiafsnit"/>
    <w:uiPriority w:val="99"/>
    <w:rsid w:val="006C56FF"/>
    <w:rPr>
      <w:color w:val="0563C1"/>
      <w:u w:val="single"/>
    </w:rPr>
  </w:style>
  <w:style w:type="paragraph" w:styleId="Listeafsnit">
    <w:name w:val="List Paragraph"/>
    <w:basedOn w:val="Normal"/>
    <w:uiPriority w:val="1"/>
    <w:qFormat/>
    <w:rsid w:val="006C56FF"/>
    <w:pPr>
      <w:widowControl w:val="0"/>
    </w:pPr>
    <w:rPr>
      <w:rFonts w:ascii="Calibri" w:hAnsi="Calibri"/>
      <w:sz w:val="22"/>
      <w:szCs w:val="22"/>
      <w:lang w:val="en-US"/>
    </w:rPr>
  </w:style>
  <w:style w:type="paragraph" w:customStyle="1" w:styleId="TableParagraph">
    <w:name w:val="Table Paragraph"/>
    <w:basedOn w:val="Normal"/>
    <w:uiPriority w:val="1"/>
    <w:qFormat/>
    <w:rsid w:val="006C56FF"/>
    <w:pPr>
      <w:widowControl w:val="0"/>
    </w:pPr>
    <w:rPr>
      <w:rFonts w:ascii="Calibri" w:hAnsi="Calibri"/>
      <w:sz w:val="22"/>
      <w:szCs w:val="22"/>
      <w:lang w:val="en-US"/>
    </w:rPr>
  </w:style>
  <w:style w:type="character" w:styleId="BesgtLink">
    <w:name w:val="FollowedHyperlink"/>
    <w:basedOn w:val="Standardskrifttypeiafsnit"/>
    <w:uiPriority w:val="99"/>
    <w:semiHidden/>
    <w:unhideWhenUsed/>
    <w:rsid w:val="006C56FF"/>
    <w:rPr>
      <w:color w:val="954F72" w:themeColor="followedHyperlink"/>
      <w:u w:val="single"/>
    </w:rPr>
  </w:style>
  <w:style w:type="paragraph" w:customStyle="1" w:styleId="msonormal0">
    <w:name w:val="msonormal"/>
    <w:basedOn w:val="Normal"/>
    <w:rsid w:val="007C1BB9"/>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68456724">
      <w:bodyDiv w:val="1"/>
      <w:marLeft w:val="0"/>
      <w:marRight w:val="0"/>
      <w:marTop w:val="0"/>
      <w:marBottom w:val="0"/>
      <w:divBdr>
        <w:top w:val="none" w:sz="0" w:space="0" w:color="auto"/>
        <w:left w:val="none" w:sz="0" w:space="0" w:color="auto"/>
        <w:bottom w:val="none" w:sz="0" w:space="0" w:color="auto"/>
        <w:right w:val="none" w:sz="0" w:space="0" w:color="auto"/>
      </w:divBdr>
    </w:div>
    <w:div w:id="1266033965">
      <w:bodyDiv w:val="1"/>
      <w:marLeft w:val="0"/>
      <w:marRight w:val="0"/>
      <w:marTop w:val="0"/>
      <w:marBottom w:val="0"/>
      <w:divBdr>
        <w:top w:val="none" w:sz="0" w:space="0" w:color="auto"/>
        <w:left w:val="none" w:sz="0" w:space="0" w:color="auto"/>
        <w:bottom w:val="none" w:sz="0" w:space="0" w:color="auto"/>
        <w:right w:val="none" w:sz="0" w:space="0" w:color="auto"/>
      </w:divBdr>
    </w:div>
    <w:div w:id="15063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5E28-49A1-4F2B-839D-22704965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12448</Words>
  <Characters>80477</Characters>
  <Application>Microsoft Office Word</Application>
  <DocSecurity>0</DocSecurity>
  <Lines>670</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2024083926_x000d_
SPC pkt. 4.3, 4.5</dc:description>
  <cp:lastModifiedBy>Victoria Alexsandra Ringgaard</cp:lastModifiedBy>
  <cp:revision>3</cp:revision>
  <cp:lastPrinted>2012-08-22T08:53:00Z</cp:lastPrinted>
  <dcterms:created xsi:type="dcterms:W3CDTF">2025-02-28T13:32:00Z</dcterms:created>
  <dcterms:modified xsi:type="dcterms:W3CDTF">2025-02-28T13:36:00Z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