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61C" w:rsidRPr="008F49E1" w:rsidRDefault="00DE361C" w:rsidP="00DE361C">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15B5D01" wp14:editId="290BA99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E361C" w:rsidRPr="00C84483" w:rsidRDefault="00DE361C" w:rsidP="00DE361C">
      <w:pPr>
        <w:pStyle w:val="Titel"/>
        <w:tabs>
          <w:tab w:val="right" w:pos="9356"/>
        </w:tabs>
        <w:jc w:val="left"/>
        <w:rPr>
          <w:b w:val="0"/>
          <w:szCs w:val="24"/>
          <w:lang w:eastAsia="en-US"/>
        </w:rPr>
      </w:pPr>
    </w:p>
    <w:p w:rsidR="00DE361C" w:rsidRPr="009D02EE" w:rsidRDefault="00DE361C" w:rsidP="00DE361C">
      <w:pPr>
        <w:pStyle w:val="Titel"/>
        <w:tabs>
          <w:tab w:val="right" w:pos="9356"/>
        </w:tabs>
        <w:jc w:val="left"/>
        <w:rPr>
          <w:szCs w:val="24"/>
          <w:lang w:eastAsia="en-US"/>
        </w:rPr>
      </w:pPr>
      <w:r w:rsidRPr="00C84483">
        <w:rPr>
          <w:b w:val="0"/>
          <w:szCs w:val="24"/>
          <w:lang w:eastAsia="en-US"/>
        </w:rPr>
        <w:tab/>
      </w:r>
      <w:r w:rsidR="009D02EE" w:rsidRPr="009D02EE">
        <w:rPr>
          <w:szCs w:val="24"/>
          <w:lang w:eastAsia="en-US"/>
        </w:rPr>
        <w:t>4. februar 2025</w:t>
      </w:r>
    </w:p>
    <w:p w:rsidR="00DE361C" w:rsidRPr="00C84483" w:rsidRDefault="00DE361C" w:rsidP="00DE361C">
      <w:pPr>
        <w:pStyle w:val="Titel"/>
        <w:tabs>
          <w:tab w:val="left" w:pos="8222"/>
        </w:tabs>
        <w:jc w:val="left"/>
        <w:rPr>
          <w:b w:val="0"/>
          <w:szCs w:val="24"/>
        </w:rPr>
      </w:pPr>
    </w:p>
    <w:p w:rsidR="00DE361C" w:rsidRPr="00C84483" w:rsidRDefault="00DE361C" w:rsidP="00DE361C">
      <w:pPr>
        <w:pStyle w:val="Titel"/>
        <w:jc w:val="left"/>
        <w:rPr>
          <w:b w:val="0"/>
          <w:szCs w:val="24"/>
        </w:rPr>
      </w:pPr>
    </w:p>
    <w:p w:rsidR="00DE361C" w:rsidRPr="00C84483" w:rsidRDefault="00DE361C" w:rsidP="00DE361C">
      <w:pPr>
        <w:jc w:val="center"/>
        <w:rPr>
          <w:b/>
          <w:sz w:val="24"/>
          <w:szCs w:val="24"/>
        </w:rPr>
      </w:pPr>
      <w:r w:rsidRPr="00C84483">
        <w:rPr>
          <w:b/>
          <w:sz w:val="24"/>
          <w:szCs w:val="24"/>
        </w:rPr>
        <w:t>PRODUKTRESUMÉ</w:t>
      </w:r>
    </w:p>
    <w:p w:rsidR="00DE361C" w:rsidRPr="00C84483" w:rsidRDefault="00DE361C" w:rsidP="00DE361C">
      <w:pPr>
        <w:tabs>
          <w:tab w:val="left" w:pos="438"/>
        </w:tabs>
        <w:rPr>
          <w:b/>
          <w:sz w:val="24"/>
          <w:szCs w:val="24"/>
        </w:rPr>
      </w:pPr>
      <w:r>
        <w:rPr>
          <w:b/>
          <w:sz w:val="24"/>
          <w:szCs w:val="24"/>
        </w:rPr>
        <w:tab/>
      </w:r>
    </w:p>
    <w:p w:rsidR="00DE361C" w:rsidRDefault="00DE361C" w:rsidP="00DE361C">
      <w:pPr>
        <w:jc w:val="center"/>
        <w:rPr>
          <w:b/>
          <w:sz w:val="24"/>
          <w:szCs w:val="24"/>
        </w:rPr>
      </w:pPr>
      <w:r w:rsidRPr="00C84483">
        <w:rPr>
          <w:b/>
          <w:sz w:val="24"/>
          <w:szCs w:val="24"/>
        </w:rPr>
        <w:t>for</w:t>
      </w:r>
    </w:p>
    <w:p w:rsidR="00DE361C" w:rsidRPr="00C84483" w:rsidRDefault="00DE361C" w:rsidP="00DE361C">
      <w:pPr>
        <w:jc w:val="center"/>
        <w:rPr>
          <w:b/>
          <w:sz w:val="24"/>
          <w:szCs w:val="24"/>
        </w:rPr>
      </w:pPr>
    </w:p>
    <w:p w:rsidR="00DE361C" w:rsidRPr="00C84483" w:rsidRDefault="00DE361C" w:rsidP="00DE361C">
      <w:pPr>
        <w:jc w:val="center"/>
        <w:rPr>
          <w:b/>
          <w:sz w:val="24"/>
          <w:szCs w:val="24"/>
        </w:rPr>
      </w:pPr>
      <w:r>
        <w:rPr>
          <w:b/>
          <w:sz w:val="24"/>
          <w:szCs w:val="24"/>
        </w:rPr>
        <w:t>Rivadia, filmovertrukne tabletter 10 mg</w:t>
      </w:r>
    </w:p>
    <w:p w:rsidR="00DE361C" w:rsidRPr="00C84483" w:rsidRDefault="00DE361C" w:rsidP="00DE361C">
      <w:pPr>
        <w:jc w:val="both"/>
        <w:rPr>
          <w:sz w:val="24"/>
          <w:szCs w:val="24"/>
        </w:rPr>
      </w:pPr>
    </w:p>
    <w:p w:rsidR="00DE361C" w:rsidRPr="00C84483" w:rsidRDefault="00DE361C" w:rsidP="00DE361C">
      <w:pPr>
        <w:jc w:val="both"/>
        <w:rPr>
          <w:sz w:val="24"/>
          <w:szCs w:val="24"/>
        </w:rPr>
      </w:pPr>
    </w:p>
    <w:p w:rsidR="00DE361C" w:rsidRPr="00C84483" w:rsidRDefault="00DE361C" w:rsidP="00DE361C">
      <w:pPr>
        <w:tabs>
          <w:tab w:val="left" w:pos="851"/>
        </w:tabs>
        <w:ind w:left="851" w:hanging="851"/>
        <w:rPr>
          <w:b/>
          <w:sz w:val="24"/>
          <w:szCs w:val="24"/>
        </w:rPr>
      </w:pPr>
      <w:r w:rsidRPr="00C84483">
        <w:rPr>
          <w:b/>
          <w:sz w:val="24"/>
          <w:szCs w:val="24"/>
        </w:rPr>
        <w:t>0.</w:t>
      </w:r>
      <w:r w:rsidRPr="00C84483">
        <w:rPr>
          <w:b/>
          <w:sz w:val="24"/>
          <w:szCs w:val="24"/>
        </w:rPr>
        <w:tab/>
        <w:t>D.SP.NR.</w:t>
      </w:r>
    </w:p>
    <w:p w:rsidR="00DE361C" w:rsidRPr="00C84483" w:rsidRDefault="00DE361C" w:rsidP="00DE361C">
      <w:pPr>
        <w:tabs>
          <w:tab w:val="left" w:pos="851"/>
        </w:tabs>
        <w:ind w:left="851"/>
        <w:rPr>
          <w:sz w:val="24"/>
          <w:szCs w:val="24"/>
        </w:rPr>
      </w:pPr>
      <w:r>
        <w:rPr>
          <w:sz w:val="24"/>
          <w:szCs w:val="24"/>
        </w:rPr>
        <w:t>30503</w:t>
      </w:r>
    </w:p>
    <w:p w:rsidR="00DE361C" w:rsidRPr="00C84483" w:rsidRDefault="00DE361C" w:rsidP="00DE361C">
      <w:pPr>
        <w:tabs>
          <w:tab w:val="left" w:pos="851"/>
        </w:tabs>
        <w:ind w:left="851"/>
        <w:rPr>
          <w:sz w:val="24"/>
          <w:szCs w:val="24"/>
        </w:rPr>
      </w:pPr>
    </w:p>
    <w:p w:rsidR="00DE361C" w:rsidRPr="00C84483" w:rsidRDefault="00DE361C" w:rsidP="00DE361C">
      <w:pPr>
        <w:tabs>
          <w:tab w:val="left" w:pos="851"/>
        </w:tabs>
        <w:ind w:left="851" w:hanging="851"/>
        <w:rPr>
          <w:b/>
          <w:sz w:val="24"/>
          <w:szCs w:val="24"/>
        </w:rPr>
      </w:pPr>
      <w:r w:rsidRPr="00C84483">
        <w:rPr>
          <w:b/>
          <w:sz w:val="24"/>
          <w:szCs w:val="24"/>
        </w:rPr>
        <w:t>1.</w:t>
      </w:r>
      <w:r w:rsidRPr="00C84483">
        <w:rPr>
          <w:b/>
          <w:sz w:val="24"/>
          <w:szCs w:val="24"/>
        </w:rPr>
        <w:tab/>
        <w:t>LÆGEMIDLETS NAVN</w:t>
      </w:r>
    </w:p>
    <w:p w:rsidR="00DE361C" w:rsidRPr="00C84483" w:rsidRDefault="00DE361C" w:rsidP="00DE361C">
      <w:pPr>
        <w:tabs>
          <w:tab w:val="left" w:pos="851"/>
        </w:tabs>
        <w:ind w:left="851"/>
        <w:rPr>
          <w:sz w:val="24"/>
          <w:szCs w:val="24"/>
        </w:rPr>
      </w:pPr>
      <w:r>
        <w:rPr>
          <w:sz w:val="24"/>
          <w:szCs w:val="24"/>
        </w:rPr>
        <w:t>Rivadia</w:t>
      </w:r>
    </w:p>
    <w:p w:rsidR="00DE361C" w:rsidRPr="00C84483" w:rsidRDefault="00DE361C" w:rsidP="00DE361C">
      <w:pPr>
        <w:tabs>
          <w:tab w:val="left" w:pos="851"/>
        </w:tabs>
        <w:ind w:left="851"/>
        <w:rPr>
          <w:sz w:val="24"/>
          <w:szCs w:val="24"/>
        </w:rPr>
      </w:pPr>
    </w:p>
    <w:p w:rsidR="00DE361C" w:rsidRPr="00C84483" w:rsidRDefault="00DE361C" w:rsidP="00DE361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E361C" w:rsidRDefault="00DE361C" w:rsidP="00DE361C">
      <w:pPr>
        <w:widowControl w:val="0"/>
        <w:autoSpaceDE w:val="0"/>
        <w:autoSpaceDN w:val="0"/>
        <w:ind w:left="851" w:right="-1" w:hanging="1"/>
        <w:rPr>
          <w:sz w:val="24"/>
          <w:szCs w:val="24"/>
          <w:u w:val="single"/>
        </w:rPr>
      </w:pPr>
      <w:r w:rsidRPr="005E47B8">
        <w:rPr>
          <w:sz w:val="24"/>
          <w:szCs w:val="24"/>
        </w:rPr>
        <w:t xml:space="preserve">Hver filmovertrukket tablet indeholder </w:t>
      </w:r>
      <w:r>
        <w:rPr>
          <w:sz w:val="24"/>
          <w:szCs w:val="24"/>
        </w:rPr>
        <w:t>10</w:t>
      </w:r>
      <w:r w:rsidRPr="005E47B8">
        <w:rPr>
          <w:sz w:val="24"/>
          <w:szCs w:val="24"/>
        </w:rPr>
        <w:t xml:space="preserve"> mg rivaroxaban.</w:t>
      </w:r>
    </w:p>
    <w:p w:rsidR="00DE361C" w:rsidRDefault="00DE361C" w:rsidP="00DE361C">
      <w:pPr>
        <w:widowControl w:val="0"/>
        <w:autoSpaceDE w:val="0"/>
        <w:autoSpaceDN w:val="0"/>
        <w:ind w:left="851" w:right="-1" w:hanging="1"/>
        <w:rPr>
          <w:sz w:val="24"/>
          <w:szCs w:val="24"/>
          <w:u w:val="single"/>
        </w:rPr>
      </w:pPr>
    </w:p>
    <w:p w:rsidR="00D61595" w:rsidRDefault="00D61595" w:rsidP="00D61595">
      <w:pPr>
        <w:widowControl w:val="0"/>
        <w:autoSpaceDE w:val="0"/>
        <w:autoSpaceDN w:val="0"/>
        <w:ind w:left="851" w:right="-1" w:hanging="1"/>
        <w:rPr>
          <w:sz w:val="24"/>
          <w:szCs w:val="24"/>
        </w:rPr>
      </w:pPr>
      <w:r>
        <w:rPr>
          <w:sz w:val="24"/>
          <w:szCs w:val="24"/>
          <w:u w:val="single"/>
        </w:rPr>
        <w:t>Hjælpestof, som behandleren skal være opmærksom på</w:t>
      </w:r>
    </w:p>
    <w:p w:rsidR="00D61595" w:rsidRDefault="00D61595" w:rsidP="00D61595">
      <w:pPr>
        <w:widowControl w:val="0"/>
        <w:autoSpaceDE w:val="0"/>
        <w:autoSpaceDN w:val="0"/>
        <w:ind w:left="851"/>
        <w:rPr>
          <w:sz w:val="24"/>
          <w:szCs w:val="24"/>
        </w:rPr>
      </w:pPr>
      <w:r>
        <w:rPr>
          <w:sz w:val="24"/>
          <w:szCs w:val="24"/>
        </w:rPr>
        <w:t>Hver filmovertrukket tablet indeholder 27,50 mg lactose (som monohydrat), se pkt. 4.4.</w:t>
      </w:r>
    </w:p>
    <w:p w:rsidR="00D61595" w:rsidRDefault="00D61595" w:rsidP="00D61595">
      <w:pPr>
        <w:widowControl w:val="0"/>
        <w:autoSpaceDE w:val="0"/>
        <w:autoSpaceDN w:val="0"/>
        <w:ind w:left="851"/>
        <w:rPr>
          <w:sz w:val="24"/>
          <w:szCs w:val="24"/>
        </w:rPr>
      </w:pPr>
    </w:p>
    <w:p w:rsidR="00D61595" w:rsidRDefault="00D61595" w:rsidP="00D61595">
      <w:pPr>
        <w:widowControl w:val="0"/>
        <w:autoSpaceDE w:val="0"/>
        <w:autoSpaceDN w:val="0"/>
        <w:ind w:left="851"/>
        <w:rPr>
          <w:sz w:val="24"/>
          <w:szCs w:val="24"/>
        </w:rPr>
      </w:pPr>
      <w:r>
        <w:rPr>
          <w:sz w:val="24"/>
          <w:szCs w:val="24"/>
        </w:rPr>
        <w:t>Alle hjælpestoffer er anført under pkt. 6.1.</w:t>
      </w:r>
    </w:p>
    <w:p w:rsidR="00D61595" w:rsidRDefault="00D61595" w:rsidP="00D61595">
      <w:pPr>
        <w:tabs>
          <w:tab w:val="left" w:pos="851"/>
        </w:tabs>
        <w:ind w:left="851"/>
        <w:rPr>
          <w:sz w:val="24"/>
          <w:szCs w:val="24"/>
        </w:rPr>
      </w:pPr>
    </w:p>
    <w:p w:rsidR="00D61595" w:rsidRDefault="00D61595" w:rsidP="00D61595">
      <w:pPr>
        <w:tabs>
          <w:tab w:val="left" w:pos="851"/>
        </w:tabs>
        <w:ind w:left="851" w:hanging="851"/>
        <w:rPr>
          <w:b/>
          <w:sz w:val="24"/>
          <w:szCs w:val="24"/>
        </w:rPr>
      </w:pPr>
      <w:r>
        <w:rPr>
          <w:b/>
          <w:sz w:val="24"/>
          <w:szCs w:val="24"/>
        </w:rPr>
        <w:t>3.</w:t>
      </w:r>
      <w:r>
        <w:rPr>
          <w:b/>
          <w:sz w:val="24"/>
          <w:szCs w:val="24"/>
        </w:rPr>
        <w:tab/>
        <w:t>LÆGEMIDDELFORM</w:t>
      </w:r>
    </w:p>
    <w:p w:rsidR="00D61595" w:rsidRDefault="00D61595" w:rsidP="00D61595">
      <w:pPr>
        <w:widowControl w:val="0"/>
        <w:autoSpaceDE w:val="0"/>
        <w:autoSpaceDN w:val="0"/>
        <w:ind w:left="851"/>
        <w:rPr>
          <w:sz w:val="24"/>
          <w:szCs w:val="24"/>
        </w:rPr>
      </w:pPr>
      <w:r>
        <w:rPr>
          <w:sz w:val="24"/>
          <w:szCs w:val="24"/>
        </w:rPr>
        <w:t>Filmovertrukne tabletter</w:t>
      </w:r>
    </w:p>
    <w:p w:rsidR="00D61595" w:rsidRDefault="00D61595" w:rsidP="00D61595">
      <w:pPr>
        <w:widowControl w:val="0"/>
        <w:autoSpaceDE w:val="0"/>
        <w:autoSpaceDN w:val="0"/>
        <w:ind w:left="851"/>
        <w:rPr>
          <w:sz w:val="24"/>
          <w:szCs w:val="24"/>
        </w:rPr>
      </w:pPr>
    </w:p>
    <w:p w:rsidR="00D61595" w:rsidRPr="00D61595" w:rsidRDefault="00D61595" w:rsidP="00D61595">
      <w:pPr>
        <w:widowControl w:val="0"/>
        <w:autoSpaceDE w:val="0"/>
        <w:autoSpaceDN w:val="0"/>
        <w:ind w:left="851"/>
        <w:rPr>
          <w:sz w:val="24"/>
          <w:szCs w:val="24"/>
        </w:rPr>
      </w:pPr>
      <w:r w:rsidRPr="00D61595">
        <w:rPr>
          <w:sz w:val="24"/>
          <w:szCs w:val="24"/>
        </w:rPr>
        <w:t>Lyserøde, runde, bikonvekse, filmovertrukne tabletter (ca. 6 mm diameter) præget med "E2" på den ene side og blank på den anden.</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p>
    <w:p w:rsidR="00D61595" w:rsidRDefault="00D61595" w:rsidP="00D61595">
      <w:pPr>
        <w:tabs>
          <w:tab w:val="left" w:pos="851"/>
        </w:tabs>
        <w:ind w:left="851" w:hanging="851"/>
        <w:rPr>
          <w:b/>
          <w:sz w:val="24"/>
          <w:szCs w:val="24"/>
        </w:rPr>
      </w:pPr>
      <w:r>
        <w:rPr>
          <w:b/>
          <w:sz w:val="24"/>
          <w:szCs w:val="24"/>
        </w:rPr>
        <w:t>4.</w:t>
      </w:r>
      <w:r>
        <w:rPr>
          <w:b/>
          <w:sz w:val="24"/>
          <w:szCs w:val="24"/>
        </w:rPr>
        <w:tab/>
        <w:t>KLINISKE OPLYSNINGER</w:t>
      </w:r>
    </w:p>
    <w:p w:rsidR="00D61595" w:rsidRDefault="00D61595" w:rsidP="00D61595">
      <w:pPr>
        <w:tabs>
          <w:tab w:val="left" w:pos="851"/>
        </w:tabs>
        <w:ind w:left="851"/>
        <w:rPr>
          <w:b/>
          <w:sz w:val="24"/>
          <w:szCs w:val="24"/>
        </w:rPr>
      </w:pPr>
    </w:p>
    <w:p w:rsidR="00D61595" w:rsidRDefault="00D61595" w:rsidP="00D61595">
      <w:pPr>
        <w:tabs>
          <w:tab w:val="left" w:pos="851"/>
        </w:tabs>
        <w:ind w:left="851" w:hanging="851"/>
        <w:rPr>
          <w:b/>
          <w:sz w:val="24"/>
          <w:szCs w:val="24"/>
          <w:u w:val="single"/>
        </w:rPr>
      </w:pPr>
      <w:r>
        <w:rPr>
          <w:b/>
          <w:sz w:val="24"/>
          <w:szCs w:val="24"/>
        </w:rPr>
        <w:t>4.1</w:t>
      </w:r>
      <w:r>
        <w:rPr>
          <w:b/>
          <w:sz w:val="24"/>
          <w:szCs w:val="24"/>
        </w:rPr>
        <w:tab/>
        <w:t>Terapeutiske indikationer</w:t>
      </w:r>
    </w:p>
    <w:p w:rsidR="00D61595" w:rsidRDefault="00D61595" w:rsidP="00D61595">
      <w:pPr>
        <w:tabs>
          <w:tab w:val="left" w:pos="851"/>
        </w:tabs>
        <w:ind w:left="851"/>
        <w:rPr>
          <w:sz w:val="24"/>
          <w:szCs w:val="24"/>
        </w:rPr>
      </w:pPr>
      <w:r>
        <w:rPr>
          <w:sz w:val="24"/>
          <w:szCs w:val="24"/>
        </w:rPr>
        <w:t>Forebyggelse af venøs tromboemboli (VTE) hos voksne patienter, som gennemgår planlagt hofteleds- eller knæledsalloplastik.</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Behandling af dyb venetrombose (DVT) og lungeemboli (LE) samt forebyggelse af recidiverende DVT og PE hos voksne (se pkt. 4.4 vedrørende hæmodynamisk ustabile patienter med lungeemboli).</w:t>
      </w:r>
    </w:p>
    <w:p w:rsidR="00D61595" w:rsidRDefault="00D61595" w:rsidP="00D61595">
      <w:pPr>
        <w:tabs>
          <w:tab w:val="left" w:pos="851"/>
        </w:tabs>
        <w:ind w:left="851"/>
        <w:rPr>
          <w:sz w:val="24"/>
          <w:szCs w:val="24"/>
        </w:rPr>
      </w:pPr>
    </w:p>
    <w:p w:rsidR="00D61595" w:rsidRDefault="00D61595" w:rsidP="00D61595">
      <w:pPr>
        <w:tabs>
          <w:tab w:val="left" w:pos="851"/>
        </w:tabs>
        <w:ind w:left="851" w:hanging="851"/>
        <w:rPr>
          <w:b/>
          <w:sz w:val="24"/>
          <w:szCs w:val="24"/>
        </w:rPr>
      </w:pPr>
      <w:r>
        <w:rPr>
          <w:b/>
          <w:sz w:val="24"/>
          <w:szCs w:val="24"/>
        </w:rPr>
        <w:t>4.2</w:t>
      </w:r>
      <w:r>
        <w:rPr>
          <w:b/>
          <w:sz w:val="24"/>
          <w:szCs w:val="24"/>
        </w:rPr>
        <w:tab/>
        <w:t>Dosering og administration</w:t>
      </w:r>
    </w:p>
    <w:p w:rsidR="00D61595" w:rsidRDefault="00D61595" w:rsidP="00D61595">
      <w:pPr>
        <w:tabs>
          <w:tab w:val="left" w:pos="851"/>
        </w:tabs>
        <w:ind w:left="851"/>
        <w:rPr>
          <w:b/>
          <w:sz w:val="24"/>
          <w:szCs w:val="24"/>
        </w:rPr>
      </w:pPr>
      <w:r>
        <w:rPr>
          <w:b/>
          <w:sz w:val="24"/>
          <w:szCs w:val="24"/>
        </w:rPr>
        <w:t>Dosering</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i/>
          <w:sz w:val="24"/>
          <w:szCs w:val="24"/>
        </w:rPr>
        <w:lastRenderedPageBreak/>
        <w:t>Forebyggelse af VTE hos voksne patienter, der gennemgår planlagt hofteleds- eller knæledsalloplastik</w:t>
      </w:r>
    </w:p>
    <w:p w:rsidR="00D61595" w:rsidRDefault="00D61595" w:rsidP="00D61595">
      <w:pPr>
        <w:tabs>
          <w:tab w:val="left" w:pos="851"/>
        </w:tabs>
        <w:ind w:left="851"/>
        <w:rPr>
          <w:sz w:val="24"/>
          <w:szCs w:val="24"/>
          <w:lang w:val="de-DE"/>
        </w:rPr>
      </w:pPr>
      <w:r>
        <w:rPr>
          <w:sz w:val="24"/>
          <w:szCs w:val="24"/>
        </w:rPr>
        <w:t>Den anbefalede dosis er 10 mg rivaroxaban indtaget oral en gang daglig. Første dosis skal tages 6-10 timer efter indgrebet, forudsat er der er opnået hæmostase.</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Behandlingens varighed afhænger af den enkelte patients risiko for at udvikle venøs tromboemboli, hvilket igen afhænger af, hvilken type ortopædkirurgiske indgreb, der er tale om.</w:t>
      </w:r>
    </w:p>
    <w:p w:rsidR="00D61595" w:rsidRDefault="00D61595" w:rsidP="00D61595">
      <w:pPr>
        <w:numPr>
          <w:ilvl w:val="0"/>
          <w:numId w:val="5"/>
        </w:numPr>
        <w:tabs>
          <w:tab w:val="left" w:pos="851"/>
        </w:tabs>
        <w:ind w:hanging="367"/>
        <w:rPr>
          <w:sz w:val="24"/>
          <w:szCs w:val="24"/>
        </w:rPr>
      </w:pPr>
      <w:r>
        <w:rPr>
          <w:sz w:val="24"/>
          <w:szCs w:val="24"/>
        </w:rPr>
        <w:t>Hos patienter, der gennemgår et større hofteindgreb, anbefales en behandlingsvarighed på 5 uger.</w:t>
      </w:r>
    </w:p>
    <w:p w:rsidR="00D61595" w:rsidRDefault="00D61595" w:rsidP="00D61595">
      <w:pPr>
        <w:numPr>
          <w:ilvl w:val="0"/>
          <w:numId w:val="5"/>
        </w:numPr>
        <w:tabs>
          <w:tab w:val="left" w:pos="851"/>
        </w:tabs>
        <w:ind w:hanging="367"/>
        <w:rPr>
          <w:sz w:val="24"/>
          <w:szCs w:val="24"/>
        </w:rPr>
      </w:pPr>
      <w:r>
        <w:rPr>
          <w:sz w:val="24"/>
          <w:szCs w:val="24"/>
        </w:rPr>
        <w:t>Hos patienter, der gennemgår et større knæindgreb, anbefales en behandlingsvarighed på 2 uger.</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Hvis patienten glemmer at tage en dosis af Rivadia, skal han/hun tage denne dosis øjeblikkeligt, og fortsætte næste dag med den daglige dosis som før.</w:t>
      </w:r>
    </w:p>
    <w:p w:rsidR="00D61595" w:rsidRDefault="00D61595" w:rsidP="00D61595">
      <w:pPr>
        <w:tabs>
          <w:tab w:val="left" w:pos="851"/>
        </w:tabs>
        <w:ind w:left="851"/>
        <w:rPr>
          <w:sz w:val="24"/>
          <w:szCs w:val="24"/>
        </w:rPr>
      </w:pPr>
    </w:p>
    <w:p w:rsidR="00D61595" w:rsidRDefault="00D61595" w:rsidP="00D61595">
      <w:pPr>
        <w:tabs>
          <w:tab w:val="left" w:pos="851"/>
        </w:tabs>
        <w:ind w:left="851"/>
        <w:rPr>
          <w:i/>
          <w:sz w:val="24"/>
          <w:szCs w:val="24"/>
        </w:rPr>
      </w:pPr>
      <w:r>
        <w:rPr>
          <w:i/>
          <w:sz w:val="24"/>
          <w:szCs w:val="24"/>
        </w:rPr>
        <w:t>Behandling af DVT, behandling af LE og forebyggelse af recidiverende DVT og LE</w:t>
      </w:r>
    </w:p>
    <w:p w:rsidR="00D61595" w:rsidRDefault="00D61595" w:rsidP="00D61595">
      <w:pPr>
        <w:tabs>
          <w:tab w:val="left" w:pos="851"/>
        </w:tabs>
        <w:ind w:left="851"/>
        <w:rPr>
          <w:sz w:val="24"/>
          <w:szCs w:val="24"/>
        </w:rPr>
      </w:pPr>
      <w:r>
        <w:rPr>
          <w:sz w:val="24"/>
          <w:szCs w:val="24"/>
        </w:rPr>
        <w:t>Anbefalet dosis for indledende behandling af akut DVT eller LE er 15 mg to gange dagligt i de første tre uger og derefter fortsat behandling og forebyggelse af recidiverende DVT og LE med 20 mg én gang dagligt.</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idiopatiskDVT eller LE, eller en anamnese med recidiverende DVT eller LE.</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comorbiditeter, eller patienter med recidiverende DVT eller LE under udvidet forebyggelses behandling med Rivadia 10 mg én gang dagligt, bør en dosis med Rivadia 20 mg én gang dagligt overvejes.</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Behandlingens varighed og valg af dosis skal fastsættes individuelt efter omhyggelig afvejning af fordelen ved behandling mod risikoen for blødning (se pkt. 4.4).</w:t>
      </w:r>
    </w:p>
    <w:p w:rsidR="00D61595" w:rsidRDefault="00D61595" w:rsidP="00D61595">
      <w:pPr>
        <w:tabs>
          <w:tab w:val="left" w:pos="851"/>
        </w:tabs>
        <w:ind w:left="851"/>
        <w:rPr>
          <w:sz w:val="24"/>
          <w:szCs w:val="24"/>
        </w:rPr>
      </w:pPr>
    </w:p>
    <w:tbl>
      <w:tblPr>
        <w:tblStyle w:val="TableNormal"/>
        <w:tblW w:w="9225" w:type="dxa"/>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371"/>
        <w:gridCol w:w="2371"/>
        <w:gridCol w:w="2143"/>
      </w:tblGrid>
      <w:tr w:rsidR="00D61595" w:rsidTr="00D61595">
        <w:trPr>
          <w:trHeight w:val="315"/>
        </w:trPr>
        <w:tc>
          <w:tcPr>
            <w:tcW w:w="2339"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567" w:hanging="567"/>
              <w:contextualSpacing/>
              <w:mirrorIndents/>
              <w:rPr>
                <w:rFonts w:ascii="Times New Roman" w:hAnsi="Times New Roman" w:cs="Times New Roman"/>
                <w:sz w:val="24"/>
                <w:szCs w:val="24"/>
                <w:lang w:val="da-DK"/>
              </w:rPr>
            </w:pPr>
          </w:p>
        </w:tc>
        <w:tc>
          <w:tcPr>
            <w:tcW w:w="237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Tidsperiode</w:t>
            </w:r>
          </w:p>
        </w:tc>
        <w:tc>
          <w:tcPr>
            <w:tcW w:w="237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Doseringsplan</w:t>
            </w:r>
          </w:p>
        </w:tc>
        <w:tc>
          <w:tcPr>
            <w:tcW w:w="2143"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Total daglig dosis</w:t>
            </w:r>
          </w:p>
        </w:tc>
      </w:tr>
      <w:tr w:rsidR="00D61595" w:rsidTr="00D61595">
        <w:trPr>
          <w:trHeight w:val="574"/>
        </w:trPr>
        <w:tc>
          <w:tcPr>
            <w:tcW w:w="2339" w:type="dxa"/>
            <w:vMerge w:val="restart"/>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lang w:val="da-DK"/>
              </w:rPr>
            </w:pPr>
            <w:r>
              <w:rPr>
                <w:sz w:val="24"/>
                <w:szCs w:val="24"/>
                <w:lang w:val="da-DK"/>
              </w:rPr>
              <w:t xml:space="preserve">Behandling og forebyggelse af recidiv af DVT og </w:t>
            </w:r>
            <w:r>
              <w:rPr>
                <w:rFonts w:ascii="Times New Roman" w:hAnsi="Times New Roman" w:cs="Times New Roman"/>
                <w:sz w:val="24"/>
                <w:szCs w:val="24"/>
                <w:lang w:val="da-DK"/>
              </w:rPr>
              <w:t>L</w:t>
            </w:r>
            <w:r>
              <w:rPr>
                <w:sz w:val="24"/>
                <w:szCs w:val="24"/>
                <w:lang w:val="da-DK"/>
              </w:rPr>
              <w:t>E</w:t>
            </w:r>
          </w:p>
        </w:tc>
        <w:tc>
          <w:tcPr>
            <w:tcW w:w="237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Dag 1-21</w:t>
            </w:r>
          </w:p>
        </w:tc>
        <w:tc>
          <w:tcPr>
            <w:tcW w:w="237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15 mg to gange dagligt</w:t>
            </w:r>
          </w:p>
        </w:tc>
        <w:tc>
          <w:tcPr>
            <w:tcW w:w="2143"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30 mg</w:t>
            </w:r>
          </w:p>
        </w:tc>
      </w:tr>
      <w:tr w:rsidR="00D61595" w:rsidTr="00D61595">
        <w:trPr>
          <w:trHeight w:val="479"/>
        </w:trPr>
        <w:tc>
          <w:tcPr>
            <w:tcW w:w="2339" w:type="dxa"/>
            <w:vMerge/>
            <w:tcBorders>
              <w:top w:val="single" w:sz="4" w:space="0" w:color="000000"/>
              <w:left w:val="single" w:sz="4" w:space="0" w:color="000000"/>
              <w:bottom w:val="single" w:sz="4" w:space="0" w:color="000000"/>
              <w:right w:val="single" w:sz="4" w:space="0" w:color="000000"/>
            </w:tcBorders>
            <w:vAlign w:val="center"/>
            <w:hideMark/>
          </w:tcPr>
          <w:p w:rsidR="00D61595" w:rsidRDefault="00D61595">
            <w:pPr>
              <w:rPr>
                <w:rFonts w:ascii="Times New Roman" w:hAnsi="Times New Roman" w:cs="Times New Roman"/>
                <w:sz w:val="24"/>
                <w:szCs w:val="24"/>
                <w:lang w:val="da-DK"/>
              </w:rPr>
            </w:pPr>
          </w:p>
        </w:tc>
        <w:tc>
          <w:tcPr>
            <w:tcW w:w="237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sz w:val="24"/>
                <w:szCs w:val="24"/>
              </w:rPr>
              <w:t>Fra og med dag 22</w:t>
            </w:r>
          </w:p>
        </w:tc>
        <w:tc>
          <w:tcPr>
            <w:tcW w:w="237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sz w:val="24"/>
                <w:szCs w:val="24"/>
              </w:rPr>
              <w:t>20 mg én gang dagligt</w:t>
            </w:r>
          </w:p>
        </w:tc>
        <w:tc>
          <w:tcPr>
            <w:tcW w:w="2143"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sz w:val="24"/>
                <w:szCs w:val="24"/>
              </w:rPr>
              <w:t>20 mg</w:t>
            </w:r>
          </w:p>
        </w:tc>
      </w:tr>
      <w:tr w:rsidR="00D61595" w:rsidTr="00D61595">
        <w:trPr>
          <w:trHeight w:val="814"/>
        </w:trPr>
        <w:tc>
          <w:tcPr>
            <w:tcW w:w="2339"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lang w:val="da-DK"/>
              </w:rPr>
            </w:pPr>
            <w:r>
              <w:rPr>
                <w:sz w:val="24"/>
                <w:szCs w:val="24"/>
                <w:lang w:val="da-DK"/>
              </w:rPr>
              <w:t xml:space="preserve">Forebyggelse af recidiv af DVT og </w:t>
            </w:r>
            <w:r>
              <w:rPr>
                <w:rFonts w:ascii="Times New Roman" w:hAnsi="Times New Roman" w:cs="Times New Roman"/>
                <w:sz w:val="24"/>
                <w:szCs w:val="24"/>
                <w:lang w:val="da-DK"/>
              </w:rPr>
              <w:t>L</w:t>
            </w:r>
            <w:r>
              <w:rPr>
                <w:sz w:val="24"/>
                <w:szCs w:val="24"/>
                <w:lang w:val="da-DK"/>
              </w:rPr>
              <w:t>E</w:t>
            </w:r>
          </w:p>
        </w:tc>
        <w:tc>
          <w:tcPr>
            <w:tcW w:w="237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lang w:val="da-DK"/>
              </w:rPr>
            </w:pPr>
            <w:r>
              <w:rPr>
                <w:sz w:val="24"/>
                <w:szCs w:val="24"/>
                <w:lang w:val="da-DK"/>
              </w:rPr>
              <w:t>Efter mindst</w:t>
            </w:r>
          </w:p>
          <w:p w:rsidR="00D61595" w:rsidRDefault="00D61595">
            <w:pPr>
              <w:pStyle w:val="TableParagraph"/>
              <w:ind w:left="567" w:hanging="567"/>
              <w:contextualSpacing/>
              <w:mirrorIndents/>
              <w:rPr>
                <w:rFonts w:ascii="Times New Roman" w:hAnsi="Times New Roman" w:cs="Times New Roman"/>
                <w:sz w:val="24"/>
                <w:szCs w:val="24"/>
                <w:lang w:val="da-DK"/>
              </w:rPr>
            </w:pPr>
            <w:r>
              <w:rPr>
                <w:sz w:val="24"/>
                <w:szCs w:val="24"/>
                <w:lang w:val="da-DK"/>
              </w:rPr>
              <w:t>6 måneders behandling for DVT eller PE</w:t>
            </w:r>
          </w:p>
        </w:tc>
        <w:tc>
          <w:tcPr>
            <w:tcW w:w="237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lang w:val="fr-FR"/>
              </w:rPr>
            </w:pPr>
            <w:r>
              <w:rPr>
                <w:rFonts w:ascii="Times New Roman" w:hAnsi="Times New Roman" w:cs="Times New Roman"/>
                <w:sz w:val="24"/>
                <w:szCs w:val="24"/>
                <w:lang w:val="fr-FR"/>
              </w:rPr>
              <w:t>10 mg én gang dagligt eller 20 mg én gang dagligt</w:t>
            </w:r>
          </w:p>
        </w:tc>
        <w:tc>
          <w:tcPr>
            <w:tcW w:w="2143"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10 mg</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eller 20 mg</w:t>
            </w:r>
          </w:p>
        </w:tc>
      </w:tr>
    </w:tbl>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For at understøtte skiftet fra 15 mg dg til 20 mg efter dag 21 er en 4 ugers Rivadia-startpakning til behandling af DVT/LE tilgængelig.</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lastRenderedPageBreak/>
        <w:t>Såfremt en dosis overspringes i den indledende behandlingsfase (dag 1 - 21) med 15 mg to gange dagligt, skal patienten straks tage Rivadia for at sikre en dosis på 30 mg Rivadia per dag. I dette tilfælde er det i orden at tage to 15 mg-tabletter på én gang. Næste dag skal patienten fortsætte med den ordinerede dosering på 15 mg to gange dagligt.</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Såfremt en dosis overspringes i den fortsatte behandlingsfase med én tablet én gang dagligt, skal patienten straks tage Rivadia. Næste dag skal patienten fortsætte med den ordinerede dosering på én tablet én gang dagligt. Patienten må ikke tage dobbelt dosis samme dag for et indhente en oversprunget dosis.</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u w:val="single"/>
        </w:rPr>
      </w:pPr>
      <w:r>
        <w:rPr>
          <w:sz w:val="24"/>
          <w:szCs w:val="24"/>
          <w:u w:val="single"/>
        </w:rPr>
        <w:t>Skift fra vitamin K-antagonister (VKA) til Rivadia</w:t>
      </w:r>
    </w:p>
    <w:p w:rsidR="00D61595" w:rsidRDefault="00D61595" w:rsidP="00D61595">
      <w:pPr>
        <w:tabs>
          <w:tab w:val="left" w:pos="851"/>
        </w:tabs>
        <w:ind w:left="851"/>
        <w:rPr>
          <w:sz w:val="24"/>
          <w:szCs w:val="24"/>
        </w:rPr>
      </w:pPr>
      <w:r>
        <w:rPr>
          <w:sz w:val="24"/>
          <w:szCs w:val="24"/>
        </w:rPr>
        <w:t>For patienter, der behandles for DVT, LE og forebyggelse af recidiv, skal VKA-behandlingen seponeres, og Rivadia-behandlingen indledes, så snart INR ≤ 2,5.</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 xml:space="preserve">Ved skift af patienter fra VKA til Rivadia vil der optræde en falsk stigning i INR (International Normalized </w:t>
      </w:r>
      <w:proofErr w:type="gramStart"/>
      <w:r>
        <w:rPr>
          <w:sz w:val="24"/>
          <w:szCs w:val="24"/>
        </w:rPr>
        <w:t>Ratio)-</w:t>
      </w:r>
      <w:proofErr w:type="gramEnd"/>
      <w:r>
        <w:rPr>
          <w:sz w:val="24"/>
          <w:szCs w:val="24"/>
        </w:rPr>
        <w:t>værdien efter indtagelse af Rivadia. INR er ikke et pålideligt mål for Rivadias antikoagulerende aktivitet og bør derfor ikke benyttes (se pkt. 4.5).</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u w:val="single"/>
        </w:rPr>
      </w:pPr>
      <w:r>
        <w:rPr>
          <w:sz w:val="24"/>
          <w:szCs w:val="24"/>
          <w:u w:val="single"/>
        </w:rPr>
        <w:t>Skift fra Rivadia til vitamin K-antagonister (VKA)</w:t>
      </w:r>
    </w:p>
    <w:p w:rsidR="00D61595" w:rsidRDefault="00D61595" w:rsidP="00D61595">
      <w:pPr>
        <w:tabs>
          <w:tab w:val="left" w:pos="851"/>
        </w:tabs>
        <w:ind w:left="851"/>
        <w:rPr>
          <w:sz w:val="24"/>
          <w:szCs w:val="24"/>
        </w:rPr>
      </w:pPr>
      <w:r>
        <w:rPr>
          <w:sz w:val="24"/>
          <w:szCs w:val="24"/>
        </w:rPr>
        <w:t xml:space="preserve">Der er risiko for utilstrækkelig antikoagulation under skiftet fra Rivadia til VKA. Tilstrækkelig, kontinuerlig antikoagulation skal sikres under skift fra et antikoagulans til et andet. Det skal bemærkes, at Rivadia kan medføre forhøjet INR. </w:t>
      </w:r>
    </w:p>
    <w:p w:rsidR="00D61595" w:rsidRDefault="00D61595" w:rsidP="00D61595">
      <w:pPr>
        <w:tabs>
          <w:tab w:val="left" w:pos="851"/>
        </w:tabs>
        <w:ind w:left="851"/>
        <w:rPr>
          <w:sz w:val="24"/>
          <w:szCs w:val="24"/>
        </w:rPr>
      </w:pPr>
      <w:r>
        <w:rPr>
          <w:sz w:val="24"/>
          <w:szCs w:val="24"/>
        </w:rPr>
        <w:t>Hos patienter, der skifter fra Rivadia til VKA, skal VKA gives sideløbende, indtil INR ≥ 2,0. I de første to dage af skifteperioden skal standard-initialdosis af VKA benyttes, hvorefter VKA doseres ud fra INR-målinger. I den periode, hvor patienten tager både Rivadia og VKA, bør INR tidligst måles 24 timer efter den seneste dosis Rivadia, men før den næste dosis. 24 timer efter seponering af Rivadia er det atter muligt at foretage pålidelige INR-målinger (se pkt. 4.5 og 5.2).</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u w:val="single"/>
        </w:rPr>
      </w:pPr>
      <w:r>
        <w:rPr>
          <w:sz w:val="24"/>
          <w:szCs w:val="24"/>
          <w:u w:val="single"/>
        </w:rPr>
        <w:t>Skift fra parenterale antikoagulantia til Rivadia</w:t>
      </w:r>
    </w:p>
    <w:p w:rsidR="00D61595" w:rsidRDefault="00D61595" w:rsidP="00D61595">
      <w:pPr>
        <w:tabs>
          <w:tab w:val="left" w:pos="851"/>
        </w:tabs>
        <w:ind w:left="851"/>
        <w:rPr>
          <w:sz w:val="24"/>
          <w:szCs w:val="24"/>
        </w:rPr>
      </w:pPr>
      <w:r>
        <w:rPr>
          <w:sz w:val="24"/>
          <w:szCs w:val="24"/>
        </w:rPr>
        <w:t>For patienter, der aktuelt tager et parenteralt antikoagulans, skal det parenterale antikoagulans seponeres og Rivadia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u w:val="single"/>
        </w:rPr>
      </w:pPr>
      <w:r>
        <w:rPr>
          <w:sz w:val="24"/>
          <w:szCs w:val="24"/>
          <w:u w:val="single"/>
        </w:rPr>
        <w:t>Skift fra Rivadia til parenterale antikoagulantia</w:t>
      </w:r>
    </w:p>
    <w:p w:rsidR="00D61595" w:rsidRDefault="00D61595" w:rsidP="00D61595">
      <w:pPr>
        <w:tabs>
          <w:tab w:val="left" w:pos="851"/>
        </w:tabs>
        <w:ind w:left="851"/>
        <w:rPr>
          <w:sz w:val="24"/>
          <w:szCs w:val="24"/>
        </w:rPr>
      </w:pPr>
      <w:r>
        <w:rPr>
          <w:sz w:val="24"/>
          <w:szCs w:val="24"/>
        </w:rPr>
        <w:t>Første dosis af det parenterale antikoagulans administreres på tidspunktet for næste planlagte administration af Rivadia.</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u w:val="single"/>
        </w:rPr>
        <w:t>Særlige populationer</w:t>
      </w:r>
    </w:p>
    <w:p w:rsidR="00D61595" w:rsidRDefault="00D61595" w:rsidP="00D61595">
      <w:pPr>
        <w:tabs>
          <w:tab w:val="left" w:pos="851"/>
        </w:tabs>
        <w:ind w:left="851"/>
        <w:rPr>
          <w:sz w:val="24"/>
          <w:szCs w:val="24"/>
        </w:rPr>
      </w:pPr>
    </w:p>
    <w:p w:rsidR="00D61595" w:rsidRDefault="00D61595" w:rsidP="00D61595">
      <w:pPr>
        <w:tabs>
          <w:tab w:val="left" w:pos="851"/>
        </w:tabs>
        <w:ind w:left="851"/>
        <w:rPr>
          <w:i/>
          <w:sz w:val="24"/>
          <w:szCs w:val="24"/>
        </w:rPr>
      </w:pPr>
      <w:r>
        <w:rPr>
          <w:i/>
          <w:sz w:val="24"/>
          <w:szCs w:val="24"/>
        </w:rPr>
        <w:t>Nedsat nyrefunktion</w:t>
      </w:r>
    </w:p>
    <w:p w:rsidR="00D61595" w:rsidRDefault="00D61595" w:rsidP="00D61595">
      <w:pPr>
        <w:tabs>
          <w:tab w:val="left" w:pos="851"/>
        </w:tabs>
        <w:ind w:left="851"/>
        <w:rPr>
          <w:sz w:val="24"/>
          <w:szCs w:val="24"/>
        </w:rPr>
      </w:pPr>
      <w:r>
        <w:rPr>
          <w:sz w:val="24"/>
          <w:szCs w:val="24"/>
        </w:rPr>
        <w:t>Der foreligger begrænsede kliniske data for patienter med svært nedsat nyrefunktion (kreatininclearance 15 - 29 ml/min), og disse data indikerer, at plasmakoncentrationerne af rivaroxaban stiger signifikant. Rivadia skal derfor anvendes med forsigtighed hos disse patienter. Rivadia bør ikke anvendes til patienter med en kreatininclearance på &lt; 15 ml/min (se pkt. 4.4 og 5.2).</w:t>
      </w:r>
    </w:p>
    <w:p w:rsidR="00D61595" w:rsidRDefault="00D61595" w:rsidP="00D61595">
      <w:pPr>
        <w:pStyle w:val="Listeafsnit"/>
        <w:numPr>
          <w:ilvl w:val="0"/>
          <w:numId w:val="7"/>
        </w:numPr>
        <w:tabs>
          <w:tab w:val="left" w:pos="851"/>
        </w:tabs>
        <w:ind w:left="1134"/>
        <w:rPr>
          <w:sz w:val="24"/>
          <w:szCs w:val="24"/>
        </w:rPr>
      </w:pPr>
      <w:r>
        <w:rPr>
          <w:sz w:val="24"/>
          <w:szCs w:val="24"/>
        </w:rPr>
        <w:t>Til forebyggelse af VTE hos voksne patienter, der gennemgår planlagt hofteleds- eller knæledsalloplastik, kræves der ingen dosisjustering hos patienter med let nedsat nyrefunktion (kreatinclearance 50-80 ml/min) eller moderat nedsat nyrefunktion (kreatininclearance 30 - 49 ml/min) (se pkt. 5.2).</w:t>
      </w:r>
    </w:p>
    <w:p w:rsidR="00D61595" w:rsidRDefault="00D61595" w:rsidP="00D61595">
      <w:pPr>
        <w:tabs>
          <w:tab w:val="left" w:pos="851"/>
        </w:tabs>
        <w:ind w:left="851"/>
        <w:rPr>
          <w:sz w:val="24"/>
          <w:szCs w:val="24"/>
        </w:rPr>
      </w:pPr>
    </w:p>
    <w:p w:rsidR="00D61595" w:rsidRDefault="00D61595" w:rsidP="00D61595">
      <w:pPr>
        <w:pStyle w:val="Listeafsnit"/>
        <w:numPr>
          <w:ilvl w:val="0"/>
          <w:numId w:val="7"/>
        </w:numPr>
        <w:tabs>
          <w:tab w:val="left" w:pos="851"/>
        </w:tabs>
        <w:ind w:left="1276" w:hanging="425"/>
        <w:rPr>
          <w:sz w:val="24"/>
          <w:szCs w:val="24"/>
        </w:rPr>
      </w:pPr>
      <w:r>
        <w:rPr>
          <w:sz w:val="24"/>
          <w:szCs w:val="24"/>
        </w:rPr>
        <w:t>Til behandling af DVT, behandling af LE og forebyggelse af recidiverende DVT og LE, kræves der ingen dosisjustering af den anbefalede dosis hos patienter med let nedsat nyrefunktion (kreatinclearance 50 - 80 ml/min) (se pkt. 5.2).</w:t>
      </w:r>
    </w:p>
    <w:p w:rsidR="00D61595" w:rsidRDefault="00D61595" w:rsidP="00D61595">
      <w:pPr>
        <w:tabs>
          <w:tab w:val="left" w:pos="1276"/>
        </w:tabs>
        <w:ind w:left="1276"/>
        <w:rPr>
          <w:sz w:val="24"/>
          <w:szCs w:val="24"/>
        </w:rPr>
      </w:pPr>
      <w:r>
        <w:rPr>
          <w:sz w:val="24"/>
          <w:szCs w:val="24"/>
        </w:rPr>
        <w:t>Hos patienter med moderat nedsat nyrefunktion (kreatininclearance 30 - 49 ml/min) eller svært nedsat nyrefunktion (kreatininclearance 15 - 29 ml/min):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PE og DVT. Anbefalingen af brug af 15 mg er baseret på farmakokinetisk modellering og er ikke undersøgt klinisk (se pkt. 4.4, 5.1 og 5.2).</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Når den anbefalede dosis er 10 mg én gang dagligt, kræves der ingen dosisjustering af den anbefalede dosis.</w:t>
      </w:r>
    </w:p>
    <w:p w:rsidR="00D61595" w:rsidRDefault="00D61595" w:rsidP="00D61595">
      <w:pPr>
        <w:tabs>
          <w:tab w:val="left" w:pos="851"/>
        </w:tabs>
        <w:ind w:left="851"/>
        <w:rPr>
          <w:sz w:val="24"/>
          <w:szCs w:val="24"/>
        </w:rPr>
      </w:pPr>
    </w:p>
    <w:p w:rsidR="00D61595" w:rsidRDefault="00D61595" w:rsidP="00D61595">
      <w:pPr>
        <w:keepNext/>
        <w:tabs>
          <w:tab w:val="left" w:pos="851"/>
        </w:tabs>
        <w:ind w:left="851"/>
        <w:rPr>
          <w:i/>
          <w:sz w:val="24"/>
          <w:szCs w:val="24"/>
        </w:rPr>
      </w:pPr>
      <w:r>
        <w:rPr>
          <w:i/>
          <w:sz w:val="24"/>
          <w:szCs w:val="24"/>
        </w:rPr>
        <w:t>Nedsat leverfunktion</w:t>
      </w:r>
    </w:p>
    <w:p w:rsidR="00D61595" w:rsidRDefault="00D61595" w:rsidP="00D61595">
      <w:pPr>
        <w:tabs>
          <w:tab w:val="left" w:pos="851"/>
        </w:tabs>
        <w:ind w:left="851"/>
        <w:rPr>
          <w:sz w:val="24"/>
          <w:szCs w:val="24"/>
        </w:rPr>
      </w:pPr>
      <w:r>
        <w:rPr>
          <w:sz w:val="24"/>
          <w:szCs w:val="24"/>
        </w:rPr>
        <w:t>Rivadia er kontraindiceret hos patienter med leversygdom, som er forbundet med koagulationsdefekt og en klinisk relevant blødningsrisiko, herunder cirrosepatienter med Child-Pugh B og C (se pkt. 4.3 og 5.2).</w:t>
      </w:r>
    </w:p>
    <w:p w:rsidR="00D61595" w:rsidRDefault="00D61595" w:rsidP="00D61595">
      <w:pPr>
        <w:tabs>
          <w:tab w:val="left" w:pos="851"/>
        </w:tabs>
        <w:ind w:left="851"/>
        <w:rPr>
          <w:sz w:val="24"/>
          <w:szCs w:val="24"/>
        </w:rPr>
      </w:pPr>
    </w:p>
    <w:p w:rsidR="00D61595" w:rsidRDefault="00D61595" w:rsidP="00D61595">
      <w:pPr>
        <w:tabs>
          <w:tab w:val="left" w:pos="851"/>
        </w:tabs>
        <w:ind w:left="851"/>
        <w:rPr>
          <w:i/>
          <w:sz w:val="24"/>
          <w:szCs w:val="24"/>
        </w:rPr>
      </w:pPr>
      <w:r>
        <w:rPr>
          <w:i/>
          <w:sz w:val="24"/>
          <w:szCs w:val="24"/>
        </w:rPr>
        <w:t>Ældre population</w:t>
      </w:r>
    </w:p>
    <w:p w:rsidR="00D61595" w:rsidRDefault="00D61595" w:rsidP="00D61595">
      <w:pPr>
        <w:tabs>
          <w:tab w:val="left" w:pos="851"/>
        </w:tabs>
        <w:ind w:left="851"/>
        <w:rPr>
          <w:sz w:val="24"/>
          <w:szCs w:val="24"/>
        </w:rPr>
      </w:pPr>
      <w:r>
        <w:rPr>
          <w:sz w:val="24"/>
          <w:szCs w:val="24"/>
        </w:rPr>
        <w:t>Ingen dosisjustering (se pkt. 5.2).</w:t>
      </w:r>
    </w:p>
    <w:p w:rsidR="00D61595" w:rsidRDefault="00D61595" w:rsidP="00D61595">
      <w:pPr>
        <w:tabs>
          <w:tab w:val="left" w:pos="851"/>
        </w:tabs>
        <w:ind w:left="851"/>
        <w:rPr>
          <w:sz w:val="24"/>
          <w:szCs w:val="24"/>
        </w:rPr>
      </w:pPr>
    </w:p>
    <w:p w:rsidR="00D61595" w:rsidRDefault="00D61595" w:rsidP="00D61595">
      <w:pPr>
        <w:tabs>
          <w:tab w:val="left" w:pos="851"/>
        </w:tabs>
        <w:ind w:left="851"/>
        <w:rPr>
          <w:i/>
          <w:sz w:val="24"/>
          <w:szCs w:val="24"/>
        </w:rPr>
      </w:pPr>
      <w:r>
        <w:rPr>
          <w:i/>
          <w:sz w:val="24"/>
          <w:szCs w:val="24"/>
        </w:rPr>
        <w:t>Legemsvægt</w:t>
      </w:r>
    </w:p>
    <w:p w:rsidR="00D61595" w:rsidRDefault="00D61595" w:rsidP="00D61595">
      <w:pPr>
        <w:tabs>
          <w:tab w:val="left" w:pos="851"/>
        </w:tabs>
        <w:ind w:left="851"/>
        <w:rPr>
          <w:sz w:val="24"/>
          <w:szCs w:val="24"/>
        </w:rPr>
      </w:pPr>
      <w:r>
        <w:rPr>
          <w:sz w:val="24"/>
          <w:szCs w:val="24"/>
        </w:rPr>
        <w:t>Ingen dosisjustering (se pkt. 5.2).</w:t>
      </w:r>
    </w:p>
    <w:p w:rsidR="00D61595" w:rsidRDefault="00D61595" w:rsidP="00D61595">
      <w:pPr>
        <w:tabs>
          <w:tab w:val="left" w:pos="851"/>
        </w:tabs>
        <w:ind w:left="851"/>
        <w:rPr>
          <w:sz w:val="24"/>
          <w:szCs w:val="24"/>
        </w:rPr>
      </w:pPr>
    </w:p>
    <w:p w:rsidR="00D61595" w:rsidRDefault="00D61595" w:rsidP="00D61595">
      <w:pPr>
        <w:tabs>
          <w:tab w:val="left" w:pos="851"/>
        </w:tabs>
        <w:ind w:left="851"/>
        <w:rPr>
          <w:i/>
          <w:sz w:val="24"/>
          <w:szCs w:val="24"/>
        </w:rPr>
      </w:pPr>
      <w:r>
        <w:rPr>
          <w:i/>
          <w:sz w:val="24"/>
          <w:szCs w:val="24"/>
        </w:rPr>
        <w:t>Køn</w:t>
      </w:r>
    </w:p>
    <w:p w:rsidR="00D61595" w:rsidRDefault="00D61595" w:rsidP="00D61595">
      <w:pPr>
        <w:tabs>
          <w:tab w:val="left" w:pos="851"/>
        </w:tabs>
        <w:ind w:left="851"/>
        <w:rPr>
          <w:sz w:val="24"/>
          <w:szCs w:val="24"/>
        </w:rPr>
      </w:pPr>
      <w:r>
        <w:rPr>
          <w:sz w:val="24"/>
          <w:szCs w:val="24"/>
        </w:rPr>
        <w:t>Ingen dosisjustering (se pkt. 5.2).</w:t>
      </w:r>
    </w:p>
    <w:p w:rsidR="00D61595" w:rsidRDefault="00D61595" w:rsidP="00D61595">
      <w:pPr>
        <w:tabs>
          <w:tab w:val="left" w:pos="851"/>
        </w:tabs>
        <w:ind w:left="851"/>
        <w:rPr>
          <w:sz w:val="24"/>
          <w:szCs w:val="24"/>
        </w:rPr>
      </w:pPr>
    </w:p>
    <w:p w:rsidR="00D61595" w:rsidRDefault="00D61595" w:rsidP="00D61595">
      <w:pPr>
        <w:tabs>
          <w:tab w:val="left" w:pos="851"/>
        </w:tabs>
        <w:ind w:left="851"/>
        <w:rPr>
          <w:i/>
          <w:sz w:val="24"/>
          <w:szCs w:val="24"/>
        </w:rPr>
      </w:pPr>
      <w:r>
        <w:rPr>
          <w:i/>
          <w:sz w:val="24"/>
          <w:szCs w:val="24"/>
        </w:rPr>
        <w:t>Pædiatrisk population</w:t>
      </w:r>
    </w:p>
    <w:p w:rsidR="00D61595" w:rsidRDefault="00D61595" w:rsidP="00D61595">
      <w:pPr>
        <w:tabs>
          <w:tab w:val="left" w:pos="851"/>
        </w:tabs>
        <w:ind w:left="851"/>
        <w:rPr>
          <w:sz w:val="24"/>
          <w:szCs w:val="24"/>
        </w:rPr>
      </w:pPr>
      <w:r>
        <w:rPr>
          <w:sz w:val="24"/>
          <w:szCs w:val="24"/>
        </w:rPr>
        <w:t xml:space="preserve">Rivadia </w:t>
      </w:r>
      <w:r>
        <w:t>10 mg filmovertrukne tabletter</w:t>
      </w:r>
      <w:r>
        <w:rPr>
          <w:sz w:val="24"/>
          <w:szCs w:val="24"/>
        </w:rPr>
        <w:t xml:space="preserve"> sikkerhed og virkning hos børn fra 0 til 18 år er ikke klarlagt. Der foreligger ingen data, og derfor bør Rivadia </w:t>
      </w:r>
      <w:r>
        <w:t>10 mg filmovertrukne tabletter</w:t>
      </w:r>
      <w:r>
        <w:rPr>
          <w:sz w:val="24"/>
          <w:szCs w:val="24"/>
        </w:rPr>
        <w:t xml:space="preserve"> ikke anvendes til børn eller unge under 18 år.</w:t>
      </w:r>
    </w:p>
    <w:p w:rsidR="00D61595" w:rsidRDefault="00D61595" w:rsidP="00D61595">
      <w:pPr>
        <w:tabs>
          <w:tab w:val="left" w:pos="851"/>
        </w:tabs>
        <w:ind w:left="851"/>
        <w:rPr>
          <w:sz w:val="24"/>
          <w:szCs w:val="24"/>
        </w:rPr>
      </w:pPr>
    </w:p>
    <w:p w:rsidR="00D61595" w:rsidRDefault="00D61595" w:rsidP="00D61595">
      <w:pPr>
        <w:tabs>
          <w:tab w:val="left" w:pos="851"/>
        </w:tabs>
        <w:ind w:left="851"/>
        <w:rPr>
          <w:b/>
          <w:sz w:val="24"/>
          <w:szCs w:val="24"/>
        </w:rPr>
      </w:pPr>
      <w:r>
        <w:rPr>
          <w:b/>
          <w:sz w:val="24"/>
          <w:szCs w:val="24"/>
        </w:rPr>
        <w:t>Administration</w:t>
      </w:r>
    </w:p>
    <w:p w:rsidR="00D61595" w:rsidRDefault="00D61595" w:rsidP="00D61595">
      <w:pPr>
        <w:tabs>
          <w:tab w:val="left" w:pos="851"/>
        </w:tabs>
        <w:ind w:left="851"/>
        <w:rPr>
          <w:sz w:val="24"/>
          <w:szCs w:val="24"/>
        </w:rPr>
      </w:pPr>
      <w:r>
        <w:t>Rivadia er til o</w:t>
      </w:r>
      <w:r>
        <w:rPr>
          <w:sz w:val="24"/>
          <w:szCs w:val="24"/>
        </w:rPr>
        <w:t>ral anvendelse.</w:t>
      </w:r>
    </w:p>
    <w:p w:rsidR="00D61595" w:rsidRDefault="00D61595" w:rsidP="00D61595">
      <w:pPr>
        <w:tabs>
          <w:tab w:val="left" w:pos="851"/>
        </w:tabs>
        <w:ind w:left="851"/>
        <w:rPr>
          <w:sz w:val="24"/>
          <w:szCs w:val="24"/>
        </w:rPr>
      </w:pPr>
      <w:r>
        <w:t>Tabletterne</w:t>
      </w:r>
      <w:r>
        <w:rPr>
          <w:sz w:val="24"/>
          <w:szCs w:val="24"/>
        </w:rPr>
        <w:t xml:space="preserve"> kan tages sammen med og uden mad (se pkt. 4.5 og 5.2).</w:t>
      </w:r>
    </w:p>
    <w:p w:rsidR="00D61595" w:rsidRDefault="00D61595" w:rsidP="00D61595">
      <w:pPr>
        <w:tabs>
          <w:tab w:val="left" w:pos="851"/>
        </w:tabs>
        <w:ind w:left="851"/>
        <w:rPr>
          <w:sz w:val="24"/>
          <w:szCs w:val="24"/>
        </w:rPr>
      </w:pPr>
    </w:p>
    <w:p w:rsidR="00D61595" w:rsidRDefault="00D61595" w:rsidP="00D61595">
      <w:pPr>
        <w:pStyle w:val="Default"/>
        <w:ind w:left="851"/>
        <w:rPr>
          <w:lang w:val="da-DK"/>
        </w:rPr>
      </w:pPr>
      <w:r>
        <w:rPr>
          <w:i/>
          <w:iCs/>
          <w:sz w:val="22"/>
          <w:szCs w:val="22"/>
          <w:lang w:val="da-DK"/>
        </w:rPr>
        <w:t xml:space="preserve"> </w:t>
      </w:r>
      <w:r>
        <w:rPr>
          <w:i/>
          <w:iCs/>
          <w:lang w:val="da-DK"/>
        </w:rPr>
        <w:t xml:space="preserve">Knusning af tabletter </w:t>
      </w:r>
    </w:p>
    <w:p w:rsidR="00D61595" w:rsidRDefault="00D61595" w:rsidP="00D61595">
      <w:pPr>
        <w:pStyle w:val="Default"/>
        <w:ind w:left="851"/>
        <w:rPr>
          <w:lang w:val="da-DK"/>
        </w:rPr>
      </w:pPr>
      <w:r>
        <w:rPr>
          <w:lang w:val="da-DK"/>
        </w:rPr>
        <w:t xml:space="preserve">Hos patienter, der ikke er i stand til at sluge tabletter, kan Rivadia administreres oralt ved at knuse tabletten og blande den med vand eller æblemos umiddelbart før indtagelse. </w:t>
      </w:r>
    </w:p>
    <w:p w:rsidR="00D61595" w:rsidRDefault="00D61595" w:rsidP="00D61595">
      <w:pPr>
        <w:tabs>
          <w:tab w:val="left" w:pos="851"/>
        </w:tabs>
        <w:ind w:left="851"/>
        <w:rPr>
          <w:sz w:val="24"/>
          <w:szCs w:val="24"/>
        </w:rPr>
      </w:pPr>
      <w:r>
        <w:rPr>
          <w:sz w:val="24"/>
          <w:szCs w:val="24"/>
        </w:rPr>
        <w:t>Den knuste tablet kan også gives via en ventrikelsonde (se pkt. 5.2 og 6.6).</w:t>
      </w:r>
    </w:p>
    <w:p w:rsidR="00D61595" w:rsidRDefault="00D61595" w:rsidP="00D61595">
      <w:pPr>
        <w:tabs>
          <w:tab w:val="left" w:pos="851"/>
        </w:tabs>
        <w:ind w:left="851"/>
        <w:rPr>
          <w:sz w:val="24"/>
          <w:szCs w:val="24"/>
        </w:rPr>
      </w:pPr>
    </w:p>
    <w:p w:rsidR="00D61595" w:rsidRDefault="00D61595" w:rsidP="00D61595">
      <w:pPr>
        <w:tabs>
          <w:tab w:val="left" w:pos="851"/>
        </w:tabs>
        <w:ind w:left="851" w:hanging="851"/>
        <w:rPr>
          <w:b/>
          <w:sz w:val="24"/>
          <w:szCs w:val="24"/>
        </w:rPr>
      </w:pPr>
      <w:r>
        <w:rPr>
          <w:b/>
          <w:sz w:val="24"/>
          <w:szCs w:val="24"/>
        </w:rPr>
        <w:t>4.3</w:t>
      </w:r>
      <w:r>
        <w:rPr>
          <w:b/>
          <w:sz w:val="24"/>
          <w:szCs w:val="24"/>
        </w:rPr>
        <w:tab/>
        <w:t>Kontraindikationer</w:t>
      </w:r>
    </w:p>
    <w:p w:rsidR="00D61595" w:rsidRDefault="00D61595" w:rsidP="00D61595">
      <w:pPr>
        <w:tabs>
          <w:tab w:val="left" w:pos="851"/>
        </w:tabs>
        <w:ind w:left="851"/>
        <w:rPr>
          <w:sz w:val="24"/>
          <w:szCs w:val="24"/>
        </w:rPr>
      </w:pPr>
      <w:r>
        <w:rPr>
          <w:sz w:val="24"/>
          <w:szCs w:val="24"/>
        </w:rPr>
        <w:t>Overfølsomhed over for det aktive stof eller over for et eller flere af hjælpestofferne anført i pkt. 6.1.</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Aktiv, klinisk signifikant blødning.</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Læsion eller tilstand, hvis den betragtes som værende af signifikant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Leversygdom, som er forbundet med koagulationsdefekt og klinisk relevant blødningsrisiko, herunder cirrosepatienter med Child-Pugh B og C (se pkt. 5.2).</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Graviditet og amning (se pkt. 4.6).</w:t>
      </w:r>
    </w:p>
    <w:p w:rsidR="00D61595" w:rsidRDefault="00D61595" w:rsidP="00D61595">
      <w:pPr>
        <w:tabs>
          <w:tab w:val="left" w:pos="851"/>
        </w:tabs>
        <w:ind w:left="851"/>
        <w:rPr>
          <w:sz w:val="24"/>
          <w:szCs w:val="24"/>
        </w:rPr>
      </w:pPr>
    </w:p>
    <w:p w:rsidR="00D61595" w:rsidRDefault="00D61595" w:rsidP="00D61595">
      <w:pPr>
        <w:tabs>
          <w:tab w:val="left" w:pos="851"/>
        </w:tabs>
        <w:ind w:left="851" w:hanging="851"/>
        <w:rPr>
          <w:b/>
          <w:sz w:val="24"/>
          <w:szCs w:val="24"/>
        </w:rPr>
      </w:pPr>
      <w:r>
        <w:rPr>
          <w:b/>
          <w:sz w:val="24"/>
          <w:szCs w:val="24"/>
        </w:rPr>
        <w:t>4.4</w:t>
      </w:r>
      <w:r>
        <w:rPr>
          <w:b/>
          <w:sz w:val="24"/>
          <w:szCs w:val="24"/>
        </w:rPr>
        <w:tab/>
        <w:t>Særlige advarsler og forsigtighedsregler vedrørende brugen</w:t>
      </w:r>
    </w:p>
    <w:p w:rsidR="00D61595" w:rsidRDefault="00D61595" w:rsidP="00D61595">
      <w:pPr>
        <w:tabs>
          <w:tab w:val="left" w:pos="1134"/>
        </w:tabs>
        <w:ind w:left="851"/>
      </w:pPr>
    </w:p>
    <w:p w:rsidR="00D61595" w:rsidRDefault="00D61595" w:rsidP="00D61595">
      <w:pPr>
        <w:tabs>
          <w:tab w:val="left" w:pos="1134"/>
        </w:tabs>
        <w:ind w:left="851"/>
        <w:rPr>
          <w:sz w:val="24"/>
          <w:szCs w:val="24"/>
          <w:u w:val="single"/>
          <w:lang w:val="nb-NO"/>
        </w:rPr>
      </w:pPr>
      <w:r>
        <w:rPr>
          <w:sz w:val="24"/>
          <w:szCs w:val="24"/>
        </w:rPr>
        <w:t>Sædvanlig klinisk antikoagulationsovervågning anbefales i hele behandlingsperioden.</w:t>
      </w:r>
    </w:p>
    <w:p w:rsidR="00D61595" w:rsidRDefault="00D61595" w:rsidP="00D61595">
      <w:pPr>
        <w:tabs>
          <w:tab w:val="left" w:pos="1134"/>
        </w:tabs>
        <w:ind w:left="851"/>
        <w:rPr>
          <w:sz w:val="24"/>
          <w:szCs w:val="24"/>
          <w:u w:val="single"/>
          <w:lang w:val="nb-NO"/>
        </w:rPr>
      </w:pPr>
    </w:p>
    <w:p w:rsidR="00D61595" w:rsidRDefault="00D61595" w:rsidP="00D61595">
      <w:pPr>
        <w:tabs>
          <w:tab w:val="left" w:pos="1134"/>
        </w:tabs>
        <w:ind w:left="851"/>
        <w:rPr>
          <w:sz w:val="24"/>
          <w:szCs w:val="24"/>
          <w:u w:val="single"/>
          <w:lang w:val="nb-NO"/>
        </w:rPr>
      </w:pPr>
      <w:r>
        <w:rPr>
          <w:sz w:val="24"/>
          <w:szCs w:val="24"/>
          <w:u w:val="single"/>
          <w:lang w:val="nb-NO"/>
        </w:rPr>
        <w:t>Blødningsrisiko</w:t>
      </w:r>
    </w:p>
    <w:p w:rsidR="00D61595" w:rsidRDefault="00D61595" w:rsidP="00D61595">
      <w:pPr>
        <w:pStyle w:val="Brdtekst"/>
        <w:ind w:left="851"/>
        <w:contextualSpacing/>
        <w:mirrorIndents/>
        <w:rPr>
          <w:sz w:val="24"/>
          <w:szCs w:val="24"/>
          <w:lang w:val="da-DK"/>
        </w:rPr>
      </w:pPr>
      <w:r>
        <w:rPr>
          <w:sz w:val="24"/>
          <w:szCs w:val="24"/>
          <w:lang w:val="nb-NO"/>
        </w:rPr>
        <w:t xml:space="preserve">Som ved andre antikoagulantia bør patienter, som får Rivadia, overvåges nøje for tegn på blødning. </w:t>
      </w:r>
      <w:r>
        <w:rPr>
          <w:sz w:val="24"/>
          <w:szCs w:val="24"/>
          <w:lang w:val="da-DK"/>
        </w:rPr>
        <w:t>I tilfælde med øget risiko for blødning bør Rivadia anvendes med forsigtighed. Behandlingen med Rivadia bør afbrydes, hvis der opstår svær blødning (se pkt. 4.9).</w:t>
      </w:r>
    </w:p>
    <w:p w:rsidR="00D61595" w:rsidRDefault="00D61595" w:rsidP="00D61595">
      <w:pPr>
        <w:pStyle w:val="Brdtekst"/>
        <w:ind w:left="851"/>
        <w:contextualSpacing/>
        <w:mirrorIndents/>
        <w:rPr>
          <w:sz w:val="24"/>
          <w:szCs w:val="24"/>
          <w:lang w:val="da-DK"/>
        </w:rPr>
      </w:pPr>
    </w:p>
    <w:p w:rsidR="00D61595" w:rsidRDefault="00D61595" w:rsidP="00D61595">
      <w:pPr>
        <w:pStyle w:val="Brdtekst"/>
        <w:ind w:left="851"/>
        <w:contextualSpacing/>
        <w:mirrorIndents/>
        <w:rPr>
          <w:sz w:val="24"/>
          <w:szCs w:val="24"/>
          <w:lang w:val="nb-NO"/>
        </w:rPr>
      </w:pPr>
      <w:r>
        <w:rPr>
          <w:sz w:val="24"/>
          <w:szCs w:val="24"/>
          <w:lang w:val="da-DK"/>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rsidR="00D61595" w:rsidRDefault="00D61595" w:rsidP="00D61595">
      <w:pPr>
        <w:tabs>
          <w:tab w:val="left" w:pos="1134"/>
        </w:tabs>
        <w:ind w:left="851"/>
        <w:rPr>
          <w:sz w:val="24"/>
          <w:szCs w:val="24"/>
          <w:lang w:val="nb-NO"/>
        </w:rPr>
      </w:pPr>
    </w:p>
    <w:p w:rsidR="00D61595" w:rsidRDefault="00D61595" w:rsidP="00D61595">
      <w:pPr>
        <w:tabs>
          <w:tab w:val="left" w:pos="1134"/>
        </w:tabs>
        <w:ind w:left="851"/>
        <w:rPr>
          <w:sz w:val="24"/>
          <w:szCs w:val="24"/>
        </w:rPr>
      </w:pPr>
      <w:r>
        <w:rPr>
          <w:sz w:val="24"/>
          <w:szCs w:val="24"/>
          <w:lang w:val="nb-NO"/>
        </w:rPr>
        <w:t xml:space="preserve">Flere patientgrupper har, som beskrevet nedenfor, øget risiko for blødning. Disse patienter skal kontrolleres omhyggeligt for tegn og symptomer på blødningskomplikationer og anæmi, når behandlingen er påbegyndt (se pkt. 4.8). </w:t>
      </w:r>
      <w:r>
        <w:rPr>
          <w:sz w:val="24"/>
          <w:szCs w:val="24"/>
        </w:rPr>
        <w:t>Hos patienter, der får Rivadia til forebyggelse af VTE efter planlagt hofteleds- eller knæledsalloplastik, kan det gøres ved regelmæssig lægeundersøgelse, hyppig observation af den kirurgiske sårdrænage og regelmæssig hæmoglobinbestemmelse.</w:t>
      </w:r>
    </w:p>
    <w:p w:rsidR="00D61595" w:rsidRDefault="00D61595" w:rsidP="00D61595">
      <w:pPr>
        <w:tabs>
          <w:tab w:val="left" w:pos="1134"/>
        </w:tabs>
        <w:ind w:left="851"/>
        <w:rPr>
          <w:sz w:val="24"/>
          <w:szCs w:val="24"/>
        </w:rPr>
      </w:pPr>
      <w:r>
        <w:rPr>
          <w:sz w:val="24"/>
          <w:szCs w:val="24"/>
        </w:rPr>
        <w:t>Ethvert fald i hæmoglobin eller blodtryk bør medføre søgning efter blødningskilde.</w:t>
      </w:r>
    </w:p>
    <w:p w:rsidR="00D61595" w:rsidRDefault="00D61595" w:rsidP="00D61595">
      <w:pPr>
        <w:tabs>
          <w:tab w:val="left" w:pos="1134"/>
        </w:tabs>
        <w:ind w:left="851"/>
        <w:rPr>
          <w:sz w:val="24"/>
          <w:szCs w:val="24"/>
        </w:rPr>
      </w:pPr>
    </w:p>
    <w:p w:rsidR="00D61595" w:rsidRDefault="00D61595" w:rsidP="00D61595">
      <w:pPr>
        <w:tabs>
          <w:tab w:val="left" w:pos="1134"/>
        </w:tabs>
        <w:ind w:left="851"/>
        <w:rPr>
          <w:sz w:val="24"/>
          <w:szCs w:val="24"/>
        </w:rPr>
      </w:pPr>
      <w:r>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rsidR="00D61595" w:rsidRDefault="00D61595" w:rsidP="00D61595">
      <w:pPr>
        <w:tabs>
          <w:tab w:val="left" w:pos="1134"/>
        </w:tabs>
        <w:ind w:left="851"/>
        <w:rPr>
          <w:sz w:val="24"/>
          <w:szCs w:val="24"/>
        </w:rPr>
      </w:pPr>
    </w:p>
    <w:p w:rsidR="00D61595" w:rsidRDefault="00D61595" w:rsidP="00D61595">
      <w:pPr>
        <w:tabs>
          <w:tab w:val="left" w:pos="1134"/>
        </w:tabs>
        <w:ind w:left="851"/>
        <w:rPr>
          <w:sz w:val="24"/>
          <w:szCs w:val="24"/>
          <w:u w:val="single"/>
        </w:rPr>
      </w:pPr>
      <w:r>
        <w:rPr>
          <w:sz w:val="24"/>
          <w:szCs w:val="24"/>
          <w:u w:val="single"/>
        </w:rPr>
        <w:t>Nedsat nyrefunktion</w:t>
      </w:r>
    </w:p>
    <w:p w:rsidR="00D61595" w:rsidRDefault="00D61595" w:rsidP="00D61595">
      <w:pPr>
        <w:tabs>
          <w:tab w:val="left" w:pos="1134"/>
        </w:tabs>
        <w:ind w:left="851"/>
        <w:rPr>
          <w:sz w:val="24"/>
          <w:szCs w:val="24"/>
        </w:rPr>
      </w:pPr>
      <w:r>
        <w:rPr>
          <w:sz w:val="24"/>
          <w:szCs w:val="24"/>
        </w:rPr>
        <w:t>Hos patienter med svært nedsat nyrefunktion (kreatininclearance &lt; 30 ml/min) kan plasmakoncentrationerne af rivaroxaban være signifikant forhøjet (i gennemsnit 1,6 gange), hvilket kan medføre en øget blødningsrisiko. Rivadia skal anvendes med forsigtighed hos patienter med en kreatininclearance på 15-29 ml/min. Rivadia bør ikke anvendes til patienter med kreatininclearance</w:t>
      </w:r>
    </w:p>
    <w:p w:rsidR="00D61595" w:rsidRDefault="00D61595" w:rsidP="00D61595">
      <w:pPr>
        <w:tabs>
          <w:tab w:val="left" w:pos="1134"/>
        </w:tabs>
        <w:ind w:left="851"/>
        <w:rPr>
          <w:sz w:val="24"/>
          <w:szCs w:val="24"/>
        </w:rPr>
      </w:pPr>
      <w:r>
        <w:rPr>
          <w:sz w:val="24"/>
          <w:szCs w:val="24"/>
        </w:rPr>
        <w:t>&lt; 15 ml/min (se pkt. 4.2 og 5.2).</w:t>
      </w:r>
    </w:p>
    <w:p w:rsidR="00D61595" w:rsidRDefault="00D61595" w:rsidP="00D61595">
      <w:pPr>
        <w:tabs>
          <w:tab w:val="left" w:pos="1134"/>
        </w:tabs>
        <w:ind w:left="851"/>
        <w:rPr>
          <w:sz w:val="24"/>
          <w:szCs w:val="24"/>
        </w:rPr>
      </w:pPr>
      <w:r>
        <w:rPr>
          <w:sz w:val="24"/>
          <w:szCs w:val="24"/>
        </w:rPr>
        <w:t>Rivadia anvendes med forsigtighed hos patienter med moderat nedsat nyrefunktion (kreatininclearance 30-49 ml/min), som samtidig behandles med andre lægemidler, der øger plasmakoncentrationen af rivaroxaban (se pkt. 4.5).</w:t>
      </w:r>
    </w:p>
    <w:p w:rsidR="00D61595" w:rsidRDefault="00D61595" w:rsidP="00D61595">
      <w:pPr>
        <w:tabs>
          <w:tab w:val="left" w:pos="1134"/>
        </w:tabs>
        <w:ind w:left="851"/>
        <w:rPr>
          <w:sz w:val="24"/>
          <w:szCs w:val="24"/>
        </w:rPr>
      </w:pPr>
    </w:p>
    <w:p w:rsidR="00D61595" w:rsidRDefault="00D61595" w:rsidP="00D61595">
      <w:pPr>
        <w:tabs>
          <w:tab w:val="left" w:pos="1134"/>
        </w:tabs>
        <w:ind w:left="851"/>
        <w:rPr>
          <w:sz w:val="24"/>
          <w:szCs w:val="24"/>
          <w:u w:val="single"/>
        </w:rPr>
      </w:pPr>
      <w:r>
        <w:rPr>
          <w:sz w:val="24"/>
          <w:szCs w:val="24"/>
          <w:u w:val="single"/>
        </w:rPr>
        <w:t>Interaktion med andre lægemidler</w:t>
      </w:r>
    </w:p>
    <w:p w:rsidR="00D61595" w:rsidRDefault="00D61595" w:rsidP="00D61595">
      <w:pPr>
        <w:tabs>
          <w:tab w:val="left" w:pos="1134"/>
        </w:tabs>
        <w:ind w:left="851"/>
        <w:rPr>
          <w:sz w:val="24"/>
          <w:szCs w:val="24"/>
        </w:rPr>
      </w:pPr>
      <w:r>
        <w:rPr>
          <w:sz w:val="24"/>
          <w:szCs w:val="24"/>
        </w:rPr>
        <w:t>Rivadia bør ikke anvendes til patienter, som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rsidR="00D61595" w:rsidRDefault="00D61595" w:rsidP="00D61595">
      <w:pPr>
        <w:tabs>
          <w:tab w:val="left" w:pos="1134"/>
        </w:tabs>
        <w:ind w:left="851"/>
        <w:rPr>
          <w:sz w:val="24"/>
          <w:szCs w:val="24"/>
        </w:rPr>
      </w:pPr>
    </w:p>
    <w:p w:rsidR="00D61595" w:rsidRDefault="00D61595" w:rsidP="00D61595">
      <w:pPr>
        <w:tabs>
          <w:tab w:val="left" w:pos="1134"/>
        </w:tabs>
        <w:ind w:left="851"/>
        <w:rPr>
          <w:sz w:val="24"/>
          <w:szCs w:val="24"/>
        </w:rPr>
      </w:pPr>
      <w:r>
        <w:rPr>
          <w:sz w:val="24"/>
          <w:szCs w:val="24"/>
        </w:rPr>
        <w:t>Der skal udvises forsigtighed, hvis patienten samtidig bliver behandlet med lægemidler, som påvirker hæmostasen, f.eks. non-steroide antiinflammatoriske lægemidler (NSAID), acetylsalicylsyre (</w:t>
      </w:r>
      <w:proofErr w:type="gramStart"/>
      <w:r>
        <w:rPr>
          <w:sz w:val="24"/>
          <w:szCs w:val="24"/>
        </w:rPr>
        <w:t>ASA)  og</w:t>
      </w:r>
      <w:proofErr w:type="gramEnd"/>
      <w:r>
        <w:rPr>
          <w:sz w:val="24"/>
          <w:szCs w:val="24"/>
        </w:rPr>
        <w:t xml:space="preserve"> trombocytaggregationshæmmere </w:t>
      </w:r>
      <w:r>
        <w:rPr>
          <w:sz w:val="24"/>
          <w:szCs w:val="24"/>
          <w:lang w:val="fr-FR"/>
        </w:rPr>
        <w:t>eller selektive serotonin reuptake-hæmmere (SSRI-præparater) og serotonin-/noradrenalinreuptake-hæmmere (SNRI-præparater)</w:t>
      </w:r>
      <w:r>
        <w:rPr>
          <w:sz w:val="24"/>
          <w:szCs w:val="24"/>
        </w:rPr>
        <w:t>. Hos patienter, der har risiko for at få gastrointestinal ulceration, bør passende profylakse overvejes (se pkt. 4.5).</w:t>
      </w:r>
    </w:p>
    <w:p w:rsidR="00D61595" w:rsidRDefault="00D61595" w:rsidP="00D61595">
      <w:pPr>
        <w:tabs>
          <w:tab w:val="left" w:pos="1134"/>
        </w:tabs>
        <w:ind w:left="851"/>
        <w:rPr>
          <w:sz w:val="24"/>
          <w:szCs w:val="24"/>
        </w:rPr>
      </w:pPr>
    </w:p>
    <w:p w:rsidR="00D61595" w:rsidRDefault="00D61595" w:rsidP="00D61595">
      <w:pPr>
        <w:tabs>
          <w:tab w:val="left" w:pos="1134"/>
        </w:tabs>
        <w:ind w:left="851"/>
        <w:rPr>
          <w:sz w:val="24"/>
          <w:szCs w:val="24"/>
          <w:u w:val="single"/>
        </w:rPr>
      </w:pPr>
      <w:r>
        <w:rPr>
          <w:sz w:val="24"/>
          <w:szCs w:val="24"/>
          <w:u w:val="single"/>
        </w:rPr>
        <w:t>Andre risikofaktorer for blødning</w:t>
      </w:r>
    </w:p>
    <w:p w:rsidR="00D61595" w:rsidRDefault="00D61595" w:rsidP="00D61595">
      <w:pPr>
        <w:tabs>
          <w:tab w:val="left" w:pos="1134"/>
        </w:tabs>
        <w:ind w:left="851"/>
        <w:rPr>
          <w:sz w:val="24"/>
          <w:szCs w:val="24"/>
        </w:rPr>
      </w:pPr>
      <w:r>
        <w:rPr>
          <w:sz w:val="24"/>
          <w:szCs w:val="24"/>
        </w:rPr>
        <w:t>Som andre antitrombotika anbefales rivaroxaban ikkehos patienter med øget blødningsrisiko, f.eks. i tilfælde af:</w:t>
      </w:r>
    </w:p>
    <w:p w:rsidR="00D61595" w:rsidRDefault="00D61595" w:rsidP="00D61595">
      <w:pPr>
        <w:numPr>
          <w:ilvl w:val="0"/>
          <w:numId w:val="5"/>
        </w:numPr>
        <w:tabs>
          <w:tab w:val="left" w:pos="1134"/>
        </w:tabs>
        <w:ind w:left="1134" w:hanging="283"/>
        <w:rPr>
          <w:sz w:val="24"/>
          <w:szCs w:val="24"/>
          <w:lang w:val="en-US"/>
        </w:rPr>
      </w:pPr>
      <w:r>
        <w:rPr>
          <w:sz w:val="24"/>
          <w:szCs w:val="24"/>
          <w:lang w:val="en-US"/>
        </w:rPr>
        <w:t>medfødte eller erhvervede blødningsforstyrrelser</w:t>
      </w:r>
    </w:p>
    <w:p w:rsidR="00D61595" w:rsidRDefault="00D61595" w:rsidP="00D61595">
      <w:pPr>
        <w:numPr>
          <w:ilvl w:val="0"/>
          <w:numId w:val="5"/>
        </w:numPr>
        <w:tabs>
          <w:tab w:val="left" w:pos="1134"/>
        </w:tabs>
        <w:ind w:left="1134" w:hanging="283"/>
        <w:rPr>
          <w:sz w:val="24"/>
          <w:szCs w:val="24"/>
          <w:lang w:val="en-US"/>
        </w:rPr>
      </w:pPr>
      <w:r>
        <w:rPr>
          <w:sz w:val="24"/>
          <w:szCs w:val="24"/>
          <w:lang w:val="en-US"/>
        </w:rPr>
        <w:t>ukontrolleret, svær arteriel hypertension</w:t>
      </w:r>
    </w:p>
    <w:p w:rsidR="00D61595" w:rsidRPr="00D61595" w:rsidRDefault="00D61595" w:rsidP="00D61595">
      <w:pPr>
        <w:numPr>
          <w:ilvl w:val="0"/>
          <w:numId w:val="5"/>
        </w:numPr>
        <w:tabs>
          <w:tab w:val="left" w:pos="1134"/>
        </w:tabs>
        <w:ind w:left="1134" w:hanging="283"/>
        <w:rPr>
          <w:sz w:val="24"/>
          <w:szCs w:val="24"/>
        </w:rPr>
      </w:pPr>
      <w:r w:rsidRPr="00D61595">
        <w:rPr>
          <w:sz w:val="24"/>
          <w:szCs w:val="24"/>
        </w:rPr>
        <w:t>anden gastrointestinal sygdom uden aktiv ulcerativ, der potentielt kan medføre blødningskomplikationer (f.eks. inflammatorisk tarmsygdom, øsofagitis, gastritis og gastroøsofageal refluks)</w:t>
      </w:r>
    </w:p>
    <w:p w:rsidR="00D61595" w:rsidRDefault="00D61595" w:rsidP="00D61595">
      <w:pPr>
        <w:numPr>
          <w:ilvl w:val="0"/>
          <w:numId w:val="5"/>
        </w:numPr>
        <w:tabs>
          <w:tab w:val="left" w:pos="1134"/>
        </w:tabs>
        <w:ind w:left="1134" w:hanging="283"/>
        <w:rPr>
          <w:sz w:val="24"/>
          <w:szCs w:val="24"/>
          <w:lang w:val="en-US"/>
        </w:rPr>
      </w:pPr>
      <w:r>
        <w:rPr>
          <w:sz w:val="24"/>
          <w:szCs w:val="24"/>
          <w:lang w:val="en-US"/>
        </w:rPr>
        <w:t>vaskulær retinopati</w:t>
      </w:r>
    </w:p>
    <w:p w:rsidR="00D61595" w:rsidRPr="00D61595" w:rsidRDefault="00D61595" w:rsidP="00D61595">
      <w:pPr>
        <w:numPr>
          <w:ilvl w:val="0"/>
          <w:numId w:val="5"/>
        </w:numPr>
        <w:tabs>
          <w:tab w:val="left" w:pos="1134"/>
        </w:tabs>
        <w:ind w:left="1134" w:hanging="283"/>
        <w:rPr>
          <w:sz w:val="24"/>
          <w:szCs w:val="24"/>
          <w:lang w:val="sv-SE"/>
        </w:rPr>
      </w:pPr>
      <w:r w:rsidRPr="00D61595">
        <w:rPr>
          <w:sz w:val="24"/>
          <w:szCs w:val="24"/>
          <w:lang w:val="sv-SE"/>
        </w:rPr>
        <w:t>bronkiektase eller lungeblødning i anamnesen.</w:t>
      </w:r>
    </w:p>
    <w:p w:rsidR="00D61595" w:rsidRPr="00D61595" w:rsidRDefault="00D61595" w:rsidP="00D61595">
      <w:pPr>
        <w:tabs>
          <w:tab w:val="left" w:pos="1134"/>
        </w:tabs>
        <w:ind w:left="851"/>
        <w:rPr>
          <w:sz w:val="24"/>
          <w:szCs w:val="24"/>
          <w:lang w:val="sv-SE"/>
        </w:rPr>
      </w:pPr>
    </w:p>
    <w:p w:rsidR="00D61595" w:rsidRDefault="00D61595" w:rsidP="00D61595">
      <w:pPr>
        <w:keepNext/>
        <w:tabs>
          <w:tab w:val="left" w:pos="1134"/>
        </w:tabs>
        <w:ind w:left="851"/>
        <w:rPr>
          <w:sz w:val="24"/>
          <w:szCs w:val="24"/>
          <w:u w:val="single"/>
        </w:rPr>
      </w:pPr>
      <w:r>
        <w:rPr>
          <w:sz w:val="24"/>
          <w:szCs w:val="24"/>
          <w:u w:val="single"/>
        </w:rPr>
        <w:t>Patienter med cancer</w:t>
      </w:r>
    </w:p>
    <w:p w:rsidR="00D61595" w:rsidRDefault="00D61595" w:rsidP="00D61595">
      <w:pPr>
        <w:keepNext/>
        <w:tabs>
          <w:tab w:val="left" w:pos="1134"/>
        </w:tabs>
        <w:ind w:left="851"/>
        <w:rPr>
          <w:sz w:val="24"/>
          <w:szCs w:val="24"/>
        </w:rPr>
      </w:pPr>
      <w:r>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rsidR="00D61595" w:rsidRDefault="00D61595" w:rsidP="00D61595">
      <w:pPr>
        <w:keepNext/>
        <w:tabs>
          <w:tab w:val="left" w:pos="1134"/>
        </w:tabs>
        <w:ind w:left="851"/>
        <w:rPr>
          <w:sz w:val="24"/>
          <w:szCs w:val="24"/>
        </w:rPr>
      </w:pPr>
      <w:r>
        <w:rPr>
          <w:sz w:val="24"/>
          <w:szCs w:val="24"/>
        </w:rPr>
        <w:t>Hos patienter med maligne neoplasmer med en høj blødningsrisiko, er anvendelsen af rivaroxaban kontraindiceret (se pkt. 4.3).</w:t>
      </w:r>
    </w:p>
    <w:p w:rsidR="00D61595" w:rsidRDefault="00D61595" w:rsidP="00D61595">
      <w:pPr>
        <w:keepNext/>
        <w:tabs>
          <w:tab w:val="left" w:pos="1134"/>
        </w:tabs>
        <w:ind w:left="851"/>
        <w:rPr>
          <w:sz w:val="24"/>
          <w:szCs w:val="24"/>
        </w:rPr>
      </w:pPr>
    </w:p>
    <w:p w:rsidR="00D61595" w:rsidRDefault="00D61595" w:rsidP="00D61595">
      <w:pPr>
        <w:keepNext/>
        <w:tabs>
          <w:tab w:val="left" w:pos="1134"/>
        </w:tabs>
        <w:ind w:left="851"/>
        <w:rPr>
          <w:sz w:val="24"/>
          <w:szCs w:val="24"/>
          <w:u w:val="single"/>
        </w:rPr>
      </w:pPr>
      <w:r>
        <w:rPr>
          <w:sz w:val="24"/>
          <w:szCs w:val="24"/>
          <w:u w:val="single"/>
        </w:rPr>
        <w:t>Patienter med kunstige hjerteklapper</w:t>
      </w:r>
    </w:p>
    <w:p w:rsidR="00D61595" w:rsidRDefault="00D61595" w:rsidP="00D61595">
      <w:pPr>
        <w:keepNext/>
        <w:tabs>
          <w:tab w:val="left" w:pos="1134"/>
        </w:tabs>
        <w:ind w:left="851"/>
        <w:rPr>
          <w:sz w:val="24"/>
          <w:szCs w:val="24"/>
          <w:u w:val="single"/>
        </w:rPr>
      </w:pPr>
      <w:r>
        <w:rPr>
          <w:sz w:val="24"/>
          <w:szCs w:val="24"/>
        </w:rPr>
        <w:t>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Rivadia giver tilstrækkelig antikoagulation for denne patientpopulation. Behandling med Rivadia frarådes for disse patienter.</w:t>
      </w:r>
    </w:p>
    <w:p w:rsidR="00D61595" w:rsidRDefault="00D61595" w:rsidP="00D61595">
      <w:pPr>
        <w:keepNext/>
        <w:tabs>
          <w:tab w:val="left" w:pos="1134"/>
        </w:tabs>
        <w:ind w:left="851"/>
        <w:rPr>
          <w:sz w:val="24"/>
          <w:szCs w:val="24"/>
          <w:u w:val="single"/>
        </w:rPr>
      </w:pPr>
    </w:p>
    <w:p w:rsidR="00D61595" w:rsidRDefault="00D61595" w:rsidP="00D61595">
      <w:pPr>
        <w:pStyle w:val="Brdtekst"/>
        <w:spacing w:before="6"/>
        <w:ind w:left="858"/>
        <w:rPr>
          <w:sz w:val="24"/>
          <w:u w:val="single"/>
          <w:lang w:val="da-DK"/>
        </w:rPr>
      </w:pPr>
      <w:r>
        <w:rPr>
          <w:sz w:val="24"/>
          <w:u w:val="single"/>
          <w:lang w:val="da-DK"/>
        </w:rPr>
        <w:t>Patienter med antifosfolipidsyndrom</w:t>
      </w:r>
    </w:p>
    <w:p w:rsidR="00D61595" w:rsidRDefault="00D61595" w:rsidP="00D61595">
      <w:pPr>
        <w:keepNext/>
        <w:tabs>
          <w:tab w:val="left" w:pos="1134"/>
        </w:tabs>
        <w:ind w:left="851"/>
        <w:rPr>
          <w:sz w:val="24"/>
          <w:szCs w:val="24"/>
          <w:u w:val="single"/>
        </w:rPr>
      </w:pPr>
      <w:r>
        <w:rPr>
          <w:sz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rsidR="00D61595" w:rsidRDefault="00D61595" w:rsidP="00D61595">
      <w:pPr>
        <w:keepNext/>
        <w:tabs>
          <w:tab w:val="left" w:pos="1134"/>
        </w:tabs>
        <w:ind w:left="851"/>
        <w:rPr>
          <w:sz w:val="24"/>
          <w:szCs w:val="24"/>
          <w:u w:val="single"/>
        </w:rPr>
      </w:pPr>
    </w:p>
    <w:p w:rsidR="00D61595" w:rsidRDefault="00D61595" w:rsidP="00D61595">
      <w:pPr>
        <w:keepNext/>
        <w:tabs>
          <w:tab w:val="left" w:pos="1134"/>
        </w:tabs>
        <w:ind w:left="851"/>
        <w:rPr>
          <w:sz w:val="24"/>
          <w:szCs w:val="24"/>
          <w:u w:val="single"/>
        </w:rPr>
      </w:pPr>
      <w:r>
        <w:rPr>
          <w:sz w:val="24"/>
          <w:szCs w:val="24"/>
          <w:u w:val="single"/>
        </w:rPr>
        <w:t>Hoftebrudskirurgi</w:t>
      </w:r>
    </w:p>
    <w:p w:rsidR="00D61595" w:rsidRDefault="00D61595" w:rsidP="00D61595">
      <w:pPr>
        <w:tabs>
          <w:tab w:val="left" w:pos="1134"/>
        </w:tabs>
        <w:ind w:left="851"/>
        <w:rPr>
          <w:sz w:val="24"/>
          <w:szCs w:val="24"/>
        </w:rPr>
      </w:pPr>
      <w:r>
        <w:rPr>
          <w:sz w:val="24"/>
          <w:szCs w:val="24"/>
        </w:rPr>
        <w:t>Rivaroxabans virkning og sikkerhed hos patienter, som har fået foretaget hoftebrudskirurgi, er ikke blevet vurderet i interventionelle kliniske studier.</w:t>
      </w:r>
    </w:p>
    <w:p w:rsidR="00D61595" w:rsidRDefault="00D61595" w:rsidP="00D61595">
      <w:pPr>
        <w:tabs>
          <w:tab w:val="left" w:pos="1134"/>
        </w:tabs>
        <w:ind w:left="851"/>
        <w:rPr>
          <w:sz w:val="24"/>
          <w:szCs w:val="24"/>
        </w:rPr>
      </w:pPr>
    </w:p>
    <w:p w:rsidR="00D61595" w:rsidRDefault="00D61595" w:rsidP="00D61595">
      <w:pPr>
        <w:tabs>
          <w:tab w:val="left" w:pos="1134"/>
        </w:tabs>
        <w:ind w:left="851"/>
        <w:rPr>
          <w:sz w:val="24"/>
          <w:szCs w:val="24"/>
          <w:u w:val="single"/>
          <w:lang w:val="fr-FR"/>
        </w:rPr>
      </w:pPr>
      <w:r>
        <w:rPr>
          <w:sz w:val="24"/>
          <w:szCs w:val="24"/>
          <w:u w:val="single"/>
          <w:lang w:val="fr-FR"/>
        </w:rPr>
        <w:t>Hæmodynamisk ustabile LE-patienter og patienter, der har behov for trombolyse eller</w:t>
      </w:r>
      <w:r>
        <w:rPr>
          <w:sz w:val="24"/>
          <w:szCs w:val="24"/>
          <w:lang w:val="fr-FR"/>
        </w:rPr>
        <w:t xml:space="preserve"> </w:t>
      </w:r>
      <w:r>
        <w:rPr>
          <w:sz w:val="24"/>
          <w:szCs w:val="24"/>
          <w:u w:val="single"/>
          <w:lang w:val="fr-FR"/>
        </w:rPr>
        <w:t xml:space="preserve">lungeembolektomi </w:t>
      </w:r>
    </w:p>
    <w:p w:rsidR="00D61595" w:rsidRDefault="00D61595" w:rsidP="00D61595">
      <w:pPr>
        <w:tabs>
          <w:tab w:val="left" w:pos="1134"/>
        </w:tabs>
        <w:ind w:left="851"/>
        <w:rPr>
          <w:sz w:val="24"/>
          <w:szCs w:val="24"/>
        </w:rPr>
      </w:pPr>
      <w:r>
        <w:rPr>
          <w:sz w:val="24"/>
          <w:szCs w:val="24"/>
          <w:lang w:val="fr-FR"/>
        </w:rPr>
        <w:t>Rivadia anbefales ikke som alternativ til ufraktioneret heparin til patienter med lungeemboli, som er hæmodynamisk ustabile, eller som kan få behov for trombolyse eller lungeembolektomi, da rivaroxaban sikkerhed og virkning ikke er klarlagt i disse kliniske situationer.</w:t>
      </w:r>
    </w:p>
    <w:p w:rsidR="00D61595" w:rsidRDefault="00D61595" w:rsidP="00D61595">
      <w:pPr>
        <w:tabs>
          <w:tab w:val="left" w:pos="1134"/>
        </w:tabs>
        <w:ind w:left="851"/>
        <w:rPr>
          <w:sz w:val="24"/>
          <w:szCs w:val="24"/>
        </w:rPr>
      </w:pPr>
    </w:p>
    <w:p w:rsidR="00D61595" w:rsidRDefault="00D61595" w:rsidP="00D61595">
      <w:pPr>
        <w:tabs>
          <w:tab w:val="left" w:pos="1134"/>
        </w:tabs>
        <w:ind w:left="851"/>
        <w:rPr>
          <w:sz w:val="24"/>
          <w:szCs w:val="24"/>
          <w:u w:val="single"/>
        </w:rPr>
      </w:pPr>
      <w:r>
        <w:rPr>
          <w:sz w:val="24"/>
          <w:szCs w:val="24"/>
          <w:u w:val="single"/>
        </w:rPr>
        <w:t>Spinal/epiduralanæstesi eller -punktur</w:t>
      </w:r>
    </w:p>
    <w:p w:rsidR="00D61595" w:rsidRDefault="00D61595" w:rsidP="00D61595">
      <w:pPr>
        <w:tabs>
          <w:tab w:val="left" w:pos="1134"/>
        </w:tabs>
        <w:ind w:left="851"/>
        <w:rPr>
          <w:sz w:val="24"/>
          <w:szCs w:val="24"/>
        </w:rPr>
      </w:pPr>
      <w:r>
        <w:rPr>
          <w:sz w:val="24"/>
          <w:szCs w:val="24"/>
        </w:rPr>
        <w:t>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w:t>
      </w:r>
    </w:p>
    <w:p w:rsidR="00D61595" w:rsidRDefault="00D61595" w:rsidP="00D61595">
      <w:pPr>
        <w:tabs>
          <w:tab w:val="left" w:pos="1134"/>
        </w:tabs>
        <w:ind w:left="851"/>
        <w:rPr>
          <w:sz w:val="24"/>
          <w:szCs w:val="24"/>
        </w:rPr>
      </w:pPr>
      <w:r>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w:t>
      </w:r>
    </w:p>
    <w:p w:rsidR="00D61595" w:rsidRDefault="00D61595" w:rsidP="00D61595">
      <w:pPr>
        <w:tabs>
          <w:tab w:val="left" w:pos="1134"/>
        </w:tabs>
        <w:ind w:left="851"/>
        <w:rPr>
          <w:sz w:val="24"/>
          <w:szCs w:val="24"/>
        </w:rPr>
      </w:pPr>
      <w:r>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at være lav (se pkt. 5.2).</w:t>
      </w:r>
    </w:p>
    <w:p w:rsidR="00D61595" w:rsidRDefault="00D61595" w:rsidP="00D61595">
      <w:pPr>
        <w:tabs>
          <w:tab w:val="left" w:pos="1134"/>
        </w:tabs>
        <w:ind w:left="851"/>
        <w:rPr>
          <w:sz w:val="24"/>
          <w:szCs w:val="24"/>
        </w:rPr>
      </w:pPr>
      <w:r>
        <w:rPr>
          <w:sz w:val="24"/>
          <w:szCs w:val="24"/>
        </w:rPr>
        <w:t>Der skal gå mindst 18 timer efter sidste administration af rivaroxaban, før et epiduralkateter fjernes. Efter fjernelse af katetret skal der gå mindst 6 timer, før den næste rivaroxabandosis administreres. Hvis traumatisk punktur forekommer, skal indtagelse af rivaroxaban udskydes i 24 timer.</w:t>
      </w:r>
    </w:p>
    <w:p w:rsidR="00D61595" w:rsidRDefault="00D61595" w:rsidP="00D61595">
      <w:pPr>
        <w:tabs>
          <w:tab w:val="left" w:pos="1134"/>
        </w:tabs>
        <w:ind w:left="851"/>
        <w:rPr>
          <w:sz w:val="24"/>
          <w:szCs w:val="24"/>
        </w:rPr>
      </w:pPr>
    </w:p>
    <w:p w:rsidR="00D61595" w:rsidRDefault="00D61595" w:rsidP="00D61595">
      <w:pPr>
        <w:tabs>
          <w:tab w:val="left" w:pos="1134"/>
        </w:tabs>
        <w:ind w:left="851"/>
        <w:rPr>
          <w:sz w:val="24"/>
          <w:szCs w:val="24"/>
          <w:u w:val="single"/>
        </w:rPr>
      </w:pPr>
      <w:r>
        <w:rPr>
          <w:sz w:val="24"/>
          <w:szCs w:val="24"/>
          <w:u w:val="single"/>
        </w:rPr>
        <w:t>Doseringsanbefalinger før og efter invasive indgreb og kirurgi ud over elektiv hofte- eller knæledsalloplastik</w:t>
      </w:r>
    </w:p>
    <w:p w:rsidR="00D61595" w:rsidRDefault="00D61595" w:rsidP="00D61595">
      <w:pPr>
        <w:tabs>
          <w:tab w:val="left" w:pos="1134"/>
        </w:tabs>
        <w:ind w:left="851"/>
        <w:rPr>
          <w:sz w:val="24"/>
          <w:szCs w:val="24"/>
        </w:rPr>
      </w:pPr>
      <w:r>
        <w:rPr>
          <w:sz w:val="24"/>
          <w:szCs w:val="24"/>
        </w:rPr>
        <w:t>Såfremt der er behov for invasive indgreb eller kirurgi, skal Rivadia 10 mg så vidt muligt seponeres mindst 24 timer før indgrebet, baseret på den behandlende læges kliniske vurdering.</w:t>
      </w:r>
    </w:p>
    <w:p w:rsidR="00D61595" w:rsidRDefault="00D61595" w:rsidP="00D61595">
      <w:pPr>
        <w:tabs>
          <w:tab w:val="left" w:pos="1134"/>
        </w:tabs>
        <w:ind w:left="851"/>
        <w:rPr>
          <w:sz w:val="24"/>
          <w:szCs w:val="24"/>
        </w:rPr>
      </w:pPr>
      <w:r>
        <w:rPr>
          <w:sz w:val="24"/>
          <w:szCs w:val="24"/>
        </w:rPr>
        <w:t>Såfremt indgrebet ikke kan udskydes, må den øgede blødningsrisiko afvejes mod behovet for hurtig intervention.</w:t>
      </w:r>
    </w:p>
    <w:p w:rsidR="00D61595" w:rsidRDefault="00D61595" w:rsidP="00D61595">
      <w:pPr>
        <w:tabs>
          <w:tab w:val="left" w:pos="1134"/>
        </w:tabs>
        <w:ind w:left="851"/>
        <w:rPr>
          <w:sz w:val="24"/>
          <w:szCs w:val="24"/>
        </w:rPr>
      </w:pPr>
      <w:r>
        <w:rPr>
          <w:sz w:val="24"/>
          <w:szCs w:val="24"/>
        </w:rPr>
        <w:t>Efter invasive indgreb eller kirurgi skal Rivadia startes op igen hurtigst muligt, forudsat patientens kliniske tilstand tillader det, og der efter af den behandlende læges vurdering er sikret tilstrækkelig hæmostase (se pkt. 5.2).</w:t>
      </w:r>
    </w:p>
    <w:p w:rsidR="00D61595" w:rsidRDefault="00D61595" w:rsidP="00D61595">
      <w:pPr>
        <w:tabs>
          <w:tab w:val="left" w:pos="1134"/>
        </w:tabs>
        <w:ind w:left="851"/>
        <w:rPr>
          <w:sz w:val="24"/>
          <w:szCs w:val="24"/>
        </w:rPr>
      </w:pPr>
    </w:p>
    <w:p w:rsidR="00D61595" w:rsidRDefault="00D61595" w:rsidP="00D61595">
      <w:pPr>
        <w:pStyle w:val="Brdtekst"/>
        <w:ind w:left="858"/>
        <w:rPr>
          <w:sz w:val="24"/>
          <w:lang w:val="da-DK"/>
        </w:rPr>
      </w:pPr>
      <w:r>
        <w:rPr>
          <w:sz w:val="24"/>
          <w:u w:val="single"/>
          <w:lang w:val="da-DK"/>
        </w:rPr>
        <w:t>Ældre population</w:t>
      </w:r>
    </w:p>
    <w:p w:rsidR="00D61595" w:rsidRDefault="00D61595" w:rsidP="00D61595">
      <w:pPr>
        <w:pStyle w:val="Brdtekst"/>
        <w:spacing w:before="6"/>
        <w:ind w:left="858"/>
        <w:rPr>
          <w:sz w:val="24"/>
          <w:lang w:val="da-DK"/>
        </w:rPr>
      </w:pPr>
      <w:r>
        <w:rPr>
          <w:sz w:val="24"/>
          <w:lang w:val="da-DK"/>
        </w:rPr>
        <w:t>Stigende alder kan øge blødningsrisikoen (se pkt. 5.2).</w:t>
      </w:r>
    </w:p>
    <w:p w:rsidR="00D61595" w:rsidRDefault="00D61595" w:rsidP="00D61595">
      <w:pPr>
        <w:pStyle w:val="Brdtekst"/>
        <w:spacing w:before="6"/>
        <w:ind w:left="858"/>
        <w:rPr>
          <w:sz w:val="24"/>
          <w:lang w:val="da-DK"/>
        </w:rPr>
      </w:pPr>
    </w:p>
    <w:p w:rsidR="00D61595" w:rsidRDefault="00D61595" w:rsidP="00D61595">
      <w:pPr>
        <w:pStyle w:val="Brdtekst"/>
        <w:spacing w:before="6"/>
        <w:ind w:left="858"/>
        <w:rPr>
          <w:sz w:val="24"/>
          <w:szCs w:val="24"/>
          <w:u w:val="single"/>
          <w:lang w:val="da-DK"/>
        </w:rPr>
      </w:pPr>
      <w:r>
        <w:rPr>
          <w:sz w:val="24"/>
          <w:szCs w:val="24"/>
          <w:u w:val="single"/>
          <w:lang w:val="da-DK"/>
        </w:rPr>
        <w:t>Dermatologiske reaktioner</w:t>
      </w:r>
    </w:p>
    <w:p w:rsidR="00D61595" w:rsidRDefault="00D61595" w:rsidP="00D61595">
      <w:pPr>
        <w:pStyle w:val="Brdtekst"/>
        <w:spacing w:before="6"/>
        <w:ind w:left="858"/>
        <w:rPr>
          <w:sz w:val="24"/>
          <w:szCs w:val="24"/>
          <w:lang w:val="da-DK"/>
        </w:rPr>
      </w:pPr>
      <w:r>
        <w:rPr>
          <w:sz w:val="24"/>
          <w:szCs w:val="24"/>
          <w:lang w:val="da-DK"/>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rsidR="00D61595" w:rsidRDefault="00D61595" w:rsidP="00D61595">
      <w:pPr>
        <w:pStyle w:val="Brdtekst"/>
        <w:ind w:left="858"/>
        <w:rPr>
          <w:sz w:val="24"/>
          <w:lang w:val="da-DK"/>
        </w:rPr>
      </w:pPr>
      <w:r>
        <w:rPr>
          <w:sz w:val="24"/>
          <w:u w:val="single"/>
          <w:lang w:val="da-DK"/>
        </w:rPr>
        <w:t>Oplysninger om hjælpestofferne</w:t>
      </w:r>
    </w:p>
    <w:p w:rsidR="00D61595" w:rsidRDefault="00D61595" w:rsidP="00D61595">
      <w:pPr>
        <w:pStyle w:val="Ingenafstand"/>
        <w:ind w:left="851"/>
        <w:rPr>
          <w:rFonts w:ascii="Times New Roman" w:hAnsi="Times New Roman" w:cs="Times New Roman"/>
          <w:sz w:val="24"/>
        </w:rPr>
      </w:pPr>
      <w:r>
        <w:rPr>
          <w:rFonts w:ascii="Times New Roman" w:hAnsi="Times New Roman" w:cs="Times New Roman"/>
          <w:sz w:val="24"/>
          <w:lang w:val="da-DK"/>
        </w:rPr>
        <w:t xml:space="preserve">Rivadia indeholder lactose. </w:t>
      </w:r>
      <w:r>
        <w:rPr>
          <w:rFonts w:ascii="Times New Roman" w:hAnsi="Times New Roman" w:cs="Times New Roman"/>
          <w:sz w:val="24"/>
        </w:rPr>
        <w:t>Bør ikke anvendes til patienter med hereditær galactoseintolerans, total lactasemangel eller glucose/galactosemalabsorption.</w:t>
      </w:r>
    </w:p>
    <w:p w:rsidR="00D61595" w:rsidRDefault="00D61595" w:rsidP="00D61595">
      <w:pPr>
        <w:pStyle w:val="Ingenafstand"/>
        <w:ind w:left="851"/>
        <w:rPr>
          <w:rFonts w:ascii="Times New Roman" w:hAnsi="Times New Roman" w:cs="Times New Roman"/>
          <w:sz w:val="24"/>
        </w:rPr>
      </w:pPr>
    </w:p>
    <w:p w:rsidR="00D61595" w:rsidRDefault="00D61595" w:rsidP="00D61595">
      <w:pPr>
        <w:pStyle w:val="Ingenafstand"/>
        <w:ind w:left="851"/>
        <w:rPr>
          <w:rFonts w:ascii="Times New Roman" w:hAnsi="Times New Roman" w:cs="Times New Roman"/>
          <w:sz w:val="24"/>
          <w:szCs w:val="24"/>
        </w:rPr>
      </w:pPr>
      <w:r>
        <w:rPr>
          <w:rFonts w:ascii="Times New Roman" w:hAnsi="Times New Roman" w:cs="Times New Roman"/>
          <w:sz w:val="24"/>
          <w:szCs w:val="24"/>
        </w:rPr>
        <w:t>Dette lægemiddel indeholder mindre end 1 mmol (23 mg) natrium pr. dosisenhed, dvs. det er i det væsentlige natriumfrit.</w:t>
      </w:r>
    </w:p>
    <w:p w:rsidR="00D61595" w:rsidRDefault="00D61595" w:rsidP="00D61595">
      <w:pPr>
        <w:tabs>
          <w:tab w:val="left" w:pos="1134"/>
        </w:tabs>
        <w:ind w:left="851"/>
        <w:rPr>
          <w:sz w:val="24"/>
          <w:szCs w:val="24"/>
        </w:rPr>
      </w:pPr>
    </w:p>
    <w:p w:rsidR="00D61595" w:rsidRDefault="00D61595" w:rsidP="00D61595">
      <w:pPr>
        <w:tabs>
          <w:tab w:val="left" w:pos="851"/>
        </w:tabs>
        <w:ind w:left="851" w:hanging="851"/>
        <w:rPr>
          <w:b/>
          <w:sz w:val="24"/>
          <w:szCs w:val="24"/>
        </w:rPr>
      </w:pPr>
      <w:r>
        <w:rPr>
          <w:b/>
          <w:sz w:val="24"/>
          <w:szCs w:val="24"/>
        </w:rPr>
        <w:t>4.5</w:t>
      </w:r>
      <w:r>
        <w:rPr>
          <w:b/>
          <w:sz w:val="24"/>
          <w:szCs w:val="24"/>
        </w:rPr>
        <w:tab/>
        <w:t>Interaktion med andre lægemidler og andre former for interaktion</w:t>
      </w:r>
    </w:p>
    <w:p w:rsidR="00D61595" w:rsidRDefault="00D61595" w:rsidP="00D61595">
      <w:pPr>
        <w:tabs>
          <w:tab w:val="left" w:pos="851"/>
        </w:tabs>
        <w:ind w:left="851"/>
        <w:rPr>
          <w:sz w:val="24"/>
          <w:szCs w:val="24"/>
        </w:rPr>
      </w:pPr>
      <w:r>
        <w:rPr>
          <w:sz w:val="24"/>
          <w:szCs w:val="24"/>
          <w:u w:val="single"/>
        </w:rPr>
        <w:t>CYP3A4- og P-gp-hæmmere</w:t>
      </w:r>
    </w:p>
    <w:p w:rsidR="00D61595" w:rsidRDefault="00D61595" w:rsidP="00D61595">
      <w:pPr>
        <w:tabs>
          <w:tab w:val="left" w:pos="851"/>
        </w:tabs>
        <w:ind w:left="851"/>
        <w:rPr>
          <w:sz w:val="24"/>
          <w:szCs w:val="24"/>
        </w:rPr>
      </w:pPr>
      <w:r>
        <w:rPr>
          <w:sz w:val="24"/>
          <w:szCs w:val="24"/>
        </w:rPr>
        <w:t>Samtidig indtagelse af rivaroxaban og ketoconazol (400 mg en gang daglig) eller ritonavir (600 mg to gange daglig) førte til en stigning på 2,6 gange/2,5 gange i det gennemsnitlige AUC for rivaroxaban og en stigning på 1,7 gange/1,6 gange i den gennemsnitlige C</w:t>
      </w:r>
      <w:r>
        <w:rPr>
          <w:sz w:val="24"/>
          <w:szCs w:val="24"/>
          <w:vertAlign w:val="subscript"/>
        </w:rPr>
        <w:t>max</w:t>
      </w:r>
      <w:r>
        <w:rPr>
          <w:sz w:val="24"/>
          <w:szCs w:val="24"/>
        </w:rPr>
        <w:t xml:space="preserve"> for rivaroxaban med en signifikant stigning i de farmakodynamiske effekter, som kan medføre øget risiko for blødning. Rivadia </w:t>
      </w:r>
      <w:proofErr w:type="gramStart"/>
      <w:r>
        <w:rPr>
          <w:sz w:val="24"/>
          <w:szCs w:val="24"/>
        </w:rPr>
        <w:t>bør  derfor</w:t>
      </w:r>
      <w:proofErr w:type="gramEnd"/>
      <w:r>
        <w:rPr>
          <w:sz w:val="24"/>
          <w:szCs w:val="24"/>
        </w:rPr>
        <w:t xml:space="preserve"> ikke anvendes til patienter, der får samtidig systemisk behandling med azolantimykotika som f.eks. ketoconazol, itraconazol, voriconazol og posaconazol eller hiv-proteasehæmmere. Disse aktive stoffer er stærke hæmmere af både CYP3A4 og P-gp (se pkt. 4.4).</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Aktive stoffer, som er stærke hæmmere af kun en af rivaroxabans udskillelsesveje, enten CYP3A4 eller P-gp, forventes kun at øge plasmakoncentrationen af rivaroxaban i mindre udstrækning. F.eks. øgede clarithromycin (500 mg to gange daglig), som betragtes som en stærk hæmmer af CYP3A4 og en moderat hæmmer af P-gp, middel-AUC for rivaroxaban med en faktor 1,5 og C</w:t>
      </w:r>
      <w:r>
        <w:rPr>
          <w:sz w:val="24"/>
          <w:szCs w:val="24"/>
          <w:vertAlign w:val="subscript"/>
        </w:rPr>
        <w:t>max</w:t>
      </w:r>
      <w:r>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Erythromycin (500 mg tre gange daglig), som hæmmer CYP3A4 og P-gp i moderat grad, medførte en stigning på 1,3 gange i det gennemsnitlige AUC og C</w:t>
      </w:r>
      <w:r>
        <w:rPr>
          <w:sz w:val="24"/>
          <w:szCs w:val="24"/>
          <w:vertAlign w:val="subscript"/>
        </w:rPr>
        <w:t>max</w:t>
      </w:r>
      <w:r>
        <w:rPr>
          <w:sz w:val="24"/>
          <w:szCs w:val="24"/>
        </w:rPr>
        <w:t xml:space="preserve"> for rivaroxaban. Interaktionen med erythromycin er sandsynligvis ikke klinisk relevant hos de fleste patienter, men kan potentielt være signifikant hos højrisikopatienter.</w:t>
      </w:r>
    </w:p>
    <w:p w:rsidR="00D61595" w:rsidRDefault="00D61595" w:rsidP="00D61595">
      <w:pPr>
        <w:tabs>
          <w:tab w:val="left" w:pos="851"/>
        </w:tabs>
        <w:ind w:left="851"/>
        <w:rPr>
          <w:sz w:val="24"/>
          <w:szCs w:val="24"/>
        </w:rPr>
      </w:pPr>
      <w:r>
        <w:rPr>
          <w:sz w:val="24"/>
          <w:szCs w:val="24"/>
        </w:rPr>
        <w:t>Hos personer med let nedsat nyrefunktion medførte erythromycin (500 mg tre gange daglig) en 1,8 gange forhøjelse i gennemsnitlig rivaroxaban-AUC og en 1,6 gange forhøjelse i C</w:t>
      </w:r>
      <w:r>
        <w:rPr>
          <w:sz w:val="24"/>
          <w:szCs w:val="24"/>
          <w:vertAlign w:val="subscript"/>
        </w:rPr>
        <w:t>max</w:t>
      </w:r>
      <w:r>
        <w:rPr>
          <w:sz w:val="24"/>
          <w:szCs w:val="24"/>
        </w:rPr>
        <w:t xml:space="preserve"> sammenlignet med personer med normal nyrefunktion. Hos personer med moderat nedsat</w:t>
      </w:r>
    </w:p>
    <w:p w:rsidR="00D61595" w:rsidRDefault="00D61595" w:rsidP="00D61595">
      <w:pPr>
        <w:tabs>
          <w:tab w:val="left" w:pos="851"/>
        </w:tabs>
        <w:ind w:left="851"/>
        <w:rPr>
          <w:sz w:val="24"/>
          <w:szCs w:val="24"/>
        </w:rPr>
      </w:pPr>
      <w:r>
        <w:rPr>
          <w:sz w:val="24"/>
          <w:szCs w:val="24"/>
        </w:rPr>
        <w:t>nyrefunktion medførte erythromycin en 2,0 gange forhøjelse i gennemsnitlig rivaroxaban-AUC og en 1,6 gange forhøjelse i C</w:t>
      </w:r>
      <w:r>
        <w:rPr>
          <w:sz w:val="24"/>
          <w:szCs w:val="24"/>
          <w:vertAlign w:val="subscript"/>
        </w:rPr>
        <w:t>max</w:t>
      </w:r>
      <w:r>
        <w:rPr>
          <w:sz w:val="24"/>
          <w:szCs w:val="24"/>
        </w:rPr>
        <w:t>, sammenlignet med personer med normal nyrefunktion. Virkningen af erythromycin og virkningen af nedsat nyrefunktion er additive (se pkt. 4.4).</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Fluconazol (400 mg en gang daglig), der anses for at være en moderat CYP3A4-hæmmer, medførte en stigning i gennemsnitlig rivaroxaban-AUC med en faktor 1,4 og en stigning i gennemsnitlig C</w:t>
      </w:r>
      <w:r>
        <w:rPr>
          <w:sz w:val="24"/>
          <w:szCs w:val="24"/>
          <w:vertAlign w:val="subscript"/>
        </w:rPr>
        <w:t>max</w:t>
      </w:r>
      <w:r>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Da der kun er begrænsede kliniske data vedrørende dronedaron, bør det ikke gives sammen med rivaroxaban.</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u w:val="single"/>
        </w:rPr>
        <w:t>Antikoagulantia</w:t>
      </w:r>
    </w:p>
    <w:p w:rsidR="00D61595" w:rsidRDefault="00D61595" w:rsidP="00D61595">
      <w:pPr>
        <w:tabs>
          <w:tab w:val="left" w:pos="851"/>
        </w:tabs>
        <w:ind w:left="851"/>
        <w:rPr>
          <w:sz w:val="24"/>
          <w:szCs w:val="24"/>
        </w:rPr>
      </w:pPr>
      <w:r>
        <w:rPr>
          <w:sz w:val="24"/>
          <w:szCs w:val="24"/>
        </w:rPr>
        <w:t xml:space="preserve">Efter kombineret indtagelse af enoxaparin (enkeltdosis på 40 mg) og rivaroxaban (enkeltdosis på 10 mg) blev der observeret en </w:t>
      </w:r>
      <w:proofErr w:type="gramStart"/>
      <w:r>
        <w:rPr>
          <w:sz w:val="24"/>
          <w:szCs w:val="24"/>
        </w:rPr>
        <w:t>additiv indvirkning</w:t>
      </w:r>
      <w:proofErr w:type="gramEnd"/>
      <w:r>
        <w:rPr>
          <w:sz w:val="24"/>
          <w:szCs w:val="24"/>
        </w:rPr>
        <w:t xml:space="preserve"> på anti-faktor Xa-aktiviteten uden yderligere indvirkning på koagulationsparametrene (PT, aPTT). Enoxaparin påvirkede ikke rivaroxabans farmakokinetik.</w:t>
      </w:r>
    </w:p>
    <w:p w:rsidR="00D61595" w:rsidRDefault="00D61595" w:rsidP="00D61595">
      <w:pPr>
        <w:tabs>
          <w:tab w:val="left" w:pos="851"/>
        </w:tabs>
        <w:ind w:left="851"/>
        <w:rPr>
          <w:sz w:val="24"/>
          <w:szCs w:val="24"/>
        </w:rPr>
      </w:pPr>
      <w:r>
        <w:rPr>
          <w:sz w:val="24"/>
          <w:szCs w:val="24"/>
        </w:rPr>
        <w:t>På grund af den øgede blødningsrisiko skal der udvises forsigtighed hos patienter, der får samtidig behandling med andre antikoagulantia (se pkt. 4.3 og 4.4).</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u w:val="single"/>
        </w:rPr>
        <w:t>NSAID'er/trombocytaggregationshæmmere</w:t>
      </w:r>
    </w:p>
    <w:p w:rsidR="00D61595" w:rsidRDefault="00D61595" w:rsidP="00D61595">
      <w:pPr>
        <w:tabs>
          <w:tab w:val="left" w:pos="851"/>
        </w:tabs>
        <w:ind w:left="851"/>
        <w:rPr>
          <w:sz w:val="24"/>
          <w:szCs w:val="24"/>
        </w:rPr>
      </w:pPr>
      <w:r>
        <w:rPr>
          <w:sz w:val="24"/>
          <w:szCs w:val="24"/>
        </w:rPr>
        <w:t>Der blev ikke observeret en klinisk relevant forlængelse af blødningstiden efter samtidig indtagelse af rivaroxaban (15 mg) og 500 mg naproxen. Hos nogle patienter kan der dog opstå en mere udtalt farmakodynamisk respons.</w:t>
      </w:r>
    </w:p>
    <w:p w:rsidR="00D61595" w:rsidRDefault="00D61595" w:rsidP="00D61595">
      <w:pPr>
        <w:tabs>
          <w:tab w:val="left" w:pos="851"/>
        </w:tabs>
        <w:ind w:left="851"/>
        <w:rPr>
          <w:sz w:val="24"/>
          <w:szCs w:val="24"/>
        </w:rPr>
      </w:pPr>
      <w:r>
        <w:rPr>
          <w:sz w:val="24"/>
          <w:szCs w:val="24"/>
        </w:rPr>
        <w:t>Der blev ikke observeret nogen klinisk signifikante farmakokinetiske eller farmakodynamiske interaktioner ved samtidig indtagelse af rivaroxaban og 500 mg acetylsalicylsyre.</w:t>
      </w:r>
    </w:p>
    <w:p w:rsidR="00D61595" w:rsidRDefault="00D61595" w:rsidP="00D61595">
      <w:pPr>
        <w:tabs>
          <w:tab w:val="left" w:pos="851"/>
        </w:tabs>
        <w:ind w:left="851"/>
        <w:rPr>
          <w:sz w:val="24"/>
          <w:szCs w:val="24"/>
        </w:rPr>
      </w:pPr>
      <w:r>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 Der skal udvises forsigtighed hos patienter, som får samtidig behandling med NSAID'er (herunder acetylsalicylsyre) og trombocytaggregationshæmmere, da disse lægemidler typisk øger blødningsrisikoen (se pkt. 4.4).</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u w:val="single"/>
        </w:rPr>
      </w:pPr>
      <w:r>
        <w:rPr>
          <w:sz w:val="24"/>
          <w:szCs w:val="24"/>
          <w:u w:val="single"/>
        </w:rPr>
        <w:t>SSRI-/SNRI-præparater</w:t>
      </w:r>
    </w:p>
    <w:p w:rsidR="00D61595" w:rsidRDefault="00D61595" w:rsidP="00D61595">
      <w:pPr>
        <w:tabs>
          <w:tab w:val="left" w:pos="851"/>
        </w:tabs>
        <w:ind w:left="851"/>
        <w:rPr>
          <w:sz w:val="24"/>
          <w:szCs w:val="24"/>
        </w:rPr>
      </w:pPr>
      <w:r>
        <w:rPr>
          <w:sz w:val="24"/>
          <w:szCs w:val="24"/>
        </w:rPr>
        <w:t>Som ved andre antikoagulantia kan der være risikofor, at patienter har øget blødningsrisiko ved samtidig brug af SSRI- og SNRI-præparater på grund af den rapporterede virkning på trombocytter for disse lægemidler. I rivaroxabans kliniske udviklingsprogram blev der observeret numerisk fleremajor eller non-major klinisk relevante blødninger i alle behandlingsgrupper, når disse præparater blev givet samtidigt.</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u w:val="single"/>
        </w:rPr>
        <w:t>Warfarin</w:t>
      </w:r>
    </w:p>
    <w:p w:rsidR="00D61595" w:rsidRDefault="00D61595" w:rsidP="00D61595">
      <w:pPr>
        <w:tabs>
          <w:tab w:val="left" w:pos="851"/>
        </w:tabs>
        <w:ind w:left="851"/>
        <w:rPr>
          <w:sz w:val="24"/>
          <w:szCs w:val="24"/>
        </w:rPr>
      </w:pPr>
      <w:r>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rsidR="00D61595" w:rsidRDefault="00D61595" w:rsidP="00D61595">
      <w:pPr>
        <w:tabs>
          <w:tab w:val="left" w:pos="851"/>
        </w:tabs>
        <w:ind w:left="851"/>
        <w:rPr>
          <w:sz w:val="24"/>
          <w:szCs w:val="24"/>
        </w:rPr>
      </w:pPr>
      <w:r>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rsidR="00D61595" w:rsidRDefault="00D61595" w:rsidP="00D61595">
      <w:pPr>
        <w:tabs>
          <w:tab w:val="left" w:pos="851"/>
        </w:tabs>
        <w:ind w:left="851"/>
        <w:rPr>
          <w:sz w:val="24"/>
          <w:szCs w:val="24"/>
        </w:rPr>
      </w:pPr>
      <w:r>
        <w:rPr>
          <w:sz w:val="24"/>
          <w:szCs w:val="24"/>
        </w:rPr>
        <w:t>Såfremt den farmakodynamiske virkning af warfarin ønskes undersøgt i skifteperioden, kan INR- måling benyttes ved rivaroxabans C</w:t>
      </w:r>
      <w:r>
        <w:rPr>
          <w:sz w:val="24"/>
          <w:szCs w:val="24"/>
          <w:vertAlign w:val="subscript"/>
        </w:rPr>
        <w:t>dal</w:t>
      </w:r>
      <w:r>
        <w:rPr>
          <w:sz w:val="24"/>
          <w:szCs w:val="24"/>
        </w:rPr>
        <w:t xml:space="preserve"> (24 timer efter seneste indtagelse af rivaroxaban), idet denne test på dette tidspunkt påvirkes minimalt af rivaroxaban. Der er ikke iagttaget nogen farmakokinetisk interaktion mellem warfarin og rivaroxaban.</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u w:val="single"/>
        </w:rPr>
        <w:t>CYP3A4-induktorer</w:t>
      </w:r>
    </w:p>
    <w:p w:rsidR="00D61595" w:rsidRDefault="00D61595" w:rsidP="00D61595">
      <w:pPr>
        <w:tabs>
          <w:tab w:val="left" w:pos="851"/>
        </w:tabs>
        <w:ind w:left="851"/>
        <w:rPr>
          <w:sz w:val="24"/>
          <w:szCs w:val="24"/>
        </w:rPr>
      </w:pPr>
      <w:r>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Pr>
          <w:i/>
          <w:sz w:val="24"/>
          <w:szCs w:val="24"/>
        </w:rPr>
        <w:t>hypericum perforatum</w:t>
      </w:r>
      <w:r>
        <w:rPr>
          <w:sz w:val="24"/>
          <w:szCs w:val="24"/>
        </w:rPr>
        <w:t>)) kan også medføre et fald i plasmakoncentrationerne af rivaroxaban. Samtidig indtagelse af stærke CYP3A4-induktorer bør derfor undgås, medmindre patienten observeres nøje for tegn og symptomer på trombose.</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u w:val="single"/>
        </w:rPr>
        <w:t>Anden samtidig behandling</w:t>
      </w:r>
    </w:p>
    <w:p w:rsidR="00D61595" w:rsidRDefault="00D61595" w:rsidP="00D61595">
      <w:pPr>
        <w:tabs>
          <w:tab w:val="left" w:pos="851"/>
        </w:tabs>
        <w:ind w:left="851"/>
        <w:rPr>
          <w:sz w:val="24"/>
          <w:szCs w:val="24"/>
        </w:rPr>
      </w:pPr>
      <w:r>
        <w:rPr>
          <w:sz w:val="24"/>
          <w:szCs w:val="24"/>
        </w:rPr>
        <w:t>Der blev ikke observeret nogen klinisk signifikante farmakokinetiske eller farmakodynamiske interaktioner, når rivaroxaban blev givet samtidigt med midazolam (substrat af CYP3A4), digoxin (substrat af P-gp), atorvastatin (substrat af CYP3A4 og P-gp) eller omeprazol (protonpumpehæmmer). Rivaroxaban hverken hæmmer eller inducerer væsentlige CYP-isoformer såsom CYP3A4.</w:t>
      </w:r>
    </w:p>
    <w:p w:rsidR="00D61595" w:rsidRDefault="00D61595" w:rsidP="00D61595">
      <w:pPr>
        <w:tabs>
          <w:tab w:val="left" w:pos="851"/>
        </w:tabs>
        <w:ind w:left="851"/>
        <w:rPr>
          <w:sz w:val="24"/>
          <w:szCs w:val="24"/>
        </w:rPr>
      </w:pPr>
      <w:r>
        <w:rPr>
          <w:sz w:val="24"/>
          <w:szCs w:val="24"/>
        </w:rPr>
        <w:t>Der er ikke observeret nogen klinisk relevant interaktion med fødevarer (se pkt. 4.2).</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u w:val="single"/>
        </w:rPr>
        <w:t>Laboratorieparametre</w:t>
      </w:r>
    </w:p>
    <w:p w:rsidR="00D61595" w:rsidRDefault="00D61595" w:rsidP="00D61595">
      <w:pPr>
        <w:tabs>
          <w:tab w:val="left" w:pos="851"/>
        </w:tabs>
        <w:ind w:left="851"/>
        <w:rPr>
          <w:sz w:val="24"/>
          <w:szCs w:val="24"/>
        </w:rPr>
      </w:pPr>
      <w:r>
        <w:rPr>
          <w:sz w:val="24"/>
          <w:szCs w:val="24"/>
        </w:rPr>
        <w:t>Koagulationsparametrene (f.eks. PT, aPTT, Heptest) påvirkes som forventet af rivaroxabans virkningsmekanisme (se pkt. 5.1).</w:t>
      </w:r>
    </w:p>
    <w:p w:rsidR="00D61595" w:rsidRDefault="00D61595" w:rsidP="00D61595">
      <w:pPr>
        <w:tabs>
          <w:tab w:val="left" w:pos="851"/>
        </w:tabs>
        <w:ind w:left="851"/>
        <w:rPr>
          <w:sz w:val="24"/>
          <w:szCs w:val="24"/>
        </w:rPr>
      </w:pPr>
    </w:p>
    <w:p w:rsidR="00D61595" w:rsidRDefault="00D61595" w:rsidP="00D61595">
      <w:pPr>
        <w:tabs>
          <w:tab w:val="left" w:pos="851"/>
        </w:tabs>
        <w:ind w:left="851" w:hanging="851"/>
        <w:rPr>
          <w:b/>
          <w:sz w:val="24"/>
          <w:szCs w:val="24"/>
        </w:rPr>
      </w:pPr>
      <w:r>
        <w:rPr>
          <w:b/>
          <w:sz w:val="24"/>
          <w:szCs w:val="24"/>
        </w:rPr>
        <w:t>4.6</w:t>
      </w:r>
      <w:r>
        <w:rPr>
          <w:b/>
          <w:sz w:val="24"/>
          <w:szCs w:val="24"/>
        </w:rPr>
        <w:tab/>
        <w:t>Fertilitet, graviditet og amning</w:t>
      </w:r>
    </w:p>
    <w:p w:rsidR="00D61595" w:rsidRDefault="00D61595" w:rsidP="00D61595">
      <w:pPr>
        <w:tabs>
          <w:tab w:val="left" w:pos="851"/>
        </w:tabs>
        <w:ind w:left="851"/>
        <w:rPr>
          <w:sz w:val="24"/>
          <w:szCs w:val="24"/>
        </w:rPr>
      </w:pPr>
      <w:r>
        <w:rPr>
          <w:sz w:val="24"/>
          <w:szCs w:val="24"/>
          <w:u w:val="single"/>
        </w:rPr>
        <w:t>Fertilitet</w:t>
      </w:r>
    </w:p>
    <w:p w:rsidR="00D61595" w:rsidRDefault="00D61595" w:rsidP="00D61595">
      <w:pPr>
        <w:tabs>
          <w:tab w:val="left" w:pos="851"/>
        </w:tabs>
        <w:ind w:left="851"/>
        <w:rPr>
          <w:sz w:val="24"/>
          <w:szCs w:val="24"/>
        </w:rPr>
      </w:pPr>
      <w:r>
        <w:rPr>
          <w:sz w:val="24"/>
          <w:szCs w:val="24"/>
        </w:rPr>
        <w:t>Der er ikke foretaget specifikke studier hos mennesker for at evaluere virkningen på fertiliteten. I et fertilitetsstudie hos han- og hunrotter sås ingen virkninger (se pkt. 5.3).</w:t>
      </w:r>
    </w:p>
    <w:p w:rsidR="00D61595" w:rsidRDefault="00D61595" w:rsidP="00D61595">
      <w:pPr>
        <w:tabs>
          <w:tab w:val="left" w:pos="851"/>
        </w:tabs>
        <w:ind w:left="851"/>
        <w:rPr>
          <w:sz w:val="24"/>
          <w:szCs w:val="24"/>
          <w:u w:val="single"/>
        </w:rPr>
      </w:pPr>
    </w:p>
    <w:p w:rsidR="00D61595" w:rsidRDefault="00D61595" w:rsidP="00D61595">
      <w:pPr>
        <w:tabs>
          <w:tab w:val="left" w:pos="851"/>
        </w:tabs>
        <w:ind w:left="851"/>
        <w:rPr>
          <w:sz w:val="24"/>
          <w:szCs w:val="24"/>
        </w:rPr>
      </w:pPr>
      <w:r>
        <w:rPr>
          <w:sz w:val="24"/>
          <w:szCs w:val="24"/>
          <w:u w:val="single"/>
        </w:rPr>
        <w:t>Graviditet</w:t>
      </w:r>
    </w:p>
    <w:p w:rsidR="00D61595" w:rsidRPr="00D61595" w:rsidRDefault="00D61595" w:rsidP="00D61595">
      <w:pPr>
        <w:tabs>
          <w:tab w:val="left" w:pos="851"/>
        </w:tabs>
        <w:ind w:left="851"/>
        <w:rPr>
          <w:sz w:val="24"/>
          <w:szCs w:val="24"/>
        </w:rPr>
      </w:pPr>
      <w:r w:rsidRPr="00D61595">
        <w:rPr>
          <w:sz w:val="24"/>
          <w:szCs w:val="24"/>
        </w:rPr>
        <w:t>Rivadias sikkerhed og virkning hos gravide kvinder er ikke klarlagt. Dyrestudier har vist reproduktiv toksicitet (se pkt. 5.3). Rivadia er kontraindiceret under graviditet på grund af den potentielle reproduktionstoksicitet, risikoen for blødning og evidens for, at rivaroxaban passerer placenta (se pkt. 4.3).</w:t>
      </w:r>
    </w:p>
    <w:p w:rsidR="00D61595" w:rsidRDefault="00D61595" w:rsidP="00D61595">
      <w:pPr>
        <w:tabs>
          <w:tab w:val="left" w:pos="851"/>
        </w:tabs>
        <w:ind w:left="851"/>
        <w:rPr>
          <w:sz w:val="24"/>
          <w:szCs w:val="24"/>
        </w:rPr>
      </w:pPr>
      <w:r>
        <w:rPr>
          <w:sz w:val="24"/>
          <w:szCs w:val="24"/>
        </w:rPr>
        <w:t>Fertile kvinder bør undgå at blive gravide under behandling med rivaroxaban.</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u w:val="single"/>
        </w:rPr>
        <w:t>Amning</w:t>
      </w:r>
    </w:p>
    <w:p w:rsidR="00D61595" w:rsidRDefault="00D61595" w:rsidP="00D61595">
      <w:pPr>
        <w:tabs>
          <w:tab w:val="left" w:pos="851"/>
        </w:tabs>
        <w:ind w:left="851"/>
        <w:rPr>
          <w:sz w:val="24"/>
          <w:szCs w:val="24"/>
        </w:rPr>
      </w:pPr>
      <w:r>
        <w:rPr>
          <w:sz w:val="24"/>
          <w:szCs w:val="24"/>
        </w:rPr>
        <w:t>Rivadias sikkerhed og virkning hos ammende kvinder er ikke klarlagt. Data fra dyrestudier indikerer, at rivaroxaban udskilles i mælk. Rivadia er derfor kontraindiceret under amning (se pkt. 4.3). Det må besluttes enten at afbryde amningen eller at afbryde/undgå behandlingen.</w:t>
      </w:r>
    </w:p>
    <w:p w:rsidR="00D61595" w:rsidRDefault="00D61595" w:rsidP="00D61595">
      <w:pPr>
        <w:tabs>
          <w:tab w:val="left" w:pos="851"/>
        </w:tabs>
        <w:rPr>
          <w:sz w:val="24"/>
          <w:szCs w:val="24"/>
        </w:rPr>
      </w:pPr>
    </w:p>
    <w:p w:rsidR="00D61595" w:rsidRDefault="00D61595" w:rsidP="00D61595">
      <w:pPr>
        <w:tabs>
          <w:tab w:val="left" w:pos="851"/>
        </w:tabs>
        <w:ind w:left="851" w:hanging="851"/>
        <w:rPr>
          <w:b/>
          <w:sz w:val="24"/>
          <w:szCs w:val="24"/>
        </w:rPr>
      </w:pPr>
      <w:r>
        <w:rPr>
          <w:b/>
          <w:sz w:val="24"/>
          <w:szCs w:val="24"/>
        </w:rPr>
        <w:t>4.7</w:t>
      </w:r>
      <w:r>
        <w:rPr>
          <w:b/>
          <w:sz w:val="24"/>
          <w:szCs w:val="24"/>
        </w:rPr>
        <w:tab/>
        <w:t>Virkninger på evnen til at føre motorkøretøj og betjene maskiner</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Rivadia påvirker i mindre grad evnen til at føre motorkøretøj eller betjene maskiner. Besvimelse (hyppighed: Ikke almindelig) og svimmelhed (hyppighed: Almindelig) er indberettet (se pkt. 4.8). Patienter, der oplever disse bivirkninger, må ikke føre motorkøretøj eller betjene maskiner.</w:t>
      </w:r>
    </w:p>
    <w:p w:rsidR="00D61595" w:rsidRDefault="00D61595" w:rsidP="00D61595">
      <w:pPr>
        <w:tabs>
          <w:tab w:val="left" w:pos="851"/>
        </w:tabs>
        <w:ind w:left="851"/>
        <w:rPr>
          <w:sz w:val="24"/>
          <w:szCs w:val="24"/>
        </w:rPr>
      </w:pPr>
    </w:p>
    <w:p w:rsidR="00D61595" w:rsidRDefault="00D61595" w:rsidP="00D61595">
      <w:pPr>
        <w:tabs>
          <w:tab w:val="left" w:pos="851"/>
        </w:tabs>
        <w:ind w:left="851" w:hanging="851"/>
        <w:rPr>
          <w:b/>
          <w:sz w:val="24"/>
          <w:szCs w:val="24"/>
        </w:rPr>
      </w:pPr>
      <w:r>
        <w:rPr>
          <w:b/>
          <w:sz w:val="24"/>
          <w:szCs w:val="24"/>
        </w:rPr>
        <w:t>4.8</w:t>
      </w:r>
      <w:r>
        <w:rPr>
          <w:b/>
          <w:sz w:val="24"/>
          <w:szCs w:val="24"/>
        </w:rPr>
        <w:tab/>
        <w:t>Bivirkninger</w:t>
      </w:r>
    </w:p>
    <w:p w:rsidR="00D61595" w:rsidRDefault="00D61595" w:rsidP="00D61595">
      <w:pPr>
        <w:pStyle w:val="Brdtekst"/>
        <w:ind w:left="858" w:right="1171"/>
        <w:rPr>
          <w:sz w:val="24"/>
          <w:szCs w:val="24"/>
          <w:u w:val="single"/>
          <w:lang w:val="da-DK"/>
        </w:rPr>
      </w:pPr>
    </w:p>
    <w:p w:rsidR="00D61595" w:rsidRDefault="00D61595" w:rsidP="00D61595">
      <w:pPr>
        <w:pStyle w:val="Brdtekst"/>
        <w:ind w:left="858" w:right="1171"/>
        <w:rPr>
          <w:sz w:val="24"/>
          <w:szCs w:val="24"/>
          <w:lang w:val="da-DK"/>
        </w:rPr>
      </w:pPr>
      <w:r>
        <w:rPr>
          <w:sz w:val="24"/>
          <w:szCs w:val="24"/>
          <w:u w:val="single"/>
          <w:lang w:val="da-DK"/>
        </w:rPr>
        <w:t>Sammendrag af sikkerhedsprofilen</w:t>
      </w:r>
    </w:p>
    <w:p w:rsidR="00D61595" w:rsidRDefault="00D61595" w:rsidP="00D61595">
      <w:pPr>
        <w:pStyle w:val="Brdtekst"/>
        <w:spacing w:before="6" w:line="242" w:lineRule="auto"/>
        <w:ind w:left="858" w:right="1171"/>
        <w:rPr>
          <w:sz w:val="24"/>
          <w:szCs w:val="24"/>
          <w:lang w:val="da-DK"/>
        </w:rPr>
      </w:pPr>
      <w:r>
        <w:rPr>
          <w:sz w:val="24"/>
          <w:szCs w:val="24"/>
          <w:lang w:val="da-DK"/>
        </w:rPr>
        <w:t>Sikkerheden af rivaroxaban er blevet undersøgt i 13 pivotale fase III-studier (se tabel 1).</w:t>
      </w:r>
    </w:p>
    <w:p w:rsidR="00D61595" w:rsidRDefault="00D61595" w:rsidP="00D61595">
      <w:pPr>
        <w:pStyle w:val="Brdtekst"/>
        <w:spacing w:before="6" w:line="242" w:lineRule="auto"/>
        <w:ind w:left="858" w:right="1171"/>
        <w:rPr>
          <w:sz w:val="24"/>
          <w:szCs w:val="24"/>
          <w:lang w:val="da-DK"/>
        </w:rPr>
      </w:pPr>
    </w:p>
    <w:p w:rsidR="00D61595" w:rsidRDefault="00D61595" w:rsidP="00D61595">
      <w:pPr>
        <w:pStyle w:val="Brdtekst"/>
        <w:spacing w:before="6" w:line="242" w:lineRule="auto"/>
        <w:ind w:left="858" w:right="1171"/>
        <w:rPr>
          <w:sz w:val="24"/>
          <w:szCs w:val="24"/>
          <w:lang w:val="da-DK"/>
        </w:rPr>
      </w:pPr>
      <w:r>
        <w:rPr>
          <w:sz w:val="24"/>
          <w:szCs w:val="24"/>
          <w:lang w:val="da-DK"/>
        </w:rPr>
        <w:t>Samlet blev 69.608 voksne patienter i 19 fase III-studier, og 488 pædiatriske patienter i to fase II- studier og to fase III-studier eksponeret for rivaroxaban.</w:t>
      </w:r>
    </w:p>
    <w:p w:rsidR="00D61595" w:rsidRDefault="00D61595" w:rsidP="00D61595">
      <w:pPr>
        <w:pStyle w:val="Brdtekst"/>
        <w:spacing w:before="2"/>
        <w:ind w:right="1171"/>
        <w:rPr>
          <w:sz w:val="24"/>
          <w:szCs w:val="24"/>
          <w:lang w:val="da-DK"/>
        </w:rPr>
      </w:pPr>
    </w:p>
    <w:p w:rsidR="00D61595" w:rsidRDefault="00D61595" w:rsidP="00D61595">
      <w:pPr>
        <w:pStyle w:val="Overskrift2"/>
        <w:spacing w:before="0" w:line="242" w:lineRule="auto"/>
        <w:ind w:left="858" w:right="1171"/>
        <w:rPr>
          <w:sz w:val="24"/>
          <w:szCs w:val="24"/>
          <w:lang w:val="da-DK"/>
        </w:rPr>
      </w:pPr>
      <w:r>
        <w:rPr>
          <w:sz w:val="24"/>
          <w:szCs w:val="24"/>
          <w:lang w:val="da-DK"/>
        </w:rPr>
        <w:t>Tabel 1: Antal undersøgte patienter, total daglig dosis og maksimal behandlingsvarighed i fase III-studier hos voksne og pædiatriske patienter</w:t>
      </w:r>
    </w:p>
    <w:tbl>
      <w:tblPr>
        <w:tblW w:w="9285"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1200"/>
        <w:gridCol w:w="2159"/>
        <w:gridCol w:w="2099"/>
      </w:tblGrid>
      <w:tr w:rsidR="00D61595" w:rsidTr="00D61595">
        <w:trPr>
          <w:trHeight w:val="517"/>
        </w:trPr>
        <w:tc>
          <w:tcPr>
            <w:tcW w:w="3828" w:type="dxa"/>
            <w:tcBorders>
              <w:top w:val="single" w:sz="4" w:space="0" w:color="000000"/>
              <w:left w:val="single" w:sz="4" w:space="0" w:color="000000"/>
              <w:bottom w:val="nil"/>
              <w:right w:val="single" w:sz="4" w:space="0" w:color="000000"/>
            </w:tcBorders>
            <w:hideMark/>
          </w:tcPr>
          <w:p w:rsidR="00D61595" w:rsidRDefault="00D61595">
            <w:pPr>
              <w:pStyle w:val="TableParagraph"/>
              <w:spacing w:before="5"/>
              <w:rPr>
                <w:b/>
              </w:rPr>
            </w:pPr>
            <w:r>
              <w:rPr>
                <w:b/>
              </w:rPr>
              <w:t>Indikation</w:t>
            </w:r>
          </w:p>
        </w:tc>
        <w:tc>
          <w:tcPr>
            <w:tcW w:w="1200" w:type="dxa"/>
            <w:tcBorders>
              <w:top w:val="single" w:sz="4" w:space="0" w:color="000000"/>
              <w:left w:val="single" w:sz="4" w:space="0" w:color="000000"/>
              <w:bottom w:val="nil"/>
              <w:right w:val="single" w:sz="4" w:space="0" w:color="000000"/>
            </w:tcBorders>
            <w:hideMark/>
          </w:tcPr>
          <w:p w:rsidR="00D61595" w:rsidRDefault="00D61595">
            <w:pPr>
              <w:pStyle w:val="TableParagraph"/>
              <w:spacing w:before="3" w:line="260" w:lineRule="exact"/>
              <w:ind w:right="97"/>
              <w:rPr>
                <w:b/>
              </w:rPr>
            </w:pPr>
            <w:r>
              <w:rPr>
                <w:b/>
              </w:rPr>
              <w:t xml:space="preserve">Antal </w:t>
            </w:r>
          </w:p>
        </w:tc>
        <w:tc>
          <w:tcPr>
            <w:tcW w:w="2160" w:type="dxa"/>
            <w:tcBorders>
              <w:top w:val="single" w:sz="4" w:space="0" w:color="000000"/>
              <w:left w:val="single" w:sz="4" w:space="0" w:color="000000"/>
              <w:bottom w:val="nil"/>
              <w:right w:val="single" w:sz="4" w:space="0" w:color="000000"/>
            </w:tcBorders>
            <w:hideMark/>
          </w:tcPr>
          <w:p w:rsidR="00D61595" w:rsidRDefault="00D61595">
            <w:pPr>
              <w:pStyle w:val="TableParagraph"/>
              <w:spacing w:before="5"/>
              <w:rPr>
                <w:b/>
              </w:rPr>
            </w:pPr>
            <w:r>
              <w:rPr>
                <w:b/>
              </w:rPr>
              <w:t>Total daglig</w:t>
            </w:r>
          </w:p>
        </w:tc>
        <w:tc>
          <w:tcPr>
            <w:tcW w:w="2100" w:type="dxa"/>
            <w:tcBorders>
              <w:top w:val="single" w:sz="4" w:space="0" w:color="000000"/>
              <w:left w:val="single" w:sz="4" w:space="0" w:color="000000"/>
              <w:bottom w:val="nil"/>
              <w:right w:val="single" w:sz="4" w:space="0" w:color="000000"/>
            </w:tcBorders>
            <w:hideMark/>
          </w:tcPr>
          <w:p w:rsidR="00D61595" w:rsidRDefault="00D61595">
            <w:pPr>
              <w:pStyle w:val="TableParagraph"/>
              <w:spacing w:before="3" w:line="260" w:lineRule="exact"/>
              <w:ind w:right="135"/>
              <w:rPr>
                <w:b/>
              </w:rPr>
            </w:pPr>
            <w:r>
              <w:rPr>
                <w:b/>
              </w:rPr>
              <w:t xml:space="preserve">Maksimal </w:t>
            </w:r>
          </w:p>
        </w:tc>
      </w:tr>
      <w:tr w:rsidR="00D61595" w:rsidTr="00D61595">
        <w:trPr>
          <w:trHeight w:val="517"/>
        </w:trPr>
        <w:tc>
          <w:tcPr>
            <w:tcW w:w="3828" w:type="dxa"/>
            <w:tcBorders>
              <w:top w:val="nil"/>
              <w:left w:val="single" w:sz="4" w:space="0" w:color="000000"/>
              <w:bottom w:val="single" w:sz="4" w:space="0" w:color="000000"/>
              <w:right w:val="single" w:sz="4" w:space="0" w:color="000000"/>
            </w:tcBorders>
          </w:tcPr>
          <w:p w:rsidR="00D61595" w:rsidRDefault="00D61595">
            <w:pPr>
              <w:pStyle w:val="TableParagraph"/>
              <w:spacing w:before="5"/>
              <w:rPr>
                <w:b/>
              </w:rPr>
            </w:pPr>
          </w:p>
        </w:tc>
        <w:tc>
          <w:tcPr>
            <w:tcW w:w="1200" w:type="dxa"/>
            <w:tcBorders>
              <w:top w:val="nil"/>
              <w:left w:val="single" w:sz="4" w:space="0" w:color="000000"/>
              <w:bottom w:val="single" w:sz="4" w:space="0" w:color="000000"/>
              <w:right w:val="single" w:sz="4" w:space="0" w:color="000000"/>
            </w:tcBorders>
            <w:hideMark/>
          </w:tcPr>
          <w:p w:rsidR="00D61595" w:rsidRDefault="00D61595">
            <w:pPr>
              <w:pStyle w:val="TableParagraph"/>
              <w:spacing w:before="3" w:line="260" w:lineRule="exact"/>
              <w:ind w:right="97"/>
              <w:rPr>
                <w:b/>
              </w:rPr>
            </w:pPr>
            <w:r>
              <w:rPr>
                <w:b/>
              </w:rPr>
              <w:t>patienter*</w:t>
            </w:r>
          </w:p>
        </w:tc>
        <w:tc>
          <w:tcPr>
            <w:tcW w:w="2160" w:type="dxa"/>
            <w:tcBorders>
              <w:top w:val="nil"/>
              <w:left w:val="single" w:sz="4" w:space="0" w:color="000000"/>
              <w:bottom w:val="single" w:sz="4" w:space="0" w:color="000000"/>
              <w:right w:val="single" w:sz="4" w:space="0" w:color="000000"/>
            </w:tcBorders>
            <w:hideMark/>
          </w:tcPr>
          <w:p w:rsidR="00D61595" w:rsidRDefault="00D61595">
            <w:pPr>
              <w:pStyle w:val="TableParagraph"/>
              <w:spacing w:before="5"/>
              <w:rPr>
                <w:b/>
              </w:rPr>
            </w:pPr>
            <w:r>
              <w:rPr>
                <w:b/>
              </w:rPr>
              <w:t xml:space="preserve"> dosis</w:t>
            </w:r>
          </w:p>
        </w:tc>
        <w:tc>
          <w:tcPr>
            <w:tcW w:w="2100" w:type="dxa"/>
            <w:tcBorders>
              <w:top w:val="nil"/>
              <w:left w:val="single" w:sz="4" w:space="0" w:color="000000"/>
              <w:bottom w:val="single" w:sz="4" w:space="0" w:color="000000"/>
              <w:right w:val="single" w:sz="4" w:space="0" w:color="000000"/>
            </w:tcBorders>
            <w:hideMark/>
          </w:tcPr>
          <w:p w:rsidR="00D61595" w:rsidRDefault="00D61595">
            <w:pPr>
              <w:pStyle w:val="TableParagraph"/>
              <w:spacing w:before="3" w:line="260" w:lineRule="exact"/>
              <w:ind w:right="135"/>
              <w:rPr>
                <w:b/>
              </w:rPr>
            </w:pPr>
            <w:r>
              <w:rPr>
                <w:b/>
              </w:rPr>
              <w:t>varighed af behandlingen</w:t>
            </w:r>
          </w:p>
        </w:tc>
      </w:tr>
      <w:tr w:rsidR="00D61595" w:rsidTr="00D61595">
        <w:trPr>
          <w:trHeight w:val="1031"/>
        </w:trPr>
        <w:tc>
          <w:tcPr>
            <w:tcW w:w="3828" w:type="dxa"/>
            <w:tcBorders>
              <w:top w:val="single" w:sz="4" w:space="0" w:color="000000"/>
              <w:left w:val="single" w:sz="4" w:space="0" w:color="000000"/>
              <w:bottom w:val="nil"/>
              <w:right w:val="single" w:sz="4" w:space="0" w:color="000000"/>
            </w:tcBorders>
            <w:hideMark/>
          </w:tcPr>
          <w:p w:rsidR="00D61595" w:rsidRDefault="00D61595">
            <w:pPr>
              <w:pStyle w:val="TableParagraph"/>
              <w:spacing w:line="242" w:lineRule="auto"/>
              <w:ind w:right="410"/>
              <w:rPr>
                <w:lang w:val="da-DK"/>
              </w:rPr>
            </w:pPr>
            <w:r>
              <w:rPr>
                <w:lang w:val="da-DK"/>
              </w:rPr>
              <w:t xml:space="preserve">Forebyggelse af venøs tromboemboli </w:t>
            </w:r>
          </w:p>
        </w:tc>
        <w:tc>
          <w:tcPr>
            <w:tcW w:w="1200" w:type="dxa"/>
            <w:tcBorders>
              <w:top w:val="single" w:sz="4" w:space="0" w:color="000000"/>
              <w:left w:val="single" w:sz="4" w:space="0" w:color="000000"/>
              <w:bottom w:val="nil"/>
              <w:right w:val="single" w:sz="4" w:space="0" w:color="000000"/>
            </w:tcBorders>
            <w:hideMark/>
          </w:tcPr>
          <w:p w:rsidR="00D61595" w:rsidRDefault="00D61595">
            <w:pPr>
              <w:pStyle w:val="TableParagraph"/>
              <w:spacing w:line="249" w:lineRule="exact"/>
            </w:pPr>
            <w:r>
              <w:t>6.097</w:t>
            </w:r>
          </w:p>
        </w:tc>
        <w:tc>
          <w:tcPr>
            <w:tcW w:w="2160" w:type="dxa"/>
            <w:tcBorders>
              <w:top w:val="single" w:sz="4" w:space="0" w:color="000000"/>
              <w:left w:val="single" w:sz="4" w:space="0" w:color="000000"/>
              <w:bottom w:val="nil"/>
              <w:right w:val="single" w:sz="4" w:space="0" w:color="000000"/>
            </w:tcBorders>
            <w:hideMark/>
          </w:tcPr>
          <w:p w:rsidR="00D61595" w:rsidRDefault="00D61595">
            <w:pPr>
              <w:pStyle w:val="TableParagraph"/>
              <w:spacing w:line="249" w:lineRule="exact"/>
            </w:pPr>
            <w:r>
              <w:t>10 mg</w:t>
            </w:r>
          </w:p>
        </w:tc>
        <w:tc>
          <w:tcPr>
            <w:tcW w:w="2100" w:type="dxa"/>
            <w:tcBorders>
              <w:top w:val="single" w:sz="4" w:space="0" w:color="000000"/>
              <w:left w:val="single" w:sz="4" w:space="0" w:color="000000"/>
              <w:bottom w:val="nil"/>
              <w:right w:val="single" w:sz="4" w:space="0" w:color="000000"/>
            </w:tcBorders>
            <w:hideMark/>
          </w:tcPr>
          <w:p w:rsidR="00D61595" w:rsidRDefault="00D61595">
            <w:pPr>
              <w:pStyle w:val="TableParagraph"/>
              <w:spacing w:line="249" w:lineRule="exact"/>
            </w:pPr>
            <w:r>
              <w:t>39 dage</w:t>
            </w:r>
          </w:p>
        </w:tc>
      </w:tr>
      <w:tr w:rsidR="00D61595" w:rsidTr="00D61595">
        <w:trPr>
          <w:trHeight w:val="1031"/>
        </w:trPr>
        <w:tc>
          <w:tcPr>
            <w:tcW w:w="3828" w:type="dxa"/>
            <w:tcBorders>
              <w:top w:val="nil"/>
              <w:left w:val="single" w:sz="4" w:space="0" w:color="000000"/>
              <w:bottom w:val="single" w:sz="4" w:space="0" w:color="000000"/>
              <w:right w:val="single" w:sz="4" w:space="0" w:color="000000"/>
            </w:tcBorders>
            <w:hideMark/>
          </w:tcPr>
          <w:p w:rsidR="00D61595" w:rsidRDefault="00D61595">
            <w:pPr>
              <w:pStyle w:val="TableParagraph"/>
              <w:spacing w:line="242" w:lineRule="auto"/>
              <w:ind w:right="410"/>
              <w:rPr>
                <w:lang w:val="da-DK"/>
              </w:rPr>
            </w:pPr>
            <w:r>
              <w:rPr>
                <w:lang w:val="da-DK"/>
              </w:rPr>
              <w:t>(VTE) hos voksne patienter, der</w:t>
            </w:r>
          </w:p>
          <w:p w:rsidR="00D61595" w:rsidRDefault="00D61595">
            <w:pPr>
              <w:pStyle w:val="TableParagraph"/>
              <w:spacing w:line="242" w:lineRule="auto"/>
              <w:ind w:right="410"/>
              <w:rPr>
                <w:lang w:val="da-DK"/>
              </w:rPr>
            </w:pPr>
            <w:r>
              <w:rPr>
                <w:lang w:val="da-DK"/>
              </w:rPr>
              <w:t>gennemgår planlagt hofteleds- eller knæledsalloplastik</w:t>
            </w:r>
          </w:p>
        </w:tc>
        <w:tc>
          <w:tcPr>
            <w:tcW w:w="1200" w:type="dxa"/>
            <w:tcBorders>
              <w:top w:val="nil"/>
              <w:left w:val="single" w:sz="4" w:space="0" w:color="000000"/>
              <w:bottom w:val="single" w:sz="4" w:space="0" w:color="000000"/>
              <w:right w:val="single" w:sz="4" w:space="0" w:color="000000"/>
            </w:tcBorders>
          </w:tcPr>
          <w:p w:rsidR="00D61595" w:rsidRDefault="00D61595">
            <w:pPr>
              <w:pStyle w:val="TableParagraph"/>
              <w:spacing w:line="249" w:lineRule="exact"/>
              <w:rPr>
                <w:lang w:val="da-DK"/>
              </w:rPr>
            </w:pPr>
          </w:p>
        </w:tc>
        <w:tc>
          <w:tcPr>
            <w:tcW w:w="2160" w:type="dxa"/>
            <w:tcBorders>
              <w:top w:val="nil"/>
              <w:left w:val="single" w:sz="4" w:space="0" w:color="000000"/>
              <w:bottom w:val="single" w:sz="4" w:space="0" w:color="000000"/>
              <w:right w:val="single" w:sz="4" w:space="0" w:color="000000"/>
            </w:tcBorders>
          </w:tcPr>
          <w:p w:rsidR="00D61595" w:rsidRDefault="00D61595">
            <w:pPr>
              <w:pStyle w:val="TableParagraph"/>
              <w:spacing w:line="249" w:lineRule="exact"/>
              <w:rPr>
                <w:lang w:val="da-DK"/>
              </w:rPr>
            </w:pPr>
          </w:p>
        </w:tc>
        <w:tc>
          <w:tcPr>
            <w:tcW w:w="2100" w:type="dxa"/>
            <w:tcBorders>
              <w:top w:val="nil"/>
              <w:left w:val="single" w:sz="4" w:space="0" w:color="000000"/>
              <w:bottom w:val="single" w:sz="4" w:space="0" w:color="000000"/>
              <w:right w:val="single" w:sz="4" w:space="0" w:color="000000"/>
            </w:tcBorders>
          </w:tcPr>
          <w:p w:rsidR="00D61595" w:rsidRDefault="00D61595">
            <w:pPr>
              <w:pStyle w:val="TableParagraph"/>
              <w:spacing w:line="249" w:lineRule="exact"/>
              <w:rPr>
                <w:lang w:val="da-DK"/>
              </w:rPr>
            </w:pPr>
          </w:p>
        </w:tc>
      </w:tr>
      <w:tr w:rsidR="00D61595" w:rsidTr="00D61595">
        <w:trPr>
          <w:trHeight w:val="772"/>
        </w:trPr>
        <w:tc>
          <w:tcPr>
            <w:tcW w:w="3828" w:type="dxa"/>
            <w:tcBorders>
              <w:top w:val="single" w:sz="4" w:space="0" w:color="000000"/>
              <w:left w:val="single" w:sz="4" w:space="0" w:color="000000"/>
              <w:bottom w:val="nil"/>
              <w:right w:val="single" w:sz="4" w:space="0" w:color="000000"/>
            </w:tcBorders>
            <w:hideMark/>
          </w:tcPr>
          <w:p w:rsidR="00D61595" w:rsidRDefault="00D61595">
            <w:pPr>
              <w:pStyle w:val="TableParagraph"/>
              <w:spacing w:line="242" w:lineRule="auto"/>
              <w:ind w:right="311"/>
              <w:rPr>
                <w:lang w:val="da-DK"/>
              </w:rPr>
            </w:pPr>
            <w:r>
              <w:rPr>
                <w:lang w:val="da-DK"/>
              </w:rPr>
              <w:t>Forebyggelse af VTE hos medicinsk syge</w:t>
            </w:r>
          </w:p>
          <w:p w:rsidR="00D61595" w:rsidRDefault="00D61595">
            <w:pPr>
              <w:pStyle w:val="TableParagraph"/>
              <w:spacing w:line="242" w:lineRule="auto"/>
              <w:ind w:right="311"/>
            </w:pPr>
            <w:r>
              <w:t>patienter</w:t>
            </w:r>
          </w:p>
        </w:tc>
        <w:tc>
          <w:tcPr>
            <w:tcW w:w="1200" w:type="dxa"/>
            <w:tcBorders>
              <w:top w:val="single" w:sz="4" w:space="0" w:color="000000"/>
              <w:left w:val="single" w:sz="4" w:space="0" w:color="000000"/>
              <w:bottom w:val="nil"/>
              <w:right w:val="single" w:sz="4" w:space="0" w:color="000000"/>
            </w:tcBorders>
            <w:hideMark/>
          </w:tcPr>
          <w:p w:rsidR="00D61595" w:rsidRDefault="00D61595">
            <w:pPr>
              <w:pStyle w:val="TableParagraph"/>
              <w:spacing w:line="249" w:lineRule="exact"/>
            </w:pPr>
            <w:r>
              <w:t>3.997</w:t>
            </w:r>
          </w:p>
        </w:tc>
        <w:tc>
          <w:tcPr>
            <w:tcW w:w="2160" w:type="dxa"/>
            <w:tcBorders>
              <w:top w:val="single" w:sz="4" w:space="0" w:color="000000"/>
              <w:left w:val="single" w:sz="4" w:space="0" w:color="000000"/>
              <w:bottom w:val="nil"/>
              <w:right w:val="single" w:sz="4" w:space="0" w:color="000000"/>
            </w:tcBorders>
            <w:hideMark/>
          </w:tcPr>
          <w:p w:rsidR="00D61595" w:rsidRDefault="00D61595">
            <w:pPr>
              <w:pStyle w:val="TableParagraph"/>
              <w:spacing w:line="249" w:lineRule="exact"/>
            </w:pPr>
            <w:r>
              <w:t>10 mg</w:t>
            </w:r>
          </w:p>
        </w:tc>
        <w:tc>
          <w:tcPr>
            <w:tcW w:w="2100" w:type="dxa"/>
            <w:tcBorders>
              <w:top w:val="single" w:sz="4" w:space="0" w:color="000000"/>
              <w:left w:val="single" w:sz="4" w:space="0" w:color="000000"/>
              <w:bottom w:val="nil"/>
              <w:right w:val="single" w:sz="4" w:space="0" w:color="000000"/>
            </w:tcBorders>
            <w:hideMark/>
          </w:tcPr>
          <w:p w:rsidR="00D61595" w:rsidRDefault="00D61595">
            <w:pPr>
              <w:pStyle w:val="TableParagraph"/>
              <w:spacing w:line="249" w:lineRule="exact"/>
            </w:pPr>
            <w:r>
              <w:t>39 dage</w:t>
            </w:r>
          </w:p>
        </w:tc>
      </w:tr>
      <w:tr w:rsidR="00D61595" w:rsidTr="00D61595">
        <w:trPr>
          <w:trHeight w:val="772"/>
        </w:trPr>
        <w:tc>
          <w:tcPr>
            <w:tcW w:w="3828" w:type="dxa"/>
            <w:tcBorders>
              <w:top w:val="nil"/>
              <w:left w:val="single" w:sz="4" w:space="0" w:color="000000"/>
              <w:bottom w:val="single" w:sz="4" w:space="0" w:color="000000"/>
              <w:right w:val="single" w:sz="4" w:space="0" w:color="000000"/>
            </w:tcBorders>
          </w:tcPr>
          <w:p w:rsidR="00D61595" w:rsidRDefault="00D61595">
            <w:pPr>
              <w:pStyle w:val="TableParagraph"/>
              <w:spacing w:line="242" w:lineRule="auto"/>
              <w:ind w:right="311"/>
              <w:rPr>
                <w:lang w:val="da-DK"/>
              </w:rPr>
            </w:pPr>
          </w:p>
        </w:tc>
        <w:tc>
          <w:tcPr>
            <w:tcW w:w="1200" w:type="dxa"/>
            <w:tcBorders>
              <w:top w:val="nil"/>
              <w:left w:val="single" w:sz="4" w:space="0" w:color="000000"/>
              <w:bottom w:val="single" w:sz="4" w:space="0" w:color="000000"/>
              <w:right w:val="single" w:sz="4" w:space="0" w:color="000000"/>
            </w:tcBorders>
          </w:tcPr>
          <w:p w:rsidR="00D61595" w:rsidRDefault="00D61595">
            <w:pPr>
              <w:pStyle w:val="TableParagraph"/>
              <w:spacing w:line="249" w:lineRule="exact"/>
            </w:pPr>
          </w:p>
        </w:tc>
        <w:tc>
          <w:tcPr>
            <w:tcW w:w="2160" w:type="dxa"/>
            <w:tcBorders>
              <w:top w:val="nil"/>
              <w:left w:val="single" w:sz="4" w:space="0" w:color="000000"/>
              <w:bottom w:val="single" w:sz="4" w:space="0" w:color="000000"/>
              <w:right w:val="single" w:sz="4" w:space="0" w:color="000000"/>
            </w:tcBorders>
          </w:tcPr>
          <w:p w:rsidR="00D61595" w:rsidRDefault="00D61595">
            <w:pPr>
              <w:pStyle w:val="TableParagraph"/>
              <w:spacing w:line="249" w:lineRule="exact"/>
            </w:pPr>
          </w:p>
        </w:tc>
        <w:tc>
          <w:tcPr>
            <w:tcW w:w="2100" w:type="dxa"/>
            <w:tcBorders>
              <w:top w:val="nil"/>
              <w:left w:val="single" w:sz="4" w:space="0" w:color="000000"/>
              <w:bottom w:val="single" w:sz="4" w:space="0" w:color="000000"/>
              <w:right w:val="single" w:sz="4" w:space="0" w:color="000000"/>
            </w:tcBorders>
          </w:tcPr>
          <w:p w:rsidR="00D61595" w:rsidRDefault="00D61595">
            <w:pPr>
              <w:pStyle w:val="TableParagraph"/>
              <w:spacing w:line="249" w:lineRule="exact"/>
            </w:pPr>
          </w:p>
        </w:tc>
      </w:tr>
      <w:tr w:rsidR="00D61595" w:rsidTr="00D61595">
        <w:trPr>
          <w:trHeight w:val="1554"/>
        </w:trPr>
        <w:tc>
          <w:tcPr>
            <w:tcW w:w="3828" w:type="dxa"/>
            <w:tcBorders>
              <w:top w:val="single" w:sz="4" w:space="0" w:color="000000"/>
              <w:left w:val="single" w:sz="4" w:space="0" w:color="000000"/>
              <w:bottom w:val="nil"/>
              <w:right w:val="single" w:sz="4" w:space="0" w:color="000000"/>
            </w:tcBorders>
            <w:hideMark/>
          </w:tcPr>
          <w:p w:rsidR="00D61595" w:rsidRDefault="00D61595">
            <w:pPr>
              <w:pStyle w:val="TableParagraph"/>
              <w:spacing w:before="1" w:line="242" w:lineRule="auto"/>
              <w:ind w:right="776"/>
              <w:rPr>
                <w:lang w:val="da-DK"/>
              </w:rPr>
            </w:pPr>
            <w:r>
              <w:rPr>
                <w:lang w:val="da-DK"/>
              </w:rPr>
              <w:t xml:space="preserve">Behandling af dyb venetrombose (DVT), </w:t>
            </w:r>
          </w:p>
        </w:tc>
        <w:tc>
          <w:tcPr>
            <w:tcW w:w="1200" w:type="dxa"/>
            <w:tcBorders>
              <w:top w:val="single" w:sz="4" w:space="0" w:color="000000"/>
              <w:left w:val="single" w:sz="4" w:space="0" w:color="000000"/>
              <w:bottom w:val="nil"/>
              <w:right w:val="single" w:sz="4" w:space="0" w:color="000000"/>
            </w:tcBorders>
            <w:hideMark/>
          </w:tcPr>
          <w:p w:rsidR="00D61595" w:rsidRDefault="00D61595">
            <w:pPr>
              <w:pStyle w:val="TableParagraph"/>
              <w:spacing w:before="1"/>
            </w:pPr>
            <w:r>
              <w:t>6.790</w:t>
            </w:r>
          </w:p>
        </w:tc>
        <w:tc>
          <w:tcPr>
            <w:tcW w:w="2160" w:type="dxa"/>
            <w:tcBorders>
              <w:top w:val="single" w:sz="4" w:space="0" w:color="000000"/>
              <w:left w:val="single" w:sz="4" w:space="0" w:color="000000"/>
              <w:bottom w:val="nil"/>
              <w:right w:val="single" w:sz="4" w:space="0" w:color="000000"/>
            </w:tcBorders>
          </w:tcPr>
          <w:p w:rsidR="00D61595" w:rsidRDefault="00D61595">
            <w:pPr>
              <w:pStyle w:val="TableParagraph"/>
              <w:spacing w:before="1" w:line="242" w:lineRule="auto"/>
              <w:ind w:right="312"/>
              <w:rPr>
                <w:lang w:val="da-DK"/>
              </w:rPr>
            </w:pPr>
            <w:r>
              <w:rPr>
                <w:lang w:val="da-DK"/>
              </w:rPr>
              <w:t xml:space="preserve">Dag 1-21: 30 mg </w:t>
            </w:r>
          </w:p>
          <w:p w:rsidR="00D61595" w:rsidRDefault="00D61595">
            <w:pPr>
              <w:pStyle w:val="TableParagraph"/>
              <w:spacing w:before="6" w:line="238" w:lineRule="exact"/>
              <w:rPr>
                <w:lang w:val="da-DK"/>
              </w:rPr>
            </w:pPr>
          </w:p>
        </w:tc>
        <w:tc>
          <w:tcPr>
            <w:tcW w:w="2100" w:type="dxa"/>
            <w:tcBorders>
              <w:top w:val="single" w:sz="4" w:space="0" w:color="000000"/>
              <w:left w:val="single" w:sz="4" w:space="0" w:color="000000"/>
              <w:bottom w:val="nil"/>
              <w:right w:val="single" w:sz="4" w:space="0" w:color="000000"/>
            </w:tcBorders>
            <w:hideMark/>
          </w:tcPr>
          <w:p w:rsidR="00D61595" w:rsidRDefault="00D61595">
            <w:pPr>
              <w:pStyle w:val="TableParagraph"/>
              <w:spacing w:before="1"/>
            </w:pPr>
            <w:r>
              <w:t>21 måneder</w:t>
            </w:r>
          </w:p>
        </w:tc>
      </w:tr>
      <w:tr w:rsidR="00D61595" w:rsidTr="00D61595">
        <w:trPr>
          <w:trHeight w:val="1554"/>
        </w:trPr>
        <w:tc>
          <w:tcPr>
            <w:tcW w:w="3828" w:type="dxa"/>
            <w:tcBorders>
              <w:top w:val="nil"/>
              <w:left w:val="single" w:sz="4" w:space="0" w:color="000000"/>
              <w:bottom w:val="single" w:sz="4" w:space="0" w:color="000000"/>
              <w:right w:val="single" w:sz="4" w:space="0" w:color="000000"/>
            </w:tcBorders>
            <w:hideMark/>
          </w:tcPr>
          <w:p w:rsidR="00D61595" w:rsidRDefault="00D61595">
            <w:pPr>
              <w:pStyle w:val="TableParagraph"/>
              <w:spacing w:before="1" w:line="242" w:lineRule="auto"/>
              <w:ind w:right="776"/>
              <w:rPr>
                <w:lang w:val="da-DK"/>
              </w:rPr>
            </w:pPr>
            <w:r>
              <w:rPr>
                <w:lang w:val="da-DK"/>
              </w:rPr>
              <w:t>lungeemboli (LE) og forebyggelse af recidiv</w:t>
            </w:r>
          </w:p>
        </w:tc>
        <w:tc>
          <w:tcPr>
            <w:tcW w:w="1200" w:type="dxa"/>
            <w:tcBorders>
              <w:top w:val="nil"/>
              <w:left w:val="single" w:sz="4" w:space="0" w:color="000000"/>
              <w:bottom w:val="single" w:sz="4" w:space="0" w:color="000000"/>
              <w:right w:val="single" w:sz="4" w:space="0" w:color="000000"/>
            </w:tcBorders>
          </w:tcPr>
          <w:p w:rsidR="00D61595" w:rsidRDefault="00D61595">
            <w:pPr>
              <w:pStyle w:val="TableParagraph"/>
              <w:spacing w:before="1"/>
              <w:rPr>
                <w:lang w:val="da-DK"/>
              </w:rPr>
            </w:pPr>
          </w:p>
        </w:tc>
        <w:tc>
          <w:tcPr>
            <w:tcW w:w="2160" w:type="dxa"/>
            <w:tcBorders>
              <w:top w:val="nil"/>
              <w:left w:val="single" w:sz="4" w:space="0" w:color="000000"/>
              <w:bottom w:val="single" w:sz="4" w:space="0" w:color="000000"/>
              <w:right w:val="single" w:sz="4" w:space="0" w:color="000000"/>
            </w:tcBorders>
            <w:hideMark/>
          </w:tcPr>
          <w:p w:rsidR="00D61595" w:rsidRDefault="00D61595">
            <w:pPr>
              <w:pStyle w:val="TableParagraph"/>
              <w:spacing w:before="1" w:line="242" w:lineRule="auto"/>
              <w:ind w:right="312"/>
              <w:rPr>
                <w:lang w:val="da-DK"/>
              </w:rPr>
            </w:pPr>
            <w:r>
              <w:rPr>
                <w:lang w:val="da-DK"/>
              </w:rPr>
              <w:t>Fra og med dag 22: 20 mg</w:t>
            </w:r>
          </w:p>
          <w:p w:rsidR="00D61595" w:rsidRDefault="00D61595">
            <w:pPr>
              <w:pStyle w:val="TableParagraph"/>
              <w:spacing w:before="1" w:line="242" w:lineRule="auto"/>
              <w:ind w:right="312"/>
              <w:rPr>
                <w:lang w:val="de-DE"/>
              </w:rPr>
            </w:pPr>
            <w:r>
              <w:rPr>
                <w:lang w:val="de-DE"/>
              </w:rPr>
              <w:t>Efter mindst</w:t>
            </w:r>
          </w:p>
          <w:p w:rsidR="00D61595" w:rsidRDefault="00D61595">
            <w:pPr>
              <w:pStyle w:val="TableParagraph"/>
              <w:spacing w:before="1" w:line="242" w:lineRule="auto"/>
              <w:ind w:right="312"/>
              <w:rPr>
                <w:lang w:val="de-DE"/>
              </w:rPr>
            </w:pPr>
            <w:r>
              <w:rPr>
                <w:lang w:val="de-DE"/>
              </w:rPr>
              <w:t>6 måneder: 10 mg</w:t>
            </w:r>
          </w:p>
          <w:p w:rsidR="00D61595" w:rsidRDefault="00D61595">
            <w:pPr>
              <w:pStyle w:val="TableParagraph"/>
              <w:spacing w:before="1" w:line="242" w:lineRule="auto"/>
              <w:ind w:right="312"/>
              <w:rPr>
                <w:lang w:val="da-DK"/>
              </w:rPr>
            </w:pPr>
            <w:r>
              <w:t>eller 20 mg</w:t>
            </w:r>
          </w:p>
        </w:tc>
        <w:tc>
          <w:tcPr>
            <w:tcW w:w="2100" w:type="dxa"/>
            <w:tcBorders>
              <w:top w:val="nil"/>
              <w:left w:val="single" w:sz="4" w:space="0" w:color="000000"/>
              <w:bottom w:val="single" w:sz="4" w:space="0" w:color="000000"/>
              <w:right w:val="single" w:sz="4" w:space="0" w:color="000000"/>
            </w:tcBorders>
          </w:tcPr>
          <w:p w:rsidR="00D61595" w:rsidRDefault="00D61595">
            <w:pPr>
              <w:pStyle w:val="TableParagraph"/>
              <w:spacing w:before="1"/>
              <w:rPr>
                <w:lang w:val="da-DK"/>
              </w:rPr>
            </w:pPr>
          </w:p>
        </w:tc>
      </w:tr>
      <w:tr w:rsidR="00D61595" w:rsidTr="00D61595">
        <w:trPr>
          <w:trHeight w:val="1554"/>
        </w:trPr>
        <w:tc>
          <w:tcPr>
            <w:tcW w:w="3828" w:type="dxa"/>
            <w:tcBorders>
              <w:top w:val="nil"/>
              <w:left w:val="single" w:sz="4" w:space="0" w:color="000000"/>
              <w:bottom w:val="single" w:sz="4" w:space="0" w:color="000000"/>
              <w:right w:val="single" w:sz="4" w:space="0" w:color="000000"/>
            </w:tcBorders>
            <w:hideMark/>
          </w:tcPr>
          <w:p w:rsidR="00D61595" w:rsidRDefault="00D61595">
            <w:pPr>
              <w:pStyle w:val="TableParagraph"/>
              <w:spacing w:before="1" w:line="242" w:lineRule="auto"/>
              <w:ind w:right="776"/>
              <w:rPr>
                <w:lang w:val="da-DK"/>
              </w:rPr>
            </w:pPr>
            <w:r>
              <w:rPr>
                <w:lang w:val="da-DK"/>
              </w:rPr>
              <w:t>Behandling af VTE og forebyggelse af recidiverende VTE hos spædbørn født til terminen og børn i alderen under 18 år, efter standard antikoagulerende behandling blev påbegyndt</w:t>
            </w:r>
          </w:p>
        </w:tc>
        <w:tc>
          <w:tcPr>
            <w:tcW w:w="1200" w:type="dxa"/>
            <w:tcBorders>
              <w:top w:val="nil"/>
              <w:left w:val="single" w:sz="4" w:space="0" w:color="000000"/>
              <w:bottom w:val="single" w:sz="4" w:space="0" w:color="000000"/>
              <w:right w:val="single" w:sz="4" w:space="0" w:color="000000"/>
            </w:tcBorders>
            <w:hideMark/>
          </w:tcPr>
          <w:p w:rsidR="00D61595" w:rsidRDefault="00D61595">
            <w:pPr>
              <w:pStyle w:val="TableParagraph"/>
              <w:spacing w:before="1"/>
              <w:rPr>
                <w:lang w:val="da-DK"/>
              </w:rPr>
            </w:pPr>
            <w:r>
              <w:rPr>
                <w:lang w:val="da-DK"/>
              </w:rPr>
              <w:t>329</w:t>
            </w:r>
          </w:p>
        </w:tc>
        <w:tc>
          <w:tcPr>
            <w:tcW w:w="2160" w:type="dxa"/>
            <w:tcBorders>
              <w:top w:val="nil"/>
              <w:left w:val="single" w:sz="4" w:space="0" w:color="000000"/>
              <w:bottom w:val="single" w:sz="4" w:space="0" w:color="000000"/>
              <w:right w:val="single" w:sz="4" w:space="0" w:color="000000"/>
            </w:tcBorders>
            <w:hideMark/>
          </w:tcPr>
          <w:p w:rsidR="00D61595" w:rsidRDefault="00D61595">
            <w:pPr>
              <w:pStyle w:val="TableParagraph"/>
              <w:spacing w:before="1" w:line="242" w:lineRule="auto"/>
              <w:ind w:right="312"/>
              <w:rPr>
                <w:lang w:val="da-DK"/>
              </w:rPr>
            </w:pPr>
            <w:r>
              <w:rPr>
                <w:w w:val="95"/>
                <w:lang w:val="da-DK"/>
              </w:rPr>
              <w:t xml:space="preserve">Legemsvægtjusteret </w:t>
            </w:r>
            <w:r>
              <w:rPr>
                <w:lang w:val="da-DK"/>
              </w:rPr>
              <w:t>dosis til at opnå en eksponering, der svarer til eksponeringen hos voksne behandlet mod DVT</w:t>
            </w:r>
            <w:r>
              <w:rPr>
                <w:spacing w:val="-2"/>
                <w:lang w:val="da-DK"/>
              </w:rPr>
              <w:t xml:space="preserve"> </w:t>
            </w:r>
            <w:r>
              <w:rPr>
                <w:lang w:val="da-DK"/>
              </w:rPr>
              <w:t>med 20 mg rivaroxaban én gang</w:t>
            </w:r>
            <w:r>
              <w:rPr>
                <w:spacing w:val="-2"/>
                <w:lang w:val="da-DK"/>
              </w:rPr>
              <w:t xml:space="preserve"> </w:t>
            </w:r>
            <w:r>
              <w:rPr>
                <w:lang w:val="da-DK"/>
              </w:rPr>
              <w:t>dagligt</w:t>
            </w:r>
          </w:p>
        </w:tc>
        <w:tc>
          <w:tcPr>
            <w:tcW w:w="2100" w:type="dxa"/>
            <w:tcBorders>
              <w:top w:val="nil"/>
              <w:left w:val="single" w:sz="4" w:space="0" w:color="000000"/>
              <w:bottom w:val="single" w:sz="4" w:space="0" w:color="000000"/>
              <w:right w:val="single" w:sz="4" w:space="0" w:color="000000"/>
            </w:tcBorders>
            <w:hideMark/>
          </w:tcPr>
          <w:p w:rsidR="00D61595" w:rsidRDefault="00D61595">
            <w:pPr>
              <w:pStyle w:val="TableParagraph"/>
              <w:spacing w:before="1"/>
              <w:rPr>
                <w:lang w:val="da-DK"/>
              </w:rPr>
            </w:pPr>
            <w:r>
              <w:t>12 måneder</w:t>
            </w:r>
          </w:p>
        </w:tc>
      </w:tr>
      <w:tr w:rsidR="00D61595" w:rsidTr="00D61595">
        <w:trPr>
          <w:trHeight w:val="777"/>
        </w:trPr>
        <w:tc>
          <w:tcPr>
            <w:tcW w:w="3828" w:type="dxa"/>
            <w:tcBorders>
              <w:top w:val="single" w:sz="4" w:space="0" w:color="000000"/>
              <w:left w:val="single" w:sz="4" w:space="0" w:color="000000"/>
              <w:bottom w:val="nil"/>
              <w:right w:val="single" w:sz="4" w:space="0" w:color="000000"/>
            </w:tcBorders>
            <w:hideMark/>
          </w:tcPr>
          <w:p w:rsidR="00D61595" w:rsidRDefault="00D61595">
            <w:pPr>
              <w:pStyle w:val="TableParagraph"/>
              <w:spacing w:before="1"/>
              <w:rPr>
                <w:lang w:val="da-DK"/>
              </w:rPr>
            </w:pPr>
            <w:r>
              <w:rPr>
                <w:lang w:val="da-DK"/>
              </w:rPr>
              <w:t>Forebyggelse af apopleksi og systemisk</w:t>
            </w:r>
          </w:p>
          <w:p w:rsidR="00D61595" w:rsidRDefault="00D61595">
            <w:pPr>
              <w:pStyle w:val="TableParagraph"/>
              <w:spacing w:line="260" w:lineRule="atLeast"/>
              <w:ind w:right="184"/>
              <w:rPr>
                <w:lang w:val="da-DK"/>
              </w:rPr>
            </w:pPr>
            <w:r>
              <w:rPr>
                <w:lang w:val="da-DK"/>
              </w:rPr>
              <w:t>emboli hos patienter med ikke-valvulær atrieflimren</w:t>
            </w:r>
          </w:p>
        </w:tc>
        <w:tc>
          <w:tcPr>
            <w:tcW w:w="1200" w:type="dxa"/>
            <w:tcBorders>
              <w:top w:val="single" w:sz="4" w:space="0" w:color="000000"/>
              <w:left w:val="single" w:sz="4" w:space="0" w:color="000000"/>
              <w:bottom w:val="nil"/>
              <w:right w:val="single" w:sz="4" w:space="0" w:color="000000"/>
            </w:tcBorders>
            <w:hideMark/>
          </w:tcPr>
          <w:p w:rsidR="00D61595" w:rsidRDefault="00D61595">
            <w:pPr>
              <w:pStyle w:val="TableParagraph"/>
              <w:spacing w:before="1"/>
            </w:pPr>
            <w:r>
              <w:t>7.750</w:t>
            </w:r>
          </w:p>
        </w:tc>
        <w:tc>
          <w:tcPr>
            <w:tcW w:w="2160" w:type="dxa"/>
            <w:tcBorders>
              <w:top w:val="single" w:sz="4" w:space="0" w:color="000000"/>
              <w:left w:val="single" w:sz="4" w:space="0" w:color="000000"/>
              <w:bottom w:val="nil"/>
              <w:right w:val="single" w:sz="4" w:space="0" w:color="000000"/>
            </w:tcBorders>
            <w:hideMark/>
          </w:tcPr>
          <w:p w:rsidR="00D61595" w:rsidRDefault="00D61595">
            <w:pPr>
              <w:pStyle w:val="TableParagraph"/>
              <w:spacing w:before="1"/>
            </w:pPr>
            <w:r>
              <w:t>20 mg</w:t>
            </w:r>
          </w:p>
        </w:tc>
        <w:tc>
          <w:tcPr>
            <w:tcW w:w="2100" w:type="dxa"/>
            <w:tcBorders>
              <w:top w:val="single" w:sz="4" w:space="0" w:color="000000"/>
              <w:left w:val="single" w:sz="4" w:space="0" w:color="000000"/>
              <w:bottom w:val="nil"/>
              <w:right w:val="single" w:sz="4" w:space="0" w:color="000000"/>
            </w:tcBorders>
            <w:hideMark/>
          </w:tcPr>
          <w:p w:rsidR="00D61595" w:rsidRDefault="00D61595">
            <w:pPr>
              <w:pStyle w:val="TableParagraph"/>
              <w:spacing w:before="1"/>
            </w:pPr>
            <w:r>
              <w:t>41 måneder</w:t>
            </w:r>
          </w:p>
        </w:tc>
      </w:tr>
      <w:tr w:rsidR="00D61595" w:rsidTr="00D61595">
        <w:trPr>
          <w:trHeight w:val="777"/>
        </w:trPr>
        <w:tc>
          <w:tcPr>
            <w:tcW w:w="3828" w:type="dxa"/>
            <w:tcBorders>
              <w:top w:val="single" w:sz="4" w:space="0" w:color="000000"/>
              <w:left w:val="single" w:sz="4" w:space="0" w:color="000000"/>
              <w:bottom w:val="nil"/>
              <w:right w:val="single" w:sz="4" w:space="0" w:color="000000"/>
            </w:tcBorders>
            <w:hideMark/>
          </w:tcPr>
          <w:p w:rsidR="00D61595" w:rsidRDefault="00D61595">
            <w:pPr>
              <w:pStyle w:val="TableParagraph"/>
              <w:spacing w:before="1"/>
              <w:rPr>
                <w:lang w:val="da-DK"/>
              </w:rPr>
            </w:pPr>
            <w:r>
              <w:rPr>
                <w:lang w:val="da-DK"/>
              </w:rPr>
              <w:t>Forebyggelse af aterotrombotiske hændelser hos</w:t>
            </w:r>
          </w:p>
        </w:tc>
        <w:tc>
          <w:tcPr>
            <w:tcW w:w="1200" w:type="dxa"/>
            <w:tcBorders>
              <w:top w:val="single" w:sz="4" w:space="0" w:color="000000"/>
              <w:left w:val="single" w:sz="4" w:space="0" w:color="000000"/>
              <w:bottom w:val="nil"/>
              <w:right w:val="single" w:sz="4" w:space="0" w:color="000000"/>
            </w:tcBorders>
            <w:hideMark/>
          </w:tcPr>
          <w:p w:rsidR="00D61595" w:rsidRDefault="00D61595">
            <w:pPr>
              <w:pStyle w:val="TableParagraph"/>
              <w:spacing w:before="1"/>
              <w:rPr>
                <w:lang w:val="da-DK"/>
              </w:rPr>
            </w:pPr>
            <w:r>
              <w:t>10.225</w:t>
            </w:r>
          </w:p>
        </w:tc>
        <w:tc>
          <w:tcPr>
            <w:tcW w:w="2160" w:type="dxa"/>
            <w:tcBorders>
              <w:top w:val="single" w:sz="4" w:space="0" w:color="000000"/>
              <w:left w:val="single" w:sz="4" w:space="0" w:color="000000"/>
              <w:bottom w:val="nil"/>
              <w:right w:val="single" w:sz="4" w:space="0" w:color="000000"/>
            </w:tcBorders>
            <w:hideMark/>
          </w:tcPr>
          <w:p w:rsidR="00D61595" w:rsidRDefault="00D61595">
            <w:pPr>
              <w:pStyle w:val="TableParagraph"/>
              <w:spacing w:before="1"/>
              <w:rPr>
                <w:lang w:val="da-DK"/>
              </w:rPr>
            </w:pPr>
            <w:r>
              <w:rPr>
                <w:lang w:val="da-DK"/>
              </w:rPr>
              <w:t>Henholdsvis 5 mg</w:t>
            </w:r>
          </w:p>
          <w:p w:rsidR="00D61595" w:rsidRDefault="00D61595">
            <w:pPr>
              <w:pStyle w:val="TableParagraph"/>
              <w:spacing w:before="1"/>
              <w:rPr>
                <w:lang w:val="da-DK"/>
              </w:rPr>
            </w:pPr>
            <w:r>
              <w:rPr>
                <w:lang w:val="da-DK"/>
              </w:rPr>
              <w:t xml:space="preserve">eller 10 </w:t>
            </w:r>
            <w:r>
              <w:rPr>
                <w:spacing w:val="-4"/>
                <w:lang w:val="da-DK"/>
              </w:rPr>
              <w:t>mg</w:t>
            </w:r>
          </w:p>
        </w:tc>
        <w:tc>
          <w:tcPr>
            <w:tcW w:w="2100" w:type="dxa"/>
            <w:tcBorders>
              <w:top w:val="single" w:sz="4" w:space="0" w:color="000000"/>
              <w:left w:val="single" w:sz="4" w:space="0" w:color="000000"/>
              <w:bottom w:val="nil"/>
              <w:right w:val="single" w:sz="4" w:space="0" w:color="000000"/>
            </w:tcBorders>
            <w:hideMark/>
          </w:tcPr>
          <w:p w:rsidR="00D61595" w:rsidRDefault="00D61595">
            <w:pPr>
              <w:pStyle w:val="TableParagraph"/>
              <w:spacing w:before="1"/>
              <w:rPr>
                <w:lang w:val="da-DK"/>
              </w:rPr>
            </w:pPr>
            <w:r>
              <w:t>31 måneder</w:t>
            </w:r>
          </w:p>
        </w:tc>
      </w:tr>
      <w:tr w:rsidR="00D61595" w:rsidTr="00D61595">
        <w:trPr>
          <w:trHeight w:val="2073"/>
        </w:trPr>
        <w:tc>
          <w:tcPr>
            <w:tcW w:w="3828" w:type="dxa"/>
            <w:tcBorders>
              <w:top w:val="nil"/>
              <w:left w:val="single" w:sz="4" w:space="0" w:color="000000"/>
              <w:bottom w:val="single" w:sz="4" w:space="0" w:color="auto"/>
              <w:right w:val="single" w:sz="4" w:space="0" w:color="000000"/>
            </w:tcBorders>
            <w:hideMark/>
          </w:tcPr>
          <w:p w:rsidR="00D61595" w:rsidRDefault="00D61595">
            <w:pPr>
              <w:pStyle w:val="TableParagraph"/>
              <w:spacing w:before="1" w:line="242" w:lineRule="auto"/>
              <w:rPr>
                <w:lang w:val="da-DK"/>
              </w:rPr>
            </w:pPr>
            <w:r>
              <w:rPr>
                <w:lang w:val="da-DK"/>
              </w:rPr>
              <w:t xml:space="preserve">patienter efter </w:t>
            </w:r>
            <w:r>
              <w:rPr>
                <w:lang w:val="de-DE"/>
              </w:rPr>
              <w:t>et akut koronarsyndrom</w:t>
            </w:r>
            <w:r>
              <w:rPr>
                <w:lang w:val="da-DK"/>
              </w:rPr>
              <w:t xml:space="preserve"> (AKS)</w:t>
            </w:r>
          </w:p>
        </w:tc>
        <w:tc>
          <w:tcPr>
            <w:tcW w:w="1200" w:type="dxa"/>
            <w:tcBorders>
              <w:top w:val="nil"/>
              <w:left w:val="single" w:sz="4" w:space="0" w:color="000000"/>
              <w:bottom w:val="single" w:sz="4" w:space="0" w:color="auto"/>
              <w:right w:val="single" w:sz="4" w:space="0" w:color="000000"/>
            </w:tcBorders>
          </w:tcPr>
          <w:p w:rsidR="00D61595" w:rsidRDefault="00D61595">
            <w:pPr>
              <w:pStyle w:val="TableParagraph"/>
              <w:spacing w:before="1"/>
              <w:rPr>
                <w:lang w:val="de-DE"/>
              </w:rPr>
            </w:pPr>
          </w:p>
        </w:tc>
        <w:tc>
          <w:tcPr>
            <w:tcW w:w="2160" w:type="dxa"/>
            <w:tcBorders>
              <w:top w:val="nil"/>
              <w:left w:val="single" w:sz="4" w:space="0" w:color="000000"/>
              <w:bottom w:val="single" w:sz="4" w:space="0" w:color="auto"/>
              <w:right w:val="single" w:sz="4" w:space="0" w:color="000000"/>
            </w:tcBorders>
            <w:hideMark/>
          </w:tcPr>
          <w:p w:rsidR="00D61595" w:rsidRPr="00D61595" w:rsidRDefault="00D61595">
            <w:pPr>
              <w:pStyle w:val="TableParagraph"/>
              <w:spacing w:line="260" w:lineRule="atLeast"/>
              <w:ind w:right="114"/>
              <w:rPr>
                <w:lang w:val="da-DK"/>
              </w:rPr>
            </w:pPr>
            <w:r w:rsidRPr="00D61595">
              <w:rPr>
                <w:spacing w:val="-4"/>
                <w:lang w:val="da-DK"/>
              </w:rPr>
              <w:t xml:space="preserve"> </w:t>
            </w:r>
            <w:r w:rsidRPr="00D61595">
              <w:rPr>
                <w:lang w:val="da-DK"/>
              </w:rPr>
              <w:t>administreret sammen med enten acetylsalicylsyre eller acetylsalicylsyre plus clopidogrel eller ticlopidin</w:t>
            </w:r>
          </w:p>
        </w:tc>
        <w:tc>
          <w:tcPr>
            <w:tcW w:w="2100" w:type="dxa"/>
            <w:tcBorders>
              <w:top w:val="nil"/>
              <w:left w:val="single" w:sz="4" w:space="0" w:color="000000"/>
              <w:bottom w:val="single" w:sz="4" w:space="0" w:color="auto"/>
              <w:right w:val="single" w:sz="4" w:space="0" w:color="000000"/>
            </w:tcBorders>
          </w:tcPr>
          <w:p w:rsidR="00D61595" w:rsidRPr="00D61595" w:rsidRDefault="00D61595">
            <w:pPr>
              <w:pStyle w:val="TableParagraph"/>
              <w:spacing w:before="1"/>
              <w:rPr>
                <w:lang w:val="da-DK"/>
              </w:rPr>
            </w:pPr>
          </w:p>
        </w:tc>
      </w:tr>
      <w:tr w:rsidR="00D61595" w:rsidTr="00D61595">
        <w:trPr>
          <w:trHeight w:val="845"/>
        </w:trPr>
        <w:tc>
          <w:tcPr>
            <w:tcW w:w="3828" w:type="dxa"/>
            <w:vMerge w:val="restart"/>
            <w:tcBorders>
              <w:top w:val="single" w:sz="4" w:space="0" w:color="auto"/>
              <w:left w:val="single" w:sz="4" w:space="0" w:color="000000"/>
              <w:bottom w:val="single" w:sz="4" w:space="0" w:color="000000"/>
              <w:right w:val="single" w:sz="4" w:space="0" w:color="000000"/>
            </w:tcBorders>
            <w:hideMark/>
          </w:tcPr>
          <w:p w:rsidR="00D61595" w:rsidRDefault="00D61595">
            <w:pPr>
              <w:pStyle w:val="TableParagraph"/>
              <w:spacing w:before="1" w:line="242" w:lineRule="auto"/>
              <w:rPr>
                <w:lang w:val="da-DK"/>
              </w:rPr>
            </w:pPr>
            <w:r>
              <w:rPr>
                <w:lang w:val="da-DK"/>
              </w:rPr>
              <w:t>Forebyggelse af aterotrombotiske hændelser hos patienter med koronararteriesygdom (CAD) /perifer arteriesygdom (PAD)</w:t>
            </w:r>
          </w:p>
        </w:tc>
        <w:tc>
          <w:tcPr>
            <w:tcW w:w="1200" w:type="dxa"/>
            <w:tcBorders>
              <w:top w:val="single" w:sz="4" w:space="0" w:color="auto"/>
              <w:left w:val="single" w:sz="4" w:space="0" w:color="000000"/>
              <w:bottom w:val="single" w:sz="4" w:space="0" w:color="auto"/>
              <w:right w:val="single" w:sz="4" w:space="0" w:color="000000"/>
            </w:tcBorders>
            <w:hideMark/>
          </w:tcPr>
          <w:p w:rsidR="00D61595" w:rsidRDefault="00D61595">
            <w:pPr>
              <w:pStyle w:val="TableParagraph"/>
              <w:spacing w:before="1"/>
            </w:pPr>
            <w:r>
              <w:t>18.244</w:t>
            </w:r>
          </w:p>
        </w:tc>
        <w:tc>
          <w:tcPr>
            <w:tcW w:w="2160" w:type="dxa"/>
            <w:tcBorders>
              <w:top w:val="single" w:sz="4" w:space="0" w:color="auto"/>
              <w:left w:val="single" w:sz="4" w:space="0" w:color="000000"/>
              <w:bottom w:val="single" w:sz="4" w:space="0" w:color="auto"/>
              <w:right w:val="single" w:sz="4" w:space="0" w:color="000000"/>
            </w:tcBorders>
            <w:hideMark/>
          </w:tcPr>
          <w:p w:rsidR="00D61595" w:rsidRPr="00D61595" w:rsidRDefault="00D61595">
            <w:pPr>
              <w:pStyle w:val="TableParagraph"/>
              <w:spacing w:line="260" w:lineRule="atLeast"/>
              <w:ind w:right="114"/>
              <w:rPr>
                <w:spacing w:val="-4"/>
                <w:lang w:val="da-DK"/>
              </w:rPr>
            </w:pPr>
            <w:r>
              <w:rPr>
                <w:lang w:val="da-DK"/>
              </w:rPr>
              <w:t>5 mg administreret sammen med ASA eller 10 mg alene</w:t>
            </w:r>
          </w:p>
        </w:tc>
        <w:tc>
          <w:tcPr>
            <w:tcW w:w="2100" w:type="dxa"/>
            <w:tcBorders>
              <w:top w:val="single" w:sz="4" w:space="0" w:color="auto"/>
              <w:left w:val="single" w:sz="4" w:space="0" w:color="000000"/>
              <w:bottom w:val="single" w:sz="4" w:space="0" w:color="auto"/>
              <w:right w:val="single" w:sz="4" w:space="0" w:color="000000"/>
            </w:tcBorders>
            <w:hideMark/>
          </w:tcPr>
          <w:p w:rsidR="00D61595" w:rsidRDefault="00D61595">
            <w:pPr>
              <w:pStyle w:val="TableParagraph"/>
              <w:spacing w:before="1"/>
              <w:rPr>
                <w:lang w:val="sv-SE"/>
              </w:rPr>
            </w:pPr>
            <w:r>
              <w:t>47 måneder</w:t>
            </w:r>
          </w:p>
        </w:tc>
      </w:tr>
      <w:tr w:rsidR="00D61595" w:rsidTr="00D61595">
        <w:trPr>
          <w:trHeight w:val="559"/>
        </w:trPr>
        <w:tc>
          <w:tcPr>
            <w:tcW w:w="3828" w:type="dxa"/>
            <w:vMerge/>
            <w:tcBorders>
              <w:top w:val="single" w:sz="4" w:space="0" w:color="auto"/>
              <w:left w:val="single" w:sz="4" w:space="0" w:color="000000"/>
              <w:bottom w:val="single" w:sz="4" w:space="0" w:color="000000"/>
              <w:right w:val="single" w:sz="4" w:space="0" w:color="000000"/>
            </w:tcBorders>
            <w:vAlign w:val="center"/>
            <w:hideMark/>
          </w:tcPr>
          <w:p w:rsidR="00D61595" w:rsidRDefault="00D61595">
            <w:pPr>
              <w:rPr>
                <w:sz w:val="22"/>
                <w:szCs w:val="22"/>
              </w:rPr>
            </w:pPr>
          </w:p>
        </w:tc>
        <w:tc>
          <w:tcPr>
            <w:tcW w:w="1200" w:type="dxa"/>
            <w:tcBorders>
              <w:top w:val="single" w:sz="4" w:space="0" w:color="auto"/>
              <w:left w:val="single" w:sz="4" w:space="0" w:color="000000"/>
              <w:bottom w:val="single" w:sz="4" w:space="0" w:color="000000"/>
              <w:right w:val="single" w:sz="4" w:space="0" w:color="000000"/>
            </w:tcBorders>
            <w:hideMark/>
          </w:tcPr>
          <w:p w:rsidR="00D61595" w:rsidRDefault="00D61595">
            <w:pPr>
              <w:pStyle w:val="TableParagraph"/>
              <w:spacing w:before="1"/>
            </w:pPr>
            <w:r>
              <w:t>3.256**</w:t>
            </w:r>
          </w:p>
        </w:tc>
        <w:tc>
          <w:tcPr>
            <w:tcW w:w="2160" w:type="dxa"/>
            <w:tcBorders>
              <w:top w:val="single" w:sz="4" w:space="0" w:color="auto"/>
              <w:left w:val="single" w:sz="4" w:space="0" w:color="000000"/>
              <w:bottom w:val="single" w:sz="4" w:space="0" w:color="000000"/>
              <w:right w:val="single" w:sz="4" w:space="0" w:color="000000"/>
            </w:tcBorders>
            <w:hideMark/>
          </w:tcPr>
          <w:p w:rsidR="00D61595" w:rsidRDefault="00D61595">
            <w:pPr>
              <w:pStyle w:val="TableParagraph"/>
              <w:mirrorIndents/>
              <w:rPr>
                <w:lang w:val="da-DK"/>
              </w:rPr>
            </w:pPr>
            <w:r>
              <w:rPr>
                <w:lang w:val="da-DK"/>
              </w:rPr>
              <w:t>5 mg</w:t>
            </w:r>
            <w:r>
              <w:rPr>
                <w:spacing w:val="-10"/>
                <w:lang w:val="da-DK"/>
              </w:rPr>
              <w:t xml:space="preserve"> </w:t>
            </w:r>
            <w:r>
              <w:rPr>
                <w:lang w:val="da-DK"/>
              </w:rPr>
              <w:t>administreret</w:t>
            </w:r>
          </w:p>
          <w:p w:rsidR="00D61595" w:rsidRPr="00D61595" w:rsidRDefault="00D61595">
            <w:pPr>
              <w:pStyle w:val="TableParagraph"/>
              <w:spacing w:line="260" w:lineRule="atLeast"/>
              <w:ind w:right="114"/>
              <w:rPr>
                <w:spacing w:val="-4"/>
                <w:lang w:val="da-DK"/>
              </w:rPr>
            </w:pPr>
            <w:r>
              <w:rPr>
                <w:lang w:val="da-DK"/>
              </w:rPr>
              <w:t>sammen med</w:t>
            </w:r>
            <w:r>
              <w:rPr>
                <w:spacing w:val="-9"/>
                <w:lang w:val="da-DK"/>
              </w:rPr>
              <w:t xml:space="preserve"> </w:t>
            </w:r>
            <w:r>
              <w:rPr>
                <w:lang w:val="da-DK"/>
              </w:rPr>
              <w:t>ASA</w:t>
            </w:r>
          </w:p>
        </w:tc>
        <w:tc>
          <w:tcPr>
            <w:tcW w:w="2100" w:type="dxa"/>
            <w:tcBorders>
              <w:top w:val="single" w:sz="4" w:space="0" w:color="auto"/>
              <w:left w:val="single" w:sz="4" w:space="0" w:color="000000"/>
              <w:bottom w:val="single" w:sz="4" w:space="0" w:color="000000"/>
              <w:right w:val="single" w:sz="4" w:space="0" w:color="000000"/>
            </w:tcBorders>
            <w:hideMark/>
          </w:tcPr>
          <w:p w:rsidR="00D61595" w:rsidRDefault="00D61595">
            <w:pPr>
              <w:pStyle w:val="TableParagraph"/>
              <w:spacing w:before="1"/>
              <w:rPr>
                <w:lang w:val="sv-SE"/>
              </w:rPr>
            </w:pPr>
            <w:r>
              <w:t>42 måneder</w:t>
            </w:r>
          </w:p>
        </w:tc>
      </w:tr>
    </w:tbl>
    <w:p w:rsidR="00D61595" w:rsidRDefault="00D61595" w:rsidP="00D61595">
      <w:pPr>
        <w:pStyle w:val="Brdtekst"/>
        <w:tabs>
          <w:tab w:val="left" w:pos="1424"/>
        </w:tabs>
        <w:spacing w:before="1"/>
        <w:ind w:left="858" w:right="1171"/>
        <w:rPr>
          <w:lang w:val="sv-SE"/>
        </w:rPr>
      </w:pPr>
      <w:r>
        <w:rPr>
          <w:lang w:val="sv-SE"/>
        </w:rPr>
        <w:t>*</w:t>
      </w:r>
      <w:r>
        <w:rPr>
          <w:lang w:val="sv-SE"/>
        </w:rPr>
        <w:tab/>
        <w:t>Patienter, der har fået mindst en dosis</w:t>
      </w:r>
      <w:r>
        <w:rPr>
          <w:spacing w:val="3"/>
          <w:lang w:val="sv-SE"/>
        </w:rPr>
        <w:t xml:space="preserve"> </w:t>
      </w:r>
      <w:r>
        <w:rPr>
          <w:lang w:val="sv-SE"/>
        </w:rPr>
        <w:t>rivaroxaban</w:t>
      </w:r>
    </w:p>
    <w:p w:rsidR="00D61595" w:rsidRDefault="00D61595" w:rsidP="00D61595">
      <w:pPr>
        <w:pStyle w:val="Brdtekst"/>
        <w:tabs>
          <w:tab w:val="left" w:pos="1424"/>
        </w:tabs>
        <w:spacing w:before="1"/>
        <w:ind w:left="858" w:right="1171"/>
        <w:rPr>
          <w:lang w:val="sv-SE"/>
        </w:rPr>
      </w:pPr>
      <w:r>
        <w:rPr>
          <w:lang w:val="sv-SE"/>
        </w:rPr>
        <w:t>** Fra VOYAGER</w:t>
      </w:r>
      <w:r>
        <w:rPr>
          <w:spacing w:val="-2"/>
          <w:lang w:val="sv-SE"/>
        </w:rPr>
        <w:t xml:space="preserve"> </w:t>
      </w:r>
      <w:r>
        <w:rPr>
          <w:lang w:val="sv-SE"/>
        </w:rPr>
        <w:t>PAD-studiet</w:t>
      </w:r>
    </w:p>
    <w:p w:rsidR="00D61595" w:rsidRDefault="00D61595" w:rsidP="00D61595">
      <w:pPr>
        <w:pStyle w:val="Sidehoved"/>
        <w:tabs>
          <w:tab w:val="left" w:pos="851"/>
        </w:tabs>
        <w:ind w:left="851"/>
        <w:rPr>
          <w:szCs w:val="24"/>
          <w:u w:val="single"/>
          <w:lang w:val="sv-SE"/>
        </w:rPr>
      </w:pPr>
    </w:p>
    <w:p w:rsidR="00D61595" w:rsidRPr="00D61595" w:rsidRDefault="00D61595" w:rsidP="00D61595">
      <w:pPr>
        <w:pStyle w:val="Sidehoved"/>
        <w:tabs>
          <w:tab w:val="left" w:pos="851"/>
        </w:tabs>
        <w:ind w:left="851"/>
        <w:rPr>
          <w:szCs w:val="24"/>
        </w:rPr>
      </w:pPr>
      <w:r w:rsidRPr="00D61595">
        <w:rPr>
          <w:szCs w:val="24"/>
        </w:rPr>
        <w:t xml:space="preserve">De hyppigst rapporterede bivirkninger hos patienter, der fik rivaroxaban, var blødning (tabel 2) (se </w:t>
      </w:r>
      <w:r>
        <w:t>også</w:t>
      </w:r>
      <w:r w:rsidRPr="00D61595">
        <w:rPr>
          <w:szCs w:val="24"/>
        </w:rPr>
        <w:t xml:space="preserve"> pkt. 4.4. "Beskrivelse af udvalgte bivirkninger" nedenfor). De hyppigst rapporterede blødninger var epistaxis (4,5 %) og blødning fra mave-tarm-kanalen (3,8 %).</w:t>
      </w:r>
    </w:p>
    <w:p w:rsidR="00D61595" w:rsidRPr="00D61595" w:rsidRDefault="00D61595" w:rsidP="00D61595">
      <w:pPr>
        <w:pStyle w:val="Sidehoved"/>
        <w:tabs>
          <w:tab w:val="left" w:pos="851"/>
        </w:tabs>
        <w:ind w:left="851"/>
        <w:rPr>
          <w:szCs w:val="24"/>
        </w:rPr>
      </w:pPr>
    </w:p>
    <w:p w:rsidR="00D61595" w:rsidRPr="00D61595" w:rsidRDefault="00D61595" w:rsidP="00D61595">
      <w:pPr>
        <w:pStyle w:val="Sidehoved"/>
        <w:tabs>
          <w:tab w:val="left" w:pos="851"/>
        </w:tabs>
        <w:ind w:left="851"/>
        <w:rPr>
          <w:b/>
          <w:szCs w:val="24"/>
        </w:rPr>
      </w:pPr>
      <w:r>
        <w:rPr>
          <w:b/>
        </w:rPr>
        <w:t xml:space="preserve">Tabel </w:t>
      </w:r>
      <w:r w:rsidRPr="00D61595">
        <w:rPr>
          <w:b/>
        </w:rPr>
        <w:t>2</w:t>
      </w:r>
      <w:r>
        <w:rPr>
          <w:b/>
        </w:rPr>
        <w:t>: Forekomst af blødning* og anæmi hos patienter eksponeret for rivaroxaban i alle gennemførte fase III-studier hos voksne og pædiatriske patienter</w:t>
      </w:r>
    </w:p>
    <w:p w:rsidR="00D61595" w:rsidRPr="00D61595" w:rsidRDefault="00D61595" w:rsidP="00D61595">
      <w:pPr>
        <w:pStyle w:val="Sidehoved"/>
        <w:tabs>
          <w:tab w:val="left" w:pos="851"/>
        </w:tabs>
        <w:ind w:left="851"/>
        <w:rPr>
          <w:szCs w:val="24"/>
        </w:rPr>
      </w:pPr>
    </w:p>
    <w:tbl>
      <w:tblPr>
        <w:tblStyle w:val="TableNormal"/>
        <w:tblW w:w="9075" w:type="dxa"/>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8"/>
        <w:gridCol w:w="2408"/>
        <w:gridCol w:w="3119"/>
      </w:tblGrid>
      <w:tr w:rsidR="00D61595" w:rsidTr="00D61595">
        <w:trPr>
          <w:trHeight w:val="253"/>
        </w:trPr>
        <w:tc>
          <w:tcPr>
            <w:tcW w:w="354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b/>
              </w:rPr>
            </w:pPr>
            <w:r>
              <w:rPr>
                <w:rFonts w:ascii="Times New Roman" w:hAnsi="Times New Roman" w:cs="Times New Roman"/>
                <w:b/>
              </w:rPr>
              <w:t>Indikation</w:t>
            </w:r>
          </w:p>
        </w:tc>
        <w:tc>
          <w:tcPr>
            <w:tcW w:w="240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b/>
              </w:rPr>
            </w:pPr>
            <w:r>
              <w:rPr>
                <w:rFonts w:ascii="Times New Roman" w:hAnsi="Times New Roman" w:cs="Times New Roman"/>
                <w:b/>
              </w:rPr>
              <w:t>Blødning</w:t>
            </w:r>
          </w:p>
        </w:tc>
        <w:tc>
          <w:tcPr>
            <w:tcW w:w="311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b/>
              </w:rPr>
            </w:pPr>
            <w:r>
              <w:rPr>
                <w:rFonts w:ascii="Times New Roman" w:hAnsi="Times New Roman" w:cs="Times New Roman"/>
                <w:b/>
              </w:rPr>
              <w:t>Anæmi</w:t>
            </w:r>
          </w:p>
        </w:tc>
      </w:tr>
      <w:tr w:rsidR="00D61595" w:rsidTr="00D61595">
        <w:trPr>
          <w:trHeight w:val="758"/>
        </w:trPr>
        <w:tc>
          <w:tcPr>
            <w:tcW w:w="354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lang w:val="da-DK"/>
              </w:rPr>
            </w:pPr>
            <w:r>
              <w:rPr>
                <w:rFonts w:ascii="Times New Roman" w:hAnsi="Times New Roman" w:cs="Times New Roman"/>
                <w:lang w:val="da-DK"/>
              </w:rPr>
              <w:t>Forebyggelse af VTE hos voksne</w:t>
            </w:r>
          </w:p>
          <w:p w:rsidR="00D61595" w:rsidRDefault="00D61595">
            <w:pPr>
              <w:pStyle w:val="TableParagraph"/>
              <w:mirrorIndents/>
              <w:rPr>
                <w:rFonts w:ascii="Times New Roman" w:hAnsi="Times New Roman" w:cs="Times New Roman"/>
                <w:lang w:val="da-DK"/>
              </w:rPr>
            </w:pPr>
            <w:r>
              <w:rPr>
                <w:rFonts w:ascii="Times New Roman" w:hAnsi="Times New Roman" w:cs="Times New Roman"/>
                <w:lang w:val="da-DK"/>
              </w:rPr>
              <w:t>patienter, der gennemgår planlagt hofteleds- eller knæledsalloplastik</w:t>
            </w:r>
          </w:p>
        </w:tc>
        <w:tc>
          <w:tcPr>
            <w:tcW w:w="240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rPr>
            </w:pPr>
            <w:r>
              <w:rPr>
                <w:rFonts w:ascii="Times New Roman" w:hAnsi="Times New Roman" w:cs="Times New Roman"/>
              </w:rPr>
              <w:t>6,8 % af patienterne</w:t>
            </w:r>
          </w:p>
        </w:tc>
        <w:tc>
          <w:tcPr>
            <w:tcW w:w="311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rPr>
            </w:pPr>
            <w:r>
              <w:rPr>
                <w:rFonts w:ascii="Times New Roman" w:hAnsi="Times New Roman" w:cs="Times New Roman"/>
              </w:rPr>
              <w:t>5,9 % af patienterne</w:t>
            </w:r>
          </w:p>
        </w:tc>
      </w:tr>
      <w:tr w:rsidR="00D61595" w:rsidTr="00D61595">
        <w:trPr>
          <w:trHeight w:val="503"/>
        </w:trPr>
        <w:tc>
          <w:tcPr>
            <w:tcW w:w="354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lang w:val="da-DK"/>
              </w:rPr>
            </w:pPr>
            <w:r>
              <w:rPr>
                <w:lang w:val="da-DK"/>
              </w:rPr>
              <w:t>Forebyggelse af venøs tromboemboli hos medicinsk syge patienter</w:t>
            </w:r>
          </w:p>
        </w:tc>
        <w:tc>
          <w:tcPr>
            <w:tcW w:w="240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rPr>
            </w:pPr>
            <w:r>
              <w:rPr>
                <w:rFonts w:ascii="Times New Roman" w:hAnsi="Times New Roman" w:cs="Times New Roman"/>
              </w:rPr>
              <w:t>12,6 % af</w:t>
            </w:r>
          </w:p>
          <w:p w:rsidR="00D61595" w:rsidRDefault="00D61595">
            <w:pPr>
              <w:pStyle w:val="TableParagraph"/>
              <w:mirrorIndents/>
              <w:rPr>
                <w:rFonts w:ascii="Times New Roman" w:hAnsi="Times New Roman" w:cs="Times New Roman"/>
              </w:rPr>
            </w:pPr>
            <w:r>
              <w:rPr>
                <w:rFonts w:ascii="Times New Roman" w:hAnsi="Times New Roman" w:cs="Times New Roman"/>
              </w:rPr>
              <w:t>patienterne</w:t>
            </w:r>
          </w:p>
        </w:tc>
        <w:tc>
          <w:tcPr>
            <w:tcW w:w="311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rPr>
            </w:pPr>
            <w:r>
              <w:rPr>
                <w:rFonts w:ascii="Times New Roman" w:hAnsi="Times New Roman" w:cs="Times New Roman"/>
              </w:rPr>
              <w:t>2,1 % af patienterne</w:t>
            </w:r>
          </w:p>
        </w:tc>
      </w:tr>
      <w:tr w:rsidR="00D61595" w:rsidTr="00D61595">
        <w:trPr>
          <w:trHeight w:val="1515"/>
        </w:trPr>
        <w:tc>
          <w:tcPr>
            <w:tcW w:w="354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lang w:val="da-DK"/>
              </w:rPr>
            </w:pPr>
            <w:r>
              <w:rPr>
                <w:rFonts w:ascii="Times New Roman" w:hAnsi="Times New Roman" w:cs="Times New Roman"/>
                <w:lang w:val="da-DK"/>
              </w:rPr>
              <w:t>Behandling af VTE og forebyggelse af recidiverende VTE hos spædbørn født til terminen og børn i alderen under 18 år, efter standard antikoagulerende behandling blev påbegyndt</w:t>
            </w:r>
          </w:p>
        </w:tc>
        <w:tc>
          <w:tcPr>
            <w:tcW w:w="240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rPr>
            </w:pPr>
            <w:r>
              <w:rPr>
                <w:rFonts w:ascii="Times New Roman" w:hAnsi="Times New Roman" w:cs="Times New Roman"/>
              </w:rPr>
              <w:t>39,5 % af</w:t>
            </w:r>
          </w:p>
          <w:p w:rsidR="00D61595" w:rsidRDefault="00D61595">
            <w:pPr>
              <w:pStyle w:val="TableParagraph"/>
              <w:mirrorIndents/>
              <w:rPr>
                <w:rFonts w:ascii="Times New Roman" w:hAnsi="Times New Roman" w:cs="Times New Roman"/>
              </w:rPr>
            </w:pPr>
            <w:r>
              <w:rPr>
                <w:rFonts w:ascii="Times New Roman" w:hAnsi="Times New Roman" w:cs="Times New Roman"/>
              </w:rPr>
              <w:t>patienterne</w:t>
            </w:r>
          </w:p>
        </w:tc>
        <w:tc>
          <w:tcPr>
            <w:tcW w:w="311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rPr>
            </w:pPr>
            <w:r>
              <w:rPr>
                <w:rFonts w:ascii="Times New Roman" w:hAnsi="Times New Roman" w:cs="Times New Roman"/>
              </w:rPr>
              <w:t>4,6 % af patienterne</w:t>
            </w:r>
          </w:p>
        </w:tc>
      </w:tr>
      <w:tr w:rsidR="00D61595" w:rsidTr="00D61595">
        <w:trPr>
          <w:trHeight w:val="749"/>
        </w:trPr>
        <w:tc>
          <w:tcPr>
            <w:tcW w:w="354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lang w:val="da-DK"/>
              </w:rPr>
            </w:pPr>
            <w:r>
              <w:rPr>
                <w:lang w:val="da-DK"/>
              </w:rPr>
              <w:t>Behandling af dyb venetrombose</w:t>
            </w:r>
          </w:p>
          <w:p w:rsidR="00D61595" w:rsidRDefault="00D61595">
            <w:pPr>
              <w:pStyle w:val="TableParagraph"/>
              <w:mirrorIndents/>
              <w:rPr>
                <w:rFonts w:ascii="Times New Roman" w:hAnsi="Times New Roman" w:cs="Times New Roman"/>
                <w:lang w:val="da-DK"/>
              </w:rPr>
            </w:pPr>
            <w:r>
              <w:rPr>
                <w:lang w:val="da-DK"/>
              </w:rPr>
              <w:t>(DVT), LE og forebyggelse af recidiv</w:t>
            </w:r>
          </w:p>
        </w:tc>
        <w:tc>
          <w:tcPr>
            <w:tcW w:w="240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rPr>
            </w:pPr>
            <w:r>
              <w:rPr>
                <w:rFonts w:ascii="Times New Roman" w:hAnsi="Times New Roman" w:cs="Times New Roman"/>
              </w:rPr>
              <w:t>23 % af patienterne</w:t>
            </w:r>
          </w:p>
        </w:tc>
        <w:tc>
          <w:tcPr>
            <w:tcW w:w="311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rPr>
            </w:pPr>
            <w:r>
              <w:rPr>
                <w:rFonts w:ascii="Times New Roman" w:hAnsi="Times New Roman" w:cs="Times New Roman"/>
              </w:rPr>
              <w:t>1,6 % af patienterne</w:t>
            </w:r>
          </w:p>
        </w:tc>
      </w:tr>
      <w:tr w:rsidR="00D61595" w:rsidTr="00D61595">
        <w:trPr>
          <w:trHeight w:val="756"/>
        </w:trPr>
        <w:tc>
          <w:tcPr>
            <w:tcW w:w="354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lang w:val="da-DK"/>
              </w:rPr>
            </w:pPr>
            <w:r>
              <w:rPr>
                <w:lang w:val="da-DK"/>
              </w:rPr>
              <w:t>Forebyggelse af apopleksi og systemisk emboli hos patienter med ikke-valvulær atrieflimren</w:t>
            </w:r>
          </w:p>
        </w:tc>
        <w:tc>
          <w:tcPr>
            <w:tcW w:w="240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rPr>
            </w:pPr>
            <w:r>
              <w:rPr>
                <w:rFonts w:ascii="Times New Roman" w:hAnsi="Times New Roman" w:cs="Times New Roman"/>
              </w:rPr>
              <w:t>28 per</w:t>
            </w:r>
          </w:p>
          <w:p w:rsidR="00D61595" w:rsidRDefault="00D61595">
            <w:pPr>
              <w:pStyle w:val="TableParagraph"/>
              <w:mirrorIndents/>
              <w:rPr>
                <w:rFonts w:ascii="Times New Roman" w:hAnsi="Times New Roman" w:cs="Times New Roman"/>
              </w:rPr>
            </w:pPr>
            <w:r>
              <w:rPr>
                <w:rFonts w:ascii="Times New Roman" w:hAnsi="Times New Roman" w:cs="Times New Roman"/>
              </w:rPr>
              <w:t>100 patientår</w:t>
            </w:r>
          </w:p>
        </w:tc>
        <w:tc>
          <w:tcPr>
            <w:tcW w:w="311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rPr>
            </w:pPr>
            <w:r>
              <w:rPr>
                <w:rFonts w:ascii="Times New Roman" w:hAnsi="Times New Roman" w:cs="Times New Roman"/>
              </w:rPr>
              <w:t>2,5 per 100 patientår</w:t>
            </w:r>
          </w:p>
        </w:tc>
      </w:tr>
      <w:tr w:rsidR="00D61595" w:rsidTr="00D61595">
        <w:trPr>
          <w:trHeight w:val="754"/>
        </w:trPr>
        <w:tc>
          <w:tcPr>
            <w:tcW w:w="354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lang w:val="de-DE"/>
              </w:rPr>
            </w:pPr>
            <w:r>
              <w:rPr>
                <w:lang w:val="de-DE"/>
              </w:rPr>
              <w:t>Forebyggelse af aterotrombotiske hændelser hos patienter efter akut</w:t>
            </w:r>
          </w:p>
          <w:p w:rsidR="00D61595" w:rsidRDefault="00D61595">
            <w:pPr>
              <w:pStyle w:val="TableParagraph"/>
              <w:mirrorIndents/>
              <w:rPr>
                <w:rFonts w:ascii="Times New Roman" w:hAnsi="Times New Roman" w:cs="Times New Roman"/>
              </w:rPr>
            </w:pPr>
            <w:r>
              <w:rPr>
                <w:rFonts w:ascii="Times New Roman" w:hAnsi="Times New Roman" w:cs="Times New Roman"/>
              </w:rPr>
              <w:t>koronarsyndrom (AKS)</w:t>
            </w:r>
          </w:p>
        </w:tc>
        <w:tc>
          <w:tcPr>
            <w:tcW w:w="240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rPr>
            </w:pPr>
            <w:r>
              <w:rPr>
                <w:rFonts w:ascii="Times New Roman" w:hAnsi="Times New Roman" w:cs="Times New Roman"/>
              </w:rPr>
              <w:t>22 per</w:t>
            </w:r>
          </w:p>
          <w:p w:rsidR="00D61595" w:rsidRDefault="00D61595">
            <w:pPr>
              <w:pStyle w:val="TableParagraph"/>
              <w:mirrorIndents/>
              <w:rPr>
                <w:rFonts w:ascii="Times New Roman" w:hAnsi="Times New Roman" w:cs="Times New Roman"/>
              </w:rPr>
            </w:pPr>
            <w:r>
              <w:rPr>
                <w:rFonts w:ascii="Times New Roman" w:hAnsi="Times New Roman" w:cs="Times New Roman"/>
              </w:rPr>
              <w:t>100 patientår</w:t>
            </w:r>
          </w:p>
        </w:tc>
        <w:tc>
          <w:tcPr>
            <w:tcW w:w="311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rPr>
            </w:pPr>
            <w:r>
              <w:rPr>
                <w:rFonts w:ascii="Times New Roman" w:hAnsi="Times New Roman" w:cs="Times New Roman"/>
              </w:rPr>
              <w:t>1,4 per 100 patientår</w:t>
            </w:r>
          </w:p>
        </w:tc>
      </w:tr>
      <w:tr w:rsidR="00D61595" w:rsidTr="00D61595">
        <w:trPr>
          <w:trHeight w:val="506"/>
        </w:trPr>
        <w:tc>
          <w:tcPr>
            <w:tcW w:w="3547" w:type="dxa"/>
            <w:vMerge w:val="restart"/>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lang w:val="da-DK"/>
              </w:rPr>
            </w:pPr>
            <w:r>
              <w:rPr>
                <w:lang w:val="da-DK"/>
              </w:rPr>
              <w:t>Forebyggelse af aterotrombotiske hændelser hos patienter med koronararteriesygdom</w:t>
            </w:r>
            <w:r>
              <w:rPr>
                <w:spacing w:val="-3"/>
                <w:lang w:val="da-DK"/>
              </w:rPr>
              <w:t xml:space="preserve"> </w:t>
            </w:r>
            <w:r>
              <w:rPr>
                <w:lang w:val="da-DK"/>
              </w:rPr>
              <w:t>(CAD)</w:t>
            </w:r>
          </w:p>
          <w:p w:rsidR="00D61595" w:rsidRDefault="00D61595">
            <w:pPr>
              <w:pStyle w:val="TableParagraph"/>
              <w:mirrorIndents/>
              <w:rPr>
                <w:rFonts w:ascii="Times New Roman" w:hAnsi="Times New Roman" w:cs="Times New Roman"/>
                <w:lang w:val="da-DK"/>
              </w:rPr>
            </w:pPr>
            <w:r>
              <w:rPr>
                <w:lang w:val="da-DK"/>
              </w:rPr>
              <w:t>/perifer arteriesygdom</w:t>
            </w:r>
            <w:r>
              <w:rPr>
                <w:spacing w:val="-14"/>
                <w:lang w:val="da-DK"/>
              </w:rPr>
              <w:t xml:space="preserve"> </w:t>
            </w:r>
            <w:r>
              <w:rPr>
                <w:lang w:val="da-DK"/>
              </w:rPr>
              <w:t>(PAD)</w:t>
            </w:r>
          </w:p>
        </w:tc>
        <w:tc>
          <w:tcPr>
            <w:tcW w:w="240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rPr>
            </w:pPr>
            <w:r>
              <w:rPr>
                <w:rFonts w:ascii="Times New Roman" w:hAnsi="Times New Roman" w:cs="Times New Roman"/>
              </w:rPr>
              <w:t>6,7 per</w:t>
            </w:r>
          </w:p>
          <w:p w:rsidR="00D61595" w:rsidRDefault="00D61595">
            <w:pPr>
              <w:pStyle w:val="TableParagraph"/>
              <w:mirrorIndents/>
              <w:rPr>
                <w:rFonts w:ascii="Times New Roman" w:hAnsi="Times New Roman" w:cs="Times New Roman"/>
              </w:rPr>
            </w:pPr>
            <w:r>
              <w:rPr>
                <w:rFonts w:ascii="Times New Roman" w:hAnsi="Times New Roman" w:cs="Times New Roman"/>
              </w:rPr>
              <w:t>100 patientår</w:t>
            </w:r>
          </w:p>
        </w:tc>
        <w:tc>
          <w:tcPr>
            <w:tcW w:w="311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rPr>
            </w:pPr>
            <w:r>
              <w:rPr>
                <w:rFonts w:ascii="Times New Roman" w:hAnsi="Times New Roman" w:cs="Times New Roman"/>
              </w:rPr>
              <w:t>0,15 per</w:t>
            </w:r>
          </w:p>
          <w:p w:rsidR="00D61595" w:rsidRDefault="00D61595">
            <w:pPr>
              <w:pStyle w:val="TableParagraph"/>
              <w:mirrorIndents/>
              <w:rPr>
                <w:rFonts w:ascii="Times New Roman" w:hAnsi="Times New Roman" w:cs="Times New Roman"/>
              </w:rPr>
            </w:pPr>
            <w:r>
              <w:rPr>
                <w:rFonts w:ascii="Times New Roman" w:hAnsi="Times New Roman" w:cs="Times New Roman"/>
              </w:rPr>
              <w:t>100 patientår**</w:t>
            </w:r>
          </w:p>
        </w:tc>
      </w:tr>
      <w:tr w:rsidR="00D61595" w:rsidTr="00D61595">
        <w:trPr>
          <w:trHeight w:val="506"/>
        </w:trPr>
        <w:tc>
          <w:tcPr>
            <w:tcW w:w="3547" w:type="dxa"/>
            <w:vMerge/>
            <w:tcBorders>
              <w:top w:val="single" w:sz="4" w:space="0" w:color="000000"/>
              <w:left w:val="single" w:sz="4" w:space="0" w:color="000000"/>
              <w:bottom w:val="single" w:sz="4" w:space="0" w:color="000000"/>
              <w:right w:val="single" w:sz="4" w:space="0" w:color="000000"/>
            </w:tcBorders>
            <w:vAlign w:val="center"/>
            <w:hideMark/>
          </w:tcPr>
          <w:p w:rsidR="00D61595" w:rsidRDefault="00D61595">
            <w:pPr>
              <w:rPr>
                <w:rFonts w:ascii="Times New Roman" w:hAnsi="Times New Roman" w:cs="Times New Roman"/>
                <w:sz w:val="22"/>
                <w:lang w:val="da-DK"/>
              </w:rPr>
            </w:pPr>
          </w:p>
        </w:tc>
        <w:tc>
          <w:tcPr>
            <w:tcW w:w="240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rPr>
            </w:pPr>
            <w:r>
              <w:t>8,38 per</w:t>
            </w:r>
          </w:p>
          <w:p w:rsidR="00D61595" w:rsidRDefault="00D61595">
            <w:pPr>
              <w:pStyle w:val="TableParagraph"/>
              <w:mirrorIndents/>
              <w:rPr>
                <w:rFonts w:ascii="Times New Roman" w:hAnsi="Times New Roman" w:cs="Times New Roman"/>
              </w:rPr>
            </w:pPr>
            <w:r>
              <w:t xml:space="preserve">100 patientår </w:t>
            </w:r>
            <w:r>
              <w:rPr>
                <w:vertAlign w:val="superscript"/>
              </w:rPr>
              <w:t>#</w:t>
            </w:r>
          </w:p>
        </w:tc>
        <w:tc>
          <w:tcPr>
            <w:tcW w:w="311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mirrorIndents/>
              <w:rPr>
                <w:rFonts w:ascii="Times New Roman" w:hAnsi="Times New Roman" w:cs="Times New Roman"/>
              </w:rPr>
            </w:pPr>
            <w:r>
              <w:t>0,74 per</w:t>
            </w:r>
          </w:p>
          <w:p w:rsidR="00D61595" w:rsidRDefault="00D61595">
            <w:pPr>
              <w:pStyle w:val="TableParagraph"/>
              <w:mirrorIndents/>
              <w:rPr>
                <w:rFonts w:ascii="Times New Roman" w:hAnsi="Times New Roman" w:cs="Times New Roman"/>
              </w:rPr>
            </w:pPr>
            <w:r>
              <w:t xml:space="preserve">100 patientår *** </w:t>
            </w:r>
            <w:r>
              <w:rPr>
                <w:vertAlign w:val="superscript"/>
              </w:rPr>
              <w:t>#</w:t>
            </w:r>
          </w:p>
        </w:tc>
      </w:tr>
    </w:tbl>
    <w:p w:rsidR="00D61595" w:rsidRDefault="00D61595" w:rsidP="00D61595">
      <w:pPr>
        <w:pStyle w:val="Sidehoved"/>
        <w:tabs>
          <w:tab w:val="left" w:pos="851"/>
        </w:tabs>
        <w:ind w:left="851"/>
        <w:rPr>
          <w:sz w:val="22"/>
          <w:szCs w:val="22"/>
        </w:rPr>
      </w:pPr>
      <w:r>
        <w:rPr>
          <w:sz w:val="22"/>
          <w:szCs w:val="22"/>
        </w:rPr>
        <w:t>* For alle rivaroxabanstudierne blev alle blødningshændelser indsamlet, rapporteret og</w:t>
      </w:r>
      <w:r>
        <w:rPr>
          <w:spacing w:val="-1"/>
          <w:sz w:val="22"/>
          <w:szCs w:val="22"/>
        </w:rPr>
        <w:t xml:space="preserve"> </w:t>
      </w:r>
      <w:r>
        <w:rPr>
          <w:sz w:val="22"/>
          <w:szCs w:val="22"/>
        </w:rPr>
        <w:t>bedømt.</w:t>
      </w:r>
    </w:p>
    <w:p w:rsidR="00D61595" w:rsidRDefault="00D61595" w:rsidP="00D61595">
      <w:pPr>
        <w:pStyle w:val="Sidehoved"/>
        <w:tabs>
          <w:tab w:val="left" w:pos="851"/>
        </w:tabs>
        <w:ind w:left="851"/>
        <w:rPr>
          <w:sz w:val="22"/>
          <w:szCs w:val="22"/>
        </w:rPr>
      </w:pPr>
      <w:r>
        <w:rPr>
          <w:sz w:val="22"/>
          <w:szCs w:val="22"/>
        </w:rPr>
        <w:t>** I COMPASS-studiet er der en lav forekomst af anæmi, da der blev benyttet en selektiv metode for indsamlingen af uønskede hændelser</w:t>
      </w:r>
    </w:p>
    <w:p w:rsidR="00D61595" w:rsidRDefault="00D61595" w:rsidP="00D61595">
      <w:pPr>
        <w:pStyle w:val="Sidehoved"/>
        <w:tabs>
          <w:tab w:val="left" w:pos="851"/>
        </w:tabs>
        <w:ind w:left="851"/>
        <w:rPr>
          <w:sz w:val="22"/>
          <w:szCs w:val="22"/>
        </w:rPr>
      </w:pPr>
      <w:r>
        <w:rPr>
          <w:sz w:val="22"/>
          <w:szCs w:val="22"/>
        </w:rPr>
        <w:t>*** En selektiv indfaldsvinkel til indsamling af uønskede hændelser blev anvendt</w:t>
      </w:r>
    </w:p>
    <w:p w:rsidR="00D61595" w:rsidRDefault="00D61595" w:rsidP="00D61595">
      <w:pPr>
        <w:pStyle w:val="Sidehoved"/>
        <w:tabs>
          <w:tab w:val="left" w:pos="851"/>
        </w:tabs>
        <w:ind w:left="851"/>
        <w:rPr>
          <w:b/>
          <w:sz w:val="22"/>
          <w:szCs w:val="22"/>
        </w:rPr>
      </w:pPr>
      <w:r>
        <w:rPr>
          <w:sz w:val="22"/>
          <w:szCs w:val="22"/>
        </w:rPr>
        <w:t># Fra VOYAGER</w:t>
      </w:r>
      <w:r>
        <w:rPr>
          <w:spacing w:val="-2"/>
          <w:sz w:val="22"/>
          <w:szCs w:val="22"/>
        </w:rPr>
        <w:t xml:space="preserve"> </w:t>
      </w:r>
      <w:r>
        <w:rPr>
          <w:sz w:val="22"/>
          <w:szCs w:val="22"/>
        </w:rPr>
        <w:t>PAD-studiet</w:t>
      </w:r>
    </w:p>
    <w:p w:rsidR="00D61595" w:rsidRDefault="00D61595" w:rsidP="00D61595">
      <w:pPr>
        <w:pStyle w:val="Sidehoved"/>
        <w:tabs>
          <w:tab w:val="left" w:pos="851"/>
        </w:tabs>
        <w:ind w:left="851"/>
        <w:rPr>
          <w:b/>
          <w:szCs w:val="24"/>
        </w:rPr>
      </w:pPr>
    </w:p>
    <w:p w:rsidR="00D61595" w:rsidRDefault="00D61595" w:rsidP="00D61595">
      <w:pPr>
        <w:pStyle w:val="Sidehoved"/>
        <w:tabs>
          <w:tab w:val="left" w:pos="851"/>
        </w:tabs>
        <w:ind w:left="851"/>
        <w:rPr>
          <w:szCs w:val="24"/>
          <w:u w:val="single"/>
        </w:rPr>
      </w:pPr>
      <w:r>
        <w:rPr>
          <w:szCs w:val="24"/>
          <w:u w:val="single"/>
        </w:rPr>
        <w:t>Sammendrag af bivirkningerne i tabelform</w:t>
      </w:r>
    </w:p>
    <w:p w:rsidR="00D61595" w:rsidRDefault="00D61595" w:rsidP="00D61595">
      <w:pPr>
        <w:pStyle w:val="Sidehoved"/>
        <w:tabs>
          <w:tab w:val="left" w:pos="851"/>
        </w:tabs>
        <w:ind w:left="851"/>
        <w:rPr>
          <w:szCs w:val="24"/>
        </w:rPr>
      </w:pPr>
      <w:r>
        <w:rPr>
          <w:szCs w:val="24"/>
        </w:rPr>
        <w:t xml:space="preserve">De bivirkninger, der er set med Rivadia </w:t>
      </w:r>
      <w:r>
        <w:t>hos voksne og pædiatriske patienter</w:t>
      </w:r>
      <w:r>
        <w:rPr>
          <w:szCs w:val="24"/>
        </w:rPr>
        <w:t>, er sammenfattet i tabel 3 nedenfor efter systemorganklasse (i henhold til MedDRA) og hyppighed.</w:t>
      </w:r>
    </w:p>
    <w:p w:rsidR="00D61595" w:rsidRDefault="00D61595" w:rsidP="00D61595">
      <w:pPr>
        <w:pStyle w:val="Sidehoved"/>
        <w:tabs>
          <w:tab w:val="left" w:pos="851"/>
        </w:tabs>
        <w:ind w:left="851"/>
        <w:rPr>
          <w:szCs w:val="24"/>
        </w:rPr>
      </w:pPr>
    </w:p>
    <w:p w:rsidR="00D61595" w:rsidRDefault="00D61595" w:rsidP="00D61595">
      <w:pPr>
        <w:pStyle w:val="Sidehoved"/>
        <w:tabs>
          <w:tab w:val="left" w:pos="851"/>
        </w:tabs>
        <w:ind w:left="851"/>
        <w:rPr>
          <w:szCs w:val="24"/>
        </w:rPr>
      </w:pPr>
      <w:r>
        <w:rPr>
          <w:szCs w:val="24"/>
        </w:rPr>
        <w:t xml:space="preserve">Hyppighed defineres som: </w:t>
      </w:r>
    </w:p>
    <w:p w:rsidR="00D61595" w:rsidRDefault="00D61595" w:rsidP="00D61595">
      <w:pPr>
        <w:pStyle w:val="Sidehoved"/>
        <w:tabs>
          <w:tab w:val="left" w:pos="851"/>
        </w:tabs>
        <w:ind w:left="851"/>
        <w:rPr>
          <w:szCs w:val="24"/>
        </w:rPr>
      </w:pPr>
      <w:r>
        <w:rPr>
          <w:szCs w:val="24"/>
        </w:rPr>
        <w:t xml:space="preserve">Meget almindelig (≥ 1/10) </w:t>
      </w:r>
    </w:p>
    <w:p w:rsidR="00D61595" w:rsidRDefault="00D61595" w:rsidP="00D61595">
      <w:pPr>
        <w:pStyle w:val="Sidehoved"/>
        <w:tabs>
          <w:tab w:val="left" w:pos="851"/>
        </w:tabs>
        <w:ind w:left="851"/>
        <w:rPr>
          <w:szCs w:val="24"/>
        </w:rPr>
      </w:pPr>
      <w:r>
        <w:rPr>
          <w:szCs w:val="24"/>
        </w:rPr>
        <w:t>Almindelig (≥ 1/100 til &lt; 1/10)</w:t>
      </w:r>
    </w:p>
    <w:p w:rsidR="00D61595" w:rsidRDefault="00D61595" w:rsidP="00D61595">
      <w:pPr>
        <w:pStyle w:val="Sidehoved"/>
        <w:tabs>
          <w:tab w:val="left" w:pos="851"/>
        </w:tabs>
        <w:ind w:left="851"/>
        <w:rPr>
          <w:szCs w:val="24"/>
        </w:rPr>
      </w:pPr>
      <w:r>
        <w:rPr>
          <w:szCs w:val="24"/>
        </w:rPr>
        <w:t xml:space="preserve">Ikke almindelig (≥ 1/1.000 til &lt; 1/100) </w:t>
      </w:r>
    </w:p>
    <w:p w:rsidR="00D61595" w:rsidRDefault="00D61595" w:rsidP="00D61595">
      <w:pPr>
        <w:pStyle w:val="Sidehoved"/>
        <w:tabs>
          <w:tab w:val="left" w:pos="851"/>
        </w:tabs>
        <w:ind w:left="851"/>
        <w:rPr>
          <w:szCs w:val="24"/>
        </w:rPr>
      </w:pPr>
      <w:r>
        <w:rPr>
          <w:szCs w:val="24"/>
        </w:rPr>
        <w:t xml:space="preserve">Sjælden (≥ 1/10.000 til &lt; 1/1.000) </w:t>
      </w:r>
    </w:p>
    <w:p w:rsidR="00D61595" w:rsidRDefault="00D61595" w:rsidP="00D61595">
      <w:pPr>
        <w:pStyle w:val="Sidehoved"/>
        <w:tabs>
          <w:tab w:val="left" w:pos="851"/>
        </w:tabs>
        <w:ind w:left="851"/>
        <w:rPr>
          <w:szCs w:val="24"/>
        </w:rPr>
      </w:pPr>
      <w:r>
        <w:rPr>
          <w:szCs w:val="24"/>
        </w:rPr>
        <w:t xml:space="preserve">Meget sjælden (&lt; 10.000) </w:t>
      </w:r>
    </w:p>
    <w:p w:rsidR="00D61595" w:rsidRDefault="00D61595" w:rsidP="00D61595">
      <w:pPr>
        <w:pStyle w:val="Sidehoved"/>
        <w:tabs>
          <w:tab w:val="left" w:pos="851"/>
        </w:tabs>
        <w:ind w:left="851"/>
        <w:rPr>
          <w:szCs w:val="24"/>
        </w:rPr>
      </w:pPr>
      <w:r>
        <w:rPr>
          <w:szCs w:val="24"/>
        </w:rPr>
        <w:t>Ikke kendt (kan ikke estimeres ud fra de forhåndenværende data)</w:t>
      </w:r>
    </w:p>
    <w:p w:rsidR="00D61595" w:rsidRDefault="00D61595" w:rsidP="00D61595">
      <w:pPr>
        <w:pStyle w:val="Sidehoved"/>
        <w:tabs>
          <w:tab w:val="left" w:pos="851"/>
        </w:tabs>
        <w:ind w:left="851"/>
        <w:rPr>
          <w:szCs w:val="24"/>
        </w:rPr>
      </w:pPr>
    </w:p>
    <w:p w:rsidR="00D61595" w:rsidRDefault="00D61595" w:rsidP="00D61595">
      <w:pPr>
        <w:pStyle w:val="Overskrift2"/>
        <w:spacing w:before="62"/>
        <w:ind w:left="858"/>
        <w:rPr>
          <w:sz w:val="24"/>
          <w:szCs w:val="24"/>
          <w:lang w:val="da-DK"/>
        </w:rPr>
      </w:pPr>
      <w:r>
        <w:rPr>
          <w:sz w:val="24"/>
          <w:szCs w:val="24"/>
          <w:lang w:val="da-DK"/>
        </w:rPr>
        <w:t>Tabel 3: Alle indberettede bivirkninger hos voksne patienter i kliniske fase III-studier eller efter markedsføring* og i 2 fase II-studier og 2 fase III-studier hos pædiatriske patienter</w:t>
      </w:r>
    </w:p>
    <w:tbl>
      <w:tblPr>
        <w:tblW w:w="9480"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3"/>
        <w:gridCol w:w="2125"/>
        <w:gridCol w:w="1858"/>
        <w:gridCol w:w="1967"/>
        <w:gridCol w:w="1417"/>
      </w:tblGrid>
      <w:tr w:rsidR="00D61595" w:rsidTr="00D61595">
        <w:trPr>
          <w:trHeight w:val="258"/>
        </w:trPr>
        <w:tc>
          <w:tcPr>
            <w:tcW w:w="2114" w:type="dxa"/>
            <w:tcBorders>
              <w:top w:val="single" w:sz="4" w:space="0" w:color="000000"/>
              <w:left w:val="single" w:sz="4" w:space="0" w:color="000000"/>
              <w:bottom w:val="single" w:sz="4" w:space="0" w:color="000000"/>
              <w:right w:val="single" w:sz="4" w:space="0" w:color="000000"/>
            </w:tcBorders>
            <w:shd w:val="clear" w:color="auto" w:fill="B3B3B3"/>
            <w:hideMark/>
          </w:tcPr>
          <w:p w:rsidR="00D61595" w:rsidRDefault="00D61595">
            <w:pPr>
              <w:pStyle w:val="TableParagraph"/>
              <w:spacing w:before="5" w:line="233" w:lineRule="exact"/>
              <w:ind w:left="28"/>
              <w:rPr>
                <w:b/>
              </w:rPr>
            </w:pPr>
            <w:r>
              <w:rPr>
                <w:b/>
              </w:rPr>
              <w:t>Almindelig</w:t>
            </w:r>
          </w:p>
        </w:tc>
        <w:tc>
          <w:tcPr>
            <w:tcW w:w="2126" w:type="dxa"/>
            <w:tcBorders>
              <w:top w:val="single" w:sz="4" w:space="0" w:color="000000"/>
              <w:left w:val="single" w:sz="4" w:space="0" w:color="000000"/>
              <w:bottom w:val="single" w:sz="4" w:space="0" w:color="000000"/>
              <w:right w:val="single" w:sz="4" w:space="0" w:color="000000"/>
            </w:tcBorders>
            <w:shd w:val="clear" w:color="auto" w:fill="B3B3B3"/>
            <w:hideMark/>
          </w:tcPr>
          <w:p w:rsidR="00D61595" w:rsidRDefault="00D61595">
            <w:pPr>
              <w:pStyle w:val="TableParagraph"/>
              <w:spacing w:before="5" w:line="233" w:lineRule="exact"/>
              <w:ind w:left="28"/>
              <w:rPr>
                <w:b/>
              </w:rPr>
            </w:pPr>
            <w:r>
              <w:rPr>
                <w:b/>
              </w:rPr>
              <w:t>Ikke almindelig</w:t>
            </w:r>
          </w:p>
        </w:tc>
        <w:tc>
          <w:tcPr>
            <w:tcW w:w="1859" w:type="dxa"/>
            <w:tcBorders>
              <w:top w:val="single" w:sz="4" w:space="0" w:color="000000"/>
              <w:left w:val="single" w:sz="4" w:space="0" w:color="000000"/>
              <w:bottom w:val="single" w:sz="4" w:space="0" w:color="000000"/>
              <w:right w:val="single" w:sz="4" w:space="0" w:color="000000"/>
            </w:tcBorders>
            <w:shd w:val="clear" w:color="auto" w:fill="B3B3B3"/>
            <w:hideMark/>
          </w:tcPr>
          <w:p w:rsidR="00D61595" w:rsidRDefault="00D61595">
            <w:pPr>
              <w:pStyle w:val="TableParagraph"/>
              <w:spacing w:before="5" w:line="233" w:lineRule="exact"/>
              <w:ind w:left="29"/>
              <w:rPr>
                <w:b/>
              </w:rPr>
            </w:pPr>
            <w:r>
              <w:rPr>
                <w:b/>
              </w:rPr>
              <w:t>Sjælden</w:t>
            </w:r>
          </w:p>
        </w:tc>
        <w:tc>
          <w:tcPr>
            <w:tcW w:w="1968" w:type="dxa"/>
            <w:tcBorders>
              <w:top w:val="single" w:sz="4" w:space="0" w:color="000000"/>
              <w:left w:val="single" w:sz="4" w:space="0" w:color="000000"/>
              <w:bottom w:val="single" w:sz="4" w:space="0" w:color="000000"/>
              <w:right w:val="single" w:sz="4" w:space="0" w:color="000000"/>
            </w:tcBorders>
            <w:shd w:val="clear" w:color="auto" w:fill="B3B3B3"/>
            <w:hideMark/>
          </w:tcPr>
          <w:p w:rsidR="00D61595" w:rsidRDefault="00D61595">
            <w:pPr>
              <w:pStyle w:val="TableParagraph"/>
              <w:spacing w:before="5" w:line="233" w:lineRule="exact"/>
              <w:ind w:left="29"/>
              <w:rPr>
                <w:b/>
              </w:rPr>
            </w:pPr>
            <w:r>
              <w:rPr>
                <w:b/>
              </w:rPr>
              <w:t>Meget sjælden</w:t>
            </w:r>
          </w:p>
        </w:tc>
        <w:tc>
          <w:tcPr>
            <w:tcW w:w="1418" w:type="dxa"/>
            <w:tcBorders>
              <w:top w:val="single" w:sz="4" w:space="0" w:color="000000"/>
              <w:left w:val="single" w:sz="4" w:space="0" w:color="000000"/>
              <w:bottom w:val="single" w:sz="4" w:space="0" w:color="000000"/>
              <w:right w:val="single" w:sz="4" w:space="0" w:color="000000"/>
            </w:tcBorders>
            <w:shd w:val="clear" w:color="auto" w:fill="B3B3B3"/>
            <w:hideMark/>
          </w:tcPr>
          <w:p w:rsidR="00D61595" w:rsidRDefault="00D61595">
            <w:pPr>
              <w:pStyle w:val="TableParagraph"/>
              <w:spacing w:before="5" w:line="233" w:lineRule="exact"/>
              <w:ind w:left="29"/>
              <w:rPr>
                <w:b/>
              </w:rPr>
            </w:pPr>
            <w:r>
              <w:rPr>
                <w:b/>
              </w:rPr>
              <w:t>Ikke kendt</w:t>
            </w:r>
          </w:p>
        </w:tc>
      </w:tr>
      <w:tr w:rsidR="00D61595" w:rsidTr="00D61595">
        <w:trPr>
          <w:trHeight w:val="258"/>
        </w:trPr>
        <w:tc>
          <w:tcPr>
            <w:tcW w:w="9485" w:type="dxa"/>
            <w:gridSpan w:val="5"/>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5" w:line="233" w:lineRule="exact"/>
              <w:ind w:left="28"/>
              <w:rPr>
                <w:b/>
              </w:rPr>
            </w:pPr>
            <w:r>
              <w:rPr>
                <w:b/>
              </w:rPr>
              <w:t>Blod og lymfesystem</w:t>
            </w:r>
          </w:p>
        </w:tc>
      </w:tr>
      <w:tr w:rsidR="00D61595" w:rsidTr="00D61595">
        <w:trPr>
          <w:trHeight w:val="777"/>
        </w:trPr>
        <w:tc>
          <w:tcPr>
            <w:tcW w:w="2114"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line="242" w:lineRule="auto"/>
              <w:ind w:left="28" w:right="424"/>
              <w:rPr>
                <w:lang w:val="de-DE"/>
              </w:rPr>
            </w:pPr>
            <w:r>
              <w:rPr>
                <w:lang w:val="de-DE"/>
              </w:rPr>
              <w:t>Anæmi (herunder respektive</w:t>
            </w:r>
          </w:p>
          <w:p w:rsidR="00D61595" w:rsidRDefault="00D61595">
            <w:pPr>
              <w:pStyle w:val="TableParagraph"/>
              <w:spacing w:before="2" w:line="238" w:lineRule="exact"/>
              <w:ind w:left="28"/>
              <w:rPr>
                <w:lang w:val="de-DE"/>
              </w:rPr>
            </w:pPr>
            <w:r>
              <w:rPr>
                <w:lang w:val="de-DE"/>
              </w:rPr>
              <w:t>Laboratorie-parametre)</w:t>
            </w:r>
          </w:p>
        </w:tc>
        <w:tc>
          <w:tcPr>
            <w:tcW w:w="212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line="242" w:lineRule="auto"/>
              <w:ind w:left="28" w:right="360"/>
              <w:rPr>
                <w:lang w:val="sv-SE"/>
              </w:rPr>
            </w:pPr>
            <w:r>
              <w:rPr>
                <w:lang w:val="sv-SE"/>
              </w:rPr>
              <w:t>Trombocytose (inkl. forhøjet</w:t>
            </w:r>
          </w:p>
          <w:p w:rsidR="00D61595" w:rsidRDefault="00D61595">
            <w:pPr>
              <w:pStyle w:val="TableParagraph"/>
              <w:spacing w:line="240" w:lineRule="exact"/>
              <w:ind w:left="28"/>
              <w:rPr>
                <w:position w:val="8"/>
                <w:sz w:val="14"/>
                <w:lang w:val="sv-SE"/>
              </w:rPr>
            </w:pPr>
            <w:proofErr w:type="gramStart"/>
            <w:r>
              <w:rPr>
                <w:lang w:val="sv-SE"/>
              </w:rPr>
              <w:t>trombocyttal)</w:t>
            </w:r>
            <w:r>
              <w:rPr>
                <w:position w:val="8"/>
                <w:sz w:val="14"/>
                <w:lang w:val="sv-SE"/>
              </w:rPr>
              <w:t>A</w:t>
            </w:r>
            <w:proofErr w:type="gramEnd"/>
          </w:p>
          <w:p w:rsidR="00D61595" w:rsidRDefault="00D61595">
            <w:pPr>
              <w:pStyle w:val="TableParagraph"/>
              <w:spacing w:line="240" w:lineRule="exact"/>
              <w:ind w:left="28"/>
              <w:rPr>
                <w:lang w:val="sv-SE"/>
              </w:rPr>
            </w:pPr>
            <w:r>
              <w:t>trombocytopeni</w:t>
            </w:r>
          </w:p>
        </w:tc>
        <w:tc>
          <w:tcPr>
            <w:tcW w:w="1859"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lang w:val="sv-SE"/>
              </w:rPr>
            </w:pPr>
          </w:p>
        </w:tc>
        <w:tc>
          <w:tcPr>
            <w:tcW w:w="196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lang w:val="sv-SE"/>
              </w:rPr>
            </w:pPr>
          </w:p>
        </w:tc>
        <w:tc>
          <w:tcPr>
            <w:tcW w:w="141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lang w:val="sv-SE"/>
              </w:rPr>
            </w:pPr>
          </w:p>
        </w:tc>
      </w:tr>
      <w:tr w:rsidR="00D61595" w:rsidTr="00D61595">
        <w:trPr>
          <w:trHeight w:val="258"/>
        </w:trPr>
        <w:tc>
          <w:tcPr>
            <w:tcW w:w="9485" w:type="dxa"/>
            <w:gridSpan w:val="5"/>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5" w:line="233" w:lineRule="exact"/>
              <w:ind w:left="28"/>
              <w:rPr>
                <w:b/>
              </w:rPr>
            </w:pPr>
            <w:r>
              <w:rPr>
                <w:b/>
              </w:rPr>
              <w:t>Immunsystemet</w:t>
            </w:r>
          </w:p>
        </w:tc>
      </w:tr>
      <w:tr w:rsidR="00D61595" w:rsidTr="00D61595">
        <w:trPr>
          <w:trHeight w:val="518"/>
        </w:trPr>
        <w:tc>
          <w:tcPr>
            <w:tcW w:w="2114"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c>
          <w:tcPr>
            <w:tcW w:w="212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ind w:left="28"/>
              <w:rPr>
                <w:lang w:val="de-DE"/>
              </w:rPr>
            </w:pPr>
            <w:r>
              <w:rPr>
                <w:lang w:val="de-DE"/>
              </w:rPr>
              <w:t>Allergisk reaktion,</w:t>
            </w:r>
          </w:p>
          <w:p w:rsidR="00D61595" w:rsidRDefault="00D61595">
            <w:pPr>
              <w:pStyle w:val="TableParagraph"/>
              <w:spacing w:before="6" w:line="238" w:lineRule="exact"/>
              <w:ind w:left="28"/>
              <w:rPr>
                <w:lang w:val="de-DE"/>
              </w:rPr>
            </w:pPr>
            <w:r>
              <w:rPr>
                <w:lang w:val="de-DE"/>
              </w:rPr>
              <w:t>allergisk dermatitis,</w:t>
            </w:r>
          </w:p>
          <w:p w:rsidR="00D61595" w:rsidRDefault="00D61595">
            <w:pPr>
              <w:pStyle w:val="TableParagraph"/>
              <w:spacing w:before="6" w:line="238" w:lineRule="exact"/>
              <w:ind w:left="28"/>
              <w:rPr>
                <w:lang w:val="de-DE"/>
              </w:rPr>
            </w:pPr>
            <w:r>
              <w:rPr>
                <w:lang w:val="de-DE"/>
              </w:rPr>
              <w:t>angioødem og allergisk ødem</w:t>
            </w:r>
          </w:p>
        </w:tc>
        <w:tc>
          <w:tcPr>
            <w:tcW w:w="1859"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lang w:val="de-DE"/>
              </w:rPr>
            </w:pPr>
          </w:p>
        </w:tc>
        <w:tc>
          <w:tcPr>
            <w:tcW w:w="196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0"/>
              <w:rPr>
                <w:lang w:val="de-DE"/>
              </w:rPr>
            </w:pPr>
            <w:r>
              <w:rPr>
                <w:lang w:val="de-DE"/>
              </w:rPr>
              <w:t>Anafylaktiske reaktioner, herunder anafylaktisk shock</w:t>
            </w:r>
          </w:p>
        </w:tc>
        <w:tc>
          <w:tcPr>
            <w:tcW w:w="141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lang w:val="de-DE"/>
              </w:rPr>
            </w:pPr>
          </w:p>
        </w:tc>
      </w:tr>
      <w:tr w:rsidR="00D61595" w:rsidTr="00D61595">
        <w:trPr>
          <w:trHeight w:val="258"/>
        </w:trPr>
        <w:tc>
          <w:tcPr>
            <w:tcW w:w="9485" w:type="dxa"/>
            <w:gridSpan w:val="5"/>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5" w:line="233" w:lineRule="exact"/>
              <w:ind w:left="28"/>
              <w:rPr>
                <w:b/>
              </w:rPr>
            </w:pPr>
            <w:r>
              <w:rPr>
                <w:b/>
              </w:rPr>
              <w:t>Nervesystemet</w:t>
            </w:r>
          </w:p>
        </w:tc>
      </w:tr>
      <w:tr w:rsidR="00D61595" w:rsidTr="00D61595">
        <w:trPr>
          <w:trHeight w:val="777"/>
        </w:trPr>
        <w:tc>
          <w:tcPr>
            <w:tcW w:w="2114"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line="242" w:lineRule="auto"/>
              <w:ind w:left="28"/>
            </w:pPr>
            <w:r>
              <w:t>Svimmelhed, hovedpine</w:t>
            </w:r>
          </w:p>
        </w:tc>
        <w:tc>
          <w:tcPr>
            <w:tcW w:w="212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ind w:left="28"/>
              <w:rPr>
                <w:lang w:val="nb-NO"/>
              </w:rPr>
            </w:pPr>
            <w:r>
              <w:rPr>
                <w:lang w:val="nb-NO"/>
              </w:rPr>
              <w:t>Cerebral og</w:t>
            </w:r>
          </w:p>
          <w:p w:rsidR="00D61595" w:rsidRDefault="00D61595">
            <w:pPr>
              <w:pStyle w:val="TableParagraph"/>
              <w:spacing w:line="260" w:lineRule="atLeast"/>
              <w:ind w:left="28" w:right="180"/>
              <w:rPr>
                <w:lang w:val="nb-NO"/>
              </w:rPr>
            </w:pPr>
            <w:r>
              <w:rPr>
                <w:lang w:val="nb-NO"/>
              </w:rPr>
              <w:t>intrakraniel blødning, synkope</w:t>
            </w:r>
          </w:p>
        </w:tc>
        <w:tc>
          <w:tcPr>
            <w:tcW w:w="1859"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lang w:val="nb-NO"/>
              </w:rPr>
            </w:pPr>
          </w:p>
        </w:tc>
        <w:tc>
          <w:tcPr>
            <w:tcW w:w="196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lang w:val="nb-NO"/>
              </w:rPr>
            </w:pPr>
          </w:p>
        </w:tc>
        <w:tc>
          <w:tcPr>
            <w:tcW w:w="141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lang w:val="nb-NO"/>
              </w:rPr>
            </w:pPr>
          </w:p>
        </w:tc>
      </w:tr>
      <w:tr w:rsidR="00D61595" w:rsidTr="00D61595">
        <w:trPr>
          <w:trHeight w:val="258"/>
        </w:trPr>
        <w:tc>
          <w:tcPr>
            <w:tcW w:w="9485" w:type="dxa"/>
            <w:gridSpan w:val="5"/>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5" w:line="233" w:lineRule="exact"/>
              <w:ind w:left="28"/>
              <w:rPr>
                <w:b/>
              </w:rPr>
            </w:pPr>
            <w:r>
              <w:rPr>
                <w:b/>
              </w:rPr>
              <w:t>Øjne</w:t>
            </w:r>
          </w:p>
        </w:tc>
      </w:tr>
      <w:tr w:rsidR="00D61595" w:rsidTr="00D61595">
        <w:trPr>
          <w:trHeight w:val="777"/>
        </w:trPr>
        <w:tc>
          <w:tcPr>
            <w:tcW w:w="2114"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line="242" w:lineRule="auto"/>
              <w:ind w:left="28" w:right="142"/>
              <w:rPr>
                <w:lang w:val="da-DK"/>
              </w:rPr>
            </w:pPr>
            <w:r>
              <w:rPr>
                <w:lang w:val="da-DK"/>
              </w:rPr>
              <w:t>Blødning i øjet (herunder konjunktiva)</w:t>
            </w:r>
          </w:p>
        </w:tc>
        <w:tc>
          <w:tcPr>
            <w:tcW w:w="2126"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lang w:val="da-DK"/>
              </w:rPr>
            </w:pPr>
          </w:p>
        </w:tc>
        <w:tc>
          <w:tcPr>
            <w:tcW w:w="1859"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lang w:val="da-DK"/>
              </w:rPr>
            </w:pPr>
          </w:p>
        </w:tc>
        <w:tc>
          <w:tcPr>
            <w:tcW w:w="196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lang w:val="da-DK"/>
              </w:rPr>
            </w:pPr>
          </w:p>
        </w:tc>
        <w:tc>
          <w:tcPr>
            <w:tcW w:w="141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lang w:val="da-DK"/>
              </w:rPr>
            </w:pPr>
          </w:p>
        </w:tc>
      </w:tr>
      <w:tr w:rsidR="00D61595" w:rsidTr="00D61595">
        <w:trPr>
          <w:trHeight w:val="258"/>
        </w:trPr>
        <w:tc>
          <w:tcPr>
            <w:tcW w:w="9485" w:type="dxa"/>
            <w:gridSpan w:val="5"/>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5" w:line="233" w:lineRule="exact"/>
              <w:ind w:left="28"/>
              <w:rPr>
                <w:b/>
              </w:rPr>
            </w:pPr>
            <w:r>
              <w:rPr>
                <w:b/>
              </w:rPr>
              <w:t>Hjerte</w:t>
            </w:r>
          </w:p>
        </w:tc>
      </w:tr>
      <w:tr w:rsidR="00D61595" w:rsidTr="00D61595">
        <w:trPr>
          <w:trHeight w:val="258"/>
        </w:trPr>
        <w:tc>
          <w:tcPr>
            <w:tcW w:w="2114"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sz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line="238" w:lineRule="exact"/>
              <w:ind w:left="28"/>
            </w:pPr>
            <w:r>
              <w:t>Takykardi</w:t>
            </w:r>
          </w:p>
        </w:tc>
        <w:tc>
          <w:tcPr>
            <w:tcW w:w="1859"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sz w:val="18"/>
              </w:rPr>
            </w:pPr>
          </w:p>
        </w:tc>
        <w:tc>
          <w:tcPr>
            <w:tcW w:w="196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sz w:val="18"/>
              </w:rPr>
            </w:pPr>
          </w:p>
        </w:tc>
        <w:tc>
          <w:tcPr>
            <w:tcW w:w="141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sz w:val="18"/>
              </w:rPr>
            </w:pPr>
          </w:p>
        </w:tc>
      </w:tr>
      <w:tr w:rsidR="00D61595" w:rsidTr="00D61595">
        <w:trPr>
          <w:trHeight w:val="258"/>
        </w:trPr>
        <w:tc>
          <w:tcPr>
            <w:tcW w:w="9485" w:type="dxa"/>
            <w:gridSpan w:val="5"/>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5" w:line="233" w:lineRule="exact"/>
              <w:ind w:left="28"/>
              <w:rPr>
                <w:b/>
              </w:rPr>
            </w:pPr>
            <w:r>
              <w:rPr>
                <w:b/>
              </w:rPr>
              <w:t>Vaskulære sygdomme</w:t>
            </w:r>
          </w:p>
        </w:tc>
      </w:tr>
      <w:tr w:rsidR="00D61595" w:rsidTr="00D61595">
        <w:trPr>
          <w:trHeight w:val="517"/>
        </w:trPr>
        <w:tc>
          <w:tcPr>
            <w:tcW w:w="2114"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ind w:left="28"/>
            </w:pPr>
            <w:r>
              <w:t>Hypotension,</w:t>
            </w:r>
          </w:p>
          <w:p w:rsidR="00D61595" w:rsidRDefault="00D61595">
            <w:pPr>
              <w:pStyle w:val="TableParagraph"/>
              <w:spacing w:before="6" w:line="238" w:lineRule="exact"/>
              <w:ind w:left="28"/>
            </w:pPr>
            <w:r>
              <w:t>hæmatom</w:t>
            </w:r>
          </w:p>
        </w:tc>
        <w:tc>
          <w:tcPr>
            <w:tcW w:w="2126"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c>
          <w:tcPr>
            <w:tcW w:w="1859"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c>
          <w:tcPr>
            <w:tcW w:w="196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c>
          <w:tcPr>
            <w:tcW w:w="141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r>
      <w:tr w:rsidR="00D61595" w:rsidTr="00D61595">
        <w:trPr>
          <w:trHeight w:val="258"/>
        </w:trPr>
        <w:tc>
          <w:tcPr>
            <w:tcW w:w="9485" w:type="dxa"/>
            <w:gridSpan w:val="5"/>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5" w:line="233" w:lineRule="exact"/>
              <w:ind w:left="28"/>
              <w:rPr>
                <w:b/>
              </w:rPr>
            </w:pPr>
            <w:r>
              <w:rPr>
                <w:b/>
              </w:rPr>
              <w:t>Luftveje, thorax og mediastinum</w:t>
            </w:r>
          </w:p>
        </w:tc>
      </w:tr>
      <w:tr w:rsidR="00D61595" w:rsidTr="00D61595">
        <w:trPr>
          <w:trHeight w:val="517"/>
        </w:trPr>
        <w:tc>
          <w:tcPr>
            <w:tcW w:w="2114"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ind w:left="28"/>
            </w:pPr>
            <w:r>
              <w:t>Epistaxis, hæmoptyse</w:t>
            </w:r>
          </w:p>
        </w:tc>
        <w:tc>
          <w:tcPr>
            <w:tcW w:w="2126"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c>
          <w:tcPr>
            <w:tcW w:w="1859"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c>
          <w:tcPr>
            <w:tcW w:w="1968" w:type="dxa"/>
            <w:tcBorders>
              <w:top w:val="single" w:sz="4" w:space="0" w:color="000000"/>
              <w:left w:val="single" w:sz="4" w:space="0" w:color="000000"/>
              <w:bottom w:val="single" w:sz="4" w:space="0" w:color="000000"/>
              <w:right w:val="single" w:sz="4" w:space="0" w:color="000000"/>
            </w:tcBorders>
          </w:tcPr>
          <w:p w:rsidR="00D61595" w:rsidRDefault="00D61595">
            <w:pPr>
              <w:pStyle w:val="Default"/>
              <w:rPr>
                <w:sz w:val="22"/>
                <w:szCs w:val="22"/>
              </w:rPr>
            </w:pPr>
            <w:r>
              <w:rPr>
                <w:sz w:val="22"/>
                <w:szCs w:val="22"/>
              </w:rPr>
              <w:t xml:space="preserve">Eosinofil pneumoni </w:t>
            </w:r>
          </w:p>
          <w:p w:rsidR="00D61595" w:rsidRDefault="00D61595">
            <w:pPr>
              <w:pStyle w:val="TableParagraph"/>
              <w:ind w:left="0"/>
            </w:pPr>
          </w:p>
        </w:tc>
        <w:tc>
          <w:tcPr>
            <w:tcW w:w="141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r>
      <w:tr w:rsidR="00D61595" w:rsidTr="00D61595">
        <w:trPr>
          <w:trHeight w:val="258"/>
        </w:trPr>
        <w:tc>
          <w:tcPr>
            <w:tcW w:w="9485" w:type="dxa"/>
            <w:gridSpan w:val="5"/>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5" w:line="233" w:lineRule="exact"/>
              <w:ind w:left="28"/>
              <w:rPr>
                <w:b/>
              </w:rPr>
            </w:pPr>
            <w:r>
              <w:rPr>
                <w:b/>
              </w:rPr>
              <w:t>Mave-tarm-kanalen</w:t>
            </w:r>
          </w:p>
        </w:tc>
      </w:tr>
      <w:tr w:rsidR="00D61595" w:rsidTr="00D61595">
        <w:trPr>
          <w:trHeight w:val="2591"/>
        </w:trPr>
        <w:tc>
          <w:tcPr>
            <w:tcW w:w="2114"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line="242" w:lineRule="auto"/>
              <w:ind w:left="28" w:right="21"/>
              <w:rPr>
                <w:lang w:val="nb-NO"/>
              </w:rPr>
            </w:pPr>
            <w:r>
              <w:rPr>
                <w:lang w:val="nb-NO"/>
              </w:rPr>
              <w:t>Gingival blødning, blødning fra mave- tarm-kanalen (herunder rektal blødning), gastrointestinale og abdominale smerter, dyspepsi, nausea,</w:t>
            </w:r>
          </w:p>
          <w:p w:rsidR="00D61595" w:rsidRDefault="00D61595">
            <w:pPr>
              <w:pStyle w:val="TableParagraph"/>
              <w:spacing w:before="2" w:line="260" w:lineRule="atLeast"/>
              <w:ind w:left="28" w:right="123"/>
              <w:rPr>
                <w:sz w:val="14"/>
              </w:rPr>
            </w:pPr>
            <w:r>
              <w:t>obstipation</w:t>
            </w:r>
            <w:r>
              <w:rPr>
                <w:position w:val="8"/>
                <w:sz w:val="14"/>
              </w:rPr>
              <w:t>A</w:t>
            </w:r>
            <w:r>
              <w:t>, diaré, opkastning</w:t>
            </w:r>
            <w:r>
              <w:rPr>
                <w:position w:val="8"/>
                <w:sz w:val="14"/>
              </w:rPr>
              <w:t>A</w:t>
            </w:r>
          </w:p>
        </w:tc>
        <w:tc>
          <w:tcPr>
            <w:tcW w:w="212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ind w:left="28"/>
            </w:pPr>
            <w:r>
              <w:t>Mundtørhed</w:t>
            </w:r>
          </w:p>
        </w:tc>
        <w:tc>
          <w:tcPr>
            <w:tcW w:w="1859"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c>
          <w:tcPr>
            <w:tcW w:w="196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c>
          <w:tcPr>
            <w:tcW w:w="141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r>
      <w:tr w:rsidR="00D61595" w:rsidTr="00D61595">
        <w:trPr>
          <w:trHeight w:val="258"/>
        </w:trPr>
        <w:tc>
          <w:tcPr>
            <w:tcW w:w="9485" w:type="dxa"/>
            <w:gridSpan w:val="5"/>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keepNext/>
              <w:widowControl/>
              <w:spacing w:before="5" w:line="233" w:lineRule="exact"/>
              <w:ind w:left="28"/>
              <w:rPr>
                <w:b/>
              </w:rPr>
            </w:pPr>
            <w:r>
              <w:rPr>
                <w:b/>
              </w:rPr>
              <w:t>Lever og galdeveje</w:t>
            </w:r>
          </w:p>
        </w:tc>
      </w:tr>
      <w:tr w:rsidR="00D61595" w:rsidTr="00D61595">
        <w:trPr>
          <w:trHeight w:val="517"/>
        </w:trPr>
        <w:tc>
          <w:tcPr>
            <w:tcW w:w="2114"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0"/>
            </w:pPr>
            <w:r>
              <w:t>Forhøjede aminotransferaser</w:t>
            </w:r>
          </w:p>
        </w:tc>
        <w:tc>
          <w:tcPr>
            <w:tcW w:w="212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ind w:left="28"/>
              <w:rPr>
                <w:lang w:val="da-DK"/>
              </w:rPr>
            </w:pPr>
            <w:r>
              <w:rPr>
                <w:lang w:val="da-DK"/>
              </w:rPr>
              <w:t>Nedsat</w:t>
            </w:r>
          </w:p>
          <w:p w:rsidR="00D61595" w:rsidRDefault="00D61595">
            <w:pPr>
              <w:pStyle w:val="TableParagraph"/>
              <w:spacing w:before="6" w:line="238" w:lineRule="exact"/>
              <w:ind w:left="28"/>
              <w:rPr>
                <w:lang w:val="da-DK"/>
              </w:rPr>
            </w:pPr>
            <w:r>
              <w:rPr>
                <w:lang w:val="da-DK"/>
              </w:rPr>
              <w:t>leverfunktion</w:t>
            </w:r>
          </w:p>
          <w:p w:rsidR="00D61595" w:rsidRDefault="00D61595">
            <w:pPr>
              <w:pStyle w:val="TableParagraph"/>
              <w:spacing w:before="6" w:line="238" w:lineRule="exact"/>
              <w:ind w:left="28"/>
              <w:rPr>
                <w:lang w:val="da-DK"/>
              </w:rPr>
            </w:pPr>
            <w:r>
              <w:rPr>
                <w:lang w:val="da-DK"/>
              </w:rPr>
              <w:t>forhøjet bilirubin, forhøjet basisk serumfosfatase</w:t>
            </w:r>
            <w:r>
              <w:rPr>
                <w:vertAlign w:val="superscript"/>
                <w:lang w:val="da-DK"/>
              </w:rPr>
              <w:t>A</w:t>
            </w:r>
            <w:r>
              <w:rPr>
                <w:lang w:val="da-DK"/>
              </w:rPr>
              <w:t>, forhøjet GGT</w:t>
            </w:r>
            <w:r>
              <w:rPr>
                <w:vertAlign w:val="superscript"/>
                <w:lang w:val="da-DK"/>
              </w:rPr>
              <w:t>A</w:t>
            </w:r>
          </w:p>
        </w:tc>
        <w:tc>
          <w:tcPr>
            <w:tcW w:w="1859"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keepNext/>
              <w:ind w:left="0"/>
              <w:contextualSpacing/>
              <w:mirrorIndents/>
              <w:rPr>
                <w:lang w:val="da-DK"/>
              </w:rPr>
            </w:pPr>
            <w:r>
              <w:rPr>
                <w:lang w:val="da-DK"/>
              </w:rPr>
              <w:t>Gulsot, stigning i konjungeret bilirubin (med eller uden samtidig stigning i ALAT), koletase, hepatitis (inklusive</w:t>
            </w:r>
          </w:p>
          <w:p w:rsidR="00D61595" w:rsidRDefault="00D61595">
            <w:pPr>
              <w:pStyle w:val="TableParagraph"/>
              <w:spacing w:before="1"/>
              <w:ind w:left="29"/>
            </w:pPr>
            <w:r>
              <w:rPr>
                <w:w w:val="95"/>
              </w:rPr>
              <w:t xml:space="preserve">hepatocellulær </w:t>
            </w:r>
            <w:r>
              <w:t>skade)</w:t>
            </w:r>
          </w:p>
        </w:tc>
        <w:tc>
          <w:tcPr>
            <w:tcW w:w="196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c>
          <w:tcPr>
            <w:tcW w:w="141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r>
      <w:tr w:rsidR="00D61595" w:rsidTr="00D61595">
        <w:trPr>
          <w:trHeight w:val="258"/>
        </w:trPr>
        <w:tc>
          <w:tcPr>
            <w:tcW w:w="9485" w:type="dxa"/>
            <w:gridSpan w:val="5"/>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5" w:line="233" w:lineRule="exact"/>
              <w:ind w:left="28"/>
              <w:rPr>
                <w:b/>
              </w:rPr>
            </w:pPr>
            <w:r>
              <w:rPr>
                <w:b/>
              </w:rPr>
              <w:t>Hud og subkutane væv</w:t>
            </w:r>
          </w:p>
        </w:tc>
      </w:tr>
      <w:tr w:rsidR="00D61595" w:rsidRPr="001D71DC" w:rsidTr="00D61595">
        <w:trPr>
          <w:trHeight w:val="1814"/>
        </w:trPr>
        <w:tc>
          <w:tcPr>
            <w:tcW w:w="2114"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line="242" w:lineRule="auto"/>
              <w:ind w:left="28"/>
              <w:rPr>
                <w:lang w:val="da-DK"/>
              </w:rPr>
            </w:pPr>
            <w:r>
              <w:rPr>
                <w:lang w:val="da-DK"/>
              </w:rPr>
              <w:t>Pruritus (herunder ikke almindelige tilfælde af generaliseret pruritus), udslæt,</w:t>
            </w:r>
          </w:p>
          <w:p w:rsidR="00D61595" w:rsidRDefault="00D61595">
            <w:pPr>
              <w:pStyle w:val="TableParagraph"/>
              <w:spacing w:before="3" w:line="260" w:lineRule="exact"/>
              <w:ind w:left="28"/>
              <w:rPr>
                <w:lang w:val="nb-NO"/>
              </w:rPr>
            </w:pPr>
            <w:r>
              <w:rPr>
                <w:lang w:val="nb-NO"/>
              </w:rPr>
              <w:t>ekkymose, kutan og subkutan blødning</w:t>
            </w:r>
          </w:p>
        </w:tc>
        <w:tc>
          <w:tcPr>
            <w:tcW w:w="212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ind w:left="28"/>
            </w:pPr>
            <w:r>
              <w:t>Urticaria</w:t>
            </w:r>
          </w:p>
        </w:tc>
        <w:tc>
          <w:tcPr>
            <w:tcW w:w="1859"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c>
          <w:tcPr>
            <w:tcW w:w="1968" w:type="dxa"/>
            <w:tcBorders>
              <w:top w:val="single" w:sz="4" w:space="0" w:color="000000"/>
              <w:left w:val="single" w:sz="4" w:space="0" w:color="000000"/>
              <w:bottom w:val="single" w:sz="4" w:space="0" w:color="000000"/>
              <w:right w:val="single" w:sz="4" w:space="0" w:color="000000"/>
            </w:tcBorders>
            <w:hideMark/>
          </w:tcPr>
          <w:p w:rsidR="00D61595" w:rsidRPr="00D61595" w:rsidRDefault="00D61595">
            <w:pPr>
              <w:pStyle w:val="TableParagraph"/>
              <w:ind w:left="0"/>
              <w:rPr>
                <w:lang w:val="sv-SE"/>
              </w:rPr>
            </w:pPr>
            <w:r w:rsidRPr="00D61595">
              <w:rPr>
                <w:lang w:val="sv-SE"/>
              </w:rPr>
              <w:t>Stevens-Johnsons syndrom/toksisk epidermal nekrolyse, DRESS syndrom</w:t>
            </w:r>
          </w:p>
        </w:tc>
        <w:tc>
          <w:tcPr>
            <w:tcW w:w="1418" w:type="dxa"/>
            <w:tcBorders>
              <w:top w:val="single" w:sz="4" w:space="0" w:color="000000"/>
              <w:left w:val="single" w:sz="4" w:space="0" w:color="000000"/>
              <w:bottom w:val="single" w:sz="4" w:space="0" w:color="000000"/>
              <w:right w:val="single" w:sz="4" w:space="0" w:color="000000"/>
            </w:tcBorders>
          </w:tcPr>
          <w:p w:rsidR="00D61595" w:rsidRPr="00D61595" w:rsidRDefault="00D61595">
            <w:pPr>
              <w:pStyle w:val="TableParagraph"/>
              <w:ind w:left="0"/>
              <w:rPr>
                <w:lang w:val="sv-SE"/>
              </w:rPr>
            </w:pPr>
          </w:p>
        </w:tc>
      </w:tr>
      <w:tr w:rsidR="00D61595" w:rsidTr="00D61595">
        <w:trPr>
          <w:trHeight w:val="258"/>
        </w:trPr>
        <w:tc>
          <w:tcPr>
            <w:tcW w:w="9485" w:type="dxa"/>
            <w:gridSpan w:val="5"/>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5" w:line="233" w:lineRule="exact"/>
              <w:ind w:left="28"/>
              <w:rPr>
                <w:b/>
                <w:lang w:val="da-DK"/>
              </w:rPr>
            </w:pPr>
            <w:r>
              <w:rPr>
                <w:b/>
                <w:lang w:val="da-DK"/>
              </w:rPr>
              <w:t>Knogler, led, muskler og bindevæv</w:t>
            </w:r>
          </w:p>
        </w:tc>
      </w:tr>
      <w:tr w:rsidR="00D61595" w:rsidTr="00D61595">
        <w:trPr>
          <w:trHeight w:val="518"/>
        </w:trPr>
        <w:tc>
          <w:tcPr>
            <w:tcW w:w="2114"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ind w:left="28"/>
              <w:rPr>
                <w:sz w:val="14"/>
                <w:vertAlign w:val="superscript"/>
              </w:rPr>
            </w:pPr>
            <w:r>
              <w:t>Ekstremitetssmerter</w:t>
            </w:r>
            <w:r>
              <w:rPr>
                <w:vertAlign w:val="superscript"/>
              </w:rPr>
              <w:t>A</w:t>
            </w:r>
          </w:p>
        </w:tc>
        <w:tc>
          <w:tcPr>
            <w:tcW w:w="212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ind w:left="28"/>
            </w:pPr>
            <w:r>
              <w:t>Hæmartrose</w:t>
            </w:r>
          </w:p>
        </w:tc>
        <w:tc>
          <w:tcPr>
            <w:tcW w:w="1859"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ind w:left="29"/>
            </w:pPr>
            <w:r>
              <w:t>Muskelblødning</w:t>
            </w:r>
          </w:p>
        </w:tc>
        <w:tc>
          <w:tcPr>
            <w:tcW w:w="196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spacing w:before="1"/>
              <w:ind w:left="29"/>
            </w:pPr>
          </w:p>
        </w:tc>
        <w:tc>
          <w:tcPr>
            <w:tcW w:w="141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1"/>
              <w:ind w:left="29"/>
            </w:pPr>
            <w:r>
              <w:t>Kompartmentsyndrom</w:t>
            </w:r>
          </w:p>
          <w:p w:rsidR="00D61595" w:rsidRDefault="00D61595">
            <w:pPr>
              <w:pStyle w:val="TableParagraph"/>
              <w:spacing w:before="6" w:line="238" w:lineRule="exact"/>
              <w:ind w:left="29"/>
            </w:pPr>
            <w:r>
              <w:t>sekundært til blødning</w:t>
            </w:r>
          </w:p>
        </w:tc>
      </w:tr>
      <w:tr w:rsidR="00D61595" w:rsidTr="00D61595">
        <w:trPr>
          <w:trHeight w:val="258"/>
        </w:trPr>
        <w:tc>
          <w:tcPr>
            <w:tcW w:w="9485" w:type="dxa"/>
            <w:gridSpan w:val="5"/>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2" w:line="236" w:lineRule="exact"/>
              <w:ind w:left="28"/>
              <w:rPr>
                <w:b/>
              </w:rPr>
            </w:pPr>
            <w:r>
              <w:rPr>
                <w:b/>
              </w:rPr>
              <w:t>Nyrer og urinveje</w:t>
            </w:r>
          </w:p>
        </w:tc>
      </w:tr>
      <w:tr w:rsidR="00D61595" w:rsidTr="00D61595">
        <w:trPr>
          <w:trHeight w:val="2073"/>
        </w:trPr>
        <w:tc>
          <w:tcPr>
            <w:tcW w:w="2114"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242" w:lineRule="auto"/>
              <w:ind w:left="28" w:right="62"/>
              <w:rPr>
                <w:lang w:val="da-DK"/>
              </w:rPr>
            </w:pPr>
            <w:r>
              <w:rPr>
                <w:lang w:val="da-DK"/>
              </w:rPr>
              <w:t>Blødning i urogenitalkanalen (herunder hæmaturi og menoragi</w:t>
            </w:r>
            <w:r>
              <w:rPr>
                <w:position w:val="8"/>
                <w:sz w:val="14"/>
                <w:lang w:val="da-DK"/>
              </w:rPr>
              <w:t>B</w:t>
            </w:r>
            <w:r>
              <w:rPr>
                <w:lang w:val="da-DK"/>
              </w:rPr>
              <w:t>), nedsat nyrefunktion (herunder forhøjet blod-kreatinin og</w:t>
            </w:r>
          </w:p>
          <w:p w:rsidR="00D61595" w:rsidRDefault="00D61595">
            <w:pPr>
              <w:pStyle w:val="TableParagraph"/>
              <w:spacing w:line="244" w:lineRule="exact"/>
              <w:ind w:left="28"/>
              <w:rPr>
                <w:sz w:val="14"/>
              </w:rPr>
            </w:pPr>
            <w:r>
              <w:t>blod-urinstof)</w:t>
            </w:r>
          </w:p>
        </w:tc>
        <w:tc>
          <w:tcPr>
            <w:tcW w:w="2126"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c>
          <w:tcPr>
            <w:tcW w:w="1859"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c>
          <w:tcPr>
            <w:tcW w:w="196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spacing w:line="242" w:lineRule="auto"/>
              <w:ind w:left="27"/>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242" w:lineRule="auto"/>
              <w:ind w:left="27"/>
              <w:rPr>
                <w:lang w:val="da-DK"/>
              </w:rPr>
            </w:pPr>
            <w:r>
              <w:rPr>
                <w:lang w:val="da-DK"/>
              </w:rPr>
              <w:t>Nyresvigt/akut nyresvigt sekundært til blødning, der er tilstrækkelig til at medføre hypoperfusion, antikoagulantia-relateret nefropati</w:t>
            </w:r>
          </w:p>
        </w:tc>
      </w:tr>
      <w:tr w:rsidR="00D61595" w:rsidTr="00D61595">
        <w:trPr>
          <w:trHeight w:val="465"/>
        </w:trPr>
        <w:tc>
          <w:tcPr>
            <w:tcW w:w="9485" w:type="dxa"/>
            <w:gridSpan w:val="5"/>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2"/>
              <w:ind w:left="28"/>
              <w:rPr>
                <w:b/>
                <w:lang w:val="da-DK"/>
              </w:rPr>
            </w:pPr>
            <w:r>
              <w:rPr>
                <w:b/>
                <w:lang w:val="da-DK"/>
              </w:rPr>
              <w:t>Almene symptomer og reaktioner på administrationsstedet</w:t>
            </w:r>
          </w:p>
        </w:tc>
      </w:tr>
      <w:tr w:rsidR="00D61595" w:rsidTr="00D61595">
        <w:trPr>
          <w:trHeight w:val="1295"/>
        </w:trPr>
        <w:tc>
          <w:tcPr>
            <w:tcW w:w="2114"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242" w:lineRule="auto"/>
              <w:ind w:left="28" w:right="292"/>
              <w:rPr>
                <w:lang w:val="da-DK"/>
              </w:rPr>
            </w:pPr>
            <w:r>
              <w:rPr>
                <w:lang w:val="da-DK"/>
              </w:rPr>
              <w:t>Feber</w:t>
            </w:r>
            <w:r>
              <w:rPr>
                <w:position w:val="8"/>
                <w:sz w:val="14"/>
                <w:lang w:val="da-DK"/>
              </w:rPr>
              <w:t>A</w:t>
            </w:r>
            <w:r>
              <w:rPr>
                <w:lang w:val="da-DK"/>
              </w:rPr>
              <w:t>, perifert ødem, nedsat generel styrke og</w:t>
            </w:r>
          </w:p>
          <w:p w:rsidR="00D61595" w:rsidRDefault="00D61595">
            <w:pPr>
              <w:pStyle w:val="TableParagraph"/>
              <w:spacing w:line="260" w:lineRule="exact"/>
              <w:ind w:left="28" w:right="230"/>
              <w:rPr>
                <w:lang w:val="da-DK"/>
              </w:rPr>
            </w:pPr>
            <w:r>
              <w:rPr>
                <w:lang w:val="da-DK"/>
              </w:rPr>
              <w:t>energi (herunder træthed og asteni)</w:t>
            </w:r>
          </w:p>
        </w:tc>
        <w:tc>
          <w:tcPr>
            <w:tcW w:w="212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251" w:lineRule="exact"/>
              <w:ind w:left="28"/>
            </w:pPr>
            <w:r>
              <w:t>Utilpashed</w:t>
            </w:r>
          </w:p>
        </w:tc>
        <w:tc>
          <w:tcPr>
            <w:tcW w:w="1859"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251" w:lineRule="exact"/>
              <w:ind w:left="28"/>
              <w:rPr>
                <w:sz w:val="14"/>
              </w:rPr>
            </w:pPr>
            <w:r>
              <w:t>Lokaliseret ødem</w:t>
            </w:r>
            <w:r>
              <w:rPr>
                <w:position w:val="8"/>
                <w:sz w:val="14"/>
              </w:rPr>
              <w:t>A</w:t>
            </w:r>
          </w:p>
        </w:tc>
        <w:tc>
          <w:tcPr>
            <w:tcW w:w="196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c>
          <w:tcPr>
            <w:tcW w:w="141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r>
      <w:tr w:rsidR="00D61595" w:rsidTr="00D61595">
        <w:trPr>
          <w:trHeight w:val="254"/>
        </w:trPr>
        <w:tc>
          <w:tcPr>
            <w:tcW w:w="9485" w:type="dxa"/>
            <w:gridSpan w:val="5"/>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235" w:lineRule="exact"/>
              <w:ind w:left="28"/>
              <w:rPr>
                <w:b/>
              </w:rPr>
            </w:pPr>
            <w:r>
              <w:rPr>
                <w:b/>
              </w:rPr>
              <w:t>Undersøgelser</w:t>
            </w:r>
          </w:p>
        </w:tc>
      </w:tr>
      <w:tr w:rsidR="00D61595" w:rsidTr="00D61595">
        <w:trPr>
          <w:trHeight w:val="2073"/>
        </w:trPr>
        <w:tc>
          <w:tcPr>
            <w:tcW w:w="2114"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spacing w:line="242" w:lineRule="auto"/>
              <w:ind w:left="28" w:right="231"/>
            </w:pPr>
          </w:p>
        </w:tc>
        <w:tc>
          <w:tcPr>
            <w:tcW w:w="2126"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28" w:right="77"/>
              <w:rPr>
                <w:lang w:val="da-DK"/>
              </w:rPr>
            </w:pPr>
            <w:r>
              <w:rPr>
                <w:lang w:val="da-DK"/>
              </w:rPr>
              <w:t>Forhøjet laktat-dehydrogenase</w:t>
            </w:r>
            <w:r>
              <w:rPr>
                <w:position w:val="8"/>
                <w:sz w:val="14"/>
                <w:lang w:val="da-DK"/>
              </w:rPr>
              <w:t>A</w:t>
            </w:r>
            <w:r>
              <w:rPr>
                <w:lang w:val="da-DK"/>
              </w:rPr>
              <w:t>, forhøjet lipase</w:t>
            </w:r>
            <w:r>
              <w:rPr>
                <w:position w:val="8"/>
                <w:sz w:val="14"/>
                <w:lang w:val="da-DK"/>
              </w:rPr>
              <w:t>A</w:t>
            </w:r>
            <w:r>
              <w:rPr>
                <w:lang w:val="da-DK"/>
              </w:rPr>
              <w:t>, forhøjet amylase</w:t>
            </w:r>
            <w:r>
              <w:rPr>
                <w:position w:val="8"/>
                <w:sz w:val="14"/>
                <w:lang w:val="da-DK"/>
              </w:rPr>
              <w:t>A</w:t>
            </w:r>
            <w:r>
              <w:rPr>
                <w:lang w:val="da-DK"/>
              </w:rPr>
              <w:t>,</w:t>
            </w:r>
          </w:p>
          <w:p w:rsidR="00D61595" w:rsidRDefault="00D61595">
            <w:pPr>
              <w:pStyle w:val="TableParagraph"/>
              <w:spacing w:before="2" w:line="247" w:lineRule="exact"/>
              <w:ind w:left="28"/>
              <w:rPr>
                <w:sz w:val="14"/>
                <w:lang w:val="da-DK"/>
              </w:rPr>
            </w:pPr>
          </w:p>
        </w:tc>
        <w:tc>
          <w:tcPr>
            <w:tcW w:w="1859"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spacing w:line="242" w:lineRule="auto"/>
              <w:ind w:left="28" w:right="100"/>
              <w:rPr>
                <w:lang w:val="da-DK"/>
              </w:rPr>
            </w:pPr>
          </w:p>
        </w:tc>
        <w:tc>
          <w:tcPr>
            <w:tcW w:w="196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lang w:val="da-DK"/>
              </w:rPr>
            </w:pPr>
          </w:p>
        </w:tc>
        <w:tc>
          <w:tcPr>
            <w:tcW w:w="141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lang w:val="da-DK"/>
              </w:rPr>
            </w:pPr>
          </w:p>
        </w:tc>
      </w:tr>
      <w:tr w:rsidR="00D61595" w:rsidTr="00D61595">
        <w:trPr>
          <w:trHeight w:val="258"/>
        </w:trPr>
        <w:tc>
          <w:tcPr>
            <w:tcW w:w="9485" w:type="dxa"/>
            <w:gridSpan w:val="5"/>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before="2" w:line="236" w:lineRule="exact"/>
              <w:ind w:left="28"/>
              <w:rPr>
                <w:b/>
              </w:rPr>
            </w:pPr>
            <w:r>
              <w:rPr>
                <w:b/>
              </w:rPr>
              <w:t>Traumer, forgiftninger og behandlingskomplikationer</w:t>
            </w:r>
          </w:p>
        </w:tc>
      </w:tr>
      <w:tr w:rsidR="00D61595" w:rsidTr="00D61595">
        <w:trPr>
          <w:trHeight w:val="1471"/>
        </w:trPr>
        <w:tc>
          <w:tcPr>
            <w:tcW w:w="2114"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242" w:lineRule="auto"/>
              <w:ind w:left="28" w:right="19"/>
              <w:rPr>
                <w:sz w:val="14"/>
                <w:lang w:val="da-DK"/>
              </w:rPr>
            </w:pPr>
            <w:r>
              <w:rPr>
                <w:lang w:val="da-DK"/>
              </w:rPr>
              <w:t>Blødning efter procedurer (herunder postoperativ anæmi og blødning fra sår), kontusion, sårsekretion</w:t>
            </w:r>
            <w:r>
              <w:rPr>
                <w:position w:val="8"/>
                <w:sz w:val="14"/>
                <w:lang w:val="da-DK"/>
              </w:rPr>
              <w:t>A</w:t>
            </w:r>
          </w:p>
        </w:tc>
        <w:tc>
          <w:tcPr>
            <w:tcW w:w="2126"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lang w:val="da-DK"/>
              </w:rPr>
            </w:pPr>
          </w:p>
        </w:tc>
        <w:tc>
          <w:tcPr>
            <w:tcW w:w="1859"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28" w:right="832"/>
              <w:rPr>
                <w:sz w:val="14"/>
              </w:rPr>
            </w:pPr>
            <w:r>
              <w:t>Vaskulær pseudoaneurisme</w:t>
            </w:r>
            <w:r>
              <w:rPr>
                <w:position w:val="8"/>
                <w:sz w:val="14"/>
              </w:rPr>
              <w:t>C</w:t>
            </w:r>
          </w:p>
        </w:tc>
        <w:tc>
          <w:tcPr>
            <w:tcW w:w="196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c>
          <w:tcPr>
            <w:tcW w:w="141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pPr>
          </w:p>
        </w:tc>
      </w:tr>
    </w:tbl>
    <w:p w:rsidR="00D61595" w:rsidRDefault="00D61595" w:rsidP="00D61595">
      <w:pPr>
        <w:tabs>
          <w:tab w:val="left" w:pos="1425"/>
        </w:tabs>
        <w:spacing w:line="242" w:lineRule="auto"/>
        <w:ind w:left="1134" w:right="-1" w:hanging="276"/>
        <w:rPr>
          <w:sz w:val="22"/>
          <w:szCs w:val="22"/>
        </w:rPr>
      </w:pPr>
      <w:r>
        <w:rPr>
          <w:sz w:val="22"/>
          <w:szCs w:val="22"/>
        </w:rPr>
        <w:t>A: Iagttaget ved forebyggelse af VTE hos voksne patienter, som fik foretaget hofteleds- eller</w:t>
      </w:r>
      <w:r>
        <w:rPr>
          <w:spacing w:val="-3"/>
          <w:sz w:val="22"/>
          <w:szCs w:val="22"/>
        </w:rPr>
        <w:t xml:space="preserve"> </w:t>
      </w:r>
      <w:r>
        <w:rPr>
          <w:sz w:val="22"/>
          <w:szCs w:val="22"/>
        </w:rPr>
        <w:t>knæledsalloplastik.</w:t>
      </w:r>
    </w:p>
    <w:p w:rsidR="00D61595" w:rsidRDefault="00D61595" w:rsidP="00D61595">
      <w:pPr>
        <w:tabs>
          <w:tab w:val="left" w:pos="1425"/>
        </w:tabs>
        <w:spacing w:line="242" w:lineRule="auto"/>
        <w:ind w:left="1134" w:right="-1" w:hanging="276"/>
        <w:rPr>
          <w:sz w:val="22"/>
          <w:szCs w:val="22"/>
        </w:rPr>
      </w:pPr>
      <w:r>
        <w:rPr>
          <w:sz w:val="22"/>
          <w:szCs w:val="22"/>
        </w:rPr>
        <w:t>B: Iagttaget ved behandling af DVT, LE og forebyggelse af recidiv som meget almindelig hos kvinder &lt; 55 år.</w:t>
      </w:r>
    </w:p>
    <w:p w:rsidR="00D61595" w:rsidRDefault="00D61595" w:rsidP="00D61595">
      <w:pPr>
        <w:tabs>
          <w:tab w:val="left" w:pos="1425"/>
        </w:tabs>
        <w:spacing w:before="2" w:line="242" w:lineRule="auto"/>
        <w:ind w:left="1134" w:right="-1" w:hanging="276"/>
        <w:rPr>
          <w:sz w:val="22"/>
          <w:szCs w:val="22"/>
        </w:rPr>
      </w:pPr>
      <w:r>
        <w:rPr>
          <w:sz w:val="22"/>
          <w:szCs w:val="22"/>
        </w:rPr>
        <w:t>C: Iagttaget som ikke almindelig ved forebyggelse af aterotrombotiske hændelser efter akut koronarsyndrom (efter perkutan koronar</w:t>
      </w:r>
      <w:r>
        <w:rPr>
          <w:spacing w:val="-2"/>
          <w:sz w:val="22"/>
          <w:szCs w:val="22"/>
        </w:rPr>
        <w:t xml:space="preserve"> </w:t>
      </w:r>
      <w:r>
        <w:rPr>
          <w:sz w:val="22"/>
          <w:szCs w:val="22"/>
        </w:rPr>
        <w:t>intervention).</w:t>
      </w:r>
    </w:p>
    <w:p w:rsidR="00D61595" w:rsidRDefault="00D61595" w:rsidP="00D61595">
      <w:pPr>
        <w:tabs>
          <w:tab w:val="left" w:pos="1425"/>
        </w:tabs>
        <w:spacing w:before="2" w:line="242" w:lineRule="auto"/>
        <w:ind w:left="1134" w:right="-1" w:hanging="276"/>
        <w:rPr>
          <w:sz w:val="22"/>
          <w:szCs w:val="22"/>
        </w:rPr>
      </w:pPr>
      <w:r>
        <w:t>*  En præspecificeret selektiv indfaldsvinkel til indsamling af uønskede hændelser blev anvendt i udvalgte fase III-studier. Forekomsten af bivirkninger steg ikke, og der blev ikke identificeret nogen ny bivirkning efter analyse af disse</w:t>
      </w:r>
      <w:r>
        <w:rPr>
          <w:spacing w:val="-5"/>
        </w:rPr>
        <w:t xml:space="preserve"> </w:t>
      </w:r>
      <w:r>
        <w:t>studier.</w:t>
      </w:r>
    </w:p>
    <w:p w:rsidR="00D61595" w:rsidRDefault="00D61595" w:rsidP="00D61595">
      <w:pPr>
        <w:spacing w:line="242" w:lineRule="auto"/>
        <w:ind w:right="-1"/>
        <w:rPr>
          <w:sz w:val="24"/>
          <w:szCs w:val="24"/>
        </w:rPr>
      </w:pPr>
    </w:p>
    <w:p w:rsidR="00D61595" w:rsidRDefault="00D61595" w:rsidP="00D61595">
      <w:pPr>
        <w:pStyle w:val="Brdtekst"/>
        <w:keepNext/>
        <w:widowControl/>
        <w:spacing w:before="78"/>
        <w:ind w:left="856"/>
        <w:rPr>
          <w:sz w:val="24"/>
          <w:szCs w:val="24"/>
          <w:lang w:val="da-DK"/>
        </w:rPr>
      </w:pPr>
      <w:r>
        <w:rPr>
          <w:sz w:val="24"/>
          <w:szCs w:val="24"/>
          <w:u w:val="single"/>
          <w:lang w:val="da-DK"/>
        </w:rPr>
        <w:t>Beskrivelse af udvalgte bivirkninger</w:t>
      </w:r>
    </w:p>
    <w:p w:rsidR="00D61595" w:rsidRDefault="00D61595" w:rsidP="00D61595">
      <w:pPr>
        <w:pStyle w:val="Brdtekst"/>
        <w:spacing w:before="6" w:line="242" w:lineRule="auto"/>
        <w:ind w:left="858" w:right="-1"/>
        <w:rPr>
          <w:sz w:val="24"/>
          <w:szCs w:val="24"/>
          <w:lang w:val="da-DK"/>
        </w:rPr>
      </w:pPr>
      <w:r>
        <w:rPr>
          <w:sz w:val="24"/>
          <w:szCs w:val="24"/>
          <w:lang w:val="da-DK"/>
        </w:rPr>
        <w:t>På grund af Rivadias farmakologiske virkningsmekanisme kan brugen af Rivadia være forbundet med en øget risiko for okkult eller synlig blødning fra alle væv eller organer, hvilket kan medføre posthæmoragisk anæmi. Symptomerne og sværhedsgraden (herunder dødelig udgang) varierer i forhold til blødningens placering og graden eller omfanget af blødningen og/eller anæmien (se pkt. 4.9, ”Behandling af blødning”).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får samtidig behandling, der påvirker hæmostasen (se pkt. 4.4 ”Blødningsrisiko”).</w:t>
      </w:r>
    </w:p>
    <w:p w:rsidR="00D61595" w:rsidRDefault="00D61595" w:rsidP="00D61595">
      <w:pPr>
        <w:pStyle w:val="Brdtekst"/>
        <w:spacing w:before="14"/>
        <w:ind w:left="858" w:right="-1"/>
        <w:rPr>
          <w:sz w:val="24"/>
          <w:szCs w:val="24"/>
          <w:lang w:val="da-DK"/>
        </w:rPr>
      </w:pPr>
      <w:r>
        <w:rPr>
          <w:sz w:val="24"/>
          <w:szCs w:val="24"/>
          <w:lang w:val="da-DK"/>
        </w:rPr>
        <w:t>Menstruationsblødningen kan være kraftigere og/eller forlænget.</w:t>
      </w:r>
    </w:p>
    <w:p w:rsidR="00D61595" w:rsidRDefault="00D61595" w:rsidP="00D61595">
      <w:pPr>
        <w:pStyle w:val="Brdtekst"/>
        <w:spacing w:before="6" w:line="242" w:lineRule="auto"/>
        <w:ind w:left="858" w:right="-1"/>
        <w:rPr>
          <w:sz w:val="24"/>
          <w:szCs w:val="24"/>
          <w:lang w:val="da-DK"/>
        </w:rPr>
      </w:pPr>
      <w:r>
        <w:rPr>
          <w:sz w:val="24"/>
          <w:szCs w:val="24"/>
          <w:lang w:val="da-DK"/>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rsidR="00D61595" w:rsidRDefault="00D61595" w:rsidP="00D61595">
      <w:pPr>
        <w:pStyle w:val="Brdtekst"/>
        <w:spacing w:before="4" w:line="242" w:lineRule="auto"/>
        <w:ind w:left="858" w:right="-1"/>
        <w:rPr>
          <w:sz w:val="24"/>
          <w:szCs w:val="24"/>
          <w:lang w:val="da-DK"/>
        </w:rPr>
      </w:pPr>
      <w:r>
        <w:rPr>
          <w:sz w:val="24"/>
          <w:szCs w:val="24"/>
          <w:lang w:val="da-DK"/>
        </w:rPr>
        <w:t xml:space="preserve">Der er for Rivadia indberettet kendte komplikationer sekundære til svær blødning som f.eks. kompartmentsyndrom og nyresvigt som følge af hypoperfusion eller </w:t>
      </w:r>
      <w:r>
        <w:rPr>
          <w:lang w:val="da-DK"/>
        </w:rPr>
        <w:t>antikoagulantia-relateret nefropati</w:t>
      </w:r>
      <w:r>
        <w:rPr>
          <w:sz w:val="24"/>
          <w:szCs w:val="24"/>
          <w:lang w:val="da-DK"/>
        </w:rPr>
        <w:t>. Der skal derfor tages højde for risikoen for blødning, når tilstanden hos en patient, der får antikoagulans, evalueres.</w:t>
      </w:r>
    </w:p>
    <w:p w:rsidR="00D61595" w:rsidRDefault="00D61595" w:rsidP="00D61595">
      <w:pPr>
        <w:pStyle w:val="Brdtekst"/>
        <w:spacing w:before="9"/>
        <w:rPr>
          <w:sz w:val="24"/>
          <w:szCs w:val="24"/>
          <w:lang w:val="da-DK"/>
        </w:rPr>
      </w:pPr>
    </w:p>
    <w:p w:rsidR="00D61595" w:rsidRDefault="00D61595" w:rsidP="00D61595">
      <w:pPr>
        <w:pStyle w:val="Brdtekst"/>
        <w:spacing w:before="8"/>
        <w:rPr>
          <w:sz w:val="24"/>
          <w:szCs w:val="24"/>
          <w:lang w:val="da-DK"/>
        </w:rPr>
      </w:pPr>
    </w:p>
    <w:p w:rsidR="00D61595" w:rsidRPr="00D61595" w:rsidRDefault="00D61595" w:rsidP="00D61595">
      <w:pPr>
        <w:adjustRightInd w:val="0"/>
        <w:ind w:left="858"/>
        <w:rPr>
          <w:color w:val="000000"/>
          <w:sz w:val="24"/>
          <w:szCs w:val="24"/>
          <w:u w:val="single"/>
        </w:rPr>
      </w:pPr>
      <w:r w:rsidRPr="00D61595">
        <w:rPr>
          <w:color w:val="000000"/>
          <w:sz w:val="24"/>
          <w:szCs w:val="24"/>
          <w:u w:val="single"/>
        </w:rPr>
        <w:t>Indberetning af formodede bivirkninger</w:t>
      </w:r>
    </w:p>
    <w:p w:rsidR="00D61595" w:rsidRPr="00D61595" w:rsidRDefault="00D61595" w:rsidP="00D61595">
      <w:pPr>
        <w:adjustRightInd w:val="0"/>
        <w:ind w:left="858"/>
        <w:rPr>
          <w:color w:val="000000"/>
          <w:sz w:val="24"/>
          <w:szCs w:val="24"/>
        </w:rPr>
      </w:pPr>
      <w:r w:rsidRPr="00D61595">
        <w:rPr>
          <w:color w:val="000000"/>
          <w:sz w:val="24"/>
          <w:szCs w:val="24"/>
        </w:rPr>
        <w:t>Når lægemidlet er godkendt, er indberetning af formodede bivirkninger vigtig. Det muliggør løbende overvågning af benefit/risk-forholdet for lægemidlet. Sundhedspersoner anmodes om at indberette alle formodede bivirkninger via:</w:t>
      </w:r>
    </w:p>
    <w:p w:rsidR="00D61595" w:rsidRPr="00D61595" w:rsidRDefault="00D61595" w:rsidP="00D61595">
      <w:pPr>
        <w:adjustRightInd w:val="0"/>
        <w:ind w:left="858"/>
        <w:rPr>
          <w:color w:val="000000"/>
          <w:sz w:val="24"/>
          <w:szCs w:val="24"/>
        </w:rPr>
      </w:pPr>
    </w:p>
    <w:p w:rsidR="00D61595" w:rsidRPr="00D61595" w:rsidRDefault="00D61595" w:rsidP="00D61595">
      <w:pPr>
        <w:adjustRightInd w:val="0"/>
        <w:ind w:left="858"/>
        <w:rPr>
          <w:color w:val="000000"/>
          <w:sz w:val="24"/>
          <w:szCs w:val="24"/>
        </w:rPr>
      </w:pPr>
      <w:r w:rsidRPr="00D61595">
        <w:rPr>
          <w:color w:val="000000"/>
          <w:sz w:val="24"/>
          <w:szCs w:val="24"/>
        </w:rPr>
        <w:t>Lægemiddelstyrelsen</w:t>
      </w:r>
    </w:p>
    <w:p w:rsidR="00D61595" w:rsidRPr="00D61595" w:rsidRDefault="00D61595" w:rsidP="00D61595">
      <w:pPr>
        <w:adjustRightInd w:val="0"/>
        <w:ind w:left="858"/>
        <w:rPr>
          <w:color w:val="000000"/>
          <w:sz w:val="24"/>
          <w:szCs w:val="24"/>
        </w:rPr>
      </w:pPr>
      <w:r w:rsidRPr="00D61595">
        <w:rPr>
          <w:color w:val="000000"/>
          <w:sz w:val="24"/>
          <w:szCs w:val="24"/>
        </w:rPr>
        <w:t>Axel Heides Gade 1</w:t>
      </w:r>
    </w:p>
    <w:p w:rsidR="00D61595" w:rsidRPr="00D61595" w:rsidRDefault="00D61595" w:rsidP="00D61595">
      <w:pPr>
        <w:adjustRightInd w:val="0"/>
        <w:ind w:left="858"/>
        <w:rPr>
          <w:color w:val="000000"/>
          <w:sz w:val="24"/>
          <w:szCs w:val="24"/>
        </w:rPr>
      </w:pPr>
      <w:r w:rsidRPr="00D61595">
        <w:rPr>
          <w:color w:val="000000"/>
          <w:sz w:val="24"/>
          <w:szCs w:val="24"/>
        </w:rPr>
        <w:t>DK-2300 København S</w:t>
      </w:r>
    </w:p>
    <w:p w:rsidR="00D61595" w:rsidRDefault="00D61595" w:rsidP="00D61595">
      <w:pPr>
        <w:adjustRightInd w:val="0"/>
        <w:ind w:left="858"/>
        <w:rPr>
          <w:color w:val="000000"/>
          <w:sz w:val="24"/>
          <w:szCs w:val="24"/>
        </w:rPr>
      </w:pPr>
      <w:r>
        <w:rPr>
          <w:color w:val="000000"/>
          <w:sz w:val="24"/>
          <w:szCs w:val="24"/>
        </w:rPr>
        <w:t xml:space="preserve">Websted: </w:t>
      </w:r>
      <w:hyperlink r:id="rId8" w:history="1">
        <w:r>
          <w:rPr>
            <w:rStyle w:val="Hyperlink"/>
            <w:sz w:val="24"/>
            <w:szCs w:val="24"/>
          </w:rPr>
          <w:t>www.meldenbivirkning.dk</w:t>
        </w:r>
      </w:hyperlink>
    </w:p>
    <w:p w:rsidR="00D61595" w:rsidRDefault="00D61595" w:rsidP="00D61595">
      <w:pPr>
        <w:pStyle w:val="Sidehoved"/>
        <w:tabs>
          <w:tab w:val="left" w:pos="851"/>
        </w:tabs>
        <w:ind w:left="851"/>
        <w:rPr>
          <w:szCs w:val="24"/>
          <w:u w:val="single"/>
        </w:rPr>
      </w:pPr>
    </w:p>
    <w:p w:rsidR="00D61595" w:rsidRDefault="00D61595" w:rsidP="00D61595">
      <w:pPr>
        <w:tabs>
          <w:tab w:val="left" w:pos="851"/>
        </w:tabs>
        <w:ind w:left="851" w:hanging="851"/>
        <w:rPr>
          <w:b/>
          <w:sz w:val="24"/>
          <w:szCs w:val="24"/>
        </w:rPr>
      </w:pPr>
      <w:r>
        <w:rPr>
          <w:b/>
          <w:sz w:val="24"/>
          <w:szCs w:val="24"/>
        </w:rPr>
        <w:t>4.9</w:t>
      </w:r>
      <w:r>
        <w:rPr>
          <w:b/>
          <w:sz w:val="24"/>
          <w:szCs w:val="24"/>
        </w:rPr>
        <w:tab/>
        <w:t>Overdosering</w:t>
      </w:r>
    </w:p>
    <w:p w:rsidR="00D61595" w:rsidRDefault="00D61595" w:rsidP="00D61595">
      <w:pPr>
        <w:tabs>
          <w:tab w:val="left" w:pos="851"/>
        </w:tabs>
        <w:ind w:left="851"/>
        <w:rPr>
          <w:sz w:val="24"/>
          <w:szCs w:val="24"/>
        </w:rPr>
      </w:pPr>
      <w:r>
        <w:rPr>
          <w:sz w:val="24"/>
          <w:szCs w:val="24"/>
        </w:rPr>
        <w:t xml:space="preserve">Der er indberettet sjældne tilfælde af overdosering på op til 1.960 mg. I tilfælde af overdosering, skal patienten observeres tæt for blødningskomplikationer eller andre bivirkninger (se pkt. ”Behandling af blødning”). Den begrænsede absorption forventes at medføre en </w:t>
      </w:r>
      <w:r>
        <w:rPr>
          <w:i/>
          <w:sz w:val="24"/>
          <w:szCs w:val="24"/>
        </w:rPr>
        <w:t>ceiling-</w:t>
      </w:r>
      <w:r>
        <w:rPr>
          <w:sz w:val="24"/>
          <w:szCs w:val="24"/>
        </w:rPr>
        <w:t>effekt uden yderligere stigning i den gennemsnitlige plasmakoncentration ved supraterapeutiske doser på 50 mg rivaroxaban eller højere.</w:t>
      </w:r>
    </w:p>
    <w:p w:rsidR="00D61595" w:rsidRDefault="00D61595" w:rsidP="00D61595">
      <w:pPr>
        <w:tabs>
          <w:tab w:val="left" w:pos="851"/>
        </w:tabs>
        <w:ind w:left="851"/>
        <w:rPr>
          <w:sz w:val="24"/>
          <w:szCs w:val="24"/>
        </w:rPr>
      </w:pPr>
      <w:r>
        <w:rPr>
          <w:sz w:val="24"/>
          <w:szCs w:val="24"/>
        </w:rPr>
        <w:t>Der findes en specifik antidot (andexanet alfa), der antagoniserer rivaroxabans farmakodynamiske virkning (se produktresuméet for andexanet alfa).</w:t>
      </w:r>
    </w:p>
    <w:p w:rsidR="00D61595" w:rsidRDefault="00D61595" w:rsidP="00D61595">
      <w:pPr>
        <w:tabs>
          <w:tab w:val="left" w:pos="851"/>
        </w:tabs>
        <w:ind w:left="851"/>
        <w:rPr>
          <w:sz w:val="24"/>
          <w:szCs w:val="24"/>
        </w:rPr>
      </w:pPr>
      <w:r>
        <w:rPr>
          <w:sz w:val="24"/>
          <w:szCs w:val="24"/>
        </w:rPr>
        <w:t>Ved overdosering med rivaroxaban kan det overvejes at bruge aktivt kul til at reducere absorptionen.</w:t>
      </w:r>
    </w:p>
    <w:p w:rsidR="00D61595" w:rsidRDefault="00D61595" w:rsidP="00D61595">
      <w:pPr>
        <w:tabs>
          <w:tab w:val="left" w:pos="851"/>
        </w:tabs>
        <w:rPr>
          <w:sz w:val="24"/>
          <w:szCs w:val="24"/>
          <w:u w:val="single"/>
        </w:rPr>
      </w:pPr>
    </w:p>
    <w:p w:rsidR="00D61595" w:rsidRDefault="00D61595" w:rsidP="00D61595">
      <w:pPr>
        <w:tabs>
          <w:tab w:val="left" w:pos="851"/>
        </w:tabs>
        <w:ind w:left="851"/>
        <w:rPr>
          <w:sz w:val="24"/>
          <w:szCs w:val="24"/>
        </w:rPr>
      </w:pPr>
      <w:r>
        <w:rPr>
          <w:sz w:val="24"/>
          <w:szCs w:val="24"/>
          <w:u w:val="single"/>
        </w:rPr>
        <w:t>Behandling af blødning</w:t>
      </w:r>
    </w:p>
    <w:p w:rsidR="00D61595" w:rsidRDefault="00D61595" w:rsidP="00D61595">
      <w:pPr>
        <w:tabs>
          <w:tab w:val="left" w:pos="851"/>
        </w:tabs>
        <w:ind w:left="851"/>
        <w:rPr>
          <w:sz w:val="24"/>
          <w:szCs w:val="24"/>
        </w:rPr>
      </w:pPr>
      <w:r>
        <w:rPr>
          <w:sz w:val="24"/>
          <w:szCs w:val="24"/>
        </w:rPr>
        <w:t>Såfremt der optræder blødningskomplikationer hos en patient, der får rivaroxaban, skal næste rivaroxaban-administration udsættes eller behandlingen seponeres efter lægens vurdering.</w:t>
      </w:r>
    </w:p>
    <w:p w:rsidR="00D61595" w:rsidRDefault="00D61595" w:rsidP="00D61595">
      <w:pPr>
        <w:tabs>
          <w:tab w:val="left" w:pos="851"/>
        </w:tabs>
        <w:ind w:left="851"/>
        <w:rPr>
          <w:sz w:val="24"/>
          <w:szCs w:val="24"/>
        </w:rPr>
      </w:pPr>
      <w:r>
        <w:rPr>
          <w:sz w:val="24"/>
          <w:szCs w:val="24"/>
        </w:rPr>
        <w:t xml:space="preserve">Rivaroxaban har en halveringstid på ca. 5-13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 </w:t>
      </w:r>
    </w:p>
    <w:p w:rsidR="00D61595" w:rsidRDefault="00D61595" w:rsidP="00D61595">
      <w:pPr>
        <w:tabs>
          <w:tab w:val="left" w:pos="851"/>
        </w:tabs>
        <w:ind w:left="851"/>
        <w:rPr>
          <w:sz w:val="24"/>
          <w:szCs w:val="24"/>
        </w:rPr>
      </w:pPr>
      <w:r>
        <w:rPr>
          <w:sz w:val="24"/>
          <w:szCs w:val="24"/>
        </w:rPr>
        <w:t>Såfremt blødningen ikke kan standses med ovennævnte tiltag, bør administration af enten en specifik faktor Xa-inhibitor antidot (andexanet alfa), som antagoniserer den farmakodynamiske virkning af rivaroxaban eller en specifik prokoagulant-antidot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w:t>
      </w:r>
    </w:p>
    <w:p w:rsidR="00D61595" w:rsidRDefault="00D61595" w:rsidP="00D61595">
      <w:pPr>
        <w:tabs>
          <w:tab w:val="left" w:pos="851"/>
        </w:tabs>
        <w:ind w:left="851"/>
        <w:rPr>
          <w:sz w:val="24"/>
          <w:szCs w:val="24"/>
        </w:rPr>
      </w:pPr>
      <w:r>
        <w:rPr>
          <w:sz w:val="24"/>
          <w:szCs w:val="24"/>
        </w:rPr>
        <w:t>Afhængigt af lokal tilgængelighed bør det overvejes at konsultere en koagulationsekspert i tilfælde af større blødninger (se pkt. 5.1).</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rsidR="00D61595" w:rsidRDefault="00D61595" w:rsidP="00D61595">
      <w:pPr>
        <w:tabs>
          <w:tab w:val="left" w:pos="851"/>
        </w:tabs>
        <w:ind w:left="851"/>
        <w:rPr>
          <w:sz w:val="24"/>
          <w:szCs w:val="24"/>
        </w:rPr>
      </w:pPr>
    </w:p>
    <w:p w:rsidR="00D61595" w:rsidRDefault="00D61595" w:rsidP="00D61595">
      <w:pPr>
        <w:tabs>
          <w:tab w:val="left" w:pos="851"/>
        </w:tabs>
        <w:ind w:left="851" w:hanging="851"/>
        <w:rPr>
          <w:b/>
          <w:sz w:val="24"/>
          <w:szCs w:val="24"/>
        </w:rPr>
      </w:pPr>
      <w:r>
        <w:rPr>
          <w:b/>
          <w:sz w:val="24"/>
          <w:szCs w:val="24"/>
        </w:rPr>
        <w:t>4.10</w:t>
      </w:r>
      <w:r>
        <w:rPr>
          <w:b/>
          <w:sz w:val="24"/>
          <w:szCs w:val="24"/>
        </w:rPr>
        <w:tab/>
        <w:t>Udlevering</w:t>
      </w:r>
    </w:p>
    <w:p w:rsidR="00D61595" w:rsidRDefault="00D61595" w:rsidP="00D61595">
      <w:pPr>
        <w:tabs>
          <w:tab w:val="left" w:pos="851"/>
        </w:tabs>
        <w:ind w:left="851"/>
        <w:rPr>
          <w:sz w:val="24"/>
          <w:szCs w:val="24"/>
        </w:rPr>
      </w:pPr>
      <w:r>
        <w:rPr>
          <w:sz w:val="24"/>
          <w:szCs w:val="24"/>
        </w:rPr>
        <w:t>B</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p>
    <w:p w:rsidR="00D61595" w:rsidRDefault="00D61595" w:rsidP="00D61595">
      <w:pPr>
        <w:tabs>
          <w:tab w:val="left" w:pos="851"/>
        </w:tabs>
        <w:ind w:left="851" w:hanging="851"/>
        <w:rPr>
          <w:b/>
          <w:sz w:val="24"/>
          <w:szCs w:val="24"/>
        </w:rPr>
      </w:pPr>
      <w:r>
        <w:rPr>
          <w:b/>
          <w:sz w:val="24"/>
          <w:szCs w:val="24"/>
        </w:rPr>
        <w:t>5.</w:t>
      </w:r>
      <w:r>
        <w:rPr>
          <w:b/>
          <w:sz w:val="24"/>
          <w:szCs w:val="24"/>
        </w:rPr>
        <w:tab/>
        <w:t>FARMAKOLOGISKE EGENSKABER</w:t>
      </w:r>
    </w:p>
    <w:p w:rsidR="00D61595" w:rsidRDefault="00D61595" w:rsidP="00D61595">
      <w:pPr>
        <w:tabs>
          <w:tab w:val="left" w:pos="851"/>
        </w:tabs>
        <w:ind w:left="851"/>
        <w:rPr>
          <w:sz w:val="24"/>
          <w:szCs w:val="24"/>
        </w:rPr>
      </w:pPr>
    </w:p>
    <w:p w:rsidR="00D61595" w:rsidRDefault="00D61595" w:rsidP="00D61595">
      <w:pPr>
        <w:tabs>
          <w:tab w:val="num" w:pos="851"/>
        </w:tabs>
        <w:ind w:left="851" w:hanging="851"/>
        <w:rPr>
          <w:b/>
          <w:sz w:val="24"/>
          <w:szCs w:val="24"/>
        </w:rPr>
      </w:pPr>
      <w:r>
        <w:rPr>
          <w:b/>
          <w:sz w:val="24"/>
          <w:szCs w:val="24"/>
        </w:rPr>
        <w:t>5.1</w:t>
      </w:r>
      <w:r>
        <w:rPr>
          <w:b/>
          <w:sz w:val="24"/>
          <w:szCs w:val="24"/>
        </w:rPr>
        <w:tab/>
        <w:t>Farmakodynamiske egenskaber</w:t>
      </w:r>
    </w:p>
    <w:p w:rsidR="00D61595" w:rsidRDefault="00D61595" w:rsidP="00D61595">
      <w:pPr>
        <w:tabs>
          <w:tab w:val="left" w:pos="851"/>
        </w:tabs>
        <w:ind w:left="851"/>
        <w:rPr>
          <w:sz w:val="24"/>
          <w:szCs w:val="24"/>
        </w:rPr>
      </w:pPr>
      <w:r>
        <w:rPr>
          <w:sz w:val="24"/>
          <w:szCs w:val="24"/>
        </w:rPr>
        <w:t xml:space="preserve">Farmakoterapeutisk klassifikation: </w:t>
      </w:r>
      <w:r>
        <w:t>Antitrombosemidler, d</w:t>
      </w:r>
      <w:r>
        <w:rPr>
          <w:sz w:val="24"/>
          <w:szCs w:val="24"/>
        </w:rPr>
        <w:t>irekte faktor Xa-hæmmere. ATC-kode: B01AF01.</w:t>
      </w:r>
    </w:p>
    <w:p w:rsidR="00D61595" w:rsidRDefault="00D61595" w:rsidP="00D61595">
      <w:pPr>
        <w:tabs>
          <w:tab w:val="left" w:pos="851"/>
        </w:tabs>
        <w:ind w:left="851"/>
        <w:rPr>
          <w:sz w:val="24"/>
          <w:szCs w:val="24"/>
          <w:u w:val="single"/>
        </w:rPr>
      </w:pPr>
    </w:p>
    <w:p w:rsidR="00D61595" w:rsidRDefault="00D61595" w:rsidP="00D61595">
      <w:pPr>
        <w:tabs>
          <w:tab w:val="left" w:pos="851"/>
        </w:tabs>
        <w:ind w:left="851"/>
        <w:rPr>
          <w:sz w:val="24"/>
          <w:szCs w:val="24"/>
        </w:rPr>
      </w:pPr>
      <w:r>
        <w:rPr>
          <w:sz w:val="24"/>
          <w:szCs w:val="24"/>
          <w:u w:val="single"/>
        </w:rPr>
        <w:t>Virkningsmekanisme</w:t>
      </w:r>
    </w:p>
    <w:p w:rsidR="00D61595" w:rsidRDefault="00D61595" w:rsidP="00D61595">
      <w:pPr>
        <w:tabs>
          <w:tab w:val="left" w:pos="851"/>
        </w:tabs>
        <w:ind w:left="851"/>
        <w:rPr>
          <w:sz w:val="24"/>
          <w:szCs w:val="24"/>
        </w:rPr>
      </w:pPr>
      <w:r>
        <w:rPr>
          <w:sz w:val="24"/>
          <w:szCs w:val="24"/>
        </w:rPr>
        <w:t>Rivaroxaban er en yderst selektiv, direkte faktor Xa-hæmmer med oral biotilgængelighed.</w:t>
      </w:r>
    </w:p>
    <w:p w:rsidR="00D61595" w:rsidRDefault="00D61595" w:rsidP="00D61595">
      <w:pPr>
        <w:tabs>
          <w:tab w:val="left" w:pos="851"/>
        </w:tabs>
        <w:ind w:left="851"/>
        <w:rPr>
          <w:sz w:val="24"/>
          <w:szCs w:val="24"/>
        </w:rPr>
      </w:pPr>
      <w:r>
        <w:rPr>
          <w:sz w:val="24"/>
          <w:szCs w:val="24"/>
        </w:rPr>
        <w:t>Hæmning af faktor Xa afbryder blodkoagulationskaskadens intrinsiske og ekstrinsiske bane, og hæmmer både dannelsen af trombin og tromber. Rivaroxaban hæmmer ikke trombin (aktiveret faktor II), og der er ikke vist nogen effekt på blodpladerne.</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u w:val="single"/>
        </w:rPr>
        <w:t>Farmakodynamisk virkning</w:t>
      </w:r>
    </w:p>
    <w:p w:rsidR="00D61595" w:rsidRDefault="00D61595" w:rsidP="00D61595">
      <w:pPr>
        <w:tabs>
          <w:tab w:val="left" w:pos="851"/>
        </w:tabs>
        <w:ind w:left="851"/>
        <w:rPr>
          <w:sz w:val="24"/>
          <w:szCs w:val="24"/>
        </w:rPr>
      </w:pPr>
      <w:r>
        <w:rPr>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 Hos patienter, som gennemgik større ortopædkirurgiske indgreb, lå 5/95-percentilerne for PT (Neoplastin) 2-4 timer efter indtagelse af tabletterne (dvs. da der var opnået maksimal effekt) på mellem 13 og 25 sekunder (baselineværdier før kirurgi 12 til 15 sek.).</w:t>
      </w:r>
    </w:p>
    <w:p w:rsidR="00D61595" w:rsidRDefault="00D61595" w:rsidP="00D61595">
      <w:pPr>
        <w:tabs>
          <w:tab w:val="left" w:pos="851"/>
        </w:tabs>
        <w:ind w:left="851"/>
        <w:rPr>
          <w:sz w:val="24"/>
          <w:szCs w:val="24"/>
        </w:rPr>
      </w:pPr>
      <w:r>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rsidR="00D61595" w:rsidRDefault="00D61595" w:rsidP="00D61595">
      <w:pPr>
        <w:tabs>
          <w:tab w:val="left" w:pos="851"/>
        </w:tabs>
        <w:ind w:left="851"/>
        <w:rPr>
          <w:sz w:val="24"/>
          <w:szCs w:val="24"/>
        </w:rPr>
      </w:pPr>
      <w:r>
        <w:rPr>
          <w:sz w:val="24"/>
          <w:szCs w:val="24"/>
        </w:rPr>
        <w:t>Den aktiverede partielle tromboplastintid (aPTT) og Heptest forlænges også i forhold til dosis, men de anbefales ikke til vurdering af rivaroxabans farmakodynamiske effekt.</w:t>
      </w:r>
    </w:p>
    <w:p w:rsidR="00D61595" w:rsidRDefault="00D61595" w:rsidP="00D61595">
      <w:pPr>
        <w:tabs>
          <w:tab w:val="left" w:pos="851"/>
        </w:tabs>
        <w:ind w:left="851"/>
        <w:rPr>
          <w:sz w:val="24"/>
          <w:szCs w:val="24"/>
        </w:rPr>
      </w:pPr>
      <w:r>
        <w:rPr>
          <w:sz w:val="24"/>
          <w:szCs w:val="24"/>
        </w:rPr>
        <w:t>Der er ikke behov for overvågning af koagulationsparametrene under behandling med rivaroxaban som klinisk rutine. Hvis det imidlertid er klinisk indiceret, kan rivaroxaban-niveauerne måles ved kalibrerede kvantitative anti-faktor Xa-test (se pkt. 5.1 og 5.2).</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u w:val="single"/>
        </w:rPr>
        <w:t>Klinisk virkning og sikkerhed</w:t>
      </w:r>
    </w:p>
    <w:p w:rsidR="00D61595" w:rsidRDefault="00D61595" w:rsidP="00D61595">
      <w:pPr>
        <w:tabs>
          <w:tab w:val="left" w:pos="851"/>
        </w:tabs>
        <w:ind w:left="851"/>
        <w:rPr>
          <w:sz w:val="24"/>
          <w:szCs w:val="24"/>
          <w:lang w:val="nl-NL"/>
        </w:rPr>
      </w:pPr>
      <w:r>
        <w:rPr>
          <w:i/>
        </w:rPr>
        <w:t>Forebyggelse af VTE hos voksne patienter, der gennemgår planlagt hofteleds- eller knæledsalloplastik</w:t>
      </w:r>
    </w:p>
    <w:p w:rsidR="00D61595" w:rsidRDefault="00D61595" w:rsidP="00D61595">
      <w:pPr>
        <w:tabs>
          <w:tab w:val="left" w:pos="851"/>
        </w:tabs>
        <w:ind w:left="851"/>
        <w:rPr>
          <w:sz w:val="24"/>
          <w:szCs w:val="24"/>
          <w:lang w:val="nl-NL"/>
        </w:rPr>
      </w:pPr>
      <w:r>
        <w:rPr>
          <w:sz w:val="24"/>
          <w:szCs w:val="24"/>
          <w:lang w:val="nl-NL"/>
        </w:rPr>
        <w:t>Det kliniske program for rivaroxaban har til formål at påvise rivaroxabans effekt på forebyggelsen af venøs tromboemboli (VTE), dvs. proksimal og distal dyb venetrombose (DVT) og lungeemboli (PE) hos patienter, der gennemgår større ortopædkirurgiske indgreb i underekstremiteterne. Over 9.500 patienter (7.050, der fik foretaget hofteledsalloplastik, og 2.531, der fik foretaget knæledsalloplastik) deltog i kontrollerede, randomiserede, dobbeltblindede kliniske fase III-studier, også kaldet RECORD-programmet.</w:t>
      </w:r>
    </w:p>
    <w:p w:rsidR="00D61595" w:rsidRDefault="00D61595" w:rsidP="00D61595">
      <w:pPr>
        <w:tabs>
          <w:tab w:val="left" w:pos="851"/>
        </w:tabs>
        <w:ind w:left="851"/>
        <w:rPr>
          <w:sz w:val="24"/>
          <w:szCs w:val="24"/>
        </w:rPr>
      </w:pPr>
      <w:r>
        <w:rPr>
          <w:sz w:val="24"/>
          <w:szCs w:val="24"/>
        </w:rPr>
        <w:t>Der blev foretaget en sammenligning mellem indtagelse af 10 mg rivaroxaban en gang daglig tidligst 6 timer efter operationen og 40 mg enoxaparin givet en gang daglig, startende 12 timer før operationen.</w:t>
      </w:r>
    </w:p>
    <w:p w:rsidR="00D61595" w:rsidRDefault="00D61595" w:rsidP="00D61595">
      <w:pPr>
        <w:tabs>
          <w:tab w:val="left" w:pos="851"/>
        </w:tabs>
        <w:ind w:left="851"/>
        <w:rPr>
          <w:sz w:val="24"/>
          <w:szCs w:val="24"/>
        </w:rPr>
      </w:pPr>
      <w:r>
        <w:rPr>
          <w:sz w:val="24"/>
          <w:szCs w:val="24"/>
        </w:rPr>
        <w:t>I alle tre fase III-studier (se tabel 3) medførte indtagelsen af rivaroxaban en signifikant reduktion i den samlede forekomst af VTE (alle former for venografisk detekteret eller symptomatisk DVT, ikke-letal LE og dødsfald) og alvorlig VTE (proksimal DVT, ikke-letal LE og VTE-relateret dødsfald), som var de på forhånd specificerede primære og væsentligste sekundære effektendepunkter. Desuden var forekomsten af symptomatisk VTE (symptomatisk DVT, ikke-letal LE og VTE-relateret dødsfald) i alle tre studier lavere hos patienter, der blev behandlet med rivaroxaban, end hos patienter, der blev behandlet med enoxaparin.</w:t>
      </w:r>
    </w:p>
    <w:p w:rsidR="00D61595" w:rsidRDefault="00D61595" w:rsidP="00D61595">
      <w:pPr>
        <w:tabs>
          <w:tab w:val="left" w:pos="851"/>
        </w:tabs>
        <w:ind w:left="851"/>
        <w:rPr>
          <w:sz w:val="24"/>
          <w:szCs w:val="24"/>
        </w:rPr>
      </w:pPr>
      <w:r>
        <w:rPr>
          <w:sz w:val="24"/>
          <w:szCs w:val="24"/>
        </w:rPr>
        <w:t>I forbindelse med det overordnede sikkerhedsendepunkter, større blødning, blev der påvist sammenlignelige forekomster hos patienter, der blev behandlet med 10 mg rivaroxaban, og patienter, der blev behandlet med 40 mg enoxaparin.</w:t>
      </w:r>
    </w:p>
    <w:p w:rsidR="00D61595" w:rsidRDefault="00D61595" w:rsidP="00D61595">
      <w:pPr>
        <w:tabs>
          <w:tab w:val="left" w:pos="851"/>
        </w:tabs>
        <w:ind w:left="851"/>
        <w:rPr>
          <w:sz w:val="24"/>
          <w:szCs w:val="24"/>
        </w:rPr>
      </w:pPr>
    </w:p>
    <w:p w:rsidR="00D61595" w:rsidRDefault="00D61595" w:rsidP="00D61595">
      <w:pPr>
        <w:tabs>
          <w:tab w:val="left" w:pos="851"/>
        </w:tabs>
        <w:ind w:left="851"/>
        <w:rPr>
          <w:b/>
          <w:bCs/>
          <w:sz w:val="24"/>
          <w:szCs w:val="24"/>
        </w:rPr>
      </w:pPr>
      <w:r>
        <w:rPr>
          <w:b/>
          <w:bCs/>
          <w:sz w:val="24"/>
          <w:szCs w:val="24"/>
        </w:rPr>
        <w:t>Tabel 4: Effekt- og sikkerhedsresultater fra kliniske fase III-studier</w:t>
      </w:r>
    </w:p>
    <w:tbl>
      <w:tblPr>
        <w:tblW w:w="1057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7"/>
        <w:gridCol w:w="1087"/>
        <w:gridCol w:w="1255"/>
        <w:gridCol w:w="900"/>
        <w:gridCol w:w="1151"/>
        <w:gridCol w:w="1052"/>
        <w:gridCol w:w="912"/>
        <w:gridCol w:w="988"/>
        <w:gridCol w:w="1227"/>
        <w:gridCol w:w="766"/>
      </w:tblGrid>
      <w:tr w:rsidR="00D61595" w:rsidTr="00D61595">
        <w:trPr>
          <w:trHeight w:val="210"/>
        </w:trPr>
        <w:tc>
          <w:tcPr>
            <w:tcW w:w="1236"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0"/>
              <w:rPr>
                <w:sz w:val="14"/>
                <w:lang w:val="da-DK"/>
              </w:rPr>
            </w:pPr>
          </w:p>
        </w:tc>
        <w:tc>
          <w:tcPr>
            <w:tcW w:w="3241" w:type="dxa"/>
            <w:gridSpan w:val="3"/>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191" w:lineRule="exact"/>
              <w:ind w:left="1165" w:right="1160"/>
              <w:jc w:val="center"/>
              <w:rPr>
                <w:sz w:val="18"/>
              </w:rPr>
            </w:pPr>
            <w:r>
              <w:rPr>
                <w:sz w:val="18"/>
              </w:rPr>
              <w:t>RECORD 1</w:t>
            </w:r>
          </w:p>
        </w:tc>
        <w:tc>
          <w:tcPr>
            <w:tcW w:w="3115" w:type="dxa"/>
            <w:gridSpan w:val="3"/>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191" w:lineRule="exact"/>
              <w:ind w:left="1106" w:right="1093"/>
              <w:jc w:val="center"/>
              <w:rPr>
                <w:sz w:val="18"/>
              </w:rPr>
            </w:pPr>
            <w:r>
              <w:rPr>
                <w:sz w:val="18"/>
              </w:rPr>
              <w:t>RECORD 2</w:t>
            </w:r>
          </w:p>
        </w:tc>
        <w:tc>
          <w:tcPr>
            <w:tcW w:w="2981" w:type="dxa"/>
            <w:gridSpan w:val="3"/>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191" w:lineRule="exact"/>
              <w:ind w:left="1041" w:right="1023"/>
              <w:jc w:val="center"/>
              <w:rPr>
                <w:sz w:val="18"/>
              </w:rPr>
            </w:pPr>
            <w:r>
              <w:rPr>
                <w:sz w:val="18"/>
              </w:rPr>
              <w:t>RECORD 3</w:t>
            </w:r>
          </w:p>
        </w:tc>
      </w:tr>
      <w:tr w:rsidR="00D61595" w:rsidTr="00D61595">
        <w:trPr>
          <w:trHeight w:val="422"/>
        </w:trPr>
        <w:tc>
          <w:tcPr>
            <w:tcW w:w="123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207" w:lineRule="exact"/>
              <w:rPr>
                <w:sz w:val="18"/>
              </w:rPr>
            </w:pPr>
            <w:r>
              <w:rPr>
                <w:sz w:val="18"/>
              </w:rPr>
              <w:t>Forsøgs-</w:t>
            </w:r>
          </w:p>
          <w:p w:rsidR="00D61595" w:rsidRDefault="00D61595">
            <w:pPr>
              <w:pStyle w:val="TableParagraph"/>
              <w:spacing w:before="4" w:line="191" w:lineRule="exact"/>
              <w:rPr>
                <w:sz w:val="18"/>
              </w:rPr>
            </w:pPr>
            <w:r>
              <w:rPr>
                <w:sz w:val="18"/>
              </w:rPr>
              <w:t>population</w:t>
            </w:r>
          </w:p>
        </w:tc>
        <w:tc>
          <w:tcPr>
            <w:tcW w:w="3241" w:type="dxa"/>
            <w:gridSpan w:val="3"/>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207" w:lineRule="exact"/>
              <w:ind w:left="453"/>
              <w:rPr>
                <w:sz w:val="18"/>
                <w:lang w:val="da-DK"/>
              </w:rPr>
            </w:pPr>
            <w:r>
              <w:rPr>
                <w:sz w:val="18"/>
                <w:lang w:val="da-DK"/>
              </w:rPr>
              <w:t>4.541 patienter, der fik foretaget</w:t>
            </w:r>
          </w:p>
          <w:p w:rsidR="00D61595" w:rsidRDefault="00D61595">
            <w:pPr>
              <w:pStyle w:val="TableParagraph"/>
              <w:spacing w:before="4" w:line="191" w:lineRule="exact"/>
              <w:ind w:left="914"/>
              <w:rPr>
                <w:sz w:val="18"/>
                <w:lang w:val="da-DK"/>
              </w:rPr>
            </w:pPr>
            <w:r>
              <w:rPr>
                <w:sz w:val="18"/>
                <w:lang w:val="da-DK"/>
              </w:rPr>
              <w:t>hofteledsalloplastik</w:t>
            </w:r>
          </w:p>
        </w:tc>
        <w:tc>
          <w:tcPr>
            <w:tcW w:w="3115" w:type="dxa"/>
            <w:gridSpan w:val="3"/>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207" w:lineRule="exact"/>
              <w:ind w:left="392"/>
              <w:rPr>
                <w:sz w:val="18"/>
                <w:lang w:val="da-DK"/>
              </w:rPr>
            </w:pPr>
            <w:r>
              <w:rPr>
                <w:sz w:val="18"/>
                <w:lang w:val="da-DK"/>
              </w:rPr>
              <w:t>2.509 patienter, der fik foretaget</w:t>
            </w:r>
          </w:p>
          <w:p w:rsidR="00D61595" w:rsidRDefault="00D61595">
            <w:pPr>
              <w:pStyle w:val="TableParagraph"/>
              <w:spacing w:before="4" w:line="191" w:lineRule="exact"/>
              <w:ind w:left="853"/>
              <w:rPr>
                <w:sz w:val="18"/>
                <w:lang w:val="da-DK"/>
              </w:rPr>
            </w:pPr>
            <w:r>
              <w:rPr>
                <w:sz w:val="18"/>
                <w:lang w:val="da-DK"/>
              </w:rPr>
              <w:t>hofteledsalloplastik</w:t>
            </w:r>
          </w:p>
        </w:tc>
        <w:tc>
          <w:tcPr>
            <w:tcW w:w="2981" w:type="dxa"/>
            <w:gridSpan w:val="3"/>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207" w:lineRule="exact"/>
              <w:ind w:left="327"/>
              <w:rPr>
                <w:sz w:val="18"/>
                <w:lang w:val="da-DK"/>
              </w:rPr>
            </w:pPr>
            <w:r>
              <w:rPr>
                <w:sz w:val="18"/>
                <w:lang w:val="da-DK"/>
              </w:rPr>
              <w:t>2.531 patienter, der fik foretaget</w:t>
            </w:r>
          </w:p>
          <w:p w:rsidR="00D61595" w:rsidRDefault="00D61595">
            <w:pPr>
              <w:pStyle w:val="TableParagraph"/>
              <w:spacing w:before="4" w:line="191" w:lineRule="exact"/>
              <w:ind w:left="824"/>
              <w:rPr>
                <w:sz w:val="18"/>
                <w:lang w:val="da-DK"/>
              </w:rPr>
            </w:pPr>
            <w:r>
              <w:rPr>
                <w:sz w:val="18"/>
                <w:lang w:val="da-DK"/>
              </w:rPr>
              <w:t>knæledsalloplastik</w:t>
            </w:r>
          </w:p>
        </w:tc>
      </w:tr>
      <w:tr w:rsidR="00D61595" w:rsidTr="00D61595">
        <w:trPr>
          <w:trHeight w:val="1477"/>
        </w:trPr>
        <w:tc>
          <w:tcPr>
            <w:tcW w:w="123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242" w:lineRule="auto"/>
              <w:ind w:right="139"/>
              <w:rPr>
                <w:sz w:val="18"/>
                <w:lang w:val="da-DK"/>
              </w:rPr>
            </w:pPr>
            <w:r>
              <w:rPr>
                <w:sz w:val="18"/>
                <w:lang w:val="da-DK"/>
              </w:rPr>
              <w:t>Behandlings- dosis og</w:t>
            </w:r>
          </w:p>
          <w:p w:rsidR="00D61595" w:rsidRDefault="00D61595">
            <w:pPr>
              <w:pStyle w:val="TableParagraph"/>
              <w:spacing w:line="242" w:lineRule="auto"/>
              <w:ind w:right="249"/>
              <w:rPr>
                <w:sz w:val="18"/>
                <w:lang w:val="da-DK"/>
              </w:rPr>
            </w:pPr>
            <w:r>
              <w:rPr>
                <w:sz w:val="18"/>
                <w:lang w:val="da-DK"/>
              </w:rPr>
              <w:t>-varighed efter operationen</w:t>
            </w:r>
          </w:p>
        </w:tc>
        <w:tc>
          <w:tcPr>
            <w:tcW w:w="1086" w:type="dxa"/>
            <w:tcBorders>
              <w:top w:val="single" w:sz="4" w:space="0" w:color="000000"/>
              <w:left w:val="single" w:sz="4" w:space="0" w:color="000000"/>
              <w:bottom w:val="single" w:sz="4" w:space="0" w:color="000000"/>
              <w:right w:val="nil"/>
            </w:tcBorders>
            <w:hideMark/>
          </w:tcPr>
          <w:p w:rsidR="00D61595" w:rsidRDefault="00D61595">
            <w:pPr>
              <w:pStyle w:val="TableParagraph"/>
              <w:spacing w:line="242" w:lineRule="auto"/>
              <w:ind w:right="66"/>
              <w:rPr>
                <w:sz w:val="18"/>
                <w:lang w:val="da-DK"/>
              </w:rPr>
            </w:pPr>
            <w:r>
              <w:rPr>
                <w:sz w:val="18"/>
                <w:lang w:val="da-DK"/>
              </w:rPr>
              <w:t>10 mg rivaro- xaban en gang daglig 35 ± 4</w:t>
            </w:r>
          </w:p>
          <w:p w:rsidR="00D61595" w:rsidRDefault="00D61595">
            <w:pPr>
              <w:pStyle w:val="TableParagraph"/>
              <w:rPr>
                <w:sz w:val="18"/>
                <w:lang w:val="da-DK"/>
              </w:rPr>
            </w:pPr>
            <w:r>
              <w:rPr>
                <w:sz w:val="18"/>
                <w:lang w:val="da-DK"/>
              </w:rPr>
              <w:t>dage</w:t>
            </w:r>
          </w:p>
        </w:tc>
        <w:tc>
          <w:tcPr>
            <w:tcW w:w="1255" w:type="dxa"/>
            <w:tcBorders>
              <w:top w:val="single" w:sz="4" w:space="0" w:color="000000"/>
              <w:left w:val="nil"/>
              <w:bottom w:val="single" w:sz="4" w:space="0" w:color="000000"/>
              <w:right w:val="nil"/>
            </w:tcBorders>
            <w:hideMark/>
          </w:tcPr>
          <w:p w:rsidR="00D61595" w:rsidRDefault="00D61595">
            <w:pPr>
              <w:pStyle w:val="TableParagraph"/>
              <w:spacing w:line="242" w:lineRule="auto"/>
              <w:ind w:left="92" w:right="83"/>
              <w:rPr>
                <w:sz w:val="18"/>
                <w:lang w:val="da-DK"/>
              </w:rPr>
            </w:pPr>
            <w:r>
              <w:rPr>
                <w:sz w:val="18"/>
                <w:lang w:val="da-DK"/>
              </w:rPr>
              <w:t>40 mg enox- aparin en gang daglig</w:t>
            </w:r>
          </w:p>
          <w:p w:rsidR="00D61595" w:rsidRDefault="00D61595">
            <w:pPr>
              <w:pStyle w:val="TableParagraph"/>
              <w:ind w:left="92"/>
              <w:rPr>
                <w:sz w:val="18"/>
              </w:rPr>
            </w:pPr>
            <w:r>
              <w:rPr>
                <w:sz w:val="18"/>
              </w:rPr>
              <w:t>35 ± 4</w:t>
            </w:r>
          </w:p>
          <w:p w:rsidR="00D61595" w:rsidRDefault="00D61595">
            <w:pPr>
              <w:pStyle w:val="TableParagraph"/>
              <w:spacing w:before="4"/>
              <w:ind w:left="92"/>
              <w:rPr>
                <w:sz w:val="18"/>
              </w:rPr>
            </w:pPr>
            <w:r>
              <w:rPr>
                <w:sz w:val="18"/>
              </w:rPr>
              <w:t>dage</w:t>
            </w:r>
          </w:p>
        </w:tc>
        <w:tc>
          <w:tcPr>
            <w:tcW w:w="900" w:type="dxa"/>
            <w:tcBorders>
              <w:top w:val="single" w:sz="4" w:space="0" w:color="000000"/>
              <w:left w:val="nil"/>
              <w:bottom w:val="single" w:sz="4" w:space="0" w:color="000000"/>
              <w:right w:val="single" w:sz="4" w:space="0" w:color="000000"/>
            </w:tcBorders>
            <w:hideMark/>
          </w:tcPr>
          <w:p w:rsidR="00D61595" w:rsidRDefault="00D61595">
            <w:pPr>
              <w:pStyle w:val="TableParagraph"/>
              <w:spacing w:line="207" w:lineRule="exact"/>
              <w:ind w:left="9"/>
              <w:jc w:val="center"/>
              <w:rPr>
                <w:sz w:val="18"/>
              </w:rPr>
            </w:pPr>
            <w:r>
              <w:rPr>
                <w:sz w:val="18"/>
              </w:rPr>
              <w:t>p</w:t>
            </w:r>
          </w:p>
        </w:tc>
        <w:tc>
          <w:tcPr>
            <w:tcW w:w="1151" w:type="dxa"/>
            <w:tcBorders>
              <w:top w:val="single" w:sz="4" w:space="0" w:color="000000"/>
              <w:left w:val="single" w:sz="4" w:space="0" w:color="000000"/>
              <w:bottom w:val="single" w:sz="4" w:space="0" w:color="000000"/>
              <w:right w:val="nil"/>
            </w:tcBorders>
            <w:hideMark/>
          </w:tcPr>
          <w:p w:rsidR="00D61595" w:rsidRDefault="00D61595">
            <w:pPr>
              <w:pStyle w:val="TableParagraph"/>
              <w:spacing w:line="242" w:lineRule="auto"/>
              <w:ind w:left="109" w:right="42"/>
              <w:rPr>
                <w:sz w:val="18"/>
                <w:lang w:val="da-DK"/>
              </w:rPr>
            </w:pPr>
            <w:r>
              <w:rPr>
                <w:sz w:val="18"/>
                <w:lang w:val="da-DK"/>
              </w:rPr>
              <w:t>10 mg rivaro- xaban en gang daglig 35 ± 4</w:t>
            </w:r>
          </w:p>
          <w:p w:rsidR="00D61595" w:rsidRDefault="00D61595">
            <w:pPr>
              <w:pStyle w:val="TableParagraph"/>
              <w:ind w:left="109"/>
              <w:rPr>
                <w:sz w:val="18"/>
                <w:lang w:val="da-DK"/>
              </w:rPr>
            </w:pPr>
            <w:r>
              <w:rPr>
                <w:sz w:val="18"/>
                <w:lang w:val="da-DK"/>
              </w:rPr>
              <w:t>dage</w:t>
            </w:r>
          </w:p>
        </w:tc>
        <w:tc>
          <w:tcPr>
            <w:tcW w:w="1052" w:type="dxa"/>
            <w:tcBorders>
              <w:top w:val="single" w:sz="4" w:space="0" w:color="000000"/>
              <w:left w:val="nil"/>
              <w:bottom w:val="single" w:sz="4" w:space="0" w:color="000000"/>
              <w:right w:val="nil"/>
            </w:tcBorders>
            <w:hideMark/>
          </w:tcPr>
          <w:p w:rsidR="00D61595" w:rsidRDefault="00D61595">
            <w:pPr>
              <w:pStyle w:val="TableParagraph"/>
              <w:spacing w:line="242" w:lineRule="auto"/>
              <w:ind w:left="62" w:right="127"/>
              <w:rPr>
                <w:sz w:val="18"/>
                <w:lang w:val="da-DK"/>
              </w:rPr>
            </w:pPr>
            <w:r>
              <w:rPr>
                <w:sz w:val="18"/>
                <w:lang w:val="da-DK"/>
              </w:rPr>
              <w:t>40 mg enoxa-parin en gang daglig</w:t>
            </w:r>
          </w:p>
          <w:p w:rsidR="00D61595" w:rsidRDefault="00D61595">
            <w:pPr>
              <w:pStyle w:val="TableParagraph"/>
              <w:ind w:left="62"/>
              <w:rPr>
                <w:sz w:val="18"/>
                <w:lang w:val="da-DK"/>
              </w:rPr>
            </w:pPr>
            <w:r>
              <w:rPr>
                <w:sz w:val="18"/>
                <w:lang w:val="da-DK"/>
              </w:rPr>
              <w:t>12 ± 2</w:t>
            </w:r>
          </w:p>
          <w:p w:rsidR="00D61595" w:rsidRDefault="00D61595">
            <w:pPr>
              <w:pStyle w:val="TableParagraph"/>
              <w:spacing w:before="4"/>
              <w:ind w:left="62"/>
              <w:rPr>
                <w:sz w:val="18"/>
                <w:lang w:val="da-DK"/>
              </w:rPr>
            </w:pPr>
            <w:r>
              <w:rPr>
                <w:sz w:val="18"/>
                <w:lang w:val="da-DK"/>
              </w:rPr>
              <w:t>dage</w:t>
            </w:r>
          </w:p>
        </w:tc>
        <w:tc>
          <w:tcPr>
            <w:tcW w:w="912" w:type="dxa"/>
            <w:tcBorders>
              <w:top w:val="single" w:sz="4" w:space="0" w:color="000000"/>
              <w:left w:val="nil"/>
              <w:bottom w:val="single" w:sz="4" w:space="0" w:color="000000"/>
              <w:right w:val="single" w:sz="4" w:space="0" w:color="000000"/>
            </w:tcBorders>
            <w:hideMark/>
          </w:tcPr>
          <w:p w:rsidR="00D61595" w:rsidRDefault="00D61595">
            <w:pPr>
              <w:pStyle w:val="TableParagraph"/>
              <w:spacing w:line="207" w:lineRule="exact"/>
              <w:ind w:left="50"/>
              <w:jc w:val="center"/>
              <w:rPr>
                <w:sz w:val="18"/>
              </w:rPr>
            </w:pPr>
            <w:r>
              <w:rPr>
                <w:sz w:val="18"/>
              </w:rPr>
              <w:t>p</w:t>
            </w:r>
          </w:p>
        </w:tc>
        <w:tc>
          <w:tcPr>
            <w:tcW w:w="988" w:type="dxa"/>
            <w:tcBorders>
              <w:top w:val="single" w:sz="4" w:space="0" w:color="000000"/>
              <w:left w:val="single" w:sz="4" w:space="0" w:color="000000"/>
              <w:bottom w:val="single" w:sz="4" w:space="0" w:color="000000"/>
              <w:right w:val="nil"/>
            </w:tcBorders>
            <w:hideMark/>
          </w:tcPr>
          <w:p w:rsidR="00D61595" w:rsidRDefault="00D61595">
            <w:pPr>
              <w:pStyle w:val="TableParagraph"/>
              <w:spacing w:line="242" w:lineRule="auto"/>
              <w:ind w:left="111" w:right="225"/>
              <w:rPr>
                <w:sz w:val="18"/>
                <w:lang w:val="da-DK"/>
              </w:rPr>
            </w:pPr>
            <w:r>
              <w:rPr>
                <w:sz w:val="18"/>
                <w:lang w:val="da-DK"/>
              </w:rPr>
              <w:t>10 mg rivaro- xaban en gang daglig 12 ± 2</w:t>
            </w:r>
          </w:p>
          <w:p w:rsidR="00D61595" w:rsidRDefault="00D61595">
            <w:pPr>
              <w:pStyle w:val="TableParagraph"/>
              <w:spacing w:line="191" w:lineRule="exact"/>
              <w:ind w:left="111"/>
              <w:rPr>
                <w:sz w:val="18"/>
                <w:lang w:val="da-DK"/>
              </w:rPr>
            </w:pPr>
            <w:r>
              <w:rPr>
                <w:sz w:val="18"/>
                <w:lang w:val="da-DK"/>
              </w:rPr>
              <w:t>dage</w:t>
            </w:r>
          </w:p>
        </w:tc>
        <w:tc>
          <w:tcPr>
            <w:tcW w:w="1227" w:type="dxa"/>
            <w:tcBorders>
              <w:top w:val="single" w:sz="4" w:space="0" w:color="000000"/>
              <w:left w:val="nil"/>
              <w:bottom w:val="single" w:sz="4" w:space="0" w:color="000000"/>
              <w:right w:val="nil"/>
            </w:tcBorders>
            <w:hideMark/>
          </w:tcPr>
          <w:p w:rsidR="00D61595" w:rsidRDefault="00D61595">
            <w:pPr>
              <w:pStyle w:val="TableParagraph"/>
              <w:spacing w:line="242" w:lineRule="auto"/>
              <w:ind w:left="119" w:right="116"/>
              <w:jc w:val="both"/>
              <w:rPr>
                <w:sz w:val="18"/>
                <w:lang w:val="da-DK"/>
              </w:rPr>
            </w:pPr>
            <w:r>
              <w:rPr>
                <w:sz w:val="18"/>
                <w:lang w:val="da-DK"/>
              </w:rPr>
              <w:t>40 mg enoxa- parin en gang daglig</w:t>
            </w:r>
          </w:p>
          <w:p w:rsidR="00D61595" w:rsidRDefault="00D61595">
            <w:pPr>
              <w:pStyle w:val="TableParagraph"/>
              <w:ind w:left="119"/>
              <w:jc w:val="both"/>
              <w:rPr>
                <w:sz w:val="18"/>
                <w:lang w:val="da-DK"/>
              </w:rPr>
            </w:pPr>
            <w:r>
              <w:rPr>
                <w:sz w:val="18"/>
                <w:lang w:val="da-DK"/>
              </w:rPr>
              <w:t>12 ± 2</w:t>
            </w:r>
          </w:p>
          <w:p w:rsidR="00D61595" w:rsidRDefault="00D61595">
            <w:pPr>
              <w:pStyle w:val="TableParagraph"/>
              <w:spacing w:before="4"/>
              <w:ind w:left="119"/>
              <w:jc w:val="both"/>
              <w:rPr>
                <w:sz w:val="18"/>
                <w:lang w:val="da-DK"/>
              </w:rPr>
            </w:pPr>
            <w:r>
              <w:rPr>
                <w:sz w:val="18"/>
                <w:lang w:val="da-DK"/>
              </w:rPr>
              <w:t>dage</w:t>
            </w:r>
          </w:p>
        </w:tc>
        <w:tc>
          <w:tcPr>
            <w:tcW w:w="766" w:type="dxa"/>
            <w:tcBorders>
              <w:top w:val="single" w:sz="4" w:space="0" w:color="000000"/>
              <w:left w:val="nil"/>
              <w:bottom w:val="single" w:sz="4" w:space="0" w:color="000000"/>
              <w:right w:val="single" w:sz="4" w:space="0" w:color="000000"/>
            </w:tcBorders>
            <w:hideMark/>
          </w:tcPr>
          <w:p w:rsidR="00D61595" w:rsidRDefault="00D61595">
            <w:pPr>
              <w:pStyle w:val="TableParagraph"/>
              <w:spacing w:line="207" w:lineRule="exact"/>
              <w:ind w:left="43"/>
              <w:jc w:val="center"/>
              <w:rPr>
                <w:sz w:val="18"/>
              </w:rPr>
            </w:pPr>
            <w:r>
              <w:rPr>
                <w:sz w:val="18"/>
              </w:rPr>
              <w:t>p</w:t>
            </w:r>
          </w:p>
        </w:tc>
      </w:tr>
      <w:tr w:rsidR="00D61595" w:rsidTr="00D61595">
        <w:trPr>
          <w:trHeight w:val="422"/>
        </w:trPr>
        <w:tc>
          <w:tcPr>
            <w:tcW w:w="123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207" w:lineRule="exact"/>
              <w:rPr>
                <w:sz w:val="18"/>
              </w:rPr>
            </w:pPr>
            <w:r>
              <w:rPr>
                <w:sz w:val="18"/>
              </w:rPr>
              <w:t>Samlet antal</w:t>
            </w:r>
          </w:p>
          <w:p w:rsidR="00D61595" w:rsidRDefault="00D61595">
            <w:pPr>
              <w:pStyle w:val="TableParagraph"/>
              <w:spacing w:before="4" w:line="191" w:lineRule="exact"/>
              <w:rPr>
                <w:sz w:val="18"/>
              </w:rPr>
            </w:pPr>
            <w:r>
              <w:rPr>
                <w:sz w:val="18"/>
              </w:rPr>
              <w:t>VTE’er</w:t>
            </w:r>
          </w:p>
        </w:tc>
        <w:tc>
          <w:tcPr>
            <w:tcW w:w="1086" w:type="dxa"/>
            <w:tcBorders>
              <w:top w:val="single" w:sz="4" w:space="0" w:color="000000"/>
              <w:left w:val="single" w:sz="4" w:space="0" w:color="000000"/>
              <w:bottom w:val="single" w:sz="4" w:space="0" w:color="000000"/>
              <w:right w:val="nil"/>
            </w:tcBorders>
            <w:hideMark/>
          </w:tcPr>
          <w:p w:rsidR="00D61595" w:rsidRDefault="00D61595">
            <w:pPr>
              <w:pStyle w:val="TableParagraph"/>
              <w:spacing w:line="207" w:lineRule="exact"/>
              <w:rPr>
                <w:sz w:val="18"/>
              </w:rPr>
            </w:pPr>
            <w:r>
              <w:rPr>
                <w:sz w:val="18"/>
              </w:rPr>
              <w:t>18 (1,1 %)</w:t>
            </w:r>
          </w:p>
        </w:tc>
        <w:tc>
          <w:tcPr>
            <w:tcW w:w="1255" w:type="dxa"/>
            <w:tcBorders>
              <w:top w:val="single" w:sz="4" w:space="0" w:color="000000"/>
              <w:left w:val="nil"/>
              <w:bottom w:val="single" w:sz="4" w:space="0" w:color="000000"/>
              <w:right w:val="nil"/>
            </w:tcBorders>
            <w:hideMark/>
          </w:tcPr>
          <w:p w:rsidR="00D61595" w:rsidRDefault="00D61595">
            <w:pPr>
              <w:pStyle w:val="TableParagraph"/>
              <w:spacing w:line="207" w:lineRule="exact"/>
              <w:ind w:left="92"/>
              <w:rPr>
                <w:sz w:val="18"/>
              </w:rPr>
            </w:pPr>
            <w:r>
              <w:rPr>
                <w:sz w:val="18"/>
              </w:rPr>
              <w:t>58 (3,7 %)</w:t>
            </w:r>
          </w:p>
        </w:tc>
        <w:tc>
          <w:tcPr>
            <w:tcW w:w="900" w:type="dxa"/>
            <w:tcBorders>
              <w:top w:val="single" w:sz="4" w:space="0" w:color="000000"/>
              <w:left w:val="nil"/>
              <w:bottom w:val="single" w:sz="4" w:space="0" w:color="000000"/>
              <w:right w:val="single" w:sz="4" w:space="0" w:color="000000"/>
            </w:tcBorders>
            <w:hideMark/>
          </w:tcPr>
          <w:p w:rsidR="00D61595" w:rsidRDefault="00D61595">
            <w:pPr>
              <w:pStyle w:val="TableParagraph"/>
              <w:spacing w:line="207" w:lineRule="exact"/>
              <w:ind w:left="111"/>
              <w:rPr>
                <w:sz w:val="18"/>
              </w:rPr>
            </w:pPr>
            <w:r>
              <w:rPr>
                <w:sz w:val="18"/>
              </w:rPr>
              <w:t>&lt; 0,001</w:t>
            </w:r>
          </w:p>
        </w:tc>
        <w:tc>
          <w:tcPr>
            <w:tcW w:w="1151" w:type="dxa"/>
            <w:tcBorders>
              <w:top w:val="single" w:sz="4" w:space="0" w:color="000000"/>
              <w:left w:val="single" w:sz="4" w:space="0" w:color="000000"/>
              <w:bottom w:val="single" w:sz="4" w:space="0" w:color="000000"/>
              <w:right w:val="nil"/>
            </w:tcBorders>
            <w:hideMark/>
          </w:tcPr>
          <w:p w:rsidR="00D61595" w:rsidRDefault="00D61595">
            <w:pPr>
              <w:pStyle w:val="TableParagraph"/>
              <w:spacing w:line="207" w:lineRule="exact"/>
              <w:ind w:left="109"/>
              <w:rPr>
                <w:sz w:val="18"/>
              </w:rPr>
            </w:pPr>
            <w:r>
              <w:rPr>
                <w:sz w:val="18"/>
              </w:rPr>
              <w:t>17 (2,0 %)</w:t>
            </w:r>
          </w:p>
        </w:tc>
        <w:tc>
          <w:tcPr>
            <w:tcW w:w="1052" w:type="dxa"/>
            <w:tcBorders>
              <w:top w:val="single" w:sz="4" w:space="0" w:color="000000"/>
              <w:left w:val="nil"/>
              <w:bottom w:val="single" w:sz="4" w:space="0" w:color="000000"/>
              <w:right w:val="nil"/>
            </w:tcBorders>
            <w:hideMark/>
          </w:tcPr>
          <w:p w:rsidR="00D61595" w:rsidRDefault="00D61595">
            <w:pPr>
              <w:pStyle w:val="TableParagraph"/>
              <w:spacing w:line="207" w:lineRule="exact"/>
              <w:ind w:left="62"/>
              <w:rPr>
                <w:sz w:val="18"/>
              </w:rPr>
            </w:pPr>
            <w:r>
              <w:rPr>
                <w:sz w:val="18"/>
              </w:rPr>
              <w:t>81 (9,3 %)</w:t>
            </w:r>
          </w:p>
        </w:tc>
        <w:tc>
          <w:tcPr>
            <w:tcW w:w="912" w:type="dxa"/>
            <w:tcBorders>
              <w:top w:val="single" w:sz="4" w:space="0" w:color="000000"/>
              <w:left w:val="nil"/>
              <w:bottom w:val="single" w:sz="4" w:space="0" w:color="000000"/>
              <w:right w:val="single" w:sz="4" w:space="0" w:color="000000"/>
            </w:tcBorders>
            <w:hideMark/>
          </w:tcPr>
          <w:p w:rsidR="00D61595" w:rsidRDefault="00D61595">
            <w:pPr>
              <w:pStyle w:val="TableParagraph"/>
              <w:spacing w:line="207" w:lineRule="exact"/>
              <w:ind w:left="129" w:right="185"/>
              <w:jc w:val="center"/>
              <w:rPr>
                <w:sz w:val="18"/>
              </w:rPr>
            </w:pPr>
            <w:r>
              <w:rPr>
                <w:sz w:val="18"/>
              </w:rPr>
              <w:t>&lt; 0,001</w:t>
            </w:r>
          </w:p>
        </w:tc>
        <w:tc>
          <w:tcPr>
            <w:tcW w:w="988" w:type="dxa"/>
            <w:tcBorders>
              <w:top w:val="single" w:sz="4" w:space="0" w:color="000000"/>
              <w:left w:val="single" w:sz="4" w:space="0" w:color="000000"/>
              <w:bottom w:val="single" w:sz="4" w:space="0" w:color="000000"/>
              <w:right w:val="nil"/>
            </w:tcBorders>
            <w:hideMark/>
          </w:tcPr>
          <w:p w:rsidR="00D61595" w:rsidRDefault="00D61595">
            <w:pPr>
              <w:pStyle w:val="TableParagraph"/>
              <w:spacing w:line="207" w:lineRule="exact"/>
              <w:ind w:left="94" w:right="84"/>
              <w:jc w:val="center"/>
              <w:rPr>
                <w:sz w:val="18"/>
              </w:rPr>
            </w:pPr>
            <w:r>
              <w:rPr>
                <w:sz w:val="18"/>
              </w:rPr>
              <w:t>79 (9,6 %)</w:t>
            </w:r>
          </w:p>
        </w:tc>
        <w:tc>
          <w:tcPr>
            <w:tcW w:w="1227" w:type="dxa"/>
            <w:tcBorders>
              <w:top w:val="single" w:sz="4" w:space="0" w:color="000000"/>
              <w:left w:val="nil"/>
              <w:bottom w:val="single" w:sz="4" w:space="0" w:color="000000"/>
              <w:right w:val="nil"/>
            </w:tcBorders>
            <w:hideMark/>
          </w:tcPr>
          <w:p w:rsidR="00D61595" w:rsidRDefault="00D61595">
            <w:pPr>
              <w:pStyle w:val="TableParagraph"/>
              <w:spacing w:line="207" w:lineRule="exact"/>
              <w:ind w:left="119"/>
              <w:rPr>
                <w:sz w:val="18"/>
              </w:rPr>
            </w:pPr>
            <w:r>
              <w:rPr>
                <w:sz w:val="18"/>
              </w:rPr>
              <w:t>166 (18,9 %)</w:t>
            </w:r>
          </w:p>
        </w:tc>
        <w:tc>
          <w:tcPr>
            <w:tcW w:w="766" w:type="dxa"/>
            <w:tcBorders>
              <w:top w:val="single" w:sz="4" w:space="0" w:color="000000"/>
              <w:left w:val="nil"/>
              <w:bottom w:val="single" w:sz="4" w:space="0" w:color="000000"/>
              <w:right w:val="single" w:sz="4" w:space="0" w:color="000000"/>
            </w:tcBorders>
            <w:hideMark/>
          </w:tcPr>
          <w:p w:rsidR="00D61595" w:rsidRDefault="00D61595">
            <w:pPr>
              <w:pStyle w:val="TableParagraph"/>
              <w:spacing w:line="207" w:lineRule="exact"/>
              <w:ind w:left="138"/>
              <w:rPr>
                <w:sz w:val="18"/>
              </w:rPr>
            </w:pPr>
            <w:r>
              <w:rPr>
                <w:sz w:val="18"/>
              </w:rPr>
              <w:t>&lt; 0,00</w:t>
            </w:r>
          </w:p>
          <w:p w:rsidR="00D61595" w:rsidRDefault="00D61595">
            <w:pPr>
              <w:pStyle w:val="TableParagraph"/>
              <w:spacing w:before="4" w:line="191" w:lineRule="exact"/>
              <w:ind w:left="138"/>
              <w:rPr>
                <w:sz w:val="18"/>
              </w:rPr>
            </w:pPr>
            <w:r>
              <w:rPr>
                <w:sz w:val="18"/>
              </w:rPr>
              <w:t>1</w:t>
            </w:r>
          </w:p>
        </w:tc>
      </w:tr>
      <w:tr w:rsidR="00D61595" w:rsidTr="00D61595">
        <w:trPr>
          <w:trHeight w:val="633"/>
        </w:trPr>
        <w:tc>
          <w:tcPr>
            <w:tcW w:w="123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242" w:lineRule="auto"/>
              <w:ind w:right="409"/>
              <w:rPr>
                <w:sz w:val="18"/>
              </w:rPr>
            </w:pPr>
            <w:r>
              <w:rPr>
                <w:sz w:val="18"/>
              </w:rPr>
              <w:t>Alvorlige VTE’er</w:t>
            </w:r>
          </w:p>
        </w:tc>
        <w:tc>
          <w:tcPr>
            <w:tcW w:w="1086" w:type="dxa"/>
            <w:tcBorders>
              <w:top w:val="single" w:sz="4" w:space="0" w:color="000000"/>
              <w:left w:val="single" w:sz="4" w:space="0" w:color="000000"/>
              <w:bottom w:val="single" w:sz="4" w:space="0" w:color="000000"/>
              <w:right w:val="nil"/>
            </w:tcBorders>
            <w:hideMark/>
          </w:tcPr>
          <w:p w:rsidR="00D61595" w:rsidRDefault="00D61595">
            <w:pPr>
              <w:pStyle w:val="TableParagraph"/>
              <w:spacing w:line="207" w:lineRule="exact"/>
              <w:rPr>
                <w:sz w:val="18"/>
              </w:rPr>
            </w:pPr>
            <w:r>
              <w:rPr>
                <w:sz w:val="18"/>
              </w:rPr>
              <w:t>4 (0,2 %)</w:t>
            </w:r>
          </w:p>
        </w:tc>
        <w:tc>
          <w:tcPr>
            <w:tcW w:w="1255" w:type="dxa"/>
            <w:tcBorders>
              <w:top w:val="single" w:sz="4" w:space="0" w:color="000000"/>
              <w:left w:val="nil"/>
              <w:bottom w:val="single" w:sz="4" w:space="0" w:color="000000"/>
              <w:right w:val="nil"/>
            </w:tcBorders>
            <w:hideMark/>
          </w:tcPr>
          <w:p w:rsidR="00D61595" w:rsidRDefault="00D61595">
            <w:pPr>
              <w:pStyle w:val="TableParagraph"/>
              <w:spacing w:line="207" w:lineRule="exact"/>
              <w:ind w:left="92"/>
              <w:rPr>
                <w:sz w:val="18"/>
              </w:rPr>
            </w:pPr>
            <w:r>
              <w:rPr>
                <w:sz w:val="18"/>
              </w:rPr>
              <w:t>33 (2,0 %)</w:t>
            </w:r>
          </w:p>
        </w:tc>
        <w:tc>
          <w:tcPr>
            <w:tcW w:w="900" w:type="dxa"/>
            <w:tcBorders>
              <w:top w:val="single" w:sz="4" w:space="0" w:color="000000"/>
              <w:left w:val="nil"/>
              <w:bottom w:val="single" w:sz="4" w:space="0" w:color="000000"/>
              <w:right w:val="single" w:sz="4" w:space="0" w:color="000000"/>
            </w:tcBorders>
            <w:hideMark/>
          </w:tcPr>
          <w:p w:rsidR="00D61595" w:rsidRDefault="00D61595">
            <w:pPr>
              <w:pStyle w:val="TableParagraph"/>
              <w:spacing w:line="207" w:lineRule="exact"/>
              <w:ind w:left="111"/>
              <w:rPr>
                <w:sz w:val="18"/>
              </w:rPr>
            </w:pPr>
            <w:r>
              <w:rPr>
                <w:sz w:val="18"/>
              </w:rPr>
              <w:t>&lt; 0,001</w:t>
            </w:r>
          </w:p>
        </w:tc>
        <w:tc>
          <w:tcPr>
            <w:tcW w:w="1151" w:type="dxa"/>
            <w:tcBorders>
              <w:top w:val="single" w:sz="4" w:space="0" w:color="000000"/>
              <w:left w:val="single" w:sz="4" w:space="0" w:color="000000"/>
              <w:bottom w:val="single" w:sz="4" w:space="0" w:color="000000"/>
              <w:right w:val="nil"/>
            </w:tcBorders>
            <w:hideMark/>
          </w:tcPr>
          <w:p w:rsidR="00D61595" w:rsidRDefault="00D61595">
            <w:pPr>
              <w:pStyle w:val="TableParagraph"/>
              <w:spacing w:line="207" w:lineRule="exact"/>
              <w:ind w:left="109"/>
              <w:rPr>
                <w:sz w:val="18"/>
              </w:rPr>
            </w:pPr>
            <w:r>
              <w:rPr>
                <w:sz w:val="18"/>
              </w:rPr>
              <w:t>6 (0,6 %)</w:t>
            </w:r>
          </w:p>
        </w:tc>
        <w:tc>
          <w:tcPr>
            <w:tcW w:w="1052" w:type="dxa"/>
            <w:tcBorders>
              <w:top w:val="single" w:sz="4" w:space="0" w:color="000000"/>
              <w:left w:val="nil"/>
              <w:bottom w:val="single" w:sz="4" w:space="0" w:color="000000"/>
              <w:right w:val="nil"/>
            </w:tcBorders>
            <w:hideMark/>
          </w:tcPr>
          <w:p w:rsidR="00D61595" w:rsidRDefault="00D61595">
            <w:pPr>
              <w:pStyle w:val="TableParagraph"/>
              <w:spacing w:line="207" w:lineRule="exact"/>
              <w:ind w:left="62"/>
              <w:rPr>
                <w:sz w:val="18"/>
              </w:rPr>
            </w:pPr>
            <w:r>
              <w:rPr>
                <w:sz w:val="18"/>
              </w:rPr>
              <w:t>49 (5,1 %)</w:t>
            </w:r>
          </w:p>
        </w:tc>
        <w:tc>
          <w:tcPr>
            <w:tcW w:w="912" w:type="dxa"/>
            <w:tcBorders>
              <w:top w:val="single" w:sz="4" w:space="0" w:color="000000"/>
              <w:left w:val="nil"/>
              <w:bottom w:val="single" w:sz="4" w:space="0" w:color="000000"/>
              <w:right w:val="single" w:sz="4" w:space="0" w:color="000000"/>
            </w:tcBorders>
            <w:hideMark/>
          </w:tcPr>
          <w:p w:rsidR="00D61595" w:rsidRDefault="00D61595">
            <w:pPr>
              <w:pStyle w:val="TableParagraph"/>
              <w:spacing w:line="207" w:lineRule="exact"/>
              <w:ind w:left="129" w:right="185"/>
              <w:jc w:val="center"/>
              <w:rPr>
                <w:sz w:val="18"/>
              </w:rPr>
            </w:pPr>
            <w:r>
              <w:rPr>
                <w:sz w:val="18"/>
              </w:rPr>
              <w:t>&lt; 0,001</w:t>
            </w:r>
          </w:p>
        </w:tc>
        <w:tc>
          <w:tcPr>
            <w:tcW w:w="988" w:type="dxa"/>
            <w:tcBorders>
              <w:top w:val="single" w:sz="4" w:space="0" w:color="000000"/>
              <w:left w:val="single" w:sz="4" w:space="0" w:color="000000"/>
              <w:bottom w:val="single" w:sz="4" w:space="0" w:color="000000"/>
              <w:right w:val="nil"/>
            </w:tcBorders>
            <w:hideMark/>
          </w:tcPr>
          <w:p w:rsidR="00D61595" w:rsidRDefault="00D61595">
            <w:pPr>
              <w:pStyle w:val="TableParagraph"/>
              <w:spacing w:line="207" w:lineRule="exact"/>
              <w:ind w:left="6" w:right="84"/>
              <w:jc w:val="center"/>
              <w:rPr>
                <w:sz w:val="18"/>
              </w:rPr>
            </w:pPr>
            <w:r>
              <w:rPr>
                <w:sz w:val="18"/>
              </w:rPr>
              <w:t>9 (1,0 %)</w:t>
            </w:r>
          </w:p>
        </w:tc>
        <w:tc>
          <w:tcPr>
            <w:tcW w:w="1227" w:type="dxa"/>
            <w:tcBorders>
              <w:top w:val="single" w:sz="4" w:space="0" w:color="000000"/>
              <w:left w:val="nil"/>
              <w:bottom w:val="single" w:sz="4" w:space="0" w:color="000000"/>
              <w:right w:val="nil"/>
            </w:tcBorders>
            <w:hideMark/>
          </w:tcPr>
          <w:p w:rsidR="00D61595" w:rsidRDefault="00D61595">
            <w:pPr>
              <w:pStyle w:val="TableParagraph"/>
              <w:spacing w:line="207" w:lineRule="exact"/>
              <w:ind w:left="119"/>
              <w:rPr>
                <w:sz w:val="18"/>
              </w:rPr>
            </w:pPr>
            <w:r>
              <w:rPr>
                <w:sz w:val="18"/>
              </w:rPr>
              <w:t>24 (2,6 %)</w:t>
            </w:r>
          </w:p>
        </w:tc>
        <w:tc>
          <w:tcPr>
            <w:tcW w:w="766" w:type="dxa"/>
            <w:tcBorders>
              <w:top w:val="single" w:sz="4" w:space="0" w:color="000000"/>
              <w:left w:val="nil"/>
              <w:bottom w:val="single" w:sz="4" w:space="0" w:color="000000"/>
              <w:right w:val="single" w:sz="4" w:space="0" w:color="000000"/>
            </w:tcBorders>
            <w:hideMark/>
          </w:tcPr>
          <w:p w:rsidR="00D61595" w:rsidRDefault="00D61595">
            <w:pPr>
              <w:pStyle w:val="TableParagraph"/>
              <w:spacing w:line="207" w:lineRule="exact"/>
              <w:ind w:left="167" w:right="238"/>
              <w:jc w:val="center"/>
              <w:rPr>
                <w:sz w:val="18"/>
              </w:rPr>
            </w:pPr>
            <w:r>
              <w:rPr>
                <w:sz w:val="18"/>
              </w:rPr>
              <w:t>0,01</w:t>
            </w:r>
          </w:p>
        </w:tc>
      </w:tr>
      <w:tr w:rsidR="00D61595" w:rsidTr="00D61595">
        <w:trPr>
          <w:trHeight w:val="422"/>
        </w:trPr>
        <w:tc>
          <w:tcPr>
            <w:tcW w:w="123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207" w:lineRule="exact"/>
              <w:rPr>
                <w:sz w:val="18"/>
              </w:rPr>
            </w:pPr>
            <w:r>
              <w:rPr>
                <w:sz w:val="18"/>
              </w:rPr>
              <w:t>Symptoma-</w:t>
            </w:r>
          </w:p>
          <w:p w:rsidR="00D61595" w:rsidRDefault="00D61595">
            <w:pPr>
              <w:pStyle w:val="TableParagraph"/>
              <w:spacing w:before="4" w:line="191" w:lineRule="exact"/>
              <w:rPr>
                <w:sz w:val="18"/>
              </w:rPr>
            </w:pPr>
            <w:r>
              <w:rPr>
                <w:sz w:val="18"/>
              </w:rPr>
              <w:t>tiske VTE’er</w:t>
            </w:r>
          </w:p>
        </w:tc>
        <w:tc>
          <w:tcPr>
            <w:tcW w:w="1086" w:type="dxa"/>
            <w:tcBorders>
              <w:top w:val="single" w:sz="4" w:space="0" w:color="000000"/>
              <w:left w:val="single" w:sz="4" w:space="0" w:color="000000"/>
              <w:bottom w:val="single" w:sz="4" w:space="0" w:color="000000"/>
              <w:right w:val="nil"/>
            </w:tcBorders>
            <w:hideMark/>
          </w:tcPr>
          <w:p w:rsidR="00D61595" w:rsidRDefault="00D61595">
            <w:pPr>
              <w:pStyle w:val="TableParagraph"/>
              <w:spacing w:line="207" w:lineRule="exact"/>
              <w:rPr>
                <w:sz w:val="18"/>
              </w:rPr>
            </w:pPr>
            <w:r>
              <w:rPr>
                <w:sz w:val="18"/>
              </w:rPr>
              <w:t>6 (0,4 %)</w:t>
            </w:r>
          </w:p>
        </w:tc>
        <w:tc>
          <w:tcPr>
            <w:tcW w:w="1255" w:type="dxa"/>
            <w:tcBorders>
              <w:top w:val="single" w:sz="4" w:space="0" w:color="000000"/>
              <w:left w:val="nil"/>
              <w:bottom w:val="single" w:sz="4" w:space="0" w:color="000000"/>
              <w:right w:val="nil"/>
            </w:tcBorders>
            <w:hideMark/>
          </w:tcPr>
          <w:p w:rsidR="00D61595" w:rsidRDefault="00D61595">
            <w:pPr>
              <w:pStyle w:val="TableParagraph"/>
              <w:spacing w:line="207" w:lineRule="exact"/>
              <w:ind w:left="92"/>
              <w:rPr>
                <w:sz w:val="18"/>
              </w:rPr>
            </w:pPr>
            <w:r>
              <w:rPr>
                <w:sz w:val="18"/>
              </w:rPr>
              <w:t>11 (0,7 %)</w:t>
            </w:r>
          </w:p>
        </w:tc>
        <w:tc>
          <w:tcPr>
            <w:tcW w:w="900" w:type="dxa"/>
            <w:tcBorders>
              <w:top w:val="single" w:sz="4" w:space="0" w:color="000000"/>
              <w:left w:val="nil"/>
              <w:bottom w:val="single" w:sz="4" w:space="0" w:color="000000"/>
              <w:right w:val="single" w:sz="4" w:space="0" w:color="000000"/>
            </w:tcBorders>
          </w:tcPr>
          <w:p w:rsidR="00D61595" w:rsidRDefault="00D61595">
            <w:pPr>
              <w:pStyle w:val="TableParagraph"/>
              <w:ind w:left="0"/>
              <w:rPr>
                <w:sz w:val="20"/>
              </w:rPr>
            </w:pPr>
          </w:p>
        </w:tc>
        <w:tc>
          <w:tcPr>
            <w:tcW w:w="1151" w:type="dxa"/>
            <w:tcBorders>
              <w:top w:val="single" w:sz="4" w:space="0" w:color="000000"/>
              <w:left w:val="single" w:sz="4" w:space="0" w:color="000000"/>
              <w:bottom w:val="single" w:sz="4" w:space="0" w:color="000000"/>
              <w:right w:val="nil"/>
            </w:tcBorders>
            <w:hideMark/>
          </w:tcPr>
          <w:p w:rsidR="00D61595" w:rsidRDefault="00D61595">
            <w:pPr>
              <w:pStyle w:val="TableParagraph"/>
              <w:spacing w:line="207" w:lineRule="exact"/>
              <w:ind w:left="109"/>
              <w:rPr>
                <w:sz w:val="18"/>
              </w:rPr>
            </w:pPr>
            <w:r>
              <w:rPr>
                <w:sz w:val="18"/>
              </w:rPr>
              <w:t>3 (0,4 %)</w:t>
            </w:r>
          </w:p>
        </w:tc>
        <w:tc>
          <w:tcPr>
            <w:tcW w:w="1052" w:type="dxa"/>
            <w:tcBorders>
              <w:top w:val="single" w:sz="4" w:space="0" w:color="000000"/>
              <w:left w:val="nil"/>
              <w:bottom w:val="single" w:sz="4" w:space="0" w:color="000000"/>
              <w:right w:val="nil"/>
            </w:tcBorders>
            <w:hideMark/>
          </w:tcPr>
          <w:p w:rsidR="00D61595" w:rsidRDefault="00D61595">
            <w:pPr>
              <w:pStyle w:val="TableParagraph"/>
              <w:spacing w:line="207" w:lineRule="exact"/>
              <w:ind w:left="62"/>
              <w:rPr>
                <w:sz w:val="18"/>
              </w:rPr>
            </w:pPr>
            <w:r>
              <w:rPr>
                <w:sz w:val="18"/>
              </w:rPr>
              <w:t>15 (1,7 %)</w:t>
            </w:r>
          </w:p>
        </w:tc>
        <w:tc>
          <w:tcPr>
            <w:tcW w:w="912" w:type="dxa"/>
            <w:tcBorders>
              <w:top w:val="single" w:sz="4" w:space="0" w:color="000000"/>
              <w:left w:val="nil"/>
              <w:bottom w:val="single" w:sz="4" w:space="0" w:color="000000"/>
              <w:right w:val="single" w:sz="4" w:space="0" w:color="000000"/>
            </w:tcBorders>
          </w:tcPr>
          <w:p w:rsidR="00D61595" w:rsidRDefault="00D61595">
            <w:pPr>
              <w:pStyle w:val="TableParagraph"/>
              <w:ind w:left="0"/>
              <w:rPr>
                <w:sz w:val="20"/>
              </w:rPr>
            </w:pPr>
          </w:p>
        </w:tc>
        <w:tc>
          <w:tcPr>
            <w:tcW w:w="988" w:type="dxa"/>
            <w:tcBorders>
              <w:top w:val="single" w:sz="4" w:space="0" w:color="000000"/>
              <w:left w:val="single" w:sz="4" w:space="0" w:color="000000"/>
              <w:bottom w:val="single" w:sz="4" w:space="0" w:color="000000"/>
              <w:right w:val="nil"/>
            </w:tcBorders>
            <w:hideMark/>
          </w:tcPr>
          <w:p w:rsidR="00D61595" w:rsidRDefault="00D61595">
            <w:pPr>
              <w:pStyle w:val="TableParagraph"/>
              <w:spacing w:line="207" w:lineRule="exact"/>
              <w:ind w:left="6" w:right="84"/>
              <w:jc w:val="center"/>
              <w:rPr>
                <w:sz w:val="18"/>
              </w:rPr>
            </w:pPr>
            <w:r>
              <w:rPr>
                <w:sz w:val="18"/>
              </w:rPr>
              <w:t>8 (1,0 %)</w:t>
            </w:r>
          </w:p>
        </w:tc>
        <w:tc>
          <w:tcPr>
            <w:tcW w:w="1227" w:type="dxa"/>
            <w:tcBorders>
              <w:top w:val="single" w:sz="4" w:space="0" w:color="000000"/>
              <w:left w:val="nil"/>
              <w:bottom w:val="single" w:sz="4" w:space="0" w:color="000000"/>
              <w:right w:val="nil"/>
            </w:tcBorders>
            <w:hideMark/>
          </w:tcPr>
          <w:p w:rsidR="00D61595" w:rsidRDefault="00D61595">
            <w:pPr>
              <w:pStyle w:val="TableParagraph"/>
              <w:spacing w:line="207" w:lineRule="exact"/>
              <w:ind w:left="119"/>
              <w:rPr>
                <w:sz w:val="18"/>
              </w:rPr>
            </w:pPr>
            <w:r>
              <w:rPr>
                <w:sz w:val="18"/>
              </w:rPr>
              <w:t>24 (2,7 %)</w:t>
            </w:r>
          </w:p>
        </w:tc>
        <w:tc>
          <w:tcPr>
            <w:tcW w:w="766" w:type="dxa"/>
            <w:tcBorders>
              <w:top w:val="single" w:sz="4" w:space="0" w:color="000000"/>
              <w:left w:val="nil"/>
              <w:bottom w:val="single" w:sz="4" w:space="0" w:color="000000"/>
              <w:right w:val="single" w:sz="4" w:space="0" w:color="000000"/>
            </w:tcBorders>
          </w:tcPr>
          <w:p w:rsidR="00D61595" w:rsidRDefault="00D61595">
            <w:pPr>
              <w:pStyle w:val="TableParagraph"/>
              <w:ind w:left="0"/>
              <w:rPr>
                <w:sz w:val="20"/>
              </w:rPr>
            </w:pPr>
          </w:p>
        </w:tc>
      </w:tr>
      <w:tr w:rsidR="00D61595" w:rsidTr="00D61595">
        <w:trPr>
          <w:trHeight w:val="422"/>
        </w:trPr>
        <w:tc>
          <w:tcPr>
            <w:tcW w:w="123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spacing w:line="207" w:lineRule="exact"/>
              <w:rPr>
                <w:sz w:val="18"/>
              </w:rPr>
            </w:pPr>
            <w:r>
              <w:rPr>
                <w:sz w:val="18"/>
              </w:rPr>
              <w:t>Større</w:t>
            </w:r>
          </w:p>
          <w:p w:rsidR="00D61595" w:rsidRDefault="00D61595">
            <w:pPr>
              <w:pStyle w:val="TableParagraph"/>
              <w:spacing w:before="4" w:line="191" w:lineRule="exact"/>
              <w:rPr>
                <w:sz w:val="18"/>
              </w:rPr>
            </w:pPr>
            <w:r>
              <w:rPr>
                <w:sz w:val="18"/>
              </w:rPr>
              <w:t>blødninger</w:t>
            </w:r>
          </w:p>
        </w:tc>
        <w:tc>
          <w:tcPr>
            <w:tcW w:w="1086" w:type="dxa"/>
            <w:tcBorders>
              <w:top w:val="single" w:sz="4" w:space="0" w:color="000000"/>
              <w:left w:val="single" w:sz="4" w:space="0" w:color="000000"/>
              <w:bottom w:val="single" w:sz="4" w:space="0" w:color="000000"/>
              <w:right w:val="nil"/>
            </w:tcBorders>
            <w:hideMark/>
          </w:tcPr>
          <w:p w:rsidR="00D61595" w:rsidRDefault="00D61595">
            <w:pPr>
              <w:pStyle w:val="TableParagraph"/>
              <w:spacing w:line="207" w:lineRule="exact"/>
              <w:rPr>
                <w:sz w:val="18"/>
              </w:rPr>
            </w:pPr>
            <w:r>
              <w:rPr>
                <w:sz w:val="18"/>
              </w:rPr>
              <w:t>6 (0,3 %)</w:t>
            </w:r>
          </w:p>
        </w:tc>
        <w:tc>
          <w:tcPr>
            <w:tcW w:w="1255" w:type="dxa"/>
            <w:tcBorders>
              <w:top w:val="single" w:sz="4" w:space="0" w:color="000000"/>
              <w:left w:val="nil"/>
              <w:bottom w:val="single" w:sz="4" w:space="0" w:color="000000"/>
              <w:right w:val="nil"/>
            </w:tcBorders>
            <w:hideMark/>
          </w:tcPr>
          <w:p w:rsidR="00D61595" w:rsidRDefault="00D61595">
            <w:pPr>
              <w:pStyle w:val="TableParagraph"/>
              <w:spacing w:line="207" w:lineRule="exact"/>
              <w:ind w:left="92"/>
              <w:rPr>
                <w:sz w:val="18"/>
              </w:rPr>
            </w:pPr>
            <w:r>
              <w:rPr>
                <w:sz w:val="18"/>
              </w:rPr>
              <w:t>2 (0,1 %)</w:t>
            </w:r>
          </w:p>
        </w:tc>
        <w:tc>
          <w:tcPr>
            <w:tcW w:w="900" w:type="dxa"/>
            <w:tcBorders>
              <w:top w:val="single" w:sz="4" w:space="0" w:color="000000"/>
              <w:left w:val="nil"/>
              <w:bottom w:val="single" w:sz="4" w:space="0" w:color="000000"/>
              <w:right w:val="single" w:sz="4" w:space="0" w:color="000000"/>
            </w:tcBorders>
          </w:tcPr>
          <w:p w:rsidR="00D61595" w:rsidRDefault="00D61595">
            <w:pPr>
              <w:pStyle w:val="TableParagraph"/>
              <w:ind w:left="0"/>
              <w:rPr>
                <w:sz w:val="20"/>
              </w:rPr>
            </w:pPr>
          </w:p>
        </w:tc>
        <w:tc>
          <w:tcPr>
            <w:tcW w:w="1151" w:type="dxa"/>
            <w:tcBorders>
              <w:top w:val="single" w:sz="4" w:space="0" w:color="000000"/>
              <w:left w:val="single" w:sz="4" w:space="0" w:color="000000"/>
              <w:bottom w:val="single" w:sz="4" w:space="0" w:color="000000"/>
              <w:right w:val="nil"/>
            </w:tcBorders>
            <w:hideMark/>
          </w:tcPr>
          <w:p w:rsidR="00D61595" w:rsidRDefault="00D61595">
            <w:pPr>
              <w:pStyle w:val="TableParagraph"/>
              <w:spacing w:line="207" w:lineRule="exact"/>
              <w:ind w:left="109"/>
              <w:rPr>
                <w:sz w:val="18"/>
              </w:rPr>
            </w:pPr>
            <w:r>
              <w:rPr>
                <w:sz w:val="18"/>
              </w:rPr>
              <w:t>1 (0,1 %)</w:t>
            </w:r>
          </w:p>
        </w:tc>
        <w:tc>
          <w:tcPr>
            <w:tcW w:w="1052" w:type="dxa"/>
            <w:tcBorders>
              <w:top w:val="single" w:sz="4" w:space="0" w:color="000000"/>
              <w:left w:val="nil"/>
              <w:bottom w:val="single" w:sz="4" w:space="0" w:color="000000"/>
              <w:right w:val="nil"/>
            </w:tcBorders>
            <w:hideMark/>
          </w:tcPr>
          <w:p w:rsidR="00D61595" w:rsidRDefault="00D61595">
            <w:pPr>
              <w:pStyle w:val="TableParagraph"/>
              <w:spacing w:line="207" w:lineRule="exact"/>
              <w:ind w:left="62"/>
              <w:rPr>
                <w:sz w:val="18"/>
              </w:rPr>
            </w:pPr>
            <w:r>
              <w:rPr>
                <w:sz w:val="18"/>
              </w:rPr>
              <w:t>1 (0,1 %)</w:t>
            </w:r>
          </w:p>
        </w:tc>
        <w:tc>
          <w:tcPr>
            <w:tcW w:w="912" w:type="dxa"/>
            <w:tcBorders>
              <w:top w:val="single" w:sz="4" w:space="0" w:color="000000"/>
              <w:left w:val="nil"/>
              <w:bottom w:val="single" w:sz="4" w:space="0" w:color="000000"/>
              <w:right w:val="single" w:sz="4" w:space="0" w:color="000000"/>
            </w:tcBorders>
          </w:tcPr>
          <w:p w:rsidR="00D61595" w:rsidRDefault="00D61595">
            <w:pPr>
              <w:pStyle w:val="TableParagraph"/>
              <w:ind w:left="0"/>
              <w:rPr>
                <w:sz w:val="20"/>
              </w:rPr>
            </w:pPr>
          </w:p>
        </w:tc>
        <w:tc>
          <w:tcPr>
            <w:tcW w:w="988" w:type="dxa"/>
            <w:tcBorders>
              <w:top w:val="single" w:sz="4" w:space="0" w:color="000000"/>
              <w:left w:val="single" w:sz="4" w:space="0" w:color="000000"/>
              <w:bottom w:val="single" w:sz="4" w:space="0" w:color="000000"/>
              <w:right w:val="nil"/>
            </w:tcBorders>
            <w:hideMark/>
          </w:tcPr>
          <w:p w:rsidR="00D61595" w:rsidRDefault="00D61595">
            <w:pPr>
              <w:pStyle w:val="TableParagraph"/>
              <w:spacing w:line="207" w:lineRule="exact"/>
              <w:ind w:left="6" w:right="84"/>
              <w:jc w:val="center"/>
              <w:rPr>
                <w:sz w:val="18"/>
              </w:rPr>
            </w:pPr>
            <w:r>
              <w:rPr>
                <w:sz w:val="18"/>
              </w:rPr>
              <w:t>7 (0,6 %)</w:t>
            </w:r>
          </w:p>
        </w:tc>
        <w:tc>
          <w:tcPr>
            <w:tcW w:w="1227" w:type="dxa"/>
            <w:tcBorders>
              <w:top w:val="single" w:sz="4" w:space="0" w:color="000000"/>
              <w:left w:val="nil"/>
              <w:bottom w:val="single" w:sz="4" w:space="0" w:color="000000"/>
              <w:right w:val="nil"/>
            </w:tcBorders>
            <w:hideMark/>
          </w:tcPr>
          <w:p w:rsidR="00D61595" w:rsidRDefault="00D61595">
            <w:pPr>
              <w:pStyle w:val="TableParagraph"/>
              <w:spacing w:line="207" w:lineRule="exact"/>
              <w:ind w:left="119"/>
              <w:rPr>
                <w:sz w:val="18"/>
              </w:rPr>
            </w:pPr>
            <w:r>
              <w:rPr>
                <w:sz w:val="18"/>
              </w:rPr>
              <w:t>6 (0,5 %)</w:t>
            </w:r>
          </w:p>
        </w:tc>
        <w:tc>
          <w:tcPr>
            <w:tcW w:w="766" w:type="dxa"/>
            <w:tcBorders>
              <w:top w:val="single" w:sz="4" w:space="0" w:color="000000"/>
              <w:left w:val="nil"/>
              <w:bottom w:val="single" w:sz="4" w:space="0" w:color="000000"/>
              <w:right w:val="single" w:sz="4" w:space="0" w:color="000000"/>
            </w:tcBorders>
          </w:tcPr>
          <w:p w:rsidR="00D61595" w:rsidRDefault="00D61595">
            <w:pPr>
              <w:pStyle w:val="TableParagraph"/>
              <w:ind w:left="0"/>
              <w:rPr>
                <w:sz w:val="20"/>
              </w:rPr>
            </w:pPr>
          </w:p>
        </w:tc>
      </w:tr>
    </w:tbl>
    <w:p w:rsidR="00D61595" w:rsidRDefault="00D61595" w:rsidP="00D61595">
      <w:pPr>
        <w:tabs>
          <w:tab w:val="left" w:pos="851"/>
        </w:tabs>
        <w:ind w:left="851"/>
        <w:rPr>
          <w:sz w:val="24"/>
          <w:szCs w:val="24"/>
        </w:rPr>
      </w:pPr>
    </w:p>
    <w:p w:rsidR="00D61595" w:rsidRPr="00D61595" w:rsidRDefault="00D61595" w:rsidP="00D61595">
      <w:pPr>
        <w:tabs>
          <w:tab w:val="left" w:pos="851"/>
        </w:tabs>
        <w:ind w:left="851"/>
        <w:rPr>
          <w:sz w:val="24"/>
          <w:szCs w:val="24"/>
        </w:rPr>
      </w:pPr>
      <w:r w:rsidRPr="00D61595">
        <w:rPr>
          <w:sz w:val="24"/>
          <w:szCs w:val="24"/>
        </w:rPr>
        <w:t>Analysen af de samlede resultater fra fase III-studierne understøttede de data, der blev indsamlet i de enkelte studier vedrørende en reduktion i det samlede antal VTE’er, alvorlige VTE’er og symptomatiske VTE’er med 10 mg rivaroxaban en gang daglig sammenlignet med 40 mg enoxaparin en gang daglig.</w:t>
      </w:r>
    </w:p>
    <w:p w:rsidR="00D61595" w:rsidRP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I tillæg til fase III-programmet RECORD er der efter godkendelsen gennemført et åbent ikke- interventionelt kohortestudie (XAMOS) med 17.413 patienter, der fik foretaget en større ortopædkirurgisk operation af hoften eller knæene, for at sammenligne rivaroxaban med andre farmakologiske tromboprofylakse-behandlinger (standardbehandlinger) i virkelige rammer.</w:t>
      </w:r>
    </w:p>
    <w:p w:rsidR="00D61595" w:rsidRDefault="00D61595" w:rsidP="00D61595">
      <w:pPr>
        <w:tabs>
          <w:tab w:val="left" w:pos="851"/>
        </w:tabs>
        <w:ind w:left="851"/>
        <w:rPr>
          <w:sz w:val="24"/>
          <w:szCs w:val="24"/>
        </w:rPr>
      </w:pPr>
      <w:r>
        <w:rPr>
          <w:sz w:val="24"/>
          <w:szCs w:val="24"/>
        </w:rPr>
        <w:t>Symptomatisk VTE forekom hos 57 patienter (0,6 %) i rivaroxaban-gruppen (n = 8.778) og hos 88 patienter (1,0 %) i standardbehandlingsgruppen (n = 8.635; HR 0,63; 95 %-KI: 0,43 - 0,91; sikkerhedspopulation). Større blødning forekom hos 35 (0,4 %) og 29 (0,3 %) af patienterne i hhv. rivaroxaban-gruppen og standardbehandlingsgruppen (HR 1,10; 95 %-KI: 0,67 - 1,80). Resultaterne var således i overensstemmelse med resultaterne fra de pivotale randomiserede studier.</w:t>
      </w:r>
    </w:p>
    <w:p w:rsidR="00D61595" w:rsidRDefault="00D61595" w:rsidP="00D61595">
      <w:pPr>
        <w:tabs>
          <w:tab w:val="left" w:pos="851"/>
        </w:tabs>
        <w:ind w:left="851"/>
        <w:rPr>
          <w:sz w:val="24"/>
          <w:szCs w:val="24"/>
        </w:rPr>
      </w:pPr>
    </w:p>
    <w:p w:rsidR="00D61595" w:rsidRDefault="00D61595" w:rsidP="00D61595">
      <w:pPr>
        <w:tabs>
          <w:tab w:val="left" w:pos="851"/>
        </w:tabs>
        <w:ind w:left="851"/>
        <w:rPr>
          <w:i/>
          <w:sz w:val="24"/>
          <w:szCs w:val="24"/>
        </w:rPr>
      </w:pPr>
      <w:r>
        <w:rPr>
          <w:i/>
          <w:sz w:val="24"/>
          <w:szCs w:val="24"/>
        </w:rPr>
        <w:t>Behandling af DVT, LE og forebyggelse af recidiverende DVT og LE</w:t>
      </w:r>
    </w:p>
    <w:p w:rsidR="00D61595" w:rsidRDefault="00D61595" w:rsidP="00D61595">
      <w:pPr>
        <w:tabs>
          <w:tab w:val="left" w:pos="851"/>
        </w:tabs>
        <w:ind w:left="851"/>
        <w:rPr>
          <w:sz w:val="24"/>
          <w:szCs w:val="24"/>
        </w:rPr>
      </w:pPr>
      <w:r>
        <w:rPr>
          <w:sz w:val="24"/>
          <w:szCs w:val="24"/>
        </w:rPr>
        <w:t>Det kliniske rivaroxaban-program var udformet med henblik på at påvise effekten af rivaroxaban til indledende og fortsat behandling af akut DVT og LE og forebyggelse af recidiv.</w:t>
      </w:r>
    </w:p>
    <w:p w:rsidR="00D61595" w:rsidRDefault="00D61595" w:rsidP="00D61595">
      <w:pPr>
        <w:tabs>
          <w:tab w:val="left" w:pos="851"/>
        </w:tabs>
        <w:ind w:left="851"/>
        <w:rPr>
          <w:sz w:val="24"/>
          <w:szCs w:val="24"/>
        </w:rPr>
      </w:pPr>
      <w:r>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I Einstein DVT blev 3.449 patienter med akut DVT undersøgt for behandling af DVT og forebyggelse af recidiverende DVT og LE (patienter med symptomatisk LE blev udelukket fra dette studie).</w:t>
      </w:r>
    </w:p>
    <w:p w:rsidR="00D61595" w:rsidRDefault="00D61595" w:rsidP="00D61595">
      <w:pPr>
        <w:tabs>
          <w:tab w:val="left" w:pos="851"/>
        </w:tabs>
        <w:ind w:left="851"/>
        <w:rPr>
          <w:sz w:val="24"/>
          <w:szCs w:val="24"/>
        </w:rPr>
      </w:pPr>
      <w:r>
        <w:rPr>
          <w:sz w:val="24"/>
          <w:szCs w:val="24"/>
        </w:rPr>
        <w:t>Behandlingsvarigheden var 3, 6 eller 12 måneder afhængigt af investigators kliniske vurdering.</w:t>
      </w:r>
    </w:p>
    <w:p w:rsidR="00D61595" w:rsidRDefault="00D61595" w:rsidP="00D61595">
      <w:pPr>
        <w:tabs>
          <w:tab w:val="left" w:pos="851"/>
        </w:tabs>
        <w:ind w:left="851"/>
        <w:rPr>
          <w:sz w:val="24"/>
          <w:szCs w:val="24"/>
        </w:rPr>
      </w:pPr>
      <w:r>
        <w:rPr>
          <w:sz w:val="24"/>
          <w:szCs w:val="24"/>
        </w:rPr>
        <w:t>I den indledende 3-ugersbehandling af akut DVT fik patienterne 15 mg rivaroxaban to gange dagligt. Der fortsattes derefter med 20 mg rivaroxaban én gang dagligt.</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I Einstein LE blev 4.832 patienter med akut LE undersøgt for behandling af LE og forebyggelse af recidiverende DVT og LE. Behandlingsvarigheden var 3, 6 eller 12 måneder afhængigt af investigators kliniske vurdering.</w:t>
      </w:r>
    </w:p>
    <w:p w:rsidR="00D61595" w:rsidRDefault="00D61595" w:rsidP="00D61595">
      <w:pPr>
        <w:tabs>
          <w:tab w:val="left" w:pos="851"/>
        </w:tabs>
        <w:ind w:left="851"/>
        <w:rPr>
          <w:sz w:val="24"/>
          <w:szCs w:val="24"/>
        </w:rPr>
      </w:pPr>
      <w:r>
        <w:rPr>
          <w:sz w:val="24"/>
          <w:szCs w:val="24"/>
        </w:rPr>
        <w:t>I den indledende behandling af akut LE fik patienterne 15 mg rivaroxaban to gange dagligt i tre uger. Der fortsattes derefter med 20 mg rivaroxaban én gang dagligt.</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I både Einstein DVT- og Einstein LE-studiet bestod den sammenlignende behandlingsplan af enoxaparin givet i mindst 5 dage samtidig med en vitamin K-antagonist, indtil PT/INR lå inden for behandlingsintervallet (</w:t>
      </w:r>
      <w:r>
        <w:rPr>
          <w:sz w:val="22"/>
          <w:szCs w:val="22"/>
        </w:rPr>
        <w:t>≥</w:t>
      </w:r>
      <w:r>
        <w:rPr>
          <w:sz w:val="24"/>
          <w:szCs w:val="24"/>
        </w:rPr>
        <w:t xml:space="preserve"> 2,0). Behandlingen fortsattes med en vitamin K-antagonist, der dosisjusteredes med henblik på vedligeholdelse af PT/INR-værdier i behandlingsintervallet 2,0 - 3,0.</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w:t>
      </w:r>
      <w:r>
        <w:rPr>
          <w:spacing w:val="-2"/>
          <w:sz w:val="24"/>
          <w:szCs w:val="24"/>
        </w:rPr>
        <w:t xml:space="preserve"> </w:t>
      </w:r>
      <w:r>
        <w:rPr>
          <w:sz w:val="24"/>
          <w:szCs w:val="24"/>
        </w:rPr>
        <w:t>dagligt.</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Det primære effektendepunkt var symptomatisk recidiverende VTE defineret som recidiverende DVT og dødelig eller ikke-dødelig</w:t>
      </w:r>
      <w:r>
        <w:rPr>
          <w:spacing w:val="-1"/>
          <w:sz w:val="24"/>
          <w:szCs w:val="24"/>
        </w:rPr>
        <w:t xml:space="preserve"> L</w:t>
      </w:r>
      <w:r>
        <w:rPr>
          <w:sz w:val="24"/>
          <w:szCs w:val="24"/>
        </w:rPr>
        <w:t>E.</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 xml:space="preserve">I DVT-studiet Einstein (se tabel 5) blev rivaroxaban påvist at være non-inferiørt sammenlignet med enoxaparin/VKA med hensyn til det primære effektendepunkt (p &lt; 0,0001 (test for non-inferioritet), </w:t>
      </w:r>
      <w:r>
        <w:rPr>
          <w:i/>
          <w:sz w:val="24"/>
          <w:szCs w:val="24"/>
        </w:rPr>
        <w:t xml:space="preserve">hazard </w:t>
      </w:r>
      <w:r>
        <w:rPr>
          <w:sz w:val="24"/>
          <w:szCs w:val="24"/>
        </w:rPr>
        <w:t>ratio (HR): 0,680 (0,443 - 1,042), p = 0,076 (test for superioritet)). Den på forhånd fastsatte kliniske nettofordel (primært effektendepunkt plus større blødninger) indberettedes med en HR på 0,67 (95 % KI: 0,47 - 0,95),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2,0 - 3,0) i de lige store tertiler og forekomsten af recidiverende VTE (p = 0,032 for interaktion). I henhold til center var HR med rivaroxaban i forhold til warfarin i den højeste tertil 0,69 (95 % KI: 0,35 -</w:t>
      </w:r>
      <w:r>
        <w:rPr>
          <w:spacing w:val="-21"/>
          <w:sz w:val="24"/>
          <w:szCs w:val="24"/>
        </w:rPr>
        <w:t xml:space="preserve"> </w:t>
      </w:r>
      <w:r>
        <w:rPr>
          <w:sz w:val="24"/>
          <w:szCs w:val="24"/>
        </w:rPr>
        <w:t>1,35).</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Frekvenserne for det primære sikkerhedsendepunkt (større eller klinisk relevante mindre blødninger) samt det sekundære sikkerhedsendepunkt (større blødninger) var ens for de to behandlingsgrupper.</w:t>
      </w:r>
    </w:p>
    <w:p w:rsidR="00D61595" w:rsidRDefault="00D61595" w:rsidP="00D61595">
      <w:pPr>
        <w:tabs>
          <w:tab w:val="left" w:pos="851"/>
        </w:tabs>
        <w:ind w:left="851"/>
        <w:rPr>
          <w:sz w:val="24"/>
          <w:szCs w:val="24"/>
        </w:rPr>
      </w:pPr>
    </w:p>
    <w:p w:rsidR="00D61595" w:rsidRDefault="00D61595" w:rsidP="00D61595">
      <w:pPr>
        <w:tabs>
          <w:tab w:val="left" w:pos="851"/>
        </w:tabs>
        <w:ind w:left="851"/>
        <w:rPr>
          <w:b/>
          <w:sz w:val="24"/>
          <w:szCs w:val="24"/>
        </w:rPr>
      </w:pPr>
      <w:r>
        <w:rPr>
          <w:b/>
          <w:sz w:val="24"/>
          <w:szCs w:val="24"/>
        </w:rPr>
        <w:t>Tabel 5: Effekt- og sikkerhedsresultater fra fase III Einstein DVT</w:t>
      </w:r>
    </w:p>
    <w:tbl>
      <w:tblPr>
        <w:tblStyle w:val="TableNormal"/>
        <w:tblW w:w="8970"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4"/>
        <w:gridCol w:w="2960"/>
        <w:gridCol w:w="2796"/>
      </w:tblGrid>
      <w:tr w:rsidR="00D61595" w:rsidTr="00D61595">
        <w:trPr>
          <w:trHeight w:val="252"/>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rPr>
            </w:pPr>
            <w:r>
              <w:rPr>
                <w:rFonts w:ascii="Times New Roman" w:hAnsi="Times New Roman" w:cs="Times New Roman"/>
                <w:b/>
                <w:sz w:val="24"/>
                <w:szCs w:val="24"/>
              </w:rPr>
              <w:t>Studiepopulation</w:t>
            </w:r>
          </w:p>
        </w:tc>
        <w:tc>
          <w:tcPr>
            <w:tcW w:w="5752" w:type="dxa"/>
            <w:gridSpan w:val="2"/>
            <w:tcBorders>
              <w:top w:val="single" w:sz="4" w:space="0" w:color="000000"/>
              <w:left w:val="single" w:sz="4" w:space="0" w:color="000000"/>
              <w:bottom w:val="single" w:sz="4" w:space="0" w:color="000000"/>
              <w:right w:val="single" w:sz="6"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lang w:val="de-DE"/>
              </w:rPr>
            </w:pPr>
            <w:r>
              <w:rPr>
                <w:b/>
                <w:sz w:val="24"/>
                <w:szCs w:val="24"/>
                <w:lang w:val="de-DE"/>
              </w:rPr>
              <w:t>3.449 patienter med symptomatisk akut dyb venetrombose</w:t>
            </w:r>
          </w:p>
        </w:tc>
      </w:tr>
      <w:tr w:rsidR="00D61595" w:rsidTr="00D61595">
        <w:trPr>
          <w:trHeight w:val="759"/>
        </w:trPr>
        <w:tc>
          <w:tcPr>
            <w:tcW w:w="3211"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567" w:hanging="567"/>
              <w:contextualSpacing/>
              <w:mirrorIndents/>
              <w:rPr>
                <w:rFonts w:ascii="Times New Roman" w:hAnsi="Times New Roman" w:cs="Times New Roman"/>
                <w:b/>
                <w:sz w:val="24"/>
                <w:szCs w:val="24"/>
                <w:lang w:val="de-DE"/>
              </w:rPr>
            </w:pPr>
          </w:p>
          <w:p w:rsidR="00D61595" w:rsidRDefault="00D61595">
            <w:pPr>
              <w:pStyle w:val="TableParagraph"/>
              <w:ind w:left="567" w:hanging="567"/>
              <w:contextualSpacing/>
              <w:mirrorIndents/>
              <w:rPr>
                <w:rFonts w:ascii="Times New Roman" w:hAnsi="Times New Roman" w:cs="Times New Roman"/>
                <w:b/>
                <w:sz w:val="24"/>
                <w:szCs w:val="24"/>
              </w:rPr>
            </w:pPr>
            <w:r>
              <w:rPr>
                <w:rFonts w:ascii="Times New Roman" w:hAnsi="Times New Roman" w:cs="Times New Roman"/>
                <w:b/>
                <w:sz w:val="24"/>
                <w:szCs w:val="24"/>
              </w:rPr>
              <w:t>Terapeutisk dosis og varighed</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lang w:val="es-ES"/>
              </w:rPr>
            </w:pPr>
            <w:r>
              <w:rPr>
                <w:rFonts w:ascii="Times New Roman" w:hAnsi="Times New Roman" w:cs="Times New Roman"/>
                <w:b/>
                <w:sz w:val="24"/>
                <w:szCs w:val="24"/>
                <w:lang w:val="es-ES"/>
              </w:rPr>
              <w:t xml:space="preserve">Rivaroxaban </w:t>
            </w:r>
            <w:r>
              <w:rPr>
                <w:rFonts w:ascii="Times New Roman" w:hAnsi="Times New Roman" w:cs="Times New Roman"/>
                <w:b/>
                <w:position w:val="8"/>
                <w:sz w:val="24"/>
                <w:szCs w:val="24"/>
                <w:lang w:val="es-ES"/>
              </w:rPr>
              <w:t>a)</w:t>
            </w:r>
          </w:p>
          <w:p w:rsidR="00D61595" w:rsidRDefault="00D61595">
            <w:pPr>
              <w:pStyle w:val="TableParagraph"/>
              <w:ind w:left="567" w:hanging="567"/>
              <w:contextualSpacing/>
              <w:mirrorIndents/>
              <w:rPr>
                <w:rFonts w:ascii="Times New Roman" w:hAnsi="Times New Roman" w:cs="Times New Roman"/>
                <w:b/>
                <w:sz w:val="24"/>
                <w:szCs w:val="24"/>
                <w:lang w:val="es-ES"/>
              </w:rPr>
            </w:pPr>
            <w:r>
              <w:rPr>
                <w:rFonts w:ascii="Times New Roman" w:hAnsi="Times New Roman" w:cs="Times New Roman"/>
                <w:b/>
                <w:sz w:val="24"/>
                <w:szCs w:val="24"/>
                <w:lang w:val="es-ES"/>
              </w:rPr>
              <w:t>3, 6 eller 12 måneder N=1.731</w:t>
            </w:r>
          </w:p>
        </w:tc>
        <w:tc>
          <w:tcPr>
            <w:tcW w:w="2794" w:type="dxa"/>
            <w:tcBorders>
              <w:top w:val="single" w:sz="4" w:space="0" w:color="000000"/>
              <w:left w:val="single" w:sz="4" w:space="0" w:color="000000"/>
              <w:bottom w:val="single" w:sz="4" w:space="0" w:color="000000"/>
              <w:right w:val="single" w:sz="6"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lang w:val="de-DE"/>
              </w:rPr>
            </w:pPr>
            <w:r>
              <w:rPr>
                <w:b/>
                <w:sz w:val="24"/>
                <w:szCs w:val="24"/>
                <w:lang w:val="de-DE"/>
              </w:rPr>
              <w:t>Enoxaparin/VKA</w:t>
            </w:r>
            <w:r>
              <w:rPr>
                <w:b/>
                <w:position w:val="8"/>
                <w:sz w:val="24"/>
                <w:szCs w:val="24"/>
                <w:lang w:val="de-DE"/>
              </w:rPr>
              <w:t xml:space="preserve">b) </w:t>
            </w:r>
            <w:r>
              <w:rPr>
                <w:b/>
                <w:sz w:val="24"/>
                <w:szCs w:val="24"/>
                <w:lang w:val="de-DE"/>
              </w:rPr>
              <w:t>3, 6 eller 12</w:t>
            </w:r>
            <w:r>
              <w:rPr>
                <w:b/>
                <w:spacing w:val="-11"/>
                <w:sz w:val="24"/>
                <w:szCs w:val="24"/>
                <w:lang w:val="de-DE"/>
              </w:rPr>
              <w:t xml:space="preserve"> </w:t>
            </w:r>
            <w:r>
              <w:rPr>
                <w:b/>
                <w:sz w:val="24"/>
                <w:szCs w:val="24"/>
                <w:lang w:val="de-DE"/>
              </w:rPr>
              <w:t>måneder N=1.718</w:t>
            </w:r>
          </w:p>
        </w:tc>
      </w:tr>
      <w:tr w:rsidR="00D61595" w:rsidTr="00D61595">
        <w:trPr>
          <w:trHeight w:val="501"/>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recidiverende VTE*</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36</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(2,1 %)</w:t>
            </w:r>
          </w:p>
        </w:tc>
        <w:tc>
          <w:tcPr>
            <w:tcW w:w="2794" w:type="dxa"/>
            <w:tcBorders>
              <w:top w:val="single" w:sz="4" w:space="0" w:color="000000"/>
              <w:left w:val="single" w:sz="4" w:space="0" w:color="000000"/>
              <w:bottom w:val="single" w:sz="4" w:space="0" w:color="000000"/>
              <w:right w:val="single" w:sz="6"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51</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(3,0 %)</w:t>
            </w:r>
          </w:p>
        </w:tc>
      </w:tr>
      <w:tr w:rsidR="00D61595" w:rsidTr="00D61595">
        <w:trPr>
          <w:trHeight w:val="505"/>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recidiverende LE</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20</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(1,2 %)</w:t>
            </w:r>
          </w:p>
        </w:tc>
        <w:tc>
          <w:tcPr>
            <w:tcW w:w="2794" w:type="dxa"/>
            <w:tcBorders>
              <w:top w:val="single" w:sz="4" w:space="0" w:color="000000"/>
              <w:left w:val="single" w:sz="4" w:space="0" w:color="000000"/>
              <w:bottom w:val="single" w:sz="4" w:space="0" w:color="000000"/>
              <w:right w:val="single" w:sz="6"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18</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(1,0 %)</w:t>
            </w:r>
          </w:p>
        </w:tc>
      </w:tr>
      <w:tr w:rsidR="00D61595" w:rsidTr="00D61595">
        <w:trPr>
          <w:trHeight w:val="505"/>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recidiverende DVT</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14</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(0,8 %)</w:t>
            </w:r>
          </w:p>
        </w:tc>
        <w:tc>
          <w:tcPr>
            <w:tcW w:w="2794" w:type="dxa"/>
            <w:tcBorders>
              <w:top w:val="single" w:sz="4" w:space="0" w:color="000000"/>
              <w:left w:val="single" w:sz="4" w:space="0" w:color="000000"/>
              <w:bottom w:val="single" w:sz="4" w:space="0" w:color="000000"/>
              <w:right w:val="single" w:sz="6"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28</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(1,6 %)</w:t>
            </w:r>
          </w:p>
        </w:tc>
      </w:tr>
      <w:tr w:rsidR="00D61595" w:rsidTr="00D61595">
        <w:trPr>
          <w:trHeight w:val="506"/>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LE og DVT</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1</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(0,1 %)</w:t>
            </w:r>
          </w:p>
        </w:tc>
        <w:tc>
          <w:tcPr>
            <w:tcW w:w="2794" w:type="dxa"/>
            <w:tcBorders>
              <w:top w:val="single" w:sz="4" w:space="0" w:color="000000"/>
              <w:left w:val="single" w:sz="4" w:space="0" w:color="000000"/>
              <w:bottom w:val="single" w:sz="4" w:space="0" w:color="000000"/>
              <w:right w:val="single" w:sz="6"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0</w:t>
            </w:r>
          </w:p>
        </w:tc>
      </w:tr>
      <w:tr w:rsidR="00D61595" w:rsidTr="00D61595">
        <w:trPr>
          <w:trHeight w:val="505"/>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38"/>
              <w:contextualSpacing/>
              <w:mirrorIndents/>
              <w:rPr>
                <w:rFonts w:ascii="Times New Roman" w:hAnsi="Times New Roman" w:cs="Times New Roman"/>
                <w:sz w:val="24"/>
                <w:szCs w:val="24"/>
                <w:lang w:val="da-DK"/>
              </w:rPr>
            </w:pPr>
            <w:r>
              <w:rPr>
                <w:rFonts w:ascii="Times New Roman" w:hAnsi="Times New Roman" w:cs="Times New Roman"/>
                <w:sz w:val="24"/>
                <w:szCs w:val="24"/>
                <w:lang w:val="da-DK"/>
              </w:rPr>
              <w:t>Dødelig LE/død, hvor LE ikke kan udelukkes</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4</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(0,2 %)</w:t>
            </w:r>
          </w:p>
        </w:tc>
        <w:tc>
          <w:tcPr>
            <w:tcW w:w="2794" w:type="dxa"/>
            <w:tcBorders>
              <w:top w:val="single" w:sz="4" w:space="0" w:color="000000"/>
              <w:left w:val="single" w:sz="4" w:space="0" w:color="000000"/>
              <w:bottom w:val="single" w:sz="4" w:space="0" w:color="000000"/>
              <w:right w:val="single" w:sz="6"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6</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(0,3 %)</w:t>
            </w:r>
          </w:p>
        </w:tc>
      </w:tr>
      <w:tr w:rsidR="00D61595" w:rsidTr="00D61595">
        <w:trPr>
          <w:trHeight w:val="502"/>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lang w:val="fr-FR"/>
              </w:rPr>
            </w:pPr>
            <w:r>
              <w:rPr>
                <w:rFonts w:ascii="Times New Roman" w:hAnsi="Times New Roman" w:cs="Times New Roman"/>
                <w:sz w:val="24"/>
                <w:szCs w:val="24"/>
                <w:lang w:val="fr-FR"/>
              </w:rPr>
              <w:t>Større eller klinisk relevant</w:t>
            </w:r>
          </w:p>
          <w:p w:rsidR="00D61595" w:rsidRDefault="00D61595">
            <w:pPr>
              <w:pStyle w:val="TableParagraph"/>
              <w:ind w:left="567" w:hanging="567"/>
              <w:contextualSpacing/>
              <w:mirrorIndents/>
              <w:rPr>
                <w:rFonts w:ascii="Times New Roman" w:hAnsi="Times New Roman" w:cs="Times New Roman"/>
                <w:sz w:val="24"/>
                <w:szCs w:val="24"/>
                <w:lang w:val="fr-FR"/>
              </w:rPr>
            </w:pPr>
            <w:r>
              <w:rPr>
                <w:rFonts w:ascii="Times New Roman" w:hAnsi="Times New Roman" w:cs="Times New Roman"/>
                <w:sz w:val="24"/>
                <w:szCs w:val="24"/>
                <w:lang w:val="fr-FR"/>
              </w:rPr>
              <w:t>mindre blødning</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139</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(8,1 %)</w:t>
            </w:r>
          </w:p>
        </w:tc>
        <w:tc>
          <w:tcPr>
            <w:tcW w:w="2794" w:type="dxa"/>
            <w:tcBorders>
              <w:top w:val="single" w:sz="4" w:space="0" w:color="000000"/>
              <w:left w:val="single" w:sz="4" w:space="0" w:color="000000"/>
              <w:bottom w:val="single" w:sz="4" w:space="0" w:color="000000"/>
              <w:right w:val="single" w:sz="6"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138</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(8,1 %)</w:t>
            </w:r>
          </w:p>
        </w:tc>
      </w:tr>
      <w:tr w:rsidR="00D61595" w:rsidTr="00D61595">
        <w:trPr>
          <w:trHeight w:val="504"/>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Større blødning</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14</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(0,8 %)</w:t>
            </w:r>
          </w:p>
        </w:tc>
        <w:tc>
          <w:tcPr>
            <w:tcW w:w="2794" w:type="dxa"/>
            <w:tcBorders>
              <w:top w:val="single" w:sz="4" w:space="0" w:color="000000"/>
              <w:left w:val="single" w:sz="4" w:space="0" w:color="000000"/>
              <w:bottom w:val="single" w:sz="4" w:space="0" w:color="000000"/>
              <w:right w:val="single" w:sz="6"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20</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(1,2 %)</w:t>
            </w:r>
          </w:p>
        </w:tc>
      </w:tr>
    </w:tbl>
    <w:p w:rsidR="00D61595" w:rsidRDefault="00D61595" w:rsidP="00D61595">
      <w:pPr>
        <w:pStyle w:val="Listeafsnit"/>
        <w:widowControl w:val="0"/>
        <w:numPr>
          <w:ilvl w:val="0"/>
          <w:numId w:val="9"/>
        </w:numPr>
        <w:tabs>
          <w:tab w:val="left" w:pos="1675"/>
        </w:tabs>
        <w:autoSpaceDE w:val="0"/>
        <w:autoSpaceDN w:val="0"/>
        <w:ind w:left="1276" w:hanging="567"/>
        <w:mirrorIndents/>
        <w:rPr>
          <w:sz w:val="24"/>
          <w:szCs w:val="24"/>
        </w:rPr>
      </w:pPr>
      <w:r>
        <w:rPr>
          <w:sz w:val="24"/>
          <w:szCs w:val="24"/>
        </w:rPr>
        <w:t xml:space="preserve"> Rivaroxaban 15 mg to gange dagligt i tre uger efterfulgt af 20 mg én gang</w:t>
      </w:r>
      <w:r>
        <w:rPr>
          <w:spacing w:val="-14"/>
          <w:sz w:val="24"/>
          <w:szCs w:val="24"/>
        </w:rPr>
        <w:t xml:space="preserve"> </w:t>
      </w:r>
      <w:r>
        <w:rPr>
          <w:sz w:val="24"/>
          <w:szCs w:val="24"/>
        </w:rPr>
        <w:t>dagligt</w:t>
      </w:r>
    </w:p>
    <w:p w:rsidR="00D61595" w:rsidRDefault="00D61595" w:rsidP="00D61595">
      <w:pPr>
        <w:pStyle w:val="Listeafsnit"/>
        <w:widowControl w:val="0"/>
        <w:numPr>
          <w:ilvl w:val="0"/>
          <w:numId w:val="9"/>
        </w:numPr>
        <w:tabs>
          <w:tab w:val="left" w:pos="1675"/>
        </w:tabs>
        <w:autoSpaceDE w:val="0"/>
        <w:autoSpaceDN w:val="0"/>
        <w:ind w:left="1276" w:hanging="567"/>
        <w:mirrorIndents/>
        <w:rPr>
          <w:sz w:val="24"/>
          <w:szCs w:val="24"/>
        </w:rPr>
      </w:pPr>
      <w:r>
        <w:rPr>
          <w:sz w:val="24"/>
          <w:szCs w:val="24"/>
        </w:rPr>
        <w:t>Enoxaparin i mindst 5 dage overlappet med og efterfulgt af</w:t>
      </w:r>
      <w:r>
        <w:rPr>
          <w:spacing w:val="-6"/>
          <w:sz w:val="24"/>
          <w:szCs w:val="24"/>
        </w:rPr>
        <w:t xml:space="preserve"> </w:t>
      </w:r>
      <w:r>
        <w:rPr>
          <w:sz w:val="24"/>
          <w:szCs w:val="24"/>
        </w:rPr>
        <w:t>VKA</w:t>
      </w:r>
    </w:p>
    <w:p w:rsidR="00D61595" w:rsidRDefault="00D61595" w:rsidP="00D61595">
      <w:pPr>
        <w:ind w:left="1276" w:hanging="567"/>
        <w:rPr>
          <w:sz w:val="24"/>
          <w:szCs w:val="24"/>
        </w:rPr>
      </w:pPr>
      <w:r>
        <w:rPr>
          <w:sz w:val="24"/>
          <w:szCs w:val="24"/>
        </w:rPr>
        <w:t>*</w:t>
      </w:r>
      <w:r>
        <w:rPr>
          <w:sz w:val="24"/>
          <w:szCs w:val="24"/>
        </w:rPr>
        <w:tab/>
        <w:t>p &lt; 0,0001 (non-inferioritet i forhold til en forudspecificeret HR på 2,0); HR: 0,680 (0,443 - 1,042), p=0,076</w:t>
      </w:r>
      <w:r>
        <w:rPr>
          <w:spacing w:val="-2"/>
          <w:sz w:val="24"/>
          <w:szCs w:val="24"/>
        </w:rPr>
        <w:t xml:space="preserve"> </w:t>
      </w:r>
      <w:r>
        <w:rPr>
          <w:sz w:val="24"/>
          <w:szCs w:val="24"/>
        </w:rPr>
        <w:t>(superioritet)</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I Einstein LE-studiet (se tabel 6) blev rivaroxaban påvist at være non-inferiørt sammenlignet med enoxaparin/VKA med hensyn til det primære effektendepunkt (p=0,0026 (test for non-inferioritet); HR: 1,123 (0,749 - 1,684)). Den forudspecificerede kliniske nettofordel (primært effektendepunkt plus større blødning) blev indberettet med en HR på 0,849 ((95 % KI: 0,633 - 1,139), nominel p-værdi p=0,275). INR-værdierne var indenfor det terapeutiske område gennemsnitligt 63 % af tiden ved middelbehandlingsvarighed på 215 dage, og 57 %, 62 % og 65 % af tiden i grupperne med en planlagt behandlingstid på henholdsvis 3, 6 og 12 måneder. I enoxaparin/VKA-gruppen var der ingen klar sammenhæng mellem niveauet for middel center-TTR (tid i target INR-niveauet på 2,0 - 3,0) i de lige store tertiler og forekomsten af recidiverende VTE (p = 0,082 for interaktion). I henhold til center var HR med rivaroxaban i forhold til warfarin i den højeste tertil (0,642 (95 % KI: 0,277 - 1,484).</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 (52/2.405) med en HR på 0,493 (95 % KI: 0,308 - 0,789).</w:t>
      </w:r>
    </w:p>
    <w:p w:rsidR="00D61595" w:rsidRDefault="00D61595" w:rsidP="00D61595">
      <w:pPr>
        <w:tabs>
          <w:tab w:val="left" w:pos="851"/>
        </w:tabs>
        <w:ind w:left="851"/>
        <w:rPr>
          <w:sz w:val="24"/>
          <w:szCs w:val="24"/>
        </w:rPr>
      </w:pPr>
    </w:p>
    <w:p w:rsidR="00D61595" w:rsidRDefault="00D61595" w:rsidP="00D61595">
      <w:pPr>
        <w:tabs>
          <w:tab w:val="left" w:pos="851"/>
        </w:tabs>
        <w:ind w:left="851"/>
        <w:rPr>
          <w:b/>
          <w:sz w:val="24"/>
          <w:szCs w:val="24"/>
        </w:rPr>
      </w:pPr>
      <w:r>
        <w:rPr>
          <w:b/>
          <w:sz w:val="24"/>
          <w:szCs w:val="24"/>
        </w:rPr>
        <w:t>Tabel 6: Effekt- og sikkerhedsresultater fra fase III Einstein LE</w:t>
      </w:r>
    </w:p>
    <w:tbl>
      <w:tblPr>
        <w:tblStyle w:val="TableNormal"/>
        <w:tblW w:w="0" w:type="auto"/>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1"/>
        <w:gridCol w:w="2958"/>
        <w:gridCol w:w="2795"/>
      </w:tblGrid>
      <w:tr w:rsidR="00D61595" w:rsidTr="00D61595">
        <w:trPr>
          <w:trHeight w:val="252"/>
          <w:jc w:val="right"/>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keepNext/>
              <w:ind w:left="567" w:hanging="567"/>
              <w:contextualSpacing/>
              <w:mirrorIndents/>
              <w:rPr>
                <w:rFonts w:ascii="Times New Roman" w:hAnsi="Times New Roman" w:cs="Times New Roman"/>
                <w:b/>
                <w:sz w:val="24"/>
                <w:szCs w:val="24"/>
              </w:rPr>
            </w:pPr>
            <w:r>
              <w:rPr>
                <w:rFonts w:ascii="Times New Roman" w:hAnsi="Times New Roman" w:cs="Times New Roman"/>
                <w:b/>
                <w:sz w:val="24"/>
                <w:szCs w:val="24"/>
              </w:rPr>
              <w:t>Studiepopulation</w:t>
            </w:r>
          </w:p>
        </w:tc>
        <w:tc>
          <w:tcPr>
            <w:tcW w:w="5753" w:type="dxa"/>
            <w:gridSpan w:val="2"/>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keepNext/>
              <w:ind w:left="567" w:hanging="567"/>
              <w:contextualSpacing/>
              <w:mirrorIndents/>
              <w:rPr>
                <w:rFonts w:ascii="Times New Roman" w:hAnsi="Times New Roman" w:cs="Times New Roman"/>
                <w:b/>
                <w:sz w:val="24"/>
                <w:szCs w:val="24"/>
                <w:lang w:val="da-DK"/>
              </w:rPr>
            </w:pPr>
            <w:r>
              <w:rPr>
                <w:b/>
                <w:sz w:val="24"/>
                <w:szCs w:val="24"/>
                <w:lang w:val="da-DK"/>
              </w:rPr>
              <w:t>4.832 patienter med akut sym</w:t>
            </w:r>
            <w:r>
              <w:rPr>
                <w:rFonts w:ascii="Times New Roman" w:hAnsi="Times New Roman" w:cs="Times New Roman"/>
                <w:b/>
                <w:sz w:val="24"/>
                <w:szCs w:val="24"/>
                <w:lang w:val="da-DK"/>
              </w:rPr>
              <w:t>p</w:t>
            </w:r>
            <w:r>
              <w:rPr>
                <w:b/>
                <w:sz w:val="24"/>
                <w:szCs w:val="24"/>
                <w:lang w:val="da-DK"/>
              </w:rPr>
              <w:t>tomatisk LE</w:t>
            </w:r>
          </w:p>
        </w:tc>
      </w:tr>
      <w:tr w:rsidR="00D61595" w:rsidTr="00D61595">
        <w:trPr>
          <w:trHeight w:val="252"/>
          <w:jc w:val="right"/>
        </w:trPr>
        <w:tc>
          <w:tcPr>
            <w:tcW w:w="3211"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keepNext/>
              <w:ind w:left="567" w:hanging="567"/>
              <w:contextualSpacing/>
              <w:mirrorIndents/>
              <w:rPr>
                <w:rFonts w:ascii="Times New Roman" w:hAnsi="Times New Roman" w:cs="Times New Roman"/>
                <w:b/>
                <w:sz w:val="24"/>
                <w:szCs w:val="24"/>
                <w:lang w:val="da-DK"/>
              </w:rPr>
            </w:pPr>
          </w:p>
        </w:tc>
        <w:tc>
          <w:tcPr>
            <w:tcW w:w="5753" w:type="dxa"/>
            <w:gridSpan w:val="2"/>
            <w:tcBorders>
              <w:top w:val="single" w:sz="4" w:space="0" w:color="000000"/>
              <w:left w:val="single" w:sz="4" w:space="0" w:color="000000"/>
              <w:bottom w:val="single" w:sz="4" w:space="0" w:color="000000"/>
              <w:right w:val="single" w:sz="4" w:space="0" w:color="000000"/>
            </w:tcBorders>
          </w:tcPr>
          <w:p w:rsidR="00D61595" w:rsidRDefault="00D61595">
            <w:pPr>
              <w:pStyle w:val="TableParagraph"/>
              <w:keepNext/>
              <w:ind w:left="567" w:hanging="567"/>
              <w:contextualSpacing/>
              <w:mirrorIndents/>
              <w:rPr>
                <w:rFonts w:ascii="Times New Roman" w:hAnsi="Times New Roman" w:cs="Times New Roman"/>
                <w:b/>
                <w:sz w:val="24"/>
                <w:szCs w:val="24"/>
                <w:lang w:val="da-DK"/>
              </w:rPr>
            </w:pPr>
          </w:p>
        </w:tc>
      </w:tr>
      <w:tr w:rsidR="00D61595" w:rsidTr="00D61595">
        <w:trPr>
          <w:trHeight w:val="759"/>
          <w:jc w:val="right"/>
        </w:trPr>
        <w:tc>
          <w:tcPr>
            <w:tcW w:w="3211"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keepNext/>
              <w:ind w:left="567" w:hanging="567"/>
              <w:contextualSpacing/>
              <w:mirrorIndents/>
              <w:rPr>
                <w:rFonts w:ascii="Times New Roman" w:hAnsi="Times New Roman" w:cs="Times New Roman"/>
                <w:b/>
                <w:sz w:val="24"/>
                <w:szCs w:val="24"/>
                <w:lang w:val="da-DK"/>
              </w:rPr>
            </w:pPr>
          </w:p>
          <w:p w:rsidR="00D61595" w:rsidRDefault="00D61595">
            <w:pPr>
              <w:pStyle w:val="TableParagraph"/>
              <w:keepNext/>
              <w:ind w:left="567" w:hanging="567"/>
              <w:contextualSpacing/>
              <w:mirrorIndents/>
              <w:rPr>
                <w:rFonts w:ascii="Times New Roman" w:hAnsi="Times New Roman" w:cs="Times New Roman"/>
                <w:b/>
                <w:sz w:val="24"/>
                <w:szCs w:val="24"/>
              </w:rPr>
            </w:pPr>
            <w:r>
              <w:rPr>
                <w:rFonts w:ascii="Times New Roman" w:hAnsi="Times New Roman" w:cs="Times New Roman"/>
                <w:b/>
                <w:sz w:val="24"/>
                <w:szCs w:val="24"/>
              </w:rPr>
              <w:t>Terapeutisk dosis og varighed</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keepNext/>
              <w:ind w:left="567" w:hanging="567"/>
              <w:contextualSpacing/>
              <w:mirrorIndents/>
              <w:rPr>
                <w:rFonts w:ascii="Times New Roman" w:hAnsi="Times New Roman" w:cs="Times New Roman"/>
                <w:b/>
                <w:sz w:val="24"/>
                <w:szCs w:val="24"/>
                <w:lang w:val="es-ES"/>
              </w:rPr>
            </w:pPr>
            <w:r>
              <w:rPr>
                <w:rFonts w:ascii="Times New Roman" w:hAnsi="Times New Roman" w:cs="Times New Roman"/>
                <w:b/>
                <w:sz w:val="24"/>
                <w:szCs w:val="24"/>
                <w:lang w:val="es-ES"/>
              </w:rPr>
              <w:t xml:space="preserve">Rivaroxaban </w:t>
            </w:r>
            <w:r>
              <w:rPr>
                <w:rFonts w:ascii="Times New Roman" w:hAnsi="Times New Roman" w:cs="Times New Roman"/>
                <w:b/>
                <w:position w:val="8"/>
                <w:sz w:val="24"/>
                <w:szCs w:val="24"/>
                <w:lang w:val="es-ES"/>
              </w:rPr>
              <w:t>a)</w:t>
            </w:r>
          </w:p>
          <w:p w:rsidR="00D61595" w:rsidRDefault="00D61595">
            <w:pPr>
              <w:pStyle w:val="TableParagraph"/>
              <w:keepNext/>
              <w:ind w:left="567" w:hanging="567"/>
              <w:contextualSpacing/>
              <w:mirrorIndents/>
              <w:rPr>
                <w:rFonts w:ascii="Times New Roman" w:hAnsi="Times New Roman" w:cs="Times New Roman"/>
                <w:b/>
                <w:sz w:val="24"/>
                <w:szCs w:val="24"/>
                <w:lang w:val="es-ES"/>
              </w:rPr>
            </w:pPr>
            <w:r>
              <w:rPr>
                <w:rFonts w:ascii="Times New Roman" w:hAnsi="Times New Roman" w:cs="Times New Roman"/>
                <w:b/>
                <w:sz w:val="24"/>
                <w:szCs w:val="24"/>
                <w:lang w:val="es-ES"/>
              </w:rPr>
              <w:t>3, 6 eller 12 måneder N=2.419</w:t>
            </w:r>
          </w:p>
        </w:tc>
        <w:tc>
          <w:tcPr>
            <w:tcW w:w="2795"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keepNext/>
              <w:ind w:left="567" w:hanging="567"/>
              <w:contextualSpacing/>
              <w:mirrorIndents/>
              <w:rPr>
                <w:rFonts w:ascii="Times New Roman" w:hAnsi="Times New Roman" w:cs="Times New Roman"/>
                <w:b/>
                <w:sz w:val="24"/>
                <w:szCs w:val="24"/>
                <w:lang w:val="de-DE"/>
              </w:rPr>
            </w:pPr>
            <w:r>
              <w:rPr>
                <w:b/>
                <w:sz w:val="24"/>
                <w:szCs w:val="24"/>
                <w:lang w:val="de-DE"/>
              </w:rPr>
              <w:t>Enoxaparin/VKA</w:t>
            </w:r>
            <w:r>
              <w:rPr>
                <w:b/>
                <w:position w:val="8"/>
                <w:sz w:val="24"/>
                <w:szCs w:val="24"/>
                <w:lang w:val="de-DE"/>
              </w:rPr>
              <w:t xml:space="preserve">b) </w:t>
            </w:r>
            <w:r>
              <w:rPr>
                <w:b/>
                <w:sz w:val="24"/>
                <w:szCs w:val="24"/>
                <w:lang w:val="de-DE"/>
              </w:rPr>
              <w:t>3, 6 eller 12</w:t>
            </w:r>
            <w:r>
              <w:rPr>
                <w:b/>
                <w:spacing w:val="-11"/>
                <w:sz w:val="24"/>
                <w:szCs w:val="24"/>
                <w:lang w:val="de-DE"/>
              </w:rPr>
              <w:t xml:space="preserve"> </w:t>
            </w:r>
            <w:r>
              <w:rPr>
                <w:b/>
                <w:sz w:val="24"/>
                <w:szCs w:val="24"/>
                <w:lang w:val="de-DE"/>
              </w:rPr>
              <w:t>måneder N=2.413</w:t>
            </w:r>
          </w:p>
        </w:tc>
      </w:tr>
      <w:tr w:rsidR="00D61595" w:rsidTr="00D61595">
        <w:trPr>
          <w:trHeight w:val="501"/>
          <w:jc w:val="right"/>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recidiverende</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VTE*</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50</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(2,1 %)</w:t>
            </w:r>
          </w:p>
        </w:tc>
        <w:tc>
          <w:tcPr>
            <w:tcW w:w="2795"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44</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(1,8 %)</w:t>
            </w:r>
          </w:p>
        </w:tc>
      </w:tr>
      <w:tr w:rsidR="00D61595" w:rsidTr="00D61595">
        <w:trPr>
          <w:trHeight w:val="505"/>
          <w:jc w:val="right"/>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recidiverende LE</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23</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(1,0 %)</w:t>
            </w:r>
          </w:p>
        </w:tc>
        <w:tc>
          <w:tcPr>
            <w:tcW w:w="2795"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20</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(0,8 %)</w:t>
            </w:r>
          </w:p>
        </w:tc>
      </w:tr>
      <w:tr w:rsidR="00D61595" w:rsidTr="00D61595">
        <w:trPr>
          <w:trHeight w:val="505"/>
          <w:jc w:val="right"/>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recidiverende DVT</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18</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(0,7 %)</w:t>
            </w:r>
          </w:p>
        </w:tc>
        <w:tc>
          <w:tcPr>
            <w:tcW w:w="2795"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17</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(0,7 %)</w:t>
            </w:r>
          </w:p>
        </w:tc>
      </w:tr>
      <w:tr w:rsidR="00D61595" w:rsidTr="00D61595">
        <w:trPr>
          <w:trHeight w:val="506"/>
          <w:jc w:val="right"/>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LE og DVT</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0</w:t>
            </w:r>
          </w:p>
        </w:tc>
        <w:tc>
          <w:tcPr>
            <w:tcW w:w="2795"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2</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(&lt;0,1 %)</w:t>
            </w:r>
          </w:p>
        </w:tc>
      </w:tr>
      <w:tr w:rsidR="00D61595" w:rsidTr="00D61595">
        <w:trPr>
          <w:trHeight w:val="505"/>
          <w:jc w:val="right"/>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0" w:hanging="5"/>
              <w:contextualSpacing/>
              <w:mirrorIndents/>
              <w:rPr>
                <w:rFonts w:ascii="Times New Roman" w:hAnsi="Times New Roman" w:cs="Times New Roman"/>
                <w:sz w:val="24"/>
                <w:szCs w:val="24"/>
                <w:lang w:val="da-DK"/>
              </w:rPr>
            </w:pPr>
            <w:r>
              <w:rPr>
                <w:rFonts w:ascii="Times New Roman" w:hAnsi="Times New Roman" w:cs="Times New Roman"/>
                <w:sz w:val="24"/>
                <w:szCs w:val="24"/>
                <w:lang w:val="da-DK"/>
              </w:rPr>
              <w:t>Dødelig LE/Død, hvor LE ikke kan udelukkes</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11</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(0,5 %)</w:t>
            </w:r>
          </w:p>
        </w:tc>
        <w:tc>
          <w:tcPr>
            <w:tcW w:w="2795"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7</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(0,3 %)</w:t>
            </w:r>
          </w:p>
        </w:tc>
      </w:tr>
      <w:tr w:rsidR="00D61595" w:rsidTr="00D61595">
        <w:trPr>
          <w:trHeight w:val="502"/>
          <w:jc w:val="right"/>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lang w:val="fr-FR"/>
              </w:rPr>
            </w:pPr>
            <w:r>
              <w:rPr>
                <w:rFonts w:ascii="Times New Roman" w:hAnsi="Times New Roman" w:cs="Times New Roman"/>
                <w:sz w:val="24"/>
                <w:szCs w:val="24"/>
                <w:lang w:val="fr-FR"/>
              </w:rPr>
              <w:t>Større eller mindre klinisk</w:t>
            </w:r>
          </w:p>
          <w:p w:rsidR="00D61595" w:rsidRDefault="00D61595">
            <w:pPr>
              <w:pStyle w:val="TableParagraph"/>
              <w:ind w:left="567" w:hanging="567"/>
              <w:contextualSpacing/>
              <w:mirrorIndents/>
              <w:rPr>
                <w:rFonts w:ascii="Times New Roman" w:hAnsi="Times New Roman" w:cs="Times New Roman"/>
                <w:sz w:val="24"/>
                <w:szCs w:val="24"/>
                <w:lang w:val="fr-FR"/>
              </w:rPr>
            </w:pPr>
            <w:r>
              <w:rPr>
                <w:rFonts w:ascii="Times New Roman" w:hAnsi="Times New Roman" w:cs="Times New Roman"/>
                <w:sz w:val="24"/>
                <w:szCs w:val="24"/>
                <w:lang w:val="fr-FR"/>
              </w:rPr>
              <w:t>relevant blødning</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249</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(10,3 %)</w:t>
            </w:r>
          </w:p>
        </w:tc>
        <w:tc>
          <w:tcPr>
            <w:tcW w:w="2795"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274</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(11,4 %)</w:t>
            </w:r>
          </w:p>
        </w:tc>
      </w:tr>
      <w:tr w:rsidR="00D61595" w:rsidTr="00D61595">
        <w:trPr>
          <w:trHeight w:val="504"/>
          <w:jc w:val="right"/>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Større blødning</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26</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(1,1 %)</w:t>
            </w:r>
          </w:p>
        </w:tc>
        <w:tc>
          <w:tcPr>
            <w:tcW w:w="2795"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52</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(2,2 %)</w:t>
            </w:r>
          </w:p>
        </w:tc>
      </w:tr>
    </w:tbl>
    <w:p w:rsidR="00D61595" w:rsidRDefault="00D61595" w:rsidP="00D61595">
      <w:pPr>
        <w:pStyle w:val="Listeafsnit"/>
        <w:numPr>
          <w:ilvl w:val="0"/>
          <w:numId w:val="11"/>
        </w:numPr>
        <w:tabs>
          <w:tab w:val="left" w:pos="851"/>
        </w:tabs>
        <w:rPr>
          <w:sz w:val="24"/>
          <w:szCs w:val="24"/>
        </w:rPr>
      </w:pPr>
      <w:r>
        <w:rPr>
          <w:sz w:val="24"/>
          <w:szCs w:val="24"/>
        </w:rPr>
        <w:t>Rivaroxaban 15 mg to gange dagligt i tre uger efterfulgt af 20 mg én gang</w:t>
      </w:r>
      <w:r>
        <w:rPr>
          <w:spacing w:val="-15"/>
          <w:sz w:val="24"/>
          <w:szCs w:val="24"/>
        </w:rPr>
        <w:t xml:space="preserve"> </w:t>
      </w:r>
      <w:r>
        <w:rPr>
          <w:sz w:val="24"/>
          <w:szCs w:val="24"/>
        </w:rPr>
        <w:t>dagligt</w:t>
      </w:r>
    </w:p>
    <w:p w:rsidR="00D61595" w:rsidRDefault="00D61595" w:rsidP="00D61595">
      <w:pPr>
        <w:pStyle w:val="Listeafsnit"/>
        <w:numPr>
          <w:ilvl w:val="0"/>
          <w:numId w:val="11"/>
        </w:numPr>
        <w:tabs>
          <w:tab w:val="left" w:pos="851"/>
        </w:tabs>
        <w:rPr>
          <w:sz w:val="24"/>
          <w:szCs w:val="24"/>
        </w:rPr>
      </w:pPr>
      <w:r>
        <w:rPr>
          <w:sz w:val="24"/>
          <w:szCs w:val="24"/>
        </w:rPr>
        <w:t>Enoxaparin i mindst 5 dage, overlappet med og efterfulgt af</w:t>
      </w:r>
      <w:r>
        <w:rPr>
          <w:spacing w:val="-6"/>
          <w:sz w:val="24"/>
          <w:szCs w:val="24"/>
        </w:rPr>
        <w:t xml:space="preserve"> </w:t>
      </w:r>
      <w:r>
        <w:rPr>
          <w:sz w:val="24"/>
          <w:szCs w:val="24"/>
        </w:rPr>
        <w:t>VKA</w:t>
      </w:r>
    </w:p>
    <w:p w:rsidR="00D61595" w:rsidRDefault="00D61595" w:rsidP="00D61595">
      <w:pPr>
        <w:tabs>
          <w:tab w:val="left" w:pos="851"/>
        </w:tabs>
        <w:ind w:left="851"/>
        <w:rPr>
          <w:sz w:val="24"/>
          <w:szCs w:val="24"/>
        </w:rPr>
      </w:pPr>
      <w:r>
        <w:rPr>
          <w:sz w:val="24"/>
          <w:szCs w:val="24"/>
        </w:rPr>
        <w:t>*   p &lt; 0,0026 (non-inferioritet i forhold til en forudspecificeret HR på 2,0); HR: 1,123 (0,749 -</w:t>
      </w:r>
      <w:r>
        <w:rPr>
          <w:spacing w:val="-2"/>
          <w:sz w:val="24"/>
          <w:szCs w:val="24"/>
        </w:rPr>
        <w:t xml:space="preserve"> </w:t>
      </w:r>
      <w:r>
        <w:rPr>
          <w:sz w:val="24"/>
          <w:szCs w:val="24"/>
        </w:rPr>
        <w:t>1,684)</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Der blev udført en forudspecificeret samlet analyse af resultaterne fra Einstein DVT- og LE-studierne (se tabel 7).</w:t>
      </w:r>
    </w:p>
    <w:p w:rsidR="00D61595" w:rsidRDefault="00D61595" w:rsidP="00D61595">
      <w:pPr>
        <w:tabs>
          <w:tab w:val="left" w:pos="851"/>
        </w:tabs>
        <w:ind w:left="851"/>
        <w:rPr>
          <w:sz w:val="24"/>
          <w:szCs w:val="24"/>
        </w:rPr>
      </w:pPr>
    </w:p>
    <w:p w:rsidR="00D61595" w:rsidRDefault="00D61595" w:rsidP="00D61595">
      <w:pPr>
        <w:tabs>
          <w:tab w:val="left" w:pos="851"/>
        </w:tabs>
        <w:ind w:left="851"/>
        <w:rPr>
          <w:b/>
          <w:sz w:val="24"/>
          <w:szCs w:val="24"/>
        </w:rPr>
      </w:pPr>
      <w:r>
        <w:rPr>
          <w:b/>
          <w:sz w:val="24"/>
          <w:szCs w:val="24"/>
        </w:rPr>
        <w:t>Tabel 7: Effekt- og sikkerhedsresultater fra samlet analyse af fase III Einstein DVT og Einstein LE</w:t>
      </w:r>
    </w:p>
    <w:tbl>
      <w:tblPr>
        <w:tblStyle w:val="TableNormal"/>
        <w:tblW w:w="0" w:type="auto"/>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1"/>
        <w:gridCol w:w="2958"/>
        <w:gridCol w:w="2795"/>
      </w:tblGrid>
      <w:tr w:rsidR="00D61595" w:rsidTr="00D61595">
        <w:trPr>
          <w:trHeight w:val="252"/>
          <w:tblHeader/>
          <w:jc w:val="right"/>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rPr>
            </w:pPr>
            <w:r>
              <w:rPr>
                <w:rFonts w:ascii="Times New Roman" w:hAnsi="Times New Roman" w:cs="Times New Roman"/>
                <w:b/>
                <w:sz w:val="24"/>
                <w:szCs w:val="24"/>
              </w:rPr>
              <w:t>Studiepopulation</w:t>
            </w:r>
          </w:p>
        </w:tc>
        <w:tc>
          <w:tcPr>
            <w:tcW w:w="5753" w:type="dxa"/>
            <w:gridSpan w:val="2"/>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lang w:val="da-DK"/>
              </w:rPr>
            </w:pPr>
            <w:r>
              <w:rPr>
                <w:b/>
                <w:sz w:val="24"/>
                <w:szCs w:val="24"/>
                <w:lang w:val="da-DK"/>
              </w:rPr>
              <w:t>8.281 patienter med akut sym</w:t>
            </w:r>
            <w:r>
              <w:rPr>
                <w:rFonts w:ascii="Times New Roman" w:hAnsi="Times New Roman" w:cs="Times New Roman"/>
                <w:b/>
                <w:sz w:val="24"/>
                <w:szCs w:val="24"/>
                <w:lang w:val="da-DK"/>
              </w:rPr>
              <w:t>p</w:t>
            </w:r>
            <w:r>
              <w:rPr>
                <w:b/>
                <w:sz w:val="24"/>
                <w:szCs w:val="24"/>
                <w:lang w:val="da-DK"/>
              </w:rPr>
              <w:t>tomatisk DVT eller LE</w:t>
            </w:r>
          </w:p>
        </w:tc>
      </w:tr>
      <w:tr w:rsidR="00D61595" w:rsidTr="00D61595">
        <w:trPr>
          <w:trHeight w:val="759"/>
          <w:tblHeader/>
          <w:jc w:val="right"/>
        </w:trPr>
        <w:tc>
          <w:tcPr>
            <w:tcW w:w="3211"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567" w:hanging="567"/>
              <w:contextualSpacing/>
              <w:mirrorIndents/>
              <w:rPr>
                <w:rFonts w:ascii="Times New Roman" w:hAnsi="Times New Roman" w:cs="Times New Roman"/>
                <w:b/>
                <w:sz w:val="24"/>
                <w:szCs w:val="24"/>
                <w:lang w:val="da-DK"/>
              </w:rPr>
            </w:pPr>
          </w:p>
          <w:p w:rsidR="00D61595" w:rsidRDefault="00D61595">
            <w:pPr>
              <w:pStyle w:val="TableParagraph"/>
              <w:ind w:left="567" w:hanging="567"/>
              <w:contextualSpacing/>
              <w:mirrorIndents/>
              <w:rPr>
                <w:rFonts w:ascii="Times New Roman" w:hAnsi="Times New Roman" w:cs="Times New Roman"/>
                <w:b/>
                <w:sz w:val="24"/>
                <w:szCs w:val="24"/>
              </w:rPr>
            </w:pPr>
            <w:r>
              <w:rPr>
                <w:rFonts w:ascii="Times New Roman" w:hAnsi="Times New Roman" w:cs="Times New Roman"/>
                <w:b/>
                <w:sz w:val="24"/>
                <w:szCs w:val="24"/>
              </w:rPr>
              <w:t>Terapeutisk dosis og varighed</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lang w:val="es-ES"/>
              </w:rPr>
            </w:pPr>
            <w:r>
              <w:rPr>
                <w:rFonts w:ascii="Times New Roman" w:hAnsi="Times New Roman" w:cs="Times New Roman"/>
                <w:b/>
                <w:sz w:val="24"/>
                <w:szCs w:val="24"/>
                <w:lang w:val="es-ES"/>
              </w:rPr>
              <w:t xml:space="preserve">Rivaroxaban </w:t>
            </w:r>
            <w:r>
              <w:rPr>
                <w:rFonts w:ascii="Times New Roman" w:hAnsi="Times New Roman" w:cs="Times New Roman"/>
                <w:b/>
                <w:position w:val="8"/>
                <w:sz w:val="24"/>
                <w:szCs w:val="24"/>
                <w:lang w:val="es-ES"/>
              </w:rPr>
              <w:t>a)</w:t>
            </w:r>
          </w:p>
          <w:p w:rsidR="00D61595" w:rsidRDefault="00D61595">
            <w:pPr>
              <w:pStyle w:val="TableParagraph"/>
              <w:ind w:left="567" w:hanging="567"/>
              <w:contextualSpacing/>
              <w:mirrorIndents/>
              <w:rPr>
                <w:rFonts w:ascii="Times New Roman" w:hAnsi="Times New Roman" w:cs="Times New Roman"/>
                <w:b/>
                <w:sz w:val="24"/>
                <w:szCs w:val="24"/>
                <w:lang w:val="es-ES"/>
              </w:rPr>
            </w:pPr>
            <w:r>
              <w:rPr>
                <w:rFonts w:ascii="Times New Roman" w:hAnsi="Times New Roman" w:cs="Times New Roman"/>
                <w:b/>
                <w:sz w:val="24"/>
                <w:szCs w:val="24"/>
                <w:lang w:val="es-ES"/>
              </w:rPr>
              <w:t>3, 6 eller 12 måneder N=4.150</w:t>
            </w:r>
          </w:p>
        </w:tc>
        <w:tc>
          <w:tcPr>
            <w:tcW w:w="2795"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lang w:val="de-DE"/>
              </w:rPr>
            </w:pPr>
            <w:r>
              <w:rPr>
                <w:b/>
                <w:sz w:val="24"/>
                <w:szCs w:val="24"/>
                <w:lang w:val="de-DE"/>
              </w:rPr>
              <w:t>Enoxaparin/VKA</w:t>
            </w:r>
            <w:r>
              <w:rPr>
                <w:b/>
                <w:position w:val="8"/>
                <w:sz w:val="24"/>
                <w:szCs w:val="24"/>
                <w:lang w:val="de-DE"/>
              </w:rPr>
              <w:t xml:space="preserve">b) </w:t>
            </w:r>
            <w:r>
              <w:rPr>
                <w:b/>
                <w:sz w:val="24"/>
                <w:szCs w:val="24"/>
                <w:lang w:val="de-DE"/>
              </w:rPr>
              <w:t>3, 6 eller 12</w:t>
            </w:r>
            <w:r>
              <w:rPr>
                <w:b/>
                <w:spacing w:val="-11"/>
                <w:sz w:val="24"/>
                <w:szCs w:val="24"/>
                <w:lang w:val="de-DE"/>
              </w:rPr>
              <w:t xml:space="preserve"> </w:t>
            </w:r>
            <w:r>
              <w:rPr>
                <w:b/>
                <w:sz w:val="24"/>
                <w:szCs w:val="24"/>
                <w:lang w:val="de-DE"/>
              </w:rPr>
              <w:t>måneder N=4.131</w:t>
            </w:r>
          </w:p>
        </w:tc>
      </w:tr>
      <w:tr w:rsidR="00D61595" w:rsidTr="00D61595">
        <w:trPr>
          <w:trHeight w:val="500"/>
          <w:jc w:val="right"/>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recidiverende</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VTE*</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86</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(2,1 %)</w:t>
            </w:r>
          </w:p>
        </w:tc>
        <w:tc>
          <w:tcPr>
            <w:tcW w:w="2795"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95</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(2,3 %)</w:t>
            </w:r>
          </w:p>
        </w:tc>
      </w:tr>
      <w:tr w:rsidR="00D61595" w:rsidTr="00D61595">
        <w:trPr>
          <w:trHeight w:val="506"/>
          <w:jc w:val="right"/>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recidiverende LE</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43</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(1,0 %)</w:t>
            </w:r>
          </w:p>
        </w:tc>
        <w:tc>
          <w:tcPr>
            <w:tcW w:w="2795"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38</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(0,9 %)</w:t>
            </w:r>
          </w:p>
        </w:tc>
      </w:tr>
      <w:tr w:rsidR="00D61595" w:rsidTr="00D61595">
        <w:trPr>
          <w:trHeight w:val="506"/>
          <w:jc w:val="right"/>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recidiverende DVT</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32</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(0,8 %)</w:t>
            </w:r>
          </w:p>
        </w:tc>
        <w:tc>
          <w:tcPr>
            <w:tcW w:w="2795"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45</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(1,1 %)</w:t>
            </w:r>
          </w:p>
        </w:tc>
      </w:tr>
      <w:tr w:rsidR="00D61595" w:rsidTr="00D61595">
        <w:trPr>
          <w:trHeight w:val="505"/>
          <w:jc w:val="right"/>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LE og DVT</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1</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(&gt;0,1 %)</w:t>
            </w:r>
          </w:p>
        </w:tc>
        <w:tc>
          <w:tcPr>
            <w:tcW w:w="2795"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2</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(&lt;0,1 %)</w:t>
            </w:r>
          </w:p>
        </w:tc>
      </w:tr>
      <w:tr w:rsidR="00D61595" w:rsidTr="00D61595">
        <w:trPr>
          <w:trHeight w:val="506"/>
          <w:jc w:val="right"/>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0" w:hanging="5"/>
              <w:contextualSpacing/>
              <w:mirrorIndents/>
              <w:rPr>
                <w:rFonts w:ascii="Times New Roman" w:hAnsi="Times New Roman" w:cs="Times New Roman"/>
                <w:sz w:val="24"/>
                <w:szCs w:val="24"/>
                <w:lang w:val="da-DK"/>
              </w:rPr>
            </w:pPr>
            <w:r>
              <w:rPr>
                <w:rFonts w:ascii="Times New Roman" w:hAnsi="Times New Roman" w:cs="Times New Roman"/>
                <w:sz w:val="24"/>
                <w:szCs w:val="24"/>
                <w:lang w:val="da-DK"/>
              </w:rPr>
              <w:t>Dødelig LE/Død, hvor LE ikke kan udelukkes</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15</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(0,4 %)</w:t>
            </w:r>
          </w:p>
        </w:tc>
        <w:tc>
          <w:tcPr>
            <w:tcW w:w="2795"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13</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(0,3 %)</w:t>
            </w:r>
          </w:p>
        </w:tc>
      </w:tr>
      <w:tr w:rsidR="00D61595" w:rsidTr="00D61595">
        <w:trPr>
          <w:trHeight w:val="502"/>
          <w:jc w:val="right"/>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lang w:val="fr-FR"/>
              </w:rPr>
            </w:pPr>
            <w:r>
              <w:rPr>
                <w:rFonts w:ascii="Times New Roman" w:hAnsi="Times New Roman" w:cs="Times New Roman"/>
                <w:sz w:val="24"/>
                <w:szCs w:val="24"/>
                <w:lang w:val="fr-FR"/>
              </w:rPr>
              <w:t>Større eller mindre klinisk</w:t>
            </w:r>
          </w:p>
          <w:p w:rsidR="00D61595" w:rsidRDefault="00D61595">
            <w:pPr>
              <w:pStyle w:val="TableParagraph"/>
              <w:ind w:left="567" w:hanging="567"/>
              <w:contextualSpacing/>
              <w:mirrorIndents/>
              <w:rPr>
                <w:rFonts w:ascii="Times New Roman" w:hAnsi="Times New Roman" w:cs="Times New Roman"/>
                <w:sz w:val="24"/>
                <w:szCs w:val="24"/>
                <w:lang w:val="fr-FR"/>
              </w:rPr>
            </w:pPr>
            <w:r>
              <w:rPr>
                <w:rFonts w:ascii="Times New Roman" w:hAnsi="Times New Roman" w:cs="Times New Roman"/>
                <w:sz w:val="24"/>
                <w:szCs w:val="24"/>
                <w:lang w:val="fr-FR"/>
              </w:rPr>
              <w:t>relevant blødning</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388</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(9,4 %)</w:t>
            </w:r>
          </w:p>
        </w:tc>
        <w:tc>
          <w:tcPr>
            <w:tcW w:w="2795"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412</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(10,0 %)</w:t>
            </w:r>
          </w:p>
        </w:tc>
      </w:tr>
      <w:tr w:rsidR="00D61595" w:rsidTr="00D61595">
        <w:trPr>
          <w:trHeight w:val="505"/>
          <w:jc w:val="right"/>
        </w:trPr>
        <w:tc>
          <w:tcPr>
            <w:tcW w:w="3211"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Større blødning</w:t>
            </w:r>
          </w:p>
        </w:tc>
        <w:tc>
          <w:tcPr>
            <w:tcW w:w="295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40</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(1,0 %)</w:t>
            </w:r>
          </w:p>
        </w:tc>
        <w:tc>
          <w:tcPr>
            <w:tcW w:w="2795"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72</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(1,7 %)</w:t>
            </w:r>
          </w:p>
        </w:tc>
      </w:tr>
    </w:tbl>
    <w:p w:rsidR="00D61595" w:rsidRDefault="00D61595" w:rsidP="00D61595">
      <w:pPr>
        <w:pStyle w:val="Listeafsnit"/>
        <w:numPr>
          <w:ilvl w:val="0"/>
          <w:numId w:val="13"/>
        </w:numPr>
        <w:tabs>
          <w:tab w:val="left" w:pos="851"/>
        </w:tabs>
        <w:rPr>
          <w:sz w:val="24"/>
          <w:szCs w:val="24"/>
        </w:rPr>
      </w:pPr>
      <w:r>
        <w:rPr>
          <w:sz w:val="24"/>
          <w:szCs w:val="24"/>
        </w:rPr>
        <w:t>Rivaroxaban 15 mg to gange dagligt i tre uger efterfulgt af 20 mg én gang</w:t>
      </w:r>
      <w:r>
        <w:rPr>
          <w:spacing w:val="-14"/>
          <w:sz w:val="24"/>
          <w:szCs w:val="24"/>
        </w:rPr>
        <w:t xml:space="preserve"> </w:t>
      </w:r>
      <w:r>
        <w:rPr>
          <w:sz w:val="24"/>
          <w:szCs w:val="24"/>
        </w:rPr>
        <w:t>dagligt</w:t>
      </w:r>
    </w:p>
    <w:p w:rsidR="00D61595" w:rsidRDefault="00D61595" w:rsidP="00D61595">
      <w:pPr>
        <w:pStyle w:val="Listeafsnit"/>
        <w:numPr>
          <w:ilvl w:val="0"/>
          <w:numId w:val="13"/>
        </w:numPr>
        <w:tabs>
          <w:tab w:val="left" w:pos="851"/>
        </w:tabs>
        <w:rPr>
          <w:sz w:val="24"/>
          <w:szCs w:val="24"/>
        </w:rPr>
      </w:pPr>
      <w:r>
        <w:rPr>
          <w:sz w:val="24"/>
          <w:szCs w:val="24"/>
        </w:rPr>
        <w:t>Enoxaparin i mindst 5 dage, overlappende med og efterfulgt af</w:t>
      </w:r>
      <w:r>
        <w:rPr>
          <w:spacing w:val="-7"/>
          <w:sz w:val="24"/>
          <w:szCs w:val="24"/>
        </w:rPr>
        <w:t xml:space="preserve"> </w:t>
      </w:r>
      <w:r>
        <w:rPr>
          <w:sz w:val="24"/>
          <w:szCs w:val="24"/>
        </w:rPr>
        <w:t>VKA</w:t>
      </w:r>
    </w:p>
    <w:p w:rsidR="00D61595" w:rsidRDefault="00D61595" w:rsidP="00D61595">
      <w:pPr>
        <w:tabs>
          <w:tab w:val="left" w:pos="851"/>
        </w:tabs>
        <w:ind w:left="851"/>
        <w:rPr>
          <w:sz w:val="24"/>
          <w:szCs w:val="24"/>
        </w:rPr>
      </w:pPr>
      <w:r>
        <w:rPr>
          <w:sz w:val="24"/>
          <w:szCs w:val="24"/>
        </w:rPr>
        <w:t>*  p &lt; 0,0001 (non-inferioritet i forhold til en forudspecificeret HR på 1,75); HR: 0,886(0,661 –</w:t>
      </w:r>
      <w:r>
        <w:rPr>
          <w:spacing w:val="-2"/>
          <w:sz w:val="24"/>
          <w:szCs w:val="24"/>
        </w:rPr>
        <w:t xml:space="preserve"> </w:t>
      </w:r>
      <w:r>
        <w:rPr>
          <w:sz w:val="24"/>
          <w:szCs w:val="24"/>
        </w:rPr>
        <w:t>1,186)</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Den forudspecificerede kliniske nettofordel (primært virkningsresultat plus større blødninger) for den samlede analyse blev indrapporteret med en HR på 0,771 ((95 % KI: 0,614 – 0,967), nominel p-værdi p = 0,0244).</w:t>
      </w:r>
    </w:p>
    <w:p w:rsidR="00D61595" w:rsidRDefault="00D61595" w:rsidP="00D61595">
      <w:pPr>
        <w:tabs>
          <w:tab w:val="left" w:pos="851"/>
        </w:tabs>
        <w:ind w:left="851"/>
        <w:rPr>
          <w:sz w:val="24"/>
          <w:szCs w:val="24"/>
        </w:rPr>
      </w:pPr>
      <w:r>
        <w:rPr>
          <w:sz w:val="24"/>
          <w:szCs w:val="24"/>
        </w:rPr>
        <w:t>I studiet Einstein Extension (se tabel 8)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rsidR="00D61595" w:rsidRDefault="00D61595" w:rsidP="00D61595">
      <w:pPr>
        <w:tabs>
          <w:tab w:val="left" w:pos="851"/>
        </w:tabs>
        <w:ind w:left="851"/>
        <w:rPr>
          <w:sz w:val="24"/>
          <w:szCs w:val="24"/>
        </w:rPr>
      </w:pPr>
    </w:p>
    <w:p w:rsidR="00D61595" w:rsidRDefault="00D61595" w:rsidP="00D61595">
      <w:pPr>
        <w:tabs>
          <w:tab w:val="left" w:pos="851"/>
        </w:tabs>
        <w:ind w:left="851"/>
        <w:rPr>
          <w:b/>
          <w:sz w:val="24"/>
          <w:szCs w:val="24"/>
        </w:rPr>
      </w:pPr>
      <w:r>
        <w:rPr>
          <w:b/>
          <w:sz w:val="24"/>
          <w:szCs w:val="24"/>
        </w:rPr>
        <w:t>Tabel 8: Effekt- og sikkerhedsresultater fra Einstein Extension fase III</w:t>
      </w:r>
    </w:p>
    <w:tbl>
      <w:tblPr>
        <w:tblStyle w:val="TableNormal"/>
        <w:tblW w:w="0" w:type="auto"/>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2969"/>
        <w:gridCol w:w="2740"/>
      </w:tblGrid>
      <w:tr w:rsidR="00D61595" w:rsidTr="00D61595">
        <w:trPr>
          <w:trHeight w:val="505"/>
          <w:jc w:val="right"/>
        </w:trPr>
        <w:tc>
          <w:tcPr>
            <w:tcW w:w="325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rPr>
            </w:pPr>
            <w:r>
              <w:rPr>
                <w:rFonts w:ascii="Times New Roman" w:hAnsi="Times New Roman" w:cs="Times New Roman"/>
                <w:b/>
                <w:sz w:val="24"/>
                <w:szCs w:val="24"/>
              </w:rPr>
              <w:t>Studiepopulation</w:t>
            </w:r>
          </w:p>
        </w:tc>
        <w:tc>
          <w:tcPr>
            <w:tcW w:w="5709" w:type="dxa"/>
            <w:gridSpan w:val="2"/>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lang w:val="da-DK"/>
              </w:rPr>
            </w:pPr>
            <w:r>
              <w:rPr>
                <w:b/>
                <w:sz w:val="24"/>
                <w:szCs w:val="24"/>
                <w:lang w:val="da-DK"/>
              </w:rPr>
              <w:t>1.197 patienter i fortsat behandling og forebyggelse af recidiverende venøs tromboemboli</w:t>
            </w:r>
          </w:p>
        </w:tc>
      </w:tr>
      <w:tr w:rsidR="00D61595" w:rsidTr="00D61595">
        <w:trPr>
          <w:trHeight w:val="755"/>
          <w:jc w:val="right"/>
        </w:trPr>
        <w:tc>
          <w:tcPr>
            <w:tcW w:w="3256"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567" w:hanging="567"/>
              <w:contextualSpacing/>
              <w:mirrorIndents/>
              <w:rPr>
                <w:rFonts w:ascii="Times New Roman" w:hAnsi="Times New Roman" w:cs="Times New Roman"/>
                <w:b/>
                <w:sz w:val="24"/>
                <w:szCs w:val="24"/>
                <w:lang w:val="da-DK"/>
              </w:rPr>
            </w:pPr>
          </w:p>
          <w:p w:rsidR="00D61595" w:rsidRDefault="00D61595">
            <w:pPr>
              <w:pStyle w:val="TableParagraph"/>
              <w:ind w:left="567" w:hanging="567"/>
              <w:contextualSpacing/>
              <w:mirrorIndents/>
              <w:rPr>
                <w:rFonts w:ascii="Times New Roman" w:hAnsi="Times New Roman" w:cs="Times New Roman"/>
                <w:b/>
                <w:sz w:val="24"/>
                <w:szCs w:val="24"/>
              </w:rPr>
            </w:pPr>
            <w:r>
              <w:rPr>
                <w:rFonts w:ascii="Times New Roman" w:hAnsi="Times New Roman" w:cs="Times New Roman"/>
                <w:b/>
                <w:sz w:val="24"/>
                <w:szCs w:val="24"/>
              </w:rPr>
              <w:t>Dosis og behandlingsvarighed</w:t>
            </w:r>
          </w:p>
        </w:tc>
        <w:tc>
          <w:tcPr>
            <w:tcW w:w="2969"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lang w:val="es-ES"/>
              </w:rPr>
            </w:pPr>
            <w:r>
              <w:rPr>
                <w:rFonts w:ascii="Times New Roman" w:hAnsi="Times New Roman" w:cs="Times New Roman"/>
                <w:b/>
                <w:sz w:val="24"/>
                <w:szCs w:val="24"/>
                <w:lang w:val="es-ES"/>
              </w:rPr>
              <w:t xml:space="preserve">Rivaroxaban </w:t>
            </w:r>
            <w:r>
              <w:rPr>
                <w:rFonts w:ascii="Times New Roman" w:hAnsi="Times New Roman" w:cs="Times New Roman"/>
                <w:b/>
                <w:position w:val="8"/>
                <w:sz w:val="24"/>
                <w:szCs w:val="24"/>
                <w:lang w:val="es-ES"/>
              </w:rPr>
              <w:t>a)</w:t>
            </w:r>
          </w:p>
          <w:p w:rsidR="00D61595" w:rsidRDefault="00D61595">
            <w:pPr>
              <w:pStyle w:val="TableParagraph"/>
              <w:ind w:left="567" w:hanging="567"/>
              <w:contextualSpacing/>
              <w:mirrorIndents/>
              <w:rPr>
                <w:rFonts w:ascii="Times New Roman" w:hAnsi="Times New Roman" w:cs="Times New Roman"/>
                <w:b/>
                <w:sz w:val="24"/>
                <w:szCs w:val="24"/>
                <w:lang w:val="es-ES"/>
              </w:rPr>
            </w:pPr>
            <w:r>
              <w:rPr>
                <w:rFonts w:ascii="Times New Roman" w:hAnsi="Times New Roman" w:cs="Times New Roman"/>
                <w:b/>
                <w:sz w:val="24"/>
                <w:szCs w:val="24"/>
                <w:lang w:val="es-ES"/>
              </w:rPr>
              <w:t>6 eller 12 måneder</w:t>
            </w:r>
          </w:p>
          <w:p w:rsidR="00D61595" w:rsidRDefault="00D61595">
            <w:pPr>
              <w:pStyle w:val="TableParagraph"/>
              <w:ind w:left="567" w:hanging="567"/>
              <w:contextualSpacing/>
              <w:mirrorIndents/>
              <w:rPr>
                <w:rFonts w:ascii="Times New Roman" w:hAnsi="Times New Roman" w:cs="Times New Roman"/>
                <w:b/>
                <w:sz w:val="24"/>
                <w:szCs w:val="24"/>
                <w:lang w:val="es-ES"/>
              </w:rPr>
            </w:pPr>
            <w:r>
              <w:rPr>
                <w:rFonts w:ascii="Times New Roman" w:hAnsi="Times New Roman" w:cs="Times New Roman"/>
                <w:b/>
                <w:sz w:val="24"/>
                <w:szCs w:val="24"/>
                <w:lang w:val="es-ES"/>
              </w:rPr>
              <w:t>N = 602</w:t>
            </w:r>
          </w:p>
        </w:tc>
        <w:tc>
          <w:tcPr>
            <w:tcW w:w="2740"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rPr>
            </w:pPr>
            <w:r>
              <w:rPr>
                <w:rFonts w:ascii="Times New Roman" w:hAnsi="Times New Roman" w:cs="Times New Roman"/>
                <w:b/>
                <w:sz w:val="24"/>
                <w:szCs w:val="24"/>
              </w:rPr>
              <w:t>Placebo</w:t>
            </w:r>
          </w:p>
          <w:p w:rsidR="00D61595" w:rsidRDefault="00D61595">
            <w:pPr>
              <w:pStyle w:val="TableParagraph"/>
              <w:ind w:left="567" w:hanging="567"/>
              <w:contextualSpacing/>
              <w:mirrorIndents/>
              <w:rPr>
                <w:rFonts w:ascii="Times New Roman" w:hAnsi="Times New Roman" w:cs="Times New Roman"/>
                <w:b/>
                <w:sz w:val="24"/>
                <w:szCs w:val="24"/>
              </w:rPr>
            </w:pPr>
            <w:r>
              <w:rPr>
                <w:rFonts w:ascii="Times New Roman" w:hAnsi="Times New Roman" w:cs="Times New Roman"/>
                <w:b/>
                <w:sz w:val="24"/>
                <w:szCs w:val="24"/>
              </w:rPr>
              <w:t>6 eller 12 måneder</w:t>
            </w:r>
          </w:p>
          <w:p w:rsidR="00D61595" w:rsidRDefault="00D61595">
            <w:pPr>
              <w:pStyle w:val="TableParagraph"/>
              <w:ind w:left="567" w:hanging="567"/>
              <w:contextualSpacing/>
              <w:mirrorIndents/>
              <w:rPr>
                <w:rFonts w:ascii="Times New Roman" w:hAnsi="Times New Roman" w:cs="Times New Roman"/>
                <w:b/>
                <w:sz w:val="24"/>
                <w:szCs w:val="24"/>
              </w:rPr>
            </w:pPr>
            <w:r>
              <w:rPr>
                <w:rFonts w:ascii="Times New Roman" w:hAnsi="Times New Roman" w:cs="Times New Roman"/>
                <w:b/>
                <w:sz w:val="24"/>
                <w:szCs w:val="24"/>
              </w:rPr>
              <w:t>N = 594</w:t>
            </w:r>
          </w:p>
        </w:tc>
      </w:tr>
      <w:tr w:rsidR="00D61595" w:rsidTr="00D61595">
        <w:trPr>
          <w:trHeight w:val="257"/>
          <w:jc w:val="right"/>
        </w:trPr>
        <w:tc>
          <w:tcPr>
            <w:tcW w:w="3256" w:type="dxa"/>
            <w:tcBorders>
              <w:top w:val="single" w:sz="4" w:space="0" w:color="000000"/>
              <w:left w:val="single" w:sz="4" w:space="0" w:color="000000"/>
              <w:bottom w:val="nil"/>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recidiverende</w:t>
            </w:r>
          </w:p>
        </w:tc>
        <w:tc>
          <w:tcPr>
            <w:tcW w:w="2969" w:type="dxa"/>
            <w:tcBorders>
              <w:top w:val="single" w:sz="4" w:space="0" w:color="000000"/>
              <w:left w:val="single" w:sz="4" w:space="0" w:color="000000"/>
              <w:bottom w:val="nil"/>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8</w:t>
            </w:r>
          </w:p>
        </w:tc>
        <w:tc>
          <w:tcPr>
            <w:tcW w:w="2740" w:type="dxa"/>
            <w:tcBorders>
              <w:top w:val="single" w:sz="4" w:space="0" w:color="000000"/>
              <w:left w:val="single" w:sz="4" w:space="0" w:color="000000"/>
              <w:bottom w:val="nil"/>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42</w:t>
            </w:r>
          </w:p>
        </w:tc>
      </w:tr>
      <w:tr w:rsidR="00D61595" w:rsidTr="00D61595">
        <w:trPr>
          <w:trHeight w:val="248"/>
          <w:jc w:val="right"/>
        </w:trPr>
        <w:tc>
          <w:tcPr>
            <w:tcW w:w="3256" w:type="dxa"/>
            <w:tcBorders>
              <w:top w:val="nil"/>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VTE*</w:t>
            </w:r>
          </w:p>
        </w:tc>
        <w:tc>
          <w:tcPr>
            <w:tcW w:w="2969" w:type="dxa"/>
            <w:tcBorders>
              <w:top w:val="nil"/>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(1,3 %)</w:t>
            </w:r>
          </w:p>
        </w:tc>
        <w:tc>
          <w:tcPr>
            <w:tcW w:w="2740" w:type="dxa"/>
            <w:tcBorders>
              <w:top w:val="nil"/>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(7,1 %)</w:t>
            </w:r>
          </w:p>
        </w:tc>
      </w:tr>
      <w:tr w:rsidR="00D61595" w:rsidTr="00D61595">
        <w:trPr>
          <w:trHeight w:val="252"/>
          <w:jc w:val="right"/>
        </w:trPr>
        <w:tc>
          <w:tcPr>
            <w:tcW w:w="3256" w:type="dxa"/>
            <w:vMerge w:val="restart"/>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recidiverende LE</w:t>
            </w:r>
          </w:p>
        </w:tc>
        <w:tc>
          <w:tcPr>
            <w:tcW w:w="2969" w:type="dxa"/>
            <w:tcBorders>
              <w:top w:val="single" w:sz="4" w:space="0" w:color="000000"/>
              <w:left w:val="single" w:sz="4" w:space="0" w:color="000000"/>
              <w:bottom w:val="nil"/>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2</w:t>
            </w:r>
          </w:p>
        </w:tc>
        <w:tc>
          <w:tcPr>
            <w:tcW w:w="2740" w:type="dxa"/>
            <w:tcBorders>
              <w:top w:val="single" w:sz="4" w:space="0" w:color="000000"/>
              <w:left w:val="single" w:sz="4" w:space="0" w:color="000000"/>
              <w:bottom w:val="nil"/>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13</w:t>
            </w:r>
          </w:p>
        </w:tc>
      </w:tr>
      <w:tr w:rsidR="00D61595" w:rsidTr="00D61595">
        <w:trPr>
          <w:trHeight w:val="243"/>
          <w:jc w:val="right"/>
        </w:trPr>
        <w:tc>
          <w:tcPr>
            <w:tcW w:w="3256" w:type="dxa"/>
            <w:vMerge/>
            <w:tcBorders>
              <w:top w:val="single" w:sz="4" w:space="0" w:color="000000"/>
              <w:left w:val="single" w:sz="4" w:space="0" w:color="000000"/>
              <w:bottom w:val="single" w:sz="4" w:space="0" w:color="000000"/>
              <w:right w:val="single" w:sz="4" w:space="0" w:color="000000"/>
            </w:tcBorders>
            <w:vAlign w:val="center"/>
            <w:hideMark/>
          </w:tcPr>
          <w:p w:rsidR="00D61595" w:rsidRDefault="00D61595">
            <w:pPr>
              <w:rPr>
                <w:rFonts w:ascii="Times New Roman" w:hAnsi="Times New Roman" w:cs="Times New Roman"/>
                <w:sz w:val="24"/>
                <w:szCs w:val="24"/>
              </w:rPr>
            </w:pPr>
          </w:p>
        </w:tc>
        <w:tc>
          <w:tcPr>
            <w:tcW w:w="2969" w:type="dxa"/>
            <w:tcBorders>
              <w:top w:val="nil"/>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sz w:val="24"/>
                <w:szCs w:val="24"/>
              </w:rPr>
              <w:t>(0,3 %)</w:t>
            </w:r>
          </w:p>
        </w:tc>
        <w:tc>
          <w:tcPr>
            <w:tcW w:w="2740" w:type="dxa"/>
            <w:tcBorders>
              <w:top w:val="nil"/>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sz w:val="24"/>
                <w:szCs w:val="24"/>
              </w:rPr>
              <w:t>(2,2 %)</w:t>
            </w:r>
          </w:p>
        </w:tc>
      </w:tr>
      <w:tr w:rsidR="00D61595" w:rsidTr="00D61595">
        <w:trPr>
          <w:trHeight w:val="257"/>
          <w:jc w:val="right"/>
        </w:trPr>
        <w:tc>
          <w:tcPr>
            <w:tcW w:w="3256" w:type="dxa"/>
            <w:tcBorders>
              <w:top w:val="single" w:sz="4" w:space="0" w:color="000000"/>
              <w:left w:val="single" w:sz="4" w:space="0" w:color="000000"/>
              <w:bottom w:val="nil"/>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recidiverende</w:t>
            </w:r>
          </w:p>
        </w:tc>
        <w:tc>
          <w:tcPr>
            <w:tcW w:w="2969" w:type="dxa"/>
            <w:tcBorders>
              <w:top w:val="single" w:sz="4" w:space="0" w:color="000000"/>
              <w:left w:val="single" w:sz="4" w:space="0" w:color="000000"/>
              <w:bottom w:val="nil"/>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5</w:t>
            </w:r>
          </w:p>
        </w:tc>
        <w:tc>
          <w:tcPr>
            <w:tcW w:w="2740" w:type="dxa"/>
            <w:tcBorders>
              <w:top w:val="single" w:sz="4" w:space="0" w:color="000000"/>
              <w:left w:val="single" w:sz="4" w:space="0" w:color="000000"/>
              <w:bottom w:val="nil"/>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31</w:t>
            </w:r>
          </w:p>
        </w:tc>
      </w:tr>
      <w:tr w:rsidR="00D61595" w:rsidTr="00D61595">
        <w:trPr>
          <w:trHeight w:val="248"/>
          <w:jc w:val="right"/>
        </w:trPr>
        <w:tc>
          <w:tcPr>
            <w:tcW w:w="3256" w:type="dxa"/>
            <w:tcBorders>
              <w:top w:val="nil"/>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DVT</w:t>
            </w:r>
          </w:p>
        </w:tc>
        <w:tc>
          <w:tcPr>
            <w:tcW w:w="2969" w:type="dxa"/>
            <w:tcBorders>
              <w:top w:val="nil"/>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(0,8 %)</w:t>
            </w:r>
          </w:p>
        </w:tc>
        <w:tc>
          <w:tcPr>
            <w:tcW w:w="2740" w:type="dxa"/>
            <w:tcBorders>
              <w:top w:val="nil"/>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(5,2 %)</w:t>
            </w:r>
          </w:p>
        </w:tc>
      </w:tr>
      <w:tr w:rsidR="00D61595" w:rsidTr="00D61595">
        <w:trPr>
          <w:trHeight w:val="257"/>
          <w:jc w:val="right"/>
        </w:trPr>
        <w:tc>
          <w:tcPr>
            <w:tcW w:w="3256" w:type="dxa"/>
            <w:tcBorders>
              <w:top w:val="single" w:sz="4" w:space="0" w:color="000000"/>
              <w:left w:val="single" w:sz="4" w:space="0" w:color="000000"/>
              <w:bottom w:val="nil"/>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lang w:val="es-ES"/>
              </w:rPr>
            </w:pPr>
            <w:r>
              <w:rPr>
                <w:sz w:val="24"/>
                <w:szCs w:val="24"/>
                <w:lang w:val="es-ES"/>
              </w:rPr>
              <w:t>Dødelig LE eller død, hvor LE</w:t>
            </w:r>
          </w:p>
        </w:tc>
        <w:tc>
          <w:tcPr>
            <w:tcW w:w="2969" w:type="dxa"/>
            <w:tcBorders>
              <w:top w:val="single" w:sz="4" w:space="0" w:color="000000"/>
              <w:left w:val="single" w:sz="4" w:space="0" w:color="000000"/>
              <w:bottom w:val="nil"/>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1</w:t>
            </w:r>
          </w:p>
        </w:tc>
        <w:tc>
          <w:tcPr>
            <w:tcW w:w="2740" w:type="dxa"/>
            <w:tcBorders>
              <w:top w:val="single" w:sz="4" w:space="0" w:color="000000"/>
              <w:left w:val="single" w:sz="4" w:space="0" w:color="000000"/>
              <w:bottom w:val="nil"/>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1</w:t>
            </w:r>
          </w:p>
        </w:tc>
      </w:tr>
      <w:tr w:rsidR="00D61595" w:rsidTr="00D61595">
        <w:trPr>
          <w:trHeight w:val="248"/>
          <w:jc w:val="right"/>
        </w:trPr>
        <w:tc>
          <w:tcPr>
            <w:tcW w:w="3256" w:type="dxa"/>
            <w:tcBorders>
              <w:top w:val="nil"/>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ikke kan udelukkes</w:t>
            </w:r>
          </w:p>
        </w:tc>
        <w:tc>
          <w:tcPr>
            <w:tcW w:w="2969" w:type="dxa"/>
            <w:tcBorders>
              <w:top w:val="nil"/>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(0,2 %)</w:t>
            </w:r>
          </w:p>
        </w:tc>
        <w:tc>
          <w:tcPr>
            <w:tcW w:w="2740" w:type="dxa"/>
            <w:tcBorders>
              <w:top w:val="nil"/>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(0,2 %)</w:t>
            </w:r>
          </w:p>
        </w:tc>
      </w:tr>
      <w:tr w:rsidR="00D61595" w:rsidTr="00D61595">
        <w:trPr>
          <w:trHeight w:val="252"/>
          <w:jc w:val="right"/>
        </w:trPr>
        <w:tc>
          <w:tcPr>
            <w:tcW w:w="3256" w:type="dxa"/>
            <w:vMerge w:val="restart"/>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Større blødninger</w:t>
            </w:r>
          </w:p>
        </w:tc>
        <w:tc>
          <w:tcPr>
            <w:tcW w:w="2969" w:type="dxa"/>
            <w:tcBorders>
              <w:top w:val="single" w:sz="4" w:space="0" w:color="000000"/>
              <w:left w:val="single" w:sz="4" w:space="0" w:color="000000"/>
              <w:bottom w:val="nil"/>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4</w:t>
            </w:r>
          </w:p>
        </w:tc>
        <w:tc>
          <w:tcPr>
            <w:tcW w:w="2740" w:type="dxa"/>
            <w:tcBorders>
              <w:top w:val="single" w:sz="4" w:space="0" w:color="000000"/>
              <w:left w:val="single" w:sz="4" w:space="0" w:color="000000"/>
              <w:bottom w:val="nil"/>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0</w:t>
            </w:r>
          </w:p>
        </w:tc>
      </w:tr>
      <w:tr w:rsidR="00D61595" w:rsidTr="00D61595">
        <w:trPr>
          <w:trHeight w:val="243"/>
          <w:jc w:val="right"/>
        </w:trPr>
        <w:tc>
          <w:tcPr>
            <w:tcW w:w="3256" w:type="dxa"/>
            <w:vMerge/>
            <w:tcBorders>
              <w:top w:val="single" w:sz="4" w:space="0" w:color="000000"/>
              <w:left w:val="single" w:sz="4" w:space="0" w:color="000000"/>
              <w:bottom w:val="single" w:sz="4" w:space="0" w:color="000000"/>
              <w:right w:val="single" w:sz="4" w:space="0" w:color="000000"/>
            </w:tcBorders>
            <w:vAlign w:val="center"/>
            <w:hideMark/>
          </w:tcPr>
          <w:p w:rsidR="00D61595" w:rsidRDefault="00D61595">
            <w:pPr>
              <w:rPr>
                <w:rFonts w:ascii="Times New Roman" w:hAnsi="Times New Roman" w:cs="Times New Roman"/>
                <w:sz w:val="24"/>
                <w:szCs w:val="24"/>
              </w:rPr>
            </w:pPr>
          </w:p>
        </w:tc>
        <w:tc>
          <w:tcPr>
            <w:tcW w:w="2969" w:type="dxa"/>
            <w:tcBorders>
              <w:top w:val="nil"/>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sz w:val="24"/>
                <w:szCs w:val="24"/>
              </w:rPr>
              <w:t>(0,7 %)</w:t>
            </w:r>
          </w:p>
        </w:tc>
        <w:tc>
          <w:tcPr>
            <w:tcW w:w="2740" w:type="dxa"/>
            <w:tcBorders>
              <w:top w:val="nil"/>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sz w:val="24"/>
                <w:szCs w:val="24"/>
              </w:rPr>
              <w:t>(0,0 %)</w:t>
            </w:r>
          </w:p>
        </w:tc>
      </w:tr>
      <w:tr w:rsidR="00D61595" w:rsidTr="00D61595">
        <w:trPr>
          <w:trHeight w:val="252"/>
          <w:jc w:val="right"/>
        </w:trPr>
        <w:tc>
          <w:tcPr>
            <w:tcW w:w="3256" w:type="dxa"/>
            <w:vMerge w:val="restart"/>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Klinisk relevant mindre blødning</w:t>
            </w:r>
          </w:p>
        </w:tc>
        <w:tc>
          <w:tcPr>
            <w:tcW w:w="2969" w:type="dxa"/>
            <w:tcBorders>
              <w:top w:val="single" w:sz="4" w:space="0" w:color="000000"/>
              <w:left w:val="single" w:sz="4" w:space="0" w:color="000000"/>
              <w:bottom w:val="nil"/>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32</w:t>
            </w:r>
          </w:p>
        </w:tc>
        <w:tc>
          <w:tcPr>
            <w:tcW w:w="2740" w:type="dxa"/>
            <w:tcBorders>
              <w:top w:val="single" w:sz="4" w:space="0" w:color="000000"/>
              <w:left w:val="single" w:sz="4" w:space="0" w:color="000000"/>
              <w:bottom w:val="nil"/>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7</w:t>
            </w:r>
          </w:p>
        </w:tc>
      </w:tr>
      <w:tr w:rsidR="00D61595" w:rsidTr="00D61595">
        <w:trPr>
          <w:trHeight w:val="243"/>
          <w:jc w:val="right"/>
        </w:trPr>
        <w:tc>
          <w:tcPr>
            <w:tcW w:w="3256" w:type="dxa"/>
            <w:vMerge/>
            <w:tcBorders>
              <w:top w:val="single" w:sz="4" w:space="0" w:color="000000"/>
              <w:left w:val="single" w:sz="4" w:space="0" w:color="000000"/>
              <w:bottom w:val="single" w:sz="4" w:space="0" w:color="000000"/>
              <w:right w:val="single" w:sz="4" w:space="0" w:color="000000"/>
            </w:tcBorders>
            <w:vAlign w:val="center"/>
            <w:hideMark/>
          </w:tcPr>
          <w:p w:rsidR="00D61595" w:rsidRDefault="00D61595">
            <w:pPr>
              <w:rPr>
                <w:rFonts w:ascii="Times New Roman" w:hAnsi="Times New Roman" w:cs="Times New Roman"/>
                <w:sz w:val="24"/>
                <w:szCs w:val="24"/>
              </w:rPr>
            </w:pPr>
          </w:p>
        </w:tc>
        <w:tc>
          <w:tcPr>
            <w:tcW w:w="2969" w:type="dxa"/>
            <w:tcBorders>
              <w:top w:val="nil"/>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sz w:val="24"/>
                <w:szCs w:val="24"/>
              </w:rPr>
              <w:t>(5,4 %)</w:t>
            </w:r>
          </w:p>
        </w:tc>
        <w:tc>
          <w:tcPr>
            <w:tcW w:w="2740" w:type="dxa"/>
            <w:tcBorders>
              <w:top w:val="nil"/>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sz w:val="24"/>
                <w:szCs w:val="24"/>
              </w:rPr>
              <w:t>(1,2 %)</w:t>
            </w:r>
          </w:p>
        </w:tc>
      </w:tr>
    </w:tbl>
    <w:p w:rsidR="00D61595" w:rsidRDefault="00D61595" w:rsidP="00D61595">
      <w:pPr>
        <w:tabs>
          <w:tab w:val="left" w:pos="851"/>
        </w:tabs>
        <w:ind w:left="851"/>
        <w:rPr>
          <w:sz w:val="24"/>
          <w:szCs w:val="24"/>
        </w:rPr>
      </w:pPr>
      <w:r>
        <w:rPr>
          <w:sz w:val="24"/>
          <w:szCs w:val="24"/>
        </w:rPr>
        <w:t>Rivaroxaban 20 mg én gang dagligt</w:t>
      </w:r>
    </w:p>
    <w:p w:rsidR="00D61595" w:rsidRDefault="00D61595" w:rsidP="00D61595">
      <w:pPr>
        <w:tabs>
          <w:tab w:val="left" w:pos="851"/>
        </w:tabs>
        <w:ind w:left="851"/>
        <w:rPr>
          <w:sz w:val="24"/>
          <w:szCs w:val="24"/>
        </w:rPr>
      </w:pPr>
      <w:r>
        <w:rPr>
          <w:sz w:val="24"/>
          <w:szCs w:val="24"/>
        </w:rPr>
        <w:t>p &lt; 0,0001 (superioritet), HR: 0,185 (0,087 - 0,393)</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I Einstein Choice-studiet (se tabel 9)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rsidR="00D61595" w:rsidRDefault="00D61595" w:rsidP="00D61595">
      <w:pPr>
        <w:tabs>
          <w:tab w:val="left" w:pos="851"/>
        </w:tabs>
        <w:ind w:left="851"/>
        <w:rPr>
          <w:sz w:val="24"/>
          <w:szCs w:val="24"/>
        </w:rPr>
      </w:pPr>
    </w:p>
    <w:p w:rsidR="00D61595" w:rsidRDefault="00D61595" w:rsidP="00D61595">
      <w:pPr>
        <w:tabs>
          <w:tab w:val="left" w:pos="851"/>
        </w:tabs>
        <w:ind w:left="851"/>
        <w:rPr>
          <w:b/>
          <w:sz w:val="24"/>
          <w:szCs w:val="24"/>
        </w:rPr>
      </w:pPr>
      <w:r>
        <w:rPr>
          <w:b/>
          <w:sz w:val="24"/>
          <w:szCs w:val="24"/>
        </w:rPr>
        <w:t>Tabel 9: Effekt- og sikkerhedsresultater fra Einstein Choice fase III</w:t>
      </w:r>
    </w:p>
    <w:tbl>
      <w:tblPr>
        <w:tblStyle w:val="TableNormal"/>
        <w:tblW w:w="0" w:type="auto"/>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3"/>
        <w:gridCol w:w="2136"/>
        <w:gridCol w:w="2028"/>
        <w:gridCol w:w="2077"/>
      </w:tblGrid>
      <w:tr w:rsidR="00D61595" w:rsidTr="00D61595">
        <w:trPr>
          <w:trHeight w:val="506"/>
          <w:tblHeader/>
          <w:jc w:val="right"/>
        </w:trPr>
        <w:tc>
          <w:tcPr>
            <w:tcW w:w="2723"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rPr>
            </w:pPr>
            <w:r>
              <w:rPr>
                <w:rFonts w:ascii="Times New Roman" w:hAnsi="Times New Roman" w:cs="Times New Roman"/>
                <w:b/>
                <w:sz w:val="24"/>
                <w:szCs w:val="24"/>
              </w:rPr>
              <w:t>Studiepopulation</w:t>
            </w:r>
          </w:p>
        </w:tc>
        <w:tc>
          <w:tcPr>
            <w:tcW w:w="6241" w:type="dxa"/>
            <w:gridSpan w:val="3"/>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lang w:val="it-IT"/>
              </w:rPr>
            </w:pPr>
            <w:r>
              <w:rPr>
                <w:rFonts w:ascii="Times New Roman" w:hAnsi="Times New Roman" w:cs="Times New Roman"/>
                <w:b/>
                <w:sz w:val="24"/>
                <w:szCs w:val="24"/>
                <w:lang w:val="it-IT"/>
              </w:rPr>
              <w:t>3.396 patienter fortsatte forebyggelse af recidiverende venøs tromboemboli</w:t>
            </w:r>
          </w:p>
        </w:tc>
      </w:tr>
      <w:tr w:rsidR="00D61595" w:rsidTr="00D61595">
        <w:trPr>
          <w:trHeight w:val="1008"/>
          <w:tblHeader/>
          <w:jc w:val="right"/>
        </w:trPr>
        <w:tc>
          <w:tcPr>
            <w:tcW w:w="2723"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567" w:hanging="567"/>
              <w:contextualSpacing/>
              <w:mirrorIndents/>
              <w:rPr>
                <w:rFonts w:ascii="Times New Roman" w:hAnsi="Times New Roman" w:cs="Times New Roman"/>
                <w:b/>
                <w:sz w:val="24"/>
                <w:szCs w:val="24"/>
                <w:lang w:val="it-IT"/>
              </w:rPr>
            </w:pPr>
          </w:p>
          <w:p w:rsidR="00D61595" w:rsidRDefault="00D61595">
            <w:pPr>
              <w:pStyle w:val="TableParagraph"/>
              <w:ind w:left="567" w:hanging="567"/>
              <w:contextualSpacing/>
              <w:mirrorIndents/>
              <w:rPr>
                <w:rFonts w:ascii="Times New Roman" w:hAnsi="Times New Roman" w:cs="Times New Roman"/>
                <w:b/>
                <w:sz w:val="24"/>
                <w:szCs w:val="24"/>
              </w:rPr>
            </w:pPr>
            <w:r>
              <w:rPr>
                <w:rFonts w:ascii="Times New Roman" w:hAnsi="Times New Roman" w:cs="Times New Roman"/>
                <w:b/>
                <w:sz w:val="24"/>
                <w:szCs w:val="24"/>
              </w:rPr>
              <w:t>Terapeutisk dosis</w:t>
            </w:r>
          </w:p>
        </w:tc>
        <w:tc>
          <w:tcPr>
            <w:tcW w:w="213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lang w:val="de-DE"/>
              </w:rPr>
            </w:pPr>
            <w:r>
              <w:rPr>
                <w:b/>
                <w:sz w:val="24"/>
                <w:szCs w:val="24"/>
                <w:lang w:val="de-DE"/>
              </w:rPr>
              <w:t>Rivaroxaban 20 mg én gang dagligt</w:t>
            </w:r>
          </w:p>
          <w:p w:rsidR="00D61595" w:rsidRDefault="00D61595">
            <w:pPr>
              <w:pStyle w:val="TableParagraph"/>
              <w:ind w:left="567" w:hanging="567"/>
              <w:contextualSpacing/>
              <w:mirrorIndents/>
              <w:rPr>
                <w:rFonts w:ascii="Times New Roman" w:hAnsi="Times New Roman" w:cs="Times New Roman"/>
                <w:b/>
                <w:sz w:val="24"/>
                <w:szCs w:val="24"/>
                <w:lang w:val="de-DE"/>
              </w:rPr>
            </w:pPr>
            <w:r>
              <w:rPr>
                <w:b/>
                <w:sz w:val="24"/>
                <w:szCs w:val="24"/>
                <w:lang w:val="de-DE"/>
              </w:rPr>
              <w:t>N = 1.107</w:t>
            </w:r>
          </w:p>
        </w:tc>
        <w:tc>
          <w:tcPr>
            <w:tcW w:w="202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lang w:val="de-DE"/>
              </w:rPr>
            </w:pPr>
            <w:r>
              <w:rPr>
                <w:b/>
                <w:sz w:val="24"/>
                <w:szCs w:val="24"/>
                <w:lang w:val="de-DE"/>
              </w:rPr>
              <w:t>Rivaroxaban 10 mg én gang dagligt</w:t>
            </w:r>
          </w:p>
          <w:p w:rsidR="00D61595" w:rsidRDefault="00D61595">
            <w:pPr>
              <w:pStyle w:val="TableParagraph"/>
              <w:ind w:left="567" w:hanging="567"/>
              <w:contextualSpacing/>
              <w:mirrorIndents/>
              <w:rPr>
                <w:rFonts w:ascii="Times New Roman" w:hAnsi="Times New Roman" w:cs="Times New Roman"/>
                <w:b/>
                <w:sz w:val="24"/>
                <w:szCs w:val="24"/>
                <w:lang w:val="de-DE"/>
              </w:rPr>
            </w:pPr>
            <w:r>
              <w:rPr>
                <w:b/>
                <w:sz w:val="24"/>
                <w:szCs w:val="24"/>
                <w:lang w:val="de-DE"/>
              </w:rPr>
              <w:t>N = 1.127</w:t>
            </w:r>
          </w:p>
        </w:tc>
        <w:tc>
          <w:tcPr>
            <w:tcW w:w="207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b/>
                <w:sz w:val="24"/>
                <w:szCs w:val="24"/>
                <w:lang w:val="fr-FR"/>
              </w:rPr>
            </w:pPr>
            <w:r>
              <w:rPr>
                <w:rFonts w:ascii="Times New Roman" w:hAnsi="Times New Roman" w:cs="Times New Roman"/>
                <w:b/>
                <w:sz w:val="24"/>
                <w:szCs w:val="24"/>
                <w:lang w:val="fr-FR"/>
              </w:rPr>
              <w:t>ASA 100 mg én gang dagligt</w:t>
            </w:r>
          </w:p>
          <w:p w:rsidR="00D61595" w:rsidRDefault="00D61595">
            <w:pPr>
              <w:pStyle w:val="TableParagraph"/>
              <w:ind w:left="567" w:hanging="567"/>
              <w:contextualSpacing/>
              <w:mirrorIndents/>
              <w:rPr>
                <w:rFonts w:ascii="Times New Roman" w:hAnsi="Times New Roman" w:cs="Times New Roman"/>
                <w:b/>
                <w:sz w:val="24"/>
                <w:szCs w:val="24"/>
                <w:lang w:val="fr-FR"/>
              </w:rPr>
            </w:pPr>
            <w:r>
              <w:rPr>
                <w:rFonts w:ascii="Times New Roman" w:hAnsi="Times New Roman" w:cs="Times New Roman"/>
                <w:b/>
                <w:sz w:val="24"/>
                <w:szCs w:val="24"/>
                <w:lang w:val="fr-FR"/>
              </w:rPr>
              <w:t>N = 1.131</w:t>
            </w:r>
          </w:p>
        </w:tc>
      </w:tr>
      <w:tr w:rsidR="00D61595" w:rsidTr="00D61595">
        <w:trPr>
          <w:trHeight w:val="759"/>
          <w:jc w:val="right"/>
        </w:trPr>
        <w:tc>
          <w:tcPr>
            <w:tcW w:w="2723"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5"/>
                <w:sz w:val="24"/>
                <w:szCs w:val="24"/>
              </w:rPr>
              <w:t xml:space="preserve">Behandlingsvarighed </w:t>
            </w:r>
            <w:r>
              <w:rPr>
                <w:rFonts w:ascii="Times New Roman" w:hAnsi="Times New Roman" w:cs="Times New Roman"/>
                <w:sz w:val="24"/>
                <w:szCs w:val="24"/>
              </w:rPr>
              <w:t>median [interkvartilt</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interval]</w:t>
            </w:r>
          </w:p>
        </w:tc>
        <w:tc>
          <w:tcPr>
            <w:tcW w:w="2136"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567" w:hanging="567"/>
              <w:contextualSpacing/>
              <w:mirrorIndents/>
              <w:rPr>
                <w:rFonts w:ascii="Times New Roman" w:hAnsi="Times New Roman" w:cs="Times New Roman"/>
                <w:b/>
                <w:sz w:val="24"/>
                <w:szCs w:val="24"/>
              </w:rPr>
            </w:pP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349 [189-362] dage</w:t>
            </w:r>
          </w:p>
        </w:tc>
        <w:tc>
          <w:tcPr>
            <w:tcW w:w="202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567" w:hanging="567"/>
              <w:contextualSpacing/>
              <w:mirrorIndents/>
              <w:rPr>
                <w:rFonts w:ascii="Times New Roman" w:hAnsi="Times New Roman" w:cs="Times New Roman"/>
                <w:b/>
                <w:sz w:val="24"/>
                <w:szCs w:val="24"/>
              </w:rPr>
            </w:pP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353 [190-362] dage</w:t>
            </w:r>
          </w:p>
        </w:tc>
        <w:tc>
          <w:tcPr>
            <w:tcW w:w="2077"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567" w:hanging="567"/>
              <w:contextualSpacing/>
              <w:mirrorIndents/>
              <w:rPr>
                <w:rFonts w:ascii="Times New Roman" w:hAnsi="Times New Roman" w:cs="Times New Roman"/>
                <w:b/>
                <w:sz w:val="24"/>
                <w:szCs w:val="24"/>
              </w:rPr>
            </w:pP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350 [186-362] dage</w:t>
            </w:r>
          </w:p>
        </w:tc>
      </w:tr>
      <w:tr w:rsidR="00D61595" w:rsidTr="00D61595">
        <w:trPr>
          <w:trHeight w:val="506"/>
          <w:jc w:val="right"/>
        </w:trPr>
        <w:tc>
          <w:tcPr>
            <w:tcW w:w="2723"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recidiverende VTE</w:t>
            </w:r>
          </w:p>
        </w:tc>
        <w:tc>
          <w:tcPr>
            <w:tcW w:w="213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17</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w:t>
            </w:r>
            <w:proofErr w:type="gramEnd"/>
          </w:p>
        </w:tc>
        <w:tc>
          <w:tcPr>
            <w:tcW w:w="202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13</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07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50</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(4,4 %)</w:t>
            </w:r>
          </w:p>
        </w:tc>
      </w:tr>
      <w:tr w:rsidR="00D61595" w:rsidTr="00D61595">
        <w:trPr>
          <w:trHeight w:val="502"/>
          <w:jc w:val="right"/>
        </w:trPr>
        <w:tc>
          <w:tcPr>
            <w:tcW w:w="2723"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recidiverende PE</w:t>
            </w:r>
          </w:p>
        </w:tc>
        <w:tc>
          <w:tcPr>
            <w:tcW w:w="213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6</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(0,5 %)</w:t>
            </w:r>
          </w:p>
        </w:tc>
        <w:tc>
          <w:tcPr>
            <w:tcW w:w="202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6</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(0,5 %)</w:t>
            </w:r>
          </w:p>
        </w:tc>
        <w:tc>
          <w:tcPr>
            <w:tcW w:w="207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19</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(1,7 %)</w:t>
            </w:r>
          </w:p>
        </w:tc>
      </w:tr>
      <w:tr w:rsidR="00D61595" w:rsidTr="00D61595">
        <w:trPr>
          <w:trHeight w:val="505"/>
          <w:jc w:val="right"/>
        </w:trPr>
        <w:tc>
          <w:tcPr>
            <w:tcW w:w="2723"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Symptomatisk recidiverende DVT</w:t>
            </w:r>
          </w:p>
        </w:tc>
        <w:tc>
          <w:tcPr>
            <w:tcW w:w="213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9</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(0,8 %)</w:t>
            </w:r>
          </w:p>
        </w:tc>
        <w:tc>
          <w:tcPr>
            <w:tcW w:w="202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8</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(0,7 %)</w:t>
            </w:r>
          </w:p>
        </w:tc>
        <w:tc>
          <w:tcPr>
            <w:tcW w:w="207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30</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(2,7 %)</w:t>
            </w:r>
          </w:p>
        </w:tc>
      </w:tr>
      <w:tr w:rsidR="00D61595" w:rsidTr="00D61595">
        <w:trPr>
          <w:trHeight w:val="756"/>
          <w:jc w:val="right"/>
        </w:trPr>
        <w:tc>
          <w:tcPr>
            <w:tcW w:w="2723"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lang w:val="da-DK"/>
              </w:rPr>
            </w:pPr>
            <w:r>
              <w:rPr>
                <w:rFonts w:ascii="Times New Roman" w:hAnsi="Times New Roman" w:cs="Times New Roman"/>
                <w:sz w:val="24"/>
                <w:szCs w:val="24"/>
                <w:lang w:val="da-DK"/>
              </w:rPr>
              <w:t>Dødelig</w:t>
            </w:r>
          </w:p>
          <w:p w:rsidR="00D61595" w:rsidRDefault="00D61595">
            <w:pPr>
              <w:pStyle w:val="TableParagraph"/>
              <w:ind w:left="567" w:hanging="567"/>
              <w:contextualSpacing/>
              <w:mirrorIndents/>
              <w:rPr>
                <w:rFonts w:ascii="Times New Roman" w:hAnsi="Times New Roman" w:cs="Times New Roman"/>
                <w:sz w:val="24"/>
                <w:szCs w:val="24"/>
                <w:lang w:val="da-DK"/>
              </w:rPr>
            </w:pPr>
            <w:r>
              <w:rPr>
                <w:rFonts w:ascii="Times New Roman" w:hAnsi="Times New Roman" w:cs="Times New Roman"/>
                <w:sz w:val="24"/>
                <w:szCs w:val="24"/>
                <w:lang w:val="da-DK"/>
              </w:rPr>
              <w:t>LE/død hvor LE ikke kan udelukkes</w:t>
            </w:r>
          </w:p>
        </w:tc>
        <w:tc>
          <w:tcPr>
            <w:tcW w:w="213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2</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(0,2 %)</w:t>
            </w:r>
          </w:p>
        </w:tc>
        <w:tc>
          <w:tcPr>
            <w:tcW w:w="202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0</w:t>
            </w:r>
          </w:p>
        </w:tc>
        <w:tc>
          <w:tcPr>
            <w:tcW w:w="207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2</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(0,2 %)</w:t>
            </w:r>
          </w:p>
        </w:tc>
      </w:tr>
      <w:tr w:rsidR="00D61595" w:rsidTr="00D61595">
        <w:trPr>
          <w:trHeight w:val="1011"/>
          <w:jc w:val="right"/>
        </w:trPr>
        <w:tc>
          <w:tcPr>
            <w:tcW w:w="2723"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lang w:val="it-IT"/>
              </w:rPr>
            </w:pPr>
            <w:r>
              <w:rPr>
                <w:rFonts w:ascii="Times New Roman" w:hAnsi="Times New Roman" w:cs="Times New Roman"/>
                <w:sz w:val="24"/>
                <w:szCs w:val="24"/>
                <w:lang w:val="it-IT"/>
              </w:rPr>
              <w:t>Symptomatisk recidiverende VTE, MI,</w:t>
            </w:r>
          </w:p>
          <w:p w:rsidR="00D61595" w:rsidRDefault="00D61595">
            <w:pPr>
              <w:pStyle w:val="TableParagraph"/>
              <w:ind w:left="567" w:hanging="567"/>
              <w:contextualSpacing/>
              <w:mirrorIndents/>
              <w:rPr>
                <w:rFonts w:ascii="Times New Roman" w:hAnsi="Times New Roman" w:cs="Times New Roman"/>
                <w:sz w:val="24"/>
                <w:szCs w:val="24"/>
                <w:lang w:val="it-IT"/>
              </w:rPr>
            </w:pPr>
            <w:r>
              <w:rPr>
                <w:rFonts w:ascii="Times New Roman" w:hAnsi="Times New Roman" w:cs="Times New Roman"/>
                <w:sz w:val="24"/>
                <w:szCs w:val="24"/>
                <w:lang w:val="it-IT"/>
              </w:rPr>
              <w:t>apopleksi eller non-CNS systemisk emboli</w:t>
            </w:r>
          </w:p>
        </w:tc>
        <w:tc>
          <w:tcPr>
            <w:tcW w:w="2136"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567" w:hanging="567"/>
              <w:contextualSpacing/>
              <w:mirrorIndents/>
              <w:rPr>
                <w:rFonts w:ascii="Times New Roman" w:hAnsi="Times New Roman" w:cs="Times New Roman"/>
                <w:b/>
                <w:sz w:val="24"/>
                <w:szCs w:val="24"/>
                <w:lang w:val="it-IT"/>
              </w:rPr>
            </w:pP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19</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(1,7 %)</w:t>
            </w:r>
          </w:p>
        </w:tc>
        <w:tc>
          <w:tcPr>
            <w:tcW w:w="202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567" w:hanging="567"/>
              <w:contextualSpacing/>
              <w:mirrorIndents/>
              <w:rPr>
                <w:rFonts w:ascii="Times New Roman" w:hAnsi="Times New Roman" w:cs="Times New Roman"/>
                <w:b/>
                <w:sz w:val="24"/>
                <w:szCs w:val="24"/>
              </w:rPr>
            </w:pP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18</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(1,6 %)</w:t>
            </w:r>
          </w:p>
        </w:tc>
        <w:tc>
          <w:tcPr>
            <w:tcW w:w="2077"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567" w:hanging="567"/>
              <w:contextualSpacing/>
              <w:mirrorIndents/>
              <w:rPr>
                <w:rFonts w:ascii="Times New Roman" w:hAnsi="Times New Roman" w:cs="Times New Roman"/>
                <w:b/>
                <w:sz w:val="24"/>
                <w:szCs w:val="24"/>
              </w:rPr>
            </w:pP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56</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(5,0 %)</w:t>
            </w:r>
          </w:p>
        </w:tc>
      </w:tr>
      <w:tr w:rsidR="00D61595" w:rsidTr="00D61595">
        <w:trPr>
          <w:trHeight w:val="502"/>
          <w:jc w:val="right"/>
        </w:trPr>
        <w:tc>
          <w:tcPr>
            <w:tcW w:w="2723"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Større blødning</w:t>
            </w:r>
          </w:p>
        </w:tc>
        <w:tc>
          <w:tcPr>
            <w:tcW w:w="213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6</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(0,5 %)</w:t>
            </w:r>
          </w:p>
        </w:tc>
        <w:tc>
          <w:tcPr>
            <w:tcW w:w="202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5</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(0,4 %)</w:t>
            </w:r>
          </w:p>
        </w:tc>
        <w:tc>
          <w:tcPr>
            <w:tcW w:w="207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w w:val="99"/>
                <w:sz w:val="24"/>
                <w:szCs w:val="24"/>
              </w:rPr>
              <w:t>3</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(0,3 %)</w:t>
            </w:r>
          </w:p>
        </w:tc>
      </w:tr>
      <w:tr w:rsidR="00D61595" w:rsidTr="00D61595">
        <w:trPr>
          <w:trHeight w:val="505"/>
          <w:jc w:val="right"/>
        </w:trPr>
        <w:tc>
          <w:tcPr>
            <w:tcW w:w="2723"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Klinisk relevant mindre blødning</w:t>
            </w:r>
          </w:p>
        </w:tc>
        <w:tc>
          <w:tcPr>
            <w:tcW w:w="2136"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30</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(2,7 %)</w:t>
            </w:r>
          </w:p>
        </w:tc>
        <w:tc>
          <w:tcPr>
            <w:tcW w:w="2028"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22</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(2,0 %)</w:t>
            </w:r>
          </w:p>
        </w:tc>
        <w:tc>
          <w:tcPr>
            <w:tcW w:w="2077"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20</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(1,8 %)</w:t>
            </w:r>
          </w:p>
        </w:tc>
      </w:tr>
      <w:tr w:rsidR="00D61595" w:rsidTr="00D61595">
        <w:trPr>
          <w:trHeight w:val="1010"/>
          <w:jc w:val="right"/>
        </w:trPr>
        <w:tc>
          <w:tcPr>
            <w:tcW w:w="2723" w:type="dxa"/>
            <w:tcBorders>
              <w:top w:val="single" w:sz="4" w:space="0" w:color="000000"/>
              <w:left w:val="single" w:sz="4" w:space="0" w:color="000000"/>
              <w:bottom w:val="single" w:sz="4" w:space="0" w:color="000000"/>
              <w:right w:val="single" w:sz="4" w:space="0" w:color="000000"/>
            </w:tcBorders>
            <w:hideMark/>
          </w:tcPr>
          <w:p w:rsidR="00D61595" w:rsidRDefault="00D61595">
            <w:pPr>
              <w:pStyle w:val="TableParagraph"/>
              <w:ind w:left="567" w:hanging="567"/>
              <w:contextualSpacing/>
              <w:mirrorIndents/>
              <w:rPr>
                <w:rFonts w:ascii="Times New Roman" w:hAnsi="Times New Roman" w:cs="Times New Roman"/>
                <w:sz w:val="24"/>
                <w:szCs w:val="24"/>
                <w:lang w:val="de-DE"/>
              </w:rPr>
            </w:pPr>
            <w:r>
              <w:rPr>
                <w:sz w:val="24"/>
                <w:szCs w:val="24"/>
                <w:lang w:val="de-DE"/>
              </w:rPr>
              <w:t>Symptomatisk recidiverende VTE eller større blødning (kliniske nettofordel)</w:t>
            </w:r>
          </w:p>
        </w:tc>
        <w:tc>
          <w:tcPr>
            <w:tcW w:w="2136"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567" w:hanging="567"/>
              <w:contextualSpacing/>
              <w:mirrorIndents/>
              <w:rPr>
                <w:rFonts w:ascii="Times New Roman" w:hAnsi="Times New Roman" w:cs="Times New Roman"/>
                <w:b/>
                <w:sz w:val="24"/>
                <w:szCs w:val="24"/>
                <w:lang w:val="de-DE"/>
              </w:rPr>
            </w:pP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23</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w:t>
            </w:r>
            <w:r>
              <w:rPr>
                <w:rFonts w:ascii="Times New Roman" w:hAnsi="Times New Roman" w:cs="Times New Roman"/>
                <w:sz w:val="24"/>
                <w:szCs w:val="24"/>
                <w:vertAlign w:val="superscript"/>
              </w:rPr>
              <w:t>+</w:t>
            </w:r>
            <w:proofErr w:type="gramEnd"/>
          </w:p>
        </w:tc>
        <w:tc>
          <w:tcPr>
            <w:tcW w:w="2028"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567" w:hanging="567"/>
              <w:contextualSpacing/>
              <w:mirrorIndents/>
              <w:rPr>
                <w:rFonts w:ascii="Times New Roman" w:hAnsi="Times New Roman" w:cs="Times New Roman"/>
                <w:b/>
                <w:sz w:val="24"/>
                <w:szCs w:val="24"/>
              </w:rPr>
            </w:pP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17</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w:t>
            </w:r>
          </w:p>
        </w:tc>
        <w:tc>
          <w:tcPr>
            <w:tcW w:w="2077" w:type="dxa"/>
            <w:tcBorders>
              <w:top w:val="single" w:sz="4" w:space="0" w:color="000000"/>
              <w:left w:val="single" w:sz="4" w:space="0" w:color="000000"/>
              <w:bottom w:val="single" w:sz="4" w:space="0" w:color="000000"/>
              <w:right w:val="single" w:sz="4" w:space="0" w:color="000000"/>
            </w:tcBorders>
          </w:tcPr>
          <w:p w:rsidR="00D61595" w:rsidRDefault="00D61595">
            <w:pPr>
              <w:pStyle w:val="TableParagraph"/>
              <w:ind w:left="567" w:hanging="567"/>
              <w:contextualSpacing/>
              <w:mirrorIndents/>
              <w:rPr>
                <w:rFonts w:ascii="Times New Roman" w:hAnsi="Times New Roman" w:cs="Times New Roman"/>
                <w:b/>
                <w:sz w:val="24"/>
                <w:szCs w:val="24"/>
              </w:rPr>
            </w:pP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53</w:t>
            </w:r>
          </w:p>
          <w:p w:rsidR="00D61595" w:rsidRDefault="00D61595">
            <w:pPr>
              <w:pStyle w:val="TableParagraph"/>
              <w:ind w:left="567" w:hanging="567"/>
              <w:contextualSpacing/>
              <w:mirrorIndents/>
              <w:rPr>
                <w:rFonts w:ascii="Times New Roman" w:hAnsi="Times New Roman" w:cs="Times New Roman"/>
                <w:sz w:val="24"/>
                <w:szCs w:val="24"/>
              </w:rPr>
            </w:pPr>
            <w:r>
              <w:rPr>
                <w:rFonts w:ascii="Times New Roman" w:hAnsi="Times New Roman" w:cs="Times New Roman"/>
                <w:sz w:val="24"/>
                <w:szCs w:val="24"/>
              </w:rPr>
              <w:t>(4,7 %)</w:t>
            </w:r>
          </w:p>
        </w:tc>
      </w:tr>
    </w:tbl>
    <w:p w:rsidR="00D61595" w:rsidRDefault="00D61595" w:rsidP="00D61595">
      <w:pPr>
        <w:tabs>
          <w:tab w:val="left" w:pos="851"/>
        </w:tabs>
        <w:ind w:left="851"/>
        <w:rPr>
          <w:sz w:val="24"/>
          <w:szCs w:val="24"/>
        </w:rPr>
      </w:pPr>
      <w:r>
        <w:rPr>
          <w:sz w:val="24"/>
          <w:szCs w:val="24"/>
        </w:rPr>
        <w:t>*</w:t>
      </w:r>
      <w:r>
        <w:rPr>
          <w:sz w:val="24"/>
          <w:szCs w:val="24"/>
        </w:rPr>
        <w:tab/>
        <w:t xml:space="preserve">p &lt; 0,001(superioritet) rivaroxaban 20 mg én gang dagligt </w:t>
      </w:r>
      <w:r>
        <w:rPr>
          <w:i/>
          <w:sz w:val="24"/>
          <w:szCs w:val="24"/>
        </w:rPr>
        <w:t xml:space="preserve">vs. </w:t>
      </w:r>
      <w:r>
        <w:rPr>
          <w:sz w:val="24"/>
          <w:szCs w:val="24"/>
        </w:rPr>
        <w:t>ASA 100 mg én gang dagligt; HR = 0,34</w:t>
      </w:r>
      <w:r>
        <w:rPr>
          <w:spacing w:val="-2"/>
          <w:sz w:val="24"/>
          <w:szCs w:val="24"/>
        </w:rPr>
        <w:t xml:space="preserve"> </w:t>
      </w:r>
      <w:r>
        <w:rPr>
          <w:sz w:val="24"/>
          <w:szCs w:val="24"/>
        </w:rPr>
        <w:t>(0,20-0,59)</w:t>
      </w:r>
    </w:p>
    <w:p w:rsidR="00D61595" w:rsidRDefault="00D61595" w:rsidP="00D61595">
      <w:pPr>
        <w:tabs>
          <w:tab w:val="left" w:pos="851"/>
        </w:tabs>
        <w:ind w:left="851"/>
        <w:rPr>
          <w:sz w:val="24"/>
          <w:szCs w:val="24"/>
        </w:rPr>
      </w:pPr>
      <w:r>
        <w:rPr>
          <w:sz w:val="24"/>
          <w:szCs w:val="24"/>
        </w:rPr>
        <w:t>**</w:t>
      </w:r>
      <w:r>
        <w:rPr>
          <w:sz w:val="24"/>
          <w:szCs w:val="24"/>
        </w:rPr>
        <w:tab/>
        <w:t xml:space="preserve">p &lt; 0,001 (superioritet) rivaroxaban 10 mg én gang dagligt </w:t>
      </w:r>
      <w:r>
        <w:rPr>
          <w:i/>
          <w:sz w:val="24"/>
          <w:szCs w:val="24"/>
        </w:rPr>
        <w:t xml:space="preserve">vs. </w:t>
      </w:r>
      <w:r>
        <w:rPr>
          <w:sz w:val="24"/>
          <w:szCs w:val="24"/>
        </w:rPr>
        <w:t>ASA 100 mg én gang dagligt; HR = 0,26</w:t>
      </w:r>
      <w:r>
        <w:rPr>
          <w:spacing w:val="-4"/>
          <w:sz w:val="24"/>
          <w:szCs w:val="24"/>
        </w:rPr>
        <w:t xml:space="preserve"> </w:t>
      </w:r>
      <w:r>
        <w:rPr>
          <w:sz w:val="24"/>
          <w:szCs w:val="24"/>
        </w:rPr>
        <w:t>(0,14-0,47)</w:t>
      </w:r>
    </w:p>
    <w:p w:rsidR="00D61595" w:rsidRDefault="00D61595" w:rsidP="00D61595">
      <w:pPr>
        <w:tabs>
          <w:tab w:val="left" w:pos="851"/>
        </w:tabs>
        <w:ind w:left="851"/>
        <w:rPr>
          <w:sz w:val="24"/>
          <w:szCs w:val="24"/>
        </w:rPr>
      </w:pPr>
      <w:r>
        <w:rPr>
          <w:position w:val="9"/>
          <w:sz w:val="24"/>
          <w:szCs w:val="24"/>
        </w:rPr>
        <w:t>+</w:t>
      </w:r>
      <w:r>
        <w:rPr>
          <w:position w:val="9"/>
          <w:sz w:val="24"/>
          <w:szCs w:val="24"/>
        </w:rPr>
        <w:tab/>
      </w:r>
      <w:r>
        <w:rPr>
          <w:sz w:val="24"/>
          <w:szCs w:val="24"/>
        </w:rPr>
        <w:t xml:space="preserve">Rivaroxaban 20 mg én gang dagligt </w:t>
      </w:r>
      <w:r>
        <w:rPr>
          <w:i/>
          <w:sz w:val="24"/>
          <w:szCs w:val="24"/>
        </w:rPr>
        <w:t>vs</w:t>
      </w:r>
      <w:r>
        <w:rPr>
          <w:sz w:val="24"/>
          <w:szCs w:val="24"/>
        </w:rPr>
        <w:t>. ASA 100 mg én gang dagligt; HR = 0,44 (0,27-0,71), p = 0,0009</w:t>
      </w:r>
      <w:r>
        <w:rPr>
          <w:spacing w:val="-2"/>
          <w:sz w:val="24"/>
          <w:szCs w:val="24"/>
        </w:rPr>
        <w:t xml:space="preserve"> </w:t>
      </w:r>
      <w:r>
        <w:rPr>
          <w:sz w:val="24"/>
          <w:szCs w:val="24"/>
        </w:rPr>
        <w:t>(nominel)</w:t>
      </w:r>
    </w:p>
    <w:p w:rsidR="00D61595" w:rsidRDefault="00D61595" w:rsidP="00D61595">
      <w:pPr>
        <w:tabs>
          <w:tab w:val="left" w:pos="851"/>
        </w:tabs>
        <w:ind w:left="851"/>
        <w:rPr>
          <w:sz w:val="24"/>
          <w:szCs w:val="24"/>
        </w:rPr>
      </w:pPr>
      <w:r>
        <w:rPr>
          <w:position w:val="9"/>
          <w:sz w:val="24"/>
          <w:szCs w:val="24"/>
        </w:rPr>
        <w:t>++</w:t>
      </w:r>
      <w:r>
        <w:rPr>
          <w:position w:val="9"/>
          <w:sz w:val="24"/>
          <w:szCs w:val="24"/>
        </w:rPr>
        <w:tab/>
      </w:r>
      <w:r>
        <w:rPr>
          <w:sz w:val="24"/>
          <w:szCs w:val="24"/>
        </w:rPr>
        <w:t xml:space="preserve">Rivaroxaban 10 mg én gang dagligt </w:t>
      </w:r>
      <w:r>
        <w:rPr>
          <w:i/>
          <w:sz w:val="24"/>
          <w:szCs w:val="24"/>
        </w:rPr>
        <w:t>vs</w:t>
      </w:r>
      <w:r>
        <w:rPr>
          <w:sz w:val="24"/>
          <w:szCs w:val="24"/>
        </w:rPr>
        <w:t>. ASA 100 mg én gang dagligt; HR = 0,32</w:t>
      </w:r>
      <w:r>
        <w:rPr>
          <w:spacing w:val="-23"/>
          <w:sz w:val="24"/>
          <w:szCs w:val="24"/>
        </w:rPr>
        <w:t xml:space="preserve"> </w:t>
      </w:r>
      <w:r>
        <w:rPr>
          <w:sz w:val="24"/>
          <w:szCs w:val="24"/>
        </w:rPr>
        <w:t>(0,18-0,55), p &lt; 0,0001 (nominel)</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 xml:space="preserve">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 ved </w:t>
      </w:r>
      <w:r>
        <w:rPr>
          <w:i/>
          <w:sz w:val="24"/>
          <w:szCs w:val="24"/>
        </w:rPr>
        <w:t>baseline</w:t>
      </w:r>
      <w:r>
        <w:rPr>
          <w:sz w:val="24"/>
          <w:szCs w:val="24"/>
        </w:rPr>
        <w:t xml:space="preserve">, herunder alder, cancer og nedsat nyrefunktion. Der blev anvendt en forudspecificeret stratificeret tendensanalyse til at justere for målte forskelle ved </w:t>
      </w:r>
      <w:r>
        <w:rPr>
          <w:i/>
          <w:sz w:val="24"/>
          <w:szCs w:val="24"/>
        </w:rPr>
        <w:t>baseline</w:t>
      </w:r>
      <w:r>
        <w:rPr>
          <w:sz w:val="24"/>
          <w:szCs w:val="24"/>
        </w:rPr>
        <w:t xml:space="preserve">, men på trods af dette, kan </w:t>
      </w:r>
      <w:r>
        <w:rPr>
          <w:i/>
          <w:sz w:val="24"/>
          <w:szCs w:val="24"/>
        </w:rPr>
        <w:t xml:space="preserve">residual confounding </w:t>
      </w:r>
      <w:r>
        <w:rPr>
          <w:sz w:val="24"/>
          <w:szCs w:val="24"/>
        </w:rPr>
        <w:t>påvirke resultatet. Justeret HR, der sammenligner rivaroxaban og standardbehandling for alvorlige blødninger, recidiverende VTE og død uanset årsag var henholdsvis 0,77 (95 % KI 0,40 - 1,50), 0,91 (95 % KI 0,54 - 1,54) og 0,51 (95 % KI 0,24 - 1,07).</w:t>
      </w:r>
    </w:p>
    <w:p w:rsidR="00D61595" w:rsidRDefault="00D61595" w:rsidP="00D61595">
      <w:pPr>
        <w:tabs>
          <w:tab w:val="left" w:pos="851"/>
        </w:tabs>
        <w:ind w:left="851"/>
        <w:rPr>
          <w:sz w:val="24"/>
          <w:szCs w:val="24"/>
        </w:rPr>
      </w:pPr>
      <w:r>
        <w:rPr>
          <w:sz w:val="24"/>
          <w:szCs w:val="24"/>
        </w:rPr>
        <w:t>Disse resultater fra patienter behandlet efter klinisk praksis er konsistente med den etablerede sikkerhedsprofil ved denne indikation.</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r>
        <w:rPr>
          <w:sz w:val="24"/>
          <w:szCs w:val="24"/>
        </w:rPr>
        <w:t>I et ikke-interventionstudie efter godkendelsen med flere end 40.000 patienter uden cancer i anamnesen fra fire lande blev rivaroxaban ordineret til behandling eller forebyggelse af DVT og LE.</w:t>
      </w:r>
    </w:p>
    <w:p w:rsidR="00D61595" w:rsidRDefault="00D61595" w:rsidP="00D61595">
      <w:pPr>
        <w:tabs>
          <w:tab w:val="left" w:pos="851"/>
        </w:tabs>
        <w:ind w:left="851"/>
        <w:rPr>
          <w:sz w:val="24"/>
          <w:szCs w:val="24"/>
        </w:rPr>
      </w:pPr>
      <w:r>
        <w:rPr>
          <w:sz w:val="24"/>
          <w:szCs w:val="24"/>
        </w:rPr>
        <w:t>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rsidR="00D61595" w:rsidRDefault="00D61595" w:rsidP="00D61595">
      <w:pPr>
        <w:tabs>
          <w:tab w:val="left" w:pos="851"/>
        </w:tabs>
        <w:ind w:left="851"/>
        <w:rPr>
          <w:sz w:val="24"/>
          <w:szCs w:val="24"/>
        </w:rPr>
      </w:pPr>
    </w:p>
    <w:p w:rsidR="00D61595" w:rsidRDefault="00D61595" w:rsidP="00D61595">
      <w:pPr>
        <w:pStyle w:val="Brdtekst"/>
        <w:spacing w:before="5" w:line="242" w:lineRule="auto"/>
        <w:ind w:left="858" w:right="884"/>
        <w:rPr>
          <w:sz w:val="24"/>
          <w:u w:val="single"/>
          <w:lang w:val="da-DK"/>
        </w:rPr>
      </w:pPr>
      <w:r>
        <w:rPr>
          <w:sz w:val="24"/>
          <w:u w:val="single"/>
          <w:lang w:val="da-DK"/>
        </w:rPr>
        <w:t>Højrisikopatienter med tredobbelt positiv antifosfolipidsyndrom</w:t>
      </w:r>
    </w:p>
    <w:p w:rsidR="00D61595" w:rsidRDefault="00D61595" w:rsidP="00D61595">
      <w:pPr>
        <w:pStyle w:val="Brdtekst"/>
        <w:spacing w:before="5" w:line="242" w:lineRule="auto"/>
        <w:ind w:left="858" w:right="884"/>
        <w:rPr>
          <w:sz w:val="24"/>
          <w:lang w:val="da-DK"/>
        </w:rPr>
      </w:pPr>
      <w:r>
        <w:rPr>
          <w:sz w:val="24"/>
          <w:lang w:val="da-DK"/>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rsidR="00D61595" w:rsidRDefault="00D61595" w:rsidP="00D61595">
      <w:pPr>
        <w:pStyle w:val="Brdtekst"/>
        <w:spacing w:before="5" w:line="242" w:lineRule="auto"/>
        <w:ind w:left="858" w:right="884"/>
        <w:rPr>
          <w:sz w:val="24"/>
          <w:lang w:val="da-DK"/>
        </w:rPr>
      </w:pPr>
    </w:p>
    <w:p w:rsidR="00D61595" w:rsidRDefault="00D61595" w:rsidP="00D61595">
      <w:pPr>
        <w:pStyle w:val="Brdtekst"/>
        <w:spacing w:before="5" w:line="242" w:lineRule="auto"/>
        <w:ind w:left="858" w:right="884"/>
        <w:rPr>
          <w:sz w:val="24"/>
          <w:szCs w:val="24"/>
          <w:u w:val="single"/>
          <w:lang w:val="da-DK"/>
        </w:rPr>
      </w:pPr>
      <w:r>
        <w:rPr>
          <w:sz w:val="24"/>
          <w:szCs w:val="24"/>
          <w:u w:val="single"/>
          <w:lang w:val="da-DK"/>
        </w:rPr>
        <w:t>Pædiatrisk population</w:t>
      </w:r>
    </w:p>
    <w:p w:rsidR="00D61595" w:rsidRDefault="00D61595" w:rsidP="00D61595">
      <w:pPr>
        <w:pStyle w:val="Brdtekst"/>
        <w:spacing w:before="5" w:line="242" w:lineRule="auto"/>
        <w:ind w:left="858" w:right="884"/>
        <w:rPr>
          <w:sz w:val="24"/>
          <w:szCs w:val="24"/>
          <w:lang w:val="da-DK"/>
        </w:rPr>
      </w:pPr>
      <w:r>
        <w:rPr>
          <w:sz w:val="24"/>
          <w:szCs w:val="24"/>
          <w:lang w:val="da-DK"/>
        </w:rPr>
        <w:t>Det Europæiske Lægemiddelagentur har dispenseret fra kravet om at fremlægge resultaterne af studier med Rivadia i alle undergrupper af den pædiatriske population ved forebyggelse af tromboemboliske hændelser (se pkt. 4.2 for oplysninger om pædiatrisk anvendelse).</w:t>
      </w:r>
    </w:p>
    <w:p w:rsidR="00D61595" w:rsidRDefault="00D61595" w:rsidP="00D61595">
      <w:pPr>
        <w:tabs>
          <w:tab w:val="left" w:pos="851"/>
        </w:tabs>
        <w:ind w:left="851"/>
        <w:rPr>
          <w:sz w:val="24"/>
          <w:szCs w:val="24"/>
        </w:rPr>
      </w:pPr>
    </w:p>
    <w:p w:rsidR="00D61595" w:rsidRDefault="00D61595" w:rsidP="00D61595">
      <w:pPr>
        <w:tabs>
          <w:tab w:val="left" w:pos="851"/>
        </w:tabs>
        <w:ind w:left="851" w:hanging="851"/>
        <w:rPr>
          <w:b/>
          <w:sz w:val="24"/>
          <w:szCs w:val="24"/>
        </w:rPr>
      </w:pPr>
      <w:r>
        <w:rPr>
          <w:b/>
          <w:sz w:val="24"/>
          <w:szCs w:val="24"/>
        </w:rPr>
        <w:t>5.2</w:t>
      </w:r>
      <w:r>
        <w:rPr>
          <w:b/>
          <w:sz w:val="24"/>
          <w:szCs w:val="24"/>
        </w:rPr>
        <w:tab/>
        <w:t>Farmakokinetiske egenskaber</w:t>
      </w:r>
    </w:p>
    <w:p w:rsidR="00D61595" w:rsidRDefault="00D61595" w:rsidP="00D61595">
      <w:pPr>
        <w:pStyle w:val="Brdtekst"/>
        <w:ind w:left="858"/>
        <w:rPr>
          <w:sz w:val="24"/>
          <w:szCs w:val="24"/>
          <w:lang w:val="da-DK"/>
        </w:rPr>
      </w:pPr>
      <w:r>
        <w:rPr>
          <w:sz w:val="24"/>
          <w:szCs w:val="24"/>
          <w:u w:val="single"/>
          <w:lang w:val="da-DK"/>
        </w:rPr>
        <w:t>Absorption</w:t>
      </w:r>
    </w:p>
    <w:p w:rsidR="00D61595" w:rsidRDefault="00D61595" w:rsidP="00D61595">
      <w:pPr>
        <w:pStyle w:val="Brdtekst"/>
        <w:ind w:left="858"/>
        <w:rPr>
          <w:position w:val="2"/>
          <w:sz w:val="24"/>
          <w:szCs w:val="24"/>
          <w:lang w:val="da-DK"/>
        </w:rPr>
      </w:pPr>
      <w:r>
        <w:rPr>
          <w:position w:val="2"/>
          <w:sz w:val="24"/>
          <w:szCs w:val="24"/>
          <w:lang w:val="da-DK"/>
        </w:rPr>
        <w:t>Rivaroxaban absorberes hurtigt, og den maksimale koncentration (C</w:t>
      </w:r>
      <w:r>
        <w:rPr>
          <w:position w:val="2"/>
          <w:sz w:val="24"/>
          <w:szCs w:val="24"/>
          <w:vertAlign w:val="subscript"/>
          <w:lang w:val="da-DK"/>
        </w:rPr>
        <w:t>max</w:t>
      </w:r>
      <w:r>
        <w:rPr>
          <w:position w:val="2"/>
          <w:sz w:val="24"/>
          <w:szCs w:val="24"/>
          <w:lang w:val="da-DK"/>
        </w:rPr>
        <w:t>) opnås 2 - 4 timer efter indtagelsen af tabletten.</w:t>
      </w:r>
    </w:p>
    <w:p w:rsidR="00D61595" w:rsidRDefault="00D61595" w:rsidP="00D61595">
      <w:pPr>
        <w:pStyle w:val="Brdtekst"/>
        <w:ind w:left="851"/>
        <w:rPr>
          <w:position w:val="2"/>
          <w:sz w:val="24"/>
          <w:szCs w:val="24"/>
          <w:lang w:val="da-DK"/>
        </w:rPr>
      </w:pPr>
      <w:r>
        <w:rPr>
          <w:position w:val="2"/>
          <w:sz w:val="24"/>
          <w:szCs w:val="24"/>
          <w:lang w:val="da-DK"/>
        </w:rPr>
        <w:t>Den orale absorption af rivaroxaban er næsten fuldstændig, og den orale biotilgængelighed er høj (80-100 %) for 2,5 mg- og 10 mg-tabletten uafhængigt af fastende tilstand eller fødeindtagelse. Indtagelse af mad påvirker ikke rivaroxabans AUC eller C</w:t>
      </w:r>
      <w:r>
        <w:rPr>
          <w:position w:val="2"/>
          <w:sz w:val="24"/>
          <w:szCs w:val="24"/>
          <w:vertAlign w:val="subscript"/>
          <w:lang w:val="da-DK"/>
        </w:rPr>
        <w:t>max</w:t>
      </w:r>
      <w:r>
        <w:rPr>
          <w:position w:val="2"/>
          <w:sz w:val="24"/>
          <w:szCs w:val="24"/>
          <w:lang w:val="da-DK"/>
        </w:rPr>
        <w:t xml:space="preserve"> efter en 2,5 mg- og 10 mg-dosis. Rivaroxaban 2,5 mg- og 10 mg-tabletter kan tages sammen med eller uden mad. Rivaroxabans farmakokinetik er</w:t>
      </w:r>
    </w:p>
    <w:p w:rsidR="00D61595" w:rsidRDefault="00D61595" w:rsidP="00D61595">
      <w:pPr>
        <w:pStyle w:val="Brdtekst"/>
        <w:ind w:left="851"/>
        <w:rPr>
          <w:position w:val="2"/>
          <w:sz w:val="24"/>
          <w:szCs w:val="24"/>
          <w:lang w:val="da-DK"/>
        </w:rPr>
      </w:pPr>
      <w:r>
        <w:rPr>
          <w:position w:val="2"/>
          <w:sz w:val="24"/>
          <w:szCs w:val="24"/>
          <w:lang w:val="da-DK"/>
        </w:rPr>
        <w:t>tilnærmelsesvis lineær op til omkring 15 mg en gang daglig. Ved højere doser rivaroxaban vises en opløsningsbegrænset absorption med faldende biotillgængelighed og faldende absorptionsfrekvens ved øget dosis. Dette er tydeligere i fastende tilstand end efter indtagelse af føde.</w:t>
      </w:r>
    </w:p>
    <w:p w:rsidR="00D61595" w:rsidRDefault="00D61595" w:rsidP="00D61595">
      <w:pPr>
        <w:pStyle w:val="Brdtekst"/>
        <w:ind w:left="851"/>
        <w:rPr>
          <w:position w:val="2"/>
          <w:sz w:val="24"/>
          <w:szCs w:val="24"/>
          <w:lang w:val="da-DK"/>
        </w:rPr>
      </w:pPr>
      <w:r>
        <w:rPr>
          <w:position w:val="2"/>
          <w:sz w:val="24"/>
          <w:szCs w:val="24"/>
          <w:lang w:val="da-DK"/>
        </w:rPr>
        <w:t>Variabiliteten i rivaroxabans farmakokinetik er moderat med en inter-individuel variabilitet (CV %), der ligger mellem 30 % og 40 %, bortset fra på operationsdagen og dagen efter, hvor variabiliteten i eksponering er høj (70 %).</w:t>
      </w:r>
    </w:p>
    <w:p w:rsidR="00D61595" w:rsidRDefault="00D61595" w:rsidP="00D61595">
      <w:pPr>
        <w:pStyle w:val="Brdtekst"/>
        <w:ind w:left="851"/>
        <w:rPr>
          <w:position w:val="2"/>
          <w:sz w:val="24"/>
          <w:szCs w:val="24"/>
          <w:lang w:val="da-DK"/>
        </w:rPr>
      </w:pPr>
      <w:r>
        <w:rPr>
          <w:position w:val="2"/>
          <w:sz w:val="24"/>
          <w:szCs w:val="24"/>
          <w:lang w:val="da-DK"/>
        </w:rPr>
        <w:t>Absorptionen af rivaroxaban er afhængig af, hvor det frigøres i mave-tarm-kanalen. Der blev rapporteret en 29 % og 56 % reduktion i AUC og C</w:t>
      </w:r>
      <w:r>
        <w:rPr>
          <w:position w:val="2"/>
          <w:sz w:val="24"/>
          <w:szCs w:val="24"/>
          <w:vertAlign w:val="subscript"/>
          <w:lang w:val="da-DK"/>
        </w:rPr>
        <w:t>max</w:t>
      </w:r>
      <w:r>
        <w:rPr>
          <w:position w:val="2"/>
          <w:sz w:val="24"/>
          <w:szCs w:val="24"/>
          <w:lang w:val="da-DK"/>
        </w:rPr>
        <w:t>, sammenlignet med tabletten, når rivaroxaban- granulat frigøres i den proksimale tyndtarm. Eksponeringen reduceres ydeligere, når rivaroxaban frigøres i den distale tyndtarm, eller ascenderende kolon. Derfor bør administration af rivaroxaban distalt for mavesækken undgås, da dette kan medføre reduceret absorption og rivaroxaban-eksponering.</w:t>
      </w:r>
    </w:p>
    <w:p w:rsidR="00D61595" w:rsidRDefault="00D61595" w:rsidP="00D61595">
      <w:pPr>
        <w:pStyle w:val="Brdtekst"/>
        <w:ind w:left="851"/>
        <w:rPr>
          <w:position w:val="2"/>
          <w:sz w:val="24"/>
          <w:szCs w:val="24"/>
          <w:lang w:val="da-DK"/>
        </w:rPr>
      </w:pPr>
      <w:r>
        <w:rPr>
          <w:position w:val="2"/>
          <w:sz w:val="24"/>
          <w:szCs w:val="24"/>
          <w:lang w:val="da-DK"/>
        </w:rPr>
        <w:t>Biotilgængeligheden (AUC og C</w:t>
      </w:r>
      <w:r>
        <w:rPr>
          <w:position w:val="2"/>
          <w:sz w:val="24"/>
          <w:szCs w:val="24"/>
          <w:vertAlign w:val="subscript"/>
          <w:lang w:val="da-DK"/>
        </w:rPr>
        <w:t>max</w:t>
      </w:r>
      <w:r>
        <w:rPr>
          <w:position w:val="2"/>
          <w:sz w:val="24"/>
          <w:szCs w:val="24"/>
          <w:lang w:val="da-DK"/>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rsidR="00D61595" w:rsidRDefault="00D61595" w:rsidP="00D61595">
      <w:pPr>
        <w:pStyle w:val="Brdtekst"/>
        <w:ind w:left="851"/>
        <w:rPr>
          <w:sz w:val="24"/>
          <w:szCs w:val="24"/>
          <w:lang w:val="da-DK"/>
        </w:rPr>
      </w:pPr>
      <w:r>
        <w:rPr>
          <w:position w:val="2"/>
          <w:sz w:val="24"/>
          <w:szCs w:val="24"/>
          <w:lang w:val="da-DK"/>
        </w:rPr>
        <w:t xml:space="preserve"> </w:t>
      </w:r>
    </w:p>
    <w:p w:rsidR="00D61595" w:rsidRDefault="00D61595" w:rsidP="00D61595">
      <w:pPr>
        <w:pStyle w:val="Brdtekst"/>
        <w:ind w:left="858"/>
        <w:rPr>
          <w:sz w:val="24"/>
          <w:szCs w:val="24"/>
          <w:lang w:val="da-DK"/>
        </w:rPr>
      </w:pPr>
      <w:r>
        <w:rPr>
          <w:sz w:val="24"/>
          <w:szCs w:val="24"/>
          <w:u w:val="single"/>
          <w:lang w:val="da-DK"/>
        </w:rPr>
        <w:t>Fordeling</w:t>
      </w:r>
    </w:p>
    <w:p w:rsidR="00D61595" w:rsidRDefault="00D61595" w:rsidP="00D61595">
      <w:pPr>
        <w:pStyle w:val="Brdtekst"/>
        <w:spacing w:before="7" w:line="242" w:lineRule="auto"/>
        <w:ind w:left="858"/>
        <w:rPr>
          <w:sz w:val="24"/>
          <w:szCs w:val="24"/>
          <w:lang w:val="da-DK"/>
        </w:rPr>
      </w:pPr>
      <w:r>
        <w:rPr>
          <w:sz w:val="24"/>
          <w:szCs w:val="24"/>
          <w:lang w:val="da-DK"/>
        </w:rPr>
        <w:t xml:space="preserve">Plasmaproteinbindingen hos mennesker er høj og ligger omkring 92-95 %. Serumalbumin er </w:t>
      </w:r>
      <w:r>
        <w:rPr>
          <w:position w:val="2"/>
          <w:sz w:val="24"/>
          <w:szCs w:val="24"/>
          <w:lang w:val="da-DK"/>
        </w:rPr>
        <w:t>hovedkomponenten i denne binding. Fordelingsvolumenet er moderat, idet V</w:t>
      </w:r>
      <w:r>
        <w:rPr>
          <w:position w:val="2"/>
          <w:sz w:val="24"/>
          <w:szCs w:val="24"/>
          <w:vertAlign w:val="subscript"/>
          <w:lang w:val="da-DK"/>
        </w:rPr>
        <w:t>ss</w:t>
      </w:r>
      <w:r>
        <w:rPr>
          <w:position w:val="2"/>
          <w:sz w:val="24"/>
          <w:szCs w:val="24"/>
          <w:lang w:val="da-DK"/>
        </w:rPr>
        <w:t xml:space="preserve"> er cirka 50 liter.</w:t>
      </w:r>
    </w:p>
    <w:p w:rsidR="00D61595" w:rsidRDefault="00D61595" w:rsidP="00D61595">
      <w:pPr>
        <w:pStyle w:val="Brdtekst"/>
        <w:spacing w:before="11"/>
        <w:rPr>
          <w:sz w:val="24"/>
          <w:szCs w:val="24"/>
          <w:lang w:val="da-DK"/>
        </w:rPr>
      </w:pPr>
    </w:p>
    <w:p w:rsidR="00D61595" w:rsidRDefault="00D61595" w:rsidP="00D61595">
      <w:pPr>
        <w:pStyle w:val="Brdtekst"/>
        <w:ind w:left="858"/>
        <w:rPr>
          <w:sz w:val="24"/>
          <w:szCs w:val="24"/>
          <w:lang w:val="da-DK"/>
        </w:rPr>
      </w:pPr>
      <w:r>
        <w:rPr>
          <w:sz w:val="24"/>
          <w:szCs w:val="24"/>
          <w:u w:val="single"/>
          <w:lang w:val="da-DK"/>
        </w:rPr>
        <w:t>Biotransformation og elimination</w:t>
      </w:r>
    </w:p>
    <w:p w:rsidR="00D61595" w:rsidRDefault="00D61595" w:rsidP="00D61595">
      <w:pPr>
        <w:pStyle w:val="Brdtekst"/>
        <w:spacing w:before="6" w:line="242" w:lineRule="auto"/>
        <w:ind w:left="858"/>
        <w:rPr>
          <w:sz w:val="24"/>
          <w:szCs w:val="24"/>
          <w:lang w:val="da-DK"/>
        </w:rPr>
      </w:pPr>
      <w:r>
        <w:rPr>
          <w:sz w:val="24"/>
          <w:szCs w:val="24"/>
          <w:lang w:val="da-DK"/>
        </w:rPr>
        <w:t>Ca. 2/3 af den administrede rivaroxabandosis nedbrydes ved metabolisering, hvoraf halvdelen udskilles med urinen og den anden halvdel med fæces. Den sidste tredjedel af den administrerede dosis udskilles uændret i urinen, fortrinsvis via aktiv renal sekretion.</w:t>
      </w:r>
    </w:p>
    <w:p w:rsidR="00D61595" w:rsidRDefault="00D61595" w:rsidP="00D61595">
      <w:pPr>
        <w:pStyle w:val="Brdtekst"/>
        <w:spacing w:before="4" w:line="242" w:lineRule="auto"/>
        <w:ind w:left="858"/>
        <w:rPr>
          <w:sz w:val="24"/>
          <w:szCs w:val="24"/>
          <w:lang w:val="da-DK"/>
        </w:rPr>
      </w:pPr>
      <w:r>
        <w:rPr>
          <w:sz w:val="24"/>
          <w:szCs w:val="24"/>
          <w:lang w:val="da-DK"/>
        </w:rPr>
        <w:t>Rivaroxaban metaboliseres via CYP3A4, CYP2J2 og CYP-uafhængige mekanismer. Biotransformationen finder hovedsageligt sted ved oxidativ nedbrydning af morfolindelen og hydrolyse af amidbindingerne.</w:t>
      </w:r>
    </w:p>
    <w:p w:rsidR="00D61595" w:rsidRDefault="00D61595" w:rsidP="00D61595">
      <w:pPr>
        <w:pStyle w:val="Brdtekst"/>
        <w:spacing w:before="3" w:line="242" w:lineRule="auto"/>
        <w:ind w:left="858"/>
        <w:rPr>
          <w:sz w:val="24"/>
          <w:szCs w:val="24"/>
          <w:lang w:val="da-DK"/>
        </w:rPr>
      </w:pPr>
      <w:r>
        <w:rPr>
          <w:i/>
          <w:sz w:val="24"/>
          <w:szCs w:val="24"/>
          <w:lang w:val="da-DK"/>
        </w:rPr>
        <w:t>In vitro</w:t>
      </w:r>
      <w:r>
        <w:rPr>
          <w:sz w:val="24"/>
          <w:szCs w:val="24"/>
          <w:lang w:val="da-DK"/>
        </w:rPr>
        <w:t>-undersøgelser har vist, at rivaroxaban er et substrat af transportproteinerne P-gp (P- glycoprotein) og Bcrp (brystcancer-resistensprotein).</w:t>
      </w:r>
    </w:p>
    <w:p w:rsidR="00D61595" w:rsidRDefault="00D61595" w:rsidP="00D61595">
      <w:pPr>
        <w:pStyle w:val="Brdtekst"/>
        <w:spacing w:before="3" w:line="242" w:lineRule="auto"/>
        <w:ind w:left="858"/>
        <w:rPr>
          <w:sz w:val="24"/>
          <w:szCs w:val="24"/>
          <w:lang w:val="da-DK"/>
        </w:rPr>
      </w:pPr>
      <w:r>
        <w:rPr>
          <w:sz w:val="24"/>
          <w:szCs w:val="24"/>
          <w:lang w:val="da-DK"/>
        </w:rPr>
        <w:t>Uændret rivaroxaban er det vigtigste stof i humant plasma, idet der ikke forefindes nogen væsentlige eller aktive cirkulerende metabolitter. Rivaroxaban har en systemisk clearance på omkring 10 l/t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rsidR="00D61595" w:rsidRDefault="00D61595" w:rsidP="00D61595">
      <w:pPr>
        <w:spacing w:line="242" w:lineRule="auto"/>
        <w:rPr>
          <w:sz w:val="24"/>
          <w:szCs w:val="24"/>
        </w:rPr>
      </w:pPr>
    </w:p>
    <w:p w:rsidR="00D61595" w:rsidRDefault="00D61595" w:rsidP="00D61595">
      <w:pPr>
        <w:pStyle w:val="Brdtekst"/>
        <w:spacing w:before="77"/>
        <w:ind w:left="858"/>
        <w:rPr>
          <w:sz w:val="24"/>
          <w:szCs w:val="24"/>
          <w:lang w:val="da-DK"/>
        </w:rPr>
      </w:pPr>
      <w:r>
        <w:rPr>
          <w:sz w:val="24"/>
          <w:szCs w:val="24"/>
          <w:u w:val="single"/>
          <w:lang w:val="da-DK"/>
        </w:rPr>
        <w:t>Særlige populationer</w:t>
      </w:r>
    </w:p>
    <w:p w:rsidR="00D61595" w:rsidRDefault="00D61595" w:rsidP="00D61595">
      <w:pPr>
        <w:spacing w:before="6"/>
        <w:ind w:left="858"/>
        <w:rPr>
          <w:i/>
          <w:sz w:val="24"/>
          <w:szCs w:val="24"/>
        </w:rPr>
      </w:pPr>
    </w:p>
    <w:p w:rsidR="00D61595" w:rsidRDefault="00D61595" w:rsidP="00D61595">
      <w:pPr>
        <w:spacing w:before="6"/>
        <w:ind w:left="858"/>
        <w:rPr>
          <w:i/>
          <w:sz w:val="24"/>
          <w:szCs w:val="24"/>
        </w:rPr>
      </w:pPr>
      <w:r>
        <w:rPr>
          <w:i/>
          <w:sz w:val="24"/>
          <w:szCs w:val="24"/>
        </w:rPr>
        <w:t>Køn</w:t>
      </w:r>
    </w:p>
    <w:p w:rsidR="00D61595" w:rsidRDefault="00D61595" w:rsidP="00D61595">
      <w:pPr>
        <w:pStyle w:val="Brdtekst"/>
        <w:spacing w:before="6" w:line="242" w:lineRule="auto"/>
        <w:ind w:left="858"/>
        <w:rPr>
          <w:sz w:val="24"/>
          <w:szCs w:val="24"/>
          <w:lang w:val="da-DK"/>
        </w:rPr>
      </w:pPr>
      <w:r>
        <w:rPr>
          <w:sz w:val="24"/>
          <w:szCs w:val="24"/>
          <w:lang w:val="da-DK"/>
        </w:rPr>
        <w:t>Der var ingen klinisk relevante forskelle mellem mænd og kvinder, hvad angår farmakokinetik og farmakodynamik.</w:t>
      </w:r>
    </w:p>
    <w:p w:rsidR="00D61595" w:rsidRDefault="00D61595" w:rsidP="00D61595">
      <w:pPr>
        <w:pStyle w:val="Brdtekst"/>
        <w:spacing w:before="9"/>
        <w:rPr>
          <w:sz w:val="24"/>
          <w:szCs w:val="24"/>
          <w:lang w:val="da-DK"/>
        </w:rPr>
      </w:pPr>
    </w:p>
    <w:p w:rsidR="00D61595" w:rsidRDefault="00D61595" w:rsidP="00D61595">
      <w:pPr>
        <w:keepNext/>
        <w:ind w:left="856"/>
        <w:rPr>
          <w:i/>
          <w:sz w:val="24"/>
          <w:szCs w:val="24"/>
        </w:rPr>
      </w:pPr>
      <w:r>
        <w:rPr>
          <w:i/>
          <w:sz w:val="24"/>
          <w:szCs w:val="24"/>
        </w:rPr>
        <w:t>Ældre population</w:t>
      </w:r>
    </w:p>
    <w:p w:rsidR="00D61595" w:rsidRDefault="00D61595" w:rsidP="00D61595">
      <w:pPr>
        <w:pStyle w:val="Brdtekst"/>
        <w:widowControl/>
        <w:spacing w:before="6" w:line="244" w:lineRule="auto"/>
        <w:ind w:left="856"/>
        <w:rPr>
          <w:sz w:val="24"/>
          <w:szCs w:val="24"/>
          <w:lang w:val="da-DK"/>
        </w:rPr>
      </w:pPr>
      <w:r>
        <w:rPr>
          <w:sz w:val="24"/>
          <w:szCs w:val="24"/>
          <w:lang w:val="da-DK"/>
        </w:rPr>
        <w:t>Ældre patienter havde højere plasmakoncentrationer end yngre patienter, idet deres gennemsnitlige AUC-værdier var cirka 1,5 gange højere. Dette skyldtes hovedsageligt en reduceret (tilsyneladende) total og renal clearance. Der kræves ingen dosisjustering.</w:t>
      </w:r>
    </w:p>
    <w:p w:rsidR="00D61595" w:rsidRDefault="00D61595" w:rsidP="00D61595">
      <w:pPr>
        <w:pStyle w:val="Brdtekst"/>
        <w:spacing w:before="10"/>
        <w:rPr>
          <w:sz w:val="24"/>
          <w:szCs w:val="24"/>
          <w:lang w:val="da-DK"/>
        </w:rPr>
      </w:pPr>
    </w:p>
    <w:p w:rsidR="00D61595" w:rsidRDefault="00D61595" w:rsidP="00D61595">
      <w:pPr>
        <w:ind w:left="858"/>
        <w:rPr>
          <w:i/>
          <w:sz w:val="24"/>
          <w:szCs w:val="24"/>
        </w:rPr>
      </w:pPr>
      <w:r>
        <w:rPr>
          <w:i/>
          <w:sz w:val="24"/>
          <w:szCs w:val="24"/>
        </w:rPr>
        <w:t>Forskellige vægtkategorier</w:t>
      </w:r>
    </w:p>
    <w:p w:rsidR="00D61595" w:rsidRDefault="00D61595" w:rsidP="00D61595">
      <w:pPr>
        <w:pStyle w:val="Brdtekst"/>
        <w:spacing w:before="6" w:line="242" w:lineRule="auto"/>
        <w:ind w:left="858"/>
        <w:rPr>
          <w:sz w:val="24"/>
          <w:szCs w:val="24"/>
          <w:lang w:val="da-DK"/>
        </w:rPr>
      </w:pPr>
      <w:r>
        <w:rPr>
          <w:sz w:val="24"/>
          <w:szCs w:val="24"/>
          <w:lang w:val="da-DK"/>
        </w:rPr>
        <w:t>Ekstrem legemsvægt (&lt; 50 kg eller &gt; 120 kg) havde kun ringe indvirkning på rivaroxabans plasmakoncentrationer (under 25 %). Der kræves ingen dosisjustering.</w:t>
      </w:r>
    </w:p>
    <w:p w:rsidR="00D61595" w:rsidRDefault="00D61595" w:rsidP="00D61595">
      <w:pPr>
        <w:pStyle w:val="Brdtekst"/>
        <w:spacing w:before="8"/>
        <w:rPr>
          <w:sz w:val="24"/>
          <w:szCs w:val="24"/>
          <w:lang w:val="da-DK"/>
        </w:rPr>
      </w:pPr>
    </w:p>
    <w:p w:rsidR="00D61595" w:rsidRDefault="00D61595" w:rsidP="00D61595">
      <w:pPr>
        <w:spacing w:before="1"/>
        <w:ind w:left="858"/>
        <w:rPr>
          <w:i/>
          <w:sz w:val="24"/>
          <w:szCs w:val="24"/>
        </w:rPr>
      </w:pPr>
      <w:r>
        <w:rPr>
          <w:i/>
          <w:sz w:val="24"/>
          <w:szCs w:val="24"/>
        </w:rPr>
        <w:t>Interetniske forskelle</w:t>
      </w:r>
    </w:p>
    <w:p w:rsidR="00D61595" w:rsidRDefault="00D61595" w:rsidP="00D61595">
      <w:pPr>
        <w:pStyle w:val="Brdtekst"/>
        <w:spacing w:before="6" w:line="242" w:lineRule="auto"/>
        <w:ind w:left="858"/>
        <w:rPr>
          <w:sz w:val="24"/>
          <w:szCs w:val="24"/>
          <w:lang w:val="da-DK"/>
        </w:rPr>
      </w:pPr>
      <w:r>
        <w:rPr>
          <w:sz w:val="24"/>
          <w:szCs w:val="24"/>
          <w:lang w:val="da-DK"/>
        </w:rPr>
        <w:t>Der blev ikke observeret nogen klinisk relevante interetniske forskelle mellem kaukasiske (hvide), afroamerikanske, latinamerikanske, japanske og kinesiske patienter, hvad angår rivaroxabans farmakokinetik og farmakodynamik.</w:t>
      </w:r>
    </w:p>
    <w:p w:rsidR="00D61595" w:rsidRDefault="00D61595" w:rsidP="00D61595">
      <w:pPr>
        <w:pStyle w:val="Brdtekst"/>
        <w:spacing w:before="9"/>
        <w:rPr>
          <w:sz w:val="24"/>
          <w:szCs w:val="24"/>
          <w:lang w:val="da-DK"/>
        </w:rPr>
      </w:pPr>
    </w:p>
    <w:p w:rsidR="00D61595" w:rsidRDefault="00D61595" w:rsidP="00D61595">
      <w:pPr>
        <w:spacing w:before="1"/>
        <w:ind w:left="858"/>
        <w:rPr>
          <w:i/>
          <w:sz w:val="24"/>
          <w:szCs w:val="24"/>
        </w:rPr>
      </w:pPr>
      <w:r>
        <w:rPr>
          <w:i/>
          <w:sz w:val="24"/>
          <w:szCs w:val="24"/>
        </w:rPr>
        <w:t>Nedsat leverfunktion</w:t>
      </w:r>
    </w:p>
    <w:p w:rsidR="00D61595" w:rsidRDefault="00D61595" w:rsidP="00D61595">
      <w:pPr>
        <w:pStyle w:val="Brdtekst"/>
        <w:spacing w:before="6" w:line="242" w:lineRule="auto"/>
        <w:ind w:left="858"/>
        <w:rPr>
          <w:sz w:val="24"/>
          <w:szCs w:val="24"/>
          <w:lang w:val="da-DK"/>
        </w:rPr>
      </w:pPr>
      <w:r>
        <w:rPr>
          <w:sz w:val="24"/>
          <w:szCs w:val="24"/>
          <w:lang w:val="da-DK"/>
        </w:rPr>
        <w:t>Hos cirrosepatienter med letnedsat leverfunktion (klassificeret som Child-Pugh A) sås der kun mindre ændringer i rivaroxabans farmakokinetik (gennemsnitlig stigning i AUC for rivaroxaban på 1,2 gange), hvilket næsten er sammenligneligt med den tilsvarende raske kontrolgruppe. Hos cirrosepatienter med moderat nedsat leverfunktion (klassificeret som Child-Pugh B) steg det gennemsnitlige AUC for rivaroxaban signifikant med 2,3 gange sammenlignet med raske frivillige. Ubunden AUC var øget med en faktor 2,6. Disse patienter havde også nedsat renal elimination af rivaroxaban i lighed med patienter med moderat nedsat nyrefunktion.</w:t>
      </w:r>
    </w:p>
    <w:p w:rsidR="00D61595" w:rsidRDefault="00D61595" w:rsidP="00D61595">
      <w:pPr>
        <w:pStyle w:val="Brdtekst"/>
        <w:spacing w:before="8"/>
        <w:ind w:left="858"/>
        <w:rPr>
          <w:sz w:val="24"/>
          <w:szCs w:val="24"/>
          <w:lang w:val="da-DK"/>
        </w:rPr>
      </w:pPr>
      <w:r>
        <w:rPr>
          <w:sz w:val="24"/>
          <w:szCs w:val="24"/>
          <w:lang w:val="da-DK"/>
        </w:rPr>
        <w:t>Der foreligger ikke data om patienter med svært nedsat leverfunktion.</w:t>
      </w:r>
    </w:p>
    <w:p w:rsidR="00D61595" w:rsidRDefault="00D61595" w:rsidP="00D61595">
      <w:pPr>
        <w:pStyle w:val="Brdtekst"/>
        <w:spacing w:before="6" w:line="242" w:lineRule="auto"/>
        <w:ind w:left="858"/>
        <w:rPr>
          <w:sz w:val="24"/>
          <w:szCs w:val="24"/>
          <w:lang w:val="da-DK"/>
        </w:rPr>
      </w:pPr>
      <w:r>
        <w:rPr>
          <w:sz w:val="24"/>
          <w:szCs w:val="24"/>
          <w:lang w:val="da-DK"/>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w:t>
      </w:r>
      <w:r>
        <w:rPr>
          <w:spacing w:val="-4"/>
          <w:sz w:val="24"/>
          <w:szCs w:val="24"/>
          <w:lang w:val="da-DK"/>
        </w:rPr>
        <w:t xml:space="preserve"> </w:t>
      </w:r>
      <w:r>
        <w:rPr>
          <w:sz w:val="24"/>
          <w:szCs w:val="24"/>
          <w:lang w:val="da-DK"/>
        </w:rPr>
        <w:t>PT.</w:t>
      </w:r>
    </w:p>
    <w:p w:rsidR="00D61595" w:rsidRDefault="00D61595" w:rsidP="00D61595">
      <w:pPr>
        <w:pStyle w:val="Brdtekst"/>
        <w:spacing w:before="5" w:line="242" w:lineRule="auto"/>
        <w:ind w:left="859"/>
        <w:rPr>
          <w:sz w:val="24"/>
          <w:szCs w:val="24"/>
          <w:lang w:val="da-DK"/>
        </w:rPr>
      </w:pPr>
      <w:r>
        <w:rPr>
          <w:sz w:val="24"/>
          <w:szCs w:val="24"/>
          <w:lang w:val="da-DK"/>
        </w:rPr>
        <w:t>Rivaroxaban er kontraindiceret til patienter med leversygdom, der medfører koagulationsdefekt og en klinisk relevant blødningsrisiko, herunder cirrosepatienter med Child-Pugh B og C (se pkt. 4.3).</w:t>
      </w:r>
    </w:p>
    <w:p w:rsidR="00D61595" w:rsidRDefault="00D61595" w:rsidP="00D61595">
      <w:pPr>
        <w:pStyle w:val="Brdtekst"/>
        <w:spacing w:before="9"/>
        <w:rPr>
          <w:sz w:val="24"/>
          <w:szCs w:val="24"/>
          <w:lang w:val="da-DK"/>
        </w:rPr>
      </w:pPr>
    </w:p>
    <w:p w:rsidR="00D61595" w:rsidRDefault="00D61595" w:rsidP="00D61595">
      <w:pPr>
        <w:ind w:left="858"/>
        <w:rPr>
          <w:i/>
          <w:sz w:val="24"/>
          <w:szCs w:val="24"/>
        </w:rPr>
      </w:pPr>
      <w:r>
        <w:rPr>
          <w:i/>
          <w:sz w:val="24"/>
          <w:szCs w:val="24"/>
        </w:rPr>
        <w:t>Nedsat nyrefunktion</w:t>
      </w:r>
    </w:p>
    <w:p w:rsidR="00D61595" w:rsidRDefault="00D61595" w:rsidP="00D61595">
      <w:pPr>
        <w:pStyle w:val="Brdtekst"/>
        <w:spacing w:before="6" w:line="242" w:lineRule="auto"/>
        <w:ind w:left="858"/>
        <w:rPr>
          <w:sz w:val="24"/>
          <w:szCs w:val="24"/>
          <w:lang w:val="da-DK"/>
        </w:rPr>
      </w:pPr>
      <w:r>
        <w:rPr>
          <w:sz w:val="24"/>
          <w:szCs w:val="24"/>
          <w:lang w:val="da-DK"/>
        </w:rPr>
        <w:t>Der sås en stigning i eksponeringen for rivaroxaban, som var korreleret med reduktionen i nyrefunktionen. Dette blev vurderet ved målinger af patienternes kreatininclearance. Hos personer med let (kreatininclearance 50 - 80 ml/min), moderat (kreatininclearance 30-49 ml/min) og svært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rsidR="00D61595" w:rsidRDefault="00D61595" w:rsidP="00D61595">
      <w:pPr>
        <w:pStyle w:val="Brdtekst"/>
        <w:spacing w:before="12" w:line="242" w:lineRule="auto"/>
        <w:ind w:left="858"/>
        <w:rPr>
          <w:sz w:val="24"/>
          <w:szCs w:val="24"/>
          <w:lang w:val="da-DK"/>
        </w:rPr>
      </w:pPr>
      <w:r>
        <w:rPr>
          <w:sz w:val="24"/>
          <w:szCs w:val="24"/>
          <w:lang w:val="da-DK"/>
        </w:rPr>
        <w:t>På grund af rivaroxabans høje plasmaproteinbinding forventes det ikke, at lægemidlet er dialysabelt. Rivadia bør ikke bruges til patienter med en kreatininclearance på &lt; 15 ml/min. Rivaroxaban skal bruges med forsigtighed til patienter med en kreatininclearance på 15 - 29 ml/min (se pkt. 4.4).</w:t>
      </w:r>
    </w:p>
    <w:p w:rsidR="00D61595" w:rsidRDefault="00D61595" w:rsidP="00D61595">
      <w:pPr>
        <w:pStyle w:val="Brdtekst"/>
        <w:spacing w:before="8"/>
        <w:rPr>
          <w:sz w:val="24"/>
          <w:szCs w:val="24"/>
          <w:lang w:val="da-DK"/>
        </w:rPr>
      </w:pPr>
    </w:p>
    <w:p w:rsidR="00D61595" w:rsidRDefault="00D61595" w:rsidP="00D61595">
      <w:pPr>
        <w:pStyle w:val="Brdtekst"/>
        <w:spacing w:before="1"/>
        <w:ind w:left="858"/>
        <w:rPr>
          <w:sz w:val="24"/>
          <w:szCs w:val="24"/>
          <w:lang w:val="da-DK"/>
        </w:rPr>
      </w:pPr>
      <w:r>
        <w:rPr>
          <w:sz w:val="24"/>
          <w:szCs w:val="24"/>
          <w:u w:val="single"/>
          <w:lang w:val="da-DK"/>
        </w:rPr>
        <w:t>Farmakokinetiske data for patienter</w:t>
      </w:r>
    </w:p>
    <w:p w:rsidR="00D61595" w:rsidRDefault="00D61595" w:rsidP="00D61595">
      <w:pPr>
        <w:pStyle w:val="Brdtekst"/>
        <w:spacing w:before="6" w:line="242" w:lineRule="auto"/>
        <w:ind w:left="858"/>
        <w:rPr>
          <w:sz w:val="24"/>
          <w:szCs w:val="24"/>
          <w:lang w:val="da-DK"/>
        </w:rPr>
      </w:pPr>
      <w:r>
        <w:rPr>
          <w:sz w:val="24"/>
          <w:szCs w:val="24"/>
          <w:lang w:val="da-DK"/>
        </w:rPr>
        <w:t xml:space="preserve">Hos patienter, der fik rivaroxaban 10 mg en gang daglig til forebyggelse af venøs tromboemboli (VTE), var den geometriske middelkoncentration (90 % </w:t>
      </w:r>
      <w:r>
        <w:rPr>
          <w:i/>
          <w:sz w:val="24"/>
          <w:szCs w:val="24"/>
          <w:lang w:val="da-DK"/>
        </w:rPr>
        <w:t>prediction</w:t>
      </w:r>
      <w:r>
        <w:rPr>
          <w:sz w:val="24"/>
          <w:szCs w:val="24"/>
          <w:lang w:val="da-DK"/>
        </w:rPr>
        <w:t>-interval) 2-4 timer og ca. 24 timer efter administration henholdsvis 101 (7 - 273) og 14 (4 - 51) mikrog/l, hvilket stort set svarer til maksimums- og minimumskoncentrationerne i doseringsintervallet.</w:t>
      </w:r>
    </w:p>
    <w:p w:rsidR="00D61595" w:rsidRDefault="00D61595" w:rsidP="00D61595">
      <w:pPr>
        <w:spacing w:line="242" w:lineRule="auto"/>
        <w:rPr>
          <w:sz w:val="24"/>
          <w:szCs w:val="24"/>
        </w:rPr>
      </w:pPr>
    </w:p>
    <w:p w:rsidR="00D61595" w:rsidRDefault="00D61595" w:rsidP="00D61595">
      <w:pPr>
        <w:pStyle w:val="Brdtekst"/>
        <w:spacing w:before="77"/>
        <w:ind w:left="137" w:firstLine="720"/>
        <w:rPr>
          <w:sz w:val="24"/>
          <w:szCs w:val="24"/>
          <w:lang w:val="da-DK"/>
        </w:rPr>
      </w:pPr>
      <w:r>
        <w:rPr>
          <w:sz w:val="24"/>
          <w:szCs w:val="24"/>
          <w:u w:val="single"/>
          <w:lang w:val="da-DK"/>
        </w:rPr>
        <w:t>Farmakokinetiske/farmakodynamiske forhold</w:t>
      </w:r>
    </w:p>
    <w:p w:rsidR="00D61595" w:rsidRDefault="00D61595" w:rsidP="00D61595">
      <w:pPr>
        <w:pStyle w:val="Brdtekst"/>
        <w:spacing w:before="6" w:line="242" w:lineRule="auto"/>
        <w:ind w:left="857"/>
        <w:rPr>
          <w:sz w:val="24"/>
          <w:szCs w:val="24"/>
          <w:lang w:val="da-DK"/>
        </w:rPr>
      </w:pPr>
      <w:r>
        <w:rPr>
          <w:sz w:val="24"/>
          <w:szCs w:val="24"/>
          <w:lang w:val="da-DK"/>
        </w:rPr>
        <w:t xml:space="preserve">Det farmakokinetiske/farmakodynamiske forhold (PK/PD) mellem rivaroxabans plasmakoncentrationer og forskellige PD-endepunkter (faktor Xa-hæmning, PT, aPTT, Heptest) er blevet evalueret efter indgivelse i et bredt dosisinterval (5-30 mg 2 gange daglig). Forholdet mellem </w:t>
      </w:r>
      <w:r>
        <w:rPr>
          <w:position w:val="2"/>
          <w:sz w:val="24"/>
          <w:szCs w:val="24"/>
          <w:lang w:val="da-DK"/>
        </w:rPr>
        <w:t>koncentrationen af rivaroxaban og faktor Xa-aktiviteten blev bedst beskrevet af en E</w:t>
      </w:r>
      <w:r>
        <w:rPr>
          <w:position w:val="2"/>
          <w:sz w:val="24"/>
          <w:szCs w:val="24"/>
          <w:vertAlign w:val="subscript"/>
          <w:lang w:val="da-DK"/>
        </w:rPr>
        <w:t>max</w:t>
      </w:r>
      <w:r>
        <w:rPr>
          <w:position w:val="2"/>
          <w:sz w:val="24"/>
          <w:szCs w:val="24"/>
          <w:lang w:val="da-DK"/>
        </w:rPr>
        <w:t xml:space="preserve">-model. Den </w:t>
      </w:r>
      <w:r>
        <w:rPr>
          <w:sz w:val="24"/>
          <w:szCs w:val="24"/>
          <w:lang w:val="da-DK"/>
        </w:rPr>
        <w:t>liniære interceptmodel beskrev generelt data bedre for PT. Hældningen varierede betydeligt afhængig af de forskellige anvendte PT-reagenser. Når der blev anvendt Neoplastin PT, var baseline PT omkring 13s og hældningen var omkring 3-4s</w:t>
      </w:r>
      <w:proofErr w:type="gramStart"/>
      <w:r>
        <w:rPr>
          <w:sz w:val="24"/>
          <w:szCs w:val="24"/>
          <w:lang w:val="da-DK"/>
        </w:rPr>
        <w:t>/(</w:t>
      </w:r>
      <w:proofErr w:type="gramEnd"/>
      <w:r>
        <w:rPr>
          <w:sz w:val="24"/>
          <w:szCs w:val="24"/>
          <w:lang w:val="da-DK"/>
        </w:rPr>
        <w:t xml:space="preserve">100 mikrog/l). Resultaterne af PK/PD-analyserne i fase II og III var konsistente med de data, der blev fundet hos raske forsøgspersoner. Hos patienter var </w:t>
      </w:r>
      <w:r>
        <w:rPr>
          <w:i/>
          <w:sz w:val="24"/>
          <w:szCs w:val="24"/>
          <w:lang w:val="da-DK"/>
        </w:rPr>
        <w:t xml:space="preserve">baseline </w:t>
      </w:r>
      <w:r>
        <w:rPr>
          <w:sz w:val="24"/>
          <w:szCs w:val="24"/>
          <w:lang w:val="da-DK"/>
        </w:rPr>
        <w:t>faktor Xa og -PT påvirket af det kirurgiske indgreb, hvilket resulterede i en ændring i koncentration-PT-hældningen mellem dagen efter det kirurgiske indgreb og steady-state.</w:t>
      </w:r>
    </w:p>
    <w:p w:rsidR="00D61595" w:rsidRDefault="00D61595" w:rsidP="00D61595">
      <w:pPr>
        <w:pStyle w:val="Brdtekst"/>
        <w:spacing w:before="9"/>
        <w:rPr>
          <w:sz w:val="24"/>
          <w:szCs w:val="24"/>
          <w:lang w:val="da-DK"/>
        </w:rPr>
      </w:pPr>
    </w:p>
    <w:p w:rsidR="00D61595" w:rsidRDefault="00D61595" w:rsidP="00D61595">
      <w:pPr>
        <w:pStyle w:val="Brdtekst"/>
        <w:ind w:left="858"/>
        <w:rPr>
          <w:sz w:val="24"/>
          <w:szCs w:val="24"/>
          <w:lang w:val="da-DK"/>
        </w:rPr>
      </w:pPr>
      <w:r>
        <w:rPr>
          <w:sz w:val="24"/>
          <w:szCs w:val="24"/>
          <w:u w:val="single"/>
          <w:lang w:val="da-DK"/>
        </w:rPr>
        <w:t>Pædiatrisk population</w:t>
      </w:r>
    </w:p>
    <w:p w:rsidR="00D61595" w:rsidRDefault="00D61595" w:rsidP="00D61595">
      <w:pPr>
        <w:pStyle w:val="Brdtekst"/>
        <w:spacing w:before="6"/>
        <w:ind w:left="858"/>
        <w:rPr>
          <w:sz w:val="24"/>
          <w:szCs w:val="24"/>
          <w:lang w:val="da-DK"/>
        </w:rPr>
      </w:pPr>
      <w:r>
        <w:rPr>
          <w:sz w:val="24"/>
          <w:szCs w:val="24"/>
          <w:lang w:val="da-DK"/>
        </w:rPr>
        <w:t>Sikkerhed og virkning for indikationen primær forebyggelse af VTE</w:t>
      </w:r>
      <w:r>
        <w:rPr>
          <w:lang w:val="da-DK"/>
        </w:rPr>
        <w:t xml:space="preserve"> </w:t>
      </w:r>
      <w:r>
        <w:rPr>
          <w:sz w:val="24"/>
          <w:szCs w:val="24"/>
          <w:lang w:val="da-DK"/>
        </w:rPr>
        <w:t>hos børn og unge op til 18 år er ikke klarlagt.</w:t>
      </w:r>
    </w:p>
    <w:p w:rsidR="00D61595" w:rsidRDefault="00D61595" w:rsidP="00D61595">
      <w:pPr>
        <w:pStyle w:val="Brdtekst"/>
        <w:spacing w:before="6"/>
        <w:rPr>
          <w:sz w:val="23"/>
          <w:lang w:val="da-DK"/>
        </w:rPr>
      </w:pPr>
    </w:p>
    <w:p w:rsidR="00D61595" w:rsidRDefault="00D61595" w:rsidP="00D61595">
      <w:pPr>
        <w:tabs>
          <w:tab w:val="left" w:pos="851"/>
        </w:tabs>
        <w:ind w:left="851" w:hanging="851"/>
        <w:rPr>
          <w:b/>
          <w:sz w:val="24"/>
          <w:szCs w:val="24"/>
        </w:rPr>
      </w:pPr>
      <w:r>
        <w:rPr>
          <w:b/>
          <w:sz w:val="24"/>
          <w:szCs w:val="24"/>
        </w:rPr>
        <w:t>5.3</w:t>
      </w:r>
      <w:r>
        <w:rPr>
          <w:b/>
          <w:sz w:val="24"/>
          <w:szCs w:val="24"/>
        </w:rPr>
        <w:tab/>
        <w:t>Non-kliniske sikkerhedsdata</w:t>
      </w:r>
    </w:p>
    <w:p w:rsidR="00D61595" w:rsidRDefault="00D61595" w:rsidP="00D61595">
      <w:pPr>
        <w:tabs>
          <w:tab w:val="left" w:pos="851"/>
        </w:tabs>
        <w:ind w:left="851"/>
        <w:rPr>
          <w:sz w:val="24"/>
          <w:szCs w:val="24"/>
        </w:rPr>
      </w:pPr>
      <w:r>
        <w:rPr>
          <w:sz w:val="24"/>
          <w:szCs w:val="24"/>
        </w:rPr>
        <w:t>Non-kliniske data viser ingen speciel risiko for mennesker vurderet ud fra konventionelle studier af sikkerhedsfarmakologi, toksicitet efter en enkeltdosis, fototoksicitet, genotoksicitet, karcinogenicitet og juvenil toksicitet.</w:t>
      </w:r>
    </w:p>
    <w:p w:rsidR="00D61595" w:rsidRDefault="00D61595" w:rsidP="00D61595">
      <w:pPr>
        <w:tabs>
          <w:tab w:val="left" w:pos="851"/>
        </w:tabs>
        <w:ind w:left="851"/>
        <w:rPr>
          <w:sz w:val="24"/>
          <w:szCs w:val="24"/>
        </w:rPr>
      </w:pPr>
      <w:r>
        <w:rPr>
          <w:sz w:val="24"/>
          <w:szCs w:val="24"/>
        </w:rPr>
        <w:t>De effekter, der blev observeret ved toksicitetsstudier ved multiple doser, skyldtes hovedsageligt rivaroxabans unormalt høje farmakodynamiske aktivitet. Hos rotter ansås de øgede IgG- og IgA- plasmaniveauer for at være klinisk relevante eksponeringsnuveauer.</w:t>
      </w:r>
    </w:p>
    <w:p w:rsidR="00D61595" w:rsidRDefault="00D61595" w:rsidP="00D61595">
      <w:pPr>
        <w:tabs>
          <w:tab w:val="left" w:pos="851"/>
        </w:tabs>
        <w:ind w:left="851"/>
        <w:rPr>
          <w:sz w:val="24"/>
          <w:szCs w:val="24"/>
        </w:rPr>
      </w:pPr>
      <w:r>
        <w:rPr>
          <w:sz w:val="24"/>
          <w:szCs w:val="24"/>
        </w:rPr>
        <w:t>Der sås ingen virkning på fertiliteten hos han- eller hunrotter. Dyrestudier har vist reproduktionstoksicitet, som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som var toksiske for moderdyrene.</w:t>
      </w:r>
    </w:p>
    <w:p w:rsidR="00D61595" w:rsidRDefault="00D61595" w:rsidP="00D61595">
      <w:pPr>
        <w:tabs>
          <w:tab w:val="left" w:pos="851"/>
        </w:tabs>
        <w:ind w:left="851"/>
        <w:rPr>
          <w:sz w:val="24"/>
          <w:szCs w:val="24"/>
        </w:rPr>
      </w:pPr>
    </w:p>
    <w:p w:rsidR="00D61595" w:rsidRDefault="00D61595" w:rsidP="00D61595">
      <w:pPr>
        <w:tabs>
          <w:tab w:val="left" w:pos="851"/>
        </w:tabs>
        <w:ind w:left="851"/>
        <w:rPr>
          <w:sz w:val="24"/>
          <w:szCs w:val="24"/>
        </w:rPr>
      </w:pPr>
    </w:p>
    <w:p w:rsidR="00D61595" w:rsidRDefault="00D61595" w:rsidP="00D61595">
      <w:pPr>
        <w:tabs>
          <w:tab w:val="left" w:pos="851"/>
        </w:tabs>
        <w:ind w:left="851" w:hanging="851"/>
        <w:rPr>
          <w:b/>
          <w:sz w:val="24"/>
          <w:szCs w:val="24"/>
        </w:rPr>
      </w:pPr>
      <w:r>
        <w:rPr>
          <w:b/>
          <w:sz w:val="24"/>
          <w:szCs w:val="24"/>
        </w:rPr>
        <w:t>6.</w:t>
      </w:r>
      <w:r>
        <w:rPr>
          <w:b/>
          <w:sz w:val="24"/>
          <w:szCs w:val="24"/>
        </w:rPr>
        <w:tab/>
        <w:t>FARMACEUTISKE OPLYSNINGER</w:t>
      </w:r>
    </w:p>
    <w:p w:rsidR="00D61595" w:rsidRDefault="00D61595" w:rsidP="00D61595">
      <w:pPr>
        <w:tabs>
          <w:tab w:val="left" w:pos="851"/>
        </w:tabs>
        <w:ind w:left="851"/>
        <w:rPr>
          <w:sz w:val="24"/>
          <w:szCs w:val="24"/>
        </w:rPr>
      </w:pPr>
    </w:p>
    <w:p w:rsidR="00D61595" w:rsidRDefault="00D61595" w:rsidP="00D61595">
      <w:pPr>
        <w:tabs>
          <w:tab w:val="left" w:pos="851"/>
        </w:tabs>
        <w:ind w:left="851" w:hanging="851"/>
        <w:rPr>
          <w:b/>
          <w:sz w:val="24"/>
          <w:szCs w:val="24"/>
        </w:rPr>
      </w:pPr>
      <w:r>
        <w:rPr>
          <w:b/>
          <w:sz w:val="24"/>
          <w:szCs w:val="24"/>
        </w:rPr>
        <w:t>6.1</w:t>
      </w:r>
      <w:r>
        <w:rPr>
          <w:b/>
          <w:sz w:val="24"/>
          <w:szCs w:val="24"/>
        </w:rPr>
        <w:tab/>
        <w:t>Hjælpestoffer</w:t>
      </w:r>
    </w:p>
    <w:p w:rsidR="00D61595" w:rsidRDefault="00D61595" w:rsidP="00D61595">
      <w:pPr>
        <w:tabs>
          <w:tab w:val="left" w:pos="851"/>
        </w:tabs>
        <w:ind w:left="851"/>
        <w:rPr>
          <w:sz w:val="24"/>
          <w:szCs w:val="24"/>
        </w:rPr>
      </w:pPr>
      <w:r>
        <w:rPr>
          <w:sz w:val="24"/>
          <w:szCs w:val="24"/>
          <w:u w:val="single"/>
        </w:rPr>
        <w:t>Tabletkerne</w:t>
      </w:r>
    </w:p>
    <w:p w:rsidR="00D61595" w:rsidRDefault="00D61595" w:rsidP="00D61595">
      <w:pPr>
        <w:tabs>
          <w:tab w:val="left" w:pos="851"/>
        </w:tabs>
        <w:ind w:left="851"/>
        <w:rPr>
          <w:sz w:val="24"/>
          <w:szCs w:val="24"/>
        </w:rPr>
      </w:pPr>
      <w:r>
        <w:rPr>
          <w:sz w:val="24"/>
          <w:szCs w:val="24"/>
        </w:rPr>
        <w:t xml:space="preserve">Cellulose, mikrokrystallinsk </w:t>
      </w:r>
    </w:p>
    <w:p w:rsidR="00D61595" w:rsidRDefault="00D61595" w:rsidP="00D61595">
      <w:pPr>
        <w:tabs>
          <w:tab w:val="left" w:pos="851"/>
        </w:tabs>
        <w:ind w:left="851"/>
        <w:rPr>
          <w:sz w:val="24"/>
          <w:szCs w:val="24"/>
        </w:rPr>
      </w:pPr>
      <w:r>
        <w:rPr>
          <w:sz w:val="24"/>
          <w:szCs w:val="24"/>
        </w:rPr>
        <w:t>Natriumcroscarmellose</w:t>
      </w:r>
    </w:p>
    <w:p w:rsidR="00D61595" w:rsidRDefault="00D61595" w:rsidP="00D61595">
      <w:pPr>
        <w:tabs>
          <w:tab w:val="left" w:pos="851"/>
        </w:tabs>
        <w:ind w:left="851"/>
        <w:rPr>
          <w:sz w:val="24"/>
          <w:szCs w:val="24"/>
        </w:rPr>
      </w:pPr>
      <w:r>
        <w:rPr>
          <w:sz w:val="24"/>
          <w:szCs w:val="24"/>
        </w:rPr>
        <w:t>Laktosemonohydrat</w:t>
      </w:r>
    </w:p>
    <w:p w:rsidR="00D61595" w:rsidRDefault="00D61595" w:rsidP="00D61595">
      <w:pPr>
        <w:tabs>
          <w:tab w:val="left" w:pos="851"/>
        </w:tabs>
        <w:ind w:left="851"/>
        <w:rPr>
          <w:sz w:val="24"/>
          <w:szCs w:val="24"/>
        </w:rPr>
      </w:pPr>
      <w:r>
        <w:rPr>
          <w:sz w:val="24"/>
          <w:szCs w:val="24"/>
        </w:rPr>
        <w:t>Natriumlaurylsulfat</w:t>
      </w:r>
    </w:p>
    <w:p w:rsidR="00D61595" w:rsidRDefault="00D61595" w:rsidP="00D61595">
      <w:pPr>
        <w:tabs>
          <w:tab w:val="left" w:pos="851"/>
        </w:tabs>
        <w:ind w:left="851"/>
        <w:rPr>
          <w:sz w:val="24"/>
          <w:szCs w:val="24"/>
        </w:rPr>
      </w:pPr>
      <w:r>
        <w:rPr>
          <w:sz w:val="24"/>
          <w:szCs w:val="24"/>
        </w:rPr>
        <w:t>Magnesiumstearat</w:t>
      </w:r>
    </w:p>
    <w:p w:rsidR="00D61595" w:rsidRDefault="00D61595" w:rsidP="00D61595">
      <w:pPr>
        <w:tabs>
          <w:tab w:val="left" w:pos="851"/>
        </w:tabs>
        <w:ind w:left="851"/>
        <w:rPr>
          <w:sz w:val="24"/>
          <w:szCs w:val="24"/>
        </w:rPr>
      </w:pPr>
      <w:r>
        <w:rPr>
          <w:sz w:val="24"/>
          <w:szCs w:val="24"/>
        </w:rPr>
        <w:t>Hypromellose</w:t>
      </w:r>
    </w:p>
    <w:p w:rsidR="00D61595" w:rsidRDefault="00D61595" w:rsidP="00D61595">
      <w:pPr>
        <w:tabs>
          <w:tab w:val="left" w:pos="851"/>
        </w:tabs>
        <w:ind w:left="851"/>
        <w:rPr>
          <w:sz w:val="24"/>
          <w:szCs w:val="24"/>
        </w:rPr>
      </w:pPr>
    </w:p>
    <w:p w:rsidR="00D61595" w:rsidRDefault="00D61595" w:rsidP="00D61595">
      <w:pPr>
        <w:keepNext/>
        <w:tabs>
          <w:tab w:val="left" w:pos="851"/>
        </w:tabs>
        <w:ind w:left="851"/>
        <w:rPr>
          <w:sz w:val="24"/>
          <w:szCs w:val="24"/>
          <w:u w:val="single"/>
        </w:rPr>
      </w:pPr>
      <w:r>
        <w:rPr>
          <w:sz w:val="24"/>
          <w:szCs w:val="24"/>
          <w:u w:val="single"/>
        </w:rPr>
        <w:t>Filmovertræk</w:t>
      </w:r>
    </w:p>
    <w:p w:rsidR="00D61595" w:rsidRDefault="00D61595" w:rsidP="00D61595">
      <w:pPr>
        <w:tabs>
          <w:tab w:val="left" w:pos="851"/>
        </w:tabs>
        <w:ind w:left="851"/>
        <w:rPr>
          <w:sz w:val="24"/>
          <w:szCs w:val="24"/>
          <w:lang w:val="it-IT"/>
        </w:rPr>
      </w:pPr>
      <w:r>
        <w:rPr>
          <w:sz w:val="24"/>
          <w:szCs w:val="24"/>
          <w:lang w:val="it-IT"/>
        </w:rPr>
        <w:t>Macrogol</w:t>
      </w:r>
    </w:p>
    <w:p w:rsidR="00D61595" w:rsidRDefault="00D61595" w:rsidP="00D61595">
      <w:pPr>
        <w:tabs>
          <w:tab w:val="left" w:pos="851"/>
        </w:tabs>
        <w:ind w:left="851"/>
        <w:rPr>
          <w:sz w:val="24"/>
          <w:szCs w:val="24"/>
          <w:lang w:val="it-IT"/>
        </w:rPr>
      </w:pPr>
      <w:r>
        <w:rPr>
          <w:sz w:val="24"/>
          <w:szCs w:val="24"/>
          <w:lang w:val="it-IT"/>
        </w:rPr>
        <w:t>Hypromellose</w:t>
      </w:r>
    </w:p>
    <w:p w:rsidR="00D61595" w:rsidRDefault="00D61595" w:rsidP="00D61595">
      <w:pPr>
        <w:tabs>
          <w:tab w:val="left" w:pos="851"/>
        </w:tabs>
        <w:ind w:left="851"/>
        <w:rPr>
          <w:sz w:val="24"/>
          <w:szCs w:val="24"/>
          <w:lang w:val="it-IT"/>
        </w:rPr>
      </w:pPr>
      <w:r>
        <w:rPr>
          <w:sz w:val="24"/>
          <w:szCs w:val="24"/>
          <w:lang w:val="it-IT"/>
        </w:rPr>
        <w:t>Titandioxid (E171)</w:t>
      </w:r>
    </w:p>
    <w:p w:rsidR="00D61595" w:rsidRDefault="00D61595" w:rsidP="00D61595">
      <w:pPr>
        <w:tabs>
          <w:tab w:val="left" w:pos="851"/>
        </w:tabs>
        <w:ind w:left="851"/>
        <w:rPr>
          <w:sz w:val="24"/>
          <w:szCs w:val="24"/>
          <w:lang w:val="it-IT"/>
        </w:rPr>
      </w:pPr>
      <w:r>
        <w:rPr>
          <w:sz w:val="24"/>
          <w:szCs w:val="24"/>
          <w:lang w:val="it-IT"/>
        </w:rPr>
        <w:t>Rød jernoxid (E172)</w:t>
      </w:r>
    </w:p>
    <w:p w:rsidR="00D61595" w:rsidRDefault="00D61595" w:rsidP="00D61595">
      <w:pPr>
        <w:tabs>
          <w:tab w:val="left" w:pos="851"/>
        </w:tabs>
        <w:ind w:left="851"/>
        <w:rPr>
          <w:sz w:val="24"/>
          <w:szCs w:val="24"/>
        </w:rPr>
      </w:pPr>
    </w:p>
    <w:p w:rsidR="00D61595" w:rsidRDefault="00D61595" w:rsidP="00D61595">
      <w:pPr>
        <w:tabs>
          <w:tab w:val="left" w:pos="851"/>
        </w:tabs>
        <w:ind w:left="851" w:hanging="851"/>
        <w:rPr>
          <w:b/>
          <w:sz w:val="24"/>
          <w:szCs w:val="24"/>
        </w:rPr>
      </w:pPr>
      <w:r>
        <w:rPr>
          <w:b/>
          <w:sz w:val="24"/>
          <w:szCs w:val="24"/>
        </w:rPr>
        <w:t>6.2</w:t>
      </w:r>
      <w:r>
        <w:rPr>
          <w:b/>
          <w:sz w:val="24"/>
          <w:szCs w:val="24"/>
        </w:rPr>
        <w:tab/>
        <w:t>Uforligeligheder</w:t>
      </w:r>
    </w:p>
    <w:p w:rsidR="00D61595" w:rsidRDefault="00D61595" w:rsidP="00D61595">
      <w:pPr>
        <w:tabs>
          <w:tab w:val="left" w:pos="851"/>
        </w:tabs>
        <w:ind w:left="851"/>
        <w:rPr>
          <w:sz w:val="24"/>
          <w:szCs w:val="24"/>
        </w:rPr>
      </w:pPr>
      <w:r>
        <w:rPr>
          <w:sz w:val="24"/>
          <w:szCs w:val="24"/>
        </w:rPr>
        <w:t>Ikke relevant.</w:t>
      </w:r>
    </w:p>
    <w:p w:rsidR="00D61595" w:rsidRDefault="00D61595" w:rsidP="00D61595">
      <w:pPr>
        <w:tabs>
          <w:tab w:val="left" w:pos="851"/>
        </w:tabs>
        <w:ind w:left="851"/>
        <w:rPr>
          <w:sz w:val="24"/>
          <w:szCs w:val="24"/>
        </w:rPr>
      </w:pPr>
    </w:p>
    <w:p w:rsidR="00D61595" w:rsidRDefault="00D61595" w:rsidP="00D61595">
      <w:pPr>
        <w:tabs>
          <w:tab w:val="left" w:pos="851"/>
        </w:tabs>
        <w:ind w:left="851" w:hanging="851"/>
        <w:rPr>
          <w:b/>
          <w:sz w:val="24"/>
          <w:szCs w:val="24"/>
        </w:rPr>
      </w:pPr>
      <w:r>
        <w:rPr>
          <w:b/>
          <w:sz w:val="24"/>
          <w:szCs w:val="24"/>
        </w:rPr>
        <w:t>6.3</w:t>
      </w:r>
      <w:r>
        <w:rPr>
          <w:b/>
          <w:sz w:val="24"/>
          <w:szCs w:val="24"/>
        </w:rPr>
        <w:tab/>
        <w:t>Opbevaringstid</w:t>
      </w:r>
    </w:p>
    <w:p w:rsidR="00D61595" w:rsidRDefault="00D61595" w:rsidP="00D61595">
      <w:pPr>
        <w:tabs>
          <w:tab w:val="left" w:pos="851"/>
        </w:tabs>
        <w:ind w:left="851" w:hanging="851"/>
        <w:rPr>
          <w:sz w:val="24"/>
          <w:szCs w:val="24"/>
        </w:rPr>
      </w:pPr>
      <w:r>
        <w:rPr>
          <w:sz w:val="24"/>
          <w:szCs w:val="24"/>
        </w:rPr>
        <w:tab/>
        <w:t>2 år.</w:t>
      </w:r>
    </w:p>
    <w:p w:rsidR="00D61595" w:rsidRDefault="00D61595" w:rsidP="00D61595">
      <w:pPr>
        <w:tabs>
          <w:tab w:val="left" w:pos="851"/>
        </w:tabs>
        <w:ind w:left="851"/>
        <w:rPr>
          <w:sz w:val="24"/>
          <w:szCs w:val="24"/>
        </w:rPr>
      </w:pPr>
    </w:p>
    <w:p w:rsidR="00D61595" w:rsidRDefault="00D61595" w:rsidP="00D61595">
      <w:pPr>
        <w:tabs>
          <w:tab w:val="left" w:pos="851"/>
        </w:tabs>
        <w:ind w:left="851" w:hanging="851"/>
        <w:rPr>
          <w:b/>
          <w:sz w:val="24"/>
          <w:szCs w:val="24"/>
        </w:rPr>
      </w:pPr>
      <w:r>
        <w:rPr>
          <w:b/>
          <w:sz w:val="24"/>
          <w:szCs w:val="24"/>
        </w:rPr>
        <w:t>6.4</w:t>
      </w:r>
      <w:r>
        <w:rPr>
          <w:b/>
          <w:sz w:val="24"/>
          <w:szCs w:val="24"/>
        </w:rPr>
        <w:tab/>
        <w:t>Særlige opbevaringsforhold</w:t>
      </w:r>
    </w:p>
    <w:p w:rsidR="00D61595" w:rsidRDefault="00D61595" w:rsidP="00D61595">
      <w:pPr>
        <w:tabs>
          <w:tab w:val="left" w:pos="851"/>
        </w:tabs>
        <w:ind w:left="851"/>
        <w:rPr>
          <w:sz w:val="24"/>
          <w:szCs w:val="24"/>
        </w:rPr>
      </w:pPr>
      <w:r>
        <w:rPr>
          <w:sz w:val="24"/>
          <w:szCs w:val="24"/>
        </w:rPr>
        <w:t>Dette lægemiddel kræver ingen særlige forholdsregler vedrørende opbevaringen.</w:t>
      </w:r>
    </w:p>
    <w:p w:rsidR="00D61595" w:rsidRDefault="00D61595" w:rsidP="00D61595">
      <w:pPr>
        <w:tabs>
          <w:tab w:val="left" w:pos="851"/>
        </w:tabs>
        <w:ind w:left="851"/>
        <w:rPr>
          <w:sz w:val="24"/>
          <w:szCs w:val="24"/>
        </w:rPr>
      </w:pPr>
    </w:p>
    <w:p w:rsidR="00D61595" w:rsidRDefault="00D61595" w:rsidP="00D61595">
      <w:pPr>
        <w:tabs>
          <w:tab w:val="left" w:pos="851"/>
        </w:tabs>
        <w:ind w:left="851" w:hanging="851"/>
        <w:rPr>
          <w:rStyle w:val="FontStyle53"/>
          <w:b/>
          <w:szCs w:val="24"/>
        </w:rPr>
      </w:pPr>
      <w:r>
        <w:rPr>
          <w:b/>
          <w:sz w:val="24"/>
          <w:szCs w:val="24"/>
        </w:rPr>
        <w:t>6.5</w:t>
      </w:r>
      <w:r>
        <w:rPr>
          <w:b/>
          <w:sz w:val="24"/>
          <w:szCs w:val="24"/>
        </w:rPr>
        <w:tab/>
        <w:t>Emballagetype og pakningsstørrelser</w:t>
      </w:r>
    </w:p>
    <w:p w:rsidR="00D61595" w:rsidRPr="00D61595" w:rsidRDefault="00D61595" w:rsidP="00D61595">
      <w:pPr>
        <w:pStyle w:val="Style7"/>
        <w:widowControl/>
        <w:spacing w:line="240" w:lineRule="auto"/>
        <w:ind w:left="851" w:right="23"/>
        <w:rPr>
          <w:rStyle w:val="FontStyle53"/>
          <w:sz w:val="24"/>
          <w:szCs w:val="24"/>
          <w:u w:val="single"/>
          <w:lang w:val="da-DK" w:eastAsia="es-ES_tradnl"/>
        </w:rPr>
      </w:pPr>
      <w:r w:rsidRPr="00D61595">
        <w:rPr>
          <w:rStyle w:val="FontStyle53"/>
          <w:sz w:val="24"/>
          <w:szCs w:val="24"/>
          <w:u w:val="single"/>
          <w:lang w:val="da-DK" w:eastAsia="es-ES_tradnl"/>
        </w:rPr>
        <w:t>PVC-PVdC-/aluminiumsblisterpakning.</w:t>
      </w:r>
    </w:p>
    <w:p w:rsidR="00D61595" w:rsidRPr="00D61595" w:rsidRDefault="00D61595" w:rsidP="00D61595">
      <w:pPr>
        <w:pStyle w:val="Style7"/>
        <w:widowControl/>
        <w:spacing w:line="240" w:lineRule="auto"/>
        <w:ind w:left="851" w:right="23"/>
        <w:rPr>
          <w:rStyle w:val="FontStyle53"/>
          <w:sz w:val="24"/>
          <w:szCs w:val="24"/>
        </w:rPr>
      </w:pPr>
      <w:r w:rsidRPr="001D71DC">
        <w:rPr>
          <w:rStyle w:val="FontStyle53"/>
          <w:sz w:val="24"/>
          <w:szCs w:val="24"/>
          <w:lang w:val="da-DK" w:eastAsia="es-ES_tradnl"/>
        </w:rPr>
        <w:t>P</w:t>
      </w:r>
      <w:r w:rsidRPr="00D61595">
        <w:rPr>
          <w:rStyle w:val="FontStyle53"/>
          <w:sz w:val="24"/>
          <w:szCs w:val="24"/>
          <w:lang w:val="da-DK" w:eastAsia="es-ES_tradnl"/>
        </w:rPr>
        <w:t xml:space="preserve">akningsstørrelser: 5, 10, </w:t>
      </w:r>
      <w:r w:rsidRPr="00D61595">
        <w:rPr>
          <w:rStyle w:val="FontStyle53"/>
          <w:sz w:val="24"/>
          <w:szCs w:val="24"/>
        </w:rPr>
        <w:t>30 og</w:t>
      </w:r>
      <w:r w:rsidRPr="00D61595">
        <w:rPr>
          <w:rStyle w:val="FontStyle53"/>
          <w:sz w:val="24"/>
          <w:szCs w:val="24"/>
          <w:lang w:val="da-DK" w:eastAsia="es-ES_tradnl"/>
        </w:rPr>
        <w:t xml:space="preserve"> 100</w:t>
      </w:r>
      <w:r w:rsidRPr="00D61595">
        <w:rPr>
          <w:rStyle w:val="FontStyle53"/>
          <w:sz w:val="24"/>
          <w:szCs w:val="24"/>
        </w:rPr>
        <w:t xml:space="preserve"> stk.</w:t>
      </w:r>
    </w:p>
    <w:p w:rsidR="00D61595" w:rsidRPr="00D61595" w:rsidRDefault="00D61595" w:rsidP="00D61595">
      <w:pPr>
        <w:pStyle w:val="Style7"/>
        <w:widowControl/>
        <w:spacing w:line="240" w:lineRule="auto"/>
        <w:ind w:left="851" w:right="23"/>
        <w:rPr>
          <w:rStyle w:val="FontStyle53"/>
          <w:sz w:val="24"/>
          <w:szCs w:val="24"/>
        </w:rPr>
      </w:pPr>
    </w:p>
    <w:p w:rsidR="00D61595" w:rsidRPr="00D61595" w:rsidRDefault="00D61595" w:rsidP="00D61595">
      <w:pPr>
        <w:pStyle w:val="Brdtekst"/>
        <w:spacing w:line="242" w:lineRule="auto"/>
        <w:ind w:left="858" w:right="981"/>
        <w:rPr>
          <w:sz w:val="24"/>
          <w:szCs w:val="24"/>
          <w:u w:val="single"/>
          <w:lang w:val="da-DK"/>
        </w:rPr>
      </w:pPr>
      <w:r w:rsidRPr="00D61595">
        <w:rPr>
          <w:sz w:val="24"/>
          <w:szCs w:val="24"/>
          <w:u w:val="single"/>
          <w:lang w:val="da-DK"/>
        </w:rPr>
        <w:t>HDPE-beholder med børnesikret låg</w:t>
      </w:r>
    </w:p>
    <w:p w:rsidR="00D61595" w:rsidRPr="00D61595" w:rsidRDefault="00D61595" w:rsidP="00D61595">
      <w:pPr>
        <w:pStyle w:val="Style7"/>
        <w:widowControl/>
        <w:spacing w:line="240" w:lineRule="auto"/>
        <w:ind w:left="851" w:right="23"/>
        <w:rPr>
          <w:rStyle w:val="FontStyle53"/>
          <w:sz w:val="24"/>
          <w:szCs w:val="24"/>
        </w:rPr>
      </w:pPr>
      <w:r w:rsidRPr="00D61595">
        <w:rPr>
          <w:rStyle w:val="FontStyle53"/>
          <w:sz w:val="24"/>
          <w:szCs w:val="24"/>
          <w:lang w:val="da-DK" w:eastAsia="es-ES_tradnl"/>
        </w:rPr>
        <w:t xml:space="preserve">Pakningsstørrelser: </w:t>
      </w:r>
      <w:r w:rsidRPr="00D61595">
        <w:rPr>
          <w:rStyle w:val="FontStyle53"/>
          <w:sz w:val="24"/>
          <w:szCs w:val="24"/>
        </w:rPr>
        <w:t>30 og</w:t>
      </w:r>
      <w:r w:rsidRPr="00D61595">
        <w:rPr>
          <w:rStyle w:val="FontStyle53"/>
          <w:sz w:val="24"/>
          <w:szCs w:val="24"/>
          <w:lang w:val="da-DK" w:eastAsia="es-ES_tradnl"/>
        </w:rPr>
        <w:t xml:space="preserve"> 100</w:t>
      </w:r>
      <w:r w:rsidRPr="00D61595">
        <w:rPr>
          <w:rStyle w:val="FontStyle53"/>
          <w:sz w:val="24"/>
          <w:szCs w:val="24"/>
        </w:rPr>
        <w:t xml:space="preserve"> stk.</w:t>
      </w:r>
    </w:p>
    <w:p w:rsidR="00D61595" w:rsidRPr="00D61595" w:rsidRDefault="00D61595" w:rsidP="00D61595">
      <w:pPr>
        <w:pStyle w:val="Style7"/>
        <w:widowControl/>
        <w:spacing w:line="240" w:lineRule="auto"/>
        <w:ind w:left="851" w:right="23"/>
        <w:rPr>
          <w:rStyle w:val="FontStyle53"/>
          <w:sz w:val="24"/>
          <w:szCs w:val="24"/>
        </w:rPr>
      </w:pPr>
    </w:p>
    <w:p w:rsidR="00D61595" w:rsidRDefault="00D61595" w:rsidP="00D61595">
      <w:pPr>
        <w:pStyle w:val="Brdtekst"/>
        <w:spacing w:before="6" w:line="489" w:lineRule="auto"/>
        <w:ind w:left="857" w:right="2505"/>
        <w:rPr>
          <w:sz w:val="24"/>
          <w:szCs w:val="24"/>
          <w:lang w:val="da-DK"/>
        </w:rPr>
      </w:pPr>
      <w:r>
        <w:rPr>
          <w:sz w:val="24"/>
          <w:szCs w:val="24"/>
          <w:lang w:val="da-DK"/>
        </w:rPr>
        <w:t>Ikke alle pakningsstørrelser er nødvendigvis markedsført.</w:t>
      </w:r>
    </w:p>
    <w:p w:rsidR="00D61595" w:rsidRDefault="00D61595" w:rsidP="00D61595">
      <w:pPr>
        <w:tabs>
          <w:tab w:val="left" w:pos="851"/>
        </w:tabs>
        <w:ind w:left="851" w:hanging="851"/>
        <w:rPr>
          <w:b/>
          <w:sz w:val="24"/>
          <w:szCs w:val="24"/>
        </w:rPr>
      </w:pPr>
      <w:r>
        <w:rPr>
          <w:b/>
          <w:sz w:val="24"/>
          <w:szCs w:val="24"/>
        </w:rPr>
        <w:t>6.6</w:t>
      </w:r>
      <w:r>
        <w:rPr>
          <w:b/>
          <w:sz w:val="24"/>
          <w:szCs w:val="24"/>
        </w:rPr>
        <w:tab/>
        <w:t>Regler for bortskaffelse og anden håndtering</w:t>
      </w:r>
    </w:p>
    <w:p w:rsidR="00D61595" w:rsidRPr="00D61595" w:rsidRDefault="00D61595" w:rsidP="00D61595">
      <w:pPr>
        <w:pStyle w:val="Default"/>
        <w:ind w:left="851"/>
        <w:rPr>
          <w:lang w:val="da-DK"/>
        </w:rPr>
      </w:pPr>
      <w:r w:rsidRPr="00D61595">
        <w:rPr>
          <w:lang w:val="da-DK"/>
        </w:rPr>
        <w:t xml:space="preserve">Ikke anvendt lægemiddel samt affald heraf skal bortskaffes i henhold til lokale retningslinjer. </w:t>
      </w:r>
    </w:p>
    <w:p w:rsidR="00D61595" w:rsidRPr="00D61595" w:rsidRDefault="00D61595" w:rsidP="00D61595">
      <w:pPr>
        <w:pStyle w:val="Default"/>
        <w:ind w:left="851"/>
        <w:rPr>
          <w:lang w:val="da-DK"/>
        </w:rPr>
      </w:pPr>
    </w:p>
    <w:p w:rsidR="00D61595" w:rsidRPr="00D61595" w:rsidRDefault="00D61595" w:rsidP="00D61595">
      <w:pPr>
        <w:pStyle w:val="Default"/>
        <w:ind w:left="851"/>
        <w:rPr>
          <w:u w:val="single"/>
          <w:lang w:val="da-DK"/>
        </w:rPr>
      </w:pPr>
      <w:r w:rsidRPr="00D61595">
        <w:rPr>
          <w:u w:val="single"/>
          <w:lang w:val="da-DK"/>
        </w:rPr>
        <w:t>Knusning af tabletter</w:t>
      </w:r>
    </w:p>
    <w:p w:rsidR="00D61595" w:rsidRPr="00D61595" w:rsidRDefault="00D61595" w:rsidP="00D61595">
      <w:pPr>
        <w:tabs>
          <w:tab w:val="left" w:pos="851"/>
        </w:tabs>
        <w:ind w:left="851"/>
        <w:jc w:val="both"/>
        <w:rPr>
          <w:sz w:val="24"/>
          <w:szCs w:val="24"/>
        </w:rPr>
      </w:pPr>
      <w:r w:rsidRPr="00D61595">
        <w:rPr>
          <w:sz w:val="24"/>
          <w:szCs w:val="24"/>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skal administration af rivaroxaban distalt for mavesækken undgås, da det kan føre til en nedsat absorption og dermed en nedsat eksponering for det aktive stof. Enteral ernæring er ikke påkrævet med det samme efter administration af tabletterne med 10 mg.</w:t>
      </w:r>
    </w:p>
    <w:p w:rsidR="00D61595" w:rsidRDefault="00D61595" w:rsidP="00D61595">
      <w:pPr>
        <w:rPr>
          <w:sz w:val="24"/>
          <w:szCs w:val="24"/>
        </w:rPr>
      </w:pPr>
    </w:p>
    <w:p w:rsidR="00D61595" w:rsidRDefault="00D61595" w:rsidP="00D61595">
      <w:pPr>
        <w:tabs>
          <w:tab w:val="left" w:pos="851"/>
        </w:tabs>
        <w:ind w:left="851" w:hanging="851"/>
        <w:rPr>
          <w:b/>
          <w:sz w:val="24"/>
          <w:szCs w:val="24"/>
        </w:rPr>
      </w:pPr>
      <w:r>
        <w:rPr>
          <w:b/>
          <w:sz w:val="24"/>
          <w:szCs w:val="24"/>
        </w:rPr>
        <w:t>7.</w:t>
      </w:r>
      <w:r>
        <w:rPr>
          <w:b/>
          <w:sz w:val="24"/>
          <w:szCs w:val="24"/>
        </w:rPr>
        <w:tab/>
        <w:t>INDEHAVER AF MARKEDSFØRINGSTILLADELSEN</w:t>
      </w:r>
    </w:p>
    <w:p w:rsidR="00D61595" w:rsidRDefault="00D61595" w:rsidP="00D61595">
      <w:pPr>
        <w:tabs>
          <w:tab w:val="left" w:pos="851"/>
        </w:tabs>
        <w:ind w:left="851"/>
        <w:rPr>
          <w:sz w:val="24"/>
          <w:szCs w:val="24"/>
        </w:rPr>
      </w:pPr>
      <w:r>
        <w:rPr>
          <w:sz w:val="24"/>
          <w:szCs w:val="24"/>
        </w:rPr>
        <w:t>Towa Pharmaceutical Europe S.L.</w:t>
      </w:r>
    </w:p>
    <w:p w:rsidR="00D61595" w:rsidRPr="00D61595" w:rsidRDefault="00D61595" w:rsidP="00D61595">
      <w:pPr>
        <w:tabs>
          <w:tab w:val="left" w:pos="851"/>
        </w:tabs>
        <w:ind w:left="851"/>
        <w:rPr>
          <w:sz w:val="24"/>
          <w:szCs w:val="24"/>
          <w:lang w:val="sv-SE"/>
        </w:rPr>
      </w:pPr>
      <w:r w:rsidRPr="00D61595">
        <w:rPr>
          <w:sz w:val="24"/>
          <w:szCs w:val="24"/>
          <w:lang w:val="sv-SE"/>
        </w:rPr>
        <w:t xml:space="preserve">C/ Sant Martí </w:t>
      </w:r>
      <w:proofErr w:type="gramStart"/>
      <w:r w:rsidRPr="00D61595">
        <w:rPr>
          <w:sz w:val="24"/>
          <w:szCs w:val="24"/>
          <w:lang w:val="sv-SE"/>
        </w:rPr>
        <w:t>75-79</w:t>
      </w:r>
      <w:proofErr w:type="gramEnd"/>
    </w:p>
    <w:p w:rsidR="00D61595" w:rsidRPr="00D61595" w:rsidRDefault="00D61595" w:rsidP="00D61595">
      <w:pPr>
        <w:tabs>
          <w:tab w:val="left" w:pos="851"/>
        </w:tabs>
        <w:ind w:left="851"/>
        <w:rPr>
          <w:sz w:val="24"/>
          <w:szCs w:val="24"/>
          <w:lang w:val="sv-SE"/>
        </w:rPr>
      </w:pPr>
      <w:r w:rsidRPr="00D61595">
        <w:rPr>
          <w:sz w:val="24"/>
          <w:szCs w:val="24"/>
          <w:lang w:val="sv-SE"/>
        </w:rPr>
        <w:t>08107 Martorelles (Barcelona)</w:t>
      </w:r>
    </w:p>
    <w:p w:rsidR="00D61595" w:rsidRPr="00D61595" w:rsidRDefault="00D61595" w:rsidP="00D61595">
      <w:pPr>
        <w:tabs>
          <w:tab w:val="left" w:pos="851"/>
        </w:tabs>
        <w:ind w:left="851"/>
        <w:rPr>
          <w:sz w:val="24"/>
          <w:szCs w:val="24"/>
          <w:lang w:val="sv-SE"/>
        </w:rPr>
      </w:pPr>
      <w:r w:rsidRPr="00D61595">
        <w:rPr>
          <w:sz w:val="24"/>
          <w:szCs w:val="24"/>
          <w:lang w:val="sv-SE"/>
        </w:rPr>
        <w:t>Spanien</w:t>
      </w:r>
    </w:p>
    <w:p w:rsidR="00D61595" w:rsidRPr="00D61595" w:rsidRDefault="00D61595" w:rsidP="00D61595">
      <w:pPr>
        <w:tabs>
          <w:tab w:val="left" w:pos="851"/>
        </w:tabs>
        <w:ind w:left="851"/>
        <w:rPr>
          <w:sz w:val="24"/>
          <w:szCs w:val="24"/>
          <w:lang w:val="sv-SE"/>
        </w:rPr>
      </w:pPr>
    </w:p>
    <w:p w:rsidR="00D61595" w:rsidRDefault="00D61595" w:rsidP="00D61595">
      <w:pPr>
        <w:tabs>
          <w:tab w:val="left" w:pos="851"/>
        </w:tabs>
        <w:ind w:left="851" w:hanging="851"/>
        <w:rPr>
          <w:b/>
          <w:sz w:val="24"/>
          <w:szCs w:val="24"/>
        </w:rPr>
      </w:pPr>
      <w:r>
        <w:rPr>
          <w:b/>
          <w:sz w:val="24"/>
          <w:szCs w:val="24"/>
        </w:rPr>
        <w:t>8.</w:t>
      </w:r>
      <w:r>
        <w:rPr>
          <w:b/>
          <w:sz w:val="24"/>
          <w:szCs w:val="24"/>
        </w:rPr>
        <w:tab/>
        <w:t>MARKEDSFØRINGSTILLADELSESNUMMER (-NUMRE)</w:t>
      </w:r>
    </w:p>
    <w:p w:rsidR="00D61595" w:rsidRDefault="00D61595" w:rsidP="00D61595">
      <w:pPr>
        <w:tabs>
          <w:tab w:val="left" w:pos="851"/>
        </w:tabs>
        <w:ind w:left="851"/>
        <w:rPr>
          <w:sz w:val="24"/>
          <w:szCs w:val="24"/>
        </w:rPr>
      </w:pPr>
      <w:r>
        <w:rPr>
          <w:sz w:val="24"/>
          <w:szCs w:val="24"/>
        </w:rPr>
        <w:t>58579</w:t>
      </w:r>
    </w:p>
    <w:p w:rsidR="00D61595" w:rsidRDefault="00D61595" w:rsidP="00D61595">
      <w:pPr>
        <w:tabs>
          <w:tab w:val="left" w:pos="851"/>
        </w:tabs>
        <w:ind w:left="851"/>
        <w:jc w:val="both"/>
        <w:rPr>
          <w:sz w:val="24"/>
          <w:szCs w:val="24"/>
        </w:rPr>
      </w:pPr>
    </w:p>
    <w:p w:rsidR="00D61595" w:rsidRDefault="00D61595" w:rsidP="00D61595">
      <w:pPr>
        <w:tabs>
          <w:tab w:val="left" w:pos="851"/>
        </w:tabs>
        <w:ind w:left="851" w:hanging="851"/>
        <w:rPr>
          <w:b/>
          <w:sz w:val="24"/>
          <w:szCs w:val="24"/>
        </w:rPr>
      </w:pPr>
      <w:r>
        <w:rPr>
          <w:b/>
          <w:sz w:val="24"/>
          <w:szCs w:val="24"/>
        </w:rPr>
        <w:t>9.</w:t>
      </w:r>
      <w:r>
        <w:rPr>
          <w:b/>
          <w:sz w:val="24"/>
          <w:szCs w:val="24"/>
        </w:rPr>
        <w:tab/>
        <w:t>DATO FOR FØRSTE MARKEDSFØRINGSTILLADELSE</w:t>
      </w:r>
    </w:p>
    <w:p w:rsidR="00D61595" w:rsidRDefault="00D61595" w:rsidP="00D61595">
      <w:pPr>
        <w:tabs>
          <w:tab w:val="left" w:pos="851"/>
        </w:tabs>
        <w:ind w:left="851"/>
        <w:rPr>
          <w:sz w:val="24"/>
          <w:szCs w:val="24"/>
        </w:rPr>
      </w:pPr>
      <w:r>
        <w:rPr>
          <w:sz w:val="24"/>
          <w:szCs w:val="24"/>
        </w:rPr>
        <w:t>22. februar 2018</w:t>
      </w:r>
    </w:p>
    <w:p w:rsidR="00DE361C" w:rsidRPr="00C84483" w:rsidRDefault="00DE361C" w:rsidP="00DE361C">
      <w:pPr>
        <w:tabs>
          <w:tab w:val="left" w:pos="851"/>
        </w:tabs>
        <w:ind w:left="851"/>
        <w:rPr>
          <w:sz w:val="24"/>
          <w:szCs w:val="24"/>
        </w:rPr>
      </w:pPr>
    </w:p>
    <w:p w:rsidR="00DE361C" w:rsidRPr="00C84483" w:rsidRDefault="00DE361C" w:rsidP="00DE361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DE361C" w:rsidRPr="00C84483" w:rsidRDefault="009D02EE" w:rsidP="00DE361C">
      <w:pPr>
        <w:tabs>
          <w:tab w:val="left" w:pos="851"/>
        </w:tabs>
        <w:ind w:left="851"/>
        <w:rPr>
          <w:sz w:val="24"/>
          <w:szCs w:val="24"/>
        </w:rPr>
      </w:pPr>
      <w:r>
        <w:rPr>
          <w:sz w:val="24"/>
          <w:szCs w:val="24"/>
        </w:rPr>
        <w:t>4. februar 2025</w:t>
      </w:r>
    </w:p>
    <w:p w:rsidR="0003527F" w:rsidRPr="00DE361C" w:rsidRDefault="0003527F" w:rsidP="00DE361C"/>
    <w:sectPr w:rsidR="0003527F" w:rsidRPr="00DE361C"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CB9" w:rsidRDefault="006D5CB9">
      <w:r>
        <w:separator/>
      </w:r>
    </w:p>
  </w:endnote>
  <w:endnote w:type="continuationSeparator" w:id="0">
    <w:p w:rsidR="006D5CB9" w:rsidRDefault="006D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B9" w:rsidRDefault="006D5CB9">
    <w:pPr>
      <w:pStyle w:val="Sidefod"/>
      <w:pBdr>
        <w:bottom w:val="single" w:sz="6" w:space="1" w:color="auto"/>
      </w:pBdr>
      <w:tabs>
        <w:tab w:val="clear" w:pos="4819"/>
        <w:tab w:val="left" w:pos="8647"/>
      </w:tabs>
      <w:rPr>
        <w:i/>
        <w:snapToGrid w:val="0"/>
        <w:sz w:val="18"/>
      </w:rPr>
    </w:pPr>
  </w:p>
  <w:p w:rsidR="006D5CB9" w:rsidRDefault="006D5CB9">
    <w:pPr>
      <w:pStyle w:val="Sidefod"/>
      <w:tabs>
        <w:tab w:val="clear" w:pos="4819"/>
        <w:tab w:val="left" w:pos="8647"/>
      </w:tabs>
      <w:rPr>
        <w:i/>
        <w:snapToGrid w:val="0"/>
        <w:sz w:val="18"/>
      </w:rPr>
    </w:pPr>
  </w:p>
  <w:p w:rsidR="006D5CB9" w:rsidRDefault="00032538">
    <w:pPr>
      <w:pStyle w:val="Sidefod"/>
      <w:tabs>
        <w:tab w:val="clear" w:pos="4819"/>
        <w:tab w:val="left" w:pos="8647"/>
      </w:tabs>
      <w:rPr>
        <w:i/>
        <w:sz w:val="18"/>
      </w:rPr>
    </w:pPr>
    <w:r w:rsidRPr="00032538">
      <w:rPr>
        <w:i/>
        <w:snapToGrid w:val="0"/>
        <w:sz w:val="18"/>
      </w:rPr>
      <w:t>Rivadia, filmovertrukne tabletter 10 mg</w:t>
    </w:r>
    <w:r w:rsidR="006D5CB9">
      <w:rPr>
        <w:i/>
        <w:snapToGrid w:val="0"/>
        <w:sz w:val="18"/>
      </w:rPr>
      <w:tab/>
      <w:t xml:space="preserve">Side </w:t>
    </w:r>
    <w:r w:rsidR="006D5CB9">
      <w:rPr>
        <w:i/>
        <w:snapToGrid w:val="0"/>
        <w:sz w:val="18"/>
      </w:rPr>
      <w:fldChar w:fldCharType="begin"/>
    </w:r>
    <w:r w:rsidR="006D5CB9">
      <w:rPr>
        <w:i/>
        <w:snapToGrid w:val="0"/>
        <w:sz w:val="18"/>
      </w:rPr>
      <w:instrText xml:space="preserve"> PAGE </w:instrText>
    </w:r>
    <w:r w:rsidR="006D5CB9">
      <w:rPr>
        <w:i/>
        <w:snapToGrid w:val="0"/>
        <w:sz w:val="18"/>
      </w:rPr>
      <w:fldChar w:fldCharType="separate"/>
    </w:r>
    <w:r w:rsidR="006D5CB9">
      <w:rPr>
        <w:i/>
        <w:noProof/>
        <w:snapToGrid w:val="0"/>
        <w:sz w:val="18"/>
      </w:rPr>
      <w:t>3</w:t>
    </w:r>
    <w:r w:rsidR="006D5CB9">
      <w:rPr>
        <w:i/>
        <w:snapToGrid w:val="0"/>
        <w:sz w:val="18"/>
      </w:rPr>
      <w:fldChar w:fldCharType="end"/>
    </w:r>
    <w:r w:rsidR="006D5CB9">
      <w:rPr>
        <w:i/>
        <w:snapToGrid w:val="0"/>
        <w:sz w:val="18"/>
      </w:rPr>
      <w:t xml:space="preserve"> af </w:t>
    </w:r>
    <w:r w:rsidR="006D5CB9">
      <w:rPr>
        <w:i/>
        <w:snapToGrid w:val="0"/>
        <w:sz w:val="18"/>
      </w:rPr>
      <w:fldChar w:fldCharType="begin"/>
    </w:r>
    <w:r w:rsidR="006D5CB9">
      <w:rPr>
        <w:i/>
        <w:snapToGrid w:val="0"/>
        <w:sz w:val="18"/>
      </w:rPr>
      <w:instrText xml:space="preserve"> NUMPAGES </w:instrText>
    </w:r>
    <w:r w:rsidR="006D5CB9">
      <w:rPr>
        <w:i/>
        <w:snapToGrid w:val="0"/>
        <w:sz w:val="18"/>
      </w:rPr>
      <w:fldChar w:fldCharType="separate"/>
    </w:r>
    <w:r w:rsidR="006D5CB9">
      <w:rPr>
        <w:i/>
        <w:noProof/>
        <w:snapToGrid w:val="0"/>
        <w:sz w:val="18"/>
      </w:rPr>
      <w:t>3</w:t>
    </w:r>
    <w:r w:rsidR="006D5CB9">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B9" w:rsidRDefault="006D5CB9">
    <w:pPr>
      <w:pStyle w:val="Sidefod"/>
      <w:pBdr>
        <w:bottom w:val="single" w:sz="6" w:space="1" w:color="auto"/>
      </w:pBdr>
      <w:tabs>
        <w:tab w:val="clear" w:pos="4819"/>
        <w:tab w:val="left" w:pos="8647"/>
      </w:tabs>
      <w:rPr>
        <w:i/>
        <w:snapToGrid w:val="0"/>
        <w:sz w:val="18"/>
      </w:rPr>
    </w:pPr>
  </w:p>
  <w:p w:rsidR="006D5CB9" w:rsidRDefault="006D5CB9">
    <w:pPr>
      <w:pStyle w:val="Sidefod"/>
      <w:tabs>
        <w:tab w:val="clear" w:pos="4819"/>
        <w:tab w:val="left" w:pos="8647"/>
      </w:tabs>
      <w:rPr>
        <w:i/>
        <w:snapToGrid w:val="0"/>
        <w:sz w:val="18"/>
      </w:rPr>
    </w:pPr>
  </w:p>
  <w:p w:rsidR="006D5CB9" w:rsidRDefault="006D5CB9">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Dokument11</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CB9" w:rsidRDefault="006D5CB9">
      <w:r>
        <w:separator/>
      </w:r>
    </w:p>
  </w:footnote>
  <w:footnote w:type="continuationSeparator" w:id="0">
    <w:p w:rsidR="006D5CB9" w:rsidRDefault="006D5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B9" w:rsidRDefault="006D5CB9">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CB9" w:rsidRDefault="006D5CB9">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7CA2"/>
    <w:multiLevelType w:val="hybridMultilevel"/>
    <w:tmpl w:val="3A24DC12"/>
    <w:lvl w:ilvl="0" w:tplc="379CDB9C">
      <w:start w:val="1"/>
      <w:numFmt w:val="lowerLetter"/>
      <w:lvlText w:val="%1)"/>
      <w:lvlJc w:val="left"/>
      <w:pPr>
        <w:ind w:left="1314" w:hanging="687"/>
      </w:pPr>
      <w:rPr>
        <w:rFonts w:ascii="Times New Roman" w:eastAsia="Times New Roman" w:hAnsi="Times New Roman" w:cs="Times New Roman" w:hint="default"/>
        <w:spacing w:val="-1"/>
        <w:w w:val="99"/>
        <w:sz w:val="22"/>
        <w:szCs w:val="22"/>
      </w:rPr>
    </w:lvl>
    <w:lvl w:ilvl="1" w:tplc="A5CAADCA">
      <w:numFmt w:val="bullet"/>
      <w:lvlText w:val="•"/>
      <w:lvlJc w:val="left"/>
      <w:pPr>
        <w:ind w:left="2206" w:hanging="687"/>
      </w:pPr>
    </w:lvl>
    <w:lvl w:ilvl="2" w:tplc="A9A4833E">
      <w:numFmt w:val="bullet"/>
      <w:lvlText w:val="•"/>
      <w:lvlJc w:val="left"/>
      <w:pPr>
        <w:ind w:left="3093" w:hanging="687"/>
      </w:pPr>
    </w:lvl>
    <w:lvl w:ilvl="3" w:tplc="63504F84">
      <w:numFmt w:val="bullet"/>
      <w:lvlText w:val="•"/>
      <w:lvlJc w:val="left"/>
      <w:pPr>
        <w:ind w:left="3980" w:hanging="687"/>
      </w:pPr>
    </w:lvl>
    <w:lvl w:ilvl="4" w:tplc="E7227F78">
      <w:numFmt w:val="bullet"/>
      <w:lvlText w:val="•"/>
      <w:lvlJc w:val="left"/>
      <w:pPr>
        <w:ind w:left="4867" w:hanging="687"/>
      </w:pPr>
    </w:lvl>
    <w:lvl w:ilvl="5" w:tplc="93D84DD8">
      <w:numFmt w:val="bullet"/>
      <w:lvlText w:val="•"/>
      <w:lvlJc w:val="left"/>
      <w:pPr>
        <w:ind w:left="5753" w:hanging="687"/>
      </w:pPr>
    </w:lvl>
    <w:lvl w:ilvl="6" w:tplc="F0AC9074">
      <w:numFmt w:val="bullet"/>
      <w:lvlText w:val="•"/>
      <w:lvlJc w:val="left"/>
      <w:pPr>
        <w:ind w:left="6640" w:hanging="687"/>
      </w:pPr>
    </w:lvl>
    <w:lvl w:ilvl="7" w:tplc="177AEEB8">
      <w:numFmt w:val="bullet"/>
      <w:lvlText w:val="•"/>
      <w:lvlJc w:val="left"/>
      <w:pPr>
        <w:ind w:left="7527" w:hanging="687"/>
      </w:pPr>
    </w:lvl>
    <w:lvl w:ilvl="8" w:tplc="C66CA9CA">
      <w:numFmt w:val="bullet"/>
      <w:lvlText w:val="•"/>
      <w:lvlJc w:val="left"/>
      <w:pPr>
        <w:ind w:left="8414" w:hanging="687"/>
      </w:pPr>
    </w:lvl>
  </w:abstractNum>
  <w:abstractNum w:abstractNumId="1" w15:restartNumberingAfterBreak="0">
    <w:nsid w:val="12BA1829"/>
    <w:multiLevelType w:val="hybridMultilevel"/>
    <w:tmpl w:val="0FD492B0"/>
    <w:lvl w:ilvl="0" w:tplc="1974DA0C">
      <w:numFmt w:val="bullet"/>
      <w:lvlText w:val="-"/>
      <w:lvlJc w:val="left"/>
      <w:pPr>
        <w:ind w:left="1571" w:hanging="360"/>
      </w:pPr>
      <w:rPr>
        <w:w w:val="100"/>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hint="default"/>
      </w:rPr>
    </w:lvl>
    <w:lvl w:ilvl="3" w:tplc="0C0A0001">
      <w:start w:val="1"/>
      <w:numFmt w:val="bullet"/>
      <w:lvlText w:val=""/>
      <w:lvlJc w:val="left"/>
      <w:pPr>
        <w:ind w:left="3731" w:hanging="360"/>
      </w:pPr>
      <w:rPr>
        <w:rFonts w:ascii="Symbol" w:hAnsi="Symbol" w:hint="default"/>
      </w:rPr>
    </w:lvl>
    <w:lvl w:ilvl="4" w:tplc="0C0A0003">
      <w:start w:val="1"/>
      <w:numFmt w:val="bullet"/>
      <w:lvlText w:val="o"/>
      <w:lvlJc w:val="left"/>
      <w:pPr>
        <w:ind w:left="4451" w:hanging="360"/>
      </w:pPr>
      <w:rPr>
        <w:rFonts w:ascii="Courier New" w:hAnsi="Courier New" w:cs="Courier New" w:hint="default"/>
      </w:rPr>
    </w:lvl>
    <w:lvl w:ilvl="5" w:tplc="0C0A0005">
      <w:start w:val="1"/>
      <w:numFmt w:val="bullet"/>
      <w:lvlText w:val=""/>
      <w:lvlJc w:val="left"/>
      <w:pPr>
        <w:ind w:left="5171" w:hanging="360"/>
      </w:pPr>
      <w:rPr>
        <w:rFonts w:ascii="Wingdings" w:hAnsi="Wingdings" w:hint="default"/>
      </w:rPr>
    </w:lvl>
    <w:lvl w:ilvl="6" w:tplc="0C0A0001">
      <w:start w:val="1"/>
      <w:numFmt w:val="bullet"/>
      <w:lvlText w:val=""/>
      <w:lvlJc w:val="left"/>
      <w:pPr>
        <w:ind w:left="5891" w:hanging="360"/>
      </w:pPr>
      <w:rPr>
        <w:rFonts w:ascii="Symbol" w:hAnsi="Symbol" w:hint="default"/>
      </w:rPr>
    </w:lvl>
    <w:lvl w:ilvl="7" w:tplc="0C0A0003">
      <w:start w:val="1"/>
      <w:numFmt w:val="bullet"/>
      <w:lvlText w:val="o"/>
      <w:lvlJc w:val="left"/>
      <w:pPr>
        <w:ind w:left="6611" w:hanging="360"/>
      </w:pPr>
      <w:rPr>
        <w:rFonts w:ascii="Courier New" w:hAnsi="Courier New" w:cs="Courier New" w:hint="default"/>
      </w:rPr>
    </w:lvl>
    <w:lvl w:ilvl="8" w:tplc="0C0A0005">
      <w:start w:val="1"/>
      <w:numFmt w:val="bullet"/>
      <w:lvlText w:val=""/>
      <w:lvlJc w:val="left"/>
      <w:pPr>
        <w:ind w:left="7331" w:hanging="360"/>
      </w:pPr>
      <w:rPr>
        <w:rFonts w:ascii="Wingdings" w:hAnsi="Wingdings" w:hint="default"/>
      </w:rPr>
    </w:lvl>
  </w:abstractNum>
  <w:abstractNum w:abstractNumId="2" w15:restartNumberingAfterBreak="0">
    <w:nsid w:val="355E144A"/>
    <w:multiLevelType w:val="hybridMultilevel"/>
    <w:tmpl w:val="1A848DE6"/>
    <w:lvl w:ilvl="0" w:tplc="F9829D24">
      <w:start w:val="1"/>
      <w:numFmt w:val="lowerLetter"/>
      <w:lvlText w:val="%1)"/>
      <w:lvlJc w:val="left"/>
      <w:pPr>
        <w:ind w:left="1211" w:hanging="360"/>
      </w:pPr>
    </w:lvl>
    <w:lvl w:ilvl="1" w:tplc="0C0A0019">
      <w:start w:val="1"/>
      <w:numFmt w:val="lowerLetter"/>
      <w:lvlText w:val="%2."/>
      <w:lvlJc w:val="left"/>
      <w:pPr>
        <w:ind w:left="1931" w:hanging="360"/>
      </w:pPr>
    </w:lvl>
    <w:lvl w:ilvl="2" w:tplc="0C0A001B">
      <w:start w:val="1"/>
      <w:numFmt w:val="lowerRoman"/>
      <w:lvlText w:val="%3."/>
      <w:lvlJc w:val="right"/>
      <w:pPr>
        <w:ind w:left="2651" w:hanging="180"/>
      </w:pPr>
    </w:lvl>
    <w:lvl w:ilvl="3" w:tplc="0C0A000F">
      <w:start w:val="1"/>
      <w:numFmt w:val="decimal"/>
      <w:lvlText w:val="%4."/>
      <w:lvlJc w:val="left"/>
      <w:pPr>
        <w:ind w:left="3371" w:hanging="360"/>
      </w:pPr>
    </w:lvl>
    <w:lvl w:ilvl="4" w:tplc="0C0A0019">
      <w:start w:val="1"/>
      <w:numFmt w:val="lowerLetter"/>
      <w:lvlText w:val="%5."/>
      <w:lvlJc w:val="left"/>
      <w:pPr>
        <w:ind w:left="4091" w:hanging="360"/>
      </w:pPr>
    </w:lvl>
    <w:lvl w:ilvl="5" w:tplc="0C0A001B">
      <w:start w:val="1"/>
      <w:numFmt w:val="lowerRoman"/>
      <w:lvlText w:val="%6."/>
      <w:lvlJc w:val="right"/>
      <w:pPr>
        <w:ind w:left="4811" w:hanging="180"/>
      </w:pPr>
    </w:lvl>
    <w:lvl w:ilvl="6" w:tplc="0C0A000F">
      <w:start w:val="1"/>
      <w:numFmt w:val="decimal"/>
      <w:lvlText w:val="%7."/>
      <w:lvlJc w:val="left"/>
      <w:pPr>
        <w:ind w:left="5531" w:hanging="360"/>
      </w:pPr>
    </w:lvl>
    <w:lvl w:ilvl="7" w:tplc="0C0A0019">
      <w:start w:val="1"/>
      <w:numFmt w:val="lowerLetter"/>
      <w:lvlText w:val="%8."/>
      <w:lvlJc w:val="left"/>
      <w:pPr>
        <w:ind w:left="6251" w:hanging="360"/>
      </w:pPr>
    </w:lvl>
    <w:lvl w:ilvl="8" w:tplc="0C0A001B">
      <w:start w:val="1"/>
      <w:numFmt w:val="lowerRoman"/>
      <w:lvlText w:val="%9."/>
      <w:lvlJc w:val="right"/>
      <w:pPr>
        <w:ind w:left="6971" w:hanging="180"/>
      </w:p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9EC2E54"/>
    <w:multiLevelType w:val="hybridMultilevel"/>
    <w:tmpl w:val="DC1CC130"/>
    <w:lvl w:ilvl="0" w:tplc="01126766">
      <w:start w:val="65535"/>
      <w:numFmt w:val="bullet"/>
      <w:lvlText w:val="•"/>
      <w:lvlJc w:val="left"/>
      <w:pPr>
        <w:ind w:left="1218" w:hanging="567"/>
      </w:pPr>
      <w:rPr>
        <w:rFonts w:ascii="Times New Roman" w:hAnsi="Times New Roman" w:cs="Times New Roman" w:hint="default"/>
        <w:w w:val="100"/>
        <w:sz w:val="22"/>
        <w:szCs w:val="22"/>
      </w:rPr>
    </w:lvl>
    <w:lvl w:ilvl="1" w:tplc="E67CBDA0">
      <w:numFmt w:val="bullet"/>
      <w:lvlText w:val="•"/>
      <w:lvlJc w:val="left"/>
      <w:pPr>
        <w:ind w:left="2178" w:hanging="567"/>
      </w:pPr>
    </w:lvl>
    <w:lvl w:ilvl="2" w:tplc="2C02D332">
      <w:numFmt w:val="bullet"/>
      <w:lvlText w:val="•"/>
      <w:lvlJc w:val="left"/>
      <w:pPr>
        <w:ind w:left="3137" w:hanging="567"/>
      </w:pPr>
    </w:lvl>
    <w:lvl w:ilvl="3" w:tplc="D398F19C">
      <w:numFmt w:val="bullet"/>
      <w:lvlText w:val="•"/>
      <w:lvlJc w:val="left"/>
      <w:pPr>
        <w:ind w:left="4095" w:hanging="567"/>
      </w:pPr>
    </w:lvl>
    <w:lvl w:ilvl="4" w:tplc="8AE6146A">
      <w:numFmt w:val="bullet"/>
      <w:lvlText w:val="•"/>
      <w:lvlJc w:val="left"/>
      <w:pPr>
        <w:ind w:left="5054" w:hanging="567"/>
      </w:pPr>
    </w:lvl>
    <w:lvl w:ilvl="5" w:tplc="A3D0E764">
      <w:numFmt w:val="bullet"/>
      <w:lvlText w:val="•"/>
      <w:lvlJc w:val="left"/>
      <w:pPr>
        <w:ind w:left="6013" w:hanging="567"/>
      </w:pPr>
    </w:lvl>
    <w:lvl w:ilvl="6" w:tplc="7CFAFACA">
      <w:numFmt w:val="bullet"/>
      <w:lvlText w:val="•"/>
      <w:lvlJc w:val="left"/>
      <w:pPr>
        <w:ind w:left="6971" w:hanging="567"/>
      </w:pPr>
    </w:lvl>
    <w:lvl w:ilvl="7" w:tplc="A0986094">
      <w:numFmt w:val="bullet"/>
      <w:lvlText w:val="•"/>
      <w:lvlJc w:val="left"/>
      <w:pPr>
        <w:ind w:left="7930" w:hanging="567"/>
      </w:pPr>
    </w:lvl>
    <w:lvl w:ilvl="8" w:tplc="70DE8B2A">
      <w:numFmt w:val="bullet"/>
      <w:lvlText w:val="•"/>
      <w:lvlJc w:val="left"/>
      <w:pPr>
        <w:ind w:left="8889" w:hanging="567"/>
      </w:p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A57613A"/>
    <w:multiLevelType w:val="hybridMultilevel"/>
    <w:tmpl w:val="BB3679EC"/>
    <w:lvl w:ilvl="0" w:tplc="CC2A1818">
      <w:start w:val="1"/>
      <w:numFmt w:val="lowerLetter"/>
      <w:lvlText w:val="%1)"/>
      <w:lvlJc w:val="left"/>
      <w:pPr>
        <w:ind w:left="1211" w:hanging="360"/>
      </w:pPr>
    </w:lvl>
    <w:lvl w:ilvl="1" w:tplc="0C0A0019">
      <w:start w:val="1"/>
      <w:numFmt w:val="lowerLetter"/>
      <w:lvlText w:val="%2."/>
      <w:lvlJc w:val="left"/>
      <w:pPr>
        <w:ind w:left="1931" w:hanging="360"/>
      </w:pPr>
    </w:lvl>
    <w:lvl w:ilvl="2" w:tplc="0C0A001B">
      <w:start w:val="1"/>
      <w:numFmt w:val="lowerRoman"/>
      <w:lvlText w:val="%3."/>
      <w:lvlJc w:val="right"/>
      <w:pPr>
        <w:ind w:left="2651" w:hanging="180"/>
      </w:pPr>
    </w:lvl>
    <w:lvl w:ilvl="3" w:tplc="0C0A000F">
      <w:start w:val="1"/>
      <w:numFmt w:val="decimal"/>
      <w:lvlText w:val="%4."/>
      <w:lvlJc w:val="left"/>
      <w:pPr>
        <w:ind w:left="3371" w:hanging="360"/>
      </w:pPr>
    </w:lvl>
    <w:lvl w:ilvl="4" w:tplc="0C0A0019">
      <w:start w:val="1"/>
      <w:numFmt w:val="lowerLetter"/>
      <w:lvlText w:val="%5."/>
      <w:lvlJc w:val="left"/>
      <w:pPr>
        <w:ind w:left="4091" w:hanging="360"/>
      </w:pPr>
    </w:lvl>
    <w:lvl w:ilvl="5" w:tplc="0C0A001B">
      <w:start w:val="1"/>
      <w:numFmt w:val="lowerRoman"/>
      <w:lvlText w:val="%6."/>
      <w:lvlJc w:val="right"/>
      <w:pPr>
        <w:ind w:left="4811" w:hanging="180"/>
      </w:pPr>
    </w:lvl>
    <w:lvl w:ilvl="6" w:tplc="0C0A000F">
      <w:start w:val="1"/>
      <w:numFmt w:val="decimal"/>
      <w:lvlText w:val="%7."/>
      <w:lvlJc w:val="left"/>
      <w:pPr>
        <w:ind w:left="5531" w:hanging="360"/>
      </w:pPr>
    </w:lvl>
    <w:lvl w:ilvl="7" w:tplc="0C0A0019">
      <w:start w:val="1"/>
      <w:numFmt w:val="lowerLetter"/>
      <w:lvlText w:val="%8."/>
      <w:lvlJc w:val="left"/>
      <w:pPr>
        <w:ind w:left="6251" w:hanging="360"/>
      </w:pPr>
    </w:lvl>
    <w:lvl w:ilvl="8" w:tplc="0C0A001B">
      <w:start w:val="1"/>
      <w:numFmt w:val="lowerRoman"/>
      <w:lvlText w:val="%9."/>
      <w:lvlJc w:val="right"/>
      <w:pPr>
        <w:ind w:left="6971" w:hanging="180"/>
      </w:pPr>
    </w:lvl>
  </w:abstractNum>
  <w:num w:numId="1">
    <w:abstractNumId w:val="6"/>
  </w:num>
  <w:num w:numId="2">
    <w:abstractNumId w:val="3"/>
  </w:num>
  <w:num w:numId="3">
    <w:abstractNumId w:val="5"/>
  </w:num>
  <w:num w:numId="4">
    <w:abstractNumId w:val="4"/>
  </w:num>
  <w:num w:numId="5">
    <w:abstractNumId w:val="4"/>
  </w:num>
  <w:num w:numId="6">
    <w:abstractNumId w:val="1"/>
  </w:num>
  <w:num w:numId="7">
    <w:abstractNumId w:val="1"/>
  </w:num>
  <w:num w:numId="8">
    <w:abstractNumId w:val="0"/>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1C"/>
    <w:rsid w:val="00031F27"/>
    <w:rsid w:val="00032538"/>
    <w:rsid w:val="0003527F"/>
    <w:rsid w:val="000607B8"/>
    <w:rsid w:val="00065C7D"/>
    <w:rsid w:val="00083C60"/>
    <w:rsid w:val="00090F32"/>
    <w:rsid w:val="000C6CD4"/>
    <w:rsid w:val="001458BB"/>
    <w:rsid w:val="00145ECF"/>
    <w:rsid w:val="001577E4"/>
    <w:rsid w:val="001858CA"/>
    <w:rsid w:val="001A7631"/>
    <w:rsid w:val="001C4AEF"/>
    <w:rsid w:val="001D3CC5"/>
    <w:rsid w:val="001D71DC"/>
    <w:rsid w:val="0023582A"/>
    <w:rsid w:val="00255A0B"/>
    <w:rsid w:val="002D22D8"/>
    <w:rsid w:val="00322BDE"/>
    <w:rsid w:val="00331A74"/>
    <w:rsid w:val="003718A9"/>
    <w:rsid w:val="003F0FBB"/>
    <w:rsid w:val="003F4F73"/>
    <w:rsid w:val="00404760"/>
    <w:rsid w:val="00406EE7"/>
    <w:rsid w:val="00407013"/>
    <w:rsid w:val="00454C52"/>
    <w:rsid w:val="00472DBB"/>
    <w:rsid w:val="004A62CC"/>
    <w:rsid w:val="004E537C"/>
    <w:rsid w:val="004F3E1A"/>
    <w:rsid w:val="004F5D17"/>
    <w:rsid w:val="004F74AA"/>
    <w:rsid w:val="0054382B"/>
    <w:rsid w:val="00565A74"/>
    <w:rsid w:val="00570CA6"/>
    <w:rsid w:val="005B0036"/>
    <w:rsid w:val="005F5831"/>
    <w:rsid w:val="006545E4"/>
    <w:rsid w:val="00662012"/>
    <w:rsid w:val="00666B01"/>
    <w:rsid w:val="006B1539"/>
    <w:rsid w:val="006B669C"/>
    <w:rsid w:val="006D5CB9"/>
    <w:rsid w:val="006F5621"/>
    <w:rsid w:val="0072489B"/>
    <w:rsid w:val="00774B72"/>
    <w:rsid w:val="00785822"/>
    <w:rsid w:val="007B17FB"/>
    <w:rsid w:val="007E2A00"/>
    <w:rsid w:val="008010F2"/>
    <w:rsid w:val="0088674B"/>
    <w:rsid w:val="008C575A"/>
    <w:rsid w:val="008F6A14"/>
    <w:rsid w:val="009202AE"/>
    <w:rsid w:val="00955198"/>
    <w:rsid w:val="00991594"/>
    <w:rsid w:val="009B29BC"/>
    <w:rsid w:val="009D02EE"/>
    <w:rsid w:val="009D66C6"/>
    <w:rsid w:val="00A075E0"/>
    <w:rsid w:val="00A33254"/>
    <w:rsid w:val="00A33BC7"/>
    <w:rsid w:val="00A96525"/>
    <w:rsid w:val="00AB5B72"/>
    <w:rsid w:val="00AE29E5"/>
    <w:rsid w:val="00AE5757"/>
    <w:rsid w:val="00B25EB8"/>
    <w:rsid w:val="00B83183"/>
    <w:rsid w:val="00BB1239"/>
    <w:rsid w:val="00BC634B"/>
    <w:rsid w:val="00BC7A0B"/>
    <w:rsid w:val="00BF2AE0"/>
    <w:rsid w:val="00C4149B"/>
    <w:rsid w:val="00C41819"/>
    <w:rsid w:val="00C479BF"/>
    <w:rsid w:val="00C84C5B"/>
    <w:rsid w:val="00D61595"/>
    <w:rsid w:val="00D8602C"/>
    <w:rsid w:val="00DA4B7C"/>
    <w:rsid w:val="00DD5980"/>
    <w:rsid w:val="00DD6D71"/>
    <w:rsid w:val="00DE361C"/>
    <w:rsid w:val="00DF32BE"/>
    <w:rsid w:val="00E14F0A"/>
    <w:rsid w:val="00E879C5"/>
    <w:rsid w:val="00EB5778"/>
    <w:rsid w:val="00EE5253"/>
    <w:rsid w:val="00F37237"/>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4F58CB-D7FC-44D3-8FBA-3D5B240B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qFormat/>
    <w:rsid w:val="00E14F0A"/>
    <w:pPr>
      <w:keepNext/>
      <w:spacing w:before="240" w:after="60"/>
      <w:outlineLvl w:val="0"/>
    </w:pPr>
    <w:rPr>
      <w:rFonts w:ascii="Arial" w:hAnsi="Arial"/>
      <w:b/>
      <w:kern w:val="28"/>
      <w:sz w:val="28"/>
    </w:rPr>
  </w:style>
  <w:style w:type="paragraph" w:styleId="Overskrift2">
    <w:name w:val="heading 2"/>
    <w:basedOn w:val="Normal"/>
    <w:link w:val="Overskrift2Tegn"/>
    <w:uiPriority w:val="1"/>
    <w:qFormat/>
    <w:rsid w:val="00DE361C"/>
    <w:pPr>
      <w:widowControl w:val="0"/>
      <w:autoSpaceDE w:val="0"/>
      <w:autoSpaceDN w:val="0"/>
      <w:spacing w:before="25"/>
      <w:ind w:left="107"/>
      <w:outlineLvl w:val="1"/>
    </w:pPr>
    <w:rPr>
      <w:b/>
      <w:bCs/>
      <w:sz w:val="22"/>
      <w:szCs w:val="22"/>
      <w:lang w:val="en-US"/>
    </w:rPr>
  </w:style>
  <w:style w:type="paragraph" w:styleId="Overskrift3">
    <w:name w:val="heading 3"/>
    <w:basedOn w:val="Normal"/>
    <w:next w:val="Normal"/>
    <w:link w:val="Overskrift3Tegn"/>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link w:val="SidefodTegn"/>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link w:val="MarkeringsbobletekstTegn"/>
    <w:semiHidden/>
    <w:rsid w:val="00DF32BE"/>
    <w:rPr>
      <w:rFonts w:ascii="Tahoma" w:hAnsi="Tahoma" w:cs="Tahoma"/>
      <w:sz w:val="16"/>
      <w:szCs w:val="16"/>
    </w:rPr>
  </w:style>
  <w:style w:type="paragraph" w:styleId="Kommentaremne">
    <w:name w:val="annotation subject"/>
    <w:basedOn w:val="Kommentartekst"/>
    <w:next w:val="Kommentartekst"/>
    <w:link w:val="KommentaremneTegn"/>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character" w:customStyle="1" w:styleId="Overskrift2Tegn">
    <w:name w:val="Overskrift 2 Tegn"/>
    <w:basedOn w:val="Standardskrifttypeiafsnit"/>
    <w:link w:val="Overskrift2"/>
    <w:uiPriority w:val="1"/>
    <w:rsid w:val="00DE361C"/>
    <w:rPr>
      <w:b/>
      <w:bCs/>
      <w:sz w:val="22"/>
      <w:szCs w:val="22"/>
      <w:lang w:val="en-US" w:eastAsia="en-US"/>
    </w:rPr>
  </w:style>
  <w:style w:type="paragraph" w:styleId="Titel">
    <w:name w:val="Title"/>
    <w:basedOn w:val="Normal"/>
    <w:link w:val="TitelTegn"/>
    <w:qFormat/>
    <w:rsid w:val="00DE361C"/>
    <w:pPr>
      <w:jc w:val="center"/>
    </w:pPr>
    <w:rPr>
      <w:b/>
      <w:sz w:val="24"/>
      <w:lang w:eastAsia="da-DK"/>
    </w:rPr>
  </w:style>
  <w:style w:type="character" w:customStyle="1" w:styleId="TitelTegn">
    <w:name w:val="Titel Tegn"/>
    <w:basedOn w:val="Standardskrifttypeiafsnit"/>
    <w:link w:val="Titel"/>
    <w:rsid w:val="00DE361C"/>
    <w:rPr>
      <w:b/>
      <w:sz w:val="24"/>
    </w:rPr>
  </w:style>
  <w:style w:type="paragraph" w:styleId="Brdtekst">
    <w:name w:val="Body Text"/>
    <w:basedOn w:val="Normal"/>
    <w:link w:val="BrdtekstTegn"/>
    <w:uiPriority w:val="1"/>
    <w:qFormat/>
    <w:rsid w:val="00DE361C"/>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DE361C"/>
    <w:rPr>
      <w:sz w:val="22"/>
      <w:szCs w:val="22"/>
      <w:lang w:val="en-US" w:eastAsia="en-US"/>
    </w:rPr>
  </w:style>
  <w:style w:type="paragraph" w:styleId="Ingenafstand">
    <w:name w:val="No Spacing"/>
    <w:uiPriority w:val="1"/>
    <w:qFormat/>
    <w:rsid w:val="00DE361C"/>
    <w:rPr>
      <w:rFonts w:ascii="Calibri" w:eastAsia="Calibri" w:hAnsi="Calibri" w:cs="Calibri"/>
      <w:sz w:val="22"/>
      <w:szCs w:val="22"/>
      <w:lang w:val="nl-NL" w:eastAsia="en-US"/>
    </w:rPr>
  </w:style>
  <w:style w:type="paragraph" w:customStyle="1" w:styleId="TableParagraph">
    <w:name w:val="Table Paragraph"/>
    <w:basedOn w:val="Normal"/>
    <w:uiPriority w:val="1"/>
    <w:qFormat/>
    <w:rsid w:val="00DE361C"/>
    <w:pPr>
      <w:widowControl w:val="0"/>
      <w:autoSpaceDE w:val="0"/>
      <w:autoSpaceDN w:val="0"/>
      <w:ind w:left="107"/>
    </w:pPr>
    <w:rPr>
      <w:sz w:val="22"/>
      <w:szCs w:val="22"/>
      <w:lang w:val="en-US"/>
    </w:rPr>
  </w:style>
  <w:style w:type="character" w:customStyle="1" w:styleId="FontStyle53">
    <w:name w:val="Font Style53"/>
    <w:basedOn w:val="Standardskrifttypeiafsnit"/>
    <w:uiPriority w:val="99"/>
    <w:rsid w:val="00DE361C"/>
    <w:rPr>
      <w:rFonts w:ascii="Times New Roman" w:hAnsi="Times New Roman" w:cs="Times New Roman" w:hint="default"/>
      <w:sz w:val="20"/>
      <w:szCs w:val="20"/>
    </w:rPr>
  </w:style>
  <w:style w:type="paragraph" w:customStyle="1" w:styleId="Style7">
    <w:name w:val="Style7"/>
    <w:basedOn w:val="Normal"/>
    <w:uiPriority w:val="99"/>
    <w:rsid w:val="00DE361C"/>
    <w:pPr>
      <w:widowControl w:val="0"/>
      <w:autoSpaceDE w:val="0"/>
      <w:autoSpaceDN w:val="0"/>
      <w:adjustRightInd w:val="0"/>
      <w:spacing w:line="240" w:lineRule="exact"/>
    </w:pPr>
    <w:rPr>
      <w:rFonts w:eastAsiaTheme="minorEastAsia"/>
      <w:sz w:val="24"/>
      <w:szCs w:val="24"/>
      <w:lang w:val="ca-ES" w:eastAsia="ca-ES"/>
    </w:rPr>
  </w:style>
  <w:style w:type="character" w:customStyle="1" w:styleId="Overskrift1Tegn">
    <w:name w:val="Overskrift 1 Tegn"/>
    <w:basedOn w:val="Standardskrifttypeiafsnit"/>
    <w:link w:val="Overskrift1"/>
    <w:rsid w:val="00D61595"/>
    <w:rPr>
      <w:rFonts w:ascii="Arial" w:hAnsi="Arial"/>
      <w:b/>
      <w:kern w:val="28"/>
      <w:sz w:val="28"/>
      <w:lang w:eastAsia="en-US"/>
    </w:rPr>
  </w:style>
  <w:style w:type="character" w:customStyle="1" w:styleId="Overskrift3Tegn">
    <w:name w:val="Overskrift 3 Tegn"/>
    <w:basedOn w:val="Standardskrifttypeiafsnit"/>
    <w:link w:val="Overskrift3"/>
    <w:rsid w:val="00D61595"/>
    <w:rPr>
      <w:rFonts w:ascii="Arial" w:hAnsi="Arial"/>
      <w:sz w:val="24"/>
      <w:lang w:eastAsia="en-US"/>
    </w:rPr>
  </w:style>
  <w:style w:type="character" w:styleId="Hyperlink">
    <w:name w:val="Hyperlink"/>
    <w:basedOn w:val="Standardskrifttypeiafsnit"/>
    <w:uiPriority w:val="99"/>
    <w:semiHidden/>
    <w:unhideWhenUsed/>
    <w:rsid w:val="00D61595"/>
    <w:rPr>
      <w:color w:val="0563C1" w:themeColor="hyperlink"/>
      <w:u w:val="single"/>
    </w:rPr>
  </w:style>
  <w:style w:type="character" w:styleId="BesgtLink">
    <w:name w:val="FollowedHyperlink"/>
    <w:basedOn w:val="Standardskrifttypeiafsnit"/>
    <w:uiPriority w:val="99"/>
    <w:semiHidden/>
    <w:unhideWhenUsed/>
    <w:rsid w:val="00D61595"/>
    <w:rPr>
      <w:color w:val="954F72" w:themeColor="followedHyperlink"/>
      <w:u w:val="single"/>
    </w:rPr>
  </w:style>
  <w:style w:type="paragraph" w:customStyle="1" w:styleId="msonormal0">
    <w:name w:val="msonormal"/>
    <w:basedOn w:val="Normal"/>
    <w:rsid w:val="00D61595"/>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D61595"/>
    <w:rPr>
      <w:sz w:val="24"/>
    </w:rPr>
  </w:style>
  <w:style w:type="character" w:customStyle="1" w:styleId="KommentaremneTegn">
    <w:name w:val="Kommentaremne Tegn"/>
    <w:basedOn w:val="KommentartekstTegn"/>
    <w:link w:val="Kommentaremne"/>
    <w:semiHidden/>
    <w:rsid w:val="00D61595"/>
    <w:rPr>
      <w:b/>
      <w:bCs/>
      <w:lang w:eastAsia="en-US"/>
    </w:rPr>
  </w:style>
  <w:style w:type="character" w:customStyle="1" w:styleId="MarkeringsbobletekstTegn">
    <w:name w:val="Markeringsbobletekst Tegn"/>
    <w:basedOn w:val="Standardskrifttypeiafsnit"/>
    <w:link w:val="Markeringsbobletekst"/>
    <w:semiHidden/>
    <w:rsid w:val="00D61595"/>
    <w:rPr>
      <w:rFonts w:ascii="Tahoma" w:hAnsi="Tahoma" w:cs="Tahoma"/>
      <w:sz w:val="16"/>
      <w:szCs w:val="16"/>
      <w:lang w:eastAsia="en-US"/>
    </w:rPr>
  </w:style>
  <w:style w:type="paragraph" w:styleId="Korrektur">
    <w:name w:val="Revision"/>
    <w:uiPriority w:val="99"/>
    <w:semiHidden/>
    <w:rsid w:val="00D61595"/>
    <w:rPr>
      <w:sz w:val="23"/>
      <w:lang w:eastAsia="en-US"/>
    </w:rPr>
  </w:style>
  <w:style w:type="paragraph" w:styleId="Listeafsnit">
    <w:name w:val="List Paragraph"/>
    <w:basedOn w:val="Normal"/>
    <w:uiPriority w:val="1"/>
    <w:qFormat/>
    <w:rsid w:val="00D61595"/>
    <w:pPr>
      <w:ind w:left="720"/>
      <w:contextualSpacing/>
    </w:pPr>
  </w:style>
  <w:style w:type="paragraph" w:customStyle="1" w:styleId="Default">
    <w:name w:val="Default"/>
    <w:rsid w:val="00D61595"/>
    <w:pPr>
      <w:autoSpaceDE w:val="0"/>
      <w:autoSpaceDN w:val="0"/>
      <w:adjustRightInd w:val="0"/>
    </w:pPr>
    <w:rPr>
      <w:color w:val="000000"/>
      <w:sz w:val="24"/>
      <w:szCs w:val="24"/>
      <w:lang w:val="es-ES"/>
    </w:rPr>
  </w:style>
  <w:style w:type="table" w:customStyle="1" w:styleId="TableNormal">
    <w:name w:val="Table Normal"/>
    <w:uiPriority w:val="2"/>
    <w:semiHidden/>
    <w:qFormat/>
    <w:rsid w:val="00D6159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6962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10076</Words>
  <Characters>62843</Characters>
  <Application>Microsoft Office Word</Application>
  <DocSecurity>0</DocSecurity>
  <Lines>523</Lines>
  <Paragraphs>145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22023113648 pkt. 2., 4.1, 4.2, 4.4, 4.5, 4.6, 4.7, 4.8, 4.9, 5.1, 5.2, 5.3, 6.6</dc:description>
  <cp:lastModifiedBy>Gitte Ronnovius</cp:lastModifiedBy>
  <cp:revision>4</cp:revision>
  <dcterms:created xsi:type="dcterms:W3CDTF">2025-01-31T11:15:00Z</dcterms:created>
  <dcterms:modified xsi:type="dcterms:W3CDTF">2025-01-31T11:27:00Z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