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70033C" w14:textId="3652D98C" w:rsidR="009260DE" w:rsidRPr="00B24633" w:rsidRDefault="0021526C" w:rsidP="00505B18">
      <w:pPr>
        <w:rPr>
          <w:b/>
          <w:sz w:val="24"/>
          <w:szCs w:val="24"/>
        </w:rPr>
      </w:pPr>
      <w:r w:rsidRPr="00B24633">
        <w:rPr>
          <w:noProof/>
          <w:sz w:val="24"/>
          <w:szCs w:val="24"/>
          <w:lang w:eastAsia="da-DK"/>
        </w:rPr>
        <w:drawing>
          <wp:anchor distT="0" distB="0" distL="114300" distR="114300" simplePos="0" relativeHeight="251658240" behindDoc="0" locked="0" layoutInCell="1" allowOverlap="1" wp14:anchorId="5559E5EC" wp14:editId="74D68412">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B24633">
        <w:rPr>
          <w:sz w:val="24"/>
          <w:szCs w:val="24"/>
        </w:rPr>
        <w:br w:type="textWrapping" w:clear="all"/>
      </w:r>
    </w:p>
    <w:p w14:paraId="1138CECB" w14:textId="2BC71B98" w:rsidR="009260DE" w:rsidRPr="00B24633" w:rsidRDefault="009260DE" w:rsidP="009260DE">
      <w:pPr>
        <w:pStyle w:val="Titel"/>
        <w:tabs>
          <w:tab w:val="right" w:pos="9356"/>
        </w:tabs>
        <w:jc w:val="left"/>
        <w:rPr>
          <w:b w:val="0"/>
          <w:szCs w:val="24"/>
          <w:lang w:eastAsia="en-US"/>
        </w:rPr>
      </w:pPr>
      <w:r w:rsidRPr="00B24633">
        <w:rPr>
          <w:b w:val="0"/>
          <w:szCs w:val="24"/>
          <w:lang w:eastAsia="en-US"/>
        </w:rPr>
        <w:tab/>
      </w:r>
      <w:r w:rsidR="00236844">
        <w:rPr>
          <w:szCs w:val="24"/>
          <w:lang w:eastAsia="en-US"/>
        </w:rPr>
        <w:t>2</w:t>
      </w:r>
      <w:r w:rsidR="00F82C99">
        <w:rPr>
          <w:szCs w:val="24"/>
          <w:lang w:eastAsia="en-US"/>
        </w:rPr>
        <w:t>3</w:t>
      </w:r>
      <w:r w:rsidR="00236844">
        <w:rPr>
          <w:szCs w:val="24"/>
          <w:lang w:eastAsia="en-US"/>
        </w:rPr>
        <w:t>. april 2025</w:t>
      </w:r>
    </w:p>
    <w:p w14:paraId="4B620BDA" w14:textId="5ACC35D3" w:rsidR="009260DE" w:rsidRPr="00B24633" w:rsidRDefault="009260DE" w:rsidP="009260DE">
      <w:pPr>
        <w:pStyle w:val="Titel"/>
        <w:tabs>
          <w:tab w:val="left" w:pos="8222"/>
        </w:tabs>
        <w:jc w:val="left"/>
        <w:rPr>
          <w:b w:val="0"/>
          <w:szCs w:val="24"/>
        </w:rPr>
      </w:pPr>
    </w:p>
    <w:p w14:paraId="0B6D7653" w14:textId="77777777" w:rsidR="009260DE" w:rsidRPr="00B24633" w:rsidRDefault="009260DE" w:rsidP="009260DE">
      <w:pPr>
        <w:pStyle w:val="Titel"/>
        <w:jc w:val="left"/>
        <w:rPr>
          <w:b w:val="0"/>
          <w:szCs w:val="24"/>
        </w:rPr>
      </w:pPr>
    </w:p>
    <w:p w14:paraId="0161169D" w14:textId="77777777" w:rsidR="009260DE" w:rsidRPr="00B24633" w:rsidRDefault="009260DE" w:rsidP="009260DE">
      <w:pPr>
        <w:pStyle w:val="Titel"/>
        <w:jc w:val="left"/>
        <w:rPr>
          <w:b w:val="0"/>
          <w:szCs w:val="24"/>
        </w:rPr>
      </w:pPr>
    </w:p>
    <w:p w14:paraId="04AD2AF4" w14:textId="77777777" w:rsidR="009260DE" w:rsidRPr="00B24633" w:rsidRDefault="009260DE" w:rsidP="009260DE">
      <w:pPr>
        <w:jc w:val="center"/>
        <w:rPr>
          <w:b/>
          <w:sz w:val="24"/>
          <w:szCs w:val="24"/>
        </w:rPr>
      </w:pPr>
      <w:r w:rsidRPr="00B24633">
        <w:rPr>
          <w:b/>
          <w:sz w:val="24"/>
          <w:szCs w:val="24"/>
        </w:rPr>
        <w:t>PRODUKTRESUMÉ</w:t>
      </w:r>
    </w:p>
    <w:p w14:paraId="025582AD" w14:textId="77777777" w:rsidR="009260DE" w:rsidRPr="00B24633" w:rsidRDefault="009260DE" w:rsidP="009260DE">
      <w:pPr>
        <w:jc w:val="center"/>
        <w:rPr>
          <w:b/>
          <w:sz w:val="24"/>
          <w:szCs w:val="24"/>
        </w:rPr>
      </w:pPr>
    </w:p>
    <w:p w14:paraId="2582D005" w14:textId="77777777" w:rsidR="009260DE" w:rsidRPr="00B24633" w:rsidRDefault="009260DE" w:rsidP="009260DE">
      <w:pPr>
        <w:jc w:val="center"/>
        <w:rPr>
          <w:b/>
          <w:sz w:val="24"/>
          <w:szCs w:val="24"/>
        </w:rPr>
      </w:pPr>
      <w:r w:rsidRPr="00B24633">
        <w:rPr>
          <w:b/>
          <w:sz w:val="24"/>
          <w:szCs w:val="24"/>
        </w:rPr>
        <w:t>for</w:t>
      </w:r>
    </w:p>
    <w:p w14:paraId="2673079E" w14:textId="77777777" w:rsidR="000B058C" w:rsidRPr="00B24633" w:rsidRDefault="000B058C" w:rsidP="009260DE">
      <w:pPr>
        <w:jc w:val="center"/>
        <w:rPr>
          <w:b/>
          <w:sz w:val="24"/>
          <w:szCs w:val="24"/>
        </w:rPr>
      </w:pPr>
    </w:p>
    <w:p w14:paraId="25F80F78" w14:textId="01E4CBF6" w:rsidR="009260DE" w:rsidRPr="00B24633" w:rsidRDefault="00C71EAA" w:rsidP="009260DE">
      <w:pPr>
        <w:jc w:val="center"/>
        <w:rPr>
          <w:b/>
          <w:sz w:val="24"/>
          <w:szCs w:val="24"/>
        </w:rPr>
      </w:pPr>
      <w:r w:rsidRPr="00B24633">
        <w:rPr>
          <w:b/>
          <w:sz w:val="24"/>
          <w:szCs w:val="24"/>
        </w:rPr>
        <w:t xml:space="preserve">Rivaroxaban </w:t>
      </w:r>
      <w:r w:rsidR="00B24633" w:rsidRPr="00B24633">
        <w:rPr>
          <w:b/>
          <w:sz w:val="24"/>
          <w:szCs w:val="24"/>
        </w:rPr>
        <w:t>"</w:t>
      </w:r>
      <w:r w:rsidRPr="00B24633">
        <w:rPr>
          <w:b/>
          <w:sz w:val="24"/>
          <w:szCs w:val="24"/>
        </w:rPr>
        <w:t>Orion</w:t>
      </w:r>
      <w:r w:rsidR="00B24633" w:rsidRPr="00B24633">
        <w:rPr>
          <w:b/>
          <w:sz w:val="24"/>
          <w:szCs w:val="24"/>
        </w:rPr>
        <w:t>"</w:t>
      </w:r>
      <w:r w:rsidRPr="00B24633">
        <w:rPr>
          <w:b/>
          <w:sz w:val="24"/>
          <w:szCs w:val="24"/>
        </w:rPr>
        <w:t>, filmovertrukne tabletter</w:t>
      </w:r>
      <w:r w:rsidR="00F61E6E" w:rsidRPr="00B24633">
        <w:rPr>
          <w:b/>
          <w:sz w:val="24"/>
          <w:szCs w:val="24"/>
        </w:rPr>
        <w:t xml:space="preserve"> 15 mg og 20 mg</w:t>
      </w:r>
    </w:p>
    <w:p w14:paraId="3876249E" w14:textId="77777777" w:rsidR="009260DE" w:rsidRPr="00B24633" w:rsidRDefault="009260DE" w:rsidP="009260DE">
      <w:pPr>
        <w:jc w:val="both"/>
        <w:rPr>
          <w:sz w:val="24"/>
          <w:szCs w:val="24"/>
        </w:rPr>
      </w:pPr>
    </w:p>
    <w:p w14:paraId="276799D1" w14:textId="77777777" w:rsidR="009260DE" w:rsidRPr="00B24633" w:rsidRDefault="009260DE" w:rsidP="00B24633">
      <w:pPr>
        <w:jc w:val="both"/>
        <w:rPr>
          <w:sz w:val="24"/>
          <w:szCs w:val="24"/>
        </w:rPr>
      </w:pPr>
    </w:p>
    <w:p w14:paraId="4C84A74A" w14:textId="77777777" w:rsidR="009260DE" w:rsidRPr="00B24633" w:rsidRDefault="009260DE" w:rsidP="00B24633">
      <w:pPr>
        <w:tabs>
          <w:tab w:val="left" w:pos="851"/>
        </w:tabs>
        <w:ind w:left="851" w:hanging="851"/>
        <w:rPr>
          <w:b/>
          <w:sz w:val="24"/>
          <w:szCs w:val="24"/>
        </w:rPr>
      </w:pPr>
      <w:r w:rsidRPr="00B24633">
        <w:rPr>
          <w:b/>
          <w:sz w:val="24"/>
          <w:szCs w:val="24"/>
        </w:rPr>
        <w:t>0.</w:t>
      </w:r>
      <w:r w:rsidRPr="00B24633">
        <w:rPr>
          <w:b/>
          <w:sz w:val="24"/>
          <w:szCs w:val="24"/>
        </w:rPr>
        <w:tab/>
        <w:t>D.SP.NR.</w:t>
      </w:r>
    </w:p>
    <w:p w14:paraId="18129CD9" w14:textId="2EC9712F" w:rsidR="009260DE" w:rsidRPr="00B24633" w:rsidRDefault="00C71EAA" w:rsidP="00B24633">
      <w:pPr>
        <w:tabs>
          <w:tab w:val="left" w:pos="851"/>
        </w:tabs>
        <w:ind w:left="851"/>
        <w:rPr>
          <w:sz w:val="24"/>
          <w:szCs w:val="24"/>
        </w:rPr>
      </w:pPr>
      <w:r w:rsidRPr="00B24633">
        <w:rPr>
          <w:sz w:val="24"/>
          <w:szCs w:val="24"/>
        </w:rPr>
        <w:t>32362</w:t>
      </w:r>
    </w:p>
    <w:p w14:paraId="1D17F7F1" w14:textId="77777777" w:rsidR="009260DE" w:rsidRPr="00B24633" w:rsidRDefault="009260DE" w:rsidP="00B24633">
      <w:pPr>
        <w:tabs>
          <w:tab w:val="left" w:pos="851"/>
        </w:tabs>
        <w:ind w:left="851"/>
        <w:rPr>
          <w:sz w:val="24"/>
          <w:szCs w:val="24"/>
        </w:rPr>
      </w:pPr>
    </w:p>
    <w:p w14:paraId="3B8F9A7D" w14:textId="77777777" w:rsidR="009260DE" w:rsidRPr="00B24633" w:rsidRDefault="009260DE" w:rsidP="00B24633">
      <w:pPr>
        <w:tabs>
          <w:tab w:val="left" w:pos="851"/>
        </w:tabs>
        <w:ind w:left="851" w:hanging="851"/>
        <w:rPr>
          <w:b/>
          <w:sz w:val="24"/>
          <w:szCs w:val="24"/>
        </w:rPr>
      </w:pPr>
      <w:r w:rsidRPr="00B24633">
        <w:rPr>
          <w:b/>
          <w:sz w:val="24"/>
          <w:szCs w:val="24"/>
        </w:rPr>
        <w:t>1.</w:t>
      </w:r>
      <w:r w:rsidRPr="00B24633">
        <w:rPr>
          <w:b/>
          <w:sz w:val="24"/>
          <w:szCs w:val="24"/>
        </w:rPr>
        <w:tab/>
        <w:t>LÆGEMIDLETS NAVN</w:t>
      </w:r>
    </w:p>
    <w:p w14:paraId="0F268142" w14:textId="5B0C9821" w:rsidR="009260DE" w:rsidRPr="00B24633" w:rsidRDefault="00C71EAA"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p>
    <w:p w14:paraId="53397E44" w14:textId="77777777" w:rsidR="009260DE" w:rsidRPr="00B24633" w:rsidRDefault="009260DE" w:rsidP="00B24633">
      <w:pPr>
        <w:tabs>
          <w:tab w:val="left" w:pos="851"/>
        </w:tabs>
        <w:ind w:left="851"/>
        <w:rPr>
          <w:sz w:val="24"/>
          <w:szCs w:val="24"/>
        </w:rPr>
      </w:pPr>
    </w:p>
    <w:p w14:paraId="5FADE6DF" w14:textId="77777777" w:rsidR="009260DE" w:rsidRPr="00B24633" w:rsidRDefault="009260DE" w:rsidP="00B24633">
      <w:pPr>
        <w:tabs>
          <w:tab w:val="left" w:pos="851"/>
        </w:tabs>
        <w:ind w:left="851" w:hanging="851"/>
        <w:rPr>
          <w:b/>
          <w:sz w:val="24"/>
          <w:szCs w:val="24"/>
        </w:rPr>
      </w:pPr>
      <w:r w:rsidRPr="00B24633">
        <w:rPr>
          <w:b/>
          <w:sz w:val="24"/>
          <w:szCs w:val="24"/>
        </w:rPr>
        <w:t>2.</w:t>
      </w:r>
      <w:r w:rsidRPr="00B24633">
        <w:rPr>
          <w:b/>
          <w:sz w:val="24"/>
          <w:szCs w:val="24"/>
        </w:rPr>
        <w:tab/>
        <w:t>KVALITATIV OG KVANTITATIV SAMMENSÆTNING</w:t>
      </w:r>
    </w:p>
    <w:p w14:paraId="3F3B7483" w14:textId="32E8C84D" w:rsidR="00F61E6E" w:rsidRPr="00B24633" w:rsidRDefault="00F61E6E" w:rsidP="00B24633">
      <w:pPr>
        <w:tabs>
          <w:tab w:val="left" w:pos="851"/>
        </w:tabs>
        <w:ind w:left="851"/>
        <w:rPr>
          <w:sz w:val="24"/>
          <w:szCs w:val="24"/>
        </w:rPr>
      </w:pPr>
      <w:r w:rsidRPr="00B24633">
        <w:rPr>
          <w:sz w:val="24"/>
          <w:szCs w:val="24"/>
        </w:rPr>
        <w:t xml:space="preserve">Hver 15 mg </w:t>
      </w:r>
      <w:r w:rsidR="00B24633" w:rsidRPr="00B24633">
        <w:rPr>
          <w:sz w:val="24"/>
          <w:szCs w:val="24"/>
        </w:rPr>
        <w:t>filmovertrukket</w:t>
      </w:r>
      <w:r w:rsidRPr="00B24633">
        <w:rPr>
          <w:sz w:val="24"/>
          <w:szCs w:val="24"/>
        </w:rPr>
        <w:t xml:space="preserve"> tablet indeholder 15 mg rivaroxaban. </w:t>
      </w:r>
    </w:p>
    <w:p w14:paraId="66F1A39F" w14:textId="1D2A079E" w:rsidR="00F61E6E" w:rsidRPr="00B24633" w:rsidRDefault="00F61E6E" w:rsidP="00B24633">
      <w:pPr>
        <w:tabs>
          <w:tab w:val="left" w:pos="851"/>
        </w:tabs>
        <w:ind w:left="851"/>
        <w:rPr>
          <w:sz w:val="24"/>
          <w:szCs w:val="24"/>
        </w:rPr>
      </w:pPr>
      <w:r w:rsidRPr="00B24633">
        <w:rPr>
          <w:sz w:val="24"/>
          <w:szCs w:val="24"/>
        </w:rPr>
        <w:t xml:space="preserve">Hver 20 mg </w:t>
      </w:r>
      <w:r w:rsidR="00B24633" w:rsidRPr="00B24633">
        <w:rPr>
          <w:sz w:val="24"/>
          <w:szCs w:val="24"/>
        </w:rPr>
        <w:t>filmovertrukket</w:t>
      </w:r>
      <w:r w:rsidRPr="00B24633">
        <w:rPr>
          <w:sz w:val="24"/>
          <w:szCs w:val="24"/>
        </w:rPr>
        <w:t xml:space="preserve"> tablet indeholder 20 mg rivaroxaban. </w:t>
      </w:r>
    </w:p>
    <w:p w14:paraId="5F1F0964" w14:textId="77777777" w:rsidR="00F61E6E" w:rsidRPr="00B24633" w:rsidRDefault="00F61E6E" w:rsidP="00B24633">
      <w:pPr>
        <w:tabs>
          <w:tab w:val="left" w:pos="851"/>
        </w:tabs>
        <w:ind w:left="851"/>
        <w:rPr>
          <w:sz w:val="24"/>
          <w:szCs w:val="24"/>
        </w:rPr>
      </w:pPr>
    </w:p>
    <w:p w14:paraId="44B81A1E"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Hjælpestof, som behandleren skal være opmærksom på </w:t>
      </w:r>
    </w:p>
    <w:p w14:paraId="65CED41A" w14:textId="065964D3" w:rsidR="00F61E6E" w:rsidRPr="00B24633" w:rsidRDefault="00F61E6E" w:rsidP="00B24633">
      <w:pPr>
        <w:tabs>
          <w:tab w:val="left" w:pos="851"/>
        </w:tabs>
        <w:ind w:left="851"/>
        <w:rPr>
          <w:sz w:val="24"/>
          <w:szCs w:val="24"/>
        </w:rPr>
      </w:pPr>
      <w:r w:rsidRPr="00B24633">
        <w:rPr>
          <w:sz w:val="24"/>
          <w:szCs w:val="24"/>
        </w:rPr>
        <w:t xml:space="preserve">Hver 15 mg </w:t>
      </w:r>
      <w:r w:rsidR="00B24633" w:rsidRPr="00B24633">
        <w:rPr>
          <w:sz w:val="24"/>
          <w:szCs w:val="24"/>
        </w:rPr>
        <w:t>filmovertrukket</w:t>
      </w:r>
      <w:r w:rsidRPr="00B24633">
        <w:rPr>
          <w:sz w:val="24"/>
          <w:szCs w:val="24"/>
        </w:rPr>
        <w:t xml:space="preserve"> tablet indeholder 20,5 mg lactose (som monohydrat). </w:t>
      </w:r>
    </w:p>
    <w:p w14:paraId="4AABD62A" w14:textId="23B1A4CD" w:rsidR="00F61E6E" w:rsidRPr="00B24633" w:rsidRDefault="00F61E6E" w:rsidP="00B24633">
      <w:pPr>
        <w:tabs>
          <w:tab w:val="left" w:pos="851"/>
        </w:tabs>
        <w:ind w:left="851"/>
        <w:rPr>
          <w:sz w:val="24"/>
          <w:szCs w:val="24"/>
        </w:rPr>
      </w:pPr>
      <w:r w:rsidRPr="00B24633">
        <w:rPr>
          <w:sz w:val="24"/>
          <w:szCs w:val="24"/>
        </w:rPr>
        <w:t xml:space="preserve">Hver 20 mg </w:t>
      </w:r>
      <w:r w:rsidR="00B24633" w:rsidRPr="00B24633">
        <w:rPr>
          <w:sz w:val="24"/>
          <w:szCs w:val="24"/>
        </w:rPr>
        <w:t>filmovertrukket</w:t>
      </w:r>
      <w:r w:rsidRPr="00B24633">
        <w:rPr>
          <w:sz w:val="24"/>
          <w:szCs w:val="24"/>
        </w:rPr>
        <w:t xml:space="preserve"> tablet indeholder 27,3 mg lactose (som monohydrat). </w:t>
      </w:r>
    </w:p>
    <w:p w14:paraId="3D43F89A" w14:textId="77777777" w:rsidR="00F61E6E" w:rsidRPr="00B24633" w:rsidRDefault="00F61E6E" w:rsidP="00B24633">
      <w:pPr>
        <w:tabs>
          <w:tab w:val="left" w:pos="851"/>
        </w:tabs>
        <w:ind w:left="851"/>
        <w:rPr>
          <w:sz w:val="24"/>
          <w:szCs w:val="24"/>
        </w:rPr>
      </w:pPr>
    </w:p>
    <w:p w14:paraId="73A502A2" w14:textId="77777777" w:rsidR="00F61E6E" w:rsidRPr="00B24633" w:rsidRDefault="00F61E6E" w:rsidP="00B24633">
      <w:pPr>
        <w:tabs>
          <w:tab w:val="left" w:pos="851"/>
        </w:tabs>
        <w:ind w:left="851"/>
        <w:rPr>
          <w:sz w:val="24"/>
          <w:szCs w:val="24"/>
        </w:rPr>
      </w:pPr>
      <w:r w:rsidRPr="00B24633">
        <w:rPr>
          <w:sz w:val="24"/>
          <w:szCs w:val="24"/>
        </w:rPr>
        <w:t>Alle hjælpestoffer er anført under pkt. 6.1.</w:t>
      </w:r>
    </w:p>
    <w:p w14:paraId="74F02C6D" w14:textId="77777777" w:rsidR="009260DE" w:rsidRPr="00B24633" w:rsidRDefault="009260DE" w:rsidP="00B24633">
      <w:pPr>
        <w:tabs>
          <w:tab w:val="left" w:pos="851"/>
        </w:tabs>
        <w:ind w:left="851"/>
        <w:rPr>
          <w:sz w:val="24"/>
          <w:szCs w:val="24"/>
        </w:rPr>
      </w:pPr>
    </w:p>
    <w:p w14:paraId="3CE542BD" w14:textId="77777777" w:rsidR="009260DE" w:rsidRPr="00B24633" w:rsidRDefault="009260DE" w:rsidP="00B24633">
      <w:pPr>
        <w:tabs>
          <w:tab w:val="left" w:pos="851"/>
        </w:tabs>
        <w:ind w:left="851" w:hanging="851"/>
        <w:rPr>
          <w:b/>
          <w:sz w:val="24"/>
          <w:szCs w:val="24"/>
        </w:rPr>
      </w:pPr>
      <w:r w:rsidRPr="00B24633">
        <w:rPr>
          <w:b/>
          <w:sz w:val="24"/>
          <w:szCs w:val="24"/>
        </w:rPr>
        <w:t>3.</w:t>
      </w:r>
      <w:r w:rsidRPr="00B24633">
        <w:rPr>
          <w:b/>
          <w:sz w:val="24"/>
          <w:szCs w:val="24"/>
        </w:rPr>
        <w:tab/>
        <w:t>LÆGEMIDDELFORM</w:t>
      </w:r>
    </w:p>
    <w:p w14:paraId="04CE2D15" w14:textId="0C794650" w:rsidR="00F61E6E" w:rsidRPr="00B24633" w:rsidRDefault="00B24633" w:rsidP="00B24633">
      <w:pPr>
        <w:tabs>
          <w:tab w:val="left" w:pos="851"/>
        </w:tabs>
        <w:ind w:left="851"/>
        <w:rPr>
          <w:sz w:val="24"/>
          <w:szCs w:val="24"/>
        </w:rPr>
      </w:pPr>
      <w:r w:rsidRPr="00B24633">
        <w:rPr>
          <w:sz w:val="24"/>
          <w:szCs w:val="24"/>
        </w:rPr>
        <w:t>Filmovertrukne</w:t>
      </w:r>
      <w:r w:rsidR="00F61E6E" w:rsidRPr="00B24633">
        <w:rPr>
          <w:sz w:val="24"/>
          <w:szCs w:val="24"/>
        </w:rPr>
        <w:t xml:space="preserve"> tablet</w:t>
      </w:r>
      <w:r w:rsidRPr="00B24633">
        <w:rPr>
          <w:sz w:val="24"/>
          <w:szCs w:val="24"/>
        </w:rPr>
        <w:t>ter</w:t>
      </w:r>
      <w:r w:rsidR="00F61E6E" w:rsidRPr="00B24633">
        <w:rPr>
          <w:sz w:val="24"/>
          <w:szCs w:val="24"/>
        </w:rPr>
        <w:t xml:space="preserve"> (tablet) </w:t>
      </w:r>
    </w:p>
    <w:p w14:paraId="74A41F12" w14:textId="77777777" w:rsidR="00F61E6E" w:rsidRPr="00B24633" w:rsidRDefault="00F61E6E" w:rsidP="00B24633">
      <w:pPr>
        <w:tabs>
          <w:tab w:val="left" w:pos="851"/>
        </w:tabs>
        <w:ind w:left="851"/>
        <w:rPr>
          <w:sz w:val="24"/>
          <w:szCs w:val="24"/>
        </w:rPr>
      </w:pPr>
    </w:p>
    <w:p w14:paraId="5748E854" w14:textId="1DFE4F7B" w:rsidR="00F61E6E" w:rsidRPr="00B24633" w:rsidRDefault="00F61E6E" w:rsidP="00B24633">
      <w:pPr>
        <w:tabs>
          <w:tab w:val="left" w:pos="851"/>
        </w:tabs>
        <w:ind w:left="851"/>
        <w:rPr>
          <w:i/>
          <w:iCs/>
          <w:sz w:val="24"/>
          <w:szCs w:val="24"/>
        </w:rPr>
      </w:pPr>
      <w:r w:rsidRPr="00B24633">
        <w:rPr>
          <w:i/>
          <w:iCs/>
          <w:sz w:val="24"/>
          <w:szCs w:val="24"/>
        </w:rPr>
        <w:t xml:space="preserve">15 mg </w:t>
      </w:r>
      <w:r w:rsidR="00B24633" w:rsidRPr="00B24633">
        <w:rPr>
          <w:i/>
          <w:iCs/>
          <w:sz w:val="24"/>
          <w:szCs w:val="24"/>
        </w:rPr>
        <w:t>filmovertrukket</w:t>
      </w:r>
      <w:r w:rsidRPr="00B24633">
        <w:rPr>
          <w:i/>
          <w:iCs/>
          <w:sz w:val="24"/>
          <w:szCs w:val="24"/>
        </w:rPr>
        <w:t xml:space="preserve"> tablet</w:t>
      </w:r>
    </w:p>
    <w:p w14:paraId="2305C2D9" w14:textId="77777777" w:rsidR="00F61E6E" w:rsidRPr="00B24633" w:rsidRDefault="00F61E6E" w:rsidP="00B24633">
      <w:pPr>
        <w:tabs>
          <w:tab w:val="left" w:pos="851"/>
        </w:tabs>
        <w:ind w:left="851"/>
        <w:rPr>
          <w:sz w:val="24"/>
          <w:szCs w:val="24"/>
        </w:rPr>
      </w:pPr>
      <w:r w:rsidRPr="00B24633">
        <w:rPr>
          <w:sz w:val="24"/>
          <w:szCs w:val="24"/>
        </w:rPr>
        <w:t>Røde, runde bikonvekse tabletter (6 mm diameter) mærket med et ‘15’ på den ene side og glatte på den anden side.</w:t>
      </w:r>
    </w:p>
    <w:p w14:paraId="2F10BAA0" w14:textId="77777777" w:rsidR="00F61E6E" w:rsidRPr="00B24633" w:rsidRDefault="00F61E6E" w:rsidP="00B24633">
      <w:pPr>
        <w:tabs>
          <w:tab w:val="left" w:pos="851"/>
        </w:tabs>
        <w:ind w:left="851"/>
        <w:rPr>
          <w:sz w:val="24"/>
          <w:szCs w:val="24"/>
        </w:rPr>
      </w:pPr>
    </w:p>
    <w:p w14:paraId="2FD46404" w14:textId="4B789877" w:rsidR="00F61E6E" w:rsidRPr="00B24633" w:rsidRDefault="00F61E6E" w:rsidP="00B24633">
      <w:pPr>
        <w:tabs>
          <w:tab w:val="left" w:pos="851"/>
        </w:tabs>
        <w:ind w:left="851"/>
        <w:rPr>
          <w:i/>
          <w:iCs/>
          <w:sz w:val="24"/>
          <w:szCs w:val="24"/>
        </w:rPr>
      </w:pPr>
      <w:r w:rsidRPr="00B24633">
        <w:rPr>
          <w:i/>
          <w:iCs/>
          <w:sz w:val="24"/>
          <w:szCs w:val="24"/>
        </w:rPr>
        <w:t xml:space="preserve">20 mg </w:t>
      </w:r>
      <w:r w:rsidR="00B24633" w:rsidRPr="00B24633">
        <w:rPr>
          <w:i/>
          <w:iCs/>
          <w:sz w:val="24"/>
          <w:szCs w:val="24"/>
        </w:rPr>
        <w:t>filmovertrukket</w:t>
      </w:r>
      <w:r w:rsidRPr="00B24633">
        <w:rPr>
          <w:i/>
          <w:iCs/>
          <w:sz w:val="24"/>
          <w:szCs w:val="24"/>
        </w:rPr>
        <w:t xml:space="preserve"> tablet</w:t>
      </w:r>
    </w:p>
    <w:p w14:paraId="020DC9C5" w14:textId="77777777" w:rsidR="00F61E6E" w:rsidRPr="00B24633" w:rsidRDefault="00F61E6E" w:rsidP="00B24633">
      <w:pPr>
        <w:tabs>
          <w:tab w:val="left" w:pos="851"/>
        </w:tabs>
        <w:ind w:left="851"/>
        <w:rPr>
          <w:sz w:val="24"/>
          <w:szCs w:val="24"/>
        </w:rPr>
      </w:pPr>
      <w:r w:rsidRPr="00B24633">
        <w:rPr>
          <w:sz w:val="24"/>
          <w:szCs w:val="24"/>
        </w:rPr>
        <w:t>Mørkerøde, runde bikonvekse tabletter (7 mm diameter) mærket med et ‘20’ på den ene side og glatte på den anden side.</w:t>
      </w:r>
    </w:p>
    <w:p w14:paraId="66F5BB8C" w14:textId="77777777" w:rsidR="009260DE" w:rsidRPr="00B24633" w:rsidRDefault="009260DE" w:rsidP="00B24633">
      <w:pPr>
        <w:tabs>
          <w:tab w:val="left" w:pos="851"/>
        </w:tabs>
        <w:ind w:left="851"/>
        <w:rPr>
          <w:sz w:val="24"/>
          <w:szCs w:val="24"/>
        </w:rPr>
      </w:pPr>
    </w:p>
    <w:p w14:paraId="7C28D7A0" w14:textId="77777777" w:rsidR="009260DE" w:rsidRPr="00B24633" w:rsidRDefault="009260DE" w:rsidP="00B24633">
      <w:pPr>
        <w:tabs>
          <w:tab w:val="left" w:pos="851"/>
        </w:tabs>
        <w:ind w:left="851"/>
        <w:rPr>
          <w:sz w:val="24"/>
          <w:szCs w:val="24"/>
        </w:rPr>
      </w:pPr>
    </w:p>
    <w:p w14:paraId="45E5194C" w14:textId="77777777" w:rsidR="009260DE" w:rsidRPr="00B24633" w:rsidRDefault="009260DE" w:rsidP="00B24633">
      <w:pPr>
        <w:tabs>
          <w:tab w:val="left" w:pos="851"/>
        </w:tabs>
        <w:ind w:left="851" w:hanging="851"/>
        <w:rPr>
          <w:b/>
          <w:sz w:val="24"/>
          <w:szCs w:val="24"/>
        </w:rPr>
      </w:pPr>
      <w:r w:rsidRPr="00B24633">
        <w:rPr>
          <w:b/>
          <w:sz w:val="24"/>
          <w:szCs w:val="24"/>
        </w:rPr>
        <w:t>4.</w:t>
      </w:r>
      <w:r w:rsidRPr="00B24633">
        <w:rPr>
          <w:b/>
          <w:sz w:val="24"/>
          <w:szCs w:val="24"/>
        </w:rPr>
        <w:tab/>
        <w:t>KLINISKE OPLYSNINGER</w:t>
      </w:r>
    </w:p>
    <w:p w14:paraId="01086256" w14:textId="77777777" w:rsidR="009260DE" w:rsidRPr="00B24633" w:rsidRDefault="009260DE" w:rsidP="00B24633">
      <w:pPr>
        <w:tabs>
          <w:tab w:val="left" w:pos="851"/>
        </w:tabs>
        <w:ind w:left="851"/>
        <w:rPr>
          <w:b/>
          <w:sz w:val="24"/>
          <w:szCs w:val="24"/>
        </w:rPr>
      </w:pPr>
    </w:p>
    <w:p w14:paraId="39B13C08" w14:textId="77777777" w:rsidR="009260DE" w:rsidRPr="00B24633" w:rsidRDefault="009260DE" w:rsidP="00B24633">
      <w:pPr>
        <w:tabs>
          <w:tab w:val="left" w:pos="851"/>
        </w:tabs>
        <w:ind w:left="851" w:hanging="851"/>
        <w:rPr>
          <w:b/>
          <w:sz w:val="24"/>
          <w:szCs w:val="24"/>
          <w:u w:val="single"/>
        </w:rPr>
      </w:pPr>
      <w:r w:rsidRPr="00B24633">
        <w:rPr>
          <w:b/>
          <w:sz w:val="24"/>
          <w:szCs w:val="24"/>
        </w:rPr>
        <w:t>4.1</w:t>
      </w:r>
      <w:r w:rsidRPr="00B24633">
        <w:rPr>
          <w:b/>
          <w:sz w:val="24"/>
          <w:szCs w:val="24"/>
        </w:rPr>
        <w:tab/>
        <w:t>Terapeutiske indikationer</w:t>
      </w:r>
    </w:p>
    <w:p w14:paraId="263DC060" w14:textId="77777777" w:rsidR="00F61E6E" w:rsidRPr="00B24633" w:rsidRDefault="00F61E6E" w:rsidP="00B24633">
      <w:pPr>
        <w:pStyle w:val="Brdtekst"/>
        <w:ind w:left="858"/>
        <w:rPr>
          <w:sz w:val="24"/>
          <w:szCs w:val="24"/>
          <w:lang w:val="da-DK"/>
        </w:rPr>
      </w:pPr>
      <w:r w:rsidRPr="00B24633">
        <w:rPr>
          <w:sz w:val="24"/>
          <w:szCs w:val="24"/>
          <w:lang w:val="da-DK"/>
        </w:rPr>
        <w:t>Forebyggelse af apopleksi og systemisk emboli hos voksne patienter med ikke-valvulær atrieflimren</w:t>
      </w:r>
      <w:r w:rsidRPr="00B24633">
        <w:rPr>
          <w:spacing w:val="-52"/>
          <w:sz w:val="24"/>
          <w:szCs w:val="24"/>
          <w:lang w:val="da-DK"/>
        </w:rPr>
        <w:t xml:space="preserve"> </w:t>
      </w:r>
      <w:r w:rsidRPr="00B24633">
        <w:rPr>
          <w:sz w:val="24"/>
          <w:szCs w:val="24"/>
          <w:lang w:val="da-DK"/>
        </w:rPr>
        <w:t>med én eller flere risikofaktorer som f.eks. kongestiv hjerteinsufficiens, hypertension, alder ≥ 75 år,</w:t>
      </w:r>
      <w:r w:rsidRPr="00B24633">
        <w:rPr>
          <w:spacing w:val="1"/>
          <w:sz w:val="24"/>
          <w:szCs w:val="24"/>
          <w:lang w:val="da-DK"/>
        </w:rPr>
        <w:t xml:space="preserve"> </w:t>
      </w:r>
      <w:r w:rsidRPr="00B24633">
        <w:rPr>
          <w:sz w:val="24"/>
          <w:szCs w:val="24"/>
          <w:lang w:val="da-DK"/>
        </w:rPr>
        <w:t>diabetes</w:t>
      </w:r>
      <w:r w:rsidRPr="00B24633">
        <w:rPr>
          <w:spacing w:val="-2"/>
          <w:sz w:val="24"/>
          <w:szCs w:val="24"/>
          <w:lang w:val="da-DK"/>
        </w:rPr>
        <w:t xml:space="preserve"> </w:t>
      </w:r>
      <w:r w:rsidRPr="00B24633">
        <w:rPr>
          <w:sz w:val="24"/>
          <w:szCs w:val="24"/>
          <w:lang w:val="da-DK"/>
        </w:rPr>
        <w:t>mellitus,</w:t>
      </w:r>
      <w:r w:rsidRPr="00B24633">
        <w:rPr>
          <w:spacing w:val="-1"/>
          <w:sz w:val="24"/>
          <w:szCs w:val="24"/>
          <w:lang w:val="da-DK"/>
        </w:rPr>
        <w:t xml:space="preserve"> </w:t>
      </w:r>
      <w:r w:rsidRPr="00B24633">
        <w:rPr>
          <w:sz w:val="24"/>
          <w:szCs w:val="24"/>
          <w:lang w:val="da-DK"/>
        </w:rPr>
        <w:t>tidligere</w:t>
      </w:r>
      <w:r w:rsidRPr="00B24633">
        <w:rPr>
          <w:spacing w:val="-3"/>
          <w:sz w:val="24"/>
          <w:szCs w:val="24"/>
          <w:lang w:val="da-DK"/>
        </w:rPr>
        <w:t xml:space="preserve"> </w:t>
      </w:r>
      <w:r w:rsidRPr="00B24633">
        <w:rPr>
          <w:sz w:val="24"/>
          <w:szCs w:val="24"/>
          <w:lang w:val="da-DK"/>
        </w:rPr>
        <w:t>apopleksi</w:t>
      </w:r>
      <w:r w:rsidRPr="00B24633">
        <w:rPr>
          <w:spacing w:val="-1"/>
          <w:sz w:val="24"/>
          <w:szCs w:val="24"/>
          <w:lang w:val="da-DK"/>
        </w:rPr>
        <w:t xml:space="preserve"> </w:t>
      </w:r>
      <w:r w:rsidRPr="00B24633">
        <w:rPr>
          <w:sz w:val="24"/>
          <w:szCs w:val="24"/>
          <w:lang w:val="da-DK"/>
        </w:rPr>
        <w:t>eller</w:t>
      </w:r>
      <w:r w:rsidRPr="00B24633">
        <w:rPr>
          <w:spacing w:val="-1"/>
          <w:sz w:val="24"/>
          <w:szCs w:val="24"/>
          <w:lang w:val="da-DK"/>
        </w:rPr>
        <w:t xml:space="preserve"> </w:t>
      </w:r>
      <w:r w:rsidRPr="00B24633">
        <w:rPr>
          <w:sz w:val="24"/>
          <w:szCs w:val="24"/>
          <w:lang w:val="da-DK"/>
        </w:rPr>
        <w:t>transitorisk cerebral</w:t>
      </w:r>
      <w:r w:rsidRPr="00B24633">
        <w:rPr>
          <w:spacing w:val="-2"/>
          <w:sz w:val="24"/>
          <w:szCs w:val="24"/>
          <w:lang w:val="da-DK"/>
        </w:rPr>
        <w:t xml:space="preserve"> </w:t>
      </w:r>
      <w:r w:rsidRPr="00B24633">
        <w:rPr>
          <w:sz w:val="24"/>
          <w:szCs w:val="24"/>
          <w:lang w:val="da-DK"/>
        </w:rPr>
        <w:t>iskæmi</w:t>
      </w:r>
      <w:r w:rsidRPr="00B24633">
        <w:rPr>
          <w:spacing w:val="-1"/>
          <w:sz w:val="24"/>
          <w:szCs w:val="24"/>
          <w:lang w:val="da-DK"/>
        </w:rPr>
        <w:t xml:space="preserve"> </w:t>
      </w:r>
      <w:r w:rsidRPr="00B24633">
        <w:rPr>
          <w:sz w:val="24"/>
          <w:szCs w:val="24"/>
          <w:lang w:val="da-DK"/>
        </w:rPr>
        <w:t>(TCI/TIA).</w:t>
      </w:r>
    </w:p>
    <w:p w14:paraId="2A09E5CA" w14:textId="77777777" w:rsidR="00F61E6E" w:rsidRPr="00B24633" w:rsidRDefault="00F61E6E" w:rsidP="00B24633">
      <w:pPr>
        <w:pStyle w:val="Brdtekst"/>
        <w:spacing w:before="11"/>
        <w:ind w:left="851"/>
        <w:rPr>
          <w:sz w:val="24"/>
          <w:szCs w:val="24"/>
          <w:lang w:val="da-DK"/>
        </w:rPr>
      </w:pPr>
    </w:p>
    <w:p w14:paraId="58C131BA" w14:textId="77777777" w:rsidR="00F61E6E" w:rsidRPr="00B24633" w:rsidRDefault="00F61E6E" w:rsidP="00B24633">
      <w:pPr>
        <w:pStyle w:val="Brdtekst"/>
        <w:ind w:left="851"/>
        <w:rPr>
          <w:sz w:val="24"/>
          <w:szCs w:val="24"/>
          <w:lang w:val="da-DK"/>
        </w:rPr>
      </w:pPr>
      <w:r w:rsidRPr="00B24633">
        <w:rPr>
          <w:sz w:val="24"/>
          <w:szCs w:val="24"/>
          <w:lang w:val="da-DK"/>
        </w:rPr>
        <w:t>Behandling af dyb venetrombose (DVT) og lungeemboli (PE) samt forebyggelse af recidiverende</w:t>
      </w:r>
      <w:r w:rsidRPr="00B24633">
        <w:rPr>
          <w:spacing w:val="1"/>
          <w:sz w:val="24"/>
          <w:szCs w:val="24"/>
          <w:lang w:val="da-DK"/>
        </w:rPr>
        <w:t xml:space="preserve"> </w:t>
      </w:r>
      <w:r w:rsidRPr="00B24633">
        <w:rPr>
          <w:sz w:val="24"/>
          <w:szCs w:val="24"/>
          <w:lang w:val="da-DK"/>
        </w:rPr>
        <w:t>DVT</w:t>
      </w:r>
      <w:r w:rsidRPr="00B24633">
        <w:rPr>
          <w:spacing w:val="-3"/>
          <w:sz w:val="24"/>
          <w:szCs w:val="24"/>
          <w:lang w:val="da-DK"/>
        </w:rPr>
        <w:t xml:space="preserve"> </w:t>
      </w:r>
      <w:r w:rsidRPr="00B24633">
        <w:rPr>
          <w:sz w:val="24"/>
          <w:szCs w:val="24"/>
          <w:lang w:val="da-DK"/>
        </w:rPr>
        <w:t>og</w:t>
      </w:r>
      <w:r w:rsidRPr="00B24633">
        <w:rPr>
          <w:spacing w:val="-3"/>
          <w:sz w:val="24"/>
          <w:szCs w:val="24"/>
          <w:lang w:val="da-DK"/>
        </w:rPr>
        <w:t xml:space="preserve"> </w:t>
      </w:r>
      <w:r w:rsidRPr="00B24633">
        <w:rPr>
          <w:sz w:val="24"/>
          <w:szCs w:val="24"/>
          <w:lang w:val="da-DK"/>
        </w:rPr>
        <w:t>PE</w:t>
      </w:r>
      <w:r w:rsidRPr="00B24633">
        <w:rPr>
          <w:spacing w:val="-2"/>
          <w:sz w:val="24"/>
          <w:szCs w:val="24"/>
          <w:lang w:val="da-DK"/>
        </w:rPr>
        <w:t xml:space="preserve"> </w:t>
      </w:r>
      <w:r w:rsidRPr="00B24633">
        <w:rPr>
          <w:sz w:val="24"/>
          <w:szCs w:val="24"/>
          <w:lang w:val="da-DK"/>
        </w:rPr>
        <w:t>hos</w:t>
      </w:r>
      <w:r w:rsidRPr="00B24633">
        <w:rPr>
          <w:spacing w:val="-4"/>
          <w:sz w:val="24"/>
          <w:szCs w:val="24"/>
          <w:lang w:val="da-DK"/>
        </w:rPr>
        <w:t xml:space="preserve"> </w:t>
      </w:r>
      <w:r w:rsidRPr="00B24633">
        <w:rPr>
          <w:sz w:val="24"/>
          <w:szCs w:val="24"/>
          <w:lang w:val="da-DK"/>
        </w:rPr>
        <w:t>voksne</w:t>
      </w:r>
      <w:r w:rsidRPr="00B24633">
        <w:rPr>
          <w:spacing w:val="-4"/>
          <w:sz w:val="24"/>
          <w:szCs w:val="24"/>
          <w:lang w:val="da-DK"/>
        </w:rPr>
        <w:t xml:space="preserve"> </w:t>
      </w:r>
      <w:r w:rsidRPr="00B24633">
        <w:rPr>
          <w:sz w:val="24"/>
          <w:szCs w:val="24"/>
          <w:lang w:val="da-DK"/>
        </w:rPr>
        <w:t>(se</w:t>
      </w:r>
      <w:r w:rsidRPr="00B24633">
        <w:rPr>
          <w:spacing w:val="-3"/>
          <w:sz w:val="24"/>
          <w:szCs w:val="24"/>
          <w:lang w:val="da-DK"/>
        </w:rPr>
        <w:t xml:space="preserve"> </w:t>
      </w:r>
      <w:r w:rsidRPr="00B24633">
        <w:rPr>
          <w:sz w:val="24"/>
          <w:szCs w:val="24"/>
          <w:lang w:val="da-DK"/>
        </w:rPr>
        <w:t>pkt. 4</w:t>
      </w:r>
      <w:r w:rsidRPr="00B24633">
        <w:rPr>
          <w:spacing w:val="-2"/>
          <w:sz w:val="24"/>
          <w:szCs w:val="24"/>
          <w:lang w:val="da-DK"/>
        </w:rPr>
        <w:t xml:space="preserve"> </w:t>
      </w:r>
      <w:r w:rsidRPr="00B24633">
        <w:rPr>
          <w:sz w:val="24"/>
          <w:szCs w:val="24"/>
          <w:lang w:val="da-DK"/>
        </w:rPr>
        <w:t>4</w:t>
      </w:r>
      <w:r w:rsidRPr="00B24633">
        <w:rPr>
          <w:spacing w:val="-4"/>
          <w:sz w:val="24"/>
          <w:szCs w:val="24"/>
          <w:lang w:val="da-DK"/>
        </w:rPr>
        <w:t xml:space="preserve"> </w:t>
      </w:r>
      <w:r w:rsidRPr="00B24633">
        <w:rPr>
          <w:sz w:val="24"/>
          <w:szCs w:val="24"/>
          <w:lang w:val="da-DK"/>
        </w:rPr>
        <w:t>vedrørende</w:t>
      </w:r>
      <w:r w:rsidRPr="00B24633">
        <w:rPr>
          <w:spacing w:val="-4"/>
          <w:sz w:val="24"/>
          <w:szCs w:val="24"/>
          <w:lang w:val="da-DK"/>
        </w:rPr>
        <w:t xml:space="preserve"> </w:t>
      </w:r>
      <w:r w:rsidRPr="00B24633">
        <w:rPr>
          <w:sz w:val="24"/>
          <w:szCs w:val="24"/>
          <w:lang w:val="da-DK"/>
        </w:rPr>
        <w:t>hæmodynamisk</w:t>
      </w:r>
      <w:r w:rsidRPr="00B24633">
        <w:rPr>
          <w:spacing w:val="-2"/>
          <w:sz w:val="24"/>
          <w:szCs w:val="24"/>
          <w:lang w:val="da-DK"/>
        </w:rPr>
        <w:t xml:space="preserve"> </w:t>
      </w:r>
      <w:r w:rsidRPr="00B24633">
        <w:rPr>
          <w:sz w:val="24"/>
          <w:szCs w:val="24"/>
          <w:lang w:val="da-DK"/>
        </w:rPr>
        <w:t>ustabile</w:t>
      </w:r>
      <w:r w:rsidRPr="00B24633">
        <w:rPr>
          <w:spacing w:val="-4"/>
          <w:sz w:val="24"/>
          <w:szCs w:val="24"/>
          <w:lang w:val="da-DK"/>
        </w:rPr>
        <w:t xml:space="preserve"> patienter</w:t>
      </w:r>
      <w:r w:rsidRPr="00B24633">
        <w:rPr>
          <w:spacing w:val="-2"/>
          <w:sz w:val="24"/>
          <w:szCs w:val="24"/>
          <w:lang w:val="da-DK"/>
        </w:rPr>
        <w:t xml:space="preserve"> </w:t>
      </w:r>
      <w:r w:rsidRPr="00B24633">
        <w:rPr>
          <w:sz w:val="24"/>
          <w:szCs w:val="24"/>
          <w:lang w:val="da-DK"/>
        </w:rPr>
        <w:t>med</w:t>
      </w:r>
      <w:r w:rsidRPr="00B24633">
        <w:rPr>
          <w:spacing w:val="-3"/>
          <w:sz w:val="24"/>
          <w:szCs w:val="24"/>
          <w:lang w:val="da-DK"/>
        </w:rPr>
        <w:t xml:space="preserve"> </w:t>
      </w:r>
      <w:r w:rsidRPr="00B24633">
        <w:rPr>
          <w:sz w:val="24"/>
          <w:szCs w:val="24"/>
          <w:lang w:val="da-DK"/>
        </w:rPr>
        <w:t>lungeemboli).</w:t>
      </w:r>
    </w:p>
    <w:p w14:paraId="069D8105" w14:textId="77777777" w:rsidR="00F61E6E" w:rsidRPr="00B24633" w:rsidRDefault="00F61E6E" w:rsidP="00B24633">
      <w:pPr>
        <w:pStyle w:val="Brdtekst"/>
        <w:spacing w:before="11"/>
        <w:ind w:left="851"/>
        <w:rPr>
          <w:sz w:val="24"/>
          <w:szCs w:val="24"/>
          <w:lang w:val="da-DK"/>
        </w:rPr>
      </w:pPr>
    </w:p>
    <w:p w14:paraId="636B4520" w14:textId="77777777" w:rsidR="00F61E6E" w:rsidRPr="00B24633" w:rsidRDefault="00F61E6E" w:rsidP="00B24633">
      <w:pPr>
        <w:pStyle w:val="Brdtekst"/>
        <w:spacing w:before="11"/>
        <w:ind w:left="851"/>
        <w:rPr>
          <w:sz w:val="24"/>
          <w:szCs w:val="24"/>
          <w:u w:val="single"/>
          <w:lang w:val="da-DK"/>
        </w:rPr>
      </w:pPr>
      <w:r w:rsidRPr="00B24633">
        <w:rPr>
          <w:sz w:val="24"/>
          <w:szCs w:val="24"/>
          <w:u w:val="single"/>
          <w:lang w:val="da-DK"/>
        </w:rPr>
        <w:t>15 mg</w:t>
      </w:r>
    </w:p>
    <w:p w14:paraId="2547D230" w14:textId="77777777" w:rsidR="00F61E6E" w:rsidRPr="00B24633" w:rsidRDefault="00F61E6E" w:rsidP="00B24633">
      <w:pPr>
        <w:ind w:left="858"/>
        <w:rPr>
          <w:i/>
          <w:sz w:val="24"/>
          <w:szCs w:val="24"/>
        </w:rPr>
      </w:pPr>
      <w:r w:rsidRPr="00B24633">
        <w:rPr>
          <w:i/>
          <w:sz w:val="24"/>
          <w:szCs w:val="24"/>
        </w:rPr>
        <w:t>Pædiatrisk</w:t>
      </w:r>
      <w:r w:rsidRPr="00B24633">
        <w:rPr>
          <w:i/>
          <w:spacing w:val="-3"/>
          <w:sz w:val="24"/>
          <w:szCs w:val="24"/>
        </w:rPr>
        <w:t xml:space="preserve"> </w:t>
      </w:r>
      <w:r w:rsidRPr="00B24633">
        <w:rPr>
          <w:i/>
          <w:sz w:val="24"/>
          <w:szCs w:val="24"/>
        </w:rPr>
        <w:t>population</w:t>
      </w:r>
    </w:p>
    <w:p w14:paraId="4F57550D" w14:textId="77777777" w:rsidR="00F61E6E" w:rsidRPr="00B24633" w:rsidRDefault="00F61E6E" w:rsidP="00B24633">
      <w:pPr>
        <w:pStyle w:val="Brdtekst"/>
        <w:ind w:left="858"/>
        <w:rPr>
          <w:sz w:val="24"/>
          <w:szCs w:val="24"/>
          <w:lang w:val="da-DK"/>
        </w:rPr>
      </w:pPr>
      <w:r w:rsidRPr="00B24633">
        <w:rPr>
          <w:sz w:val="24"/>
          <w:szCs w:val="24"/>
          <w:lang w:val="da-DK"/>
        </w:rPr>
        <w:t>Behandling af venøs tromboemboli (VTE) og forebyggelse af recidiverende VTE hos børn og unge i</w:t>
      </w:r>
      <w:r w:rsidRPr="00B24633">
        <w:rPr>
          <w:spacing w:val="-52"/>
          <w:sz w:val="24"/>
          <w:szCs w:val="24"/>
          <w:lang w:val="da-DK"/>
        </w:rPr>
        <w:t xml:space="preserve"> </w:t>
      </w:r>
      <w:r w:rsidRPr="00B24633">
        <w:rPr>
          <w:sz w:val="24"/>
          <w:szCs w:val="24"/>
          <w:lang w:val="da-DK"/>
        </w:rPr>
        <w:t>alderen under 18 år, der vejer fra 30 kg til 50 kg efter mindst 5 dage med indledende parenteral</w:t>
      </w:r>
      <w:r w:rsidRPr="00B24633">
        <w:rPr>
          <w:spacing w:val="1"/>
          <w:sz w:val="24"/>
          <w:szCs w:val="24"/>
          <w:lang w:val="da-DK"/>
        </w:rPr>
        <w:t xml:space="preserve"> </w:t>
      </w:r>
      <w:r w:rsidRPr="00B24633">
        <w:rPr>
          <w:sz w:val="24"/>
          <w:szCs w:val="24"/>
          <w:lang w:val="da-DK"/>
        </w:rPr>
        <w:t>antikoagulationsbehandling.</w:t>
      </w:r>
    </w:p>
    <w:p w14:paraId="6466B6DA" w14:textId="77777777" w:rsidR="00F61E6E" w:rsidRPr="00B24633" w:rsidRDefault="00F61E6E" w:rsidP="00B24633">
      <w:pPr>
        <w:pStyle w:val="Brdtekst"/>
        <w:ind w:left="858"/>
        <w:rPr>
          <w:sz w:val="24"/>
          <w:szCs w:val="24"/>
          <w:lang w:val="da-DK"/>
        </w:rPr>
      </w:pPr>
    </w:p>
    <w:p w14:paraId="5381AEF2" w14:textId="77777777" w:rsidR="00F61E6E" w:rsidRPr="00B24633" w:rsidRDefault="00F61E6E" w:rsidP="00B24633">
      <w:pPr>
        <w:pStyle w:val="Brdtekst"/>
        <w:spacing w:before="11"/>
        <w:ind w:left="851"/>
        <w:rPr>
          <w:sz w:val="24"/>
          <w:szCs w:val="24"/>
          <w:u w:val="single"/>
          <w:lang w:val="da-DK"/>
        </w:rPr>
      </w:pPr>
      <w:r w:rsidRPr="00B24633">
        <w:rPr>
          <w:sz w:val="24"/>
          <w:szCs w:val="24"/>
          <w:u w:val="single"/>
          <w:lang w:val="da-DK"/>
        </w:rPr>
        <w:t>20 mg</w:t>
      </w:r>
    </w:p>
    <w:p w14:paraId="31216D61" w14:textId="77777777" w:rsidR="00F61E6E" w:rsidRPr="00B24633" w:rsidRDefault="00F61E6E" w:rsidP="00B24633">
      <w:pPr>
        <w:ind w:left="858"/>
        <w:rPr>
          <w:i/>
          <w:sz w:val="24"/>
          <w:szCs w:val="24"/>
        </w:rPr>
      </w:pPr>
      <w:r w:rsidRPr="00B24633">
        <w:rPr>
          <w:i/>
          <w:sz w:val="24"/>
          <w:szCs w:val="24"/>
        </w:rPr>
        <w:t>Pædiatrisk</w:t>
      </w:r>
      <w:r w:rsidRPr="00B24633">
        <w:rPr>
          <w:i/>
          <w:spacing w:val="-3"/>
          <w:sz w:val="24"/>
          <w:szCs w:val="24"/>
        </w:rPr>
        <w:t xml:space="preserve"> </w:t>
      </w:r>
      <w:r w:rsidRPr="00B24633">
        <w:rPr>
          <w:i/>
          <w:sz w:val="24"/>
          <w:szCs w:val="24"/>
        </w:rPr>
        <w:t>population</w:t>
      </w:r>
    </w:p>
    <w:p w14:paraId="6A6DF88E" w14:textId="77777777" w:rsidR="00F61E6E" w:rsidRPr="00B24633" w:rsidRDefault="00F61E6E" w:rsidP="00B24633">
      <w:pPr>
        <w:pStyle w:val="Brdtekst"/>
        <w:ind w:left="858"/>
        <w:rPr>
          <w:sz w:val="24"/>
          <w:szCs w:val="24"/>
          <w:lang w:val="da-DK"/>
        </w:rPr>
      </w:pPr>
      <w:r w:rsidRPr="00B24633">
        <w:rPr>
          <w:sz w:val="24"/>
          <w:szCs w:val="24"/>
          <w:lang w:val="da-DK"/>
        </w:rPr>
        <w:t>Behandling af venøs tromboemboli (VTE) og forebyggelse af recidiverende VTE hos børn og unge i</w:t>
      </w:r>
      <w:r w:rsidRPr="00B24633">
        <w:rPr>
          <w:spacing w:val="-52"/>
          <w:sz w:val="24"/>
          <w:szCs w:val="24"/>
          <w:lang w:val="da-DK"/>
        </w:rPr>
        <w:t xml:space="preserve"> </w:t>
      </w:r>
      <w:r w:rsidRPr="00B24633">
        <w:rPr>
          <w:sz w:val="24"/>
          <w:szCs w:val="24"/>
          <w:lang w:val="da-DK"/>
        </w:rPr>
        <w:t>alderen under 18 år, der vejer mere end 50 kg efter mindst 5 dage med indledende parenteral</w:t>
      </w:r>
      <w:r w:rsidRPr="00B24633">
        <w:rPr>
          <w:spacing w:val="1"/>
          <w:sz w:val="24"/>
          <w:szCs w:val="24"/>
          <w:lang w:val="da-DK"/>
        </w:rPr>
        <w:t xml:space="preserve"> </w:t>
      </w:r>
      <w:r w:rsidRPr="00B24633">
        <w:rPr>
          <w:sz w:val="24"/>
          <w:szCs w:val="24"/>
          <w:lang w:val="da-DK"/>
        </w:rPr>
        <w:t>antikoagulationsbehandling.</w:t>
      </w:r>
    </w:p>
    <w:p w14:paraId="6FBC264B" w14:textId="77777777" w:rsidR="009260DE" w:rsidRPr="00B24633" w:rsidRDefault="009260DE" w:rsidP="00B24633">
      <w:pPr>
        <w:tabs>
          <w:tab w:val="left" w:pos="851"/>
        </w:tabs>
        <w:ind w:left="851"/>
        <w:rPr>
          <w:sz w:val="24"/>
          <w:szCs w:val="24"/>
        </w:rPr>
      </w:pPr>
    </w:p>
    <w:p w14:paraId="20160A07" w14:textId="77777777" w:rsidR="009260DE" w:rsidRPr="00B24633" w:rsidRDefault="009260DE" w:rsidP="00B24633">
      <w:pPr>
        <w:tabs>
          <w:tab w:val="left" w:pos="851"/>
        </w:tabs>
        <w:ind w:left="851" w:hanging="851"/>
        <w:rPr>
          <w:b/>
          <w:sz w:val="24"/>
          <w:szCs w:val="24"/>
        </w:rPr>
      </w:pPr>
      <w:r w:rsidRPr="00B24633">
        <w:rPr>
          <w:b/>
          <w:sz w:val="24"/>
          <w:szCs w:val="24"/>
        </w:rPr>
        <w:t>4.2</w:t>
      </w:r>
      <w:r w:rsidRPr="00B24633">
        <w:rPr>
          <w:b/>
          <w:sz w:val="24"/>
          <w:szCs w:val="24"/>
        </w:rPr>
        <w:tab/>
        <w:t xml:space="preserve">Dosering og </w:t>
      </w:r>
      <w:r w:rsidR="002C1EC0" w:rsidRPr="00B24633">
        <w:rPr>
          <w:b/>
          <w:sz w:val="24"/>
          <w:szCs w:val="24"/>
        </w:rPr>
        <w:t>administration</w:t>
      </w:r>
    </w:p>
    <w:p w14:paraId="32C3B9DE" w14:textId="77777777" w:rsidR="00505B18" w:rsidRPr="00B24633" w:rsidRDefault="00505B18" w:rsidP="00B24633">
      <w:pPr>
        <w:tabs>
          <w:tab w:val="left" w:pos="851"/>
        </w:tabs>
        <w:ind w:left="851"/>
        <w:rPr>
          <w:sz w:val="24"/>
          <w:szCs w:val="24"/>
          <w:u w:val="single"/>
        </w:rPr>
      </w:pPr>
      <w:bookmarkStart w:id="0" w:name="_Hlk134010788"/>
      <w:bookmarkStart w:id="1" w:name="_Hlk134010834"/>
    </w:p>
    <w:p w14:paraId="27E2D564" w14:textId="2370A056" w:rsidR="00F61E6E" w:rsidRPr="00B24633" w:rsidRDefault="00F61E6E" w:rsidP="00B24633">
      <w:pPr>
        <w:tabs>
          <w:tab w:val="left" w:pos="851"/>
        </w:tabs>
        <w:ind w:left="851"/>
        <w:rPr>
          <w:sz w:val="24"/>
          <w:szCs w:val="24"/>
          <w:u w:val="single"/>
        </w:rPr>
      </w:pPr>
      <w:r w:rsidRPr="00B24633">
        <w:rPr>
          <w:sz w:val="24"/>
          <w:szCs w:val="24"/>
          <w:u w:val="single"/>
        </w:rPr>
        <w:t>Dosering</w:t>
      </w:r>
    </w:p>
    <w:p w14:paraId="44212C87" w14:textId="77777777" w:rsidR="00F61E6E" w:rsidRPr="00B24633" w:rsidRDefault="00F61E6E" w:rsidP="00B24633">
      <w:pPr>
        <w:tabs>
          <w:tab w:val="left" w:pos="851"/>
        </w:tabs>
        <w:ind w:left="851"/>
        <w:rPr>
          <w:sz w:val="24"/>
          <w:szCs w:val="24"/>
          <w:u w:val="single"/>
        </w:rPr>
      </w:pPr>
    </w:p>
    <w:p w14:paraId="47B610A8" w14:textId="77777777" w:rsidR="00F61E6E" w:rsidRPr="00B24633" w:rsidRDefault="00F61E6E" w:rsidP="00B24633">
      <w:pPr>
        <w:tabs>
          <w:tab w:val="left" w:pos="851"/>
        </w:tabs>
        <w:ind w:left="851"/>
        <w:rPr>
          <w:i/>
          <w:sz w:val="24"/>
          <w:szCs w:val="24"/>
        </w:rPr>
      </w:pPr>
      <w:r w:rsidRPr="00B24633">
        <w:rPr>
          <w:i/>
          <w:sz w:val="24"/>
          <w:szCs w:val="24"/>
        </w:rPr>
        <w:t>Forebyggelse af apopleksi og systemisk emboli hos voksne</w:t>
      </w:r>
    </w:p>
    <w:p w14:paraId="2EA9E02A" w14:textId="77777777" w:rsidR="00F61E6E" w:rsidRPr="00B24633" w:rsidRDefault="00F61E6E" w:rsidP="00B24633">
      <w:pPr>
        <w:tabs>
          <w:tab w:val="left" w:pos="851"/>
        </w:tabs>
        <w:ind w:left="851"/>
        <w:rPr>
          <w:sz w:val="24"/>
          <w:szCs w:val="24"/>
        </w:rPr>
      </w:pPr>
      <w:r w:rsidRPr="00B24633">
        <w:rPr>
          <w:sz w:val="24"/>
          <w:szCs w:val="24"/>
        </w:rPr>
        <w:t>Den anbefalede dosis er 20 mg én gang dagligt, hvilket samtidig er anbefalet maksimal dosis.</w:t>
      </w:r>
    </w:p>
    <w:p w14:paraId="46096AA6" w14:textId="77777777" w:rsidR="00F61E6E" w:rsidRPr="00B24633" w:rsidRDefault="00F61E6E" w:rsidP="00B24633">
      <w:pPr>
        <w:tabs>
          <w:tab w:val="left" w:pos="851"/>
        </w:tabs>
        <w:ind w:left="851"/>
        <w:rPr>
          <w:sz w:val="24"/>
          <w:szCs w:val="24"/>
        </w:rPr>
      </w:pPr>
    </w:p>
    <w:p w14:paraId="724D2F67" w14:textId="49956ACD" w:rsidR="00F61E6E" w:rsidRPr="00B24633" w:rsidRDefault="00F61E6E" w:rsidP="00B24633">
      <w:pPr>
        <w:tabs>
          <w:tab w:val="left" w:pos="851"/>
        </w:tabs>
        <w:ind w:left="851"/>
        <w:rPr>
          <w:sz w:val="24"/>
          <w:szCs w:val="24"/>
        </w:rPr>
      </w:pPr>
      <w:r w:rsidRPr="00B24633">
        <w:rPr>
          <w:sz w:val="24"/>
          <w:szCs w:val="24"/>
        </w:rPr>
        <w:t xml:space="preserve">Behandling med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bør fortsættes langsigtet, forudsat fordelen ved forebyggelse af apopleksi og systemisk emboli overstiger risikoen ved blødning (se pkt. 4.4).</w:t>
      </w:r>
    </w:p>
    <w:p w14:paraId="16207F1A" w14:textId="77777777" w:rsidR="00F61E6E" w:rsidRPr="00B24633" w:rsidRDefault="00F61E6E" w:rsidP="00B24633">
      <w:pPr>
        <w:tabs>
          <w:tab w:val="left" w:pos="851"/>
        </w:tabs>
        <w:ind w:left="851"/>
        <w:rPr>
          <w:sz w:val="24"/>
          <w:szCs w:val="24"/>
        </w:rPr>
      </w:pPr>
    </w:p>
    <w:p w14:paraId="77B8C582" w14:textId="1D923F31" w:rsidR="00F61E6E" w:rsidRPr="00B24633" w:rsidRDefault="00F61E6E" w:rsidP="00B24633">
      <w:pPr>
        <w:tabs>
          <w:tab w:val="left" w:pos="851"/>
        </w:tabs>
        <w:ind w:left="851"/>
        <w:rPr>
          <w:sz w:val="24"/>
          <w:szCs w:val="24"/>
        </w:rPr>
      </w:pPr>
      <w:r w:rsidRPr="00B24633">
        <w:rPr>
          <w:sz w:val="24"/>
          <w:szCs w:val="24"/>
        </w:rPr>
        <w:t xml:space="preserve">Hvis patienten kommer til at springe en dosis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over, skal pågældende tage denne dosis øjeblikkeligt og fortsætte næste dag med den anbefalede daglige dosis. Patienten må ikke tage dobbelt dosis som erstatning for en oversprunget dosis.</w:t>
      </w:r>
    </w:p>
    <w:p w14:paraId="067E0DDB" w14:textId="77777777" w:rsidR="00F61E6E" w:rsidRPr="00B24633" w:rsidRDefault="00F61E6E" w:rsidP="00B24633">
      <w:pPr>
        <w:tabs>
          <w:tab w:val="left" w:pos="851"/>
        </w:tabs>
        <w:ind w:left="851"/>
        <w:rPr>
          <w:sz w:val="24"/>
          <w:szCs w:val="24"/>
        </w:rPr>
      </w:pPr>
    </w:p>
    <w:p w14:paraId="2CE64754" w14:textId="77777777" w:rsidR="00F61E6E" w:rsidRPr="00B24633" w:rsidRDefault="00F61E6E" w:rsidP="00B24633">
      <w:pPr>
        <w:tabs>
          <w:tab w:val="left" w:pos="851"/>
        </w:tabs>
        <w:ind w:left="851"/>
        <w:rPr>
          <w:i/>
          <w:sz w:val="24"/>
          <w:szCs w:val="24"/>
        </w:rPr>
      </w:pPr>
      <w:r w:rsidRPr="00B24633">
        <w:rPr>
          <w:i/>
          <w:sz w:val="24"/>
          <w:szCs w:val="24"/>
        </w:rPr>
        <w:t xml:space="preserve">Behandling af DVT, behandling af PE og forebyggelse af recidiverende DVT og PE hos voksne </w:t>
      </w:r>
    </w:p>
    <w:p w14:paraId="194B20E8" w14:textId="77777777" w:rsidR="00F61E6E" w:rsidRPr="00B24633" w:rsidRDefault="00F61E6E" w:rsidP="00B24633">
      <w:pPr>
        <w:tabs>
          <w:tab w:val="left" w:pos="851"/>
        </w:tabs>
        <w:ind w:left="851"/>
        <w:rPr>
          <w:sz w:val="24"/>
          <w:szCs w:val="24"/>
        </w:rPr>
      </w:pPr>
      <w:r w:rsidRPr="00B24633">
        <w:rPr>
          <w:sz w:val="24"/>
          <w:szCs w:val="24"/>
        </w:rPr>
        <w:t>Anbefalet dosis for indledende behandling af akut DVT eller PE er 15 mg to gange dagligt i de første tre uger og derefter fortsat behandling og forebyggelse af recidiverende DVT og PE med 20 mg én gang dagligt.</w:t>
      </w:r>
    </w:p>
    <w:p w14:paraId="723A3161" w14:textId="77777777" w:rsidR="00F61E6E" w:rsidRPr="00B24633" w:rsidRDefault="00F61E6E" w:rsidP="00B24633">
      <w:pPr>
        <w:tabs>
          <w:tab w:val="left" w:pos="851"/>
        </w:tabs>
        <w:ind w:left="851"/>
        <w:rPr>
          <w:sz w:val="24"/>
          <w:szCs w:val="24"/>
        </w:rPr>
      </w:pPr>
      <w:r w:rsidRPr="00B24633">
        <w:rPr>
          <w:sz w:val="24"/>
          <w:szCs w:val="24"/>
        </w:rPr>
        <w:t>En kort behandlingsvarighed (mindst 3 måneder) bør overvejes hos patienter med DVT eller PE fremkaldt af større midlertidige risikofaktorer (f.eks. nyligt større kirurgisk indgreb eller traume). Længere behandlingsvarighed bør overvejes hos patienter med provokeret DVT eller PE, som ikke er forbundet med større midlertidige risikofaktorer, idiopatisk DVT eller PE, eller en anamnese med recidiverende DVT eller PE.</w:t>
      </w:r>
    </w:p>
    <w:p w14:paraId="3D8552EB" w14:textId="77777777" w:rsidR="00F61E6E" w:rsidRPr="00B24633" w:rsidRDefault="00F61E6E" w:rsidP="00B24633">
      <w:pPr>
        <w:tabs>
          <w:tab w:val="left" w:pos="851"/>
        </w:tabs>
        <w:ind w:left="851"/>
        <w:rPr>
          <w:sz w:val="24"/>
          <w:szCs w:val="24"/>
        </w:rPr>
      </w:pPr>
    </w:p>
    <w:p w14:paraId="3ECAE4CD" w14:textId="7F9D8DEE" w:rsidR="00F61E6E" w:rsidRPr="00B24633" w:rsidRDefault="00F61E6E" w:rsidP="00B24633">
      <w:pPr>
        <w:tabs>
          <w:tab w:val="left" w:pos="851"/>
        </w:tabs>
        <w:ind w:left="851"/>
        <w:rPr>
          <w:sz w:val="24"/>
          <w:szCs w:val="24"/>
        </w:rPr>
      </w:pPr>
      <w:r w:rsidRPr="00B24633">
        <w:rPr>
          <w:sz w:val="24"/>
          <w:szCs w:val="24"/>
        </w:rPr>
        <w:t xml:space="preserve">Når forlænget forebyggelse af recidiverende DVT og PE er indiceret (efter mindst 6 måneders behandling af DVT eller PE), er den anbefalede dosis 10 mg én gang dagligt. Hos de patienter, hvor risikoen for recidiverende DVT eller PE anses for at være høj, f.eks. patienter med komplicerede comorbiditeter, eller patienter med recidiverende DVT eller PE under udvidet forebyggelses behandling med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10 mg én gang dagligt, bør en dosis med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20 mg én gang dagligt overvejes.</w:t>
      </w:r>
    </w:p>
    <w:p w14:paraId="08B867BD" w14:textId="77777777" w:rsidR="00F61E6E" w:rsidRPr="00B24633" w:rsidRDefault="00F61E6E" w:rsidP="00B24633">
      <w:pPr>
        <w:tabs>
          <w:tab w:val="left" w:pos="851"/>
        </w:tabs>
        <w:ind w:left="851"/>
        <w:rPr>
          <w:sz w:val="24"/>
          <w:szCs w:val="24"/>
        </w:rPr>
      </w:pPr>
    </w:p>
    <w:p w14:paraId="25707A47" w14:textId="77777777" w:rsidR="00F61E6E" w:rsidRPr="00B24633" w:rsidRDefault="00F61E6E" w:rsidP="00B24633">
      <w:pPr>
        <w:tabs>
          <w:tab w:val="left" w:pos="851"/>
        </w:tabs>
        <w:ind w:left="851"/>
        <w:rPr>
          <w:sz w:val="24"/>
          <w:szCs w:val="24"/>
        </w:rPr>
      </w:pPr>
      <w:r w:rsidRPr="00B24633">
        <w:rPr>
          <w:sz w:val="24"/>
          <w:szCs w:val="24"/>
        </w:rPr>
        <w:lastRenderedPageBreak/>
        <w:t>Behandlingens varighed og valg af dosis skal fastsættes individuelt efter omhyggelig afvejning af fordelen ved behandling mod risikoen for blødning (se pkt. 4.4).</w:t>
      </w:r>
    </w:p>
    <w:bookmarkEnd w:id="0"/>
    <w:p w14:paraId="670FCD9B" w14:textId="77777777" w:rsidR="00F61E6E" w:rsidRPr="00B24633" w:rsidRDefault="00F61E6E" w:rsidP="00B24633">
      <w:pPr>
        <w:tabs>
          <w:tab w:val="left" w:pos="851"/>
        </w:tabs>
        <w:ind w:left="851"/>
        <w:rPr>
          <w:sz w:val="24"/>
          <w:szCs w:val="24"/>
        </w:rPr>
      </w:pP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51"/>
        <w:gridCol w:w="2152"/>
        <w:gridCol w:w="2151"/>
        <w:gridCol w:w="2152"/>
      </w:tblGrid>
      <w:tr w:rsidR="00F61E6E" w:rsidRPr="00B24633" w14:paraId="02CD1783" w14:textId="77777777" w:rsidTr="00505B18">
        <w:trPr>
          <w:trHeight w:val="315"/>
        </w:trPr>
        <w:tc>
          <w:tcPr>
            <w:tcW w:w="2151" w:type="dxa"/>
          </w:tcPr>
          <w:p w14:paraId="644FAF03" w14:textId="77777777" w:rsidR="00F61E6E" w:rsidRPr="00B24633" w:rsidRDefault="00F61E6E" w:rsidP="00B24633">
            <w:pPr>
              <w:widowControl w:val="0"/>
              <w:autoSpaceDE w:val="0"/>
              <w:autoSpaceDN w:val="0"/>
              <w:rPr>
                <w:sz w:val="22"/>
                <w:szCs w:val="22"/>
              </w:rPr>
            </w:pPr>
          </w:p>
        </w:tc>
        <w:tc>
          <w:tcPr>
            <w:tcW w:w="2152" w:type="dxa"/>
          </w:tcPr>
          <w:p w14:paraId="5FFA0205" w14:textId="77777777" w:rsidR="00F61E6E" w:rsidRPr="00B24633" w:rsidRDefault="00F61E6E" w:rsidP="00B24633">
            <w:pPr>
              <w:widowControl w:val="0"/>
              <w:autoSpaceDE w:val="0"/>
              <w:autoSpaceDN w:val="0"/>
              <w:spacing w:before="3"/>
              <w:ind w:left="141"/>
              <w:rPr>
                <w:b/>
                <w:bCs/>
                <w:sz w:val="22"/>
                <w:szCs w:val="22"/>
              </w:rPr>
            </w:pPr>
            <w:r w:rsidRPr="00B24633">
              <w:rPr>
                <w:b/>
                <w:bCs/>
                <w:sz w:val="22"/>
                <w:szCs w:val="22"/>
              </w:rPr>
              <w:t>Tidsperiode</w:t>
            </w:r>
          </w:p>
        </w:tc>
        <w:tc>
          <w:tcPr>
            <w:tcW w:w="2151" w:type="dxa"/>
          </w:tcPr>
          <w:p w14:paraId="152C644B" w14:textId="77777777" w:rsidR="00F61E6E" w:rsidRPr="00B24633" w:rsidRDefault="00F61E6E" w:rsidP="00B24633">
            <w:pPr>
              <w:widowControl w:val="0"/>
              <w:autoSpaceDE w:val="0"/>
              <w:autoSpaceDN w:val="0"/>
              <w:spacing w:before="3"/>
              <w:ind w:left="141"/>
              <w:rPr>
                <w:b/>
                <w:bCs/>
                <w:sz w:val="22"/>
                <w:szCs w:val="22"/>
              </w:rPr>
            </w:pPr>
            <w:r w:rsidRPr="00B24633">
              <w:rPr>
                <w:b/>
                <w:bCs/>
                <w:sz w:val="22"/>
                <w:szCs w:val="22"/>
              </w:rPr>
              <w:t>Doseringsplan</w:t>
            </w:r>
          </w:p>
        </w:tc>
        <w:tc>
          <w:tcPr>
            <w:tcW w:w="2152" w:type="dxa"/>
          </w:tcPr>
          <w:p w14:paraId="631048FE" w14:textId="77777777" w:rsidR="00F61E6E" w:rsidRPr="00B24633" w:rsidRDefault="00F61E6E" w:rsidP="00B24633">
            <w:pPr>
              <w:widowControl w:val="0"/>
              <w:autoSpaceDE w:val="0"/>
              <w:autoSpaceDN w:val="0"/>
              <w:spacing w:before="3"/>
              <w:ind w:left="140"/>
              <w:rPr>
                <w:b/>
                <w:bCs/>
                <w:sz w:val="22"/>
                <w:szCs w:val="22"/>
              </w:rPr>
            </w:pPr>
            <w:r w:rsidRPr="00B24633">
              <w:rPr>
                <w:b/>
                <w:bCs/>
                <w:sz w:val="22"/>
                <w:szCs w:val="22"/>
              </w:rPr>
              <w:t>Total</w:t>
            </w:r>
            <w:r w:rsidRPr="00B24633">
              <w:rPr>
                <w:b/>
                <w:bCs/>
                <w:spacing w:val="-1"/>
                <w:sz w:val="22"/>
                <w:szCs w:val="22"/>
              </w:rPr>
              <w:t xml:space="preserve"> </w:t>
            </w:r>
            <w:r w:rsidRPr="00B24633">
              <w:rPr>
                <w:b/>
                <w:bCs/>
                <w:sz w:val="22"/>
                <w:szCs w:val="22"/>
              </w:rPr>
              <w:t>daglig</w:t>
            </w:r>
            <w:r w:rsidRPr="00B24633">
              <w:rPr>
                <w:b/>
                <w:bCs/>
                <w:spacing w:val="-2"/>
                <w:sz w:val="22"/>
                <w:szCs w:val="22"/>
              </w:rPr>
              <w:t xml:space="preserve"> </w:t>
            </w:r>
            <w:r w:rsidRPr="00B24633">
              <w:rPr>
                <w:b/>
                <w:bCs/>
                <w:sz w:val="22"/>
                <w:szCs w:val="22"/>
              </w:rPr>
              <w:t>dosis</w:t>
            </w:r>
          </w:p>
        </w:tc>
      </w:tr>
      <w:tr w:rsidR="00F61E6E" w:rsidRPr="00B24633" w14:paraId="566CD38C" w14:textId="77777777" w:rsidTr="00505B18">
        <w:trPr>
          <w:trHeight w:val="574"/>
        </w:trPr>
        <w:tc>
          <w:tcPr>
            <w:tcW w:w="2151" w:type="dxa"/>
            <w:vMerge w:val="restart"/>
          </w:tcPr>
          <w:p w14:paraId="110BAAE6" w14:textId="77777777" w:rsidR="00F61E6E" w:rsidRPr="00B24633" w:rsidRDefault="00F61E6E" w:rsidP="00B24633">
            <w:pPr>
              <w:widowControl w:val="0"/>
              <w:autoSpaceDE w:val="0"/>
              <w:autoSpaceDN w:val="0"/>
              <w:spacing w:before="3" w:line="247" w:lineRule="auto"/>
              <w:ind w:left="141"/>
              <w:rPr>
                <w:sz w:val="22"/>
                <w:szCs w:val="22"/>
              </w:rPr>
            </w:pPr>
            <w:r w:rsidRPr="00B24633">
              <w:rPr>
                <w:sz w:val="22"/>
                <w:szCs w:val="22"/>
              </w:rPr>
              <w:t>Behandling og</w:t>
            </w:r>
            <w:r w:rsidRPr="00B24633">
              <w:rPr>
                <w:spacing w:val="1"/>
                <w:sz w:val="22"/>
                <w:szCs w:val="22"/>
              </w:rPr>
              <w:t xml:space="preserve"> </w:t>
            </w:r>
            <w:r w:rsidRPr="00B24633">
              <w:rPr>
                <w:sz w:val="22"/>
                <w:szCs w:val="22"/>
              </w:rPr>
              <w:t>forebyggelse af recidiv af DVT og PE</w:t>
            </w:r>
          </w:p>
        </w:tc>
        <w:tc>
          <w:tcPr>
            <w:tcW w:w="2152" w:type="dxa"/>
          </w:tcPr>
          <w:p w14:paraId="07A7F6C7" w14:textId="77777777" w:rsidR="00F61E6E" w:rsidRPr="00B24633" w:rsidRDefault="00F61E6E" w:rsidP="00B24633">
            <w:pPr>
              <w:widowControl w:val="0"/>
              <w:autoSpaceDE w:val="0"/>
              <w:autoSpaceDN w:val="0"/>
              <w:spacing w:before="3"/>
              <w:ind w:left="141"/>
              <w:rPr>
                <w:sz w:val="22"/>
                <w:szCs w:val="22"/>
              </w:rPr>
            </w:pPr>
            <w:r w:rsidRPr="00B24633">
              <w:rPr>
                <w:sz w:val="22"/>
                <w:szCs w:val="22"/>
              </w:rPr>
              <w:t>Dag 1-21</w:t>
            </w:r>
          </w:p>
        </w:tc>
        <w:tc>
          <w:tcPr>
            <w:tcW w:w="2151" w:type="dxa"/>
          </w:tcPr>
          <w:p w14:paraId="51B2E3C5" w14:textId="77777777" w:rsidR="00F61E6E" w:rsidRPr="00B24633" w:rsidRDefault="00F61E6E" w:rsidP="00B24633">
            <w:pPr>
              <w:widowControl w:val="0"/>
              <w:autoSpaceDE w:val="0"/>
              <w:autoSpaceDN w:val="0"/>
              <w:spacing w:before="3"/>
              <w:ind w:left="141"/>
              <w:rPr>
                <w:sz w:val="22"/>
                <w:szCs w:val="22"/>
              </w:rPr>
            </w:pPr>
            <w:r w:rsidRPr="00B24633">
              <w:rPr>
                <w:sz w:val="22"/>
                <w:szCs w:val="22"/>
              </w:rPr>
              <w:t>15</w:t>
            </w:r>
            <w:r w:rsidRPr="00B24633">
              <w:rPr>
                <w:spacing w:val="-1"/>
                <w:sz w:val="22"/>
                <w:szCs w:val="22"/>
              </w:rPr>
              <w:t xml:space="preserve"> mg </w:t>
            </w:r>
            <w:r w:rsidRPr="00B24633">
              <w:rPr>
                <w:sz w:val="22"/>
                <w:szCs w:val="22"/>
              </w:rPr>
              <w:t>to</w:t>
            </w:r>
            <w:r w:rsidRPr="00B24633">
              <w:rPr>
                <w:spacing w:val="-2"/>
                <w:sz w:val="22"/>
                <w:szCs w:val="22"/>
              </w:rPr>
              <w:t> </w:t>
            </w:r>
            <w:r w:rsidRPr="00B24633">
              <w:rPr>
                <w:sz w:val="22"/>
                <w:szCs w:val="22"/>
              </w:rPr>
              <w:t>gange</w:t>
            </w:r>
            <w:r w:rsidRPr="00B24633">
              <w:rPr>
                <w:spacing w:val="-2"/>
                <w:sz w:val="22"/>
                <w:szCs w:val="22"/>
              </w:rPr>
              <w:t xml:space="preserve"> </w:t>
            </w:r>
            <w:r w:rsidRPr="00B24633">
              <w:rPr>
                <w:sz w:val="22"/>
                <w:szCs w:val="22"/>
              </w:rPr>
              <w:t>dagligt</w:t>
            </w:r>
          </w:p>
        </w:tc>
        <w:tc>
          <w:tcPr>
            <w:tcW w:w="2152" w:type="dxa"/>
          </w:tcPr>
          <w:p w14:paraId="56D8CE3D" w14:textId="77777777" w:rsidR="00F61E6E" w:rsidRPr="00B24633" w:rsidRDefault="00F61E6E" w:rsidP="00B24633">
            <w:pPr>
              <w:widowControl w:val="0"/>
              <w:autoSpaceDE w:val="0"/>
              <w:autoSpaceDN w:val="0"/>
              <w:spacing w:before="3"/>
              <w:ind w:left="140"/>
              <w:rPr>
                <w:sz w:val="22"/>
                <w:szCs w:val="22"/>
              </w:rPr>
            </w:pPr>
            <w:r w:rsidRPr="00B24633">
              <w:rPr>
                <w:sz w:val="22"/>
                <w:szCs w:val="22"/>
              </w:rPr>
              <w:t>30</w:t>
            </w:r>
            <w:r w:rsidRPr="00B24633">
              <w:rPr>
                <w:spacing w:val="-1"/>
                <w:sz w:val="22"/>
                <w:szCs w:val="22"/>
              </w:rPr>
              <w:t> mg</w:t>
            </w:r>
          </w:p>
        </w:tc>
      </w:tr>
      <w:tr w:rsidR="00F61E6E" w:rsidRPr="00B24633" w14:paraId="3166A791" w14:textId="77777777" w:rsidTr="00505B18">
        <w:trPr>
          <w:trHeight w:val="479"/>
        </w:trPr>
        <w:tc>
          <w:tcPr>
            <w:tcW w:w="2151" w:type="dxa"/>
            <w:vMerge/>
            <w:tcBorders>
              <w:top w:val="nil"/>
            </w:tcBorders>
          </w:tcPr>
          <w:p w14:paraId="27FC9673" w14:textId="77777777" w:rsidR="00F61E6E" w:rsidRPr="00B24633" w:rsidRDefault="00F61E6E" w:rsidP="00B24633">
            <w:pPr>
              <w:widowControl w:val="0"/>
              <w:autoSpaceDE w:val="0"/>
              <w:autoSpaceDN w:val="0"/>
              <w:rPr>
                <w:sz w:val="22"/>
                <w:szCs w:val="22"/>
              </w:rPr>
            </w:pPr>
          </w:p>
        </w:tc>
        <w:tc>
          <w:tcPr>
            <w:tcW w:w="2152" w:type="dxa"/>
          </w:tcPr>
          <w:p w14:paraId="20248588" w14:textId="77777777" w:rsidR="00F61E6E" w:rsidRPr="00B24633" w:rsidRDefault="00F61E6E" w:rsidP="00B24633">
            <w:pPr>
              <w:widowControl w:val="0"/>
              <w:autoSpaceDE w:val="0"/>
              <w:autoSpaceDN w:val="0"/>
              <w:spacing w:before="3"/>
              <w:ind w:left="141"/>
              <w:rPr>
                <w:sz w:val="22"/>
                <w:szCs w:val="22"/>
              </w:rPr>
            </w:pPr>
            <w:r w:rsidRPr="00B24633">
              <w:rPr>
                <w:sz w:val="22"/>
                <w:szCs w:val="22"/>
              </w:rPr>
              <w:t>Fra</w:t>
            </w:r>
            <w:r w:rsidRPr="00B24633">
              <w:rPr>
                <w:spacing w:val="-2"/>
                <w:sz w:val="22"/>
                <w:szCs w:val="22"/>
              </w:rPr>
              <w:t xml:space="preserve"> </w:t>
            </w:r>
            <w:r w:rsidRPr="00B24633">
              <w:rPr>
                <w:sz w:val="22"/>
                <w:szCs w:val="22"/>
              </w:rPr>
              <w:t>og</w:t>
            </w:r>
            <w:r w:rsidRPr="00B24633">
              <w:rPr>
                <w:spacing w:val="-1"/>
                <w:sz w:val="22"/>
                <w:szCs w:val="22"/>
              </w:rPr>
              <w:t xml:space="preserve"> </w:t>
            </w:r>
            <w:r w:rsidRPr="00B24633">
              <w:rPr>
                <w:sz w:val="22"/>
                <w:szCs w:val="22"/>
              </w:rPr>
              <w:t>med</w:t>
            </w:r>
            <w:r w:rsidRPr="00B24633">
              <w:rPr>
                <w:spacing w:val="-1"/>
                <w:sz w:val="22"/>
                <w:szCs w:val="22"/>
              </w:rPr>
              <w:t xml:space="preserve"> </w:t>
            </w:r>
            <w:r w:rsidRPr="00B24633">
              <w:rPr>
                <w:sz w:val="22"/>
                <w:szCs w:val="22"/>
              </w:rPr>
              <w:t>dag 22</w:t>
            </w:r>
          </w:p>
        </w:tc>
        <w:tc>
          <w:tcPr>
            <w:tcW w:w="2151" w:type="dxa"/>
          </w:tcPr>
          <w:p w14:paraId="34237E62" w14:textId="77777777" w:rsidR="00F61E6E" w:rsidRPr="00B24633" w:rsidRDefault="00F61E6E" w:rsidP="00B24633">
            <w:pPr>
              <w:widowControl w:val="0"/>
              <w:autoSpaceDE w:val="0"/>
              <w:autoSpaceDN w:val="0"/>
              <w:spacing w:before="3"/>
              <w:ind w:left="141"/>
              <w:rPr>
                <w:sz w:val="22"/>
                <w:szCs w:val="22"/>
              </w:rPr>
            </w:pPr>
            <w:r w:rsidRPr="00B24633">
              <w:rPr>
                <w:sz w:val="22"/>
                <w:szCs w:val="22"/>
              </w:rPr>
              <w:t>20</w:t>
            </w:r>
            <w:r w:rsidRPr="00B24633">
              <w:rPr>
                <w:spacing w:val="-2"/>
                <w:sz w:val="22"/>
                <w:szCs w:val="22"/>
              </w:rPr>
              <w:t> mg</w:t>
            </w:r>
            <w:r w:rsidRPr="00B24633">
              <w:rPr>
                <w:spacing w:val="-1"/>
                <w:sz w:val="22"/>
                <w:szCs w:val="22"/>
              </w:rPr>
              <w:t xml:space="preserve"> </w:t>
            </w:r>
            <w:r w:rsidRPr="00B24633">
              <w:rPr>
                <w:sz w:val="22"/>
                <w:szCs w:val="22"/>
              </w:rPr>
              <w:t>én</w:t>
            </w:r>
            <w:r w:rsidRPr="00B24633">
              <w:rPr>
                <w:spacing w:val="-1"/>
                <w:sz w:val="22"/>
                <w:szCs w:val="22"/>
              </w:rPr>
              <w:t> </w:t>
            </w:r>
            <w:r w:rsidRPr="00B24633">
              <w:rPr>
                <w:sz w:val="22"/>
                <w:szCs w:val="22"/>
              </w:rPr>
              <w:t>gang</w:t>
            </w:r>
            <w:r w:rsidRPr="00B24633">
              <w:rPr>
                <w:spacing w:val="-1"/>
                <w:sz w:val="22"/>
                <w:szCs w:val="22"/>
              </w:rPr>
              <w:t xml:space="preserve"> </w:t>
            </w:r>
            <w:r w:rsidRPr="00B24633">
              <w:rPr>
                <w:sz w:val="22"/>
                <w:szCs w:val="22"/>
              </w:rPr>
              <w:t>dagligt</w:t>
            </w:r>
          </w:p>
        </w:tc>
        <w:tc>
          <w:tcPr>
            <w:tcW w:w="2152" w:type="dxa"/>
          </w:tcPr>
          <w:p w14:paraId="50B4567C" w14:textId="77777777" w:rsidR="00F61E6E" w:rsidRPr="00B24633" w:rsidRDefault="00F61E6E" w:rsidP="00B24633">
            <w:pPr>
              <w:widowControl w:val="0"/>
              <w:autoSpaceDE w:val="0"/>
              <w:autoSpaceDN w:val="0"/>
              <w:spacing w:before="3"/>
              <w:ind w:left="140"/>
              <w:rPr>
                <w:sz w:val="22"/>
                <w:szCs w:val="22"/>
              </w:rPr>
            </w:pPr>
            <w:r w:rsidRPr="00B24633">
              <w:rPr>
                <w:sz w:val="22"/>
                <w:szCs w:val="22"/>
              </w:rPr>
              <w:t>20</w:t>
            </w:r>
            <w:r w:rsidRPr="00B24633">
              <w:rPr>
                <w:spacing w:val="-1"/>
                <w:sz w:val="22"/>
                <w:szCs w:val="22"/>
              </w:rPr>
              <w:t> mg</w:t>
            </w:r>
          </w:p>
        </w:tc>
      </w:tr>
      <w:tr w:rsidR="00F61E6E" w:rsidRPr="00B24633" w14:paraId="114E28CE" w14:textId="77777777" w:rsidTr="00505B18">
        <w:trPr>
          <w:trHeight w:val="814"/>
        </w:trPr>
        <w:tc>
          <w:tcPr>
            <w:tcW w:w="2151" w:type="dxa"/>
          </w:tcPr>
          <w:p w14:paraId="4A373B52" w14:textId="77777777" w:rsidR="00F61E6E" w:rsidRPr="00B24633" w:rsidRDefault="00F61E6E" w:rsidP="00B24633">
            <w:pPr>
              <w:widowControl w:val="0"/>
              <w:autoSpaceDE w:val="0"/>
              <w:autoSpaceDN w:val="0"/>
              <w:spacing w:before="3" w:line="247" w:lineRule="auto"/>
              <w:ind w:left="141"/>
              <w:rPr>
                <w:sz w:val="22"/>
                <w:szCs w:val="22"/>
              </w:rPr>
            </w:pPr>
            <w:r w:rsidRPr="00B24633">
              <w:rPr>
                <w:sz w:val="22"/>
                <w:szCs w:val="22"/>
              </w:rPr>
              <w:t>Forebyggelse af recidiv af DVT og PE</w:t>
            </w:r>
          </w:p>
        </w:tc>
        <w:tc>
          <w:tcPr>
            <w:tcW w:w="2152" w:type="dxa"/>
          </w:tcPr>
          <w:p w14:paraId="43EB83DE" w14:textId="77777777" w:rsidR="00F61E6E" w:rsidRPr="00B24633" w:rsidRDefault="00F61E6E" w:rsidP="00B24633">
            <w:pPr>
              <w:widowControl w:val="0"/>
              <w:autoSpaceDE w:val="0"/>
              <w:autoSpaceDN w:val="0"/>
              <w:spacing w:before="3"/>
              <w:ind w:left="141"/>
              <w:rPr>
                <w:sz w:val="22"/>
                <w:szCs w:val="22"/>
              </w:rPr>
            </w:pPr>
            <w:r w:rsidRPr="00B24633">
              <w:rPr>
                <w:sz w:val="22"/>
                <w:szCs w:val="22"/>
              </w:rPr>
              <w:t>Efter</w:t>
            </w:r>
            <w:r w:rsidRPr="00B24633">
              <w:rPr>
                <w:spacing w:val="-1"/>
                <w:sz w:val="22"/>
                <w:szCs w:val="22"/>
              </w:rPr>
              <w:t xml:space="preserve"> </w:t>
            </w:r>
            <w:r w:rsidRPr="00B24633">
              <w:rPr>
                <w:sz w:val="22"/>
                <w:szCs w:val="22"/>
              </w:rPr>
              <w:t>mindst 6 måneders behandling for DVT</w:t>
            </w:r>
            <w:r w:rsidRPr="00B24633">
              <w:rPr>
                <w:spacing w:val="-1"/>
                <w:sz w:val="22"/>
                <w:szCs w:val="22"/>
              </w:rPr>
              <w:t xml:space="preserve"> </w:t>
            </w:r>
            <w:r w:rsidRPr="00B24633">
              <w:rPr>
                <w:sz w:val="22"/>
                <w:szCs w:val="22"/>
              </w:rPr>
              <w:t>eller</w:t>
            </w:r>
            <w:r w:rsidRPr="00B24633">
              <w:rPr>
                <w:spacing w:val="1"/>
                <w:sz w:val="22"/>
                <w:szCs w:val="22"/>
              </w:rPr>
              <w:t xml:space="preserve"> </w:t>
            </w:r>
            <w:r w:rsidRPr="00B24633">
              <w:rPr>
                <w:sz w:val="22"/>
                <w:szCs w:val="22"/>
              </w:rPr>
              <w:t>PE</w:t>
            </w:r>
          </w:p>
        </w:tc>
        <w:tc>
          <w:tcPr>
            <w:tcW w:w="2151" w:type="dxa"/>
          </w:tcPr>
          <w:p w14:paraId="3D2EB5A3" w14:textId="77777777" w:rsidR="00F61E6E" w:rsidRPr="00B24633" w:rsidRDefault="00F61E6E" w:rsidP="00B24633">
            <w:pPr>
              <w:widowControl w:val="0"/>
              <w:autoSpaceDE w:val="0"/>
              <w:autoSpaceDN w:val="0"/>
              <w:spacing w:before="3" w:line="247" w:lineRule="auto"/>
              <w:ind w:left="141"/>
              <w:rPr>
                <w:sz w:val="22"/>
                <w:szCs w:val="22"/>
              </w:rPr>
            </w:pPr>
            <w:r w:rsidRPr="00B24633">
              <w:rPr>
                <w:sz w:val="22"/>
                <w:szCs w:val="22"/>
              </w:rPr>
              <w:t>10 mg én gang dagligt eller 20 mg én gang dagligt</w:t>
            </w:r>
          </w:p>
        </w:tc>
        <w:tc>
          <w:tcPr>
            <w:tcW w:w="2152" w:type="dxa"/>
          </w:tcPr>
          <w:p w14:paraId="43FB0DD3" w14:textId="77777777" w:rsidR="00F61E6E" w:rsidRPr="00B24633" w:rsidRDefault="00F61E6E" w:rsidP="00B24633">
            <w:pPr>
              <w:widowControl w:val="0"/>
              <w:autoSpaceDE w:val="0"/>
              <w:autoSpaceDN w:val="0"/>
              <w:spacing w:before="3"/>
              <w:ind w:left="140"/>
              <w:rPr>
                <w:sz w:val="22"/>
                <w:szCs w:val="22"/>
              </w:rPr>
            </w:pPr>
            <w:r w:rsidRPr="00B24633">
              <w:rPr>
                <w:sz w:val="22"/>
                <w:szCs w:val="22"/>
              </w:rPr>
              <w:t>10</w:t>
            </w:r>
            <w:r w:rsidRPr="00B24633">
              <w:rPr>
                <w:spacing w:val="-1"/>
                <w:sz w:val="22"/>
                <w:szCs w:val="22"/>
              </w:rPr>
              <w:t> mg</w:t>
            </w:r>
            <w:r w:rsidRPr="00B24633">
              <w:rPr>
                <w:sz w:val="22"/>
                <w:szCs w:val="22"/>
              </w:rPr>
              <w:t xml:space="preserve"> eller</w:t>
            </w:r>
            <w:r w:rsidRPr="00B24633">
              <w:rPr>
                <w:spacing w:val="-1"/>
                <w:sz w:val="22"/>
                <w:szCs w:val="22"/>
              </w:rPr>
              <w:t xml:space="preserve"> </w:t>
            </w:r>
            <w:r w:rsidRPr="00B24633">
              <w:rPr>
                <w:sz w:val="22"/>
                <w:szCs w:val="22"/>
              </w:rPr>
              <w:t>20</w:t>
            </w:r>
            <w:r w:rsidRPr="00B24633">
              <w:rPr>
                <w:spacing w:val="-1"/>
                <w:sz w:val="22"/>
                <w:szCs w:val="22"/>
              </w:rPr>
              <w:t> mg</w:t>
            </w:r>
          </w:p>
        </w:tc>
      </w:tr>
    </w:tbl>
    <w:p w14:paraId="7E800F72" w14:textId="77777777" w:rsidR="00F61E6E" w:rsidRPr="00B24633" w:rsidRDefault="00F61E6E" w:rsidP="00B24633">
      <w:pPr>
        <w:pStyle w:val="Default"/>
        <w:ind w:left="851"/>
        <w:rPr>
          <w:lang w:val="da-DK"/>
        </w:rPr>
      </w:pPr>
    </w:p>
    <w:p w14:paraId="11DD737D" w14:textId="15A7A11D" w:rsidR="00F61E6E" w:rsidRPr="00B24633" w:rsidRDefault="00F61E6E" w:rsidP="00B24633">
      <w:pPr>
        <w:tabs>
          <w:tab w:val="left" w:pos="851"/>
        </w:tabs>
        <w:ind w:left="851"/>
        <w:rPr>
          <w:sz w:val="24"/>
          <w:szCs w:val="24"/>
        </w:rPr>
      </w:pPr>
      <w:r w:rsidRPr="00B24633">
        <w:rPr>
          <w:sz w:val="24"/>
          <w:szCs w:val="24"/>
        </w:rPr>
        <w:t xml:space="preserve">Såfremt en dosis overspringes i den indledende behandlingsfase (dag 1‒21) med 15 mg to gange dagligt, skal patienten straks tage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for at sikre en dosis på 30 mg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per dag. I dette tilfælde er det i orden at tage to 15 mg-tabletter på én gang. Næste dag skal patienten fortsætte med den ordinerede dosering på 15 mg to gange dagligt.</w:t>
      </w:r>
    </w:p>
    <w:p w14:paraId="77A44B9D" w14:textId="77777777" w:rsidR="00F61E6E" w:rsidRPr="00B24633" w:rsidRDefault="00F61E6E" w:rsidP="00B24633">
      <w:pPr>
        <w:tabs>
          <w:tab w:val="left" w:pos="851"/>
        </w:tabs>
        <w:ind w:left="851"/>
        <w:rPr>
          <w:sz w:val="24"/>
          <w:szCs w:val="24"/>
        </w:rPr>
      </w:pPr>
    </w:p>
    <w:p w14:paraId="74F5B1A1" w14:textId="443A3D6A" w:rsidR="00F61E6E" w:rsidRPr="00B24633" w:rsidRDefault="00F61E6E" w:rsidP="00B24633">
      <w:pPr>
        <w:tabs>
          <w:tab w:val="left" w:pos="851"/>
        </w:tabs>
        <w:ind w:left="851"/>
        <w:rPr>
          <w:sz w:val="24"/>
          <w:szCs w:val="24"/>
        </w:rPr>
      </w:pPr>
      <w:r w:rsidRPr="00B24633">
        <w:rPr>
          <w:sz w:val="24"/>
          <w:szCs w:val="24"/>
        </w:rPr>
        <w:t xml:space="preserve">Såfremt en dosis overspringes i den fortsatte behandlingsfase med én tablet én gang dagligt, skal patienten straks tage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Næste dag skal patienten fortsætte med den ordinerede dosering på én tablet én gang dagligt. Patienten må ikke tage dobbelt dosis samme dag for et indhente en oversprunget dosis.</w:t>
      </w:r>
    </w:p>
    <w:p w14:paraId="10AC6766" w14:textId="77777777" w:rsidR="00F61E6E" w:rsidRPr="00B24633" w:rsidRDefault="00F61E6E" w:rsidP="00B24633">
      <w:pPr>
        <w:tabs>
          <w:tab w:val="left" w:pos="851"/>
        </w:tabs>
        <w:ind w:left="851"/>
        <w:rPr>
          <w:sz w:val="24"/>
          <w:szCs w:val="24"/>
        </w:rPr>
      </w:pPr>
    </w:p>
    <w:p w14:paraId="41077BE9" w14:textId="77777777" w:rsidR="00F61E6E" w:rsidRPr="00B24633" w:rsidRDefault="00F61E6E" w:rsidP="00B24633">
      <w:pPr>
        <w:tabs>
          <w:tab w:val="left" w:pos="851"/>
        </w:tabs>
        <w:ind w:left="851"/>
        <w:rPr>
          <w:i/>
          <w:sz w:val="24"/>
          <w:szCs w:val="24"/>
        </w:rPr>
      </w:pPr>
      <w:r w:rsidRPr="00B24633">
        <w:rPr>
          <w:i/>
          <w:sz w:val="24"/>
          <w:szCs w:val="24"/>
        </w:rPr>
        <w:t>Behandling af VTE og forebyggelse af recidiverende VTE hos børn og unge</w:t>
      </w:r>
    </w:p>
    <w:p w14:paraId="57297AE6" w14:textId="27D488E2" w:rsidR="00F61E6E" w:rsidRPr="00B24633" w:rsidRDefault="00F61E6E" w:rsidP="00B24633">
      <w:pPr>
        <w:tabs>
          <w:tab w:val="left" w:pos="851"/>
        </w:tabs>
        <w:ind w:left="851"/>
        <w:rPr>
          <w:sz w:val="24"/>
          <w:szCs w:val="24"/>
        </w:rPr>
      </w:pPr>
      <w:r w:rsidRPr="00B24633">
        <w:rPr>
          <w:sz w:val="24"/>
          <w:szCs w:val="24"/>
        </w:rPr>
        <w:t xml:space="preserve">Behandling med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hos børn og unge i alderen under 18 år skal påbegyndes efter mindst 5 dages indledende parenteral antikoagulerende behandling (se pkt. 5.1).</w:t>
      </w:r>
    </w:p>
    <w:p w14:paraId="6D5CC0EA" w14:textId="77777777" w:rsidR="00F61E6E" w:rsidRPr="00B24633" w:rsidRDefault="00F61E6E" w:rsidP="00B24633">
      <w:pPr>
        <w:tabs>
          <w:tab w:val="left" w:pos="851"/>
        </w:tabs>
        <w:ind w:left="851"/>
        <w:rPr>
          <w:sz w:val="24"/>
          <w:szCs w:val="24"/>
        </w:rPr>
      </w:pPr>
    </w:p>
    <w:p w14:paraId="1A61B869" w14:textId="77777777" w:rsidR="00F61E6E" w:rsidRPr="00B24633" w:rsidRDefault="00F61E6E" w:rsidP="00B24633">
      <w:pPr>
        <w:tabs>
          <w:tab w:val="left" w:pos="851"/>
        </w:tabs>
        <w:ind w:left="851"/>
        <w:rPr>
          <w:sz w:val="24"/>
          <w:szCs w:val="24"/>
        </w:rPr>
      </w:pPr>
      <w:r w:rsidRPr="00B24633">
        <w:rPr>
          <w:sz w:val="24"/>
          <w:szCs w:val="24"/>
        </w:rPr>
        <w:t>Dosis for børn og unge beregnes baseret på legemsvægt.</w:t>
      </w:r>
    </w:p>
    <w:p w14:paraId="31EC6119" w14:textId="77777777" w:rsidR="00F61E6E" w:rsidRPr="00B24633" w:rsidRDefault="00F61E6E" w:rsidP="00B24633">
      <w:pPr>
        <w:numPr>
          <w:ilvl w:val="1"/>
          <w:numId w:val="7"/>
        </w:numPr>
        <w:tabs>
          <w:tab w:val="left" w:pos="1418"/>
        </w:tabs>
        <w:ind w:left="1418" w:hanging="567"/>
        <w:rPr>
          <w:sz w:val="24"/>
          <w:szCs w:val="24"/>
        </w:rPr>
      </w:pPr>
      <w:r w:rsidRPr="00B24633">
        <w:rPr>
          <w:sz w:val="24"/>
          <w:szCs w:val="24"/>
        </w:rPr>
        <w:t>Legemsvægt fra 30 til 50 kg: en dosis på 15 mg rivaroxaban én gang dagligt anbefales. Dette er den maksimale daglige dosis.</w:t>
      </w:r>
    </w:p>
    <w:p w14:paraId="5455C476" w14:textId="77777777" w:rsidR="00F61E6E" w:rsidRPr="00B24633" w:rsidRDefault="00F61E6E" w:rsidP="00B24633">
      <w:pPr>
        <w:numPr>
          <w:ilvl w:val="1"/>
          <w:numId w:val="7"/>
        </w:numPr>
        <w:tabs>
          <w:tab w:val="left" w:pos="1418"/>
        </w:tabs>
        <w:ind w:left="1418" w:hanging="567"/>
        <w:rPr>
          <w:sz w:val="24"/>
          <w:szCs w:val="24"/>
        </w:rPr>
      </w:pPr>
      <w:r w:rsidRPr="00B24633">
        <w:rPr>
          <w:sz w:val="24"/>
          <w:szCs w:val="24"/>
        </w:rPr>
        <w:t>Legemsvægt på 50 kg eller derover: en dosis på 20 mg rivaroxaban én gang dagligt anbefales. Dette er den maksimale daglige dosis.</w:t>
      </w:r>
    </w:p>
    <w:p w14:paraId="795ECE89" w14:textId="77777777" w:rsidR="00F61E6E" w:rsidRPr="00B24633" w:rsidRDefault="00F61E6E" w:rsidP="00B24633">
      <w:pPr>
        <w:numPr>
          <w:ilvl w:val="1"/>
          <w:numId w:val="7"/>
        </w:numPr>
        <w:tabs>
          <w:tab w:val="left" w:pos="1418"/>
        </w:tabs>
        <w:ind w:left="1418" w:hanging="567"/>
        <w:rPr>
          <w:sz w:val="24"/>
          <w:szCs w:val="24"/>
        </w:rPr>
      </w:pPr>
      <w:r w:rsidRPr="00B24633">
        <w:rPr>
          <w:sz w:val="24"/>
          <w:szCs w:val="24"/>
        </w:rPr>
        <w:t xml:space="preserve">For patienter, med en legemsvægt mindre end 30 kg: andre lægemiddelformer bør anvendes. </w:t>
      </w:r>
    </w:p>
    <w:p w14:paraId="45265EA5" w14:textId="77777777" w:rsidR="00F61E6E" w:rsidRPr="00B24633" w:rsidRDefault="00F61E6E" w:rsidP="00B24633">
      <w:pPr>
        <w:tabs>
          <w:tab w:val="left" w:pos="851"/>
        </w:tabs>
        <w:ind w:left="851"/>
        <w:rPr>
          <w:sz w:val="24"/>
          <w:szCs w:val="24"/>
        </w:rPr>
      </w:pPr>
    </w:p>
    <w:p w14:paraId="6C09C9F6" w14:textId="77777777" w:rsidR="00F61E6E" w:rsidRPr="00B24633" w:rsidRDefault="00F61E6E" w:rsidP="00B24633">
      <w:pPr>
        <w:tabs>
          <w:tab w:val="left" w:pos="851"/>
        </w:tabs>
        <w:ind w:left="851"/>
        <w:rPr>
          <w:sz w:val="24"/>
          <w:szCs w:val="24"/>
        </w:rPr>
      </w:pPr>
      <w:r w:rsidRPr="00B24633">
        <w:rPr>
          <w:sz w:val="24"/>
          <w:szCs w:val="24"/>
        </w:rPr>
        <w:t>Barnets vægt skal overvåges, og dosis skal regelmæssigt gennemgås. Dette er for at sikre, at en terapeutisk dosis opretholdes. Dosisjusteringer bør kun foretages ved ændringer i kropsvægt.</w:t>
      </w:r>
    </w:p>
    <w:p w14:paraId="4E95E365" w14:textId="77777777" w:rsidR="00F61E6E" w:rsidRPr="00B24633" w:rsidRDefault="00F61E6E" w:rsidP="00B24633">
      <w:pPr>
        <w:tabs>
          <w:tab w:val="left" w:pos="851"/>
        </w:tabs>
        <w:ind w:left="851"/>
        <w:rPr>
          <w:sz w:val="24"/>
          <w:szCs w:val="24"/>
        </w:rPr>
      </w:pPr>
    </w:p>
    <w:p w14:paraId="67416B70" w14:textId="77777777" w:rsidR="00F61E6E" w:rsidRPr="00B24633" w:rsidRDefault="00F61E6E" w:rsidP="00B24633">
      <w:pPr>
        <w:tabs>
          <w:tab w:val="left" w:pos="851"/>
        </w:tabs>
        <w:ind w:left="851"/>
        <w:rPr>
          <w:sz w:val="24"/>
          <w:szCs w:val="24"/>
        </w:rPr>
      </w:pPr>
      <w:r w:rsidRPr="00B24633">
        <w:rPr>
          <w:sz w:val="24"/>
          <w:szCs w:val="24"/>
        </w:rPr>
        <w:t xml:space="preserve">Behandlingen skal fortsættes i mindst 3 måneder hos børn og unge. Behandlingen kan forlænges op til 12 måneder, når det er klinisk indiceret. Der foreligger ingen data hos børn til at understøtte dosisreduktion efter 6-måneders behandling. Benefit/risk-forholdet ved fortsat behandling efter 3 måneder skal vurderes individuelt, under hensyntagen til risikoen for recidiverende trombose </w:t>
      </w:r>
      <w:r w:rsidRPr="00B24633">
        <w:rPr>
          <w:i/>
          <w:iCs/>
          <w:sz w:val="24"/>
          <w:szCs w:val="24"/>
        </w:rPr>
        <w:t>vs.</w:t>
      </w:r>
      <w:r w:rsidRPr="00B24633">
        <w:rPr>
          <w:sz w:val="24"/>
          <w:szCs w:val="24"/>
        </w:rPr>
        <w:t xml:space="preserve"> den mulige blødningsrisiko.</w:t>
      </w:r>
    </w:p>
    <w:p w14:paraId="53C3880B" w14:textId="77777777" w:rsidR="00F61E6E" w:rsidRPr="00B24633" w:rsidRDefault="00F61E6E" w:rsidP="00B24633">
      <w:pPr>
        <w:tabs>
          <w:tab w:val="left" w:pos="851"/>
        </w:tabs>
        <w:ind w:left="851"/>
        <w:rPr>
          <w:sz w:val="24"/>
          <w:szCs w:val="24"/>
        </w:rPr>
      </w:pPr>
    </w:p>
    <w:p w14:paraId="0F46FE77" w14:textId="77777777" w:rsidR="00F61E6E" w:rsidRPr="00B24633" w:rsidRDefault="00F61E6E" w:rsidP="00B24633">
      <w:pPr>
        <w:tabs>
          <w:tab w:val="left" w:pos="851"/>
        </w:tabs>
        <w:ind w:left="851"/>
        <w:rPr>
          <w:sz w:val="24"/>
          <w:szCs w:val="24"/>
        </w:rPr>
      </w:pPr>
      <w:r w:rsidRPr="00B24633">
        <w:rPr>
          <w:sz w:val="24"/>
          <w:szCs w:val="24"/>
        </w:rPr>
        <w:t>Hvis der glemmes en dosis, skal den tages snarest muligt efter det opdages, men kun indenfor den samme dag. Hvis det ikke er muligt, skal patienten springe den glemte dosis over, og fortsætte med</w:t>
      </w:r>
      <w:r w:rsidRPr="00B24633">
        <w:rPr>
          <w:spacing w:val="-53"/>
          <w:sz w:val="24"/>
          <w:szCs w:val="24"/>
        </w:rPr>
        <w:t xml:space="preserve"> </w:t>
      </w:r>
      <w:r w:rsidRPr="00B24633">
        <w:rPr>
          <w:sz w:val="24"/>
          <w:szCs w:val="24"/>
        </w:rPr>
        <w:t>den</w:t>
      </w:r>
      <w:r w:rsidRPr="00B24633">
        <w:rPr>
          <w:spacing w:val="-3"/>
          <w:sz w:val="24"/>
          <w:szCs w:val="24"/>
        </w:rPr>
        <w:t xml:space="preserve"> </w:t>
      </w:r>
      <w:r w:rsidRPr="00B24633">
        <w:rPr>
          <w:sz w:val="24"/>
          <w:szCs w:val="24"/>
        </w:rPr>
        <w:t>næste</w:t>
      </w:r>
      <w:r w:rsidRPr="00B24633">
        <w:rPr>
          <w:spacing w:val="-3"/>
          <w:sz w:val="24"/>
          <w:szCs w:val="24"/>
        </w:rPr>
        <w:t xml:space="preserve"> </w:t>
      </w:r>
      <w:r w:rsidRPr="00B24633">
        <w:rPr>
          <w:sz w:val="24"/>
          <w:szCs w:val="24"/>
        </w:rPr>
        <w:t>dosis</w:t>
      </w:r>
      <w:r w:rsidRPr="00B24633">
        <w:rPr>
          <w:spacing w:val="-3"/>
          <w:sz w:val="24"/>
          <w:szCs w:val="24"/>
        </w:rPr>
        <w:t xml:space="preserve"> </w:t>
      </w:r>
      <w:r w:rsidRPr="00B24633">
        <w:rPr>
          <w:sz w:val="24"/>
          <w:szCs w:val="24"/>
        </w:rPr>
        <w:t>som</w:t>
      </w:r>
      <w:r w:rsidRPr="00B24633">
        <w:rPr>
          <w:spacing w:val="-3"/>
          <w:sz w:val="24"/>
          <w:szCs w:val="24"/>
        </w:rPr>
        <w:t xml:space="preserve"> </w:t>
      </w:r>
      <w:r w:rsidRPr="00B24633">
        <w:rPr>
          <w:sz w:val="24"/>
          <w:szCs w:val="24"/>
        </w:rPr>
        <w:t>ordineret.</w:t>
      </w:r>
      <w:r w:rsidRPr="00B24633">
        <w:rPr>
          <w:spacing w:val="-2"/>
          <w:sz w:val="24"/>
          <w:szCs w:val="24"/>
        </w:rPr>
        <w:t xml:space="preserve"> </w:t>
      </w:r>
      <w:r w:rsidRPr="00B24633">
        <w:rPr>
          <w:sz w:val="24"/>
          <w:szCs w:val="24"/>
        </w:rPr>
        <w:t>Patienten</w:t>
      </w:r>
      <w:r w:rsidRPr="00B24633">
        <w:rPr>
          <w:spacing w:val="-2"/>
          <w:sz w:val="24"/>
          <w:szCs w:val="24"/>
        </w:rPr>
        <w:t xml:space="preserve"> </w:t>
      </w:r>
      <w:r w:rsidRPr="00B24633">
        <w:rPr>
          <w:sz w:val="24"/>
          <w:szCs w:val="24"/>
        </w:rPr>
        <w:t>må</w:t>
      </w:r>
      <w:r w:rsidRPr="00B24633">
        <w:rPr>
          <w:spacing w:val="-3"/>
          <w:sz w:val="24"/>
          <w:szCs w:val="24"/>
        </w:rPr>
        <w:t xml:space="preserve"> </w:t>
      </w:r>
      <w:r w:rsidRPr="00B24633">
        <w:rPr>
          <w:sz w:val="24"/>
          <w:szCs w:val="24"/>
        </w:rPr>
        <w:t>ikke</w:t>
      </w:r>
      <w:r w:rsidRPr="00B24633">
        <w:rPr>
          <w:spacing w:val="-3"/>
          <w:sz w:val="24"/>
          <w:szCs w:val="24"/>
        </w:rPr>
        <w:t xml:space="preserve"> </w:t>
      </w:r>
      <w:r w:rsidRPr="00B24633">
        <w:rPr>
          <w:sz w:val="24"/>
          <w:szCs w:val="24"/>
        </w:rPr>
        <w:t>tage</w:t>
      </w:r>
      <w:r w:rsidRPr="00B24633">
        <w:rPr>
          <w:spacing w:val="-3"/>
          <w:sz w:val="24"/>
          <w:szCs w:val="24"/>
        </w:rPr>
        <w:t xml:space="preserve"> </w:t>
      </w:r>
      <w:r w:rsidRPr="00B24633">
        <w:rPr>
          <w:sz w:val="24"/>
          <w:szCs w:val="24"/>
        </w:rPr>
        <w:t>2</w:t>
      </w:r>
      <w:r w:rsidRPr="00B24633">
        <w:rPr>
          <w:spacing w:val="-1"/>
          <w:sz w:val="24"/>
          <w:szCs w:val="24"/>
        </w:rPr>
        <w:t> doser</w:t>
      </w:r>
      <w:r w:rsidRPr="00B24633">
        <w:rPr>
          <w:spacing w:val="-3"/>
          <w:sz w:val="24"/>
          <w:szCs w:val="24"/>
        </w:rPr>
        <w:t xml:space="preserve"> </w:t>
      </w:r>
      <w:r w:rsidRPr="00B24633">
        <w:rPr>
          <w:sz w:val="24"/>
          <w:szCs w:val="24"/>
        </w:rPr>
        <w:t>som</w:t>
      </w:r>
      <w:r w:rsidRPr="00B24633">
        <w:rPr>
          <w:spacing w:val="-3"/>
          <w:sz w:val="24"/>
          <w:szCs w:val="24"/>
        </w:rPr>
        <w:t xml:space="preserve"> </w:t>
      </w:r>
      <w:r w:rsidRPr="00B24633">
        <w:rPr>
          <w:sz w:val="24"/>
          <w:szCs w:val="24"/>
        </w:rPr>
        <w:t>erstatning</w:t>
      </w:r>
      <w:r w:rsidRPr="00B24633">
        <w:rPr>
          <w:spacing w:val="-2"/>
          <w:sz w:val="24"/>
          <w:szCs w:val="24"/>
        </w:rPr>
        <w:t xml:space="preserve"> </w:t>
      </w:r>
      <w:r w:rsidRPr="00B24633">
        <w:rPr>
          <w:sz w:val="24"/>
          <w:szCs w:val="24"/>
        </w:rPr>
        <w:t>for</w:t>
      </w:r>
      <w:r w:rsidRPr="00B24633">
        <w:rPr>
          <w:spacing w:val="-2"/>
          <w:sz w:val="24"/>
          <w:szCs w:val="24"/>
        </w:rPr>
        <w:t xml:space="preserve"> </w:t>
      </w:r>
      <w:r w:rsidRPr="00B24633">
        <w:rPr>
          <w:sz w:val="24"/>
          <w:szCs w:val="24"/>
        </w:rPr>
        <w:t>den</w:t>
      </w:r>
      <w:r w:rsidRPr="00B24633">
        <w:rPr>
          <w:spacing w:val="-2"/>
          <w:sz w:val="24"/>
          <w:szCs w:val="24"/>
        </w:rPr>
        <w:t xml:space="preserve"> </w:t>
      </w:r>
      <w:r w:rsidRPr="00B24633">
        <w:rPr>
          <w:sz w:val="24"/>
          <w:szCs w:val="24"/>
        </w:rPr>
        <w:t>glemte</w:t>
      </w:r>
      <w:r w:rsidRPr="00B24633">
        <w:rPr>
          <w:spacing w:val="-3"/>
          <w:sz w:val="24"/>
          <w:szCs w:val="24"/>
        </w:rPr>
        <w:t xml:space="preserve"> </w:t>
      </w:r>
      <w:r w:rsidRPr="00B24633">
        <w:rPr>
          <w:sz w:val="24"/>
          <w:szCs w:val="24"/>
        </w:rPr>
        <w:t>dosis.</w:t>
      </w:r>
    </w:p>
    <w:p w14:paraId="319CE75C" w14:textId="77777777" w:rsidR="00F61E6E" w:rsidRPr="00B24633" w:rsidRDefault="00F61E6E" w:rsidP="00B24633">
      <w:pPr>
        <w:tabs>
          <w:tab w:val="left" w:pos="851"/>
        </w:tabs>
        <w:ind w:left="851"/>
        <w:rPr>
          <w:sz w:val="24"/>
          <w:szCs w:val="24"/>
        </w:rPr>
      </w:pPr>
    </w:p>
    <w:p w14:paraId="6B647CE0" w14:textId="5F3294B5" w:rsidR="00F61E6E" w:rsidRPr="00B24633" w:rsidRDefault="00F61E6E" w:rsidP="00B24633">
      <w:pPr>
        <w:tabs>
          <w:tab w:val="left" w:pos="851"/>
        </w:tabs>
        <w:ind w:left="851"/>
        <w:rPr>
          <w:i/>
          <w:iCs/>
          <w:sz w:val="24"/>
          <w:szCs w:val="24"/>
        </w:rPr>
      </w:pPr>
      <w:r w:rsidRPr="00B24633">
        <w:rPr>
          <w:i/>
          <w:iCs/>
          <w:sz w:val="24"/>
          <w:szCs w:val="24"/>
        </w:rPr>
        <w:t xml:space="preserve">Skift fra vitamin K-antagonister (VKA) til Rivaroxaban </w:t>
      </w:r>
      <w:r w:rsidR="00B24633" w:rsidRPr="00B24633">
        <w:rPr>
          <w:i/>
          <w:iCs/>
          <w:sz w:val="24"/>
          <w:szCs w:val="24"/>
        </w:rPr>
        <w:t>"</w:t>
      </w:r>
      <w:r w:rsidRPr="00B24633">
        <w:rPr>
          <w:i/>
          <w:iCs/>
          <w:sz w:val="24"/>
          <w:szCs w:val="24"/>
        </w:rPr>
        <w:t>Orion</w:t>
      </w:r>
      <w:r w:rsidR="00B24633" w:rsidRPr="00B24633">
        <w:rPr>
          <w:i/>
          <w:iCs/>
          <w:sz w:val="24"/>
          <w:szCs w:val="24"/>
        </w:rPr>
        <w:t>"</w:t>
      </w:r>
      <w:r w:rsidRPr="00B24633">
        <w:rPr>
          <w:i/>
          <w:iCs/>
          <w:sz w:val="24"/>
          <w:szCs w:val="24"/>
        </w:rPr>
        <w:t xml:space="preserve"> </w:t>
      </w:r>
    </w:p>
    <w:p w14:paraId="09179005" w14:textId="5A7A8525" w:rsidR="00F61E6E" w:rsidRPr="00B24633" w:rsidRDefault="00F61E6E" w:rsidP="00E65BA3">
      <w:pPr>
        <w:numPr>
          <w:ilvl w:val="1"/>
          <w:numId w:val="7"/>
        </w:numPr>
        <w:ind w:left="1276" w:hanging="425"/>
        <w:rPr>
          <w:sz w:val="24"/>
          <w:szCs w:val="24"/>
        </w:rPr>
      </w:pPr>
      <w:r w:rsidRPr="00B24633">
        <w:rPr>
          <w:sz w:val="24"/>
          <w:szCs w:val="24"/>
        </w:rPr>
        <w:t>Forebyggelse af apopleksi og systemisk emboli:</w:t>
      </w:r>
      <w:r w:rsidRPr="00B24633">
        <w:rPr>
          <w:sz w:val="24"/>
          <w:szCs w:val="24"/>
        </w:rPr>
        <w:br/>
        <w:t xml:space="preserve">VKA-behandlingen seponeres, og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-behandlingen indledes, så snart INR (International Normalised </w:t>
      </w:r>
      <w:proofErr w:type="gramStart"/>
      <w:r w:rsidRPr="00B24633">
        <w:rPr>
          <w:sz w:val="24"/>
          <w:szCs w:val="24"/>
        </w:rPr>
        <w:t>Ratio)-</w:t>
      </w:r>
      <w:proofErr w:type="gramEnd"/>
      <w:r w:rsidRPr="00B24633">
        <w:rPr>
          <w:sz w:val="24"/>
          <w:szCs w:val="24"/>
        </w:rPr>
        <w:t>værdien er ≤ 3,0.</w:t>
      </w:r>
    </w:p>
    <w:p w14:paraId="67FCBFFE" w14:textId="0366D4C3" w:rsidR="00F61E6E" w:rsidRPr="00B24633" w:rsidRDefault="00F61E6E" w:rsidP="00E65BA3">
      <w:pPr>
        <w:numPr>
          <w:ilvl w:val="1"/>
          <w:numId w:val="7"/>
        </w:numPr>
        <w:ind w:left="1276" w:hanging="425"/>
        <w:rPr>
          <w:sz w:val="24"/>
          <w:szCs w:val="24"/>
        </w:rPr>
      </w:pPr>
      <w:r w:rsidRPr="00B24633">
        <w:rPr>
          <w:sz w:val="24"/>
          <w:szCs w:val="24"/>
        </w:rPr>
        <w:t>Behandling af DVT, PE og forebyggelse af recidiv hos voksne samt behandling af VTE og forebyggelse af recidiv hos pædiatriske patienter:</w:t>
      </w:r>
      <w:r w:rsidRPr="00B24633">
        <w:rPr>
          <w:sz w:val="24"/>
          <w:szCs w:val="24"/>
        </w:rPr>
        <w:br/>
        <w:t xml:space="preserve">VKA-behandlingen seponeres, og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-behandlingen indledes, så snart INR ≤ 2,5.</w:t>
      </w:r>
    </w:p>
    <w:p w14:paraId="665E6B9B" w14:textId="443644F9" w:rsidR="00F61E6E" w:rsidRPr="00B24633" w:rsidRDefault="00F61E6E" w:rsidP="00B24633">
      <w:pPr>
        <w:tabs>
          <w:tab w:val="left" w:pos="851"/>
        </w:tabs>
        <w:ind w:left="851"/>
        <w:rPr>
          <w:sz w:val="24"/>
          <w:szCs w:val="24"/>
        </w:rPr>
      </w:pPr>
      <w:r w:rsidRPr="00B24633">
        <w:rPr>
          <w:sz w:val="24"/>
          <w:szCs w:val="24"/>
        </w:rPr>
        <w:t xml:space="preserve">Ved skift af patienter fra VKA til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vil der optræde en falsk stigning i INR-værdien efter indtagelse af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INR er ikke et pålideligt mål for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s antikoagulerende aktivitet og bør derfor ikke benyttes (se pkt. 4.5).</w:t>
      </w:r>
    </w:p>
    <w:p w14:paraId="4F530E92" w14:textId="77777777" w:rsidR="00F61E6E" w:rsidRPr="00B24633" w:rsidRDefault="00F61E6E" w:rsidP="00B24633">
      <w:pPr>
        <w:tabs>
          <w:tab w:val="left" w:pos="851"/>
        </w:tabs>
        <w:ind w:left="851"/>
        <w:rPr>
          <w:sz w:val="24"/>
          <w:szCs w:val="24"/>
        </w:rPr>
      </w:pPr>
    </w:p>
    <w:p w14:paraId="4062DB25" w14:textId="6B36323C" w:rsidR="00F61E6E" w:rsidRPr="00B24633" w:rsidRDefault="00F61E6E" w:rsidP="00B24633">
      <w:pPr>
        <w:tabs>
          <w:tab w:val="left" w:pos="851"/>
        </w:tabs>
        <w:ind w:left="851"/>
        <w:rPr>
          <w:i/>
          <w:iCs/>
          <w:sz w:val="24"/>
          <w:szCs w:val="24"/>
        </w:rPr>
      </w:pPr>
      <w:r w:rsidRPr="00B24633">
        <w:rPr>
          <w:i/>
          <w:iCs/>
          <w:sz w:val="24"/>
          <w:szCs w:val="24"/>
        </w:rPr>
        <w:t xml:space="preserve">Skift fra Rivaroxaban </w:t>
      </w:r>
      <w:r w:rsidR="00B24633" w:rsidRPr="00B24633">
        <w:rPr>
          <w:i/>
          <w:iCs/>
          <w:sz w:val="24"/>
          <w:szCs w:val="24"/>
        </w:rPr>
        <w:t>"</w:t>
      </w:r>
      <w:r w:rsidRPr="00B24633">
        <w:rPr>
          <w:i/>
          <w:iCs/>
          <w:sz w:val="24"/>
          <w:szCs w:val="24"/>
        </w:rPr>
        <w:t>Orion</w:t>
      </w:r>
      <w:r w:rsidR="00B24633" w:rsidRPr="00B24633">
        <w:rPr>
          <w:i/>
          <w:iCs/>
          <w:sz w:val="24"/>
          <w:szCs w:val="24"/>
        </w:rPr>
        <w:t>"</w:t>
      </w:r>
      <w:r w:rsidRPr="00B24633">
        <w:rPr>
          <w:i/>
          <w:iCs/>
          <w:sz w:val="24"/>
          <w:szCs w:val="24"/>
        </w:rPr>
        <w:t xml:space="preserve"> til vitamin K-antagonister (VKA) </w:t>
      </w:r>
    </w:p>
    <w:p w14:paraId="2B7DE7B2" w14:textId="23F6D9FD" w:rsidR="00F61E6E" w:rsidRPr="00B24633" w:rsidRDefault="00F61E6E" w:rsidP="00B24633">
      <w:pPr>
        <w:tabs>
          <w:tab w:val="left" w:pos="851"/>
        </w:tabs>
        <w:ind w:left="851"/>
        <w:rPr>
          <w:sz w:val="24"/>
          <w:szCs w:val="24"/>
        </w:rPr>
      </w:pPr>
      <w:r w:rsidRPr="00B24633">
        <w:rPr>
          <w:sz w:val="24"/>
          <w:szCs w:val="24"/>
        </w:rPr>
        <w:t xml:space="preserve">Der er risiko for utilstrækkelig antikoagulation under skiftet fra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til VKA. </w:t>
      </w:r>
    </w:p>
    <w:p w14:paraId="182E558F" w14:textId="66ECA317" w:rsidR="00F61E6E" w:rsidRPr="00B24633" w:rsidRDefault="00F61E6E" w:rsidP="00B24633">
      <w:pPr>
        <w:tabs>
          <w:tab w:val="left" w:pos="851"/>
        </w:tabs>
        <w:ind w:left="851"/>
        <w:rPr>
          <w:sz w:val="24"/>
          <w:szCs w:val="24"/>
        </w:rPr>
      </w:pPr>
      <w:r w:rsidRPr="00B24633">
        <w:rPr>
          <w:sz w:val="24"/>
          <w:szCs w:val="24"/>
        </w:rPr>
        <w:t xml:space="preserve">Tilstrækkelig, kontinuerlig antikoagulation skal sikres under skift fra et antikoagulans til et andet. Det skal bemærkes, at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kan medføre forhøjet INR. </w:t>
      </w:r>
    </w:p>
    <w:p w14:paraId="449503C6" w14:textId="7813C04F" w:rsidR="00F61E6E" w:rsidRPr="00B24633" w:rsidRDefault="00F61E6E" w:rsidP="00B24633">
      <w:pPr>
        <w:tabs>
          <w:tab w:val="left" w:pos="851"/>
        </w:tabs>
        <w:ind w:left="851"/>
        <w:rPr>
          <w:sz w:val="24"/>
          <w:szCs w:val="24"/>
        </w:rPr>
      </w:pPr>
      <w:r w:rsidRPr="00B24633">
        <w:rPr>
          <w:sz w:val="24"/>
          <w:szCs w:val="24"/>
        </w:rPr>
        <w:t xml:space="preserve">Hos patienter, der skifter fra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til VKA, skal VKA gives sideløbende, indtil INR ≥ 2,0. I de første to dage af skifteperioden skal standard-initialdosis af VKA benyttes, hvorefter VKA doseres ud fra INR--målinger. I den periode, hvor patienten tager både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og VKA, bør INR tidligst måles 24 timer efter den seneste dosis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men før den næste dosis. 24 timer efter seponering af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er det atter muligt at foretage pålidelige INR-målinger (se pkt. 4.5 og 5.2). </w:t>
      </w:r>
    </w:p>
    <w:p w14:paraId="23BE9EF2" w14:textId="77777777" w:rsidR="00F61E6E" w:rsidRPr="00B24633" w:rsidRDefault="00F61E6E" w:rsidP="00B24633">
      <w:pPr>
        <w:tabs>
          <w:tab w:val="left" w:pos="851"/>
        </w:tabs>
        <w:ind w:left="851"/>
        <w:rPr>
          <w:sz w:val="24"/>
          <w:szCs w:val="24"/>
        </w:rPr>
      </w:pPr>
    </w:p>
    <w:p w14:paraId="62E45F7C" w14:textId="77777777" w:rsidR="00F61E6E" w:rsidRPr="00B24633" w:rsidRDefault="00F61E6E" w:rsidP="00B24633">
      <w:pPr>
        <w:tabs>
          <w:tab w:val="left" w:pos="851"/>
        </w:tabs>
        <w:ind w:left="851"/>
        <w:rPr>
          <w:sz w:val="24"/>
          <w:szCs w:val="24"/>
        </w:rPr>
      </w:pPr>
      <w:r w:rsidRPr="00B24633">
        <w:rPr>
          <w:sz w:val="24"/>
          <w:szCs w:val="24"/>
        </w:rPr>
        <w:t>Pædiatriske patienter:</w:t>
      </w:r>
    </w:p>
    <w:p w14:paraId="6E301360" w14:textId="313D4B8C" w:rsidR="00F61E6E" w:rsidRPr="00B24633" w:rsidRDefault="00F61E6E" w:rsidP="00B24633">
      <w:pPr>
        <w:tabs>
          <w:tab w:val="left" w:pos="851"/>
        </w:tabs>
        <w:ind w:left="851"/>
        <w:rPr>
          <w:sz w:val="24"/>
          <w:szCs w:val="24"/>
        </w:rPr>
      </w:pPr>
      <w:r w:rsidRPr="00B24633">
        <w:rPr>
          <w:sz w:val="24"/>
          <w:szCs w:val="24"/>
        </w:rPr>
        <w:t xml:space="preserve">Børn, som skifter fra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til VKA, skal fortsætte med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i 48 timer efter den første dosis af VKA. Efter 2 dages sideløbende administration skal der måles INR før den næste planlagte dosis af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Det tilrådes at fortsætte sideløbende administration af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og VKA, indtil INR er ≥ 2,0. 24 timer efter seponering af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er det atter muligt at foretage pålidelige INR-målinger (se ovenfor og pkt. 4.5).</w:t>
      </w:r>
    </w:p>
    <w:p w14:paraId="45644954" w14:textId="77777777" w:rsidR="00F61E6E" w:rsidRPr="00B24633" w:rsidRDefault="00F61E6E" w:rsidP="00B24633">
      <w:pPr>
        <w:tabs>
          <w:tab w:val="left" w:pos="851"/>
        </w:tabs>
        <w:ind w:left="851"/>
        <w:rPr>
          <w:sz w:val="24"/>
          <w:szCs w:val="24"/>
        </w:rPr>
      </w:pPr>
    </w:p>
    <w:p w14:paraId="335DF44F" w14:textId="106D6438" w:rsidR="00F61E6E" w:rsidRPr="00B24633" w:rsidRDefault="00F61E6E" w:rsidP="00B24633">
      <w:pPr>
        <w:tabs>
          <w:tab w:val="left" w:pos="851"/>
        </w:tabs>
        <w:ind w:left="851"/>
        <w:rPr>
          <w:i/>
          <w:iCs/>
          <w:sz w:val="24"/>
          <w:szCs w:val="24"/>
        </w:rPr>
      </w:pPr>
      <w:r w:rsidRPr="00B24633">
        <w:rPr>
          <w:i/>
          <w:iCs/>
          <w:sz w:val="24"/>
          <w:szCs w:val="24"/>
        </w:rPr>
        <w:t xml:space="preserve">Skift fra parenterale antikoagulantia til Rivaroxaban </w:t>
      </w:r>
      <w:r w:rsidR="00B24633" w:rsidRPr="00B24633">
        <w:rPr>
          <w:i/>
          <w:iCs/>
          <w:sz w:val="24"/>
          <w:szCs w:val="24"/>
        </w:rPr>
        <w:t>"</w:t>
      </w:r>
      <w:r w:rsidRPr="00B24633">
        <w:rPr>
          <w:i/>
          <w:iCs/>
          <w:sz w:val="24"/>
          <w:szCs w:val="24"/>
        </w:rPr>
        <w:t>Orion</w:t>
      </w:r>
      <w:r w:rsidR="00B24633" w:rsidRPr="00B24633">
        <w:rPr>
          <w:i/>
          <w:iCs/>
          <w:sz w:val="24"/>
          <w:szCs w:val="24"/>
        </w:rPr>
        <w:t>"</w:t>
      </w:r>
      <w:r w:rsidRPr="00B24633">
        <w:rPr>
          <w:i/>
          <w:iCs/>
          <w:sz w:val="24"/>
          <w:szCs w:val="24"/>
        </w:rPr>
        <w:t xml:space="preserve"> </w:t>
      </w:r>
    </w:p>
    <w:p w14:paraId="3672378B" w14:textId="42DC6582" w:rsidR="00F61E6E" w:rsidRPr="00B24633" w:rsidRDefault="00F61E6E" w:rsidP="00B24633">
      <w:pPr>
        <w:tabs>
          <w:tab w:val="left" w:pos="851"/>
        </w:tabs>
        <w:ind w:left="851"/>
        <w:rPr>
          <w:sz w:val="24"/>
          <w:szCs w:val="24"/>
        </w:rPr>
      </w:pPr>
      <w:r w:rsidRPr="00B24633">
        <w:rPr>
          <w:sz w:val="24"/>
          <w:szCs w:val="24"/>
        </w:rPr>
        <w:t xml:space="preserve">For voksne og pædiatriske patienter, der aktuelt tager et parenteralt antikoagulans, skal det parenterale antikoagulans seponeres, og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startes op 0 ‒ 2 timer før det tidspunkt, hvor den næste planlagte administration af det parenterale lægemiddel (f.eks. lavmolekylært heparin) skulle have fundet sted, eller på tidspunktet for seponering af et kontinuerligt administreret parenteralt lægemiddel (f.eks. intravenøs ufraktioneret heparin).</w:t>
      </w:r>
    </w:p>
    <w:p w14:paraId="56C995DA" w14:textId="77777777" w:rsidR="00F61E6E" w:rsidRPr="00B24633" w:rsidRDefault="00F61E6E" w:rsidP="00B24633">
      <w:pPr>
        <w:tabs>
          <w:tab w:val="left" w:pos="851"/>
        </w:tabs>
        <w:ind w:left="851"/>
        <w:rPr>
          <w:sz w:val="24"/>
          <w:szCs w:val="24"/>
        </w:rPr>
      </w:pPr>
    </w:p>
    <w:p w14:paraId="0E86BB8B" w14:textId="48D19F84" w:rsidR="00F61E6E" w:rsidRPr="00B24633" w:rsidRDefault="00F61E6E" w:rsidP="00B24633">
      <w:pPr>
        <w:tabs>
          <w:tab w:val="left" w:pos="851"/>
        </w:tabs>
        <w:ind w:left="851"/>
        <w:rPr>
          <w:i/>
          <w:iCs/>
          <w:sz w:val="24"/>
          <w:szCs w:val="24"/>
        </w:rPr>
      </w:pPr>
      <w:r w:rsidRPr="00B24633">
        <w:rPr>
          <w:i/>
          <w:iCs/>
          <w:sz w:val="24"/>
          <w:szCs w:val="24"/>
        </w:rPr>
        <w:t xml:space="preserve">Skift fra Rivaroxaban </w:t>
      </w:r>
      <w:r w:rsidR="00B24633" w:rsidRPr="00B24633">
        <w:rPr>
          <w:i/>
          <w:iCs/>
          <w:sz w:val="24"/>
          <w:szCs w:val="24"/>
        </w:rPr>
        <w:t>"</w:t>
      </w:r>
      <w:r w:rsidRPr="00B24633">
        <w:rPr>
          <w:i/>
          <w:iCs/>
          <w:sz w:val="24"/>
          <w:szCs w:val="24"/>
        </w:rPr>
        <w:t>Orion</w:t>
      </w:r>
      <w:r w:rsidR="00B24633" w:rsidRPr="00B24633">
        <w:rPr>
          <w:i/>
          <w:iCs/>
          <w:sz w:val="24"/>
          <w:szCs w:val="24"/>
        </w:rPr>
        <w:t>"</w:t>
      </w:r>
      <w:r w:rsidRPr="00B24633">
        <w:rPr>
          <w:i/>
          <w:iCs/>
          <w:sz w:val="24"/>
          <w:szCs w:val="24"/>
        </w:rPr>
        <w:t xml:space="preserve"> til parenterale antikoagulantia </w:t>
      </w:r>
    </w:p>
    <w:p w14:paraId="61D573D3" w14:textId="6B27EF10"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seponeres, og den første dosis af det parenterale antikoagulans administreres på tidspunktet for næste planlagte administration af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w:t>
      </w:r>
    </w:p>
    <w:p w14:paraId="54C9458F" w14:textId="77777777" w:rsidR="00F61E6E" w:rsidRPr="00B24633" w:rsidRDefault="00F61E6E" w:rsidP="00B24633">
      <w:pPr>
        <w:tabs>
          <w:tab w:val="left" w:pos="851"/>
        </w:tabs>
        <w:ind w:left="851"/>
        <w:rPr>
          <w:sz w:val="24"/>
          <w:szCs w:val="24"/>
        </w:rPr>
      </w:pPr>
    </w:p>
    <w:p w14:paraId="487E6BF8" w14:textId="77777777" w:rsidR="00F61E6E" w:rsidRPr="00B24633" w:rsidRDefault="00F61E6E" w:rsidP="00B24633">
      <w:pPr>
        <w:ind w:left="851"/>
        <w:rPr>
          <w:sz w:val="24"/>
          <w:szCs w:val="24"/>
          <w:u w:val="single"/>
        </w:rPr>
      </w:pPr>
      <w:r w:rsidRPr="00B24633">
        <w:rPr>
          <w:sz w:val="24"/>
          <w:szCs w:val="24"/>
          <w:u w:val="single"/>
        </w:rPr>
        <w:t xml:space="preserve">Særlige populationer </w:t>
      </w:r>
    </w:p>
    <w:p w14:paraId="3500EDF3" w14:textId="77777777" w:rsidR="00F61E6E" w:rsidRPr="00B24633" w:rsidRDefault="00F61E6E" w:rsidP="00B24633">
      <w:pPr>
        <w:ind w:left="851"/>
        <w:rPr>
          <w:sz w:val="24"/>
          <w:szCs w:val="24"/>
        </w:rPr>
      </w:pPr>
    </w:p>
    <w:p w14:paraId="7FB5497B" w14:textId="77777777" w:rsidR="00F61E6E" w:rsidRPr="00B24633" w:rsidRDefault="00F61E6E" w:rsidP="00B24633">
      <w:pPr>
        <w:ind w:left="851"/>
        <w:rPr>
          <w:i/>
          <w:iCs/>
          <w:sz w:val="24"/>
          <w:szCs w:val="24"/>
        </w:rPr>
      </w:pPr>
      <w:r w:rsidRPr="00B24633">
        <w:rPr>
          <w:i/>
          <w:iCs/>
          <w:sz w:val="24"/>
          <w:szCs w:val="24"/>
        </w:rPr>
        <w:t xml:space="preserve">Nedsat nyrefunktion </w:t>
      </w:r>
    </w:p>
    <w:p w14:paraId="68D0FB74" w14:textId="77777777" w:rsidR="00F61E6E" w:rsidRPr="00B24633" w:rsidRDefault="00F61E6E" w:rsidP="00B24633">
      <w:pPr>
        <w:ind w:left="851"/>
        <w:rPr>
          <w:sz w:val="24"/>
          <w:szCs w:val="24"/>
        </w:rPr>
      </w:pPr>
      <w:r w:rsidRPr="00B24633">
        <w:rPr>
          <w:sz w:val="24"/>
          <w:szCs w:val="24"/>
        </w:rPr>
        <w:t>Voksne:</w:t>
      </w:r>
    </w:p>
    <w:p w14:paraId="344B7013" w14:textId="71D57EA7" w:rsidR="00F61E6E" w:rsidRPr="00B24633" w:rsidRDefault="00F61E6E" w:rsidP="00B24633">
      <w:pPr>
        <w:tabs>
          <w:tab w:val="left" w:pos="851"/>
        </w:tabs>
        <w:ind w:left="851"/>
        <w:rPr>
          <w:sz w:val="24"/>
          <w:szCs w:val="24"/>
        </w:rPr>
      </w:pPr>
      <w:r w:rsidRPr="00B24633">
        <w:rPr>
          <w:sz w:val="24"/>
          <w:szCs w:val="24"/>
        </w:rPr>
        <w:t xml:space="preserve">Der foreligger begrænsede kliniske data for patienter med svært nedsat nyrefunktion (kreatininclearance 15 ‒ 29 ml/min), og disse data indikerer, at plasmakoncentrationerne af rivaroxaban stiger signifikant hos denne patientgruppe.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skal derfor </w:t>
      </w:r>
      <w:r w:rsidRPr="00B24633">
        <w:rPr>
          <w:sz w:val="24"/>
          <w:szCs w:val="24"/>
        </w:rPr>
        <w:lastRenderedPageBreak/>
        <w:t xml:space="preserve">anvendes med forsigtighed hos disse patienter.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bør ikke anvendes til patienter med kreatininclearance &lt; 15 ml/min (se pkt. 4.4 og 5.2). </w:t>
      </w:r>
    </w:p>
    <w:p w14:paraId="4D176810" w14:textId="77777777" w:rsidR="00F61E6E" w:rsidRPr="00B24633" w:rsidRDefault="00F61E6E" w:rsidP="00B24633">
      <w:pPr>
        <w:tabs>
          <w:tab w:val="left" w:pos="851"/>
        </w:tabs>
        <w:ind w:left="851"/>
        <w:rPr>
          <w:sz w:val="24"/>
          <w:szCs w:val="24"/>
        </w:rPr>
      </w:pPr>
    </w:p>
    <w:p w14:paraId="15FFFB84" w14:textId="77777777" w:rsidR="00F61E6E" w:rsidRPr="00B24633" w:rsidRDefault="00F61E6E" w:rsidP="00B24633">
      <w:pPr>
        <w:tabs>
          <w:tab w:val="left" w:pos="851"/>
        </w:tabs>
        <w:ind w:left="851"/>
        <w:rPr>
          <w:sz w:val="24"/>
          <w:szCs w:val="24"/>
        </w:rPr>
      </w:pPr>
      <w:r w:rsidRPr="00B24633">
        <w:rPr>
          <w:sz w:val="24"/>
          <w:szCs w:val="24"/>
        </w:rPr>
        <w:t>Hos patienter med moderat nedsat nyrefunktion (kreatininclearance 30 ‒ 49 ml/min) eller svært nedsat nyrefunktion (kreatininclearance 15 ‒ 29 ml/min) anbefales følgende dosis:</w:t>
      </w:r>
    </w:p>
    <w:p w14:paraId="1860B84B" w14:textId="77777777" w:rsidR="00F61E6E" w:rsidRPr="00B24633" w:rsidRDefault="00F61E6E" w:rsidP="00B24633">
      <w:pPr>
        <w:tabs>
          <w:tab w:val="left" w:pos="851"/>
        </w:tabs>
        <w:ind w:left="851"/>
        <w:rPr>
          <w:sz w:val="24"/>
          <w:szCs w:val="24"/>
        </w:rPr>
      </w:pPr>
    </w:p>
    <w:p w14:paraId="518AD7B5" w14:textId="77777777" w:rsidR="00F61E6E" w:rsidRPr="00B24633" w:rsidRDefault="00F61E6E" w:rsidP="00B24633">
      <w:pPr>
        <w:numPr>
          <w:ilvl w:val="1"/>
          <w:numId w:val="7"/>
        </w:numPr>
        <w:tabs>
          <w:tab w:val="left" w:pos="1418"/>
        </w:tabs>
        <w:ind w:left="1418" w:hanging="567"/>
        <w:rPr>
          <w:sz w:val="24"/>
          <w:szCs w:val="24"/>
        </w:rPr>
      </w:pPr>
      <w:r w:rsidRPr="00B24633">
        <w:rPr>
          <w:sz w:val="24"/>
          <w:szCs w:val="24"/>
        </w:rPr>
        <w:t>Til forebyggelse af apopleksi og systemisk emboli hos patienter med ikke-valvulær atrieflimren er den anbefalede dosis 15 mg én gang dagligt (se pkt. 5.2).</w:t>
      </w:r>
    </w:p>
    <w:p w14:paraId="56821903" w14:textId="77777777" w:rsidR="00F61E6E" w:rsidRPr="00B24633" w:rsidRDefault="00F61E6E" w:rsidP="00B24633">
      <w:pPr>
        <w:tabs>
          <w:tab w:val="left" w:pos="851"/>
        </w:tabs>
        <w:ind w:left="851"/>
        <w:rPr>
          <w:sz w:val="24"/>
          <w:szCs w:val="24"/>
        </w:rPr>
      </w:pPr>
    </w:p>
    <w:p w14:paraId="58067542" w14:textId="77777777" w:rsidR="00F61E6E" w:rsidRPr="00B24633" w:rsidRDefault="00F61E6E" w:rsidP="00B24633">
      <w:pPr>
        <w:numPr>
          <w:ilvl w:val="1"/>
          <w:numId w:val="7"/>
        </w:numPr>
        <w:tabs>
          <w:tab w:val="left" w:pos="1418"/>
        </w:tabs>
        <w:ind w:left="1418" w:hanging="567"/>
        <w:rPr>
          <w:sz w:val="24"/>
          <w:szCs w:val="24"/>
        </w:rPr>
      </w:pPr>
      <w:r w:rsidRPr="00B24633">
        <w:rPr>
          <w:sz w:val="24"/>
          <w:szCs w:val="24"/>
        </w:rPr>
        <w:t>Til behandling af DVT, behandling af PE og forebyggelse af recidiverende DVT og PE: Patienten skal behandles med 15 mg to gange dagligt i de første tre uger. Derefter, når den anbefalede dosis 20 mg er én gang dagligt, bør en dosisreduktion fra 20 mg én gang dagligt til 15 mg én gang dagligt overvejes, hvis det vurderes, at patientens risiko for blødning vejer tungere end risikoen for recidiverende PE og DVT. Anbefalingen af brug af 15 mg er baseret på farmakokinetisk modellering og er ikke undersøgt klinisk (se pkt. 4.4, 5.1 og 5.2).</w:t>
      </w:r>
    </w:p>
    <w:p w14:paraId="0ACD57C5" w14:textId="77777777" w:rsidR="00F61E6E" w:rsidRPr="00B24633" w:rsidRDefault="00F61E6E" w:rsidP="00B24633">
      <w:pPr>
        <w:tabs>
          <w:tab w:val="left" w:pos="1418"/>
        </w:tabs>
        <w:ind w:left="1418"/>
        <w:rPr>
          <w:sz w:val="24"/>
          <w:szCs w:val="24"/>
        </w:rPr>
      </w:pPr>
      <w:r w:rsidRPr="00B24633">
        <w:rPr>
          <w:sz w:val="24"/>
          <w:szCs w:val="24"/>
        </w:rPr>
        <w:t>Når den anbefalede dosis er 10 mg én gang dagligt, kræves der ingen dosisjustering af den anbefalede dosis.</w:t>
      </w:r>
    </w:p>
    <w:p w14:paraId="02ACDE89" w14:textId="77777777" w:rsidR="00F61E6E" w:rsidRPr="00B24633" w:rsidRDefault="00F61E6E" w:rsidP="00B24633">
      <w:pPr>
        <w:tabs>
          <w:tab w:val="left" w:pos="851"/>
        </w:tabs>
        <w:ind w:left="851"/>
        <w:rPr>
          <w:sz w:val="24"/>
          <w:szCs w:val="24"/>
        </w:rPr>
      </w:pPr>
    </w:p>
    <w:p w14:paraId="3CE1E990" w14:textId="77777777" w:rsidR="00F61E6E" w:rsidRPr="00B24633" w:rsidRDefault="00F61E6E" w:rsidP="00B24633">
      <w:pPr>
        <w:tabs>
          <w:tab w:val="left" w:pos="851"/>
        </w:tabs>
        <w:ind w:left="851"/>
        <w:rPr>
          <w:sz w:val="24"/>
          <w:szCs w:val="24"/>
        </w:rPr>
      </w:pPr>
      <w:r w:rsidRPr="00B24633">
        <w:rPr>
          <w:sz w:val="24"/>
          <w:szCs w:val="24"/>
        </w:rPr>
        <w:t>Dosisjustering er ikke nødvendig hos patienter med let nedsat nyrefunktion (kreatininclearance 50- 80 ml/min, se pkt. 5.2).</w:t>
      </w:r>
    </w:p>
    <w:p w14:paraId="41CA1135" w14:textId="77777777" w:rsidR="00F61E6E" w:rsidRPr="00B24633" w:rsidRDefault="00F61E6E" w:rsidP="00B24633">
      <w:pPr>
        <w:tabs>
          <w:tab w:val="left" w:pos="851"/>
        </w:tabs>
        <w:ind w:left="851"/>
        <w:rPr>
          <w:sz w:val="24"/>
          <w:szCs w:val="24"/>
        </w:rPr>
      </w:pPr>
    </w:p>
    <w:p w14:paraId="0002EB36" w14:textId="77777777" w:rsidR="00F61E6E" w:rsidRPr="00B24633" w:rsidRDefault="00F61E6E" w:rsidP="00B24633">
      <w:pPr>
        <w:tabs>
          <w:tab w:val="left" w:pos="851"/>
        </w:tabs>
        <w:ind w:left="851"/>
        <w:rPr>
          <w:iCs/>
          <w:sz w:val="24"/>
          <w:szCs w:val="24"/>
        </w:rPr>
      </w:pPr>
      <w:r w:rsidRPr="00B24633">
        <w:rPr>
          <w:iCs/>
          <w:sz w:val="24"/>
          <w:szCs w:val="24"/>
        </w:rPr>
        <w:t>Pædiatrisk population:</w:t>
      </w:r>
    </w:p>
    <w:p w14:paraId="0B0618A3" w14:textId="77777777" w:rsidR="00F61E6E" w:rsidRPr="00B24633" w:rsidRDefault="00F61E6E" w:rsidP="00B24633">
      <w:pPr>
        <w:numPr>
          <w:ilvl w:val="0"/>
          <w:numId w:val="6"/>
        </w:numPr>
        <w:tabs>
          <w:tab w:val="left" w:pos="1418"/>
        </w:tabs>
        <w:rPr>
          <w:sz w:val="24"/>
          <w:szCs w:val="24"/>
        </w:rPr>
      </w:pPr>
      <w:r w:rsidRPr="00B24633">
        <w:rPr>
          <w:sz w:val="24"/>
          <w:szCs w:val="24"/>
        </w:rPr>
        <w:t>Børn og unge med let nedsat nyrefunktion (glomerulær filtrationsrate 50 ‒ 80 ml/min/1,73 m</w:t>
      </w:r>
      <w:r w:rsidRPr="00B24633">
        <w:rPr>
          <w:sz w:val="24"/>
          <w:szCs w:val="24"/>
          <w:vertAlign w:val="superscript"/>
        </w:rPr>
        <w:t>2</w:t>
      </w:r>
      <w:r w:rsidRPr="00B24633">
        <w:rPr>
          <w:sz w:val="24"/>
          <w:szCs w:val="24"/>
        </w:rPr>
        <w:t>): ingen dosisjustering er nødvendig, baseret på data hos voksne og begrænsede data hos pædiatriske patienter (se pkt. 5.2).</w:t>
      </w:r>
    </w:p>
    <w:p w14:paraId="0C90FF08" w14:textId="4F456A92" w:rsidR="00F61E6E" w:rsidRPr="00B24633" w:rsidRDefault="00F61E6E" w:rsidP="00B24633">
      <w:pPr>
        <w:numPr>
          <w:ilvl w:val="0"/>
          <w:numId w:val="6"/>
        </w:numPr>
        <w:tabs>
          <w:tab w:val="left" w:pos="1418"/>
        </w:tabs>
        <w:rPr>
          <w:sz w:val="24"/>
          <w:szCs w:val="24"/>
        </w:rPr>
      </w:pPr>
      <w:r w:rsidRPr="00B24633">
        <w:rPr>
          <w:sz w:val="24"/>
          <w:szCs w:val="24"/>
        </w:rPr>
        <w:t>Børn og unge med moderat eller svært nedsat nyrefunktion (glomerulær filtrationsrate</w:t>
      </w:r>
      <w:r w:rsidR="00B24633">
        <w:rPr>
          <w:sz w:val="24"/>
          <w:szCs w:val="24"/>
        </w:rPr>
        <w:t xml:space="preserve"> </w:t>
      </w:r>
      <w:r w:rsidRPr="00B24633">
        <w:rPr>
          <w:sz w:val="24"/>
          <w:szCs w:val="24"/>
        </w:rPr>
        <w:t>&lt; 50 ml/min/1,73 m</w:t>
      </w:r>
      <w:r w:rsidRPr="00B24633">
        <w:rPr>
          <w:sz w:val="24"/>
          <w:szCs w:val="24"/>
          <w:vertAlign w:val="superscript"/>
        </w:rPr>
        <w:t>2</w:t>
      </w:r>
      <w:r w:rsidRPr="00B24633">
        <w:rPr>
          <w:sz w:val="24"/>
          <w:szCs w:val="24"/>
        </w:rPr>
        <w:t xml:space="preserve">):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bør ikke anvendes, da der ikke foreligger kliniske data (se pkt. 4.4).</w:t>
      </w:r>
    </w:p>
    <w:p w14:paraId="319482F3" w14:textId="77777777" w:rsidR="00F61E6E" w:rsidRPr="00B24633" w:rsidRDefault="00F61E6E" w:rsidP="00B24633">
      <w:pPr>
        <w:tabs>
          <w:tab w:val="left" w:pos="851"/>
        </w:tabs>
        <w:ind w:left="851"/>
        <w:rPr>
          <w:sz w:val="24"/>
          <w:szCs w:val="24"/>
        </w:rPr>
      </w:pPr>
    </w:p>
    <w:p w14:paraId="29706D62" w14:textId="77777777" w:rsidR="00F61E6E" w:rsidRPr="00B24633" w:rsidRDefault="00F61E6E" w:rsidP="00B24633">
      <w:pPr>
        <w:tabs>
          <w:tab w:val="left" w:pos="851"/>
        </w:tabs>
        <w:ind w:left="851"/>
        <w:rPr>
          <w:i/>
          <w:iCs/>
          <w:sz w:val="24"/>
          <w:szCs w:val="24"/>
        </w:rPr>
      </w:pPr>
      <w:r w:rsidRPr="00B24633">
        <w:rPr>
          <w:i/>
          <w:iCs/>
          <w:sz w:val="24"/>
          <w:szCs w:val="24"/>
        </w:rPr>
        <w:t xml:space="preserve">Nedsat leverfunktion </w:t>
      </w:r>
    </w:p>
    <w:p w14:paraId="5920FF73" w14:textId="60084578"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er kontraindiceret hos patienter med leversygdom, der er forbundet med koagulationsdefekt og en klinisk relevant blødningsrisiko, herunder cirrosepatienter med Child-Pugh B og C (se pkt. 4.3 og 5.2). Der er ingen tilgængelige kliniske data for børn med nedsat leverfunktion.</w:t>
      </w:r>
    </w:p>
    <w:p w14:paraId="61F4B71E" w14:textId="77777777" w:rsidR="00F61E6E" w:rsidRPr="00B24633" w:rsidRDefault="00F61E6E" w:rsidP="00B24633">
      <w:pPr>
        <w:tabs>
          <w:tab w:val="left" w:pos="851"/>
        </w:tabs>
        <w:ind w:left="851"/>
        <w:rPr>
          <w:sz w:val="24"/>
          <w:szCs w:val="24"/>
        </w:rPr>
      </w:pPr>
    </w:p>
    <w:p w14:paraId="0421D9A9" w14:textId="77777777" w:rsidR="00F61E6E" w:rsidRPr="00B24633" w:rsidRDefault="00F61E6E" w:rsidP="00B24633">
      <w:pPr>
        <w:tabs>
          <w:tab w:val="left" w:pos="851"/>
        </w:tabs>
        <w:ind w:left="851"/>
        <w:rPr>
          <w:i/>
          <w:iCs/>
          <w:sz w:val="24"/>
          <w:szCs w:val="24"/>
        </w:rPr>
      </w:pPr>
      <w:r w:rsidRPr="00B24633">
        <w:rPr>
          <w:i/>
          <w:iCs/>
          <w:sz w:val="24"/>
          <w:szCs w:val="24"/>
        </w:rPr>
        <w:t xml:space="preserve">Ældre population </w:t>
      </w:r>
    </w:p>
    <w:p w14:paraId="21A7E11E" w14:textId="77777777" w:rsidR="00F61E6E" w:rsidRPr="00B24633" w:rsidRDefault="00F61E6E" w:rsidP="00B24633">
      <w:pPr>
        <w:tabs>
          <w:tab w:val="left" w:pos="851"/>
        </w:tabs>
        <w:ind w:left="851"/>
        <w:rPr>
          <w:sz w:val="24"/>
          <w:szCs w:val="24"/>
        </w:rPr>
      </w:pPr>
      <w:r w:rsidRPr="00B24633">
        <w:rPr>
          <w:sz w:val="24"/>
          <w:szCs w:val="24"/>
        </w:rPr>
        <w:t xml:space="preserve">Ingen dosisjustering (se pkt. 5.2) </w:t>
      </w:r>
    </w:p>
    <w:p w14:paraId="407402A2" w14:textId="77777777" w:rsidR="00F61E6E" w:rsidRPr="00B24633" w:rsidRDefault="00F61E6E" w:rsidP="00B24633">
      <w:pPr>
        <w:tabs>
          <w:tab w:val="left" w:pos="851"/>
        </w:tabs>
        <w:ind w:left="851"/>
        <w:rPr>
          <w:sz w:val="24"/>
          <w:szCs w:val="24"/>
        </w:rPr>
      </w:pPr>
    </w:p>
    <w:p w14:paraId="3D95C650" w14:textId="77777777" w:rsidR="00F61E6E" w:rsidRPr="00B24633" w:rsidRDefault="00F61E6E" w:rsidP="00B24633">
      <w:pPr>
        <w:tabs>
          <w:tab w:val="left" w:pos="851"/>
        </w:tabs>
        <w:ind w:left="851"/>
        <w:rPr>
          <w:i/>
          <w:iCs/>
          <w:sz w:val="24"/>
          <w:szCs w:val="24"/>
        </w:rPr>
      </w:pPr>
      <w:r w:rsidRPr="00B24633">
        <w:rPr>
          <w:i/>
          <w:iCs/>
          <w:sz w:val="24"/>
          <w:szCs w:val="24"/>
        </w:rPr>
        <w:t xml:space="preserve">Legemsvægt </w:t>
      </w:r>
    </w:p>
    <w:p w14:paraId="35E5AD26" w14:textId="77777777" w:rsidR="00F61E6E" w:rsidRPr="00B24633" w:rsidRDefault="00F61E6E" w:rsidP="00B24633">
      <w:pPr>
        <w:tabs>
          <w:tab w:val="left" w:pos="851"/>
        </w:tabs>
        <w:ind w:left="851"/>
        <w:rPr>
          <w:sz w:val="24"/>
          <w:szCs w:val="24"/>
        </w:rPr>
      </w:pPr>
      <w:r w:rsidRPr="00B24633">
        <w:rPr>
          <w:sz w:val="24"/>
          <w:szCs w:val="24"/>
        </w:rPr>
        <w:t>Ingen dosisjustering for voksne (se pkt. 5.2). For</w:t>
      </w:r>
      <w:r w:rsidRPr="00B24633">
        <w:rPr>
          <w:spacing w:val="-8"/>
          <w:sz w:val="24"/>
          <w:szCs w:val="24"/>
        </w:rPr>
        <w:t xml:space="preserve"> </w:t>
      </w:r>
      <w:r w:rsidRPr="00B24633">
        <w:rPr>
          <w:sz w:val="24"/>
          <w:szCs w:val="24"/>
        </w:rPr>
        <w:t>pædiatriske</w:t>
      </w:r>
      <w:r w:rsidRPr="00B24633">
        <w:rPr>
          <w:spacing w:val="-8"/>
          <w:sz w:val="24"/>
          <w:szCs w:val="24"/>
        </w:rPr>
        <w:t xml:space="preserve"> </w:t>
      </w:r>
      <w:r w:rsidRPr="00B24633">
        <w:rPr>
          <w:sz w:val="24"/>
          <w:szCs w:val="24"/>
        </w:rPr>
        <w:t>patienter</w:t>
      </w:r>
      <w:r w:rsidRPr="00B24633">
        <w:rPr>
          <w:spacing w:val="-7"/>
          <w:sz w:val="24"/>
          <w:szCs w:val="24"/>
        </w:rPr>
        <w:t xml:space="preserve"> </w:t>
      </w:r>
      <w:r w:rsidRPr="00B24633">
        <w:rPr>
          <w:sz w:val="24"/>
          <w:szCs w:val="24"/>
        </w:rPr>
        <w:t>bestemmes</w:t>
      </w:r>
      <w:r w:rsidRPr="00B24633">
        <w:rPr>
          <w:spacing w:val="-8"/>
          <w:sz w:val="24"/>
          <w:szCs w:val="24"/>
        </w:rPr>
        <w:t xml:space="preserve"> </w:t>
      </w:r>
      <w:r w:rsidRPr="00B24633">
        <w:rPr>
          <w:sz w:val="24"/>
          <w:szCs w:val="24"/>
        </w:rPr>
        <w:t>dosis</w:t>
      </w:r>
      <w:r w:rsidRPr="00B24633">
        <w:rPr>
          <w:spacing w:val="-8"/>
          <w:sz w:val="24"/>
          <w:szCs w:val="24"/>
        </w:rPr>
        <w:t xml:space="preserve"> </w:t>
      </w:r>
      <w:r w:rsidRPr="00B24633">
        <w:rPr>
          <w:sz w:val="24"/>
          <w:szCs w:val="24"/>
        </w:rPr>
        <w:t>på</w:t>
      </w:r>
      <w:r w:rsidRPr="00B24633">
        <w:rPr>
          <w:spacing w:val="-8"/>
          <w:sz w:val="24"/>
          <w:szCs w:val="24"/>
        </w:rPr>
        <w:t xml:space="preserve"> </w:t>
      </w:r>
      <w:r w:rsidRPr="00B24633">
        <w:rPr>
          <w:sz w:val="24"/>
          <w:szCs w:val="24"/>
        </w:rPr>
        <w:t>basis</w:t>
      </w:r>
      <w:r w:rsidRPr="00B24633">
        <w:rPr>
          <w:spacing w:val="-8"/>
          <w:sz w:val="24"/>
          <w:szCs w:val="24"/>
        </w:rPr>
        <w:t xml:space="preserve"> </w:t>
      </w:r>
      <w:r w:rsidRPr="00B24633">
        <w:rPr>
          <w:sz w:val="24"/>
          <w:szCs w:val="24"/>
        </w:rPr>
        <w:t>af</w:t>
      </w:r>
      <w:r w:rsidRPr="00B24633">
        <w:rPr>
          <w:spacing w:val="-7"/>
          <w:sz w:val="24"/>
          <w:szCs w:val="24"/>
        </w:rPr>
        <w:t xml:space="preserve"> </w:t>
      </w:r>
      <w:r w:rsidRPr="00B24633">
        <w:rPr>
          <w:spacing w:val="-2"/>
          <w:sz w:val="24"/>
          <w:szCs w:val="24"/>
        </w:rPr>
        <w:t>legemsvægten.</w:t>
      </w:r>
      <w:r w:rsidRPr="00B24633">
        <w:rPr>
          <w:sz w:val="24"/>
          <w:szCs w:val="24"/>
        </w:rPr>
        <w:t xml:space="preserve"> </w:t>
      </w:r>
    </w:p>
    <w:p w14:paraId="47306C96" w14:textId="77777777" w:rsidR="00F61E6E" w:rsidRPr="00B24633" w:rsidRDefault="00F61E6E" w:rsidP="00B24633">
      <w:pPr>
        <w:tabs>
          <w:tab w:val="left" w:pos="851"/>
        </w:tabs>
        <w:ind w:left="851"/>
        <w:rPr>
          <w:sz w:val="24"/>
          <w:szCs w:val="24"/>
        </w:rPr>
      </w:pPr>
    </w:p>
    <w:p w14:paraId="27C291E8" w14:textId="77777777" w:rsidR="00F61E6E" w:rsidRPr="00B24633" w:rsidRDefault="00F61E6E" w:rsidP="00B24633">
      <w:pPr>
        <w:ind w:left="851"/>
        <w:rPr>
          <w:i/>
          <w:sz w:val="24"/>
          <w:szCs w:val="24"/>
        </w:rPr>
      </w:pPr>
      <w:r w:rsidRPr="00B24633">
        <w:rPr>
          <w:i/>
          <w:sz w:val="24"/>
          <w:szCs w:val="24"/>
        </w:rPr>
        <w:t xml:space="preserve">Køn </w:t>
      </w:r>
    </w:p>
    <w:p w14:paraId="6E643BD5" w14:textId="77777777" w:rsidR="00F61E6E" w:rsidRPr="00B24633" w:rsidRDefault="00F61E6E" w:rsidP="00B24633">
      <w:pPr>
        <w:ind w:left="851"/>
        <w:rPr>
          <w:sz w:val="24"/>
          <w:szCs w:val="24"/>
        </w:rPr>
      </w:pPr>
      <w:r w:rsidRPr="00B24633">
        <w:rPr>
          <w:sz w:val="24"/>
          <w:szCs w:val="24"/>
        </w:rPr>
        <w:t xml:space="preserve">Ingen dosisjustering (se pkt. 5.2) </w:t>
      </w:r>
    </w:p>
    <w:p w14:paraId="16585052" w14:textId="77777777" w:rsidR="00F61E6E" w:rsidRPr="00B24633" w:rsidRDefault="00F61E6E" w:rsidP="00B24633">
      <w:pPr>
        <w:tabs>
          <w:tab w:val="left" w:pos="851"/>
        </w:tabs>
        <w:ind w:left="851"/>
        <w:rPr>
          <w:sz w:val="24"/>
          <w:szCs w:val="24"/>
        </w:rPr>
      </w:pPr>
    </w:p>
    <w:p w14:paraId="550E09AB" w14:textId="77777777" w:rsidR="00F61E6E" w:rsidRPr="00B24633" w:rsidRDefault="00F61E6E" w:rsidP="00B24633">
      <w:pPr>
        <w:tabs>
          <w:tab w:val="left" w:pos="851"/>
        </w:tabs>
        <w:ind w:left="851"/>
        <w:rPr>
          <w:i/>
          <w:sz w:val="24"/>
          <w:szCs w:val="24"/>
        </w:rPr>
      </w:pPr>
      <w:r w:rsidRPr="00B24633">
        <w:rPr>
          <w:i/>
          <w:sz w:val="24"/>
          <w:szCs w:val="24"/>
        </w:rPr>
        <w:t>Patienter, der skal kardioverteres</w:t>
      </w:r>
    </w:p>
    <w:p w14:paraId="1695C196" w14:textId="22F22F4C" w:rsidR="00F61E6E" w:rsidRPr="00B24633" w:rsidRDefault="00F61E6E" w:rsidP="00B24633">
      <w:pPr>
        <w:tabs>
          <w:tab w:val="left" w:pos="851"/>
        </w:tabs>
        <w:ind w:left="851"/>
        <w:rPr>
          <w:sz w:val="24"/>
          <w:szCs w:val="24"/>
        </w:rPr>
      </w:pPr>
      <w:r w:rsidRPr="00B24633">
        <w:rPr>
          <w:sz w:val="24"/>
          <w:szCs w:val="24"/>
        </w:rPr>
        <w:t xml:space="preserve">Behandling med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kan initieres eller fortsættes hos patienter, der får behov for kardiovertering. For så vidt angår transøsofageal ekkokardiografi (TEE)-guidet kardiovertering hos patienter, der ikke tidligere er behandlet med antikoagulantia, skal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-behandlingen startes mindst 4 timer før kardioverteringen for at sikre </w:t>
      </w:r>
      <w:r w:rsidRPr="00B24633">
        <w:rPr>
          <w:sz w:val="24"/>
          <w:szCs w:val="24"/>
        </w:rPr>
        <w:lastRenderedPageBreak/>
        <w:t xml:space="preserve">tilstrækkelig antikoagulation (se pkt. 5.1 og 5.2). For alle patienters vedkommende skal det så vidt muligt inden kardioverteringen bekræftes, at patienten har taget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som foreskrevet. Beslutning om iværksættelse af behandling og behandlingsvarighed skal træffes under hensyntagen til de fastlagte anbefalinger vedrørende antikoagulerende behandling hos patienter, der skal kardioverteres.</w:t>
      </w:r>
    </w:p>
    <w:p w14:paraId="0A305084" w14:textId="77777777" w:rsidR="00F61E6E" w:rsidRPr="00B24633" w:rsidRDefault="00F61E6E" w:rsidP="00B24633">
      <w:pPr>
        <w:tabs>
          <w:tab w:val="left" w:pos="851"/>
        </w:tabs>
        <w:ind w:left="851"/>
        <w:rPr>
          <w:i/>
          <w:sz w:val="24"/>
          <w:szCs w:val="24"/>
        </w:rPr>
      </w:pPr>
    </w:p>
    <w:p w14:paraId="7A8D9431" w14:textId="77777777" w:rsidR="00F61E6E" w:rsidRPr="00B24633" w:rsidRDefault="00F61E6E" w:rsidP="00B24633">
      <w:pPr>
        <w:tabs>
          <w:tab w:val="left" w:pos="851"/>
        </w:tabs>
        <w:ind w:left="851"/>
        <w:rPr>
          <w:i/>
          <w:sz w:val="24"/>
          <w:szCs w:val="24"/>
        </w:rPr>
      </w:pPr>
      <w:r w:rsidRPr="00B24633">
        <w:rPr>
          <w:i/>
          <w:sz w:val="24"/>
          <w:szCs w:val="24"/>
        </w:rPr>
        <w:t>Patienter med ikke-valvulær atrieflimren, som gennemgår PCI (perkutan koronar intervention) med indsat stent</w:t>
      </w:r>
    </w:p>
    <w:p w14:paraId="247B1D81" w14:textId="68401EE7" w:rsidR="00F61E6E" w:rsidRPr="00B24633" w:rsidRDefault="00F61E6E" w:rsidP="00B24633">
      <w:pPr>
        <w:tabs>
          <w:tab w:val="left" w:pos="851"/>
        </w:tabs>
        <w:ind w:left="851"/>
        <w:rPr>
          <w:sz w:val="24"/>
          <w:szCs w:val="24"/>
        </w:rPr>
      </w:pPr>
      <w:r w:rsidRPr="00B24633">
        <w:rPr>
          <w:sz w:val="24"/>
          <w:szCs w:val="24"/>
        </w:rPr>
        <w:t xml:space="preserve">Der er begrænset erfaring med en reduceret dosis på 15 mg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én gang dagligt (eller 10 mg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én gang dagligt hos patienter med moderat nedsat nyrefunktion [kreatininclearance 30 ‒ 49 ml/min]) i tillæg til en P2Y12-hæmmer i maksimalt 12 måneder hos patienter med ikke-valvulær atrieflimren, som kræver oral antikoagulation og som gennemgår PCI med indsat stent (se pkt. 4.4 og 5.1).</w:t>
      </w:r>
    </w:p>
    <w:p w14:paraId="2227A187" w14:textId="77777777" w:rsidR="00F61E6E" w:rsidRPr="00B24633" w:rsidRDefault="00F61E6E" w:rsidP="00B24633">
      <w:pPr>
        <w:tabs>
          <w:tab w:val="left" w:pos="851"/>
        </w:tabs>
        <w:ind w:left="851"/>
        <w:rPr>
          <w:sz w:val="24"/>
          <w:szCs w:val="24"/>
        </w:rPr>
      </w:pPr>
    </w:p>
    <w:p w14:paraId="656C6C57" w14:textId="77777777" w:rsidR="00F61E6E" w:rsidRPr="00B24633" w:rsidRDefault="00F61E6E" w:rsidP="00B24633">
      <w:pPr>
        <w:tabs>
          <w:tab w:val="left" w:pos="851"/>
        </w:tabs>
        <w:ind w:left="851"/>
        <w:rPr>
          <w:sz w:val="24"/>
          <w:szCs w:val="24"/>
        </w:rPr>
      </w:pPr>
      <w:r w:rsidRPr="00B24633">
        <w:rPr>
          <w:i/>
          <w:iCs/>
          <w:sz w:val="24"/>
          <w:szCs w:val="24"/>
        </w:rPr>
        <w:t xml:space="preserve">Pædiatrisk population </w:t>
      </w:r>
    </w:p>
    <w:p w14:paraId="0B853D92" w14:textId="63A82F8A"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s sikkerhed og virkning hos børn i alderen 0 til &lt; 18 år er ikke klarlagt for indikationen forebyggelse af apopleksi og systemisk embolisme hos patienter med non-valvulær atrieflimmer. Der foreligger ingen data. Derfor bør det ikke anvendes til børn under 18 år for andre indikationer end behandling af VTE og forebyggelse af recidiverende VTE.</w:t>
      </w:r>
    </w:p>
    <w:p w14:paraId="1197B61A" w14:textId="77777777" w:rsidR="00F61E6E" w:rsidRPr="00B24633" w:rsidRDefault="00F61E6E" w:rsidP="00B24633">
      <w:pPr>
        <w:tabs>
          <w:tab w:val="left" w:pos="851"/>
        </w:tabs>
        <w:ind w:left="851"/>
        <w:rPr>
          <w:sz w:val="24"/>
          <w:szCs w:val="24"/>
        </w:rPr>
      </w:pPr>
    </w:p>
    <w:p w14:paraId="0431AF6F"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Administration </w:t>
      </w:r>
    </w:p>
    <w:p w14:paraId="0123DA58" w14:textId="77777777" w:rsidR="00F61E6E" w:rsidRPr="00B24633" w:rsidRDefault="00F61E6E" w:rsidP="00B24633">
      <w:pPr>
        <w:tabs>
          <w:tab w:val="left" w:pos="851"/>
        </w:tabs>
        <w:ind w:left="851"/>
        <w:rPr>
          <w:i/>
          <w:iCs/>
          <w:sz w:val="24"/>
          <w:szCs w:val="24"/>
        </w:rPr>
      </w:pPr>
      <w:r w:rsidRPr="00B24633">
        <w:rPr>
          <w:i/>
          <w:iCs/>
          <w:sz w:val="24"/>
          <w:szCs w:val="24"/>
        </w:rPr>
        <w:t>Voksne</w:t>
      </w:r>
    </w:p>
    <w:p w14:paraId="577C0B1A" w14:textId="257938C5"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er til oral anvendelse. </w:t>
      </w:r>
    </w:p>
    <w:p w14:paraId="4CC2D9EF" w14:textId="77777777" w:rsidR="00F61E6E" w:rsidRPr="00B24633" w:rsidRDefault="00F61E6E" w:rsidP="00B24633">
      <w:pPr>
        <w:tabs>
          <w:tab w:val="left" w:pos="851"/>
        </w:tabs>
        <w:ind w:left="851"/>
        <w:rPr>
          <w:sz w:val="24"/>
          <w:szCs w:val="24"/>
        </w:rPr>
      </w:pPr>
      <w:r w:rsidRPr="00B24633">
        <w:rPr>
          <w:sz w:val="24"/>
          <w:szCs w:val="24"/>
        </w:rPr>
        <w:t xml:space="preserve">Tabletterne skal tages sammen med mad (se pkt. 5.2). </w:t>
      </w:r>
    </w:p>
    <w:p w14:paraId="6A2F83EF" w14:textId="77777777" w:rsidR="00F61E6E" w:rsidRPr="00B24633" w:rsidRDefault="00F61E6E" w:rsidP="00B24633">
      <w:pPr>
        <w:tabs>
          <w:tab w:val="left" w:pos="851"/>
        </w:tabs>
        <w:ind w:left="851"/>
        <w:rPr>
          <w:sz w:val="24"/>
          <w:szCs w:val="24"/>
        </w:rPr>
      </w:pPr>
    </w:p>
    <w:p w14:paraId="3BE5470F" w14:textId="77777777" w:rsidR="00F61E6E" w:rsidRPr="00B24633" w:rsidRDefault="00F61E6E" w:rsidP="00B24633">
      <w:pPr>
        <w:tabs>
          <w:tab w:val="left" w:pos="851"/>
        </w:tabs>
        <w:ind w:left="851"/>
        <w:rPr>
          <w:sz w:val="24"/>
          <w:szCs w:val="24"/>
        </w:rPr>
      </w:pPr>
      <w:r w:rsidRPr="00B24633">
        <w:rPr>
          <w:i/>
          <w:iCs/>
          <w:sz w:val="24"/>
          <w:szCs w:val="24"/>
        </w:rPr>
        <w:t xml:space="preserve">Knusning af tabletter </w:t>
      </w:r>
    </w:p>
    <w:p w14:paraId="65E3DF1E" w14:textId="596B0644" w:rsidR="00F61E6E" w:rsidRPr="00B24633" w:rsidRDefault="00F61E6E" w:rsidP="00B24633">
      <w:pPr>
        <w:tabs>
          <w:tab w:val="left" w:pos="851"/>
        </w:tabs>
        <w:ind w:left="851"/>
        <w:rPr>
          <w:sz w:val="24"/>
          <w:szCs w:val="24"/>
        </w:rPr>
      </w:pPr>
      <w:r w:rsidRPr="00B24633">
        <w:rPr>
          <w:sz w:val="24"/>
          <w:szCs w:val="24"/>
        </w:rPr>
        <w:t xml:space="preserve">Til patienter, der ikke er i stand til at sluge hele tabletter, kan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administreres oralt ved at knuse tabletten og blande den med vand eller æblemos umiddelbart før indtagelse. Administration af knuste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15 mg eller 20 mg filmovertrukne tabletter skal straks efterfølges af mad.</w:t>
      </w:r>
    </w:p>
    <w:p w14:paraId="71F3657A" w14:textId="77777777" w:rsidR="00F61E6E" w:rsidRPr="00B24633" w:rsidRDefault="00F61E6E" w:rsidP="00B24633">
      <w:pPr>
        <w:tabs>
          <w:tab w:val="left" w:pos="851"/>
        </w:tabs>
        <w:ind w:left="851"/>
        <w:rPr>
          <w:sz w:val="24"/>
          <w:szCs w:val="24"/>
        </w:rPr>
      </w:pPr>
      <w:r w:rsidRPr="00B24633">
        <w:rPr>
          <w:sz w:val="24"/>
          <w:szCs w:val="24"/>
        </w:rPr>
        <w:t>Den knuste tablet kan også gives via en ventrikelsonde (se pkt. 5.2 og 6.6).</w:t>
      </w:r>
    </w:p>
    <w:p w14:paraId="2188E286" w14:textId="77777777" w:rsidR="00F61E6E" w:rsidRPr="00B24633" w:rsidRDefault="00F61E6E" w:rsidP="00B24633">
      <w:pPr>
        <w:tabs>
          <w:tab w:val="left" w:pos="851"/>
        </w:tabs>
        <w:ind w:left="851"/>
        <w:rPr>
          <w:sz w:val="24"/>
          <w:szCs w:val="24"/>
        </w:rPr>
      </w:pPr>
    </w:p>
    <w:p w14:paraId="1B66E30F" w14:textId="77777777" w:rsidR="00F61E6E" w:rsidRPr="00B24633" w:rsidRDefault="00F61E6E" w:rsidP="00B24633">
      <w:pPr>
        <w:tabs>
          <w:tab w:val="left" w:pos="851"/>
        </w:tabs>
        <w:ind w:left="851"/>
        <w:rPr>
          <w:i/>
          <w:iCs/>
          <w:sz w:val="24"/>
          <w:szCs w:val="24"/>
        </w:rPr>
      </w:pPr>
      <w:r w:rsidRPr="00B24633">
        <w:rPr>
          <w:i/>
          <w:iCs/>
          <w:sz w:val="24"/>
          <w:szCs w:val="24"/>
        </w:rPr>
        <w:t>Børn og unge, der vejer mindst 30 kg</w:t>
      </w:r>
    </w:p>
    <w:p w14:paraId="552168A6" w14:textId="2B3EB1E5"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er til oral anvendelse.</w:t>
      </w:r>
    </w:p>
    <w:p w14:paraId="7DB89CF7" w14:textId="77777777" w:rsidR="00F61E6E" w:rsidRPr="00B24633" w:rsidRDefault="00F61E6E" w:rsidP="00B24633">
      <w:pPr>
        <w:tabs>
          <w:tab w:val="left" w:pos="851"/>
        </w:tabs>
        <w:ind w:left="851"/>
        <w:rPr>
          <w:sz w:val="24"/>
          <w:szCs w:val="24"/>
        </w:rPr>
      </w:pPr>
      <w:r w:rsidRPr="00B24633">
        <w:rPr>
          <w:sz w:val="24"/>
          <w:szCs w:val="24"/>
        </w:rPr>
        <w:t>Patienten skal rådes til at sluge tabletten sammen med væske. Den bør også tages sammen med mad (se pkt. 5.2). Tabletterne skal tages med ca. 24 timers mellemrum.</w:t>
      </w:r>
    </w:p>
    <w:p w14:paraId="2E6AA8D1" w14:textId="77777777" w:rsidR="00F61E6E" w:rsidRPr="00B24633" w:rsidRDefault="00F61E6E" w:rsidP="00B24633">
      <w:pPr>
        <w:tabs>
          <w:tab w:val="left" w:pos="851"/>
        </w:tabs>
        <w:ind w:left="851"/>
        <w:rPr>
          <w:sz w:val="24"/>
          <w:szCs w:val="24"/>
        </w:rPr>
      </w:pPr>
    </w:p>
    <w:p w14:paraId="4CDB21C8" w14:textId="77777777" w:rsidR="00F61E6E" w:rsidRPr="00B24633" w:rsidRDefault="00F61E6E" w:rsidP="00B24633">
      <w:pPr>
        <w:tabs>
          <w:tab w:val="left" w:pos="851"/>
        </w:tabs>
        <w:ind w:left="851"/>
        <w:rPr>
          <w:sz w:val="24"/>
          <w:szCs w:val="24"/>
        </w:rPr>
      </w:pPr>
      <w:r w:rsidRPr="00B24633">
        <w:rPr>
          <w:sz w:val="24"/>
          <w:szCs w:val="24"/>
        </w:rPr>
        <w:t>I tilfælde af, at patienten straks spytter dosen ud eller kaster op inden for 30 minutter efter indtagelse, skal der gives en ny dosis. Hvis patienten kaster op mere end 30 minutter efter dosis, må dosis ikke administreres igen, og den næste dosis skal tages som planlagt.</w:t>
      </w:r>
    </w:p>
    <w:p w14:paraId="0DABD6EB" w14:textId="77777777" w:rsidR="00F61E6E" w:rsidRPr="00B24633" w:rsidRDefault="00F61E6E" w:rsidP="00B24633">
      <w:pPr>
        <w:tabs>
          <w:tab w:val="left" w:pos="851"/>
        </w:tabs>
        <w:ind w:left="851"/>
        <w:rPr>
          <w:sz w:val="24"/>
          <w:szCs w:val="24"/>
        </w:rPr>
      </w:pPr>
      <w:r w:rsidRPr="00B24633">
        <w:rPr>
          <w:sz w:val="24"/>
          <w:szCs w:val="24"/>
        </w:rPr>
        <w:t xml:space="preserve"> </w:t>
      </w:r>
    </w:p>
    <w:p w14:paraId="1460A002" w14:textId="77777777" w:rsidR="00F61E6E" w:rsidRPr="00B24633" w:rsidRDefault="00F61E6E" w:rsidP="00B24633">
      <w:pPr>
        <w:tabs>
          <w:tab w:val="left" w:pos="851"/>
        </w:tabs>
        <w:ind w:left="851"/>
        <w:rPr>
          <w:sz w:val="24"/>
          <w:szCs w:val="24"/>
        </w:rPr>
      </w:pPr>
      <w:r w:rsidRPr="00B24633">
        <w:rPr>
          <w:sz w:val="24"/>
          <w:szCs w:val="24"/>
        </w:rPr>
        <w:t>Tabletten må ikke deles i et forsøg på at opnå en del af en tabletdosis.</w:t>
      </w:r>
    </w:p>
    <w:p w14:paraId="59E72DC3" w14:textId="77777777" w:rsidR="00F61E6E" w:rsidRPr="00B24633" w:rsidRDefault="00F61E6E" w:rsidP="00B24633">
      <w:pPr>
        <w:tabs>
          <w:tab w:val="left" w:pos="851"/>
        </w:tabs>
        <w:ind w:left="851"/>
        <w:rPr>
          <w:i/>
          <w:iCs/>
          <w:sz w:val="24"/>
          <w:szCs w:val="24"/>
        </w:rPr>
      </w:pPr>
    </w:p>
    <w:p w14:paraId="14D38528" w14:textId="77777777" w:rsidR="00F61E6E" w:rsidRPr="00B24633" w:rsidRDefault="00F61E6E" w:rsidP="00B24633">
      <w:pPr>
        <w:tabs>
          <w:tab w:val="left" w:pos="851"/>
        </w:tabs>
        <w:ind w:left="851"/>
        <w:rPr>
          <w:sz w:val="24"/>
          <w:szCs w:val="24"/>
        </w:rPr>
      </w:pPr>
      <w:r w:rsidRPr="00B24633">
        <w:rPr>
          <w:i/>
          <w:iCs/>
          <w:sz w:val="24"/>
          <w:szCs w:val="24"/>
        </w:rPr>
        <w:t xml:space="preserve">Knusning af tabletter </w:t>
      </w:r>
    </w:p>
    <w:p w14:paraId="11A817EA" w14:textId="77777777" w:rsidR="00F61E6E" w:rsidRPr="00B24633" w:rsidRDefault="00F61E6E" w:rsidP="00B24633">
      <w:pPr>
        <w:tabs>
          <w:tab w:val="left" w:pos="851"/>
        </w:tabs>
        <w:ind w:left="851"/>
        <w:rPr>
          <w:sz w:val="24"/>
          <w:szCs w:val="24"/>
        </w:rPr>
      </w:pPr>
      <w:r w:rsidRPr="00B24633">
        <w:rPr>
          <w:sz w:val="24"/>
          <w:szCs w:val="24"/>
        </w:rPr>
        <w:t>Til patienter, der ikke er i stand til at sluge hele tabletter, bør andre lægemiddelformer anvendes. Hvis andre lægemiddelformer, ikke er umiddelbart tilgængelige, når doser på 15 mg eller 20 mg rivaroxaban er ordineret, kan disse gives ved at knuse tabletten med 15 mg eller 20 mg og blande den med vand eller æblemos umiddelbart før brug og administreres oralt.</w:t>
      </w:r>
    </w:p>
    <w:p w14:paraId="78AA3150" w14:textId="77777777" w:rsidR="00F61E6E" w:rsidRPr="00B24633" w:rsidRDefault="00F61E6E" w:rsidP="00B24633">
      <w:pPr>
        <w:tabs>
          <w:tab w:val="left" w:pos="851"/>
        </w:tabs>
        <w:ind w:left="851"/>
        <w:rPr>
          <w:sz w:val="24"/>
          <w:szCs w:val="24"/>
        </w:rPr>
      </w:pPr>
      <w:r w:rsidRPr="00B24633">
        <w:rPr>
          <w:sz w:val="24"/>
          <w:szCs w:val="24"/>
        </w:rPr>
        <w:lastRenderedPageBreak/>
        <w:t>Den knuste tablet kan gives via en nasogastrisk sonde eller anden ernæringssonde til ventriklen (se pkt. 5.2 og 6.6).</w:t>
      </w:r>
    </w:p>
    <w:bookmarkEnd w:id="1"/>
    <w:p w14:paraId="682A953E" w14:textId="77777777" w:rsidR="009260DE" w:rsidRPr="00B24633" w:rsidRDefault="009260DE" w:rsidP="00B24633">
      <w:pPr>
        <w:tabs>
          <w:tab w:val="left" w:pos="851"/>
        </w:tabs>
        <w:ind w:left="851"/>
        <w:rPr>
          <w:sz w:val="24"/>
          <w:szCs w:val="24"/>
        </w:rPr>
      </w:pPr>
    </w:p>
    <w:p w14:paraId="44AC58FE" w14:textId="77777777" w:rsidR="009260DE" w:rsidRPr="00B24633" w:rsidRDefault="009260DE" w:rsidP="00B24633">
      <w:pPr>
        <w:tabs>
          <w:tab w:val="left" w:pos="851"/>
        </w:tabs>
        <w:ind w:left="851" w:hanging="851"/>
        <w:rPr>
          <w:b/>
          <w:sz w:val="24"/>
          <w:szCs w:val="24"/>
        </w:rPr>
      </w:pPr>
      <w:r w:rsidRPr="00B24633">
        <w:rPr>
          <w:b/>
          <w:sz w:val="24"/>
          <w:szCs w:val="24"/>
        </w:rPr>
        <w:t>4.3</w:t>
      </w:r>
      <w:r w:rsidRPr="00B24633">
        <w:rPr>
          <w:b/>
          <w:sz w:val="24"/>
          <w:szCs w:val="24"/>
        </w:rPr>
        <w:tab/>
        <w:t>Kontraindikationer</w:t>
      </w:r>
    </w:p>
    <w:p w14:paraId="249B0747" w14:textId="77777777" w:rsidR="00F61E6E" w:rsidRPr="00B24633" w:rsidRDefault="00F61E6E" w:rsidP="00B24633">
      <w:pPr>
        <w:tabs>
          <w:tab w:val="left" w:pos="851"/>
        </w:tabs>
        <w:ind w:left="851"/>
        <w:rPr>
          <w:sz w:val="24"/>
          <w:szCs w:val="24"/>
        </w:rPr>
      </w:pPr>
      <w:r w:rsidRPr="00B24633">
        <w:rPr>
          <w:sz w:val="24"/>
          <w:szCs w:val="24"/>
        </w:rPr>
        <w:t xml:space="preserve">Overfølsomhed over for det aktive stof eller over for et eller flere af hjælpestofferne anført i pkt. 6.1. </w:t>
      </w:r>
    </w:p>
    <w:p w14:paraId="6A72EBB5" w14:textId="77777777" w:rsidR="00F61E6E" w:rsidRPr="00B24633" w:rsidRDefault="00F61E6E" w:rsidP="00B24633">
      <w:pPr>
        <w:tabs>
          <w:tab w:val="left" w:pos="851"/>
        </w:tabs>
        <w:ind w:left="851"/>
        <w:rPr>
          <w:sz w:val="24"/>
          <w:szCs w:val="24"/>
        </w:rPr>
      </w:pPr>
    </w:p>
    <w:p w14:paraId="55C97271" w14:textId="77777777" w:rsidR="00F61E6E" w:rsidRPr="00B24633" w:rsidRDefault="00F61E6E" w:rsidP="00B24633">
      <w:pPr>
        <w:tabs>
          <w:tab w:val="left" w:pos="851"/>
        </w:tabs>
        <w:ind w:left="851"/>
        <w:rPr>
          <w:sz w:val="24"/>
          <w:szCs w:val="24"/>
        </w:rPr>
      </w:pPr>
      <w:r w:rsidRPr="00B24633">
        <w:rPr>
          <w:sz w:val="24"/>
          <w:szCs w:val="24"/>
        </w:rPr>
        <w:t xml:space="preserve">Aktiv, klinisk signifikant blødning. </w:t>
      </w:r>
    </w:p>
    <w:p w14:paraId="2C384446" w14:textId="77777777" w:rsidR="00F61E6E" w:rsidRPr="00B24633" w:rsidRDefault="00F61E6E" w:rsidP="00B24633">
      <w:pPr>
        <w:tabs>
          <w:tab w:val="left" w:pos="851"/>
        </w:tabs>
        <w:ind w:left="851"/>
        <w:rPr>
          <w:sz w:val="24"/>
          <w:szCs w:val="24"/>
        </w:rPr>
      </w:pPr>
    </w:p>
    <w:p w14:paraId="05A00880" w14:textId="77777777" w:rsidR="00F61E6E" w:rsidRPr="00B24633" w:rsidRDefault="00F61E6E" w:rsidP="00B24633">
      <w:pPr>
        <w:tabs>
          <w:tab w:val="left" w:pos="851"/>
        </w:tabs>
        <w:ind w:left="851"/>
        <w:rPr>
          <w:sz w:val="24"/>
          <w:szCs w:val="24"/>
        </w:rPr>
      </w:pPr>
      <w:r w:rsidRPr="00B24633">
        <w:rPr>
          <w:sz w:val="24"/>
          <w:szCs w:val="24"/>
        </w:rPr>
        <w:t>Læsion eller tilstand, hvis den betragtes som værende af betydelig risiko for svær blødning. Dette kan omfatte nuværende eller nylige ulcerationer i mave-tarm-kanalen, tilstedeværelse af maligne tumorer med høj blødningsrisiko, nylige cerebrale eller spinale skader, nyligt gennemgået hjerne-, spinal- eller øjenkirurgi, nylig intrakraniel blødning, kendte og mistænkte øsofagusvaricer, arteriovenøse misdannelser, vaskulære aneurismer eller større intraspinale eller intracerebrale vaskulære abnormiteter.</w:t>
      </w:r>
    </w:p>
    <w:p w14:paraId="6772CC85" w14:textId="77777777" w:rsidR="00F61E6E" w:rsidRPr="00B24633" w:rsidRDefault="00F61E6E" w:rsidP="00B24633">
      <w:pPr>
        <w:tabs>
          <w:tab w:val="left" w:pos="851"/>
        </w:tabs>
        <w:ind w:left="851"/>
        <w:rPr>
          <w:sz w:val="24"/>
          <w:szCs w:val="24"/>
        </w:rPr>
      </w:pPr>
    </w:p>
    <w:p w14:paraId="3A1D0919" w14:textId="77777777" w:rsidR="00F61E6E" w:rsidRPr="00B24633" w:rsidRDefault="00F61E6E" w:rsidP="00B24633">
      <w:pPr>
        <w:tabs>
          <w:tab w:val="left" w:pos="851"/>
        </w:tabs>
        <w:ind w:left="851"/>
        <w:rPr>
          <w:sz w:val="24"/>
          <w:szCs w:val="24"/>
        </w:rPr>
      </w:pPr>
      <w:r w:rsidRPr="00B24633">
        <w:rPr>
          <w:sz w:val="24"/>
          <w:szCs w:val="24"/>
        </w:rPr>
        <w:t xml:space="preserve">Samtidig behandling med andre antikoagulantia, f.eks. ufraktioneret heparin (UFH), lavmolekylære hepariner (enoxaparin, dalteparin etc.), heparinderivater (fondaparinux etc.), orale antikoagulantia (warfarin, dabigatranetexilat, apixaban etc.), bortset fra i de specifikke tilfælde, hvor der skiftes antikoagulantionsbehandling (se pkt. 4.2), eller når UFH gives i doser, der er nødvendige for at holde et centralt vene- eller arteriekateter åbent (se pkt. 4.5). </w:t>
      </w:r>
    </w:p>
    <w:p w14:paraId="06F2C473" w14:textId="77777777" w:rsidR="00F61E6E" w:rsidRPr="00B24633" w:rsidRDefault="00F61E6E" w:rsidP="00B24633">
      <w:pPr>
        <w:tabs>
          <w:tab w:val="left" w:pos="851"/>
        </w:tabs>
        <w:ind w:left="851"/>
        <w:rPr>
          <w:sz w:val="24"/>
          <w:szCs w:val="24"/>
        </w:rPr>
      </w:pPr>
    </w:p>
    <w:p w14:paraId="2A672461" w14:textId="77777777" w:rsidR="00F61E6E" w:rsidRPr="00B24633" w:rsidRDefault="00F61E6E" w:rsidP="00B24633">
      <w:pPr>
        <w:tabs>
          <w:tab w:val="left" w:pos="851"/>
        </w:tabs>
        <w:ind w:left="851"/>
        <w:rPr>
          <w:sz w:val="24"/>
          <w:szCs w:val="24"/>
        </w:rPr>
      </w:pPr>
      <w:r w:rsidRPr="00B24633">
        <w:rPr>
          <w:sz w:val="24"/>
          <w:szCs w:val="24"/>
        </w:rPr>
        <w:t xml:space="preserve">Leversygdom, der er forbundet med koagulationsdefekt og en klinisk relevant blødningsrisiko, herunder cirrosepatienter med Child-Pugh B og C (se pkt. 5.2). </w:t>
      </w:r>
    </w:p>
    <w:p w14:paraId="51EB6458" w14:textId="77777777" w:rsidR="00F61E6E" w:rsidRPr="00B24633" w:rsidRDefault="00F61E6E" w:rsidP="00B24633">
      <w:pPr>
        <w:tabs>
          <w:tab w:val="left" w:pos="851"/>
        </w:tabs>
        <w:ind w:left="851"/>
        <w:rPr>
          <w:sz w:val="24"/>
          <w:szCs w:val="24"/>
        </w:rPr>
      </w:pPr>
    </w:p>
    <w:p w14:paraId="4E756C45" w14:textId="77777777" w:rsidR="00F61E6E" w:rsidRPr="00B24633" w:rsidRDefault="00F61E6E" w:rsidP="00B24633">
      <w:pPr>
        <w:tabs>
          <w:tab w:val="left" w:pos="851"/>
        </w:tabs>
        <w:ind w:left="851"/>
        <w:rPr>
          <w:sz w:val="24"/>
          <w:szCs w:val="24"/>
        </w:rPr>
      </w:pPr>
      <w:r w:rsidRPr="00B24633">
        <w:rPr>
          <w:sz w:val="24"/>
          <w:szCs w:val="24"/>
        </w:rPr>
        <w:t>Graviditet og amning (se pkt. 4.6).</w:t>
      </w:r>
    </w:p>
    <w:p w14:paraId="5DC00B3F" w14:textId="77777777" w:rsidR="009260DE" w:rsidRPr="00B24633" w:rsidRDefault="009260DE" w:rsidP="00B24633">
      <w:pPr>
        <w:tabs>
          <w:tab w:val="left" w:pos="851"/>
        </w:tabs>
        <w:ind w:left="851"/>
        <w:rPr>
          <w:sz w:val="24"/>
          <w:szCs w:val="24"/>
        </w:rPr>
      </w:pPr>
    </w:p>
    <w:p w14:paraId="2B7C538B" w14:textId="77777777" w:rsidR="009260DE" w:rsidRPr="00B24633" w:rsidRDefault="009260DE" w:rsidP="00B24633">
      <w:pPr>
        <w:tabs>
          <w:tab w:val="left" w:pos="851"/>
        </w:tabs>
        <w:ind w:left="851" w:hanging="851"/>
        <w:rPr>
          <w:b/>
          <w:sz w:val="24"/>
          <w:szCs w:val="24"/>
        </w:rPr>
      </w:pPr>
      <w:r w:rsidRPr="00B24633">
        <w:rPr>
          <w:b/>
          <w:sz w:val="24"/>
          <w:szCs w:val="24"/>
        </w:rPr>
        <w:t>4.4</w:t>
      </w:r>
      <w:r w:rsidRPr="00B24633">
        <w:rPr>
          <w:b/>
          <w:sz w:val="24"/>
          <w:szCs w:val="24"/>
        </w:rPr>
        <w:tab/>
        <w:t>Særlige advarsler og forsigtighedsregler vedrørende brugen</w:t>
      </w:r>
    </w:p>
    <w:p w14:paraId="76378891" w14:textId="77777777" w:rsidR="00F61E6E" w:rsidRPr="00B24633" w:rsidRDefault="00F61E6E" w:rsidP="00B24633">
      <w:pPr>
        <w:tabs>
          <w:tab w:val="left" w:pos="851"/>
        </w:tabs>
        <w:ind w:left="851"/>
        <w:rPr>
          <w:sz w:val="24"/>
          <w:szCs w:val="24"/>
        </w:rPr>
      </w:pPr>
      <w:r w:rsidRPr="00B24633">
        <w:rPr>
          <w:sz w:val="24"/>
          <w:szCs w:val="24"/>
        </w:rPr>
        <w:t>Sædvanlig klinisk antokoagulationsovervågning anbefales i hele behandlingsperioden.</w:t>
      </w:r>
    </w:p>
    <w:p w14:paraId="4B7F195D" w14:textId="77777777" w:rsidR="00F61E6E" w:rsidRPr="00B24633" w:rsidRDefault="00F61E6E" w:rsidP="00B24633">
      <w:pPr>
        <w:tabs>
          <w:tab w:val="left" w:pos="851"/>
        </w:tabs>
        <w:ind w:left="851"/>
        <w:rPr>
          <w:sz w:val="24"/>
          <w:szCs w:val="24"/>
        </w:rPr>
      </w:pPr>
    </w:p>
    <w:p w14:paraId="65FCD3D5"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Blødningsrisiko </w:t>
      </w:r>
    </w:p>
    <w:p w14:paraId="2F57846C" w14:textId="77777777" w:rsidR="00F61E6E" w:rsidRPr="00B24633" w:rsidRDefault="00F61E6E" w:rsidP="00B24633">
      <w:pPr>
        <w:tabs>
          <w:tab w:val="left" w:pos="851"/>
        </w:tabs>
        <w:ind w:left="851"/>
        <w:rPr>
          <w:sz w:val="24"/>
          <w:szCs w:val="24"/>
          <w:u w:val="single"/>
        </w:rPr>
      </w:pPr>
    </w:p>
    <w:p w14:paraId="4B7FE83E" w14:textId="36C98876" w:rsidR="00F61E6E" w:rsidRPr="00B24633" w:rsidRDefault="00F61E6E" w:rsidP="00B24633">
      <w:pPr>
        <w:tabs>
          <w:tab w:val="left" w:pos="851"/>
        </w:tabs>
        <w:ind w:left="851"/>
        <w:rPr>
          <w:sz w:val="24"/>
          <w:szCs w:val="24"/>
        </w:rPr>
      </w:pPr>
      <w:r w:rsidRPr="00B24633">
        <w:rPr>
          <w:sz w:val="24"/>
          <w:szCs w:val="24"/>
        </w:rPr>
        <w:t xml:space="preserve">Som ved andre antikoagulantia bør patienter, som får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overvåges nøje for tegn på blødning. I tilfælde med øget risiko for blødning bør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anvendes med forsigtighed. Behandlingen med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bør afbrydes, hvis der opstår svær blødning (se pkt. 4.9). </w:t>
      </w:r>
    </w:p>
    <w:p w14:paraId="04FD7788" w14:textId="77777777" w:rsidR="00F61E6E" w:rsidRPr="00B24633" w:rsidRDefault="00F61E6E" w:rsidP="00B24633">
      <w:pPr>
        <w:tabs>
          <w:tab w:val="left" w:pos="851"/>
        </w:tabs>
        <w:ind w:left="851"/>
        <w:rPr>
          <w:sz w:val="24"/>
          <w:szCs w:val="24"/>
        </w:rPr>
      </w:pPr>
    </w:p>
    <w:p w14:paraId="0ADF4A31" w14:textId="56E57152" w:rsidR="00F61E6E" w:rsidRPr="00B24633" w:rsidRDefault="00F61E6E" w:rsidP="00B24633">
      <w:pPr>
        <w:tabs>
          <w:tab w:val="left" w:pos="851"/>
        </w:tabs>
        <w:ind w:left="851"/>
        <w:rPr>
          <w:sz w:val="24"/>
          <w:szCs w:val="24"/>
        </w:rPr>
      </w:pPr>
      <w:r w:rsidRPr="00B24633">
        <w:rPr>
          <w:sz w:val="24"/>
          <w:szCs w:val="24"/>
        </w:rPr>
        <w:t xml:space="preserve">I kliniske studier sås slimhindeblødninger (f.eks. blødning fra næse, tandkød, mave-tarm-kanalen, genitalier og urinveje, herunder unormal blødning fra skeden eller øget menstruationsblødning) og anæmi hyppigere under langtidsbehandling med rivaroxaban sammenlignet med VKAbehandling. Derfor kan det, hvis det skønnes nødvendigt, være af værdi ud over den kliniske overvågning at undersøge hæmoglobin/hæmatokrit for at konstatere okkult blødning og kvantificere den kliniske relevans af synlig blødning. </w:t>
      </w:r>
    </w:p>
    <w:p w14:paraId="332DEC9A" w14:textId="77777777" w:rsidR="00F61E6E" w:rsidRPr="00B24633" w:rsidRDefault="00F61E6E" w:rsidP="00B24633">
      <w:pPr>
        <w:tabs>
          <w:tab w:val="left" w:pos="851"/>
        </w:tabs>
        <w:ind w:left="851"/>
        <w:rPr>
          <w:sz w:val="24"/>
          <w:szCs w:val="24"/>
        </w:rPr>
      </w:pPr>
    </w:p>
    <w:p w14:paraId="03DAAFA2" w14:textId="77777777" w:rsidR="00F61E6E" w:rsidRPr="00B24633" w:rsidRDefault="00F61E6E" w:rsidP="00B24633">
      <w:pPr>
        <w:tabs>
          <w:tab w:val="left" w:pos="851"/>
        </w:tabs>
        <w:ind w:left="851"/>
        <w:rPr>
          <w:sz w:val="24"/>
          <w:szCs w:val="24"/>
        </w:rPr>
      </w:pPr>
      <w:r w:rsidRPr="00B24633">
        <w:rPr>
          <w:sz w:val="24"/>
          <w:szCs w:val="24"/>
        </w:rPr>
        <w:t xml:space="preserve">Flere patientgrupper har, som beskrevet nedenfor, øget risiko for blødning. Disse patienter skal omhyggeligt overvåges for tegn og symptomer på blødningskomplikationer og anæmi efter indledning af behandlingen (se pkt. 4.8). </w:t>
      </w:r>
    </w:p>
    <w:p w14:paraId="77908B9A" w14:textId="77777777" w:rsidR="00F61E6E" w:rsidRPr="00B24633" w:rsidRDefault="00F61E6E" w:rsidP="00B24633">
      <w:pPr>
        <w:tabs>
          <w:tab w:val="left" w:pos="851"/>
        </w:tabs>
        <w:ind w:left="851"/>
        <w:rPr>
          <w:sz w:val="24"/>
          <w:szCs w:val="24"/>
        </w:rPr>
      </w:pPr>
      <w:r w:rsidRPr="00B24633">
        <w:rPr>
          <w:sz w:val="24"/>
          <w:szCs w:val="24"/>
        </w:rPr>
        <w:t>Ethvert fald i hæmoglobin eller blodtryk bør medføre søgning efter blødningskilde.</w:t>
      </w:r>
    </w:p>
    <w:p w14:paraId="7F488429" w14:textId="77777777" w:rsidR="00F61E6E" w:rsidRPr="00B24633" w:rsidRDefault="00F61E6E" w:rsidP="00B24633">
      <w:pPr>
        <w:tabs>
          <w:tab w:val="left" w:pos="851"/>
        </w:tabs>
        <w:ind w:left="851"/>
        <w:rPr>
          <w:sz w:val="24"/>
          <w:szCs w:val="24"/>
        </w:rPr>
      </w:pPr>
    </w:p>
    <w:p w14:paraId="1C03046B" w14:textId="77777777" w:rsidR="00F61E6E" w:rsidRPr="00B24633" w:rsidRDefault="00F61E6E" w:rsidP="00B24633">
      <w:pPr>
        <w:tabs>
          <w:tab w:val="left" w:pos="851"/>
        </w:tabs>
        <w:ind w:left="851"/>
        <w:rPr>
          <w:sz w:val="24"/>
          <w:szCs w:val="24"/>
        </w:rPr>
      </w:pPr>
      <w:r w:rsidRPr="00B24633">
        <w:rPr>
          <w:sz w:val="24"/>
          <w:szCs w:val="24"/>
        </w:rPr>
        <w:lastRenderedPageBreak/>
        <w:t>Selvom behandling med rivaroxaban ikke kræver rutinemæssig monitorering af eksponeringen, kan bestemmelse af rivaroxaban-niveauerne med en kalibreret kvantitativ test for anti-faktor Xa være anvendelig i specielle situationer, hvor kendskab til eksponeringen for rivaroxaban kan være en støtte for kliniske beslutninger, f.eks. ved overdosering og akut kirurgi (se pkt. 5.1 og 5.2).</w:t>
      </w:r>
    </w:p>
    <w:p w14:paraId="3ACD4986" w14:textId="77777777" w:rsidR="00F61E6E" w:rsidRPr="00B24633" w:rsidRDefault="00F61E6E" w:rsidP="00B24633">
      <w:pPr>
        <w:tabs>
          <w:tab w:val="left" w:pos="851"/>
        </w:tabs>
        <w:ind w:left="851"/>
        <w:rPr>
          <w:sz w:val="24"/>
          <w:szCs w:val="24"/>
        </w:rPr>
      </w:pPr>
    </w:p>
    <w:p w14:paraId="708A6C8C" w14:textId="77777777" w:rsidR="00F61E6E" w:rsidRPr="00B24633" w:rsidRDefault="00F61E6E" w:rsidP="00B24633">
      <w:pPr>
        <w:tabs>
          <w:tab w:val="left" w:pos="851"/>
        </w:tabs>
        <w:ind w:left="851"/>
        <w:rPr>
          <w:i/>
          <w:sz w:val="24"/>
          <w:szCs w:val="24"/>
        </w:rPr>
      </w:pPr>
      <w:r w:rsidRPr="00B24633">
        <w:rPr>
          <w:i/>
          <w:sz w:val="24"/>
          <w:szCs w:val="24"/>
        </w:rPr>
        <w:t>Pædiatrisk population</w:t>
      </w:r>
    </w:p>
    <w:p w14:paraId="09733305" w14:textId="77777777" w:rsidR="00F61E6E" w:rsidRPr="00B24633" w:rsidRDefault="00F61E6E" w:rsidP="00B24633">
      <w:pPr>
        <w:tabs>
          <w:tab w:val="left" w:pos="851"/>
        </w:tabs>
        <w:ind w:left="851"/>
        <w:rPr>
          <w:sz w:val="24"/>
          <w:szCs w:val="24"/>
        </w:rPr>
      </w:pPr>
      <w:r w:rsidRPr="00B24633">
        <w:rPr>
          <w:sz w:val="24"/>
          <w:szCs w:val="24"/>
        </w:rPr>
        <w:t>Der er begrænsede data hos børn med cerebralvene- og sinustrombose, som har en CNS-infektion (se pkt. 5.1). Risikoen for blødning bør nøje vurderes før og under behandling med rivaroxaban.</w:t>
      </w:r>
    </w:p>
    <w:p w14:paraId="2378F98C" w14:textId="77777777" w:rsidR="00F61E6E" w:rsidRPr="00B24633" w:rsidRDefault="00F61E6E" w:rsidP="00B24633">
      <w:pPr>
        <w:tabs>
          <w:tab w:val="left" w:pos="851"/>
        </w:tabs>
        <w:ind w:left="851"/>
        <w:rPr>
          <w:sz w:val="24"/>
          <w:szCs w:val="24"/>
        </w:rPr>
      </w:pPr>
    </w:p>
    <w:p w14:paraId="730A2235"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Nedsat nyrefunktion </w:t>
      </w:r>
    </w:p>
    <w:p w14:paraId="66CF4DDA" w14:textId="77777777" w:rsidR="00F61E6E" w:rsidRPr="00B24633" w:rsidRDefault="00F61E6E" w:rsidP="00B24633">
      <w:pPr>
        <w:tabs>
          <w:tab w:val="left" w:pos="851"/>
        </w:tabs>
        <w:ind w:left="851"/>
        <w:rPr>
          <w:sz w:val="24"/>
          <w:szCs w:val="24"/>
        </w:rPr>
      </w:pPr>
    </w:p>
    <w:p w14:paraId="39EA951D" w14:textId="0F190DE4" w:rsidR="00F61E6E" w:rsidRPr="00B24633" w:rsidRDefault="00F61E6E" w:rsidP="00B24633">
      <w:pPr>
        <w:tabs>
          <w:tab w:val="left" w:pos="851"/>
        </w:tabs>
        <w:ind w:left="851"/>
        <w:rPr>
          <w:sz w:val="24"/>
          <w:szCs w:val="24"/>
        </w:rPr>
      </w:pPr>
      <w:r w:rsidRPr="00B24633">
        <w:rPr>
          <w:sz w:val="24"/>
          <w:szCs w:val="24"/>
        </w:rPr>
        <w:t xml:space="preserve">Hos voksne patienter med svært nedsat nyrefunktion (kreatininclearance &lt; 30 ml/min) kan plasmakoncentrationerne af rivaroxaban være signifikant forhøjet (i gennemsnit 1,6 gange), hvilket kan medføre en øget blødningsrisiko.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skal bruges med forsigtighed til patienter med en kreatininclearance på 15 – 29 ml/min.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bør ikke anvendes til patienter med kreatininclearance &lt; 15 ml/min (se pkt. 4.2 og 5.2). </w:t>
      </w:r>
    </w:p>
    <w:p w14:paraId="7767491B" w14:textId="1FAF1B5F"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skal anvendes med forsigtighed til patienter med nedsat nyrefunktion, når de samtidig får andre lægemidler, som øger plasmakoncentrationen af rivaroxaban (se pkt. 4.5) </w:t>
      </w:r>
    </w:p>
    <w:p w14:paraId="506C8D44" w14:textId="77777777" w:rsidR="00F61E6E" w:rsidRPr="00B24633" w:rsidRDefault="00F61E6E" w:rsidP="00B24633">
      <w:pPr>
        <w:tabs>
          <w:tab w:val="left" w:pos="851"/>
        </w:tabs>
        <w:ind w:left="851"/>
        <w:rPr>
          <w:sz w:val="24"/>
          <w:szCs w:val="24"/>
        </w:rPr>
      </w:pPr>
    </w:p>
    <w:p w14:paraId="6F74384D" w14:textId="2B3D5413"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anbefales ikke til børn og unge med moderat eller svært nedsat nyrefunktion (glomerulær filtrationshastighed &lt; 50 ml/min/1,73 m</w:t>
      </w:r>
      <w:r w:rsidRPr="00E65BA3">
        <w:rPr>
          <w:sz w:val="24"/>
          <w:szCs w:val="24"/>
          <w:vertAlign w:val="superscript"/>
        </w:rPr>
        <w:t>2</w:t>
      </w:r>
      <w:r w:rsidRPr="00B24633">
        <w:rPr>
          <w:sz w:val="24"/>
          <w:szCs w:val="24"/>
        </w:rPr>
        <w:t>), da der ikke foreligger nogen kliniske data.</w:t>
      </w:r>
    </w:p>
    <w:p w14:paraId="58A0D091" w14:textId="77777777" w:rsidR="00F61E6E" w:rsidRPr="00B24633" w:rsidRDefault="00F61E6E" w:rsidP="00B24633">
      <w:pPr>
        <w:tabs>
          <w:tab w:val="left" w:pos="851"/>
        </w:tabs>
        <w:ind w:left="851"/>
        <w:rPr>
          <w:sz w:val="24"/>
          <w:szCs w:val="24"/>
        </w:rPr>
      </w:pPr>
    </w:p>
    <w:p w14:paraId="2C6E286A"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Interaktion med andre lægemidler </w:t>
      </w:r>
    </w:p>
    <w:p w14:paraId="191126E7" w14:textId="77777777" w:rsidR="00F61E6E" w:rsidRPr="00B24633" w:rsidRDefault="00F61E6E" w:rsidP="00B24633">
      <w:pPr>
        <w:tabs>
          <w:tab w:val="left" w:pos="851"/>
        </w:tabs>
        <w:ind w:left="851"/>
        <w:rPr>
          <w:sz w:val="24"/>
          <w:szCs w:val="24"/>
        </w:rPr>
      </w:pPr>
    </w:p>
    <w:p w14:paraId="420E2ED4" w14:textId="5DCCFE99"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bør ikke anvendes til patienter, der får samtidig systemisk behandling med azolantimykotika (som f.eks. ketoconazol, itraconazol, voriconazol og posaconazol) eller hiv-proteasehæmmere (f.eks. ritonavir). Disse aktive stoffer er stærke hæmmere af både CYP3A4 og P-gp, og kan derfor øge rivaroxabans plasmakoncentrationer til et klinisk relevant niveau (i gennemsnit 2,6 gange), hvilket kan resultere i en øget blødningsrisiko. Der foreligger ingen kliniske data for børn, der samtidigt får systemisk behandling med stærke CYP 3A4 og P-gp hæmmere (se pkt. 4.5). </w:t>
      </w:r>
    </w:p>
    <w:p w14:paraId="35275CB9" w14:textId="35D6832B" w:rsidR="00F61E6E" w:rsidRPr="00B24633" w:rsidRDefault="00F61E6E" w:rsidP="00B24633">
      <w:pPr>
        <w:tabs>
          <w:tab w:val="left" w:pos="851"/>
        </w:tabs>
        <w:ind w:left="851"/>
        <w:rPr>
          <w:sz w:val="24"/>
          <w:szCs w:val="24"/>
        </w:rPr>
      </w:pPr>
    </w:p>
    <w:p w14:paraId="421CF9A7" w14:textId="4F843F24" w:rsidR="00F61E6E" w:rsidRPr="00B24633" w:rsidRDefault="00F61E6E" w:rsidP="00B24633">
      <w:pPr>
        <w:tabs>
          <w:tab w:val="left" w:pos="851"/>
        </w:tabs>
        <w:ind w:left="851"/>
        <w:rPr>
          <w:sz w:val="24"/>
          <w:szCs w:val="24"/>
        </w:rPr>
      </w:pPr>
      <w:r w:rsidRPr="00B24633">
        <w:rPr>
          <w:sz w:val="24"/>
          <w:szCs w:val="24"/>
        </w:rPr>
        <w:t>Der skal udvises forsigtighed, hvis patienten samtidig bliver behandlet med lægemidler, der påvirker hæmostasen, f.eks. non-steroide antiinflammatoriske lægemidler (NSAID), acetylsalicylsyre og trombocytaggregationshæmmere eller selektive serotoningen</w:t>
      </w:r>
      <w:r w:rsidR="00E65BA3">
        <w:rPr>
          <w:sz w:val="24"/>
          <w:szCs w:val="24"/>
        </w:rPr>
        <w:softHyphen/>
      </w:r>
      <w:r w:rsidRPr="00B24633">
        <w:rPr>
          <w:sz w:val="24"/>
          <w:szCs w:val="24"/>
        </w:rPr>
        <w:t>optagelses</w:t>
      </w:r>
      <w:r w:rsidR="00E65BA3">
        <w:rPr>
          <w:sz w:val="24"/>
          <w:szCs w:val="24"/>
        </w:rPr>
        <w:softHyphen/>
      </w:r>
      <w:r w:rsidRPr="00B24633">
        <w:rPr>
          <w:sz w:val="24"/>
          <w:szCs w:val="24"/>
        </w:rPr>
        <w:t>hæmmere (SSRI-præparater) og serotonin-/noradrenalin-genoptagelses</w:t>
      </w:r>
      <w:r w:rsidR="00E65BA3">
        <w:rPr>
          <w:sz w:val="24"/>
          <w:szCs w:val="24"/>
        </w:rPr>
        <w:softHyphen/>
      </w:r>
      <w:r w:rsidRPr="00B24633">
        <w:rPr>
          <w:sz w:val="24"/>
          <w:szCs w:val="24"/>
        </w:rPr>
        <w:t>hæmmere</w:t>
      </w:r>
      <w:r w:rsidRPr="00B24633">
        <w:rPr>
          <w:spacing w:val="-6"/>
          <w:sz w:val="24"/>
          <w:szCs w:val="24"/>
        </w:rPr>
        <w:t xml:space="preserve"> </w:t>
      </w:r>
      <w:r w:rsidRPr="00B24633">
        <w:rPr>
          <w:sz w:val="24"/>
          <w:szCs w:val="24"/>
        </w:rPr>
        <w:t>(SNRI-præparater). Hos patienter, der har risiko for at få gastrointestinal ulceration, bør passende profylakse overvejes (se pkt. 4.5).</w:t>
      </w:r>
    </w:p>
    <w:p w14:paraId="6CA24A57" w14:textId="77777777" w:rsidR="00F61E6E" w:rsidRPr="00B24633" w:rsidRDefault="00F61E6E" w:rsidP="00B24633">
      <w:pPr>
        <w:tabs>
          <w:tab w:val="left" w:pos="851"/>
        </w:tabs>
        <w:ind w:left="851"/>
        <w:rPr>
          <w:sz w:val="24"/>
          <w:szCs w:val="24"/>
        </w:rPr>
      </w:pPr>
    </w:p>
    <w:p w14:paraId="290AE12B"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Andre risikofaktorer for blødning </w:t>
      </w:r>
    </w:p>
    <w:p w14:paraId="216D0850" w14:textId="77777777" w:rsidR="00F61E6E" w:rsidRPr="00B24633" w:rsidRDefault="00F61E6E" w:rsidP="00B24633">
      <w:pPr>
        <w:tabs>
          <w:tab w:val="left" w:pos="851"/>
        </w:tabs>
        <w:ind w:left="851"/>
        <w:rPr>
          <w:sz w:val="24"/>
          <w:szCs w:val="24"/>
        </w:rPr>
      </w:pPr>
    </w:p>
    <w:p w14:paraId="6EE4A8CC" w14:textId="77777777" w:rsidR="00F61E6E" w:rsidRPr="00B24633" w:rsidRDefault="00F61E6E" w:rsidP="00B24633">
      <w:pPr>
        <w:tabs>
          <w:tab w:val="left" w:pos="851"/>
        </w:tabs>
        <w:ind w:left="851"/>
        <w:rPr>
          <w:sz w:val="24"/>
          <w:szCs w:val="24"/>
        </w:rPr>
      </w:pPr>
      <w:r w:rsidRPr="00B24633">
        <w:rPr>
          <w:sz w:val="24"/>
          <w:szCs w:val="24"/>
        </w:rPr>
        <w:t xml:space="preserve">Som ved andre antitrombotika anbefales rivaroxaban ikke til patienter med øget blødningsrisiko, f.eks. i tilfælde af: </w:t>
      </w:r>
    </w:p>
    <w:p w14:paraId="552C7BBD" w14:textId="77777777" w:rsidR="00F61E6E" w:rsidRPr="00B24633" w:rsidRDefault="00F61E6E" w:rsidP="00F21719">
      <w:pPr>
        <w:numPr>
          <w:ilvl w:val="0"/>
          <w:numId w:val="8"/>
        </w:numPr>
        <w:ind w:left="1276" w:hanging="425"/>
        <w:rPr>
          <w:sz w:val="24"/>
          <w:szCs w:val="24"/>
        </w:rPr>
      </w:pPr>
      <w:r w:rsidRPr="00B24633">
        <w:rPr>
          <w:sz w:val="24"/>
          <w:szCs w:val="24"/>
        </w:rPr>
        <w:t xml:space="preserve">medfødte eller erhvervede blødningsforstyrrelser </w:t>
      </w:r>
    </w:p>
    <w:p w14:paraId="2693F593" w14:textId="77777777" w:rsidR="00F61E6E" w:rsidRPr="00B24633" w:rsidRDefault="00F61E6E" w:rsidP="00F21719">
      <w:pPr>
        <w:numPr>
          <w:ilvl w:val="0"/>
          <w:numId w:val="8"/>
        </w:numPr>
        <w:ind w:left="1276" w:hanging="425"/>
        <w:rPr>
          <w:sz w:val="24"/>
          <w:szCs w:val="24"/>
        </w:rPr>
      </w:pPr>
      <w:r w:rsidRPr="00B24633">
        <w:rPr>
          <w:sz w:val="24"/>
          <w:szCs w:val="24"/>
        </w:rPr>
        <w:t xml:space="preserve">ukontrolleret, svær arteriel hypertension </w:t>
      </w:r>
    </w:p>
    <w:p w14:paraId="1540E22B" w14:textId="77777777" w:rsidR="00F61E6E" w:rsidRPr="00B24633" w:rsidRDefault="00F61E6E" w:rsidP="00F21719">
      <w:pPr>
        <w:numPr>
          <w:ilvl w:val="0"/>
          <w:numId w:val="8"/>
        </w:numPr>
        <w:ind w:left="1276" w:hanging="425"/>
        <w:rPr>
          <w:sz w:val="24"/>
          <w:szCs w:val="24"/>
        </w:rPr>
      </w:pPr>
      <w:r w:rsidRPr="00B24633">
        <w:rPr>
          <w:sz w:val="24"/>
          <w:szCs w:val="24"/>
        </w:rPr>
        <w:lastRenderedPageBreak/>
        <w:t xml:space="preserve">anden gastrointestinal sygdom uden aktiv ulceration, der potentielt kan medføre blødningskomplikationer (f.eks. inflammatorisk tarmsygdom, øsofagitis, gastritis og gastroøsofageal refluks) </w:t>
      </w:r>
    </w:p>
    <w:p w14:paraId="75315652" w14:textId="77777777" w:rsidR="00F61E6E" w:rsidRPr="00B24633" w:rsidRDefault="00F61E6E" w:rsidP="00F21719">
      <w:pPr>
        <w:numPr>
          <w:ilvl w:val="0"/>
          <w:numId w:val="8"/>
        </w:numPr>
        <w:ind w:left="1276" w:hanging="425"/>
        <w:rPr>
          <w:sz w:val="24"/>
          <w:szCs w:val="24"/>
        </w:rPr>
      </w:pPr>
      <w:r w:rsidRPr="00B24633">
        <w:rPr>
          <w:sz w:val="24"/>
          <w:szCs w:val="24"/>
        </w:rPr>
        <w:t xml:space="preserve">vaskulær retinopati </w:t>
      </w:r>
    </w:p>
    <w:p w14:paraId="00C98BAB" w14:textId="77777777" w:rsidR="00F61E6E" w:rsidRPr="00B24633" w:rsidRDefault="00F61E6E" w:rsidP="00F21719">
      <w:pPr>
        <w:numPr>
          <w:ilvl w:val="0"/>
          <w:numId w:val="8"/>
        </w:numPr>
        <w:ind w:left="1276" w:hanging="425"/>
        <w:rPr>
          <w:sz w:val="24"/>
          <w:szCs w:val="24"/>
        </w:rPr>
      </w:pPr>
      <w:r w:rsidRPr="00B24633">
        <w:rPr>
          <w:sz w:val="24"/>
          <w:szCs w:val="24"/>
        </w:rPr>
        <w:t xml:space="preserve">bronkiektase eller lungeblødning i anamnesen  </w:t>
      </w:r>
    </w:p>
    <w:p w14:paraId="4EFFC69C" w14:textId="77777777" w:rsidR="00F61E6E" w:rsidRPr="00B24633" w:rsidRDefault="00F61E6E" w:rsidP="00B24633">
      <w:pPr>
        <w:tabs>
          <w:tab w:val="left" w:pos="851"/>
        </w:tabs>
        <w:ind w:left="851"/>
        <w:rPr>
          <w:sz w:val="24"/>
          <w:szCs w:val="24"/>
        </w:rPr>
      </w:pPr>
    </w:p>
    <w:p w14:paraId="45731DF2"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Patienter med cancer </w:t>
      </w:r>
    </w:p>
    <w:p w14:paraId="6C50B8F5" w14:textId="77777777" w:rsidR="00F61E6E" w:rsidRPr="00B24633" w:rsidRDefault="00F61E6E" w:rsidP="00B24633">
      <w:pPr>
        <w:tabs>
          <w:tab w:val="left" w:pos="851"/>
        </w:tabs>
        <w:ind w:left="851"/>
        <w:rPr>
          <w:sz w:val="24"/>
          <w:szCs w:val="24"/>
        </w:rPr>
      </w:pPr>
      <w:r w:rsidRPr="00B24633">
        <w:rPr>
          <w:sz w:val="24"/>
          <w:szCs w:val="24"/>
        </w:rPr>
        <w:t xml:space="preserve">Patienter med malign sygdom kan samtidig have en større risiko for blødning og trombose. Den individuelle fordel ved antitrombotisk behandling skal opvejes mod blødningsrisikoen hos patienter med aktiv cancer, afhængigt af tumorens placering, antineoplastisk behandling og sygdomsstadiet. Tumorer, som befinder sig i mave-tarm-kanalen eller i urogenitalkanalen, er blevet forbundet med en større blødningsrisiko under rivaroxabanbehandlingen. Hos patienter med maligne neoplasmer med en høj blødningsrisiko, er anvendelsen af rivaroxaban kontraindiceret (se pkt. 4.3). </w:t>
      </w:r>
    </w:p>
    <w:p w14:paraId="6FD48C5B" w14:textId="77777777" w:rsidR="00F61E6E" w:rsidRPr="00B24633" w:rsidRDefault="00F61E6E" w:rsidP="00B24633">
      <w:pPr>
        <w:tabs>
          <w:tab w:val="left" w:pos="851"/>
        </w:tabs>
        <w:ind w:left="851"/>
        <w:rPr>
          <w:sz w:val="24"/>
          <w:szCs w:val="24"/>
        </w:rPr>
      </w:pPr>
    </w:p>
    <w:p w14:paraId="48197AEA"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Patienter med kunstige hjerteklapper </w:t>
      </w:r>
    </w:p>
    <w:p w14:paraId="148D4697" w14:textId="77777777" w:rsidR="00F61E6E" w:rsidRPr="00B24633" w:rsidRDefault="00F61E6E" w:rsidP="00B24633">
      <w:pPr>
        <w:pStyle w:val="Brdtekst"/>
        <w:spacing w:before="1"/>
        <w:ind w:left="858"/>
        <w:rPr>
          <w:sz w:val="24"/>
          <w:szCs w:val="24"/>
          <w:lang w:val="da-DK"/>
        </w:rPr>
      </w:pPr>
    </w:p>
    <w:p w14:paraId="0AD9D1B2" w14:textId="4EAFFA46" w:rsidR="00F61E6E" w:rsidRPr="00B24633" w:rsidRDefault="00F61E6E" w:rsidP="00B24633">
      <w:pPr>
        <w:tabs>
          <w:tab w:val="left" w:pos="851"/>
        </w:tabs>
        <w:ind w:left="851"/>
        <w:rPr>
          <w:sz w:val="24"/>
          <w:szCs w:val="24"/>
        </w:rPr>
      </w:pPr>
      <w:r w:rsidRPr="00B24633">
        <w:rPr>
          <w:sz w:val="24"/>
          <w:szCs w:val="24"/>
        </w:rPr>
        <w:t xml:space="preserve">Rivaroxaban bør ikke anvendes til tromboseprofylakse hos patienter, der for nyligt har gennemgået transkateterbaseret hjerteklapudskiftning (transcatheter aortic valve replacement, TAVR). Sikkerheden og virkningen af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er ikke undersøgt hos patienter med kunstige hjerteklapper. Der foreligger derfor ingen data, der kan dokumentere, at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giver tilstrækkelig antikoagulation for denne patientpopulation. Behandling med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frarådes for disse patienter. </w:t>
      </w:r>
    </w:p>
    <w:p w14:paraId="614E4E0A" w14:textId="77777777" w:rsidR="00F61E6E" w:rsidRPr="00B24633" w:rsidRDefault="00F61E6E" w:rsidP="00B24633">
      <w:pPr>
        <w:tabs>
          <w:tab w:val="left" w:pos="851"/>
        </w:tabs>
        <w:ind w:left="851"/>
        <w:rPr>
          <w:sz w:val="24"/>
          <w:szCs w:val="24"/>
        </w:rPr>
      </w:pPr>
    </w:p>
    <w:p w14:paraId="1414AE33"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Patienter med antifosfolipidsyndrom </w:t>
      </w:r>
    </w:p>
    <w:p w14:paraId="786BA8D3" w14:textId="77777777" w:rsidR="00F61E6E" w:rsidRPr="00B24633" w:rsidRDefault="00F61E6E" w:rsidP="00B24633">
      <w:pPr>
        <w:tabs>
          <w:tab w:val="left" w:pos="851"/>
        </w:tabs>
        <w:ind w:left="851"/>
        <w:rPr>
          <w:sz w:val="24"/>
          <w:szCs w:val="24"/>
        </w:rPr>
      </w:pPr>
    </w:p>
    <w:p w14:paraId="55389FBC" w14:textId="77777777" w:rsidR="00F61E6E" w:rsidRPr="00B24633" w:rsidRDefault="00F61E6E" w:rsidP="00B24633">
      <w:pPr>
        <w:tabs>
          <w:tab w:val="left" w:pos="851"/>
        </w:tabs>
        <w:ind w:left="851"/>
        <w:rPr>
          <w:sz w:val="24"/>
          <w:szCs w:val="24"/>
        </w:rPr>
      </w:pPr>
      <w:r w:rsidRPr="00B24633">
        <w:rPr>
          <w:sz w:val="24"/>
          <w:szCs w:val="24"/>
        </w:rPr>
        <w:t xml:space="preserve">Direkte virkende orale antikoagulantia (DOAK), herunder rivaroxaban, anbefales ikke til patienter med tidligere trombose, som er diagnosticerede med antifosfolipidsyndrom. Navnlig for patienter, der er tredobbelt positive (for lupus antikoagulans, anticardiolipin-antistoffer og anti-beta 2-glykoprotein I-antistoffer), kan behandling med DOAK være forbundet med øget forekomst af recidiverende trombotiske hændelser i forhold til behandling med vitamin K-antagonister. </w:t>
      </w:r>
    </w:p>
    <w:p w14:paraId="7854DD83" w14:textId="77777777" w:rsidR="00F61E6E" w:rsidRPr="00B24633" w:rsidRDefault="00F61E6E" w:rsidP="00B24633">
      <w:pPr>
        <w:pStyle w:val="Brdtekst"/>
        <w:spacing w:before="1"/>
        <w:ind w:left="858"/>
        <w:rPr>
          <w:sz w:val="24"/>
          <w:szCs w:val="24"/>
          <w:lang w:val="da-DK"/>
        </w:rPr>
      </w:pPr>
    </w:p>
    <w:p w14:paraId="6AC2F235" w14:textId="77777777" w:rsidR="00F61E6E" w:rsidRPr="00B24633" w:rsidRDefault="00F61E6E" w:rsidP="00B24633">
      <w:pPr>
        <w:tabs>
          <w:tab w:val="left" w:pos="851"/>
        </w:tabs>
        <w:ind w:left="851"/>
        <w:rPr>
          <w:sz w:val="24"/>
          <w:szCs w:val="24"/>
        </w:rPr>
      </w:pPr>
      <w:r w:rsidRPr="00B24633">
        <w:rPr>
          <w:sz w:val="24"/>
          <w:szCs w:val="24"/>
          <w:u w:val="single"/>
        </w:rPr>
        <w:t>Patienter med ikke-valvulær atrieflimren, som gennemgår PCI med indsat stent</w:t>
      </w:r>
    </w:p>
    <w:p w14:paraId="53D2D2C3" w14:textId="77777777" w:rsidR="00F61E6E" w:rsidRPr="00B24633" w:rsidRDefault="00F61E6E" w:rsidP="00B24633">
      <w:pPr>
        <w:tabs>
          <w:tab w:val="left" w:pos="851"/>
        </w:tabs>
        <w:ind w:left="851"/>
        <w:rPr>
          <w:sz w:val="24"/>
          <w:szCs w:val="24"/>
        </w:rPr>
      </w:pPr>
    </w:p>
    <w:p w14:paraId="59EC782D" w14:textId="77777777" w:rsidR="00F61E6E" w:rsidRPr="00B24633" w:rsidRDefault="00F61E6E" w:rsidP="00B24633">
      <w:pPr>
        <w:tabs>
          <w:tab w:val="left" w:pos="851"/>
        </w:tabs>
        <w:ind w:left="851"/>
        <w:rPr>
          <w:sz w:val="24"/>
          <w:szCs w:val="24"/>
        </w:rPr>
      </w:pPr>
      <w:r w:rsidRPr="00B24633">
        <w:rPr>
          <w:sz w:val="24"/>
          <w:szCs w:val="24"/>
        </w:rPr>
        <w:t>Der foreligger kliniske data fra et interventionsstudie med det primære formål at vurdere sikkerheden hos patienter med ikke-valvulær atrieflimren, som gennemgår PCI med indsat stent. Data for virkningen hos denne patientgruppe er begrænsede (se pkt. 4.2 og 5.1). Der foreligger ingen data for sådanne patienter med apopleksi/transitorisk iskæmisk anfald (TIA) i anamnesen.</w:t>
      </w:r>
    </w:p>
    <w:p w14:paraId="5FCB416B" w14:textId="77777777" w:rsidR="00F61E6E" w:rsidRPr="00B24633" w:rsidRDefault="00F61E6E" w:rsidP="00B24633">
      <w:pPr>
        <w:tabs>
          <w:tab w:val="left" w:pos="851"/>
        </w:tabs>
        <w:ind w:left="851"/>
        <w:rPr>
          <w:sz w:val="24"/>
          <w:szCs w:val="24"/>
        </w:rPr>
      </w:pPr>
    </w:p>
    <w:p w14:paraId="1399955E" w14:textId="77777777" w:rsidR="00F61E6E" w:rsidRPr="00B24633" w:rsidRDefault="00F61E6E" w:rsidP="00B24633">
      <w:pPr>
        <w:tabs>
          <w:tab w:val="left" w:pos="851"/>
        </w:tabs>
        <w:ind w:left="851"/>
        <w:rPr>
          <w:sz w:val="24"/>
          <w:szCs w:val="24"/>
          <w:u w:val="single"/>
        </w:rPr>
      </w:pPr>
      <w:r w:rsidRPr="00B24633">
        <w:rPr>
          <w:sz w:val="24"/>
          <w:szCs w:val="24"/>
          <w:u w:val="single"/>
        </w:rPr>
        <w:t>Hæmodynamisk ustabile PE-patienter og patienter, der har behov for trombolyse eller lungeembolektomi</w:t>
      </w:r>
    </w:p>
    <w:p w14:paraId="0603F56B" w14:textId="77777777" w:rsidR="00F61E6E" w:rsidRPr="00B24633" w:rsidRDefault="00F61E6E" w:rsidP="00B24633">
      <w:pPr>
        <w:tabs>
          <w:tab w:val="left" w:pos="851"/>
        </w:tabs>
        <w:ind w:left="851"/>
        <w:rPr>
          <w:sz w:val="24"/>
          <w:szCs w:val="24"/>
        </w:rPr>
      </w:pPr>
    </w:p>
    <w:p w14:paraId="60EABB2C" w14:textId="2ED514EA"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anbefales ikke som alternativ til ufraktioneret heparin til patienter med lungeemboli, som er hæmodynamisk ustabile, eller som kan få behov for trombolyse eller lungeembolektomi, da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s sikkerhed og virkning ikke er klarlagt i disse kliniske situationer.</w:t>
      </w:r>
    </w:p>
    <w:p w14:paraId="281B74C2" w14:textId="46DFB584" w:rsidR="00F21719" w:rsidRDefault="00F21719">
      <w:pPr>
        <w:rPr>
          <w:sz w:val="24"/>
          <w:szCs w:val="24"/>
        </w:rPr>
      </w:pPr>
      <w:r>
        <w:rPr>
          <w:sz w:val="24"/>
          <w:szCs w:val="24"/>
        </w:rPr>
        <w:br w:type="page"/>
      </w:r>
    </w:p>
    <w:p w14:paraId="0F4364F8" w14:textId="77777777" w:rsidR="00F61E6E" w:rsidRPr="00B24633" w:rsidRDefault="00F61E6E" w:rsidP="00B24633">
      <w:pPr>
        <w:pStyle w:val="Brdtekst"/>
        <w:ind w:left="851"/>
        <w:rPr>
          <w:sz w:val="24"/>
          <w:szCs w:val="24"/>
          <w:lang w:val="da-DK"/>
        </w:rPr>
      </w:pPr>
    </w:p>
    <w:p w14:paraId="405AEDEC" w14:textId="77777777" w:rsidR="00F61E6E" w:rsidRPr="00B24633" w:rsidRDefault="00F61E6E" w:rsidP="00B24633">
      <w:pPr>
        <w:pStyle w:val="Brdtekst"/>
        <w:ind w:left="858"/>
        <w:rPr>
          <w:sz w:val="24"/>
          <w:szCs w:val="24"/>
          <w:lang w:val="da-DK"/>
        </w:rPr>
      </w:pPr>
      <w:r w:rsidRPr="00B24633">
        <w:rPr>
          <w:sz w:val="24"/>
          <w:szCs w:val="24"/>
          <w:u w:val="single"/>
          <w:lang w:val="da-DK"/>
        </w:rPr>
        <w:t>Spinal/epiduralanæstesi</w:t>
      </w:r>
      <w:r w:rsidRPr="00B24633">
        <w:rPr>
          <w:spacing w:val="-3"/>
          <w:sz w:val="24"/>
          <w:szCs w:val="24"/>
          <w:u w:val="single"/>
          <w:lang w:val="da-DK"/>
        </w:rPr>
        <w:t xml:space="preserve"> </w:t>
      </w:r>
      <w:r w:rsidRPr="00B24633">
        <w:rPr>
          <w:sz w:val="24"/>
          <w:szCs w:val="24"/>
          <w:u w:val="single"/>
          <w:lang w:val="da-DK"/>
        </w:rPr>
        <w:t>eller</w:t>
      </w:r>
      <w:r w:rsidRPr="00B24633">
        <w:rPr>
          <w:spacing w:val="-3"/>
          <w:sz w:val="24"/>
          <w:szCs w:val="24"/>
          <w:u w:val="single"/>
          <w:lang w:val="da-DK"/>
        </w:rPr>
        <w:t xml:space="preserve"> </w:t>
      </w:r>
      <w:r w:rsidRPr="00B24633">
        <w:rPr>
          <w:sz w:val="24"/>
          <w:szCs w:val="24"/>
          <w:u w:val="single"/>
          <w:lang w:val="da-DK"/>
        </w:rPr>
        <w:t>-punktur</w:t>
      </w:r>
    </w:p>
    <w:p w14:paraId="7B666074" w14:textId="278533AB" w:rsidR="00F61E6E" w:rsidRPr="00B24633" w:rsidRDefault="00F61E6E" w:rsidP="00B24633">
      <w:pPr>
        <w:tabs>
          <w:tab w:val="left" w:pos="851"/>
        </w:tabs>
        <w:ind w:left="851"/>
        <w:rPr>
          <w:sz w:val="24"/>
          <w:szCs w:val="24"/>
        </w:rPr>
      </w:pPr>
      <w:r w:rsidRPr="00B24633">
        <w:rPr>
          <w:sz w:val="24"/>
          <w:szCs w:val="24"/>
        </w:rPr>
        <w:t>I forbindelse med neuraksial anæstesi (spinal/epiduralanæstesi) eller spinal/epidural</w:t>
      </w:r>
      <w:r w:rsidR="00F21719">
        <w:rPr>
          <w:sz w:val="24"/>
          <w:szCs w:val="24"/>
        </w:rPr>
        <w:softHyphen/>
      </w:r>
      <w:r w:rsidRPr="00B24633">
        <w:rPr>
          <w:sz w:val="24"/>
          <w:szCs w:val="24"/>
        </w:rPr>
        <w:t>punktur, har patienter, som får antitrombotika til forebyggelse af tromboemboliske komplikationer, risiko for at udvikle epiduralt eller spinalt hæmatom, hvilket kan føre til langvarig eller permanent paralyse. Risikoen for disse hændelser kan stige ved postoperativ brug af permanent epiduralkateter eller samtidig brug af lægemidler, der påvirker hæmostasen. Risikoen kan også stige ved traumatisk eller gentagen epidural- eller spinalpunktur. Patienten skal overvåges hyppigt for symptomer på neurologisk svækkelse (f.eks. følelsesløshed eller svaghed i benene og afførings- eller vandladningsforstyrrelser). Hvis der bemærkes neurologisk svækkelse, skal der øjeblikkeligt stilles en diagnose og iværksættes behandling. Før neuraksial intervention skal lægen afveje de mulige fordele med risikoen hos patienter, der får antikoagulantia, og hos patienter, der skal have antikoagulantia til tromboprofylakse. Der er ingen klinisk erfaring med anvendelse af 15 mg eller 20 mg rivaroxaban i disse situationer.</w:t>
      </w:r>
    </w:p>
    <w:p w14:paraId="218F4DA9" w14:textId="77777777" w:rsidR="00F61E6E" w:rsidRPr="00B24633" w:rsidRDefault="00F61E6E" w:rsidP="00B24633">
      <w:pPr>
        <w:tabs>
          <w:tab w:val="left" w:pos="851"/>
        </w:tabs>
        <w:ind w:left="851"/>
        <w:rPr>
          <w:sz w:val="24"/>
          <w:szCs w:val="24"/>
        </w:rPr>
      </w:pPr>
      <w:r w:rsidRPr="00B24633">
        <w:rPr>
          <w:sz w:val="24"/>
          <w:szCs w:val="24"/>
        </w:rPr>
        <w:t>For at reducere den potentielle blødningsrisiko ved neuraksial (epidural/spinal) anæstesi eller spinalpunktur hos patienter i behandling med rivaroxaban bør rivaroxabans farmakokinetiske profil tages i betragtning. Det er bedst at indsætte eller fjerne et epiduralkateter eller udføre lumbalpunktur, når den antikoagulerende virkning af rivaroxaban vurderes til at være lav. Det vides imidlertid ikke, præcist hvornår en tilstrækkelig lav antikoagulerende virkning nås hos den enkelte patient og tidspunktet skal opvejes mod hvor akut en diagnostisk procedure er.</w:t>
      </w:r>
    </w:p>
    <w:p w14:paraId="11A30844" w14:textId="77777777" w:rsidR="00F61E6E" w:rsidRPr="00B24633" w:rsidRDefault="00F61E6E" w:rsidP="00B24633">
      <w:pPr>
        <w:tabs>
          <w:tab w:val="left" w:pos="851"/>
        </w:tabs>
        <w:ind w:left="851"/>
        <w:rPr>
          <w:sz w:val="24"/>
          <w:szCs w:val="24"/>
        </w:rPr>
      </w:pPr>
      <w:r w:rsidRPr="00B24633">
        <w:rPr>
          <w:sz w:val="24"/>
          <w:szCs w:val="24"/>
        </w:rPr>
        <w:t>Ved fjernelse af et epiduralkateter skal der, ud fra de generelle farmakokinetiske karakteristika, gå mindst to gange halveringstiden efter sidste administration af rivaroxaban, dvs. mindst 18 timer for unge voksne patienter og 26 timer for ældre patienter (se pkt. 5.2). Efter fjernelse af katetret skal der gå mindst 6 timer, før den næste rivaroxaban-dosis administreres.</w:t>
      </w:r>
    </w:p>
    <w:p w14:paraId="3680D133" w14:textId="77777777" w:rsidR="00F61E6E" w:rsidRPr="00B24633" w:rsidRDefault="00F61E6E" w:rsidP="00B24633">
      <w:pPr>
        <w:tabs>
          <w:tab w:val="left" w:pos="851"/>
        </w:tabs>
        <w:ind w:left="851"/>
        <w:rPr>
          <w:sz w:val="24"/>
          <w:szCs w:val="24"/>
        </w:rPr>
      </w:pPr>
      <w:r w:rsidRPr="00B24633">
        <w:rPr>
          <w:sz w:val="24"/>
          <w:szCs w:val="24"/>
        </w:rPr>
        <w:t>Hvis traumatisk punktur forekommer, skal indtagelse af rivaroxaban udskydes i 24 timer.</w:t>
      </w:r>
    </w:p>
    <w:p w14:paraId="06E669B9" w14:textId="04753777" w:rsidR="00F61E6E" w:rsidRPr="00B24633" w:rsidRDefault="00F61E6E" w:rsidP="00B24633">
      <w:pPr>
        <w:tabs>
          <w:tab w:val="left" w:pos="851"/>
        </w:tabs>
        <w:ind w:left="851"/>
        <w:rPr>
          <w:sz w:val="24"/>
          <w:szCs w:val="24"/>
        </w:rPr>
      </w:pPr>
      <w:r w:rsidRPr="00B24633">
        <w:rPr>
          <w:sz w:val="24"/>
          <w:szCs w:val="24"/>
        </w:rPr>
        <w:t xml:space="preserve">Der foreligger ingen data vedrørende timingen af indsættelsen eller fjernelsen af neuraksialt kateter hos børn, mens de får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I sådanne tilfælde seponeres rivaroxaban, og en kortvarende parenteral antikoagulant overvejes.</w:t>
      </w:r>
    </w:p>
    <w:p w14:paraId="507289AA" w14:textId="77777777" w:rsidR="00F61E6E" w:rsidRPr="00B24633" w:rsidRDefault="00F61E6E" w:rsidP="00B24633">
      <w:pPr>
        <w:pStyle w:val="Brdtekst"/>
        <w:ind w:left="858"/>
        <w:rPr>
          <w:sz w:val="24"/>
          <w:szCs w:val="24"/>
          <w:lang w:val="da-DK"/>
        </w:rPr>
      </w:pPr>
    </w:p>
    <w:p w14:paraId="55182615" w14:textId="77777777" w:rsidR="00F61E6E" w:rsidRPr="00B24633" w:rsidRDefault="00F61E6E" w:rsidP="00B24633">
      <w:pPr>
        <w:pStyle w:val="Brdtekst"/>
        <w:ind w:left="858"/>
        <w:rPr>
          <w:sz w:val="24"/>
          <w:szCs w:val="24"/>
          <w:lang w:val="da-DK"/>
        </w:rPr>
      </w:pPr>
      <w:r w:rsidRPr="00B24633">
        <w:rPr>
          <w:sz w:val="24"/>
          <w:szCs w:val="24"/>
          <w:u w:val="single"/>
          <w:lang w:val="da-DK"/>
        </w:rPr>
        <w:t xml:space="preserve">Doseringsanbefaling før og efter invasive indgreb og kirurgi </w:t>
      </w:r>
    </w:p>
    <w:p w14:paraId="1A79DFFA" w14:textId="77777777" w:rsidR="00F61E6E" w:rsidRPr="00B24633" w:rsidRDefault="00F61E6E" w:rsidP="00B24633">
      <w:pPr>
        <w:tabs>
          <w:tab w:val="left" w:pos="851"/>
        </w:tabs>
        <w:ind w:left="851"/>
        <w:rPr>
          <w:sz w:val="24"/>
          <w:szCs w:val="24"/>
        </w:rPr>
      </w:pPr>
    </w:p>
    <w:p w14:paraId="50924652" w14:textId="66A4F2F6" w:rsidR="00F61E6E" w:rsidRPr="00B24633" w:rsidRDefault="00F61E6E" w:rsidP="00B24633">
      <w:pPr>
        <w:tabs>
          <w:tab w:val="left" w:pos="851"/>
        </w:tabs>
        <w:ind w:left="851"/>
        <w:rPr>
          <w:sz w:val="24"/>
          <w:szCs w:val="24"/>
        </w:rPr>
      </w:pPr>
      <w:r w:rsidRPr="00B24633">
        <w:rPr>
          <w:sz w:val="24"/>
          <w:szCs w:val="24"/>
        </w:rPr>
        <w:t xml:space="preserve">Såfremt der er behov for invasive indgreb eller kirurgi, skal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15 mg/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20 mg så vidt muligt seponeres mindst 24 timer før indgrebet, baseret på den behandlende læges kliniske vurdering.</w:t>
      </w:r>
    </w:p>
    <w:p w14:paraId="16A0A317" w14:textId="77777777" w:rsidR="00F61E6E" w:rsidRPr="00B24633" w:rsidRDefault="00F61E6E" w:rsidP="00B24633">
      <w:pPr>
        <w:tabs>
          <w:tab w:val="left" w:pos="851"/>
        </w:tabs>
        <w:ind w:left="851"/>
        <w:rPr>
          <w:sz w:val="24"/>
          <w:szCs w:val="24"/>
        </w:rPr>
      </w:pPr>
      <w:r w:rsidRPr="00B24633">
        <w:rPr>
          <w:sz w:val="24"/>
          <w:szCs w:val="24"/>
        </w:rPr>
        <w:t>Såfremt indgrebet ikke kan udskydes, må den øgede blødningsrisiko afvejes mod behovet for hurtig intervention.</w:t>
      </w:r>
    </w:p>
    <w:p w14:paraId="2B9D6107" w14:textId="5F0944D7" w:rsidR="00F61E6E" w:rsidRPr="00B24633" w:rsidRDefault="00F61E6E" w:rsidP="00B24633">
      <w:pPr>
        <w:tabs>
          <w:tab w:val="left" w:pos="851"/>
        </w:tabs>
        <w:ind w:left="851"/>
        <w:rPr>
          <w:sz w:val="24"/>
          <w:szCs w:val="24"/>
        </w:rPr>
      </w:pPr>
      <w:r w:rsidRPr="00B24633">
        <w:rPr>
          <w:sz w:val="24"/>
          <w:szCs w:val="24"/>
        </w:rPr>
        <w:t xml:space="preserve">Efter invasive indgreb eller kirurgi skal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startes op igen hurtigst muligt, forudsat patientens kliniske tilstand tillader det, og der efter den behandlende læges vurdering er sikret tilstrækkelig hæmostase (se pkt. 5.2).</w:t>
      </w:r>
    </w:p>
    <w:p w14:paraId="4FA021CF" w14:textId="77777777" w:rsidR="00F61E6E" w:rsidRPr="00B24633" w:rsidRDefault="00F61E6E" w:rsidP="00B24633">
      <w:pPr>
        <w:tabs>
          <w:tab w:val="left" w:pos="851"/>
        </w:tabs>
        <w:ind w:left="851"/>
        <w:rPr>
          <w:sz w:val="24"/>
          <w:szCs w:val="24"/>
        </w:rPr>
      </w:pPr>
    </w:p>
    <w:p w14:paraId="4D3DDAFD"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Ældre population </w:t>
      </w:r>
    </w:p>
    <w:p w14:paraId="5906FF1D" w14:textId="77777777" w:rsidR="00F61E6E" w:rsidRPr="00B24633" w:rsidRDefault="00F61E6E" w:rsidP="00B24633">
      <w:pPr>
        <w:tabs>
          <w:tab w:val="left" w:pos="851"/>
        </w:tabs>
        <w:ind w:left="851"/>
        <w:rPr>
          <w:sz w:val="24"/>
          <w:szCs w:val="24"/>
        </w:rPr>
      </w:pPr>
    </w:p>
    <w:p w14:paraId="7C75E841" w14:textId="77777777" w:rsidR="00F61E6E" w:rsidRPr="00B24633" w:rsidRDefault="00F61E6E" w:rsidP="00B24633">
      <w:pPr>
        <w:tabs>
          <w:tab w:val="left" w:pos="851"/>
        </w:tabs>
        <w:ind w:left="851"/>
        <w:rPr>
          <w:sz w:val="24"/>
          <w:szCs w:val="24"/>
        </w:rPr>
      </w:pPr>
      <w:r w:rsidRPr="00B24633">
        <w:rPr>
          <w:sz w:val="24"/>
          <w:szCs w:val="24"/>
        </w:rPr>
        <w:t xml:space="preserve">Stigende alder kan øge blødningsrisikoen (se pkt. 5.2). </w:t>
      </w:r>
    </w:p>
    <w:p w14:paraId="525BF4F5" w14:textId="77777777" w:rsidR="00F61E6E" w:rsidRPr="00B24633" w:rsidRDefault="00F61E6E" w:rsidP="00B24633">
      <w:pPr>
        <w:tabs>
          <w:tab w:val="left" w:pos="851"/>
        </w:tabs>
        <w:ind w:left="851"/>
        <w:rPr>
          <w:sz w:val="24"/>
          <w:szCs w:val="24"/>
        </w:rPr>
      </w:pPr>
    </w:p>
    <w:p w14:paraId="2CD131D9"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Dermatologiske reaktioner </w:t>
      </w:r>
    </w:p>
    <w:p w14:paraId="70721950" w14:textId="77777777" w:rsidR="00F61E6E" w:rsidRPr="00B24633" w:rsidRDefault="00F61E6E" w:rsidP="00B24633">
      <w:pPr>
        <w:tabs>
          <w:tab w:val="left" w:pos="851"/>
        </w:tabs>
        <w:ind w:left="851"/>
        <w:rPr>
          <w:sz w:val="24"/>
          <w:szCs w:val="24"/>
        </w:rPr>
      </w:pPr>
    </w:p>
    <w:p w14:paraId="6441F6D7" w14:textId="77777777" w:rsidR="00F61E6E" w:rsidRPr="00B24633" w:rsidRDefault="00F61E6E" w:rsidP="00B24633">
      <w:pPr>
        <w:tabs>
          <w:tab w:val="left" w:pos="851"/>
        </w:tabs>
        <w:ind w:left="851"/>
        <w:rPr>
          <w:sz w:val="24"/>
          <w:szCs w:val="24"/>
        </w:rPr>
      </w:pPr>
      <w:r w:rsidRPr="00B24633">
        <w:rPr>
          <w:sz w:val="24"/>
          <w:szCs w:val="24"/>
        </w:rPr>
        <w:t xml:space="preserve">Alvorlige hudreaktioner, herunder Stevens-Johnsons syndrom/toksisk epidermal nekrolyse og DRESS syndrom (se pkt. 4.8), er under bivirkningsovervågning efter markedsføring </w:t>
      </w:r>
      <w:r w:rsidRPr="00B24633">
        <w:rPr>
          <w:sz w:val="24"/>
          <w:szCs w:val="24"/>
        </w:rPr>
        <w:lastRenderedPageBreak/>
        <w:t xml:space="preserve">blevet rapporteret i forbindelse med anvendelsen af rivaroxaban. Patienter ser ud til at have den højeste risiko for disse bivirkninger i begyndelsen af behandlingen i de fleste tilfælde indtrådte bivirkningen inden for de første uger af behandlingen. Rivaroxaban bør seponeres ved første forekomst af et alvorligt hududslæt (f.eks. spredning, svært udslæt og/eller blisterdannelse) eller andre tegn på overfølsomhed i forbindelse med slimhindelæsioner. </w:t>
      </w:r>
    </w:p>
    <w:p w14:paraId="51A77BC8" w14:textId="77777777" w:rsidR="00F61E6E" w:rsidRPr="00B24633" w:rsidRDefault="00F61E6E" w:rsidP="00B24633">
      <w:pPr>
        <w:tabs>
          <w:tab w:val="left" w:pos="851"/>
        </w:tabs>
        <w:ind w:left="851"/>
        <w:rPr>
          <w:sz w:val="24"/>
          <w:szCs w:val="24"/>
        </w:rPr>
      </w:pPr>
    </w:p>
    <w:p w14:paraId="21449428" w14:textId="77777777" w:rsidR="00F61E6E" w:rsidRPr="00B24633" w:rsidRDefault="00F61E6E" w:rsidP="00B24633">
      <w:pPr>
        <w:tabs>
          <w:tab w:val="left" w:pos="851"/>
        </w:tabs>
        <w:ind w:left="851"/>
        <w:rPr>
          <w:sz w:val="24"/>
          <w:szCs w:val="24"/>
          <w:u w:val="single"/>
        </w:rPr>
      </w:pPr>
      <w:r w:rsidRPr="00B24633">
        <w:rPr>
          <w:sz w:val="24"/>
          <w:szCs w:val="24"/>
          <w:u w:val="single"/>
        </w:rPr>
        <w:t>Hjælpestoffer</w:t>
      </w:r>
    </w:p>
    <w:p w14:paraId="5EF4769B" w14:textId="77777777" w:rsidR="00F61E6E" w:rsidRPr="00B24633" w:rsidRDefault="00F61E6E" w:rsidP="00B24633">
      <w:pPr>
        <w:tabs>
          <w:tab w:val="left" w:pos="851"/>
        </w:tabs>
        <w:ind w:left="851"/>
        <w:rPr>
          <w:sz w:val="24"/>
          <w:szCs w:val="24"/>
        </w:rPr>
      </w:pPr>
    </w:p>
    <w:p w14:paraId="6376FB5D" w14:textId="7DDB0AC3"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indeholder lactose. Bør ikke anvendes til patienter med hereditær galactoseintolerans, total lactasemangel eller glucose/galactosemalabsorption. </w:t>
      </w:r>
    </w:p>
    <w:p w14:paraId="6695FD91" w14:textId="77777777" w:rsidR="00F61E6E" w:rsidRPr="00B24633" w:rsidRDefault="00F61E6E" w:rsidP="00B24633">
      <w:pPr>
        <w:tabs>
          <w:tab w:val="left" w:pos="851"/>
        </w:tabs>
        <w:ind w:left="851"/>
        <w:rPr>
          <w:sz w:val="24"/>
          <w:szCs w:val="24"/>
        </w:rPr>
      </w:pPr>
    </w:p>
    <w:p w14:paraId="232D9B43" w14:textId="77777777" w:rsidR="00F61E6E" w:rsidRPr="00B24633" w:rsidRDefault="00F61E6E" w:rsidP="00B24633">
      <w:pPr>
        <w:tabs>
          <w:tab w:val="left" w:pos="851"/>
        </w:tabs>
        <w:ind w:left="851"/>
        <w:rPr>
          <w:sz w:val="24"/>
          <w:szCs w:val="24"/>
        </w:rPr>
      </w:pPr>
      <w:r w:rsidRPr="00B24633">
        <w:rPr>
          <w:sz w:val="24"/>
          <w:szCs w:val="24"/>
        </w:rPr>
        <w:t>Dette lægemiddel indeholder mindre end 1 mmol (23 mg) natrium pr. dosisenhed, dvs. det er i det væsentlige natriumfrit.</w:t>
      </w:r>
    </w:p>
    <w:p w14:paraId="4EA6F197" w14:textId="77777777" w:rsidR="009260DE" w:rsidRPr="00B24633" w:rsidRDefault="009260DE" w:rsidP="00B24633">
      <w:pPr>
        <w:tabs>
          <w:tab w:val="left" w:pos="851"/>
        </w:tabs>
        <w:ind w:left="851"/>
        <w:rPr>
          <w:sz w:val="24"/>
          <w:szCs w:val="24"/>
        </w:rPr>
      </w:pPr>
    </w:p>
    <w:p w14:paraId="758F06CB" w14:textId="77777777" w:rsidR="009260DE" w:rsidRPr="00B24633" w:rsidRDefault="009260DE" w:rsidP="00B24633">
      <w:pPr>
        <w:tabs>
          <w:tab w:val="left" w:pos="851"/>
        </w:tabs>
        <w:ind w:left="851" w:hanging="851"/>
        <w:rPr>
          <w:b/>
          <w:sz w:val="24"/>
          <w:szCs w:val="24"/>
        </w:rPr>
      </w:pPr>
      <w:r w:rsidRPr="00B24633">
        <w:rPr>
          <w:b/>
          <w:sz w:val="24"/>
          <w:szCs w:val="24"/>
        </w:rPr>
        <w:t>4.5</w:t>
      </w:r>
      <w:r w:rsidRPr="00B24633">
        <w:rPr>
          <w:b/>
          <w:sz w:val="24"/>
          <w:szCs w:val="24"/>
        </w:rPr>
        <w:tab/>
        <w:t>Interaktion med andre lægemidler og andre former for interaktion</w:t>
      </w:r>
    </w:p>
    <w:p w14:paraId="165D0BE9" w14:textId="77777777" w:rsidR="00F61E6E" w:rsidRPr="00B24633" w:rsidRDefault="00F61E6E" w:rsidP="00B24633">
      <w:pPr>
        <w:ind w:left="851"/>
        <w:rPr>
          <w:sz w:val="24"/>
          <w:szCs w:val="24"/>
        </w:rPr>
      </w:pPr>
      <w:r w:rsidRPr="00B24633">
        <w:rPr>
          <w:sz w:val="24"/>
          <w:szCs w:val="24"/>
        </w:rPr>
        <w:t>Omfanget af interaktioner hos den pædiatriske population er ukendt. De nedenfor nævnte interaktionsdata er indhentet hos voksne, og advarslerne i pkt. 4.4 skal overvejes for den pædiatriske population.</w:t>
      </w:r>
    </w:p>
    <w:p w14:paraId="0A9EA1EB" w14:textId="77777777" w:rsidR="00F61E6E" w:rsidRPr="00B24633" w:rsidRDefault="00F61E6E" w:rsidP="00B24633">
      <w:pPr>
        <w:ind w:left="851"/>
        <w:rPr>
          <w:sz w:val="24"/>
          <w:szCs w:val="24"/>
        </w:rPr>
      </w:pPr>
    </w:p>
    <w:p w14:paraId="02B677A9" w14:textId="77777777" w:rsidR="00F61E6E" w:rsidRPr="00B24633" w:rsidRDefault="00F61E6E" w:rsidP="00B24633">
      <w:pPr>
        <w:ind w:left="851"/>
        <w:rPr>
          <w:sz w:val="24"/>
          <w:szCs w:val="24"/>
          <w:u w:val="single"/>
        </w:rPr>
      </w:pPr>
      <w:r w:rsidRPr="00B24633">
        <w:rPr>
          <w:sz w:val="24"/>
          <w:szCs w:val="24"/>
          <w:u w:val="single"/>
        </w:rPr>
        <w:t xml:space="preserve">CYP3A4- og P-gp-hæmmere </w:t>
      </w:r>
    </w:p>
    <w:p w14:paraId="2D194638" w14:textId="77777777" w:rsidR="00F61E6E" w:rsidRPr="00B24633" w:rsidRDefault="00F61E6E" w:rsidP="00B24633">
      <w:pPr>
        <w:ind w:left="851"/>
        <w:rPr>
          <w:sz w:val="24"/>
          <w:szCs w:val="24"/>
        </w:rPr>
      </w:pPr>
    </w:p>
    <w:p w14:paraId="3DA7922F" w14:textId="3A77371C" w:rsidR="00F61E6E" w:rsidRPr="00B24633" w:rsidRDefault="00F61E6E" w:rsidP="00B24633">
      <w:pPr>
        <w:ind w:left="851"/>
        <w:rPr>
          <w:sz w:val="24"/>
          <w:szCs w:val="24"/>
        </w:rPr>
      </w:pPr>
      <w:r w:rsidRPr="00B24633">
        <w:rPr>
          <w:sz w:val="24"/>
          <w:szCs w:val="24"/>
        </w:rPr>
        <w:t>Samtidig indtagelse af rivaroxaban og ketoconazol (400 mg én gang dagligt) eller ritonavir (600 mg to gange dagligt) førte til en stigning på 2,6 gange/2,5 gange i det gennemsnitlige AUC for rivaroxaban og en stigning på 1,7 gange/1,6 gange i den gennemsnitlige C</w:t>
      </w:r>
      <w:r w:rsidRPr="00B24633">
        <w:rPr>
          <w:sz w:val="24"/>
          <w:szCs w:val="24"/>
          <w:vertAlign w:val="subscript"/>
        </w:rPr>
        <w:t>max</w:t>
      </w:r>
      <w:r w:rsidRPr="00B24633">
        <w:rPr>
          <w:sz w:val="24"/>
          <w:szCs w:val="24"/>
        </w:rPr>
        <w:t xml:space="preserve"> for rivaroxaban med en signifikant stigning i de farmakodynamiske effekter, der kan medføre øget risiko for blødning.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bør derfor ikke anvendes til patienter, der får samtidig systemisk behandling med azolantimykotika som f.eks. ketoconazol, itraconazol, voriconazol og posaconazol eller hiv-proteasehæmmere. Disse aktive stoffer er stærke hæmmere af både CYP3A4 og P-gp (se pkt. 4.4). </w:t>
      </w:r>
    </w:p>
    <w:p w14:paraId="609FFCA0" w14:textId="77777777" w:rsidR="00F61E6E" w:rsidRPr="00B24633" w:rsidRDefault="00F61E6E" w:rsidP="00B24633">
      <w:pPr>
        <w:ind w:left="851"/>
        <w:rPr>
          <w:sz w:val="24"/>
          <w:szCs w:val="24"/>
        </w:rPr>
      </w:pPr>
    </w:p>
    <w:p w14:paraId="74AB6103" w14:textId="77777777" w:rsidR="00F61E6E" w:rsidRPr="00B24633" w:rsidRDefault="00F61E6E" w:rsidP="00B24633">
      <w:pPr>
        <w:ind w:left="851"/>
        <w:rPr>
          <w:sz w:val="24"/>
          <w:szCs w:val="24"/>
        </w:rPr>
      </w:pPr>
      <w:r w:rsidRPr="00B24633">
        <w:rPr>
          <w:sz w:val="24"/>
          <w:szCs w:val="24"/>
        </w:rPr>
        <w:t>Aktive stoffer, der er stærke hæmmere af kun én af rivaroxabans udskillelsesveje, enten CYP3A4 eller P-gp, forventes kun at øge plasmakoncentrationen af rivaroxaban i mindre udstrækning. F.eks. øgede clarithromycin (500 mg to gange dagligt), der betragtes som en stærk hæmmer af CYP3A4 og en moderat hæmmer af P-gp, middel-AUC for rivaroxaban med en faktor 1,5 og C</w:t>
      </w:r>
      <w:r w:rsidRPr="00F21719">
        <w:rPr>
          <w:sz w:val="24"/>
          <w:szCs w:val="24"/>
          <w:vertAlign w:val="subscript"/>
        </w:rPr>
        <w:t>max</w:t>
      </w:r>
      <w:r w:rsidRPr="00B24633">
        <w:rPr>
          <w:sz w:val="24"/>
          <w:szCs w:val="24"/>
        </w:rPr>
        <w:t xml:space="preserve"> med en faktor 1,4. Interaktionen med clarithromycin er sandsynligvis ikke klinisk relevant hos de fleste patienter, men kan potentielt være signifikant hos højrisikopatienter (for patienter med nedsat nyrefunktion: Se pkt. 4.4). </w:t>
      </w:r>
    </w:p>
    <w:p w14:paraId="6DB59697" w14:textId="77777777" w:rsidR="00F61E6E" w:rsidRPr="00B24633" w:rsidRDefault="00F61E6E" w:rsidP="00B24633">
      <w:pPr>
        <w:ind w:left="851"/>
        <w:rPr>
          <w:sz w:val="24"/>
          <w:szCs w:val="24"/>
        </w:rPr>
      </w:pPr>
    </w:p>
    <w:p w14:paraId="6A5F0B46" w14:textId="77777777" w:rsidR="00F61E6E" w:rsidRPr="00B24633" w:rsidRDefault="00F61E6E" w:rsidP="00B24633">
      <w:pPr>
        <w:ind w:left="851"/>
        <w:rPr>
          <w:sz w:val="24"/>
          <w:szCs w:val="24"/>
        </w:rPr>
      </w:pPr>
      <w:r w:rsidRPr="00B24633">
        <w:rPr>
          <w:sz w:val="24"/>
          <w:szCs w:val="24"/>
        </w:rPr>
        <w:t>Erythromycin (500 mg tre gange dagligt), der hæmmer CYP3A4 og P-gp i moderat grad, medførte en stigning på 1,3 gange i det gennemsnitlige AUC og C</w:t>
      </w:r>
      <w:r w:rsidRPr="00B24633">
        <w:rPr>
          <w:sz w:val="24"/>
          <w:szCs w:val="24"/>
          <w:vertAlign w:val="subscript"/>
        </w:rPr>
        <w:t>max</w:t>
      </w:r>
      <w:r w:rsidRPr="00B24633">
        <w:rPr>
          <w:sz w:val="24"/>
          <w:szCs w:val="24"/>
        </w:rPr>
        <w:t xml:space="preserve"> for rivaroxaban. Interaktionen med erythromycin er sandsynligvis ikke klinisk relevant hos de fleste patienter, men kan potentielt være signifikant hos højrisikopatienter. </w:t>
      </w:r>
    </w:p>
    <w:p w14:paraId="5B407656" w14:textId="77777777" w:rsidR="00F61E6E" w:rsidRPr="00B24633" w:rsidRDefault="00F61E6E" w:rsidP="00B24633">
      <w:pPr>
        <w:ind w:left="851"/>
        <w:rPr>
          <w:sz w:val="24"/>
          <w:szCs w:val="24"/>
        </w:rPr>
      </w:pPr>
      <w:r w:rsidRPr="00B24633">
        <w:rPr>
          <w:sz w:val="24"/>
          <w:szCs w:val="24"/>
        </w:rPr>
        <w:t>Hos personer med let nedsat nyrefunktion medførte erythromycin (500 mg tre gange dagligt) en 1,8 gange forhøjelse i gennemsnitlig rivaroxaban-AUC og en 1,6 gange forhøjelse i C</w:t>
      </w:r>
      <w:r w:rsidRPr="00F21719">
        <w:rPr>
          <w:sz w:val="24"/>
          <w:szCs w:val="24"/>
          <w:vertAlign w:val="subscript"/>
        </w:rPr>
        <w:t>max</w:t>
      </w:r>
      <w:r w:rsidRPr="00B24633">
        <w:rPr>
          <w:sz w:val="24"/>
          <w:szCs w:val="24"/>
        </w:rPr>
        <w:t xml:space="preserve"> sammenlignet med personer med normal nyrefunktion. Hos personer med moderat nedsat nyrefunktion medførte erythromycin en 2,0 gange forhøjelse i gennemsnitlig rivaroxaban-AUC og en 1,6 gange forhøjelse i C</w:t>
      </w:r>
      <w:r w:rsidRPr="00B24633">
        <w:rPr>
          <w:sz w:val="24"/>
          <w:szCs w:val="24"/>
          <w:vertAlign w:val="subscript"/>
        </w:rPr>
        <w:t>max</w:t>
      </w:r>
      <w:r w:rsidRPr="00B24633">
        <w:rPr>
          <w:sz w:val="24"/>
          <w:szCs w:val="24"/>
        </w:rPr>
        <w:t>, sammenlignet med personer med normal nyrefunktion. Virkningen af erythromycin og virkningen af nedsat nyrefunktion er additive (se pkt. 4.4).</w:t>
      </w:r>
    </w:p>
    <w:p w14:paraId="5308AF63" w14:textId="77777777" w:rsidR="00F61E6E" w:rsidRPr="00B24633" w:rsidRDefault="00F61E6E" w:rsidP="00B24633">
      <w:pPr>
        <w:ind w:left="851"/>
        <w:rPr>
          <w:sz w:val="24"/>
          <w:szCs w:val="24"/>
        </w:rPr>
      </w:pPr>
    </w:p>
    <w:p w14:paraId="0F3D4342" w14:textId="77777777" w:rsidR="00F61E6E" w:rsidRPr="00B24633" w:rsidRDefault="00F61E6E" w:rsidP="00B24633">
      <w:pPr>
        <w:ind w:left="851"/>
        <w:rPr>
          <w:sz w:val="24"/>
          <w:szCs w:val="24"/>
        </w:rPr>
      </w:pPr>
      <w:r w:rsidRPr="00B24633">
        <w:rPr>
          <w:sz w:val="24"/>
          <w:szCs w:val="24"/>
        </w:rPr>
        <w:lastRenderedPageBreak/>
        <w:t>Fluconazol (400 mg én gang dagligt), der anses for at være en moderat CYP3A4-hæmmer, medførte en stigning i gennemsnitlig rivaroxaban-AUC med en faktor 1,4 og en stigning i gennemsnitlig C</w:t>
      </w:r>
      <w:r w:rsidRPr="00B24633">
        <w:rPr>
          <w:sz w:val="24"/>
          <w:szCs w:val="24"/>
          <w:vertAlign w:val="subscript"/>
        </w:rPr>
        <w:t>max</w:t>
      </w:r>
      <w:r w:rsidRPr="00B24633">
        <w:rPr>
          <w:sz w:val="24"/>
          <w:szCs w:val="24"/>
        </w:rPr>
        <w:t xml:space="preserve"> med en faktor 1,3. Interaktionen med fluconazol er sandsynligvis ikke klinisk relevant hos de fleste patienter, men kan potentielt være signifikant hos højrisikopatienter (for patienter med nedsat nyrefunktion, se pkt. 4.4). </w:t>
      </w:r>
    </w:p>
    <w:p w14:paraId="3C49E9BB" w14:textId="77777777" w:rsidR="00F61E6E" w:rsidRPr="00B24633" w:rsidRDefault="00F61E6E" w:rsidP="00B24633">
      <w:pPr>
        <w:ind w:left="851"/>
        <w:rPr>
          <w:sz w:val="24"/>
          <w:szCs w:val="24"/>
        </w:rPr>
      </w:pPr>
    </w:p>
    <w:p w14:paraId="7A9891F5" w14:textId="77777777" w:rsidR="00F61E6E" w:rsidRPr="00B24633" w:rsidRDefault="00F61E6E" w:rsidP="00B24633">
      <w:pPr>
        <w:ind w:left="851"/>
        <w:rPr>
          <w:sz w:val="24"/>
          <w:szCs w:val="24"/>
        </w:rPr>
      </w:pPr>
      <w:r w:rsidRPr="00B24633">
        <w:rPr>
          <w:sz w:val="24"/>
          <w:szCs w:val="24"/>
        </w:rPr>
        <w:t xml:space="preserve">Da der kun er begrænsede kliniske data vedrørende dronedaron, bør det ikke gives sammen med rivaroxaban. </w:t>
      </w:r>
    </w:p>
    <w:p w14:paraId="4A245AD7" w14:textId="77777777" w:rsidR="00F61E6E" w:rsidRPr="00B24633" w:rsidRDefault="00F61E6E" w:rsidP="00B24633">
      <w:pPr>
        <w:ind w:left="851"/>
        <w:rPr>
          <w:sz w:val="24"/>
          <w:szCs w:val="24"/>
        </w:rPr>
      </w:pPr>
    </w:p>
    <w:p w14:paraId="6FBDC73D" w14:textId="77777777" w:rsidR="00F61E6E" w:rsidRPr="00B24633" w:rsidRDefault="00F61E6E" w:rsidP="00B24633">
      <w:pPr>
        <w:ind w:left="851"/>
        <w:rPr>
          <w:sz w:val="24"/>
          <w:szCs w:val="24"/>
          <w:u w:val="single"/>
        </w:rPr>
      </w:pPr>
      <w:r w:rsidRPr="00B24633">
        <w:rPr>
          <w:sz w:val="24"/>
          <w:szCs w:val="24"/>
          <w:u w:val="single"/>
        </w:rPr>
        <w:t xml:space="preserve">Antikoagulantia </w:t>
      </w:r>
    </w:p>
    <w:p w14:paraId="5E9166E5" w14:textId="77777777" w:rsidR="00F61E6E" w:rsidRPr="00B24633" w:rsidRDefault="00F61E6E" w:rsidP="00B24633">
      <w:pPr>
        <w:ind w:left="851"/>
        <w:rPr>
          <w:sz w:val="24"/>
          <w:szCs w:val="24"/>
        </w:rPr>
      </w:pPr>
    </w:p>
    <w:p w14:paraId="0B254339" w14:textId="77777777" w:rsidR="00F61E6E" w:rsidRPr="00B24633" w:rsidRDefault="00F61E6E" w:rsidP="00B24633">
      <w:pPr>
        <w:ind w:left="851"/>
        <w:rPr>
          <w:sz w:val="24"/>
          <w:szCs w:val="24"/>
        </w:rPr>
      </w:pPr>
      <w:r w:rsidRPr="00B24633">
        <w:rPr>
          <w:sz w:val="24"/>
          <w:szCs w:val="24"/>
        </w:rPr>
        <w:t xml:space="preserve">Efter kombineret indtagelse af enoxaparin (enkeltdosis på 40 mg) og rivaroxaban (enkeltdosis på 10 mg) blev der observeret en </w:t>
      </w:r>
      <w:proofErr w:type="gramStart"/>
      <w:r w:rsidRPr="00B24633">
        <w:rPr>
          <w:sz w:val="24"/>
          <w:szCs w:val="24"/>
        </w:rPr>
        <w:t>additiv indvirkning</w:t>
      </w:r>
      <w:proofErr w:type="gramEnd"/>
      <w:r w:rsidRPr="00B24633">
        <w:rPr>
          <w:sz w:val="24"/>
          <w:szCs w:val="24"/>
        </w:rPr>
        <w:t xml:space="preserve"> på anti-faktor Xa-aktiviteten uden yderligere indvirkning på koagulationsparametrene (PT, aPTT). Enoxaparin påvirkede ikke rivaroxabans farmakokinetik. </w:t>
      </w:r>
    </w:p>
    <w:p w14:paraId="2F90A7FE" w14:textId="77777777" w:rsidR="00F61E6E" w:rsidRPr="00B24633" w:rsidRDefault="00F61E6E" w:rsidP="00B24633">
      <w:pPr>
        <w:ind w:left="851"/>
        <w:rPr>
          <w:sz w:val="24"/>
          <w:szCs w:val="24"/>
        </w:rPr>
      </w:pPr>
      <w:r w:rsidRPr="00B24633">
        <w:rPr>
          <w:sz w:val="24"/>
          <w:szCs w:val="24"/>
        </w:rPr>
        <w:t xml:space="preserve">På grund af den øgede blødningsrisiko skal der udvises forsigtighed hos patienter, der får samtidig behandling med andre antikoagulantia (se pkt. 4.3 og 4.4). </w:t>
      </w:r>
    </w:p>
    <w:p w14:paraId="5B897D49" w14:textId="77777777" w:rsidR="00F61E6E" w:rsidRPr="00B24633" w:rsidRDefault="00F61E6E" w:rsidP="00B24633">
      <w:pPr>
        <w:ind w:left="851"/>
        <w:rPr>
          <w:sz w:val="24"/>
          <w:szCs w:val="24"/>
        </w:rPr>
      </w:pPr>
    </w:p>
    <w:p w14:paraId="44983455" w14:textId="77777777" w:rsidR="00F61E6E" w:rsidRPr="00B24633" w:rsidRDefault="00F61E6E" w:rsidP="00B24633">
      <w:pPr>
        <w:ind w:left="851"/>
        <w:rPr>
          <w:sz w:val="24"/>
          <w:szCs w:val="24"/>
          <w:u w:val="single"/>
        </w:rPr>
      </w:pPr>
      <w:r w:rsidRPr="00B24633">
        <w:rPr>
          <w:sz w:val="24"/>
          <w:szCs w:val="24"/>
          <w:u w:val="single"/>
        </w:rPr>
        <w:t xml:space="preserve">NSAID'er/trombocytaggregationshæmmere </w:t>
      </w:r>
    </w:p>
    <w:p w14:paraId="1E1C806A" w14:textId="77777777" w:rsidR="00F61E6E" w:rsidRPr="00B24633" w:rsidRDefault="00F61E6E" w:rsidP="00B24633">
      <w:pPr>
        <w:ind w:left="851"/>
        <w:rPr>
          <w:sz w:val="24"/>
          <w:szCs w:val="24"/>
        </w:rPr>
      </w:pPr>
    </w:p>
    <w:p w14:paraId="46772CB0" w14:textId="77777777" w:rsidR="00F61E6E" w:rsidRPr="00B24633" w:rsidRDefault="00F61E6E" w:rsidP="00B24633">
      <w:pPr>
        <w:ind w:left="851"/>
        <w:rPr>
          <w:sz w:val="24"/>
          <w:szCs w:val="24"/>
        </w:rPr>
      </w:pPr>
      <w:r w:rsidRPr="00B24633">
        <w:rPr>
          <w:sz w:val="24"/>
          <w:szCs w:val="24"/>
        </w:rPr>
        <w:t xml:space="preserve">Der blev ikke observeret en klinisk relevant forlængelse af blødningstiden efter samtidig indtagelse af rivaroxaban (15 mg) og 500 mg naproxen. Hos nogle patienter kan der dog opstå en mere udtalt farmakodynamisk respons. </w:t>
      </w:r>
    </w:p>
    <w:p w14:paraId="64FA2F08" w14:textId="77777777" w:rsidR="00F61E6E" w:rsidRPr="00B24633" w:rsidRDefault="00F61E6E" w:rsidP="00B24633">
      <w:pPr>
        <w:ind w:left="851"/>
        <w:rPr>
          <w:sz w:val="24"/>
          <w:szCs w:val="24"/>
        </w:rPr>
      </w:pPr>
      <w:r w:rsidRPr="00B24633">
        <w:rPr>
          <w:sz w:val="24"/>
          <w:szCs w:val="24"/>
        </w:rPr>
        <w:t xml:space="preserve">Der blev ikke observeret nogen klinisk signifikante farmakokinetiske eller farmakodynamiske interaktioner ved samtidig indtagelse af rivaroxaban og 500 mg acetylsalicylsyre. </w:t>
      </w:r>
    </w:p>
    <w:p w14:paraId="6CEB309A" w14:textId="77777777" w:rsidR="00F61E6E" w:rsidRPr="00B24633" w:rsidRDefault="00F61E6E" w:rsidP="00B24633">
      <w:pPr>
        <w:ind w:left="851"/>
        <w:rPr>
          <w:sz w:val="24"/>
          <w:szCs w:val="24"/>
        </w:rPr>
      </w:pPr>
      <w:r w:rsidRPr="00B24633">
        <w:rPr>
          <w:sz w:val="24"/>
          <w:szCs w:val="24"/>
        </w:rPr>
        <w:t xml:space="preserve">Der sås ingen farmakokinetisk interaktion mellem rivaroxaban (15 mg) og clopidogrel (initialdosis på 300 mg efterfulgt af en vedligeholdelsesdosis på 75 mg), men hos en undergruppe af patienter blev der observeret en relevant forlængelse af blødningstiden, der ikke var korreleret med trombocytaggregation, P-selektin eller GPIIb-/IIIa-receptorniveauerne. </w:t>
      </w:r>
    </w:p>
    <w:p w14:paraId="15B476F7" w14:textId="77777777" w:rsidR="00F61E6E" w:rsidRPr="00B24633" w:rsidRDefault="00F61E6E" w:rsidP="00B24633">
      <w:pPr>
        <w:ind w:left="851"/>
        <w:rPr>
          <w:sz w:val="24"/>
          <w:szCs w:val="24"/>
        </w:rPr>
      </w:pPr>
      <w:r w:rsidRPr="00B24633">
        <w:rPr>
          <w:sz w:val="24"/>
          <w:szCs w:val="24"/>
        </w:rPr>
        <w:t xml:space="preserve">Der skal udvises forsigtighed hos patienter, der får samtidig behandling med NSAID'er (herunder acetylsalicylsyre) og trombocytaggregationshæmmere, da disse lægemidler typisk øger blødningsrisikoen (se pkt. 4.4). </w:t>
      </w:r>
    </w:p>
    <w:p w14:paraId="47448E50" w14:textId="77777777" w:rsidR="00F61E6E" w:rsidRPr="00B24633" w:rsidRDefault="00F61E6E" w:rsidP="00B24633">
      <w:pPr>
        <w:ind w:left="851"/>
        <w:rPr>
          <w:sz w:val="24"/>
          <w:szCs w:val="24"/>
        </w:rPr>
      </w:pPr>
    </w:p>
    <w:p w14:paraId="2C146FD3" w14:textId="77777777" w:rsidR="00F61E6E" w:rsidRPr="00B24633" w:rsidRDefault="00F61E6E" w:rsidP="00B24633">
      <w:pPr>
        <w:ind w:left="851"/>
        <w:rPr>
          <w:sz w:val="24"/>
          <w:szCs w:val="24"/>
          <w:u w:val="single"/>
        </w:rPr>
      </w:pPr>
      <w:r w:rsidRPr="00B24633">
        <w:rPr>
          <w:sz w:val="24"/>
          <w:szCs w:val="24"/>
          <w:u w:val="single"/>
        </w:rPr>
        <w:t xml:space="preserve">SSRI-/SNRI-præparater </w:t>
      </w:r>
    </w:p>
    <w:p w14:paraId="2712C68C" w14:textId="77777777" w:rsidR="00F61E6E" w:rsidRPr="00B24633" w:rsidRDefault="00F61E6E" w:rsidP="00B24633">
      <w:pPr>
        <w:ind w:left="851"/>
        <w:rPr>
          <w:sz w:val="24"/>
          <w:szCs w:val="24"/>
        </w:rPr>
      </w:pPr>
    </w:p>
    <w:p w14:paraId="1657BAFC" w14:textId="77777777" w:rsidR="00F61E6E" w:rsidRPr="00B24633" w:rsidRDefault="00F61E6E" w:rsidP="00B24633">
      <w:pPr>
        <w:ind w:left="851"/>
        <w:rPr>
          <w:sz w:val="24"/>
          <w:szCs w:val="24"/>
        </w:rPr>
      </w:pPr>
      <w:r w:rsidRPr="00B24633">
        <w:rPr>
          <w:sz w:val="24"/>
          <w:szCs w:val="24"/>
        </w:rPr>
        <w:t xml:space="preserve">Som ved andre antikoagulantia kan der være risiko for, at patienter har øget blødningsrisiko ved samtidig brug af SSRI- og SNRI-præparater på grund af den rapporterede virkning på trombocytter for disse lægemidler. I rivaroxabans kliniske udviklingsprogram blev der observeret numerisk flere major eller non-major klinisk relevante blødninger i alle behandlingsgrupper, når disse præparater blev givet samtidigt. </w:t>
      </w:r>
    </w:p>
    <w:p w14:paraId="3EAD0C05" w14:textId="77777777" w:rsidR="00F61E6E" w:rsidRPr="00B24633" w:rsidRDefault="00F61E6E" w:rsidP="00B24633">
      <w:pPr>
        <w:ind w:left="851"/>
        <w:rPr>
          <w:sz w:val="24"/>
          <w:szCs w:val="24"/>
        </w:rPr>
      </w:pPr>
    </w:p>
    <w:p w14:paraId="0FB2F7AF" w14:textId="77777777" w:rsidR="00F61E6E" w:rsidRPr="00B24633" w:rsidRDefault="00F61E6E" w:rsidP="00B24633">
      <w:pPr>
        <w:ind w:left="851"/>
        <w:rPr>
          <w:sz w:val="24"/>
          <w:szCs w:val="24"/>
          <w:u w:val="single"/>
        </w:rPr>
      </w:pPr>
      <w:r w:rsidRPr="00B24633">
        <w:rPr>
          <w:sz w:val="24"/>
          <w:szCs w:val="24"/>
          <w:u w:val="single"/>
        </w:rPr>
        <w:t xml:space="preserve">Warfarin </w:t>
      </w:r>
    </w:p>
    <w:p w14:paraId="5FD49C36" w14:textId="77777777" w:rsidR="00F61E6E" w:rsidRPr="00B24633" w:rsidRDefault="00F61E6E" w:rsidP="00B24633">
      <w:pPr>
        <w:ind w:left="851"/>
        <w:rPr>
          <w:sz w:val="24"/>
          <w:szCs w:val="24"/>
        </w:rPr>
      </w:pPr>
    </w:p>
    <w:p w14:paraId="7A79A0D3" w14:textId="77777777" w:rsidR="00F61E6E" w:rsidRPr="00B24633" w:rsidRDefault="00F61E6E" w:rsidP="00B24633">
      <w:pPr>
        <w:ind w:left="851"/>
        <w:rPr>
          <w:sz w:val="24"/>
          <w:szCs w:val="24"/>
        </w:rPr>
      </w:pPr>
      <w:r w:rsidRPr="00B24633">
        <w:rPr>
          <w:sz w:val="24"/>
          <w:szCs w:val="24"/>
        </w:rPr>
        <w:t xml:space="preserve">Skift af patienter fra vitamin K-antagonisten warfarin (INR 2,0 – 3,0) til rivaroxaban (20 mg) eller fra rivaroxaban (20 mg) til warfarin (INR 2,0 – 3,0) øgede protrombintiden/INR (Neoplastin) mere end additivt (der kan forekomme individuelle INR-værdier på op til 12), hvorimod virkningerne på aPTT, hæmning af faktor Xa-aktiviteten og endogent trombinpotentiale var additive. </w:t>
      </w:r>
    </w:p>
    <w:p w14:paraId="271BBD5C" w14:textId="77777777" w:rsidR="00F61E6E" w:rsidRPr="00B24633" w:rsidRDefault="00F61E6E" w:rsidP="00B24633">
      <w:pPr>
        <w:ind w:left="851"/>
        <w:rPr>
          <w:sz w:val="24"/>
          <w:szCs w:val="24"/>
        </w:rPr>
      </w:pPr>
      <w:r w:rsidRPr="00B24633">
        <w:rPr>
          <w:sz w:val="24"/>
          <w:szCs w:val="24"/>
        </w:rPr>
        <w:lastRenderedPageBreak/>
        <w:t xml:space="preserve">Såfremt den farmakodynamiske virkning af rivaroxaban ønskes undersøgt i skifteperioden, kan anti-faktor Xa-aktiviteten, PiCT og Heptest benyttes, idet disse test ikke påvirkes af warfarin. På dag 4 efter sidste dosis warfarin afspejler samtlige test (herunder PT, aPTT, hæmning af faktor Xa-aktivitet og ETP) kun effekten af rivaroxaban. </w:t>
      </w:r>
    </w:p>
    <w:p w14:paraId="6E3C2BE4" w14:textId="77777777" w:rsidR="00F61E6E" w:rsidRPr="00B24633" w:rsidRDefault="00F61E6E" w:rsidP="00B24633">
      <w:pPr>
        <w:ind w:left="851"/>
        <w:rPr>
          <w:sz w:val="24"/>
          <w:szCs w:val="24"/>
        </w:rPr>
      </w:pPr>
      <w:r w:rsidRPr="00B24633">
        <w:rPr>
          <w:sz w:val="24"/>
          <w:szCs w:val="24"/>
        </w:rPr>
        <w:t>Såfremt den farmakodynamiske virkning af warfarin ønskes undersøgt i skifteperioden, kan INR-måling benyttes ved rivaroxabans C</w:t>
      </w:r>
      <w:r w:rsidRPr="00B24633">
        <w:rPr>
          <w:sz w:val="24"/>
          <w:szCs w:val="24"/>
          <w:vertAlign w:val="subscript"/>
        </w:rPr>
        <w:t>dal</w:t>
      </w:r>
      <w:r w:rsidRPr="00B24633">
        <w:rPr>
          <w:sz w:val="24"/>
          <w:szCs w:val="24"/>
        </w:rPr>
        <w:t xml:space="preserve"> (24 timer efter seneste indtagelse af rivaroxaban), idet denne test på dette tidspunkt påvirkes minimalt af rivaroxaban. </w:t>
      </w:r>
    </w:p>
    <w:p w14:paraId="156CAFE2" w14:textId="77777777" w:rsidR="00F61E6E" w:rsidRPr="00B24633" w:rsidRDefault="00F61E6E" w:rsidP="00B24633">
      <w:pPr>
        <w:ind w:left="851"/>
        <w:rPr>
          <w:sz w:val="24"/>
          <w:szCs w:val="24"/>
        </w:rPr>
      </w:pPr>
      <w:r w:rsidRPr="00B24633">
        <w:rPr>
          <w:sz w:val="24"/>
          <w:szCs w:val="24"/>
        </w:rPr>
        <w:t xml:space="preserve">Der er ikke iagttaget nogen farmakokinetisk interaktion mellem warfarin og rivaroxaban. </w:t>
      </w:r>
    </w:p>
    <w:p w14:paraId="05A433DE" w14:textId="77777777" w:rsidR="00F61E6E" w:rsidRPr="00B24633" w:rsidRDefault="00F61E6E" w:rsidP="00B24633">
      <w:pPr>
        <w:ind w:left="851"/>
        <w:rPr>
          <w:sz w:val="24"/>
          <w:szCs w:val="24"/>
        </w:rPr>
      </w:pPr>
    </w:p>
    <w:p w14:paraId="0766790F" w14:textId="77777777" w:rsidR="00F61E6E" w:rsidRPr="00B24633" w:rsidRDefault="00F61E6E" w:rsidP="00B24633">
      <w:pPr>
        <w:ind w:left="851"/>
        <w:rPr>
          <w:sz w:val="24"/>
          <w:szCs w:val="24"/>
          <w:u w:val="single"/>
        </w:rPr>
      </w:pPr>
      <w:r w:rsidRPr="00B24633">
        <w:rPr>
          <w:sz w:val="24"/>
          <w:szCs w:val="24"/>
          <w:u w:val="single"/>
        </w:rPr>
        <w:t xml:space="preserve">CYP3A4-induktorer </w:t>
      </w:r>
    </w:p>
    <w:p w14:paraId="013EEAC7" w14:textId="29BB410B" w:rsidR="00F61E6E" w:rsidRPr="00B24633" w:rsidRDefault="00F61E6E" w:rsidP="00B24633">
      <w:pPr>
        <w:ind w:left="851"/>
        <w:rPr>
          <w:sz w:val="24"/>
          <w:szCs w:val="24"/>
        </w:rPr>
      </w:pPr>
      <w:r w:rsidRPr="00B24633">
        <w:rPr>
          <w:sz w:val="24"/>
          <w:szCs w:val="24"/>
        </w:rPr>
        <w:t>Samtidig indtagelse af rivaroxaban og den stærke CYP3A4-induktor rifampicin medførte et fald på ca. 50</w:t>
      </w:r>
      <w:r w:rsidR="00054680">
        <w:rPr>
          <w:sz w:val="24"/>
          <w:szCs w:val="24"/>
        </w:rPr>
        <w:t xml:space="preserve"> %</w:t>
      </w:r>
      <w:r w:rsidRPr="00B24633">
        <w:rPr>
          <w:sz w:val="24"/>
          <w:szCs w:val="24"/>
        </w:rPr>
        <w:t xml:space="preserve"> i det gennemsnitlige AUC for rivaroxaban og parallelle reduktioner i dets farmakodynamiske effekter. Samtidig brug af rivaroxaban og andre stærke CYP3A4-induktorer (f.eks. phenytoin, carbamazepin, phenobarbital eller prikbladet perikon (</w:t>
      </w:r>
      <w:r w:rsidRPr="00B24633">
        <w:rPr>
          <w:i/>
          <w:iCs/>
          <w:sz w:val="24"/>
          <w:szCs w:val="24"/>
        </w:rPr>
        <w:t>Hypericum perforatum</w:t>
      </w:r>
      <w:r w:rsidRPr="00B24633">
        <w:rPr>
          <w:sz w:val="24"/>
          <w:szCs w:val="24"/>
        </w:rPr>
        <w:t xml:space="preserve">)) kan også medføre et fald i plasmakoncentrationerne af rivaroxaban. Samtidig indtagelse af stærke CYP3A4-induktorer bør derfor undgås, medmindre patienten observeres nøje for tegn og symptomer på trombose. </w:t>
      </w:r>
    </w:p>
    <w:p w14:paraId="65C17BDA" w14:textId="77777777" w:rsidR="00F61E6E" w:rsidRPr="00B24633" w:rsidRDefault="00F61E6E" w:rsidP="00B24633">
      <w:pPr>
        <w:ind w:left="851"/>
        <w:rPr>
          <w:sz w:val="24"/>
          <w:szCs w:val="24"/>
        </w:rPr>
      </w:pPr>
    </w:p>
    <w:p w14:paraId="4AB956CD" w14:textId="77777777" w:rsidR="00F61E6E" w:rsidRPr="00B24633" w:rsidRDefault="00F61E6E" w:rsidP="00B24633">
      <w:pPr>
        <w:ind w:left="851"/>
        <w:rPr>
          <w:sz w:val="24"/>
          <w:szCs w:val="24"/>
          <w:u w:val="single"/>
        </w:rPr>
      </w:pPr>
      <w:r w:rsidRPr="00B24633">
        <w:rPr>
          <w:sz w:val="24"/>
          <w:szCs w:val="24"/>
          <w:u w:val="single"/>
        </w:rPr>
        <w:t xml:space="preserve">Anden samtidig behandling </w:t>
      </w:r>
    </w:p>
    <w:p w14:paraId="4343DE66" w14:textId="77777777" w:rsidR="00F61E6E" w:rsidRPr="00B24633" w:rsidRDefault="00F61E6E" w:rsidP="00B24633">
      <w:pPr>
        <w:ind w:left="851"/>
        <w:rPr>
          <w:sz w:val="24"/>
          <w:szCs w:val="24"/>
        </w:rPr>
      </w:pPr>
    </w:p>
    <w:p w14:paraId="1DB7C66C" w14:textId="77777777" w:rsidR="00F61E6E" w:rsidRPr="00B24633" w:rsidRDefault="00F61E6E" w:rsidP="00B24633">
      <w:pPr>
        <w:ind w:left="851"/>
        <w:rPr>
          <w:sz w:val="24"/>
          <w:szCs w:val="24"/>
        </w:rPr>
      </w:pPr>
      <w:r w:rsidRPr="00B24633">
        <w:rPr>
          <w:sz w:val="24"/>
          <w:szCs w:val="24"/>
        </w:rPr>
        <w:t xml:space="preserve">Der blev ikke observeret nogen klinisk signifikante farmakokinetiske eller farmakodynamiske interaktioner, når rivaroxaban blev givet samtidigt med midazolam (substrat for CYP3A4), digoxin (substrat for P-gp), atorvastatin (substrat for CYP3A4 og P-gp) eller omeprazol (protonpumpehæmmer). Rivaroxaban hverken hæmmer eller inducerer væsentlige CYP-isoformer såsom CYP3A4. </w:t>
      </w:r>
    </w:p>
    <w:p w14:paraId="2E43EF22" w14:textId="77777777" w:rsidR="00F61E6E" w:rsidRPr="00B24633" w:rsidRDefault="00F61E6E" w:rsidP="00B24633">
      <w:pPr>
        <w:ind w:left="851"/>
        <w:rPr>
          <w:sz w:val="24"/>
          <w:szCs w:val="24"/>
        </w:rPr>
      </w:pPr>
    </w:p>
    <w:p w14:paraId="7F39B347" w14:textId="77777777" w:rsidR="00F61E6E" w:rsidRPr="00B24633" w:rsidRDefault="00F61E6E" w:rsidP="00B24633">
      <w:pPr>
        <w:ind w:left="851"/>
        <w:rPr>
          <w:sz w:val="24"/>
          <w:szCs w:val="24"/>
          <w:u w:val="single"/>
        </w:rPr>
      </w:pPr>
      <w:r w:rsidRPr="00B24633">
        <w:rPr>
          <w:sz w:val="24"/>
          <w:szCs w:val="24"/>
          <w:u w:val="single"/>
        </w:rPr>
        <w:t xml:space="preserve">Laboratorieparametre </w:t>
      </w:r>
    </w:p>
    <w:p w14:paraId="639FB961" w14:textId="77777777" w:rsidR="00F61E6E" w:rsidRPr="00B24633" w:rsidRDefault="00F61E6E" w:rsidP="00B24633">
      <w:pPr>
        <w:tabs>
          <w:tab w:val="left" w:pos="851"/>
        </w:tabs>
        <w:ind w:left="851"/>
        <w:rPr>
          <w:sz w:val="24"/>
          <w:szCs w:val="24"/>
        </w:rPr>
      </w:pPr>
    </w:p>
    <w:p w14:paraId="0197B18F" w14:textId="77777777" w:rsidR="00F61E6E" w:rsidRPr="00B24633" w:rsidRDefault="00F61E6E" w:rsidP="00B24633">
      <w:pPr>
        <w:tabs>
          <w:tab w:val="left" w:pos="851"/>
        </w:tabs>
        <w:ind w:left="851"/>
        <w:rPr>
          <w:sz w:val="24"/>
          <w:szCs w:val="24"/>
        </w:rPr>
      </w:pPr>
      <w:r w:rsidRPr="00B24633">
        <w:rPr>
          <w:sz w:val="24"/>
          <w:szCs w:val="24"/>
        </w:rPr>
        <w:t>Koagulationsparametrene (f.eks. PT, aPTT, HepTest) påvirkes som forventet af rivaroxabans virkningsmekanisme (se pkt. 5.1).</w:t>
      </w:r>
    </w:p>
    <w:p w14:paraId="48510B18" w14:textId="77777777" w:rsidR="009260DE" w:rsidRPr="00B24633" w:rsidRDefault="009260DE" w:rsidP="00B24633">
      <w:pPr>
        <w:tabs>
          <w:tab w:val="left" w:pos="851"/>
        </w:tabs>
        <w:ind w:left="851"/>
        <w:rPr>
          <w:sz w:val="24"/>
          <w:szCs w:val="24"/>
        </w:rPr>
      </w:pPr>
    </w:p>
    <w:p w14:paraId="68236F62" w14:textId="77777777" w:rsidR="009260DE" w:rsidRPr="00B24633" w:rsidRDefault="009260DE" w:rsidP="00B24633">
      <w:pPr>
        <w:tabs>
          <w:tab w:val="left" w:pos="851"/>
        </w:tabs>
        <w:ind w:left="851" w:hanging="851"/>
        <w:rPr>
          <w:b/>
          <w:sz w:val="24"/>
          <w:szCs w:val="24"/>
        </w:rPr>
      </w:pPr>
      <w:r w:rsidRPr="00B24633">
        <w:rPr>
          <w:b/>
          <w:sz w:val="24"/>
          <w:szCs w:val="24"/>
        </w:rPr>
        <w:t>4.6</w:t>
      </w:r>
      <w:r w:rsidRPr="00B24633">
        <w:rPr>
          <w:b/>
          <w:sz w:val="24"/>
          <w:szCs w:val="24"/>
        </w:rPr>
        <w:tab/>
      </w:r>
      <w:r w:rsidR="0071241E" w:rsidRPr="00B24633">
        <w:rPr>
          <w:b/>
          <w:sz w:val="24"/>
          <w:szCs w:val="24"/>
        </w:rPr>
        <w:t>Fertilitet, g</w:t>
      </w:r>
      <w:r w:rsidRPr="00B24633">
        <w:rPr>
          <w:b/>
          <w:sz w:val="24"/>
          <w:szCs w:val="24"/>
        </w:rPr>
        <w:t>raviditet og amning</w:t>
      </w:r>
    </w:p>
    <w:p w14:paraId="066F5B53" w14:textId="77777777" w:rsidR="00505B18" w:rsidRPr="00B24633" w:rsidRDefault="00505B18" w:rsidP="00B24633">
      <w:pPr>
        <w:tabs>
          <w:tab w:val="left" w:pos="851"/>
        </w:tabs>
        <w:ind w:left="851"/>
        <w:rPr>
          <w:sz w:val="24"/>
          <w:szCs w:val="24"/>
          <w:u w:val="single"/>
        </w:rPr>
      </w:pPr>
    </w:p>
    <w:p w14:paraId="1FEA2AEC" w14:textId="6C40A10D" w:rsidR="00F61E6E" w:rsidRPr="00B24633" w:rsidRDefault="00F61E6E" w:rsidP="00B24633">
      <w:pPr>
        <w:tabs>
          <w:tab w:val="left" w:pos="851"/>
        </w:tabs>
        <w:ind w:left="851"/>
        <w:rPr>
          <w:sz w:val="24"/>
          <w:szCs w:val="24"/>
          <w:u w:val="single"/>
        </w:rPr>
      </w:pPr>
      <w:r w:rsidRPr="00B24633">
        <w:rPr>
          <w:sz w:val="24"/>
          <w:szCs w:val="24"/>
          <w:u w:val="single"/>
        </w:rPr>
        <w:t xml:space="preserve">Graviditet </w:t>
      </w:r>
    </w:p>
    <w:p w14:paraId="757D626B" w14:textId="77777777" w:rsidR="00F61E6E" w:rsidRPr="00B24633" w:rsidRDefault="00F61E6E" w:rsidP="00B24633">
      <w:pPr>
        <w:tabs>
          <w:tab w:val="left" w:pos="851"/>
        </w:tabs>
        <w:ind w:left="851"/>
        <w:rPr>
          <w:sz w:val="24"/>
          <w:szCs w:val="24"/>
        </w:rPr>
      </w:pPr>
    </w:p>
    <w:p w14:paraId="66359609" w14:textId="017A6BA6"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s sikkerhed og virkning hos gravide kvinder er ikke klarlagt. Dyrestudier har vist reproduktiv toksicitet (se pkt. 5.3).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er kontraindiceret under graviditet på grund af den potentielle reproduktionstoksicitet, risikoen for blødning og evidens for, at rivaroxaban passerer placenta (se pkt. 4.3). </w:t>
      </w:r>
    </w:p>
    <w:p w14:paraId="30C9B827" w14:textId="77777777" w:rsidR="00F61E6E" w:rsidRPr="00B24633" w:rsidRDefault="00F61E6E" w:rsidP="00B24633">
      <w:pPr>
        <w:tabs>
          <w:tab w:val="left" w:pos="851"/>
        </w:tabs>
        <w:ind w:left="851"/>
        <w:rPr>
          <w:sz w:val="24"/>
          <w:szCs w:val="24"/>
        </w:rPr>
      </w:pPr>
      <w:r w:rsidRPr="00B24633">
        <w:rPr>
          <w:sz w:val="24"/>
          <w:szCs w:val="24"/>
        </w:rPr>
        <w:t xml:space="preserve">Fertile kvinder bør undgå at blive gravide under behandling med rivaroxaban. </w:t>
      </w:r>
    </w:p>
    <w:p w14:paraId="45AA84B0" w14:textId="77777777" w:rsidR="00F61E6E" w:rsidRPr="00B24633" w:rsidRDefault="00F61E6E" w:rsidP="00B24633">
      <w:pPr>
        <w:tabs>
          <w:tab w:val="left" w:pos="851"/>
        </w:tabs>
        <w:ind w:left="851"/>
        <w:rPr>
          <w:sz w:val="24"/>
          <w:szCs w:val="24"/>
        </w:rPr>
      </w:pPr>
    </w:p>
    <w:p w14:paraId="39B12995"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Amning </w:t>
      </w:r>
    </w:p>
    <w:p w14:paraId="5C950435" w14:textId="77777777" w:rsidR="00F61E6E" w:rsidRPr="00B24633" w:rsidRDefault="00F61E6E" w:rsidP="00B24633">
      <w:pPr>
        <w:tabs>
          <w:tab w:val="left" w:pos="851"/>
        </w:tabs>
        <w:ind w:left="851"/>
        <w:rPr>
          <w:sz w:val="24"/>
          <w:szCs w:val="24"/>
        </w:rPr>
      </w:pPr>
    </w:p>
    <w:p w14:paraId="5BCF3F3E" w14:textId="19752F22"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s sikkerhed og virkning hos ammende kvinder er ikke klarlagt. Data fra dyrestudier indikerer, at rivaroxaban udskilles i mælk.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er derfor kontraindiceret under amning (se pkt. 4.3). Det må besluttes enten at afbryde amningen eller at afbryde/undgå behandlingen. </w:t>
      </w:r>
    </w:p>
    <w:p w14:paraId="38BA0D22" w14:textId="3C1BFC17" w:rsidR="00F21719" w:rsidRDefault="00F21719">
      <w:pPr>
        <w:rPr>
          <w:sz w:val="24"/>
          <w:szCs w:val="24"/>
        </w:rPr>
      </w:pPr>
      <w:r>
        <w:rPr>
          <w:sz w:val="24"/>
          <w:szCs w:val="24"/>
        </w:rPr>
        <w:br w:type="page"/>
      </w:r>
    </w:p>
    <w:p w14:paraId="18A2D773" w14:textId="77777777" w:rsidR="00F61E6E" w:rsidRPr="00B24633" w:rsidRDefault="00F61E6E" w:rsidP="00B24633">
      <w:pPr>
        <w:tabs>
          <w:tab w:val="left" w:pos="851"/>
        </w:tabs>
        <w:ind w:left="851"/>
        <w:rPr>
          <w:sz w:val="24"/>
          <w:szCs w:val="24"/>
        </w:rPr>
      </w:pPr>
    </w:p>
    <w:p w14:paraId="5496A27F"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Fertilitet </w:t>
      </w:r>
    </w:p>
    <w:p w14:paraId="31E4D77A" w14:textId="77777777" w:rsidR="00F61E6E" w:rsidRPr="00B24633" w:rsidRDefault="00F61E6E" w:rsidP="00B24633">
      <w:pPr>
        <w:tabs>
          <w:tab w:val="left" w:pos="851"/>
        </w:tabs>
        <w:ind w:left="851"/>
        <w:rPr>
          <w:sz w:val="24"/>
          <w:szCs w:val="24"/>
        </w:rPr>
      </w:pPr>
    </w:p>
    <w:p w14:paraId="332B2808" w14:textId="77777777" w:rsidR="00F61E6E" w:rsidRPr="00B24633" w:rsidRDefault="00F61E6E" w:rsidP="00B24633">
      <w:pPr>
        <w:tabs>
          <w:tab w:val="left" w:pos="851"/>
        </w:tabs>
        <w:ind w:left="851"/>
        <w:rPr>
          <w:sz w:val="24"/>
          <w:szCs w:val="24"/>
        </w:rPr>
      </w:pPr>
      <w:r w:rsidRPr="00B24633">
        <w:rPr>
          <w:sz w:val="24"/>
          <w:szCs w:val="24"/>
        </w:rPr>
        <w:t>Der er ikke foretaget specifikke studier hos mennesker for at evaluere virkningen på fertiliteten. I et fertilitetsstudie hos han- og hunrotter sås ingen virkninger (se pkt. 5.3).</w:t>
      </w:r>
    </w:p>
    <w:p w14:paraId="4B364A52" w14:textId="77777777" w:rsidR="009260DE" w:rsidRPr="00B24633" w:rsidRDefault="009260DE" w:rsidP="00B24633">
      <w:pPr>
        <w:tabs>
          <w:tab w:val="left" w:pos="851"/>
        </w:tabs>
        <w:ind w:left="851"/>
        <w:rPr>
          <w:sz w:val="24"/>
          <w:szCs w:val="24"/>
        </w:rPr>
      </w:pPr>
    </w:p>
    <w:p w14:paraId="7CCE1582" w14:textId="77777777" w:rsidR="009260DE" w:rsidRPr="00B24633" w:rsidRDefault="009260DE" w:rsidP="00B24633">
      <w:pPr>
        <w:tabs>
          <w:tab w:val="left" w:pos="851"/>
        </w:tabs>
        <w:ind w:left="851" w:hanging="851"/>
        <w:rPr>
          <w:b/>
          <w:sz w:val="24"/>
          <w:szCs w:val="24"/>
        </w:rPr>
      </w:pPr>
      <w:r w:rsidRPr="00B24633">
        <w:rPr>
          <w:b/>
          <w:sz w:val="24"/>
          <w:szCs w:val="24"/>
        </w:rPr>
        <w:t>4.7</w:t>
      </w:r>
      <w:r w:rsidRPr="00B24633">
        <w:rPr>
          <w:b/>
          <w:sz w:val="24"/>
          <w:szCs w:val="24"/>
        </w:rPr>
        <w:tab/>
        <w:t xml:space="preserve">Virkning på evnen til at føre motorkøretøj </w:t>
      </w:r>
      <w:r w:rsidR="0071241E" w:rsidRPr="00B24633">
        <w:rPr>
          <w:b/>
          <w:sz w:val="24"/>
          <w:szCs w:val="24"/>
        </w:rPr>
        <w:t>og</w:t>
      </w:r>
      <w:r w:rsidRPr="00B24633">
        <w:rPr>
          <w:b/>
          <w:sz w:val="24"/>
          <w:szCs w:val="24"/>
        </w:rPr>
        <w:t xml:space="preserve"> betjene maskiner</w:t>
      </w:r>
    </w:p>
    <w:p w14:paraId="2A2EA5B2" w14:textId="77777777" w:rsidR="00F61E6E" w:rsidRPr="00B24633" w:rsidRDefault="00F61E6E" w:rsidP="00B24633">
      <w:pPr>
        <w:tabs>
          <w:tab w:val="left" w:pos="851"/>
        </w:tabs>
        <w:ind w:left="851"/>
        <w:rPr>
          <w:sz w:val="24"/>
          <w:szCs w:val="24"/>
        </w:rPr>
      </w:pPr>
      <w:r w:rsidRPr="00B24633">
        <w:rPr>
          <w:sz w:val="24"/>
          <w:szCs w:val="24"/>
        </w:rPr>
        <w:t>Ikke mærkning.</w:t>
      </w:r>
    </w:p>
    <w:p w14:paraId="5A975C74" w14:textId="3049EF59" w:rsidR="00F61E6E" w:rsidRPr="00B24633" w:rsidRDefault="00F61E6E" w:rsidP="00B24633">
      <w:pPr>
        <w:tabs>
          <w:tab w:val="left" w:pos="851"/>
        </w:tabs>
        <w:ind w:left="851"/>
        <w:rPr>
          <w:sz w:val="24"/>
          <w:szCs w:val="24"/>
        </w:rPr>
      </w:pPr>
      <w:r w:rsidRPr="00B24633">
        <w:rPr>
          <w:sz w:val="24"/>
          <w:szCs w:val="24"/>
        </w:rPr>
        <w:t xml:space="preserve">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påvirker i mindre grad evnen til at føre motorkøretøj eller betjene maskiner. Der er set bivirkninger som besvimelse (hyppighed: ikke almindelig) og svimmelhed (hyppighed: almindelig) (se pkt. 4.8). Patienter, der oplever disse bivirkninger, bør ikke føre motorkøretøj eller betjene maskiner.</w:t>
      </w:r>
    </w:p>
    <w:p w14:paraId="182D8642" w14:textId="77777777" w:rsidR="009260DE" w:rsidRPr="00B24633" w:rsidRDefault="009260DE" w:rsidP="00B24633">
      <w:pPr>
        <w:tabs>
          <w:tab w:val="left" w:pos="851"/>
        </w:tabs>
        <w:ind w:left="851"/>
        <w:rPr>
          <w:sz w:val="24"/>
          <w:szCs w:val="24"/>
        </w:rPr>
      </w:pPr>
    </w:p>
    <w:p w14:paraId="25844A79" w14:textId="77777777" w:rsidR="009260DE" w:rsidRPr="00B24633" w:rsidRDefault="009260DE" w:rsidP="00B24633">
      <w:pPr>
        <w:tabs>
          <w:tab w:val="left" w:pos="851"/>
        </w:tabs>
        <w:ind w:left="851" w:hanging="851"/>
        <w:rPr>
          <w:b/>
          <w:sz w:val="24"/>
          <w:szCs w:val="24"/>
        </w:rPr>
      </w:pPr>
      <w:r w:rsidRPr="00B24633">
        <w:rPr>
          <w:b/>
          <w:sz w:val="24"/>
          <w:szCs w:val="24"/>
        </w:rPr>
        <w:t>4.8</w:t>
      </w:r>
      <w:r w:rsidRPr="00B24633">
        <w:rPr>
          <w:b/>
          <w:sz w:val="24"/>
          <w:szCs w:val="24"/>
        </w:rPr>
        <w:tab/>
        <w:t>Bivirkninger</w:t>
      </w:r>
    </w:p>
    <w:p w14:paraId="5624A706" w14:textId="77777777" w:rsidR="00505B18" w:rsidRPr="00B24633" w:rsidRDefault="00505B18" w:rsidP="00B24633">
      <w:pPr>
        <w:tabs>
          <w:tab w:val="left" w:pos="851"/>
        </w:tabs>
        <w:ind w:left="851"/>
        <w:rPr>
          <w:sz w:val="24"/>
          <w:szCs w:val="24"/>
          <w:u w:val="single"/>
        </w:rPr>
      </w:pPr>
    </w:p>
    <w:p w14:paraId="652E08DD" w14:textId="790F2C55" w:rsidR="00F61E6E" w:rsidRPr="00B24633" w:rsidRDefault="00F61E6E" w:rsidP="00B24633">
      <w:pPr>
        <w:tabs>
          <w:tab w:val="left" w:pos="851"/>
        </w:tabs>
        <w:ind w:left="851"/>
        <w:rPr>
          <w:sz w:val="24"/>
          <w:szCs w:val="24"/>
          <w:u w:val="single"/>
        </w:rPr>
      </w:pPr>
      <w:r w:rsidRPr="00B24633">
        <w:rPr>
          <w:sz w:val="24"/>
          <w:szCs w:val="24"/>
          <w:u w:val="single"/>
        </w:rPr>
        <w:t xml:space="preserve">Sammendrag af sikkerhedsprofilen </w:t>
      </w:r>
    </w:p>
    <w:p w14:paraId="3216E140" w14:textId="77777777" w:rsidR="00F61E6E" w:rsidRPr="00B24633" w:rsidRDefault="00F61E6E" w:rsidP="00B24633">
      <w:pPr>
        <w:tabs>
          <w:tab w:val="left" w:pos="851"/>
        </w:tabs>
        <w:ind w:left="851"/>
        <w:rPr>
          <w:sz w:val="24"/>
          <w:szCs w:val="24"/>
        </w:rPr>
      </w:pPr>
      <w:r w:rsidRPr="00B24633">
        <w:rPr>
          <w:sz w:val="24"/>
          <w:szCs w:val="24"/>
        </w:rPr>
        <w:t xml:space="preserve">Sikkerheden af rivaroxaban er blevet undersøgt i 13 pivotale fase III-studier (se tabel 1). </w:t>
      </w:r>
    </w:p>
    <w:p w14:paraId="32CC1B5C" w14:textId="77777777" w:rsidR="00F61E6E" w:rsidRPr="00B24633" w:rsidRDefault="00F61E6E" w:rsidP="00B24633">
      <w:pPr>
        <w:tabs>
          <w:tab w:val="left" w:pos="851"/>
        </w:tabs>
        <w:ind w:left="851"/>
        <w:rPr>
          <w:sz w:val="24"/>
          <w:szCs w:val="24"/>
        </w:rPr>
      </w:pPr>
      <w:r w:rsidRPr="00B24633">
        <w:rPr>
          <w:sz w:val="24"/>
          <w:szCs w:val="24"/>
        </w:rPr>
        <w:t>Samlet blev 69.608 voksne patienter i 19 fase III-studier, og 488 pædiatriske patienter i to fase II-studier og to fase III-studier eksponeret for rivaroxaban.</w:t>
      </w:r>
    </w:p>
    <w:p w14:paraId="5B425A5C" w14:textId="77777777" w:rsidR="00F61E6E" w:rsidRPr="00B24633" w:rsidRDefault="00F61E6E" w:rsidP="00B24633">
      <w:pPr>
        <w:tabs>
          <w:tab w:val="left" w:pos="851"/>
        </w:tabs>
        <w:ind w:left="851"/>
        <w:rPr>
          <w:sz w:val="24"/>
          <w:szCs w:val="24"/>
        </w:rPr>
      </w:pPr>
    </w:p>
    <w:p w14:paraId="1B914F45" w14:textId="0F27BFAC" w:rsidR="00F61E6E" w:rsidRPr="00B24633" w:rsidRDefault="00F61E6E" w:rsidP="00B24633">
      <w:pPr>
        <w:ind w:left="851"/>
        <w:rPr>
          <w:b/>
          <w:sz w:val="24"/>
          <w:szCs w:val="24"/>
        </w:rPr>
      </w:pPr>
      <w:r w:rsidRPr="00B24633">
        <w:rPr>
          <w:b/>
          <w:sz w:val="24"/>
          <w:szCs w:val="24"/>
        </w:rPr>
        <w:t>Tabel 1: Antal undersøgte patienter, total daglig dosis og maksimal behandlingsvarighed i fase III-studier hos voksne og pædiatriske patienter</w:t>
      </w:r>
    </w:p>
    <w:p w14:paraId="02F0D9D1" w14:textId="77777777" w:rsidR="00505B18" w:rsidRPr="00B24633" w:rsidRDefault="00505B18" w:rsidP="00B24633">
      <w:pPr>
        <w:ind w:left="851"/>
        <w:rPr>
          <w:b/>
          <w:sz w:val="24"/>
          <w:szCs w:val="24"/>
        </w:rPr>
      </w:pPr>
    </w:p>
    <w:tbl>
      <w:tblPr>
        <w:tblW w:w="8789"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1"/>
        <w:gridCol w:w="1845"/>
        <w:gridCol w:w="2411"/>
        <w:gridCol w:w="1842"/>
      </w:tblGrid>
      <w:tr w:rsidR="00F61E6E" w:rsidRPr="00F21719" w14:paraId="741A2F84" w14:textId="77777777" w:rsidTr="00505B18">
        <w:tc>
          <w:tcPr>
            <w:tcW w:w="2691" w:type="dxa"/>
            <w:shd w:val="clear" w:color="auto" w:fill="auto"/>
            <w:vAlign w:val="center"/>
          </w:tcPr>
          <w:p w14:paraId="309AC75C" w14:textId="77777777" w:rsidR="00F61E6E" w:rsidRPr="00F21719" w:rsidRDefault="00F61E6E" w:rsidP="00B24633">
            <w:pPr>
              <w:keepNext/>
              <w:tabs>
                <w:tab w:val="left" w:pos="33"/>
              </w:tabs>
              <w:ind w:left="33"/>
              <w:rPr>
                <w:b/>
                <w:bCs/>
                <w:sz w:val="22"/>
                <w:szCs w:val="22"/>
              </w:rPr>
            </w:pPr>
            <w:r w:rsidRPr="00F21719">
              <w:rPr>
                <w:b/>
                <w:bCs/>
                <w:sz w:val="22"/>
                <w:szCs w:val="22"/>
              </w:rPr>
              <w:t>Indikation</w:t>
            </w:r>
          </w:p>
        </w:tc>
        <w:tc>
          <w:tcPr>
            <w:tcW w:w="1845" w:type="dxa"/>
            <w:shd w:val="clear" w:color="auto" w:fill="auto"/>
            <w:vAlign w:val="center"/>
          </w:tcPr>
          <w:p w14:paraId="3CDEDE3A" w14:textId="77777777" w:rsidR="00F61E6E" w:rsidRPr="00F21719" w:rsidRDefault="00F61E6E" w:rsidP="00B24633">
            <w:pPr>
              <w:keepNext/>
              <w:tabs>
                <w:tab w:val="left" w:pos="122"/>
              </w:tabs>
              <w:rPr>
                <w:b/>
                <w:bCs/>
                <w:sz w:val="22"/>
                <w:szCs w:val="22"/>
              </w:rPr>
            </w:pPr>
            <w:r w:rsidRPr="00F21719">
              <w:rPr>
                <w:b/>
                <w:bCs/>
                <w:sz w:val="22"/>
                <w:szCs w:val="22"/>
              </w:rPr>
              <w:t>Antal patienter*</w:t>
            </w:r>
          </w:p>
        </w:tc>
        <w:tc>
          <w:tcPr>
            <w:tcW w:w="2411" w:type="dxa"/>
            <w:shd w:val="clear" w:color="auto" w:fill="auto"/>
            <w:vAlign w:val="center"/>
          </w:tcPr>
          <w:p w14:paraId="4D002DB0" w14:textId="77777777" w:rsidR="00F61E6E" w:rsidRPr="00F21719" w:rsidRDefault="00F61E6E" w:rsidP="00B24633">
            <w:pPr>
              <w:keepNext/>
              <w:tabs>
                <w:tab w:val="left" w:pos="0"/>
              </w:tabs>
              <w:rPr>
                <w:b/>
                <w:bCs/>
                <w:sz w:val="22"/>
                <w:szCs w:val="22"/>
              </w:rPr>
            </w:pPr>
            <w:r w:rsidRPr="00F21719">
              <w:rPr>
                <w:b/>
                <w:bCs/>
                <w:sz w:val="22"/>
                <w:szCs w:val="22"/>
              </w:rPr>
              <w:t>Total daglig dosis</w:t>
            </w:r>
          </w:p>
        </w:tc>
        <w:tc>
          <w:tcPr>
            <w:tcW w:w="1842" w:type="dxa"/>
            <w:shd w:val="clear" w:color="auto" w:fill="auto"/>
            <w:vAlign w:val="center"/>
          </w:tcPr>
          <w:p w14:paraId="1AE591E1" w14:textId="77777777" w:rsidR="00F61E6E" w:rsidRPr="00F21719" w:rsidRDefault="00F61E6E" w:rsidP="00B24633">
            <w:pPr>
              <w:keepNext/>
              <w:tabs>
                <w:tab w:val="left" w:pos="0"/>
              </w:tabs>
              <w:rPr>
                <w:b/>
                <w:bCs/>
                <w:sz w:val="22"/>
                <w:szCs w:val="22"/>
              </w:rPr>
            </w:pPr>
            <w:r w:rsidRPr="00F21719">
              <w:rPr>
                <w:b/>
                <w:bCs/>
                <w:sz w:val="22"/>
                <w:szCs w:val="22"/>
              </w:rPr>
              <w:t>Maksimal varighed af behandlingen</w:t>
            </w:r>
          </w:p>
        </w:tc>
      </w:tr>
      <w:tr w:rsidR="00F61E6E" w:rsidRPr="00F21719" w14:paraId="67365C07" w14:textId="77777777" w:rsidTr="00505B18">
        <w:tc>
          <w:tcPr>
            <w:tcW w:w="2691" w:type="dxa"/>
            <w:shd w:val="clear" w:color="auto" w:fill="auto"/>
            <w:vAlign w:val="center"/>
          </w:tcPr>
          <w:p w14:paraId="2B9DBF6F" w14:textId="77777777" w:rsidR="00F61E6E" w:rsidRPr="00F21719" w:rsidRDefault="00F61E6E" w:rsidP="00B24633">
            <w:pPr>
              <w:tabs>
                <w:tab w:val="left" w:pos="33"/>
              </w:tabs>
              <w:ind w:left="33"/>
              <w:rPr>
                <w:sz w:val="22"/>
                <w:szCs w:val="22"/>
              </w:rPr>
            </w:pPr>
            <w:r w:rsidRPr="00F21719">
              <w:rPr>
                <w:sz w:val="22"/>
                <w:szCs w:val="22"/>
              </w:rPr>
              <w:t xml:space="preserve">Forebyggelse af venøs tromboemboli (VTE) hos voksne patienter, der gennemgår planlagt hofteleds- eller knæledsalloplastik </w:t>
            </w:r>
          </w:p>
        </w:tc>
        <w:tc>
          <w:tcPr>
            <w:tcW w:w="1845" w:type="dxa"/>
            <w:shd w:val="clear" w:color="auto" w:fill="auto"/>
            <w:vAlign w:val="center"/>
          </w:tcPr>
          <w:p w14:paraId="5DC5CF21" w14:textId="77777777" w:rsidR="00F61E6E" w:rsidRPr="00F21719" w:rsidRDefault="00F61E6E" w:rsidP="00B24633">
            <w:pPr>
              <w:tabs>
                <w:tab w:val="left" w:pos="33"/>
              </w:tabs>
              <w:ind w:left="33"/>
              <w:rPr>
                <w:sz w:val="22"/>
                <w:szCs w:val="22"/>
              </w:rPr>
            </w:pPr>
            <w:r w:rsidRPr="00F21719">
              <w:rPr>
                <w:sz w:val="22"/>
                <w:szCs w:val="22"/>
              </w:rPr>
              <w:t>6.097</w:t>
            </w:r>
          </w:p>
        </w:tc>
        <w:tc>
          <w:tcPr>
            <w:tcW w:w="2411" w:type="dxa"/>
            <w:shd w:val="clear" w:color="auto" w:fill="auto"/>
            <w:vAlign w:val="center"/>
          </w:tcPr>
          <w:p w14:paraId="08A7FB9C" w14:textId="77777777" w:rsidR="00F61E6E" w:rsidRPr="00F21719" w:rsidRDefault="00F61E6E" w:rsidP="00B24633">
            <w:pPr>
              <w:tabs>
                <w:tab w:val="left" w:pos="33"/>
              </w:tabs>
              <w:ind w:left="33"/>
              <w:rPr>
                <w:sz w:val="22"/>
                <w:szCs w:val="22"/>
              </w:rPr>
            </w:pPr>
            <w:r w:rsidRPr="00F21719">
              <w:rPr>
                <w:sz w:val="22"/>
                <w:szCs w:val="22"/>
              </w:rPr>
              <w:t>10 mg</w:t>
            </w:r>
          </w:p>
        </w:tc>
        <w:tc>
          <w:tcPr>
            <w:tcW w:w="1842" w:type="dxa"/>
            <w:shd w:val="clear" w:color="auto" w:fill="auto"/>
            <w:vAlign w:val="center"/>
          </w:tcPr>
          <w:p w14:paraId="2F6C4240" w14:textId="77777777" w:rsidR="00F61E6E" w:rsidRPr="00F21719" w:rsidRDefault="00F61E6E" w:rsidP="00B24633">
            <w:pPr>
              <w:tabs>
                <w:tab w:val="left" w:pos="33"/>
              </w:tabs>
              <w:ind w:left="33"/>
              <w:rPr>
                <w:sz w:val="22"/>
                <w:szCs w:val="22"/>
              </w:rPr>
            </w:pPr>
            <w:r w:rsidRPr="00F21719">
              <w:rPr>
                <w:sz w:val="22"/>
                <w:szCs w:val="22"/>
              </w:rPr>
              <w:t>39 dage</w:t>
            </w:r>
          </w:p>
        </w:tc>
      </w:tr>
      <w:tr w:rsidR="00F61E6E" w:rsidRPr="00F21719" w14:paraId="29B9751B" w14:textId="77777777" w:rsidTr="00505B18">
        <w:tc>
          <w:tcPr>
            <w:tcW w:w="2691" w:type="dxa"/>
            <w:shd w:val="clear" w:color="auto" w:fill="auto"/>
            <w:vAlign w:val="center"/>
          </w:tcPr>
          <w:p w14:paraId="2B755D06" w14:textId="77777777" w:rsidR="00F61E6E" w:rsidRPr="00F21719" w:rsidRDefault="00F61E6E" w:rsidP="00B24633">
            <w:pPr>
              <w:tabs>
                <w:tab w:val="left" w:pos="33"/>
              </w:tabs>
              <w:ind w:left="33"/>
              <w:rPr>
                <w:sz w:val="22"/>
                <w:szCs w:val="22"/>
              </w:rPr>
            </w:pPr>
            <w:r w:rsidRPr="00F21719">
              <w:rPr>
                <w:sz w:val="22"/>
                <w:szCs w:val="22"/>
              </w:rPr>
              <w:t>Forebyggelse af VTE hos medicinsk syge patienter</w:t>
            </w:r>
          </w:p>
        </w:tc>
        <w:tc>
          <w:tcPr>
            <w:tcW w:w="1845" w:type="dxa"/>
            <w:shd w:val="clear" w:color="auto" w:fill="auto"/>
            <w:vAlign w:val="center"/>
          </w:tcPr>
          <w:p w14:paraId="507E78E9" w14:textId="77777777" w:rsidR="00F61E6E" w:rsidRPr="00F21719" w:rsidRDefault="00F61E6E" w:rsidP="00B24633">
            <w:pPr>
              <w:tabs>
                <w:tab w:val="left" w:pos="33"/>
              </w:tabs>
              <w:ind w:left="33"/>
              <w:rPr>
                <w:sz w:val="22"/>
                <w:szCs w:val="22"/>
              </w:rPr>
            </w:pPr>
            <w:r w:rsidRPr="00F21719">
              <w:rPr>
                <w:sz w:val="22"/>
                <w:szCs w:val="22"/>
              </w:rPr>
              <w:t>3.997</w:t>
            </w:r>
          </w:p>
        </w:tc>
        <w:tc>
          <w:tcPr>
            <w:tcW w:w="2411" w:type="dxa"/>
            <w:shd w:val="clear" w:color="auto" w:fill="auto"/>
            <w:vAlign w:val="center"/>
          </w:tcPr>
          <w:p w14:paraId="1EF1524C" w14:textId="77777777" w:rsidR="00F61E6E" w:rsidRPr="00F21719" w:rsidRDefault="00F61E6E" w:rsidP="00B24633">
            <w:pPr>
              <w:tabs>
                <w:tab w:val="left" w:pos="33"/>
              </w:tabs>
              <w:ind w:left="33"/>
              <w:rPr>
                <w:sz w:val="22"/>
                <w:szCs w:val="22"/>
              </w:rPr>
            </w:pPr>
            <w:r w:rsidRPr="00F21719">
              <w:rPr>
                <w:sz w:val="22"/>
                <w:szCs w:val="22"/>
              </w:rPr>
              <w:t>10 mg</w:t>
            </w:r>
          </w:p>
        </w:tc>
        <w:tc>
          <w:tcPr>
            <w:tcW w:w="1842" w:type="dxa"/>
            <w:shd w:val="clear" w:color="auto" w:fill="auto"/>
            <w:vAlign w:val="center"/>
          </w:tcPr>
          <w:p w14:paraId="2AEEE44F" w14:textId="77777777" w:rsidR="00F61E6E" w:rsidRPr="00F21719" w:rsidRDefault="00F61E6E" w:rsidP="00B24633">
            <w:pPr>
              <w:tabs>
                <w:tab w:val="left" w:pos="33"/>
              </w:tabs>
              <w:ind w:left="33"/>
              <w:rPr>
                <w:sz w:val="22"/>
                <w:szCs w:val="22"/>
              </w:rPr>
            </w:pPr>
            <w:r w:rsidRPr="00F21719">
              <w:rPr>
                <w:sz w:val="22"/>
                <w:szCs w:val="22"/>
              </w:rPr>
              <w:t>39 dage</w:t>
            </w:r>
          </w:p>
        </w:tc>
      </w:tr>
      <w:tr w:rsidR="00F61E6E" w:rsidRPr="00F21719" w14:paraId="7E717C90" w14:textId="77777777" w:rsidTr="00505B18">
        <w:tc>
          <w:tcPr>
            <w:tcW w:w="2691" w:type="dxa"/>
            <w:shd w:val="clear" w:color="auto" w:fill="auto"/>
            <w:vAlign w:val="center"/>
          </w:tcPr>
          <w:p w14:paraId="4ACE4E72" w14:textId="77777777" w:rsidR="00F61E6E" w:rsidRPr="00F21719" w:rsidRDefault="00F61E6E" w:rsidP="00B24633">
            <w:pPr>
              <w:tabs>
                <w:tab w:val="left" w:pos="33"/>
              </w:tabs>
              <w:ind w:left="33"/>
              <w:rPr>
                <w:sz w:val="22"/>
                <w:szCs w:val="22"/>
              </w:rPr>
            </w:pPr>
            <w:r w:rsidRPr="00F21719">
              <w:rPr>
                <w:sz w:val="22"/>
                <w:szCs w:val="22"/>
              </w:rPr>
              <w:t>Behandling af dyb venetrombose (DVT), lungeemboli (PE) og forebyggelse af recidiv</w:t>
            </w:r>
          </w:p>
        </w:tc>
        <w:tc>
          <w:tcPr>
            <w:tcW w:w="1845" w:type="dxa"/>
            <w:shd w:val="clear" w:color="auto" w:fill="auto"/>
            <w:vAlign w:val="center"/>
          </w:tcPr>
          <w:p w14:paraId="67A449BF" w14:textId="77777777" w:rsidR="00F61E6E" w:rsidRPr="00F21719" w:rsidRDefault="00F61E6E" w:rsidP="00B24633">
            <w:pPr>
              <w:tabs>
                <w:tab w:val="left" w:pos="122"/>
              </w:tabs>
              <w:rPr>
                <w:sz w:val="22"/>
                <w:szCs w:val="22"/>
              </w:rPr>
            </w:pPr>
            <w:r w:rsidRPr="00F21719">
              <w:rPr>
                <w:sz w:val="22"/>
                <w:szCs w:val="22"/>
              </w:rPr>
              <w:t>6.790</w:t>
            </w:r>
          </w:p>
        </w:tc>
        <w:tc>
          <w:tcPr>
            <w:tcW w:w="2411" w:type="dxa"/>
            <w:shd w:val="clear" w:color="auto" w:fill="auto"/>
            <w:vAlign w:val="center"/>
          </w:tcPr>
          <w:p w14:paraId="24AE1887" w14:textId="77777777" w:rsidR="00F61E6E" w:rsidRPr="00F21719" w:rsidRDefault="00F61E6E" w:rsidP="00B24633">
            <w:pPr>
              <w:pStyle w:val="Default"/>
              <w:rPr>
                <w:sz w:val="22"/>
                <w:szCs w:val="22"/>
                <w:lang w:val="da-DK"/>
              </w:rPr>
            </w:pPr>
            <w:r w:rsidRPr="00F21719">
              <w:rPr>
                <w:sz w:val="22"/>
                <w:szCs w:val="22"/>
                <w:lang w:val="da-DK"/>
              </w:rPr>
              <w:t xml:space="preserve">Dag 1 ‒ 21: 30 mg </w:t>
            </w:r>
          </w:p>
          <w:p w14:paraId="45EFBB59" w14:textId="77777777" w:rsidR="00F61E6E" w:rsidRPr="00F21719" w:rsidRDefault="00F61E6E" w:rsidP="00B24633">
            <w:pPr>
              <w:pStyle w:val="Default"/>
              <w:rPr>
                <w:sz w:val="22"/>
                <w:szCs w:val="22"/>
                <w:lang w:val="da-DK"/>
              </w:rPr>
            </w:pPr>
            <w:r w:rsidRPr="00F21719">
              <w:rPr>
                <w:sz w:val="22"/>
                <w:szCs w:val="22"/>
                <w:lang w:val="da-DK"/>
              </w:rPr>
              <w:t xml:space="preserve">Fra og med dag 22: 20 mg </w:t>
            </w:r>
          </w:p>
          <w:p w14:paraId="18F32A0A" w14:textId="77777777" w:rsidR="00F61E6E" w:rsidRPr="00F21719" w:rsidRDefault="00F61E6E" w:rsidP="00B24633">
            <w:pPr>
              <w:tabs>
                <w:tab w:val="left" w:pos="0"/>
              </w:tabs>
              <w:rPr>
                <w:sz w:val="22"/>
                <w:szCs w:val="22"/>
              </w:rPr>
            </w:pPr>
            <w:r w:rsidRPr="00F21719">
              <w:rPr>
                <w:sz w:val="22"/>
                <w:szCs w:val="22"/>
              </w:rPr>
              <w:t xml:space="preserve">Efter mindst 6 måneder: 10 mg eller 20 mg </w:t>
            </w:r>
          </w:p>
        </w:tc>
        <w:tc>
          <w:tcPr>
            <w:tcW w:w="1842" w:type="dxa"/>
            <w:shd w:val="clear" w:color="auto" w:fill="auto"/>
            <w:vAlign w:val="center"/>
          </w:tcPr>
          <w:p w14:paraId="43A079E7" w14:textId="77777777" w:rsidR="00F61E6E" w:rsidRPr="00F21719" w:rsidRDefault="00F61E6E" w:rsidP="00B24633">
            <w:pPr>
              <w:tabs>
                <w:tab w:val="left" w:pos="0"/>
              </w:tabs>
              <w:rPr>
                <w:sz w:val="22"/>
                <w:szCs w:val="22"/>
              </w:rPr>
            </w:pPr>
            <w:r w:rsidRPr="00F21719">
              <w:rPr>
                <w:sz w:val="22"/>
                <w:szCs w:val="22"/>
              </w:rPr>
              <w:t>21 måneder</w:t>
            </w:r>
          </w:p>
        </w:tc>
      </w:tr>
      <w:tr w:rsidR="00F61E6E" w:rsidRPr="00F21719" w14:paraId="15AD9212" w14:textId="77777777" w:rsidTr="00505B18">
        <w:tc>
          <w:tcPr>
            <w:tcW w:w="2691" w:type="dxa"/>
            <w:shd w:val="clear" w:color="auto" w:fill="auto"/>
            <w:vAlign w:val="center"/>
          </w:tcPr>
          <w:p w14:paraId="62C4A4DC" w14:textId="77777777" w:rsidR="00F61E6E" w:rsidRPr="00F21719" w:rsidRDefault="00F61E6E" w:rsidP="00B24633">
            <w:pPr>
              <w:tabs>
                <w:tab w:val="left" w:pos="33"/>
              </w:tabs>
              <w:ind w:left="33"/>
              <w:rPr>
                <w:sz w:val="22"/>
                <w:szCs w:val="22"/>
              </w:rPr>
            </w:pPr>
            <w:bookmarkStart w:id="2" w:name="_Hlk80352439"/>
            <w:r w:rsidRPr="00F21719">
              <w:rPr>
                <w:sz w:val="22"/>
                <w:szCs w:val="22"/>
              </w:rPr>
              <w:t xml:space="preserve">Behandling af VTE og forebyggelse af recidiverende VTE hos spædbørn født til terminen og børn i alderen under 18 år, efter standard antikoagulerende behandling blev påbegyndt </w:t>
            </w:r>
          </w:p>
        </w:tc>
        <w:tc>
          <w:tcPr>
            <w:tcW w:w="1845" w:type="dxa"/>
            <w:shd w:val="clear" w:color="auto" w:fill="auto"/>
            <w:vAlign w:val="center"/>
          </w:tcPr>
          <w:p w14:paraId="2CF57233" w14:textId="77777777" w:rsidR="00F61E6E" w:rsidRPr="00F21719" w:rsidRDefault="00F61E6E" w:rsidP="00B24633">
            <w:pPr>
              <w:tabs>
                <w:tab w:val="left" w:pos="33"/>
              </w:tabs>
              <w:ind w:left="33"/>
              <w:rPr>
                <w:sz w:val="22"/>
                <w:szCs w:val="22"/>
              </w:rPr>
            </w:pPr>
            <w:r w:rsidRPr="00F21719">
              <w:rPr>
                <w:sz w:val="22"/>
                <w:szCs w:val="22"/>
              </w:rPr>
              <w:t>329</w:t>
            </w:r>
          </w:p>
        </w:tc>
        <w:tc>
          <w:tcPr>
            <w:tcW w:w="2411" w:type="dxa"/>
            <w:shd w:val="clear" w:color="auto" w:fill="auto"/>
            <w:vAlign w:val="center"/>
          </w:tcPr>
          <w:p w14:paraId="5F2AE60B" w14:textId="77777777" w:rsidR="00F61E6E" w:rsidRPr="00F21719" w:rsidRDefault="00F61E6E" w:rsidP="00B24633">
            <w:pPr>
              <w:pStyle w:val="Default"/>
              <w:rPr>
                <w:sz w:val="22"/>
                <w:szCs w:val="22"/>
                <w:lang w:val="da-DK"/>
              </w:rPr>
            </w:pPr>
            <w:r w:rsidRPr="00F21719">
              <w:rPr>
                <w:sz w:val="22"/>
                <w:szCs w:val="22"/>
                <w:lang w:val="da-DK"/>
              </w:rPr>
              <w:t xml:space="preserve">Legemsvægtjusteret dosis til at opnå en eksponering, der svarer til eksponeringen hos voksne behandlet mod DVT med 20 mg rivaroxaban én gang dagligt </w:t>
            </w:r>
          </w:p>
        </w:tc>
        <w:tc>
          <w:tcPr>
            <w:tcW w:w="1842" w:type="dxa"/>
            <w:shd w:val="clear" w:color="auto" w:fill="auto"/>
            <w:vAlign w:val="center"/>
          </w:tcPr>
          <w:p w14:paraId="0BC813D5" w14:textId="77777777" w:rsidR="00F61E6E" w:rsidRPr="00F21719" w:rsidRDefault="00F61E6E" w:rsidP="00B24633">
            <w:pPr>
              <w:tabs>
                <w:tab w:val="left" w:pos="33"/>
              </w:tabs>
              <w:ind w:left="33"/>
              <w:rPr>
                <w:sz w:val="22"/>
                <w:szCs w:val="22"/>
              </w:rPr>
            </w:pPr>
            <w:r w:rsidRPr="00F21719">
              <w:rPr>
                <w:sz w:val="22"/>
                <w:szCs w:val="22"/>
              </w:rPr>
              <w:t>12 måneder</w:t>
            </w:r>
          </w:p>
        </w:tc>
      </w:tr>
      <w:bookmarkEnd w:id="2"/>
      <w:tr w:rsidR="00F61E6E" w:rsidRPr="00F21719" w14:paraId="0C444E81" w14:textId="77777777" w:rsidTr="00505B18">
        <w:tc>
          <w:tcPr>
            <w:tcW w:w="2691" w:type="dxa"/>
            <w:shd w:val="clear" w:color="auto" w:fill="auto"/>
            <w:vAlign w:val="center"/>
          </w:tcPr>
          <w:p w14:paraId="3EC97F27" w14:textId="77777777" w:rsidR="00F61E6E" w:rsidRPr="00F21719" w:rsidRDefault="00F61E6E" w:rsidP="00B24633">
            <w:pPr>
              <w:tabs>
                <w:tab w:val="left" w:pos="33"/>
              </w:tabs>
              <w:ind w:left="33"/>
              <w:rPr>
                <w:sz w:val="22"/>
                <w:szCs w:val="22"/>
              </w:rPr>
            </w:pPr>
            <w:r w:rsidRPr="00F21719">
              <w:rPr>
                <w:sz w:val="22"/>
                <w:szCs w:val="22"/>
              </w:rPr>
              <w:t xml:space="preserve">Forebyggelse af apopleksi og systemisk emboli hos patienter med ikke-valvulær atrieflimren </w:t>
            </w:r>
          </w:p>
        </w:tc>
        <w:tc>
          <w:tcPr>
            <w:tcW w:w="1845" w:type="dxa"/>
            <w:shd w:val="clear" w:color="auto" w:fill="auto"/>
            <w:vAlign w:val="center"/>
          </w:tcPr>
          <w:p w14:paraId="531FC100" w14:textId="77777777" w:rsidR="00F61E6E" w:rsidRPr="00F21719" w:rsidRDefault="00F61E6E" w:rsidP="00B24633">
            <w:pPr>
              <w:tabs>
                <w:tab w:val="left" w:pos="33"/>
              </w:tabs>
              <w:ind w:left="33"/>
              <w:rPr>
                <w:sz w:val="22"/>
                <w:szCs w:val="22"/>
              </w:rPr>
            </w:pPr>
            <w:r w:rsidRPr="00F21719">
              <w:rPr>
                <w:sz w:val="22"/>
                <w:szCs w:val="22"/>
              </w:rPr>
              <w:t>7.750</w:t>
            </w:r>
          </w:p>
        </w:tc>
        <w:tc>
          <w:tcPr>
            <w:tcW w:w="2411" w:type="dxa"/>
            <w:shd w:val="clear" w:color="auto" w:fill="auto"/>
            <w:vAlign w:val="center"/>
          </w:tcPr>
          <w:p w14:paraId="043C01EF" w14:textId="77777777" w:rsidR="00F61E6E" w:rsidRPr="00F21719" w:rsidRDefault="00F61E6E" w:rsidP="00B24633">
            <w:pPr>
              <w:tabs>
                <w:tab w:val="left" w:pos="33"/>
              </w:tabs>
              <w:ind w:left="33"/>
              <w:rPr>
                <w:sz w:val="22"/>
                <w:szCs w:val="22"/>
              </w:rPr>
            </w:pPr>
            <w:r w:rsidRPr="00F21719">
              <w:rPr>
                <w:sz w:val="22"/>
                <w:szCs w:val="22"/>
              </w:rPr>
              <w:t>20 mg</w:t>
            </w:r>
          </w:p>
        </w:tc>
        <w:tc>
          <w:tcPr>
            <w:tcW w:w="1842" w:type="dxa"/>
            <w:shd w:val="clear" w:color="auto" w:fill="auto"/>
            <w:vAlign w:val="center"/>
          </w:tcPr>
          <w:p w14:paraId="0D22D4A4" w14:textId="77777777" w:rsidR="00F61E6E" w:rsidRPr="00F21719" w:rsidRDefault="00F61E6E" w:rsidP="00B24633">
            <w:pPr>
              <w:tabs>
                <w:tab w:val="left" w:pos="33"/>
              </w:tabs>
              <w:ind w:left="33"/>
              <w:rPr>
                <w:sz w:val="22"/>
                <w:szCs w:val="22"/>
              </w:rPr>
            </w:pPr>
            <w:r w:rsidRPr="00F21719">
              <w:rPr>
                <w:sz w:val="22"/>
                <w:szCs w:val="22"/>
              </w:rPr>
              <w:t>41 måneder</w:t>
            </w:r>
          </w:p>
        </w:tc>
      </w:tr>
      <w:tr w:rsidR="00F61E6E" w:rsidRPr="00F21719" w14:paraId="739D7E66" w14:textId="77777777" w:rsidTr="00505B18">
        <w:tc>
          <w:tcPr>
            <w:tcW w:w="2691" w:type="dxa"/>
            <w:shd w:val="clear" w:color="auto" w:fill="auto"/>
            <w:vAlign w:val="center"/>
          </w:tcPr>
          <w:p w14:paraId="338463CF" w14:textId="77777777" w:rsidR="00F61E6E" w:rsidRPr="00F21719" w:rsidRDefault="00F61E6E" w:rsidP="00B24633">
            <w:pPr>
              <w:tabs>
                <w:tab w:val="left" w:pos="33"/>
              </w:tabs>
              <w:ind w:left="33"/>
              <w:rPr>
                <w:sz w:val="22"/>
                <w:szCs w:val="22"/>
              </w:rPr>
            </w:pPr>
            <w:r w:rsidRPr="00F21719">
              <w:rPr>
                <w:sz w:val="22"/>
                <w:szCs w:val="22"/>
              </w:rPr>
              <w:t xml:space="preserve">Forebyggelse af aterotrombotiske hændelser </w:t>
            </w:r>
            <w:r w:rsidRPr="00F21719">
              <w:rPr>
                <w:sz w:val="22"/>
                <w:szCs w:val="22"/>
              </w:rPr>
              <w:lastRenderedPageBreak/>
              <w:t xml:space="preserve">hos patienter efter akut koronarsyndrom (AKS) </w:t>
            </w:r>
          </w:p>
        </w:tc>
        <w:tc>
          <w:tcPr>
            <w:tcW w:w="1845" w:type="dxa"/>
            <w:shd w:val="clear" w:color="auto" w:fill="auto"/>
            <w:vAlign w:val="center"/>
          </w:tcPr>
          <w:p w14:paraId="78F5D7D5" w14:textId="77777777" w:rsidR="00F61E6E" w:rsidRPr="00F21719" w:rsidRDefault="00F61E6E" w:rsidP="00B24633">
            <w:pPr>
              <w:tabs>
                <w:tab w:val="left" w:pos="33"/>
              </w:tabs>
              <w:ind w:left="33"/>
              <w:rPr>
                <w:sz w:val="22"/>
                <w:szCs w:val="22"/>
              </w:rPr>
            </w:pPr>
            <w:r w:rsidRPr="00F21719">
              <w:rPr>
                <w:sz w:val="22"/>
                <w:szCs w:val="22"/>
              </w:rPr>
              <w:lastRenderedPageBreak/>
              <w:t>10.225</w:t>
            </w:r>
          </w:p>
        </w:tc>
        <w:tc>
          <w:tcPr>
            <w:tcW w:w="2411" w:type="dxa"/>
            <w:shd w:val="clear" w:color="auto" w:fill="auto"/>
            <w:vAlign w:val="center"/>
          </w:tcPr>
          <w:p w14:paraId="0A660C34" w14:textId="77777777" w:rsidR="00F61E6E" w:rsidRPr="00F21719" w:rsidRDefault="00F61E6E" w:rsidP="00B24633">
            <w:pPr>
              <w:pStyle w:val="Default"/>
              <w:rPr>
                <w:sz w:val="22"/>
                <w:szCs w:val="22"/>
                <w:lang w:val="da-DK"/>
              </w:rPr>
            </w:pPr>
            <w:r w:rsidRPr="00F21719">
              <w:rPr>
                <w:sz w:val="22"/>
                <w:szCs w:val="22"/>
                <w:lang w:val="da-DK"/>
              </w:rPr>
              <w:t xml:space="preserve">Henholdsvis 5 mg eller 10 mg ved samtidig administration med </w:t>
            </w:r>
            <w:r w:rsidRPr="00F21719">
              <w:rPr>
                <w:sz w:val="22"/>
                <w:szCs w:val="22"/>
                <w:lang w:val="da-DK"/>
              </w:rPr>
              <w:lastRenderedPageBreak/>
              <w:t xml:space="preserve">enten acetylsalicylsyre eller acetylsalicylsyre plus clopidogrel eller ticlopidin </w:t>
            </w:r>
          </w:p>
        </w:tc>
        <w:tc>
          <w:tcPr>
            <w:tcW w:w="1842" w:type="dxa"/>
            <w:shd w:val="clear" w:color="auto" w:fill="auto"/>
            <w:vAlign w:val="center"/>
          </w:tcPr>
          <w:p w14:paraId="07EEEA41" w14:textId="77777777" w:rsidR="00F61E6E" w:rsidRPr="00F21719" w:rsidRDefault="00F61E6E" w:rsidP="00B24633">
            <w:pPr>
              <w:tabs>
                <w:tab w:val="left" w:pos="33"/>
              </w:tabs>
              <w:ind w:left="33"/>
              <w:rPr>
                <w:sz w:val="22"/>
                <w:szCs w:val="22"/>
              </w:rPr>
            </w:pPr>
            <w:r w:rsidRPr="00F21719">
              <w:rPr>
                <w:sz w:val="22"/>
                <w:szCs w:val="22"/>
              </w:rPr>
              <w:lastRenderedPageBreak/>
              <w:t>31 måneder</w:t>
            </w:r>
          </w:p>
        </w:tc>
      </w:tr>
      <w:tr w:rsidR="00F61E6E" w:rsidRPr="00F21719" w14:paraId="3D2A9644" w14:textId="77777777" w:rsidTr="00505B18">
        <w:trPr>
          <w:trHeight w:val="758"/>
        </w:trPr>
        <w:tc>
          <w:tcPr>
            <w:tcW w:w="2691" w:type="dxa"/>
            <w:vMerge w:val="restart"/>
            <w:shd w:val="clear" w:color="auto" w:fill="auto"/>
            <w:vAlign w:val="center"/>
          </w:tcPr>
          <w:p w14:paraId="7C07177F" w14:textId="77777777" w:rsidR="00F61E6E" w:rsidRPr="00F21719" w:rsidRDefault="00F61E6E" w:rsidP="00B24633">
            <w:pPr>
              <w:tabs>
                <w:tab w:val="left" w:pos="33"/>
              </w:tabs>
              <w:ind w:left="33"/>
              <w:rPr>
                <w:sz w:val="22"/>
                <w:szCs w:val="22"/>
              </w:rPr>
            </w:pPr>
            <w:r w:rsidRPr="00F21719">
              <w:rPr>
                <w:sz w:val="22"/>
                <w:szCs w:val="22"/>
              </w:rPr>
              <w:t xml:space="preserve">Forebyggelse af aterotrombotiske hændelser hos patienter med koronararteriesygdom (CAD) /perifer arteriesygdom (PAD) </w:t>
            </w:r>
          </w:p>
        </w:tc>
        <w:tc>
          <w:tcPr>
            <w:tcW w:w="1845" w:type="dxa"/>
            <w:shd w:val="clear" w:color="auto" w:fill="auto"/>
            <w:vAlign w:val="center"/>
          </w:tcPr>
          <w:p w14:paraId="371D5A80" w14:textId="77777777" w:rsidR="00F61E6E" w:rsidRPr="00F21719" w:rsidRDefault="00F61E6E" w:rsidP="00B24633">
            <w:pPr>
              <w:tabs>
                <w:tab w:val="left" w:pos="33"/>
              </w:tabs>
              <w:ind w:left="33"/>
              <w:rPr>
                <w:sz w:val="22"/>
                <w:szCs w:val="22"/>
              </w:rPr>
            </w:pPr>
            <w:r w:rsidRPr="00F21719">
              <w:rPr>
                <w:sz w:val="22"/>
                <w:szCs w:val="22"/>
              </w:rPr>
              <w:t>18.244</w:t>
            </w:r>
          </w:p>
        </w:tc>
        <w:tc>
          <w:tcPr>
            <w:tcW w:w="2411" w:type="dxa"/>
            <w:shd w:val="clear" w:color="auto" w:fill="auto"/>
            <w:vAlign w:val="center"/>
          </w:tcPr>
          <w:p w14:paraId="7C25A19C" w14:textId="77777777" w:rsidR="00F61E6E" w:rsidRPr="00F21719" w:rsidRDefault="00F61E6E" w:rsidP="00B24633">
            <w:pPr>
              <w:pStyle w:val="Default"/>
              <w:rPr>
                <w:sz w:val="22"/>
                <w:szCs w:val="22"/>
                <w:lang w:val="da-DK"/>
              </w:rPr>
            </w:pPr>
            <w:r w:rsidRPr="00F21719">
              <w:rPr>
                <w:sz w:val="22"/>
                <w:szCs w:val="22"/>
                <w:lang w:val="da-DK"/>
              </w:rPr>
              <w:t xml:space="preserve">5 mg administreret sammen med ASA eller 10 mg alene </w:t>
            </w:r>
          </w:p>
        </w:tc>
        <w:tc>
          <w:tcPr>
            <w:tcW w:w="1842" w:type="dxa"/>
            <w:shd w:val="clear" w:color="auto" w:fill="auto"/>
            <w:vAlign w:val="center"/>
          </w:tcPr>
          <w:p w14:paraId="4AB5D7F4" w14:textId="77777777" w:rsidR="00F61E6E" w:rsidRPr="00F21719" w:rsidRDefault="00F61E6E" w:rsidP="00B24633">
            <w:pPr>
              <w:tabs>
                <w:tab w:val="left" w:pos="33"/>
              </w:tabs>
              <w:ind w:left="33"/>
              <w:rPr>
                <w:sz w:val="22"/>
                <w:szCs w:val="22"/>
              </w:rPr>
            </w:pPr>
            <w:r w:rsidRPr="00F21719">
              <w:rPr>
                <w:sz w:val="22"/>
                <w:szCs w:val="22"/>
              </w:rPr>
              <w:t>47 måneder</w:t>
            </w:r>
          </w:p>
        </w:tc>
      </w:tr>
      <w:tr w:rsidR="00F61E6E" w:rsidRPr="00F21719" w14:paraId="05D466FF" w14:textId="77777777" w:rsidTr="00505B18">
        <w:trPr>
          <w:trHeight w:val="757"/>
        </w:trPr>
        <w:tc>
          <w:tcPr>
            <w:tcW w:w="2691" w:type="dxa"/>
            <w:vMerge/>
            <w:shd w:val="clear" w:color="auto" w:fill="auto"/>
            <w:vAlign w:val="center"/>
          </w:tcPr>
          <w:p w14:paraId="25D37463" w14:textId="77777777" w:rsidR="00F61E6E" w:rsidRPr="00F21719" w:rsidRDefault="00F61E6E" w:rsidP="00B24633">
            <w:pPr>
              <w:tabs>
                <w:tab w:val="left" w:pos="33"/>
              </w:tabs>
              <w:ind w:left="33"/>
              <w:rPr>
                <w:sz w:val="22"/>
                <w:szCs w:val="22"/>
              </w:rPr>
            </w:pPr>
          </w:p>
        </w:tc>
        <w:tc>
          <w:tcPr>
            <w:tcW w:w="1845" w:type="dxa"/>
            <w:shd w:val="clear" w:color="auto" w:fill="auto"/>
            <w:vAlign w:val="center"/>
          </w:tcPr>
          <w:p w14:paraId="3C24D0F5" w14:textId="77777777" w:rsidR="00F61E6E" w:rsidRPr="00F21719" w:rsidRDefault="00F61E6E" w:rsidP="00B24633">
            <w:pPr>
              <w:tabs>
                <w:tab w:val="left" w:pos="33"/>
              </w:tabs>
              <w:ind w:left="33"/>
              <w:rPr>
                <w:sz w:val="22"/>
                <w:szCs w:val="22"/>
              </w:rPr>
            </w:pPr>
            <w:r w:rsidRPr="00F21719">
              <w:rPr>
                <w:sz w:val="22"/>
                <w:szCs w:val="22"/>
              </w:rPr>
              <w:t>3.256**</w:t>
            </w:r>
          </w:p>
        </w:tc>
        <w:tc>
          <w:tcPr>
            <w:tcW w:w="2411" w:type="dxa"/>
            <w:shd w:val="clear" w:color="auto" w:fill="auto"/>
            <w:vAlign w:val="center"/>
          </w:tcPr>
          <w:p w14:paraId="6B711C6B" w14:textId="77777777" w:rsidR="00F61E6E" w:rsidRPr="00F21719" w:rsidRDefault="00F61E6E" w:rsidP="00B24633">
            <w:pPr>
              <w:tabs>
                <w:tab w:val="left" w:pos="33"/>
              </w:tabs>
              <w:ind w:left="33"/>
              <w:rPr>
                <w:sz w:val="22"/>
                <w:szCs w:val="22"/>
              </w:rPr>
            </w:pPr>
            <w:r w:rsidRPr="00F21719">
              <w:rPr>
                <w:sz w:val="22"/>
                <w:szCs w:val="22"/>
              </w:rPr>
              <w:t>5 mg administreret sammen med ASA</w:t>
            </w:r>
          </w:p>
        </w:tc>
        <w:tc>
          <w:tcPr>
            <w:tcW w:w="1842" w:type="dxa"/>
            <w:shd w:val="clear" w:color="auto" w:fill="auto"/>
            <w:vAlign w:val="center"/>
          </w:tcPr>
          <w:p w14:paraId="6D5C37C5" w14:textId="77777777" w:rsidR="00F61E6E" w:rsidRPr="00F21719" w:rsidRDefault="00F61E6E" w:rsidP="00B24633">
            <w:pPr>
              <w:tabs>
                <w:tab w:val="left" w:pos="33"/>
              </w:tabs>
              <w:ind w:left="33"/>
              <w:rPr>
                <w:sz w:val="22"/>
                <w:szCs w:val="22"/>
              </w:rPr>
            </w:pPr>
            <w:r w:rsidRPr="00F21719">
              <w:rPr>
                <w:sz w:val="22"/>
                <w:szCs w:val="22"/>
              </w:rPr>
              <w:t>42 måneder</w:t>
            </w:r>
          </w:p>
        </w:tc>
      </w:tr>
    </w:tbl>
    <w:p w14:paraId="408003CD" w14:textId="77777777" w:rsidR="00F61E6E" w:rsidRPr="00F21719" w:rsidRDefault="00F61E6E" w:rsidP="00B24633">
      <w:pPr>
        <w:pStyle w:val="Default"/>
        <w:ind w:firstLine="851"/>
        <w:rPr>
          <w:sz w:val="22"/>
          <w:szCs w:val="22"/>
          <w:lang w:val="da-DK"/>
        </w:rPr>
      </w:pPr>
      <w:r w:rsidRPr="00F21719">
        <w:rPr>
          <w:sz w:val="22"/>
          <w:szCs w:val="22"/>
          <w:lang w:val="da-DK"/>
        </w:rPr>
        <w:t xml:space="preserve">*Patienter, der har fået mindst én dosis rivaroxaban </w:t>
      </w:r>
    </w:p>
    <w:p w14:paraId="0A1EAE09" w14:textId="77777777" w:rsidR="00F61E6E" w:rsidRPr="00F21719" w:rsidRDefault="00F61E6E" w:rsidP="00B24633">
      <w:pPr>
        <w:pStyle w:val="Default"/>
        <w:ind w:firstLine="851"/>
        <w:rPr>
          <w:sz w:val="22"/>
          <w:szCs w:val="22"/>
          <w:lang w:val="da-DK"/>
        </w:rPr>
      </w:pPr>
      <w:r w:rsidRPr="00F21719">
        <w:rPr>
          <w:sz w:val="22"/>
          <w:szCs w:val="22"/>
          <w:lang w:val="da-DK"/>
        </w:rPr>
        <w:t xml:space="preserve">**Fra VOYAGER PAD-studiet </w:t>
      </w:r>
    </w:p>
    <w:p w14:paraId="56074B96" w14:textId="77777777" w:rsidR="00F61E6E" w:rsidRPr="00B24633" w:rsidRDefault="00F61E6E" w:rsidP="00B24633">
      <w:pPr>
        <w:tabs>
          <w:tab w:val="left" w:pos="851"/>
        </w:tabs>
        <w:ind w:left="851"/>
        <w:rPr>
          <w:sz w:val="24"/>
          <w:szCs w:val="24"/>
        </w:rPr>
      </w:pPr>
    </w:p>
    <w:p w14:paraId="70EB9BCC" w14:textId="5BF5FC16" w:rsidR="00F61E6E" w:rsidRPr="00B24633" w:rsidRDefault="00F61E6E" w:rsidP="00B24633">
      <w:pPr>
        <w:tabs>
          <w:tab w:val="left" w:pos="851"/>
        </w:tabs>
        <w:ind w:left="851"/>
        <w:rPr>
          <w:sz w:val="24"/>
          <w:szCs w:val="24"/>
        </w:rPr>
      </w:pPr>
      <w:r w:rsidRPr="00B24633">
        <w:rPr>
          <w:sz w:val="24"/>
          <w:szCs w:val="24"/>
        </w:rPr>
        <w:t xml:space="preserve">De hyppigst rapporterede bivirkninger hos patienter, der fik rivaroxaban, var blødning (tabel 2) (se pkt. 4.4 og </w:t>
      </w:r>
      <w:r w:rsidR="00B24633" w:rsidRPr="00B24633">
        <w:rPr>
          <w:sz w:val="24"/>
          <w:szCs w:val="24"/>
        </w:rPr>
        <w:t>"</w:t>
      </w:r>
      <w:r w:rsidRPr="00B24633">
        <w:rPr>
          <w:sz w:val="24"/>
          <w:szCs w:val="24"/>
        </w:rPr>
        <w:t>Beskrivelse af udvalgte bivirkninger</w:t>
      </w:r>
      <w:r w:rsidR="00B24633" w:rsidRPr="00B24633">
        <w:rPr>
          <w:sz w:val="24"/>
          <w:szCs w:val="24"/>
        </w:rPr>
        <w:t>"</w:t>
      </w:r>
      <w:r w:rsidRPr="00B24633">
        <w:rPr>
          <w:sz w:val="24"/>
          <w:szCs w:val="24"/>
        </w:rPr>
        <w:t xml:space="preserve"> nedenfor). De hyppigst rapporterede blødninger var epistaxis (4,5</w:t>
      </w:r>
      <w:r w:rsidR="00054680">
        <w:rPr>
          <w:sz w:val="24"/>
          <w:szCs w:val="24"/>
        </w:rPr>
        <w:t xml:space="preserve"> %</w:t>
      </w:r>
      <w:r w:rsidRPr="00B24633">
        <w:rPr>
          <w:sz w:val="24"/>
          <w:szCs w:val="24"/>
        </w:rPr>
        <w:t>) og blødning fra mave-tarm-kanalen (3,8</w:t>
      </w:r>
      <w:r w:rsidR="00054680">
        <w:rPr>
          <w:sz w:val="24"/>
          <w:szCs w:val="24"/>
        </w:rPr>
        <w:t xml:space="preserve"> %</w:t>
      </w:r>
      <w:r w:rsidRPr="00B24633">
        <w:rPr>
          <w:sz w:val="24"/>
          <w:szCs w:val="24"/>
        </w:rPr>
        <w:t>).</w:t>
      </w:r>
    </w:p>
    <w:p w14:paraId="19C4C6F1" w14:textId="77777777" w:rsidR="00F61E6E" w:rsidRPr="00B24633" w:rsidRDefault="00F61E6E" w:rsidP="00B24633">
      <w:pPr>
        <w:tabs>
          <w:tab w:val="left" w:pos="851"/>
        </w:tabs>
        <w:ind w:left="851"/>
        <w:rPr>
          <w:sz w:val="24"/>
          <w:szCs w:val="24"/>
        </w:rPr>
      </w:pPr>
    </w:p>
    <w:p w14:paraId="2D10B955" w14:textId="4ACDCDF1" w:rsidR="00F61E6E" w:rsidRDefault="00F61E6E" w:rsidP="00B24633">
      <w:pPr>
        <w:ind w:left="851"/>
        <w:rPr>
          <w:b/>
          <w:sz w:val="24"/>
          <w:szCs w:val="24"/>
        </w:rPr>
      </w:pPr>
      <w:r w:rsidRPr="00B24633">
        <w:rPr>
          <w:b/>
          <w:sz w:val="24"/>
          <w:szCs w:val="24"/>
        </w:rPr>
        <w:t>Tabel 2: Forekomst af blødning* og anæmi hos patienter eksponeret for rivaroxaban i alle gennemførte fase III-studier hos voksne og pædiatriske patienter</w:t>
      </w:r>
    </w:p>
    <w:p w14:paraId="54627376" w14:textId="77777777" w:rsidR="00F21719" w:rsidRPr="00B24633" w:rsidRDefault="00F21719" w:rsidP="00B24633">
      <w:pPr>
        <w:ind w:left="851"/>
        <w:rPr>
          <w:b/>
          <w:sz w:val="24"/>
          <w:szCs w:val="24"/>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2268"/>
        <w:gridCol w:w="2716"/>
      </w:tblGrid>
      <w:tr w:rsidR="00F61E6E" w:rsidRPr="00F21719" w14:paraId="3C7F043E" w14:textId="77777777" w:rsidTr="00505B18">
        <w:tc>
          <w:tcPr>
            <w:tcW w:w="3118" w:type="dxa"/>
            <w:shd w:val="clear" w:color="auto" w:fill="auto"/>
          </w:tcPr>
          <w:p w14:paraId="75A2CB0A" w14:textId="77777777" w:rsidR="00F61E6E" w:rsidRPr="00F21719" w:rsidRDefault="00F61E6E" w:rsidP="00B24633">
            <w:pPr>
              <w:keepNext/>
              <w:ind w:left="33"/>
              <w:rPr>
                <w:b/>
                <w:bCs/>
                <w:sz w:val="22"/>
                <w:szCs w:val="22"/>
              </w:rPr>
            </w:pPr>
            <w:r w:rsidRPr="00F21719">
              <w:rPr>
                <w:b/>
                <w:bCs/>
                <w:sz w:val="22"/>
                <w:szCs w:val="22"/>
              </w:rPr>
              <w:t>Indikation</w:t>
            </w:r>
          </w:p>
        </w:tc>
        <w:tc>
          <w:tcPr>
            <w:tcW w:w="2268" w:type="dxa"/>
            <w:shd w:val="clear" w:color="auto" w:fill="auto"/>
          </w:tcPr>
          <w:p w14:paraId="015444AF" w14:textId="77777777" w:rsidR="00F61E6E" w:rsidRPr="00F21719" w:rsidRDefault="00F61E6E" w:rsidP="00B24633">
            <w:pPr>
              <w:keepNext/>
              <w:ind w:left="33"/>
              <w:rPr>
                <w:b/>
                <w:bCs/>
                <w:sz w:val="22"/>
                <w:szCs w:val="22"/>
              </w:rPr>
            </w:pPr>
            <w:r w:rsidRPr="00F21719">
              <w:rPr>
                <w:b/>
                <w:bCs/>
                <w:sz w:val="22"/>
                <w:szCs w:val="22"/>
              </w:rPr>
              <w:t>Blødning</w:t>
            </w:r>
          </w:p>
        </w:tc>
        <w:tc>
          <w:tcPr>
            <w:tcW w:w="2716" w:type="dxa"/>
            <w:shd w:val="clear" w:color="auto" w:fill="auto"/>
          </w:tcPr>
          <w:p w14:paraId="18DB9F67" w14:textId="77777777" w:rsidR="00F61E6E" w:rsidRPr="00F21719" w:rsidRDefault="00F61E6E" w:rsidP="00B24633">
            <w:pPr>
              <w:keepNext/>
              <w:ind w:left="33"/>
              <w:rPr>
                <w:b/>
                <w:bCs/>
                <w:sz w:val="22"/>
                <w:szCs w:val="22"/>
              </w:rPr>
            </w:pPr>
            <w:r w:rsidRPr="00F21719">
              <w:rPr>
                <w:b/>
                <w:bCs/>
                <w:sz w:val="22"/>
                <w:szCs w:val="22"/>
              </w:rPr>
              <w:t>Anæmi</w:t>
            </w:r>
          </w:p>
        </w:tc>
      </w:tr>
      <w:tr w:rsidR="00F61E6E" w:rsidRPr="00F21719" w14:paraId="276CE5FC" w14:textId="77777777" w:rsidTr="00505B18">
        <w:tc>
          <w:tcPr>
            <w:tcW w:w="3118" w:type="dxa"/>
            <w:shd w:val="clear" w:color="auto" w:fill="auto"/>
          </w:tcPr>
          <w:p w14:paraId="6FD28AFC" w14:textId="77777777" w:rsidR="00F61E6E" w:rsidRPr="00F21719" w:rsidRDefault="00F61E6E" w:rsidP="00B24633">
            <w:pPr>
              <w:pStyle w:val="Default"/>
              <w:ind w:left="33"/>
              <w:rPr>
                <w:sz w:val="22"/>
                <w:szCs w:val="22"/>
                <w:lang w:val="da-DK"/>
              </w:rPr>
            </w:pPr>
            <w:r w:rsidRPr="00F21719">
              <w:rPr>
                <w:sz w:val="22"/>
                <w:szCs w:val="22"/>
                <w:lang w:val="da-DK"/>
              </w:rPr>
              <w:t>Forebyggelse af VTE hos voksne patienter, der gennemgår planlagt hofteleds- eller knæledsalloplastik</w:t>
            </w:r>
          </w:p>
        </w:tc>
        <w:tc>
          <w:tcPr>
            <w:tcW w:w="2268" w:type="dxa"/>
            <w:shd w:val="clear" w:color="auto" w:fill="auto"/>
          </w:tcPr>
          <w:p w14:paraId="7B2AE093" w14:textId="077D17F2" w:rsidR="00F61E6E" w:rsidRPr="00F21719" w:rsidRDefault="00F61E6E" w:rsidP="00B24633">
            <w:pPr>
              <w:ind w:left="33"/>
              <w:rPr>
                <w:sz w:val="22"/>
                <w:szCs w:val="22"/>
              </w:rPr>
            </w:pPr>
            <w:r w:rsidRPr="00F21719">
              <w:rPr>
                <w:sz w:val="22"/>
                <w:szCs w:val="22"/>
              </w:rPr>
              <w:t>6,8</w:t>
            </w:r>
            <w:r w:rsidR="00054680">
              <w:rPr>
                <w:sz w:val="22"/>
                <w:szCs w:val="22"/>
              </w:rPr>
              <w:t xml:space="preserve"> %</w:t>
            </w:r>
            <w:r w:rsidRPr="00F21719">
              <w:rPr>
                <w:sz w:val="22"/>
                <w:szCs w:val="22"/>
              </w:rPr>
              <w:t xml:space="preserve"> af patienterne</w:t>
            </w:r>
          </w:p>
        </w:tc>
        <w:tc>
          <w:tcPr>
            <w:tcW w:w="2716" w:type="dxa"/>
            <w:shd w:val="clear" w:color="auto" w:fill="auto"/>
          </w:tcPr>
          <w:p w14:paraId="36F6717F" w14:textId="263D06EE" w:rsidR="00F61E6E" w:rsidRPr="00F21719" w:rsidRDefault="00F61E6E" w:rsidP="00B24633">
            <w:pPr>
              <w:ind w:left="33"/>
              <w:rPr>
                <w:sz w:val="22"/>
                <w:szCs w:val="22"/>
              </w:rPr>
            </w:pPr>
            <w:r w:rsidRPr="00F21719">
              <w:rPr>
                <w:sz w:val="22"/>
                <w:szCs w:val="22"/>
              </w:rPr>
              <w:t>5,9</w:t>
            </w:r>
            <w:r w:rsidR="00054680">
              <w:rPr>
                <w:sz w:val="22"/>
                <w:szCs w:val="22"/>
              </w:rPr>
              <w:t xml:space="preserve"> %</w:t>
            </w:r>
            <w:r w:rsidRPr="00F21719">
              <w:rPr>
                <w:sz w:val="22"/>
                <w:szCs w:val="22"/>
              </w:rPr>
              <w:t xml:space="preserve"> af patienterne</w:t>
            </w:r>
          </w:p>
        </w:tc>
      </w:tr>
      <w:tr w:rsidR="00F61E6E" w:rsidRPr="00F21719" w14:paraId="55450A85" w14:textId="77777777" w:rsidTr="00505B18">
        <w:tc>
          <w:tcPr>
            <w:tcW w:w="3118" w:type="dxa"/>
            <w:shd w:val="clear" w:color="auto" w:fill="auto"/>
          </w:tcPr>
          <w:p w14:paraId="17BFCE04" w14:textId="77777777" w:rsidR="00F61E6E" w:rsidRPr="00F21719" w:rsidRDefault="00F61E6E" w:rsidP="00B24633">
            <w:pPr>
              <w:ind w:left="33"/>
              <w:rPr>
                <w:sz w:val="22"/>
                <w:szCs w:val="22"/>
              </w:rPr>
            </w:pPr>
            <w:r w:rsidRPr="00F21719">
              <w:rPr>
                <w:sz w:val="22"/>
                <w:szCs w:val="22"/>
              </w:rPr>
              <w:t>Forebyggelse af VTE hos medicinsk syge patienter</w:t>
            </w:r>
          </w:p>
        </w:tc>
        <w:tc>
          <w:tcPr>
            <w:tcW w:w="2268" w:type="dxa"/>
            <w:shd w:val="clear" w:color="auto" w:fill="auto"/>
          </w:tcPr>
          <w:p w14:paraId="344F1E49" w14:textId="3B8E5252" w:rsidR="00F61E6E" w:rsidRPr="00F21719" w:rsidRDefault="00F61E6E" w:rsidP="00B24633">
            <w:pPr>
              <w:ind w:left="33"/>
              <w:rPr>
                <w:sz w:val="22"/>
                <w:szCs w:val="22"/>
              </w:rPr>
            </w:pPr>
            <w:r w:rsidRPr="00F21719">
              <w:rPr>
                <w:sz w:val="22"/>
                <w:szCs w:val="22"/>
              </w:rPr>
              <w:t>12,6</w:t>
            </w:r>
            <w:r w:rsidR="00054680">
              <w:rPr>
                <w:sz w:val="22"/>
                <w:szCs w:val="22"/>
              </w:rPr>
              <w:t xml:space="preserve"> %</w:t>
            </w:r>
            <w:r w:rsidRPr="00F21719">
              <w:rPr>
                <w:sz w:val="22"/>
                <w:szCs w:val="22"/>
              </w:rPr>
              <w:t xml:space="preserve"> af patienterne</w:t>
            </w:r>
          </w:p>
        </w:tc>
        <w:tc>
          <w:tcPr>
            <w:tcW w:w="2716" w:type="dxa"/>
            <w:shd w:val="clear" w:color="auto" w:fill="auto"/>
          </w:tcPr>
          <w:p w14:paraId="5A499E26" w14:textId="2EF82B3C" w:rsidR="00F61E6E" w:rsidRPr="00F21719" w:rsidRDefault="00F61E6E" w:rsidP="00B24633">
            <w:pPr>
              <w:ind w:left="33"/>
              <w:rPr>
                <w:sz w:val="22"/>
                <w:szCs w:val="22"/>
              </w:rPr>
            </w:pPr>
            <w:r w:rsidRPr="00F21719">
              <w:rPr>
                <w:sz w:val="22"/>
                <w:szCs w:val="22"/>
              </w:rPr>
              <w:t>2,1</w:t>
            </w:r>
            <w:r w:rsidR="00054680">
              <w:rPr>
                <w:sz w:val="22"/>
                <w:szCs w:val="22"/>
              </w:rPr>
              <w:t xml:space="preserve"> %</w:t>
            </w:r>
            <w:r w:rsidRPr="00F21719">
              <w:rPr>
                <w:sz w:val="22"/>
                <w:szCs w:val="22"/>
              </w:rPr>
              <w:t xml:space="preserve"> af patienterne</w:t>
            </w:r>
          </w:p>
        </w:tc>
      </w:tr>
      <w:tr w:rsidR="00F61E6E" w:rsidRPr="00F21719" w14:paraId="128E47EA" w14:textId="77777777" w:rsidTr="00505B18">
        <w:tc>
          <w:tcPr>
            <w:tcW w:w="3118" w:type="dxa"/>
            <w:shd w:val="clear" w:color="auto" w:fill="auto"/>
          </w:tcPr>
          <w:p w14:paraId="54B16DAD" w14:textId="77777777" w:rsidR="00F61E6E" w:rsidRPr="00F21719" w:rsidRDefault="00F61E6E" w:rsidP="00B24633">
            <w:pPr>
              <w:ind w:left="33"/>
              <w:rPr>
                <w:sz w:val="22"/>
                <w:szCs w:val="22"/>
              </w:rPr>
            </w:pPr>
            <w:r w:rsidRPr="00F21719">
              <w:rPr>
                <w:sz w:val="22"/>
                <w:szCs w:val="22"/>
              </w:rPr>
              <w:t>Behandling af dyb venetrombose (DVT), PE og forebyggelse af recidiv</w:t>
            </w:r>
          </w:p>
        </w:tc>
        <w:tc>
          <w:tcPr>
            <w:tcW w:w="2268" w:type="dxa"/>
            <w:shd w:val="clear" w:color="auto" w:fill="auto"/>
          </w:tcPr>
          <w:p w14:paraId="35C96C20" w14:textId="5B74F575" w:rsidR="00F61E6E" w:rsidRPr="00F21719" w:rsidRDefault="00F61E6E" w:rsidP="00B24633">
            <w:pPr>
              <w:ind w:left="33"/>
              <w:rPr>
                <w:sz w:val="22"/>
                <w:szCs w:val="22"/>
              </w:rPr>
            </w:pPr>
            <w:r w:rsidRPr="00F21719">
              <w:rPr>
                <w:sz w:val="22"/>
                <w:szCs w:val="22"/>
              </w:rPr>
              <w:t>23</w:t>
            </w:r>
            <w:r w:rsidR="00054680">
              <w:rPr>
                <w:sz w:val="22"/>
                <w:szCs w:val="22"/>
              </w:rPr>
              <w:t xml:space="preserve"> %</w:t>
            </w:r>
            <w:r w:rsidRPr="00F21719">
              <w:rPr>
                <w:sz w:val="22"/>
                <w:szCs w:val="22"/>
              </w:rPr>
              <w:t xml:space="preserve"> af patienterne</w:t>
            </w:r>
          </w:p>
        </w:tc>
        <w:tc>
          <w:tcPr>
            <w:tcW w:w="2716" w:type="dxa"/>
            <w:shd w:val="clear" w:color="auto" w:fill="auto"/>
          </w:tcPr>
          <w:p w14:paraId="0B45DF25" w14:textId="6CAF69B8" w:rsidR="00F61E6E" w:rsidRPr="00F21719" w:rsidRDefault="00F61E6E" w:rsidP="00B24633">
            <w:pPr>
              <w:ind w:left="33"/>
              <w:rPr>
                <w:sz w:val="22"/>
                <w:szCs w:val="22"/>
              </w:rPr>
            </w:pPr>
            <w:r w:rsidRPr="00F21719">
              <w:rPr>
                <w:sz w:val="22"/>
                <w:szCs w:val="22"/>
              </w:rPr>
              <w:t>1,6</w:t>
            </w:r>
            <w:r w:rsidR="00054680">
              <w:rPr>
                <w:sz w:val="22"/>
                <w:szCs w:val="22"/>
              </w:rPr>
              <w:t xml:space="preserve"> %</w:t>
            </w:r>
            <w:r w:rsidRPr="00F21719">
              <w:rPr>
                <w:sz w:val="22"/>
                <w:szCs w:val="22"/>
              </w:rPr>
              <w:t xml:space="preserve"> af patienterne</w:t>
            </w:r>
          </w:p>
        </w:tc>
      </w:tr>
      <w:tr w:rsidR="00F61E6E" w:rsidRPr="00F21719" w14:paraId="5023D9F1" w14:textId="77777777" w:rsidTr="00505B18">
        <w:tc>
          <w:tcPr>
            <w:tcW w:w="3118" w:type="dxa"/>
            <w:shd w:val="clear" w:color="auto" w:fill="auto"/>
          </w:tcPr>
          <w:p w14:paraId="77699BB2" w14:textId="77777777" w:rsidR="00F61E6E" w:rsidRPr="00F21719" w:rsidRDefault="00F61E6E" w:rsidP="00B24633">
            <w:pPr>
              <w:ind w:left="33"/>
              <w:rPr>
                <w:sz w:val="22"/>
                <w:szCs w:val="22"/>
              </w:rPr>
            </w:pPr>
            <w:r w:rsidRPr="00F21719">
              <w:rPr>
                <w:sz w:val="22"/>
                <w:szCs w:val="22"/>
              </w:rPr>
              <w:t>Behandling af VTE og forebyggelse af recidiverende VTE hos spædbørn født til terminen og børn i alderen under 18 år, efter standard antikoagulerende behandling blev påbegyndt</w:t>
            </w:r>
          </w:p>
        </w:tc>
        <w:tc>
          <w:tcPr>
            <w:tcW w:w="2268" w:type="dxa"/>
            <w:shd w:val="clear" w:color="auto" w:fill="auto"/>
          </w:tcPr>
          <w:p w14:paraId="2986E4A4" w14:textId="2B161F1B" w:rsidR="00F61E6E" w:rsidRPr="00F21719" w:rsidRDefault="00F61E6E" w:rsidP="00B24633">
            <w:pPr>
              <w:ind w:left="33"/>
              <w:rPr>
                <w:sz w:val="22"/>
                <w:szCs w:val="22"/>
              </w:rPr>
            </w:pPr>
            <w:r w:rsidRPr="00F21719">
              <w:rPr>
                <w:sz w:val="22"/>
                <w:szCs w:val="22"/>
              </w:rPr>
              <w:t>39,5</w:t>
            </w:r>
            <w:r w:rsidR="00054680">
              <w:rPr>
                <w:sz w:val="22"/>
                <w:szCs w:val="22"/>
              </w:rPr>
              <w:t xml:space="preserve"> %</w:t>
            </w:r>
            <w:r w:rsidRPr="00F21719">
              <w:rPr>
                <w:sz w:val="22"/>
                <w:szCs w:val="22"/>
              </w:rPr>
              <w:t xml:space="preserve"> af patienterne</w:t>
            </w:r>
          </w:p>
        </w:tc>
        <w:tc>
          <w:tcPr>
            <w:tcW w:w="2716" w:type="dxa"/>
            <w:shd w:val="clear" w:color="auto" w:fill="auto"/>
          </w:tcPr>
          <w:p w14:paraId="36FE2D7D" w14:textId="3B2C69A0" w:rsidR="00F61E6E" w:rsidRPr="00F21719" w:rsidRDefault="00F61E6E" w:rsidP="00B24633">
            <w:pPr>
              <w:ind w:left="33"/>
              <w:rPr>
                <w:sz w:val="22"/>
                <w:szCs w:val="22"/>
              </w:rPr>
            </w:pPr>
            <w:r w:rsidRPr="00F21719">
              <w:rPr>
                <w:sz w:val="22"/>
                <w:szCs w:val="22"/>
              </w:rPr>
              <w:t>4,6</w:t>
            </w:r>
            <w:r w:rsidR="00054680">
              <w:rPr>
                <w:sz w:val="22"/>
                <w:szCs w:val="22"/>
              </w:rPr>
              <w:t xml:space="preserve"> %</w:t>
            </w:r>
            <w:r w:rsidRPr="00F21719">
              <w:rPr>
                <w:sz w:val="22"/>
                <w:szCs w:val="22"/>
              </w:rPr>
              <w:t xml:space="preserve"> af patienterne</w:t>
            </w:r>
          </w:p>
        </w:tc>
      </w:tr>
      <w:tr w:rsidR="00F61E6E" w:rsidRPr="00F21719" w14:paraId="664193F3" w14:textId="77777777" w:rsidTr="00505B18">
        <w:tc>
          <w:tcPr>
            <w:tcW w:w="3118" w:type="dxa"/>
            <w:shd w:val="clear" w:color="auto" w:fill="auto"/>
          </w:tcPr>
          <w:p w14:paraId="0A6CE1F9" w14:textId="77777777" w:rsidR="00F61E6E" w:rsidRPr="00F21719" w:rsidRDefault="00F61E6E" w:rsidP="00B24633">
            <w:pPr>
              <w:ind w:left="33"/>
              <w:rPr>
                <w:sz w:val="22"/>
                <w:szCs w:val="22"/>
              </w:rPr>
            </w:pPr>
            <w:r w:rsidRPr="00F21719">
              <w:rPr>
                <w:sz w:val="22"/>
                <w:szCs w:val="22"/>
              </w:rPr>
              <w:t>Forebyggelse af apopleksi og systemisk emboli hos patienter med ikke-valvulær atrieflimren</w:t>
            </w:r>
          </w:p>
        </w:tc>
        <w:tc>
          <w:tcPr>
            <w:tcW w:w="2268" w:type="dxa"/>
            <w:shd w:val="clear" w:color="auto" w:fill="auto"/>
          </w:tcPr>
          <w:p w14:paraId="0E25C4C2" w14:textId="77777777" w:rsidR="00F61E6E" w:rsidRPr="00F21719" w:rsidRDefault="00F61E6E" w:rsidP="00B24633">
            <w:pPr>
              <w:ind w:left="33"/>
              <w:rPr>
                <w:sz w:val="22"/>
                <w:szCs w:val="22"/>
              </w:rPr>
            </w:pPr>
            <w:r w:rsidRPr="00F21719">
              <w:rPr>
                <w:sz w:val="22"/>
                <w:szCs w:val="22"/>
              </w:rPr>
              <w:t>28 per 100 patientår</w:t>
            </w:r>
          </w:p>
        </w:tc>
        <w:tc>
          <w:tcPr>
            <w:tcW w:w="2716" w:type="dxa"/>
            <w:shd w:val="clear" w:color="auto" w:fill="auto"/>
          </w:tcPr>
          <w:p w14:paraId="59F9FBE6" w14:textId="77777777" w:rsidR="00F61E6E" w:rsidRPr="00F21719" w:rsidRDefault="00F61E6E" w:rsidP="00B24633">
            <w:pPr>
              <w:ind w:left="33"/>
              <w:rPr>
                <w:sz w:val="22"/>
                <w:szCs w:val="22"/>
              </w:rPr>
            </w:pPr>
            <w:r w:rsidRPr="00F21719">
              <w:rPr>
                <w:sz w:val="22"/>
                <w:szCs w:val="22"/>
              </w:rPr>
              <w:t>2,5 per 100 patientår</w:t>
            </w:r>
          </w:p>
        </w:tc>
      </w:tr>
      <w:tr w:rsidR="00F61E6E" w:rsidRPr="00F21719" w14:paraId="6F981734" w14:textId="77777777" w:rsidTr="00505B18">
        <w:tc>
          <w:tcPr>
            <w:tcW w:w="3118" w:type="dxa"/>
            <w:shd w:val="clear" w:color="auto" w:fill="auto"/>
          </w:tcPr>
          <w:p w14:paraId="7CD5B29B" w14:textId="77777777" w:rsidR="00F61E6E" w:rsidRPr="00F21719" w:rsidRDefault="00F61E6E" w:rsidP="00B24633">
            <w:pPr>
              <w:ind w:left="33"/>
              <w:rPr>
                <w:sz w:val="22"/>
                <w:szCs w:val="22"/>
              </w:rPr>
            </w:pPr>
            <w:r w:rsidRPr="00F21719">
              <w:rPr>
                <w:sz w:val="22"/>
                <w:szCs w:val="22"/>
              </w:rPr>
              <w:t>Forebyggelse af aterotrombotiske hændelser hos patienter efter akut koronarsyndrom (AKS)</w:t>
            </w:r>
          </w:p>
        </w:tc>
        <w:tc>
          <w:tcPr>
            <w:tcW w:w="2268" w:type="dxa"/>
            <w:shd w:val="clear" w:color="auto" w:fill="auto"/>
          </w:tcPr>
          <w:p w14:paraId="2D31E2A4" w14:textId="77777777" w:rsidR="00F61E6E" w:rsidRPr="00F21719" w:rsidRDefault="00F61E6E" w:rsidP="00B24633">
            <w:pPr>
              <w:ind w:left="33"/>
              <w:rPr>
                <w:sz w:val="22"/>
                <w:szCs w:val="22"/>
              </w:rPr>
            </w:pPr>
            <w:r w:rsidRPr="00F21719">
              <w:rPr>
                <w:sz w:val="22"/>
                <w:szCs w:val="22"/>
              </w:rPr>
              <w:t>22 per 100 patientår</w:t>
            </w:r>
          </w:p>
        </w:tc>
        <w:tc>
          <w:tcPr>
            <w:tcW w:w="2716" w:type="dxa"/>
            <w:shd w:val="clear" w:color="auto" w:fill="auto"/>
          </w:tcPr>
          <w:p w14:paraId="6DD06AA4" w14:textId="77777777" w:rsidR="00F61E6E" w:rsidRPr="00F21719" w:rsidRDefault="00F61E6E" w:rsidP="00B24633">
            <w:pPr>
              <w:ind w:left="33"/>
              <w:rPr>
                <w:sz w:val="22"/>
                <w:szCs w:val="22"/>
              </w:rPr>
            </w:pPr>
            <w:r w:rsidRPr="00F21719">
              <w:rPr>
                <w:sz w:val="22"/>
                <w:szCs w:val="22"/>
              </w:rPr>
              <w:t>1,4 per 100 patientår</w:t>
            </w:r>
          </w:p>
        </w:tc>
      </w:tr>
      <w:tr w:rsidR="00F61E6E" w:rsidRPr="00F21719" w14:paraId="633BF552" w14:textId="77777777" w:rsidTr="00505B18">
        <w:tc>
          <w:tcPr>
            <w:tcW w:w="3118" w:type="dxa"/>
            <w:vMerge w:val="restart"/>
            <w:shd w:val="clear" w:color="auto" w:fill="auto"/>
          </w:tcPr>
          <w:p w14:paraId="38BF0906" w14:textId="77777777" w:rsidR="00F61E6E" w:rsidRPr="00F21719" w:rsidRDefault="00F61E6E" w:rsidP="00B24633">
            <w:pPr>
              <w:ind w:left="33"/>
              <w:rPr>
                <w:sz w:val="22"/>
                <w:szCs w:val="22"/>
              </w:rPr>
            </w:pPr>
            <w:r w:rsidRPr="00F21719">
              <w:rPr>
                <w:sz w:val="22"/>
                <w:szCs w:val="22"/>
              </w:rPr>
              <w:t>Forebyggelse af aterotrombotiske hændelser hos patienter med koronararteriesygdom (CAD) /perifer arteriesygdom (PAD)</w:t>
            </w:r>
          </w:p>
        </w:tc>
        <w:tc>
          <w:tcPr>
            <w:tcW w:w="2268" w:type="dxa"/>
            <w:shd w:val="clear" w:color="auto" w:fill="auto"/>
          </w:tcPr>
          <w:p w14:paraId="13C9EAA6" w14:textId="77777777" w:rsidR="00F61E6E" w:rsidRPr="00F21719" w:rsidRDefault="00F61E6E" w:rsidP="00B24633">
            <w:pPr>
              <w:ind w:left="33"/>
              <w:rPr>
                <w:sz w:val="22"/>
                <w:szCs w:val="22"/>
              </w:rPr>
            </w:pPr>
            <w:r w:rsidRPr="00F21719">
              <w:rPr>
                <w:sz w:val="22"/>
                <w:szCs w:val="22"/>
              </w:rPr>
              <w:t>6,7 per 100 patientår</w:t>
            </w:r>
          </w:p>
          <w:p w14:paraId="443B9003" w14:textId="77777777" w:rsidR="00F61E6E" w:rsidRPr="00F21719" w:rsidRDefault="00F61E6E" w:rsidP="00B24633">
            <w:pPr>
              <w:rPr>
                <w:sz w:val="22"/>
                <w:szCs w:val="22"/>
              </w:rPr>
            </w:pPr>
          </w:p>
        </w:tc>
        <w:tc>
          <w:tcPr>
            <w:tcW w:w="2716" w:type="dxa"/>
            <w:shd w:val="clear" w:color="auto" w:fill="auto"/>
          </w:tcPr>
          <w:p w14:paraId="3C109549" w14:textId="77777777" w:rsidR="00F61E6E" w:rsidRPr="00F21719" w:rsidRDefault="00F61E6E" w:rsidP="00B24633">
            <w:pPr>
              <w:ind w:left="33"/>
              <w:rPr>
                <w:sz w:val="22"/>
                <w:szCs w:val="22"/>
              </w:rPr>
            </w:pPr>
            <w:r w:rsidRPr="00F21719">
              <w:rPr>
                <w:sz w:val="22"/>
                <w:szCs w:val="22"/>
              </w:rPr>
              <w:t>0,15 per 100 patientår**</w:t>
            </w:r>
          </w:p>
        </w:tc>
      </w:tr>
      <w:tr w:rsidR="00F61E6E" w:rsidRPr="00F21719" w14:paraId="6B015CE2" w14:textId="77777777" w:rsidTr="00505B18">
        <w:tc>
          <w:tcPr>
            <w:tcW w:w="3118" w:type="dxa"/>
            <w:vMerge/>
            <w:shd w:val="clear" w:color="auto" w:fill="auto"/>
          </w:tcPr>
          <w:p w14:paraId="0E3F48E6" w14:textId="77777777" w:rsidR="00F61E6E" w:rsidRPr="00F21719" w:rsidRDefault="00F61E6E" w:rsidP="00B24633">
            <w:pPr>
              <w:ind w:left="33"/>
              <w:rPr>
                <w:sz w:val="22"/>
                <w:szCs w:val="22"/>
              </w:rPr>
            </w:pPr>
          </w:p>
        </w:tc>
        <w:tc>
          <w:tcPr>
            <w:tcW w:w="2268" w:type="dxa"/>
            <w:shd w:val="clear" w:color="auto" w:fill="auto"/>
          </w:tcPr>
          <w:p w14:paraId="2CDC4791" w14:textId="77777777" w:rsidR="00F61E6E" w:rsidRPr="00F21719" w:rsidRDefault="00F61E6E" w:rsidP="00B24633">
            <w:pPr>
              <w:ind w:left="33"/>
              <w:rPr>
                <w:sz w:val="22"/>
                <w:szCs w:val="22"/>
              </w:rPr>
            </w:pPr>
            <w:r w:rsidRPr="00F21719">
              <w:rPr>
                <w:sz w:val="22"/>
                <w:szCs w:val="22"/>
              </w:rPr>
              <w:t>8,38 per 100 patientår</w:t>
            </w:r>
            <w:r w:rsidRPr="00F21719">
              <w:rPr>
                <w:sz w:val="22"/>
                <w:szCs w:val="22"/>
                <w:vertAlign w:val="superscript"/>
              </w:rPr>
              <w:t>#</w:t>
            </w:r>
          </w:p>
        </w:tc>
        <w:tc>
          <w:tcPr>
            <w:tcW w:w="2716" w:type="dxa"/>
            <w:shd w:val="clear" w:color="auto" w:fill="auto"/>
          </w:tcPr>
          <w:p w14:paraId="19B25F5E" w14:textId="77777777" w:rsidR="00F61E6E" w:rsidRPr="00F21719" w:rsidRDefault="00F61E6E" w:rsidP="00B24633">
            <w:pPr>
              <w:ind w:left="33"/>
              <w:rPr>
                <w:sz w:val="22"/>
                <w:szCs w:val="22"/>
              </w:rPr>
            </w:pPr>
            <w:r w:rsidRPr="00F21719">
              <w:rPr>
                <w:sz w:val="22"/>
                <w:szCs w:val="22"/>
              </w:rPr>
              <w:t xml:space="preserve">0,74 per 100 patientår*** </w:t>
            </w:r>
            <w:r w:rsidRPr="00F21719">
              <w:rPr>
                <w:sz w:val="22"/>
                <w:szCs w:val="22"/>
                <w:vertAlign w:val="superscript"/>
              </w:rPr>
              <w:t>#</w:t>
            </w:r>
          </w:p>
        </w:tc>
      </w:tr>
    </w:tbl>
    <w:p w14:paraId="2E552BBC" w14:textId="77777777" w:rsidR="00F61E6E" w:rsidRPr="00F21719" w:rsidRDefault="00F61E6E" w:rsidP="00B24633">
      <w:pPr>
        <w:tabs>
          <w:tab w:val="left" w:pos="851"/>
        </w:tabs>
        <w:ind w:left="851"/>
        <w:rPr>
          <w:sz w:val="22"/>
          <w:szCs w:val="22"/>
        </w:rPr>
      </w:pPr>
      <w:r w:rsidRPr="00F21719">
        <w:rPr>
          <w:sz w:val="22"/>
          <w:szCs w:val="22"/>
        </w:rPr>
        <w:t>* For alle rivaroxabanstudierne blev alle blødningshændelser indsamlet, rapporteret og bedømt.</w:t>
      </w:r>
    </w:p>
    <w:p w14:paraId="147B98DA" w14:textId="77777777" w:rsidR="00F61E6E" w:rsidRPr="00F21719" w:rsidRDefault="00F61E6E" w:rsidP="00B24633">
      <w:pPr>
        <w:tabs>
          <w:tab w:val="left" w:pos="851"/>
        </w:tabs>
        <w:ind w:left="851"/>
        <w:rPr>
          <w:sz w:val="22"/>
          <w:szCs w:val="22"/>
        </w:rPr>
      </w:pPr>
      <w:r w:rsidRPr="00F21719">
        <w:rPr>
          <w:sz w:val="22"/>
          <w:szCs w:val="22"/>
        </w:rPr>
        <w:t>** I COMPASS-studiet er der en lav forekomst af anæmi, da der blev benyttet en selektiv metode for indsamlingen af uønskede hændelser</w:t>
      </w:r>
    </w:p>
    <w:p w14:paraId="64A39698" w14:textId="77777777" w:rsidR="00F61E6E" w:rsidRPr="00F21719" w:rsidRDefault="00F61E6E" w:rsidP="00B24633">
      <w:pPr>
        <w:tabs>
          <w:tab w:val="left" w:pos="851"/>
        </w:tabs>
        <w:ind w:left="851"/>
        <w:rPr>
          <w:sz w:val="22"/>
          <w:szCs w:val="22"/>
        </w:rPr>
      </w:pPr>
      <w:r w:rsidRPr="00F21719">
        <w:rPr>
          <w:sz w:val="22"/>
          <w:szCs w:val="22"/>
        </w:rPr>
        <w:t>*** En selektiv indfaldsvinkel til indsamling af bivirkninger blev anvendt</w:t>
      </w:r>
    </w:p>
    <w:p w14:paraId="72D53648" w14:textId="77777777" w:rsidR="00F61E6E" w:rsidRPr="00F21719" w:rsidRDefault="00F61E6E" w:rsidP="00B24633">
      <w:pPr>
        <w:tabs>
          <w:tab w:val="left" w:pos="851"/>
        </w:tabs>
        <w:ind w:left="851"/>
        <w:rPr>
          <w:sz w:val="22"/>
          <w:szCs w:val="22"/>
        </w:rPr>
      </w:pPr>
      <w:r w:rsidRPr="00F21719">
        <w:rPr>
          <w:sz w:val="22"/>
          <w:szCs w:val="22"/>
        </w:rPr>
        <w:t># Fra VOYAGER PAD-studiet</w:t>
      </w:r>
    </w:p>
    <w:p w14:paraId="78906C07" w14:textId="77777777" w:rsidR="00F61E6E" w:rsidRPr="00B24633" w:rsidRDefault="00F61E6E" w:rsidP="00B24633">
      <w:pPr>
        <w:pStyle w:val="Sidehoved"/>
        <w:tabs>
          <w:tab w:val="clear" w:pos="4819"/>
          <w:tab w:val="clear" w:pos="9638"/>
          <w:tab w:val="left" w:pos="851"/>
        </w:tabs>
        <w:ind w:left="851"/>
        <w:rPr>
          <w:szCs w:val="24"/>
        </w:rPr>
      </w:pPr>
    </w:p>
    <w:p w14:paraId="578D3CC1" w14:textId="77777777" w:rsidR="00F61E6E" w:rsidRPr="00B24633" w:rsidRDefault="00F61E6E" w:rsidP="00B24633">
      <w:pPr>
        <w:pStyle w:val="Sidehoved"/>
        <w:tabs>
          <w:tab w:val="left" w:pos="851"/>
        </w:tabs>
        <w:ind w:left="851"/>
        <w:rPr>
          <w:szCs w:val="24"/>
          <w:u w:val="single"/>
        </w:rPr>
      </w:pPr>
      <w:r w:rsidRPr="00B24633">
        <w:rPr>
          <w:szCs w:val="24"/>
          <w:u w:val="single"/>
        </w:rPr>
        <w:lastRenderedPageBreak/>
        <w:t>Oversigt over bivirkninger i tabelform</w:t>
      </w:r>
    </w:p>
    <w:p w14:paraId="6060ADD3" w14:textId="207D9229" w:rsidR="00F61E6E" w:rsidRPr="00B24633" w:rsidRDefault="00F61E6E" w:rsidP="00B24633">
      <w:pPr>
        <w:pStyle w:val="Sidehoved"/>
        <w:tabs>
          <w:tab w:val="left" w:pos="851"/>
        </w:tabs>
        <w:ind w:left="851"/>
        <w:rPr>
          <w:szCs w:val="24"/>
        </w:rPr>
      </w:pPr>
      <w:r w:rsidRPr="00B24633">
        <w:rPr>
          <w:szCs w:val="24"/>
        </w:rPr>
        <w:t xml:space="preserve">Hyppighederne af de bivirkninger, der er indberettet for Rivaroxaban </w:t>
      </w:r>
      <w:r w:rsidR="00B24633" w:rsidRPr="00B24633">
        <w:rPr>
          <w:szCs w:val="24"/>
        </w:rPr>
        <w:t>"</w:t>
      </w:r>
      <w:r w:rsidRPr="00B24633">
        <w:rPr>
          <w:szCs w:val="24"/>
        </w:rPr>
        <w:t>Orion</w:t>
      </w:r>
      <w:r w:rsidR="00B24633" w:rsidRPr="00B24633">
        <w:rPr>
          <w:szCs w:val="24"/>
        </w:rPr>
        <w:t>"</w:t>
      </w:r>
      <w:r w:rsidRPr="00B24633">
        <w:rPr>
          <w:szCs w:val="24"/>
        </w:rPr>
        <w:t xml:space="preserve"> hos voksne og pædiatriske patienter, fremgår af tabel 3 nedenfor opdelt efter systemorganklasse (i MedDRA) og hyppighed.</w:t>
      </w:r>
    </w:p>
    <w:p w14:paraId="77F95F33" w14:textId="77777777" w:rsidR="00F61E6E" w:rsidRPr="00B24633" w:rsidRDefault="00F61E6E" w:rsidP="00B24633">
      <w:pPr>
        <w:pStyle w:val="Sidehoved"/>
        <w:tabs>
          <w:tab w:val="left" w:pos="851"/>
        </w:tabs>
        <w:ind w:left="851"/>
        <w:rPr>
          <w:szCs w:val="24"/>
        </w:rPr>
      </w:pPr>
    </w:p>
    <w:p w14:paraId="34C628C8" w14:textId="77777777" w:rsidR="00F61E6E" w:rsidRPr="00B24633" w:rsidRDefault="00F61E6E" w:rsidP="00B24633">
      <w:pPr>
        <w:pStyle w:val="Sidehoved"/>
        <w:tabs>
          <w:tab w:val="left" w:pos="851"/>
        </w:tabs>
        <w:ind w:left="851"/>
        <w:rPr>
          <w:szCs w:val="24"/>
        </w:rPr>
      </w:pPr>
      <w:r w:rsidRPr="00B24633">
        <w:rPr>
          <w:szCs w:val="24"/>
        </w:rPr>
        <w:t>Hyppighed defineres som:</w:t>
      </w:r>
    </w:p>
    <w:p w14:paraId="311740DF" w14:textId="77777777" w:rsidR="00F61E6E" w:rsidRPr="00B24633" w:rsidRDefault="00F61E6E" w:rsidP="00B24633">
      <w:pPr>
        <w:pStyle w:val="Sidehoved"/>
        <w:tabs>
          <w:tab w:val="left" w:pos="851"/>
        </w:tabs>
        <w:ind w:left="851"/>
        <w:rPr>
          <w:szCs w:val="24"/>
        </w:rPr>
      </w:pPr>
      <w:r w:rsidRPr="00B24633">
        <w:rPr>
          <w:szCs w:val="24"/>
        </w:rPr>
        <w:t>Meget almindelig (≥ 1/10)</w:t>
      </w:r>
    </w:p>
    <w:p w14:paraId="64207809" w14:textId="77777777" w:rsidR="00F61E6E" w:rsidRPr="00B24633" w:rsidRDefault="00F61E6E" w:rsidP="00B24633">
      <w:pPr>
        <w:pStyle w:val="Sidehoved"/>
        <w:tabs>
          <w:tab w:val="left" w:pos="851"/>
        </w:tabs>
        <w:ind w:left="851"/>
        <w:rPr>
          <w:szCs w:val="24"/>
        </w:rPr>
      </w:pPr>
      <w:r w:rsidRPr="00B24633">
        <w:rPr>
          <w:szCs w:val="24"/>
        </w:rPr>
        <w:t>Almindelig (≥ 1/100 til &lt; 1/10)</w:t>
      </w:r>
    </w:p>
    <w:p w14:paraId="4CA9E6FB" w14:textId="77777777" w:rsidR="00F61E6E" w:rsidRPr="00B24633" w:rsidRDefault="00F61E6E" w:rsidP="00B24633">
      <w:pPr>
        <w:pStyle w:val="Sidehoved"/>
        <w:tabs>
          <w:tab w:val="left" w:pos="851"/>
        </w:tabs>
        <w:ind w:left="851"/>
        <w:rPr>
          <w:szCs w:val="24"/>
        </w:rPr>
      </w:pPr>
      <w:r w:rsidRPr="00B24633">
        <w:rPr>
          <w:szCs w:val="24"/>
        </w:rPr>
        <w:t>Ikke almindelig (≥ 1/1.000 til &lt; 1/100)</w:t>
      </w:r>
    </w:p>
    <w:p w14:paraId="2D0F12BC" w14:textId="77777777" w:rsidR="00F61E6E" w:rsidRPr="00B24633" w:rsidRDefault="00F61E6E" w:rsidP="00B24633">
      <w:pPr>
        <w:pStyle w:val="Sidehoved"/>
        <w:tabs>
          <w:tab w:val="left" w:pos="851"/>
        </w:tabs>
        <w:ind w:left="851"/>
        <w:rPr>
          <w:szCs w:val="24"/>
        </w:rPr>
      </w:pPr>
      <w:r w:rsidRPr="00B24633">
        <w:rPr>
          <w:szCs w:val="24"/>
        </w:rPr>
        <w:t>Sjælden (≥ 1/10.000 til &lt; 1/1.000)</w:t>
      </w:r>
    </w:p>
    <w:p w14:paraId="364E9130" w14:textId="77777777" w:rsidR="00F61E6E" w:rsidRPr="00B24633" w:rsidRDefault="00F61E6E" w:rsidP="00B24633">
      <w:pPr>
        <w:pStyle w:val="Sidehoved"/>
        <w:tabs>
          <w:tab w:val="left" w:pos="851"/>
        </w:tabs>
        <w:ind w:left="851"/>
        <w:rPr>
          <w:szCs w:val="24"/>
        </w:rPr>
      </w:pPr>
      <w:r w:rsidRPr="00B24633">
        <w:rPr>
          <w:szCs w:val="24"/>
        </w:rPr>
        <w:t>Meget sjælden (&lt; 1/10.000)</w:t>
      </w:r>
    </w:p>
    <w:p w14:paraId="7F249E93" w14:textId="77777777" w:rsidR="00F61E6E" w:rsidRPr="00B24633" w:rsidRDefault="00F61E6E" w:rsidP="00B24633">
      <w:pPr>
        <w:pStyle w:val="Sidehoved"/>
        <w:tabs>
          <w:tab w:val="left" w:pos="851"/>
        </w:tabs>
        <w:ind w:left="851"/>
        <w:rPr>
          <w:szCs w:val="24"/>
        </w:rPr>
      </w:pPr>
      <w:r w:rsidRPr="00B24633">
        <w:rPr>
          <w:szCs w:val="24"/>
        </w:rPr>
        <w:t>Ikke kendt (kan ikke estimeres ud fra de forhåndenværende data)</w:t>
      </w:r>
    </w:p>
    <w:p w14:paraId="3AE459D3" w14:textId="77777777" w:rsidR="00F61E6E" w:rsidRPr="00B24633" w:rsidRDefault="00F61E6E" w:rsidP="00B24633">
      <w:pPr>
        <w:pStyle w:val="Sidehoved"/>
        <w:tabs>
          <w:tab w:val="clear" w:pos="4819"/>
          <w:tab w:val="clear" w:pos="9638"/>
          <w:tab w:val="left" w:pos="851"/>
        </w:tabs>
        <w:ind w:left="851"/>
        <w:rPr>
          <w:szCs w:val="24"/>
        </w:rPr>
      </w:pPr>
    </w:p>
    <w:p w14:paraId="6556C732" w14:textId="77777777" w:rsidR="00F61E6E" w:rsidRPr="00B24633" w:rsidRDefault="00F61E6E" w:rsidP="00B24633">
      <w:pPr>
        <w:pStyle w:val="Sidehoved"/>
        <w:keepNext/>
        <w:tabs>
          <w:tab w:val="clear" w:pos="4819"/>
          <w:tab w:val="clear" w:pos="9638"/>
          <w:tab w:val="left" w:pos="851"/>
        </w:tabs>
        <w:spacing w:after="240"/>
        <w:ind w:left="851"/>
        <w:rPr>
          <w:b/>
          <w:bCs/>
          <w:szCs w:val="24"/>
        </w:rPr>
      </w:pPr>
      <w:r w:rsidRPr="00B24633">
        <w:rPr>
          <w:b/>
          <w:bCs/>
          <w:szCs w:val="24"/>
        </w:rPr>
        <w:t>Tabel 3: Alle indberettede bivirkninger hos voksne patienter i kliniske fase III-studier eller efter markedsføring* og i 2 fase II-studier og 2 fase III-studier hos pædiatriske patienter</w:t>
      </w:r>
    </w:p>
    <w:tbl>
      <w:tblPr>
        <w:tblW w:w="8647"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29"/>
        <w:gridCol w:w="1729"/>
        <w:gridCol w:w="1730"/>
        <w:gridCol w:w="1729"/>
        <w:gridCol w:w="1730"/>
      </w:tblGrid>
      <w:tr w:rsidR="00F61E6E" w:rsidRPr="00F21719" w14:paraId="5FEA6C93" w14:textId="77777777" w:rsidTr="00505B18">
        <w:trPr>
          <w:tblHeader/>
        </w:trPr>
        <w:tc>
          <w:tcPr>
            <w:tcW w:w="1729" w:type="dxa"/>
            <w:shd w:val="clear" w:color="auto" w:fill="auto"/>
          </w:tcPr>
          <w:p w14:paraId="4D24B74F" w14:textId="77777777" w:rsidR="00F61E6E" w:rsidRPr="00F21719" w:rsidRDefault="00F61E6E" w:rsidP="00B24633">
            <w:pPr>
              <w:pStyle w:val="Default"/>
              <w:keepNext/>
              <w:rPr>
                <w:b/>
                <w:bCs/>
                <w:sz w:val="22"/>
                <w:szCs w:val="22"/>
                <w:lang w:val="da-DK"/>
              </w:rPr>
            </w:pPr>
            <w:r w:rsidRPr="00F21719">
              <w:rPr>
                <w:b/>
                <w:bCs/>
                <w:sz w:val="22"/>
                <w:szCs w:val="22"/>
                <w:lang w:val="da-DK"/>
              </w:rPr>
              <w:t xml:space="preserve">Almindelig </w:t>
            </w:r>
          </w:p>
        </w:tc>
        <w:tc>
          <w:tcPr>
            <w:tcW w:w="1729" w:type="dxa"/>
            <w:shd w:val="clear" w:color="auto" w:fill="auto"/>
          </w:tcPr>
          <w:p w14:paraId="14992BFE" w14:textId="77777777" w:rsidR="00F61E6E" w:rsidRPr="00F21719" w:rsidRDefault="00F61E6E" w:rsidP="00B24633">
            <w:pPr>
              <w:pStyle w:val="Default"/>
              <w:keepNext/>
              <w:rPr>
                <w:b/>
                <w:bCs/>
                <w:sz w:val="22"/>
                <w:szCs w:val="22"/>
                <w:lang w:val="da-DK"/>
              </w:rPr>
            </w:pPr>
            <w:r w:rsidRPr="00F21719">
              <w:rPr>
                <w:b/>
                <w:bCs/>
                <w:sz w:val="22"/>
                <w:szCs w:val="22"/>
                <w:lang w:val="da-DK"/>
              </w:rPr>
              <w:t xml:space="preserve">Ikke almindelig </w:t>
            </w:r>
          </w:p>
        </w:tc>
        <w:tc>
          <w:tcPr>
            <w:tcW w:w="1730" w:type="dxa"/>
            <w:shd w:val="clear" w:color="auto" w:fill="auto"/>
          </w:tcPr>
          <w:p w14:paraId="53395E07" w14:textId="77777777" w:rsidR="00F61E6E" w:rsidRPr="00F21719" w:rsidRDefault="00F61E6E" w:rsidP="00B24633">
            <w:pPr>
              <w:pStyle w:val="Default"/>
              <w:keepNext/>
              <w:rPr>
                <w:b/>
                <w:bCs/>
                <w:sz w:val="22"/>
                <w:szCs w:val="22"/>
                <w:lang w:val="da-DK"/>
              </w:rPr>
            </w:pPr>
            <w:r w:rsidRPr="00F21719">
              <w:rPr>
                <w:b/>
                <w:bCs/>
                <w:sz w:val="22"/>
                <w:szCs w:val="22"/>
                <w:lang w:val="da-DK"/>
              </w:rPr>
              <w:t xml:space="preserve">Sjælden </w:t>
            </w:r>
          </w:p>
        </w:tc>
        <w:tc>
          <w:tcPr>
            <w:tcW w:w="1729" w:type="dxa"/>
            <w:shd w:val="clear" w:color="auto" w:fill="auto"/>
          </w:tcPr>
          <w:p w14:paraId="5AD91991" w14:textId="77777777" w:rsidR="00F61E6E" w:rsidRPr="00F21719" w:rsidRDefault="00F61E6E" w:rsidP="00B24633">
            <w:pPr>
              <w:pStyle w:val="Default"/>
              <w:keepNext/>
              <w:rPr>
                <w:b/>
                <w:bCs/>
                <w:sz w:val="22"/>
                <w:szCs w:val="22"/>
                <w:lang w:val="da-DK"/>
              </w:rPr>
            </w:pPr>
            <w:r w:rsidRPr="00F21719">
              <w:rPr>
                <w:b/>
                <w:bCs/>
                <w:sz w:val="22"/>
                <w:szCs w:val="22"/>
                <w:lang w:val="da-DK"/>
              </w:rPr>
              <w:t xml:space="preserve">Meget sjælden </w:t>
            </w:r>
          </w:p>
        </w:tc>
        <w:tc>
          <w:tcPr>
            <w:tcW w:w="1730" w:type="dxa"/>
            <w:shd w:val="clear" w:color="auto" w:fill="auto"/>
          </w:tcPr>
          <w:p w14:paraId="55B6C683" w14:textId="77777777" w:rsidR="00F61E6E" w:rsidRPr="00F21719" w:rsidRDefault="00F61E6E" w:rsidP="00B24633">
            <w:pPr>
              <w:pStyle w:val="Default"/>
              <w:keepNext/>
              <w:rPr>
                <w:b/>
                <w:bCs/>
                <w:sz w:val="22"/>
                <w:szCs w:val="22"/>
                <w:lang w:val="da-DK"/>
              </w:rPr>
            </w:pPr>
            <w:r w:rsidRPr="00F21719">
              <w:rPr>
                <w:b/>
                <w:bCs/>
                <w:sz w:val="22"/>
                <w:szCs w:val="22"/>
                <w:lang w:val="da-DK"/>
              </w:rPr>
              <w:t xml:space="preserve">Ikke kendt </w:t>
            </w:r>
          </w:p>
        </w:tc>
      </w:tr>
      <w:tr w:rsidR="00F61E6E" w:rsidRPr="00F21719" w14:paraId="1B56E9A7" w14:textId="77777777" w:rsidTr="00505B18">
        <w:tc>
          <w:tcPr>
            <w:tcW w:w="8647" w:type="dxa"/>
            <w:gridSpan w:val="5"/>
            <w:shd w:val="clear" w:color="auto" w:fill="auto"/>
          </w:tcPr>
          <w:p w14:paraId="3F542D34" w14:textId="77777777" w:rsidR="00F61E6E" w:rsidRPr="00F21719" w:rsidRDefault="00F61E6E" w:rsidP="00B24633">
            <w:pPr>
              <w:pStyle w:val="Default"/>
              <w:rPr>
                <w:i/>
                <w:iCs/>
                <w:sz w:val="22"/>
                <w:szCs w:val="22"/>
                <w:lang w:val="da-DK"/>
              </w:rPr>
            </w:pPr>
            <w:r w:rsidRPr="00F21719">
              <w:rPr>
                <w:i/>
                <w:iCs/>
                <w:sz w:val="22"/>
                <w:szCs w:val="22"/>
                <w:lang w:val="da-DK"/>
              </w:rPr>
              <w:t>Blod og lymfesystem</w:t>
            </w:r>
          </w:p>
        </w:tc>
      </w:tr>
      <w:tr w:rsidR="00F61E6E" w:rsidRPr="00F21719" w14:paraId="0533E652" w14:textId="77777777" w:rsidTr="00505B18">
        <w:tc>
          <w:tcPr>
            <w:tcW w:w="1729" w:type="dxa"/>
            <w:shd w:val="clear" w:color="auto" w:fill="auto"/>
          </w:tcPr>
          <w:p w14:paraId="704E6343" w14:textId="77777777" w:rsidR="00F61E6E" w:rsidRPr="00F21719" w:rsidRDefault="00F61E6E" w:rsidP="00B24633">
            <w:pPr>
              <w:pStyle w:val="Default"/>
              <w:rPr>
                <w:sz w:val="22"/>
                <w:szCs w:val="22"/>
                <w:lang w:val="da-DK"/>
              </w:rPr>
            </w:pPr>
            <w:r w:rsidRPr="00F21719">
              <w:rPr>
                <w:sz w:val="22"/>
                <w:szCs w:val="22"/>
                <w:lang w:val="da-DK"/>
              </w:rPr>
              <w:t xml:space="preserve">Anæmi (herunder respektive laboratorie-parametre) </w:t>
            </w:r>
          </w:p>
        </w:tc>
        <w:tc>
          <w:tcPr>
            <w:tcW w:w="1729" w:type="dxa"/>
            <w:shd w:val="clear" w:color="auto" w:fill="auto"/>
          </w:tcPr>
          <w:p w14:paraId="0A42F901" w14:textId="77777777" w:rsidR="00F61E6E" w:rsidRPr="00F21719" w:rsidRDefault="00F61E6E" w:rsidP="00B24633">
            <w:pPr>
              <w:pStyle w:val="Default"/>
              <w:rPr>
                <w:sz w:val="22"/>
                <w:szCs w:val="22"/>
                <w:lang w:val="da-DK"/>
              </w:rPr>
            </w:pPr>
            <w:r w:rsidRPr="00F21719">
              <w:rPr>
                <w:sz w:val="22"/>
                <w:szCs w:val="22"/>
                <w:lang w:val="da-DK"/>
              </w:rPr>
              <w:t xml:space="preserve">Trombocytose (inkl. forhøjet </w:t>
            </w:r>
            <w:proofErr w:type="gramStart"/>
            <w:r w:rsidRPr="00F21719">
              <w:rPr>
                <w:sz w:val="22"/>
                <w:szCs w:val="22"/>
                <w:lang w:val="da-DK"/>
              </w:rPr>
              <w:t>trombocyttal)</w:t>
            </w:r>
            <w:r w:rsidRPr="00F21719">
              <w:rPr>
                <w:sz w:val="22"/>
                <w:szCs w:val="22"/>
                <w:vertAlign w:val="superscript"/>
                <w:lang w:val="da-DK"/>
              </w:rPr>
              <w:t>A</w:t>
            </w:r>
            <w:proofErr w:type="gramEnd"/>
            <w:r w:rsidRPr="00F21719">
              <w:rPr>
                <w:sz w:val="22"/>
                <w:szCs w:val="22"/>
                <w:lang w:val="da-DK"/>
              </w:rPr>
              <w:t xml:space="preserve">, trombocytopeni </w:t>
            </w:r>
          </w:p>
        </w:tc>
        <w:tc>
          <w:tcPr>
            <w:tcW w:w="1730" w:type="dxa"/>
            <w:shd w:val="clear" w:color="auto" w:fill="auto"/>
          </w:tcPr>
          <w:p w14:paraId="465751FC" w14:textId="77777777" w:rsidR="00F61E6E" w:rsidRPr="00F21719" w:rsidRDefault="00F61E6E" w:rsidP="00B24633">
            <w:pPr>
              <w:pStyle w:val="Default"/>
              <w:rPr>
                <w:sz w:val="22"/>
                <w:szCs w:val="22"/>
                <w:lang w:val="da-DK"/>
              </w:rPr>
            </w:pPr>
          </w:p>
        </w:tc>
        <w:tc>
          <w:tcPr>
            <w:tcW w:w="1729" w:type="dxa"/>
            <w:shd w:val="clear" w:color="auto" w:fill="auto"/>
          </w:tcPr>
          <w:p w14:paraId="1EF11A59" w14:textId="77777777" w:rsidR="00F61E6E" w:rsidRPr="00F21719" w:rsidRDefault="00F61E6E" w:rsidP="00B24633">
            <w:pPr>
              <w:pStyle w:val="Default"/>
              <w:rPr>
                <w:sz w:val="22"/>
                <w:szCs w:val="22"/>
                <w:lang w:val="da-DK"/>
              </w:rPr>
            </w:pPr>
          </w:p>
        </w:tc>
        <w:tc>
          <w:tcPr>
            <w:tcW w:w="1730" w:type="dxa"/>
            <w:shd w:val="clear" w:color="auto" w:fill="auto"/>
          </w:tcPr>
          <w:p w14:paraId="228C8E18" w14:textId="77777777" w:rsidR="00F61E6E" w:rsidRPr="00F21719" w:rsidRDefault="00F61E6E" w:rsidP="00B24633">
            <w:pPr>
              <w:pStyle w:val="Default"/>
              <w:rPr>
                <w:sz w:val="22"/>
                <w:szCs w:val="22"/>
                <w:lang w:val="da-DK"/>
              </w:rPr>
            </w:pPr>
          </w:p>
        </w:tc>
      </w:tr>
      <w:tr w:rsidR="00F61E6E" w:rsidRPr="00F21719" w14:paraId="27FED01F" w14:textId="77777777" w:rsidTr="00505B18">
        <w:tc>
          <w:tcPr>
            <w:tcW w:w="8647" w:type="dxa"/>
            <w:gridSpan w:val="5"/>
            <w:shd w:val="clear" w:color="auto" w:fill="auto"/>
          </w:tcPr>
          <w:p w14:paraId="331782B9" w14:textId="77777777" w:rsidR="00F61E6E" w:rsidRPr="00F21719" w:rsidRDefault="00F61E6E" w:rsidP="00B24633">
            <w:pPr>
              <w:pStyle w:val="Default"/>
              <w:rPr>
                <w:i/>
                <w:iCs/>
                <w:sz w:val="22"/>
                <w:szCs w:val="22"/>
                <w:lang w:val="da-DK"/>
              </w:rPr>
            </w:pPr>
            <w:r w:rsidRPr="00F21719">
              <w:rPr>
                <w:i/>
                <w:iCs/>
                <w:sz w:val="22"/>
                <w:szCs w:val="22"/>
                <w:lang w:val="da-DK"/>
              </w:rPr>
              <w:t>Immunsystemet</w:t>
            </w:r>
          </w:p>
        </w:tc>
      </w:tr>
      <w:tr w:rsidR="00F61E6E" w:rsidRPr="00F21719" w14:paraId="6E763527" w14:textId="77777777" w:rsidTr="00505B18">
        <w:tc>
          <w:tcPr>
            <w:tcW w:w="1729" w:type="dxa"/>
            <w:shd w:val="clear" w:color="auto" w:fill="auto"/>
          </w:tcPr>
          <w:p w14:paraId="7582F1BA" w14:textId="77777777" w:rsidR="00F61E6E" w:rsidRPr="00F21719" w:rsidRDefault="00F61E6E" w:rsidP="00B24633">
            <w:pPr>
              <w:pStyle w:val="Default"/>
              <w:rPr>
                <w:sz w:val="22"/>
                <w:szCs w:val="22"/>
                <w:lang w:val="da-DK"/>
              </w:rPr>
            </w:pPr>
          </w:p>
        </w:tc>
        <w:tc>
          <w:tcPr>
            <w:tcW w:w="1729" w:type="dxa"/>
            <w:shd w:val="clear" w:color="auto" w:fill="auto"/>
          </w:tcPr>
          <w:p w14:paraId="3B805CD0" w14:textId="77777777" w:rsidR="00F61E6E" w:rsidRPr="00F21719" w:rsidRDefault="00F61E6E" w:rsidP="00B24633">
            <w:pPr>
              <w:pStyle w:val="Default"/>
              <w:rPr>
                <w:sz w:val="22"/>
                <w:szCs w:val="22"/>
                <w:lang w:val="da-DK"/>
              </w:rPr>
            </w:pPr>
            <w:r w:rsidRPr="00F21719">
              <w:rPr>
                <w:sz w:val="22"/>
                <w:szCs w:val="22"/>
                <w:lang w:val="da-DK"/>
              </w:rPr>
              <w:t xml:space="preserve">Allergisk reaktion, allergisk dermatitis, angioødem og allergisk ødem </w:t>
            </w:r>
          </w:p>
        </w:tc>
        <w:tc>
          <w:tcPr>
            <w:tcW w:w="1730" w:type="dxa"/>
            <w:shd w:val="clear" w:color="auto" w:fill="auto"/>
          </w:tcPr>
          <w:p w14:paraId="4675754C" w14:textId="77777777" w:rsidR="00F61E6E" w:rsidRPr="00F21719" w:rsidRDefault="00F61E6E" w:rsidP="00B24633">
            <w:pPr>
              <w:pStyle w:val="Default"/>
              <w:rPr>
                <w:sz w:val="22"/>
                <w:szCs w:val="22"/>
                <w:lang w:val="da-DK"/>
              </w:rPr>
            </w:pPr>
          </w:p>
        </w:tc>
        <w:tc>
          <w:tcPr>
            <w:tcW w:w="1729" w:type="dxa"/>
            <w:shd w:val="clear" w:color="auto" w:fill="auto"/>
          </w:tcPr>
          <w:p w14:paraId="2321C75E" w14:textId="77777777" w:rsidR="00F61E6E" w:rsidRPr="00F21719" w:rsidRDefault="00F61E6E" w:rsidP="00B24633">
            <w:pPr>
              <w:pStyle w:val="Default"/>
              <w:rPr>
                <w:sz w:val="22"/>
                <w:szCs w:val="22"/>
                <w:lang w:val="da-DK"/>
              </w:rPr>
            </w:pPr>
            <w:r w:rsidRPr="00F21719">
              <w:rPr>
                <w:sz w:val="22"/>
                <w:szCs w:val="22"/>
                <w:lang w:val="da-DK"/>
              </w:rPr>
              <w:t>Anafylaktiske reaktioner, herunder anafylaktisk shock</w:t>
            </w:r>
          </w:p>
        </w:tc>
        <w:tc>
          <w:tcPr>
            <w:tcW w:w="1730" w:type="dxa"/>
            <w:shd w:val="clear" w:color="auto" w:fill="auto"/>
          </w:tcPr>
          <w:p w14:paraId="61EA240F" w14:textId="77777777" w:rsidR="00F61E6E" w:rsidRPr="00F21719" w:rsidRDefault="00F61E6E" w:rsidP="00B24633">
            <w:pPr>
              <w:pStyle w:val="Default"/>
              <w:rPr>
                <w:sz w:val="22"/>
                <w:szCs w:val="22"/>
                <w:lang w:val="da-DK"/>
              </w:rPr>
            </w:pPr>
          </w:p>
        </w:tc>
      </w:tr>
      <w:tr w:rsidR="00F61E6E" w:rsidRPr="00F21719" w14:paraId="47252C92" w14:textId="77777777" w:rsidTr="00505B18">
        <w:tc>
          <w:tcPr>
            <w:tcW w:w="8647" w:type="dxa"/>
            <w:gridSpan w:val="5"/>
            <w:shd w:val="clear" w:color="auto" w:fill="auto"/>
          </w:tcPr>
          <w:p w14:paraId="47E213FA" w14:textId="77777777" w:rsidR="00F61E6E" w:rsidRPr="00F21719" w:rsidRDefault="00F61E6E" w:rsidP="00B24633">
            <w:pPr>
              <w:pStyle w:val="Default"/>
              <w:rPr>
                <w:i/>
                <w:iCs/>
                <w:sz w:val="22"/>
                <w:szCs w:val="22"/>
                <w:lang w:val="da-DK"/>
              </w:rPr>
            </w:pPr>
            <w:r w:rsidRPr="00F21719">
              <w:rPr>
                <w:i/>
                <w:iCs/>
                <w:sz w:val="22"/>
                <w:szCs w:val="22"/>
                <w:lang w:val="da-DK"/>
              </w:rPr>
              <w:t>Nervesystemet</w:t>
            </w:r>
          </w:p>
        </w:tc>
      </w:tr>
      <w:tr w:rsidR="00F61E6E" w:rsidRPr="00F21719" w14:paraId="4DC9012B" w14:textId="77777777" w:rsidTr="00505B18">
        <w:tc>
          <w:tcPr>
            <w:tcW w:w="1729" w:type="dxa"/>
            <w:shd w:val="clear" w:color="auto" w:fill="auto"/>
          </w:tcPr>
          <w:p w14:paraId="782BB334" w14:textId="77777777" w:rsidR="00F61E6E" w:rsidRPr="00F21719" w:rsidRDefault="00F61E6E" w:rsidP="00B24633">
            <w:pPr>
              <w:pStyle w:val="Default"/>
              <w:rPr>
                <w:sz w:val="22"/>
                <w:szCs w:val="22"/>
                <w:lang w:val="da-DK"/>
              </w:rPr>
            </w:pPr>
            <w:r w:rsidRPr="00F21719">
              <w:rPr>
                <w:sz w:val="22"/>
                <w:szCs w:val="22"/>
                <w:lang w:val="da-DK"/>
              </w:rPr>
              <w:t xml:space="preserve">Svimmelhed, hovedpine </w:t>
            </w:r>
          </w:p>
        </w:tc>
        <w:tc>
          <w:tcPr>
            <w:tcW w:w="1729" w:type="dxa"/>
            <w:shd w:val="clear" w:color="auto" w:fill="auto"/>
          </w:tcPr>
          <w:p w14:paraId="3F86CDBF" w14:textId="77777777" w:rsidR="00F61E6E" w:rsidRPr="00F21719" w:rsidRDefault="00F61E6E" w:rsidP="00B24633">
            <w:pPr>
              <w:pStyle w:val="Default"/>
              <w:rPr>
                <w:sz w:val="22"/>
                <w:szCs w:val="22"/>
                <w:lang w:val="da-DK"/>
              </w:rPr>
            </w:pPr>
            <w:r w:rsidRPr="00F21719">
              <w:rPr>
                <w:sz w:val="22"/>
                <w:szCs w:val="22"/>
                <w:lang w:val="da-DK"/>
              </w:rPr>
              <w:t xml:space="preserve">Cerebral og intrakraniel blødning, synkope </w:t>
            </w:r>
          </w:p>
        </w:tc>
        <w:tc>
          <w:tcPr>
            <w:tcW w:w="1730" w:type="dxa"/>
            <w:shd w:val="clear" w:color="auto" w:fill="auto"/>
          </w:tcPr>
          <w:p w14:paraId="318FFBF8" w14:textId="77777777" w:rsidR="00F61E6E" w:rsidRPr="00F21719" w:rsidRDefault="00F61E6E" w:rsidP="00B24633">
            <w:pPr>
              <w:pStyle w:val="Default"/>
              <w:rPr>
                <w:sz w:val="22"/>
                <w:szCs w:val="22"/>
                <w:lang w:val="da-DK"/>
              </w:rPr>
            </w:pPr>
          </w:p>
        </w:tc>
        <w:tc>
          <w:tcPr>
            <w:tcW w:w="1729" w:type="dxa"/>
            <w:shd w:val="clear" w:color="auto" w:fill="auto"/>
          </w:tcPr>
          <w:p w14:paraId="7BC21BED" w14:textId="77777777" w:rsidR="00F61E6E" w:rsidRPr="00F21719" w:rsidRDefault="00F61E6E" w:rsidP="00B24633">
            <w:pPr>
              <w:pStyle w:val="Default"/>
              <w:rPr>
                <w:sz w:val="22"/>
                <w:szCs w:val="22"/>
                <w:lang w:val="da-DK"/>
              </w:rPr>
            </w:pPr>
          </w:p>
        </w:tc>
        <w:tc>
          <w:tcPr>
            <w:tcW w:w="1730" w:type="dxa"/>
            <w:shd w:val="clear" w:color="auto" w:fill="auto"/>
          </w:tcPr>
          <w:p w14:paraId="60B65433" w14:textId="77777777" w:rsidR="00F61E6E" w:rsidRPr="00F21719" w:rsidRDefault="00F61E6E" w:rsidP="00B24633">
            <w:pPr>
              <w:pStyle w:val="Default"/>
              <w:rPr>
                <w:sz w:val="22"/>
                <w:szCs w:val="22"/>
                <w:lang w:val="da-DK"/>
              </w:rPr>
            </w:pPr>
          </w:p>
        </w:tc>
      </w:tr>
      <w:tr w:rsidR="00F61E6E" w:rsidRPr="00F21719" w14:paraId="0522306F" w14:textId="77777777" w:rsidTr="00505B18">
        <w:tc>
          <w:tcPr>
            <w:tcW w:w="8647" w:type="dxa"/>
            <w:gridSpan w:val="5"/>
            <w:shd w:val="clear" w:color="auto" w:fill="auto"/>
          </w:tcPr>
          <w:p w14:paraId="333EA3E4" w14:textId="77777777" w:rsidR="00F61E6E" w:rsidRPr="00F21719" w:rsidRDefault="00F61E6E" w:rsidP="00B24633">
            <w:pPr>
              <w:pStyle w:val="Default"/>
              <w:rPr>
                <w:i/>
                <w:iCs/>
                <w:sz w:val="22"/>
                <w:szCs w:val="22"/>
                <w:lang w:val="da-DK"/>
              </w:rPr>
            </w:pPr>
            <w:r w:rsidRPr="00F21719">
              <w:rPr>
                <w:i/>
                <w:iCs/>
                <w:sz w:val="22"/>
                <w:szCs w:val="22"/>
                <w:lang w:val="da-DK"/>
              </w:rPr>
              <w:t>Øjne</w:t>
            </w:r>
          </w:p>
        </w:tc>
      </w:tr>
      <w:tr w:rsidR="00F61E6E" w:rsidRPr="00F21719" w14:paraId="225714A6" w14:textId="77777777" w:rsidTr="00505B18">
        <w:tc>
          <w:tcPr>
            <w:tcW w:w="1729" w:type="dxa"/>
            <w:shd w:val="clear" w:color="auto" w:fill="auto"/>
          </w:tcPr>
          <w:p w14:paraId="0BA8B432" w14:textId="77777777" w:rsidR="00F61E6E" w:rsidRPr="00F21719" w:rsidRDefault="00F61E6E" w:rsidP="00B24633">
            <w:pPr>
              <w:pStyle w:val="Default"/>
              <w:rPr>
                <w:sz w:val="22"/>
                <w:szCs w:val="22"/>
                <w:lang w:val="da-DK"/>
              </w:rPr>
            </w:pPr>
            <w:r w:rsidRPr="00F21719">
              <w:rPr>
                <w:sz w:val="22"/>
                <w:szCs w:val="22"/>
                <w:lang w:val="da-DK"/>
              </w:rPr>
              <w:t xml:space="preserve">Blødning i øjet (herunder konjunktiva) </w:t>
            </w:r>
          </w:p>
        </w:tc>
        <w:tc>
          <w:tcPr>
            <w:tcW w:w="1729" w:type="dxa"/>
            <w:shd w:val="clear" w:color="auto" w:fill="auto"/>
          </w:tcPr>
          <w:p w14:paraId="62159989" w14:textId="77777777" w:rsidR="00F61E6E" w:rsidRPr="00F21719" w:rsidRDefault="00F61E6E" w:rsidP="00B24633">
            <w:pPr>
              <w:pStyle w:val="Default"/>
              <w:rPr>
                <w:sz w:val="22"/>
                <w:szCs w:val="22"/>
                <w:lang w:val="da-DK"/>
              </w:rPr>
            </w:pPr>
          </w:p>
        </w:tc>
        <w:tc>
          <w:tcPr>
            <w:tcW w:w="1730" w:type="dxa"/>
            <w:shd w:val="clear" w:color="auto" w:fill="auto"/>
          </w:tcPr>
          <w:p w14:paraId="71AFFF86" w14:textId="77777777" w:rsidR="00F61E6E" w:rsidRPr="00F21719" w:rsidRDefault="00F61E6E" w:rsidP="00B24633">
            <w:pPr>
              <w:pStyle w:val="Default"/>
              <w:rPr>
                <w:sz w:val="22"/>
                <w:szCs w:val="22"/>
                <w:lang w:val="da-DK"/>
              </w:rPr>
            </w:pPr>
          </w:p>
        </w:tc>
        <w:tc>
          <w:tcPr>
            <w:tcW w:w="1729" w:type="dxa"/>
            <w:shd w:val="clear" w:color="auto" w:fill="auto"/>
          </w:tcPr>
          <w:p w14:paraId="07EAA0F5" w14:textId="77777777" w:rsidR="00F61E6E" w:rsidRPr="00F21719" w:rsidRDefault="00F61E6E" w:rsidP="00B24633">
            <w:pPr>
              <w:pStyle w:val="Default"/>
              <w:rPr>
                <w:sz w:val="22"/>
                <w:szCs w:val="22"/>
                <w:lang w:val="da-DK"/>
              </w:rPr>
            </w:pPr>
          </w:p>
        </w:tc>
        <w:tc>
          <w:tcPr>
            <w:tcW w:w="1730" w:type="dxa"/>
            <w:shd w:val="clear" w:color="auto" w:fill="auto"/>
          </w:tcPr>
          <w:p w14:paraId="4F2D926C" w14:textId="77777777" w:rsidR="00F61E6E" w:rsidRPr="00F21719" w:rsidRDefault="00F61E6E" w:rsidP="00B24633">
            <w:pPr>
              <w:pStyle w:val="Default"/>
              <w:rPr>
                <w:sz w:val="22"/>
                <w:szCs w:val="22"/>
                <w:lang w:val="da-DK"/>
              </w:rPr>
            </w:pPr>
          </w:p>
        </w:tc>
      </w:tr>
      <w:tr w:rsidR="00F61E6E" w:rsidRPr="00F21719" w14:paraId="3B3B3D7F" w14:textId="77777777" w:rsidTr="00505B18">
        <w:tc>
          <w:tcPr>
            <w:tcW w:w="8647" w:type="dxa"/>
            <w:gridSpan w:val="5"/>
            <w:shd w:val="clear" w:color="auto" w:fill="auto"/>
          </w:tcPr>
          <w:p w14:paraId="01BFEEDD" w14:textId="77777777" w:rsidR="00F61E6E" w:rsidRPr="00F21719" w:rsidRDefault="00F61E6E" w:rsidP="00B24633">
            <w:pPr>
              <w:pStyle w:val="Default"/>
              <w:rPr>
                <w:i/>
                <w:iCs/>
                <w:sz w:val="22"/>
                <w:szCs w:val="22"/>
                <w:lang w:val="da-DK"/>
              </w:rPr>
            </w:pPr>
            <w:r w:rsidRPr="00F21719">
              <w:rPr>
                <w:i/>
                <w:iCs/>
                <w:sz w:val="22"/>
                <w:szCs w:val="22"/>
                <w:lang w:val="da-DK"/>
              </w:rPr>
              <w:t>Hjerte</w:t>
            </w:r>
          </w:p>
        </w:tc>
      </w:tr>
      <w:tr w:rsidR="00F61E6E" w:rsidRPr="00F21719" w14:paraId="3C8EBF31" w14:textId="77777777" w:rsidTr="00505B18">
        <w:tc>
          <w:tcPr>
            <w:tcW w:w="1729" w:type="dxa"/>
            <w:shd w:val="clear" w:color="auto" w:fill="auto"/>
          </w:tcPr>
          <w:p w14:paraId="6AB3073B" w14:textId="77777777" w:rsidR="00F61E6E" w:rsidRPr="00F21719" w:rsidRDefault="00F61E6E" w:rsidP="00B24633">
            <w:pPr>
              <w:pStyle w:val="Default"/>
              <w:rPr>
                <w:sz w:val="22"/>
                <w:szCs w:val="22"/>
                <w:lang w:val="da-DK"/>
              </w:rPr>
            </w:pPr>
          </w:p>
        </w:tc>
        <w:tc>
          <w:tcPr>
            <w:tcW w:w="1729" w:type="dxa"/>
            <w:shd w:val="clear" w:color="auto" w:fill="auto"/>
          </w:tcPr>
          <w:p w14:paraId="712947F5" w14:textId="77777777" w:rsidR="00F61E6E" w:rsidRPr="00F21719" w:rsidRDefault="00F61E6E" w:rsidP="00B24633">
            <w:pPr>
              <w:pStyle w:val="Default"/>
              <w:rPr>
                <w:sz w:val="22"/>
                <w:szCs w:val="22"/>
                <w:lang w:val="da-DK"/>
              </w:rPr>
            </w:pPr>
            <w:r w:rsidRPr="00F21719">
              <w:rPr>
                <w:sz w:val="22"/>
                <w:szCs w:val="22"/>
                <w:lang w:val="da-DK"/>
              </w:rPr>
              <w:t>Takykardi</w:t>
            </w:r>
          </w:p>
        </w:tc>
        <w:tc>
          <w:tcPr>
            <w:tcW w:w="1730" w:type="dxa"/>
            <w:shd w:val="clear" w:color="auto" w:fill="auto"/>
          </w:tcPr>
          <w:p w14:paraId="57BA86ED" w14:textId="77777777" w:rsidR="00F61E6E" w:rsidRPr="00F21719" w:rsidRDefault="00F61E6E" w:rsidP="00B24633">
            <w:pPr>
              <w:pStyle w:val="Default"/>
              <w:rPr>
                <w:sz w:val="22"/>
                <w:szCs w:val="22"/>
                <w:lang w:val="da-DK"/>
              </w:rPr>
            </w:pPr>
          </w:p>
        </w:tc>
        <w:tc>
          <w:tcPr>
            <w:tcW w:w="1729" w:type="dxa"/>
            <w:shd w:val="clear" w:color="auto" w:fill="auto"/>
          </w:tcPr>
          <w:p w14:paraId="29D714EE" w14:textId="77777777" w:rsidR="00F61E6E" w:rsidRPr="00F21719" w:rsidRDefault="00F61E6E" w:rsidP="00B24633">
            <w:pPr>
              <w:pStyle w:val="Default"/>
              <w:rPr>
                <w:sz w:val="22"/>
                <w:szCs w:val="22"/>
                <w:lang w:val="da-DK"/>
              </w:rPr>
            </w:pPr>
          </w:p>
        </w:tc>
        <w:tc>
          <w:tcPr>
            <w:tcW w:w="1730" w:type="dxa"/>
            <w:shd w:val="clear" w:color="auto" w:fill="auto"/>
          </w:tcPr>
          <w:p w14:paraId="3B4AB857" w14:textId="77777777" w:rsidR="00F61E6E" w:rsidRPr="00F21719" w:rsidRDefault="00F61E6E" w:rsidP="00B24633">
            <w:pPr>
              <w:pStyle w:val="Default"/>
              <w:rPr>
                <w:sz w:val="22"/>
                <w:szCs w:val="22"/>
                <w:lang w:val="da-DK"/>
              </w:rPr>
            </w:pPr>
          </w:p>
        </w:tc>
      </w:tr>
      <w:tr w:rsidR="00F61E6E" w:rsidRPr="00F21719" w14:paraId="601791EA" w14:textId="77777777" w:rsidTr="00505B18">
        <w:tc>
          <w:tcPr>
            <w:tcW w:w="8647" w:type="dxa"/>
            <w:gridSpan w:val="5"/>
            <w:shd w:val="clear" w:color="auto" w:fill="auto"/>
          </w:tcPr>
          <w:p w14:paraId="4B498F9F" w14:textId="77777777" w:rsidR="00F61E6E" w:rsidRPr="00F21719" w:rsidRDefault="00F61E6E" w:rsidP="00B24633">
            <w:pPr>
              <w:pStyle w:val="Default"/>
              <w:rPr>
                <w:i/>
                <w:iCs/>
                <w:sz w:val="22"/>
                <w:szCs w:val="22"/>
                <w:lang w:val="da-DK"/>
              </w:rPr>
            </w:pPr>
            <w:r w:rsidRPr="00F21719">
              <w:rPr>
                <w:i/>
                <w:iCs/>
                <w:sz w:val="22"/>
                <w:szCs w:val="22"/>
                <w:lang w:val="da-DK"/>
              </w:rPr>
              <w:t>Vaskulære sygdomme</w:t>
            </w:r>
          </w:p>
        </w:tc>
      </w:tr>
      <w:tr w:rsidR="00F61E6E" w:rsidRPr="00F21719" w14:paraId="6B2EB571" w14:textId="77777777" w:rsidTr="00505B18">
        <w:tc>
          <w:tcPr>
            <w:tcW w:w="1729" w:type="dxa"/>
            <w:shd w:val="clear" w:color="auto" w:fill="auto"/>
          </w:tcPr>
          <w:p w14:paraId="03459EF8" w14:textId="77777777" w:rsidR="00F61E6E" w:rsidRPr="00F21719" w:rsidRDefault="00F61E6E" w:rsidP="00B24633">
            <w:pPr>
              <w:pStyle w:val="Default"/>
              <w:rPr>
                <w:sz w:val="22"/>
                <w:szCs w:val="22"/>
                <w:lang w:val="da-DK"/>
              </w:rPr>
            </w:pPr>
            <w:r w:rsidRPr="00F21719">
              <w:rPr>
                <w:sz w:val="22"/>
                <w:szCs w:val="22"/>
                <w:lang w:val="da-DK"/>
              </w:rPr>
              <w:t>Hypotension, Hæmatom</w:t>
            </w:r>
          </w:p>
        </w:tc>
        <w:tc>
          <w:tcPr>
            <w:tcW w:w="1729" w:type="dxa"/>
            <w:shd w:val="clear" w:color="auto" w:fill="auto"/>
          </w:tcPr>
          <w:p w14:paraId="20F04538" w14:textId="77777777" w:rsidR="00F61E6E" w:rsidRPr="00F21719" w:rsidRDefault="00F61E6E" w:rsidP="00B24633">
            <w:pPr>
              <w:pStyle w:val="Default"/>
              <w:rPr>
                <w:sz w:val="22"/>
                <w:szCs w:val="22"/>
                <w:lang w:val="da-DK"/>
              </w:rPr>
            </w:pPr>
          </w:p>
        </w:tc>
        <w:tc>
          <w:tcPr>
            <w:tcW w:w="1730" w:type="dxa"/>
            <w:shd w:val="clear" w:color="auto" w:fill="auto"/>
          </w:tcPr>
          <w:p w14:paraId="3C9C46DE" w14:textId="77777777" w:rsidR="00F61E6E" w:rsidRPr="00F21719" w:rsidRDefault="00F61E6E" w:rsidP="00B24633">
            <w:pPr>
              <w:pStyle w:val="Default"/>
              <w:rPr>
                <w:sz w:val="22"/>
                <w:szCs w:val="22"/>
                <w:lang w:val="da-DK"/>
              </w:rPr>
            </w:pPr>
          </w:p>
        </w:tc>
        <w:tc>
          <w:tcPr>
            <w:tcW w:w="1729" w:type="dxa"/>
            <w:shd w:val="clear" w:color="auto" w:fill="auto"/>
          </w:tcPr>
          <w:p w14:paraId="5257951A" w14:textId="77777777" w:rsidR="00F61E6E" w:rsidRPr="00F21719" w:rsidRDefault="00F61E6E" w:rsidP="00B24633">
            <w:pPr>
              <w:pStyle w:val="Default"/>
              <w:rPr>
                <w:sz w:val="22"/>
                <w:szCs w:val="22"/>
                <w:lang w:val="da-DK"/>
              </w:rPr>
            </w:pPr>
          </w:p>
        </w:tc>
        <w:tc>
          <w:tcPr>
            <w:tcW w:w="1730" w:type="dxa"/>
            <w:shd w:val="clear" w:color="auto" w:fill="auto"/>
          </w:tcPr>
          <w:p w14:paraId="04FFFA37" w14:textId="77777777" w:rsidR="00F61E6E" w:rsidRPr="00F21719" w:rsidRDefault="00F61E6E" w:rsidP="00B24633">
            <w:pPr>
              <w:pStyle w:val="Default"/>
              <w:rPr>
                <w:sz w:val="22"/>
                <w:szCs w:val="22"/>
                <w:lang w:val="da-DK"/>
              </w:rPr>
            </w:pPr>
          </w:p>
        </w:tc>
      </w:tr>
      <w:tr w:rsidR="00F61E6E" w:rsidRPr="00F21719" w14:paraId="13B50B43" w14:textId="77777777" w:rsidTr="00505B18">
        <w:tc>
          <w:tcPr>
            <w:tcW w:w="8647" w:type="dxa"/>
            <w:gridSpan w:val="5"/>
            <w:shd w:val="clear" w:color="auto" w:fill="auto"/>
          </w:tcPr>
          <w:p w14:paraId="79F3A95B" w14:textId="77777777" w:rsidR="00F61E6E" w:rsidRPr="00F21719" w:rsidRDefault="00F61E6E" w:rsidP="00B24633">
            <w:pPr>
              <w:pStyle w:val="Default"/>
              <w:rPr>
                <w:i/>
                <w:iCs/>
                <w:sz w:val="22"/>
                <w:szCs w:val="22"/>
                <w:lang w:val="da-DK"/>
              </w:rPr>
            </w:pPr>
            <w:r w:rsidRPr="00F21719">
              <w:rPr>
                <w:i/>
                <w:iCs/>
                <w:sz w:val="22"/>
                <w:szCs w:val="22"/>
                <w:lang w:val="da-DK"/>
              </w:rPr>
              <w:t>Luftveje, thorax og mediastinum</w:t>
            </w:r>
          </w:p>
        </w:tc>
      </w:tr>
      <w:tr w:rsidR="00F61E6E" w:rsidRPr="00F21719" w14:paraId="61AA8FDF" w14:textId="77777777" w:rsidTr="00505B18">
        <w:tc>
          <w:tcPr>
            <w:tcW w:w="1729" w:type="dxa"/>
            <w:shd w:val="clear" w:color="auto" w:fill="auto"/>
          </w:tcPr>
          <w:p w14:paraId="237DBEEA" w14:textId="77777777" w:rsidR="00F61E6E" w:rsidRPr="00F21719" w:rsidRDefault="00F61E6E" w:rsidP="00B24633">
            <w:pPr>
              <w:pStyle w:val="Default"/>
              <w:rPr>
                <w:sz w:val="22"/>
                <w:szCs w:val="22"/>
                <w:lang w:val="da-DK"/>
              </w:rPr>
            </w:pPr>
            <w:r w:rsidRPr="00F21719">
              <w:rPr>
                <w:sz w:val="22"/>
                <w:szCs w:val="22"/>
                <w:lang w:val="da-DK"/>
              </w:rPr>
              <w:t>Epistaxis, Hæmoptyse</w:t>
            </w:r>
          </w:p>
        </w:tc>
        <w:tc>
          <w:tcPr>
            <w:tcW w:w="1729" w:type="dxa"/>
            <w:shd w:val="clear" w:color="auto" w:fill="auto"/>
          </w:tcPr>
          <w:p w14:paraId="2A11EBFA" w14:textId="77777777" w:rsidR="00F61E6E" w:rsidRPr="00F21719" w:rsidRDefault="00F61E6E" w:rsidP="00B24633">
            <w:pPr>
              <w:pStyle w:val="Default"/>
              <w:rPr>
                <w:sz w:val="22"/>
                <w:szCs w:val="22"/>
                <w:lang w:val="da-DK"/>
              </w:rPr>
            </w:pPr>
          </w:p>
        </w:tc>
        <w:tc>
          <w:tcPr>
            <w:tcW w:w="1730" w:type="dxa"/>
            <w:shd w:val="clear" w:color="auto" w:fill="auto"/>
          </w:tcPr>
          <w:p w14:paraId="0C96AEEA" w14:textId="77777777" w:rsidR="00F61E6E" w:rsidRPr="00F21719" w:rsidRDefault="00F61E6E" w:rsidP="00B24633">
            <w:pPr>
              <w:pStyle w:val="Default"/>
              <w:rPr>
                <w:sz w:val="22"/>
                <w:szCs w:val="22"/>
                <w:lang w:val="da-DK"/>
              </w:rPr>
            </w:pPr>
          </w:p>
        </w:tc>
        <w:tc>
          <w:tcPr>
            <w:tcW w:w="1729" w:type="dxa"/>
            <w:shd w:val="clear" w:color="auto" w:fill="auto"/>
          </w:tcPr>
          <w:p w14:paraId="0BC0F95D" w14:textId="08D52C69" w:rsidR="00F61E6E" w:rsidRPr="00F21719" w:rsidRDefault="00430E67" w:rsidP="00B24633">
            <w:pPr>
              <w:pStyle w:val="Default"/>
              <w:rPr>
                <w:sz w:val="22"/>
                <w:szCs w:val="22"/>
                <w:lang w:val="da-DK"/>
              </w:rPr>
            </w:pPr>
            <w:r>
              <w:rPr>
                <w:sz w:val="22"/>
                <w:szCs w:val="22"/>
                <w:lang w:val="da-DK"/>
              </w:rPr>
              <w:t>Eosinofil pneumoni</w:t>
            </w:r>
          </w:p>
        </w:tc>
        <w:tc>
          <w:tcPr>
            <w:tcW w:w="1730" w:type="dxa"/>
            <w:shd w:val="clear" w:color="auto" w:fill="auto"/>
          </w:tcPr>
          <w:p w14:paraId="052B1AAA" w14:textId="77777777" w:rsidR="00F61E6E" w:rsidRPr="00F21719" w:rsidRDefault="00F61E6E" w:rsidP="00B24633">
            <w:pPr>
              <w:pStyle w:val="Default"/>
              <w:rPr>
                <w:sz w:val="22"/>
                <w:szCs w:val="22"/>
                <w:lang w:val="da-DK"/>
              </w:rPr>
            </w:pPr>
          </w:p>
        </w:tc>
      </w:tr>
      <w:tr w:rsidR="00F61E6E" w:rsidRPr="00F21719" w14:paraId="27BC1366" w14:textId="77777777" w:rsidTr="00505B18">
        <w:tc>
          <w:tcPr>
            <w:tcW w:w="8647" w:type="dxa"/>
            <w:gridSpan w:val="5"/>
            <w:shd w:val="clear" w:color="auto" w:fill="auto"/>
          </w:tcPr>
          <w:p w14:paraId="675E4CFA" w14:textId="77777777" w:rsidR="00F61E6E" w:rsidRPr="00F21719" w:rsidRDefault="00F61E6E" w:rsidP="00B24633">
            <w:pPr>
              <w:pStyle w:val="Default"/>
              <w:rPr>
                <w:i/>
                <w:iCs/>
                <w:sz w:val="22"/>
                <w:szCs w:val="22"/>
                <w:lang w:val="da-DK"/>
              </w:rPr>
            </w:pPr>
            <w:r w:rsidRPr="00F21719">
              <w:rPr>
                <w:i/>
                <w:iCs/>
                <w:sz w:val="22"/>
                <w:szCs w:val="22"/>
                <w:lang w:val="da-DK"/>
              </w:rPr>
              <w:t>Mave-tarm-kanalen</w:t>
            </w:r>
          </w:p>
        </w:tc>
      </w:tr>
      <w:tr w:rsidR="00F61E6E" w:rsidRPr="00F21719" w14:paraId="74C42502" w14:textId="77777777" w:rsidTr="00505B18">
        <w:tc>
          <w:tcPr>
            <w:tcW w:w="1729" w:type="dxa"/>
            <w:shd w:val="clear" w:color="auto" w:fill="auto"/>
          </w:tcPr>
          <w:p w14:paraId="7540FE34" w14:textId="77777777" w:rsidR="00F61E6E" w:rsidRPr="00F21719" w:rsidRDefault="00F61E6E" w:rsidP="00B24633">
            <w:pPr>
              <w:pStyle w:val="Default"/>
              <w:rPr>
                <w:sz w:val="22"/>
                <w:szCs w:val="22"/>
                <w:lang w:val="da-DK"/>
              </w:rPr>
            </w:pPr>
            <w:r w:rsidRPr="00F21719">
              <w:rPr>
                <w:sz w:val="22"/>
                <w:szCs w:val="22"/>
                <w:lang w:val="da-DK"/>
              </w:rPr>
              <w:t xml:space="preserve">Gingival blødning, blødning fra mave-tarm-kanalen </w:t>
            </w:r>
            <w:r w:rsidRPr="00F21719">
              <w:rPr>
                <w:sz w:val="22"/>
                <w:szCs w:val="22"/>
                <w:lang w:val="da-DK"/>
              </w:rPr>
              <w:lastRenderedPageBreak/>
              <w:t>(herunder rektal blødning), gastrointestinale og abdominale smerter, dyspepsi, nausea, obstipation</w:t>
            </w:r>
            <w:r w:rsidRPr="00F21719">
              <w:rPr>
                <w:sz w:val="22"/>
                <w:szCs w:val="22"/>
                <w:vertAlign w:val="superscript"/>
                <w:lang w:val="da-DK"/>
              </w:rPr>
              <w:t>A</w:t>
            </w:r>
            <w:r w:rsidRPr="00F21719">
              <w:rPr>
                <w:sz w:val="22"/>
                <w:szCs w:val="22"/>
                <w:lang w:val="da-DK"/>
              </w:rPr>
              <w:t>, diarré, opkastning</w:t>
            </w:r>
            <w:r w:rsidRPr="00F21719">
              <w:rPr>
                <w:sz w:val="22"/>
                <w:szCs w:val="22"/>
                <w:vertAlign w:val="superscript"/>
                <w:lang w:val="da-DK"/>
              </w:rPr>
              <w:t>A</w:t>
            </w:r>
            <w:r w:rsidRPr="00F21719">
              <w:rPr>
                <w:sz w:val="22"/>
                <w:szCs w:val="22"/>
                <w:lang w:val="da-DK"/>
              </w:rPr>
              <w:t xml:space="preserve"> </w:t>
            </w:r>
          </w:p>
        </w:tc>
        <w:tc>
          <w:tcPr>
            <w:tcW w:w="1729" w:type="dxa"/>
            <w:shd w:val="clear" w:color="auto" w:fill="auto"/>
          </w:tcPr>
          <w:p w14:paraId="5964FC09" w14:textId="77777777" w:rsidR="00F61E6E" w:rsidRPr="00F21719" w:rsidRDefault="00F61E6E" w:rsidP="00B24633">
            <w:pPr>
              <w:pStyle w:val="Default"/>
              <w:rPr>
                <w:sz w:val="22"/>
                <w:szCs w:val="22"/>
                <w:lang w:val="da-DK"/>
              </w:rPr>
            </w:pPr>
            <w:r w:rsidRPr="00F21719">
              <w:rPr>
                <w:sz w:val="22"/>
                <w:szCs w:val="22"/>
                <w:lang w:val="da-DK"/>
              </w:rPr>
              <w:lastRenderedPageBreak/>
              <w:t>Mundtørhed</w:t>
            </w:r>
          </w:p>
        </w:tc>
        <w:tc>
          <w:tcPr>
            <w:tcW w:w="1730" w:type="dxa"/>
            <w:shd w:val="clear" w:color="auto" w:fill="auto"/>
          </w:tcPr>
          <w:p w14:paraId="1225DBE2" w14:textId="77777777" w:rsidR="00F61E6E" w:rsidRPr="00F21719" w:rsidRDefault="00F61E6E" w:rsidP="00B24633">
            <w:pPr>
              <w:pStyle w:val="Default"/>
              <w:rPr>
                <w:sz w:val="22"/>
                <w:szCs w:val="22"/>
                <w:lang w:val="da-DK"/>
              </w:rPr>
            </w:pPr>
          </w:p>
        </w:tc>
        <w:tc>
          <w:tcPr>
            <w:tcW w:w="1729" w:type="dxa"/>
            <w:shd w:val="clear" w:color="auto" w:fill="auto"/>
          </w:tcPr>
          <w:p w14:paraId="5171352F" w14:textId="77777777" w:rsidR="00F61E6E" w:rsidRPr="00F21719" w:rsidRDefault="00F61E6E" w:rsidP="00B24633">
            <w:pPr>
              <w:pStyle w:val="Default"/>
              <w:rPr>
                <w:sz w:val="22"/>
                <w:szCs w:val="22"/>
                <w:lang w:val="da-DK"/>
              </w:rPr>
            </w:pPr>
          </w:p>
        </w:tc>
        <w:tc>
          <w:tcPr>
            <w:tcW w:w="1730" w:type="dxa"/>
            <w:shd w:val="clear" w:color="auto" w:fill="auto"/>
          </w:tcPr>
          <w:p w14:paraId="7F121BDF" w14:textId="77777777" w:rsidR="00F61E6E" w:rsidRPr="00F21719" w:rsidRDefault="00F61E6E" w:rsidP="00B24633">
            <w:pPr>
              <w:pStyle w:val="Default"/>
              <w:rPr>
                <w:sz w:val="22"/>
                <w:szCs w:val="22"/>
                <w:lang w:val="da-DK"/>
              </w:rPr>
            </w:pPr>
          </w:p>
        </w:tc>
      </w:tr>
      <w:tr w:rsidR="00F61E6E" w:rsidRPr="00F21719" w14:paraId="7D12CE12" w14:textId="77777777" w:rsidTr="00505B18">
        <w:tc>
          <w:tcPr>
            <w:tcW w:w="8647" w:type="dxa"/>
            <w:gridSpan w:val="5"/>
            <w:shd w:val="clear" w:color="auto" w:fill="auto"/>
          </w:tcPr>
          <w:p w14:paraId="23CCA641" w14:textId="77777777" w:rsidR="00F61E6E" w:rsidRPr="00F21719" w:rsidRDefault="00F61E6E" w:rsidP="00B24633">
            <w:pPr>
              <w:pStyle w:val="Default"/>
              <w:rPr>
                <w:i/>
                <w:iCs/>
                <w:sz w:val="22"/>
                <w:szCs w:val="22"/>
                <w:lang w:val="da-DK"/>
              </w:rPr>
            </w:pPr>
            <w:r w:rsidRPr="00F21719">
              <w:rPr>
                <w:i/>
                <w:iCs/>
                <w:sz w:val="22"/>
                <w:szCs w:val="22"/>
                <w:lang w:val="da-DK"/>
              </w:rPr>
              <w:t>Lever og galdeveje</w:t>
            </w:r>
          </w:p>
        </w:tc>
      </w:tr>
      <w:tr w:rsidR="00F61E6E" w:rsidRPr="00F21719" w14:paraId="54FD91BA" w14:textId="77777777" w:rsidTr="00505B18">
        <w:tc>
          <w:tcPr>
            <w:tcW w:w="1729" w:type="dxa"/>
            <w:shd w:val="clear" w:color="auto" w:fill="auto"/>
          </w:tcPr>
          <w:p w14:paraId="55788D29" w14:textId="77777777" w:rsidR="00F61E6E" w:rsidRPr="00F21719" w:rsidRDefault="00F61E6E" w:rsidP="00B24633">
            <w:pPr>
              <w:pStyle w:val="Default"/>
              <w:rPr>
                <w:sz w:val="22"/>
                <w:szCs w:val="22"/>
                <w:lang w:val="da-DK"/>
              </w:rPr>
            </w:pPr>
            <w:r w:rsidRPr="00F21719">
              <w:rPr>
                <w:sz w:val="22"/>
                <w:szCs w:val="22"/>
                <w:lang w:val="da-DK"/>
              </w:rPr>
              <w:t xml:space="preserve">Forhøjede aminotransfera-ser </w:t>
            </w:r>
          </w:p>
        </w:tc>
        <w:tc>
          <w:tcPr>
            <w:tcW w:w="1729" w:type="dxa"/>
            <w:shd w:val="clear" w:color="auto" w:fill="auto"/>
          </w:tcPr>
          <w:p w14:paraId="0CCC4B38" w14:textId="77777777" w:rsidR="00F61E6E" w:rsidRPr="00F21719" w:rsidRDefault="00F61E6E" w:rsidP="00B24633">
            <w:pPr>
              <w:pStyle w:val="Default"/>
              <w:rPr>
                <w:sz w:val="22"/>
                <w:szCs w:val="22"/>
                <w:lang w:val="da-DK"/>
              </w:rPr>
            </w:pPr>
            <w:r w:rsidRPr="00F21719">
              <w:rPr>
                <w:sz w:val="22"/>
                <w:szCs w:val="22"/>
                <w:lang w:val="da-DK"/>
              </w:rPr>
              <w:t>Nedsat leverfunktion, forhøjet bilirubin, forhøjet basisk serumfosfatase</w:t>
            </w:r>
            <w:r w:rsidRPr="00F21719">
              <w:rPr>
                <w:sz w:val="22"/>
                <w:szCs w:val="22"/>
                <w:vertAlign w:val="superscript"/>
                <w:lang w:val="da-DK"/>
              </w:rPr>
              <w:t>A</w:t>
            </w:r>
            <w:r w:rsidRPr="00F21719">
              <w:rPr>
                <w:sz w:val="22"/>
                <w:szCs w:val="22"/>
                <w:lang w:val="da-DK"/>
              </w:rPr>
              <w:t>, forhøjet GGT</w:t>
            </w:r>
            <w:r w:rsidRPr="00F21719">
              <w:rPr>
                <w:sz w:val="22"/>
                <w:szCs w:val="22"/>
                <w:vertAlign w:val="superscript"/>
                <w:lang w:val="da-DK"/>
              </w:rPr>
              <w:t>A</w:t>
            </w:r>
            <w:r w:rsidRPr="00F21719">
              <w:rPr>
                <w:sz w:val="22"/>
                <w:szCs w:val="22"/>
                <w:lang w:val="da-DK"/>
              </w:rPr>
              <w:t xml:space="preserve"> </w:t>
            </w:r>
          </w:p>
          <w:p w14:paraId="146E5759" w14:textId="77777777" w:rsidR="00F61E6E" w:rsidRPr="00F21719" w:rsidRDefault="00F61E6E" w:rsidP="00B24633">
            <w:pPr>
              <w:pStyle w:val="Sidehoved"/>
              <w:tabs>
                <w:tab w:val="left" w:pos="210"/>
                <w:tab w:val="left" w:pos="742"/>
                <w:tab w:val="left" w:pos="1309"/>
              </w:tabs>
              <w:ind w:left="175" w:firstLine="35"/>
              <w:rPr>
                <w:sz w:val="22"/>
                <w:szCs w:val="22"/>
              </w:rPr>
            </w:pPr>
          </w:p>
        </w:tc>
        <w:tc>
          <w:tcPr>
            <w:tcW w:w="1730" w:type="dxa"/>
            <w:shd w:val="clear" w:color="auto" w:fill="auto"/>
          </w:tcPr>
          <w:p w14:paraId="6819A70E" w14:textId="77777777" w:rsidR="00F61E6E" w:rsidRPr="00F21719" w:rsidRDefault="00F61E6E" w:rsidP="00B24633">
            <w:pPr>
              <w:pStyle w:val="Default"/>
              <w:rPr>
                <w:sz w:val="22"/>
                <w:szCs w:val="22"/>
                <w:lang w:val="da-DK"/>
              </w:rPr>
            </w:pPr>
            <w:r w:rsidRPr="00F21719">
              <w:rPr>
                <w:sz w:val="22"/>
                <w:szCs w:val="22"/>
                <w:lang w:val="da-DK"/>
              </w:rPr>
              <w:t xml:space="preserve">Gulsot, stigning i konjungeret bilirubin (med eller uden samtidig stigning i ALAT), koletase, hepatitis (inklusive hepatocellulær skade) </w:t>
            </w:r>
          </w:p>
        </w:tc>
        <w:tc>
          <w:tcPr>
            <w:tcW w:w="1729" w:type="dxa"/>
            <w:shd w:val="clear" w:color="auto" w:fill="auto"/>
          </w:tcPr>
          <w:p w14:paraId="3B2AA6FE"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c>
          <w:tcPr>
            <w:tcW w:w="1730" w:type="dxa"/>
            <w:shd w:val="clear" w:color="auto" w:fill="auto"/>
          </w:tcPr>
          <w:p w14:paraId="6E552F1E"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r>
      <w:tr w:rsidR="00F61E6E" w:rsidRPr="00F21719" w14:paraId="21D52394" w14:textId="77777777" w:rsidTr="00505B18">
        <w:tc>
          <w:tcPr>
            <w:tcW w:w="8647" w:type="dxa"/>
            <w:gridSpan w:val="5"/>
            <w:shd w:val="clear" w:color="auto" w:fill="auto"/>
          </w:tcPr>
          <w:p w14:paraId="1ECC61EA" w14:textId="77777777" w:rsidR="00F61E6E" w:rsidRPr="00F21719" w:rsidRDefault="00F61E6E" w:rsidP="00B24633">
            <w:pPr>
              <w:pStyle w:val="Default"/>
              <w:rPr>
                <w:i/>
                <w:iCs/>
                <w:sz w:val="22"/>
                <w:szCs w:val="22"/>
                <w:lang w:val="da-DK"/>
              </w:rPr>
            </w:pPr>
            <w:r w:rsidRPr="00F21719">
              <w:rPr>
                <w:i/>
                <w:iCs/>
                <w:sz w:val="22"/>
                <w:szCs w:val="22"/>
                <w:lang w:val="da-DK"/>
              </w:rPr>
              <w:t>Hud og kutane væv</w:t>
            </w:r>
          </w:p>
        </w:tc>
      </w:tr>
      <w:tr w:rsidR="00F61E6E" w:rsidRPr="00F21719" w14:paraId="622273A2" w14:textId="77777777" w:rsidTr="00505B18">
        <w:tc>
          <w:tcPr>
            <w:tcW w:w="1729" w:type="dxa"/>
            <w:shd w:val="clear" w:color="auto" w:fill="auto"/>
          </w:tcPr>
          <w:p w14:paraId="08C2A8E1" w14:textId="77777777" w:rsidR="00F61E6E" w:rsidRPr="00F21719" w:rsidRDefault="00F61E6E" w:rsidP="00B24633">
            <w:pPr>
              <w:pStyle w:val="Default"/>
              <w:rPr>
                <w:sz w:val="22"/>
                <w:szCs w:val="22"/>
                <w:lang w:val="da-DK"/>
              </w:rPr>
            </w:pPr>
            <w:r w:rsidRPr="00F21719">
              <w:rPr>
                <w:sz w:val="22"/>
                <w:szCs w:val="22"/>
                <w:lang w:val="da-DK"/>
              </w:rPr>
              <w:t xml:space="preserve">Pruritus (herunder ikke almindelige tilfælde af generaliseret pruritus), udslæt, ekkymose, kutan og subkutan blødning </w:t>
            </w:r>
          </w:p>
        </w:tc>
        <w:tc>
          <w:tcPr>
            <w:tcW w:w="1729" w:type="dxa"/>
            <w:shd w:val="clear" w:color="auto" w:fill="auto"/>
          </w:tcPr>
          <w:p w14:paraId="2ED5777C" w14:textId="77777777" w:rsidR="00F61E6E" w:rsidRPr="00F21719" w:rsidRDefault="00F61E6E" w:rsidP="00B24633">
            <w:pPr>
              <w:pStyle w:val="Default"/>
              <w:rPr>
                <w:sz w:val="22"/>
                <w:szCs w:val="22"/>
                <w:lang w:val="da-DK"/>
              </w:rPr>
            </w:pPr>
            <w:r w:rsidRPr="00F21719">
              <w:rPr>
                <w:sz w:val="22"/>
                <w:szCs w:val="22"/>
                <w:lang w:val="da-DK"/>
              </w:rPr>
              <w:t xml:space="preserve">Urticaria </w:t>
            </w:r>
          </w:p>
        </w:tc>
        <w:tc>
          <w:tcPr>
            <w:tcW w:w="1730" w:type="dxa"/>
            <w:shd w:val="clear" w:color="auto" w:fill="auto"/>
          </w:tcPr>
          <w:p w14:paraId="4E55AF48"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c>
          <w:tcPr>
            <w:tcW w:w="1729" w:type="dxa"/>
            <w:shd w:val="clear" w:color="auto" w:fill="auto"/>
          </w:tcPr>
          <w:p w14:paraId="483231D3" w14:textId="77777777" w:rsidR="00F61E6E" w:rsidRPr="00F21719" w:rsidRDefault="00F61E6E" w:rsidP="00B24633">
            <w:pPr>
              <w:pStyle w:val="Default"/>
              <w:rPr>
                <w:sz w:val="22"/>
                <w:szCs w:val="22"/>
                <w:lang w:val="da-DK"/>
              </w:rPr>
            </w:pPr>
            <w:r w:rsidRPr="00F21719">
              <w:rPr>
                <w:sz w:val="22"/>
                <w:szCs w:val="22"/>
                <w:lang w:val="da-DK"/>
              </w:rPr>
              <w:t xml:space="preserve">Stevens-Johnsons syndrom/toksisk epidermal nekrolyse, DRESS syndrom </w:t>
            </w:r>
          </w:p>
        </w:tc>
        <w:tc>
          <w:tcPr>
            <w:tcW w:w="1730" w:type="dxa"/>
            <w:shd w:val="clear" w:color="auto" w:fill="auto"/>
          </w:tcPr>
          <w:p w14:paraId="48AE4F3B"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r>
      <w:tr w:rsidR="00F61E6E" w:rsidRPr="00F21719" w14:paraId="4379C16C" w14:textId="77777777" w:rsidTr="00505B18">
        <w:tc>
          <w:tcPr>
            <w:tcW w:w="8647" w:type="dxa"/>
            <w:gridSpan w:val="5"/>
            <w:shd w:val="clear" w:color="auto" w:fill="auto"/>
          </w:tcPr>
          <w:p w14:paraId="5EBAE897" w14:textId="77777777" w:rsidR="00F61E6E" w:rsidRPr="00F21719" w:rsidRDefault="00F61E6E" w:rsidP="00B24633">
            <w:pPr>
              <w:pStyle w:val="Default"/>
              <w:rPr>
                <w:i/>
                <w:iCs/>
                <w:sz w:val="22"/>
                <w:szCs w:val="22"/>
                <w:lang w:val="da-DK"/>
              </w:rPr>
            </w:pPr>
            <w:r w:rsidRPr="00F21719">
              <w:rPr>
                <w:i/>
                <w:iCs/>
                <w:sz w:val="22"/>
                <w:szCs w:val="22"/>
                <w:lang w:val="da-DK"/>
              </w:rPr>
              <w:t>Knogler, led, muskler og bindevæv</w:t>
            </w:r>
          </w:p>
        </w:tc>
      </w:tr>
      <w:tr w:rsidR="00F61E6E" w:rsidRPr="00F21719" w14:paraId="399B23CF" w14:textId="77777777" w:rsidTr="00505B18">
        <w:tc>
          <w:tcPr>
            <w:tcW w:w="1729" w:type="dxa"/>
            <w:shd w:val="clear" w:color="auto" w:fill="auto"/>
          </w:tcPr>
          <w:p w14:paraId="30FE1A89" w14:textId="77777777" w:rsidR="00F61E6E" w:rsidRPr="00F21719" w:rsidRDefault="00F61E6E" w:rsidP="00B24633">
            <w:pPr>
              <w:pStyle w:val="Default"/>
              <w:rPr>
                <w:sz w:val="22"/>
                <w:szCs w:val="22"/>
                <w:lang w:val="da-DK"/>
              </w:rPr>
            </w:pPr>
            <w:r w:rsidRPr="00F21719">
              <w:rPr>
                <w:sz w:val="22"/>
                <w:szCs w:val="22"/>
                <w:lang w:val="da-DK"/>
              </w:rPr>
              <w:t>Ekstremitets-smerter</w:t>
            </w:r>
            <w:r w:rsidRPr="00F21719">
              <w:rPr>
                <w:sz w:val="22"/>
                <w:szCs w:val="22"/>
                <w:vertAlign w:val="superscript"/>
                <w:lang w:val="da-DK"/>
              </w:rPr>
              <w:t>A</w:t>
            </w:r>
            <w:r w:rsidRPr="00F21719">
              <w:rPr>
                <w:sz w:val="22"/>
                <w:szCs w:val="22"/>
                <w:lang w:val="da-DK"/>
              </w:rPr>
              <w:t xml:space="preserve"> </w:t>
            </w:r>
          </w:p>
        </w:tc>
        <w:tc>
          <w:tcPr>
            <w:tcW w:w="1729" w:type="dxa"/>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12240"/>
            </w:tblGrid>
            <w:tr w:rsidR="00F61E6E" w:rsidRPr="00F21719" w14:paraId="604DC5A1" w14:textId="77777777" w:rsidTr="00B24633">
              <w:trPr>
                <w:trHeight w:val="147"/>
              </w:trPr>
              <w:tc>
                <w:tcPr>
                  <w:tcW w:w="12240" w:type="dxa"/>
                </w:tcPr>
                <w:p w14:paraId="1F4CCC7E" w14:textId="77777777" w:rsidR="00F61E6E" w:rsidRPr="00F21719" w:rsidRDefault="00F61E6E" w:rsidP="00B24633">
                  <w:pPr>
                    <w:pStyle w:val="Default"/>
                    <w:rPr>
                      <w:sz w:val="22"/>
                      <w:szCs w:val="22"/>
                      <w:lang w:val="da-DK"/>
                    </w:rPr>
                  </w:pPr>
                  <w:r w:rsidRPr="00F21719">
                    <w:rPr>
                      <w:sz w:val="22"/>
                      <w:szCs w:val="22"/>
                      <w:lang w:val="da-DK"/>
                    </w:rPr>
                    <w:t xml:space="preserve">Hæmartrose </w:t>
                  </w:r>
                </w:p>
              </w:tc>
            </w:tr>
          </w:tbl>
          <w:p w14:paraId="22A392BF" w14:textId="77777777" w:rsidR="00F61E6E" w:rsidRPr="00F21719" w:rsidRDefault="00F61E6E" w:rsidP="00B24633">
            <w:pPr>
              <w:pStyle w:val="Sidehoved"/>
              <w:tabs>
                <w:tab w:val="left" w:pos="210"/>
                <w:tab w:val="left" w:pos="742"/>
                <w:tab w:val="left" w:pos="1309"/>
              </w:tabs>
              <w:ind w:left="175" w:firstLine="35"/>
              <w:rPr>
                <w:sz w:val="22"/>
                <w:szCs w:val="22"/>
              </w:rPr>
            </w:pPr>
          </w:p>
        </w:tc>
        <w:tc>
          <w:tcPr>
            <w:tcW w:w="1730" w:type="dxa"/>
            <w:shd w:val="clear" w:color="auto" w:fill="auto"/>
          </w:tcPr>
          <w:p w14:paraId="78417A62" w14:textId="77777777" w:rsidR="00F61E6E" w:rsidRPr="00F21719" w:rsidRDefault="00F61E6E" w:rsidP="00B24633">
            <w:pPr>
              <w:pStyle w:val="Default"/>
              <w:rPr>
                <w:sz w:val="22"/>
                <w:szCs w:val="22"/>
                <w:lang w:val="da-DK"/>
              </w:rPr>
            </w:pPr>
            <w:r w:rsidRPr="00F21719">
              <w:rPr>
                <w:sz w:val="22"/>
                <w:szCs w:val="22"/>
                <w:lang w:val="da-DK"/>
              </w:rPr>
              <w:t xml:space="preserve">Muskelblødning </w:t>
            </w:r>
          </w:p>
        </w:tc>
        <w:tc>
          <w:tcPr>
            <w:tcW w:w="1729" w:type="dxa"/>
            <w:shd w:val="clear" w:color="auto" w:fill="auto"/>
          </w:tcPr>
          <w:p w14:paraId="0300E902"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c>
          <w:tcPr>
            <w:tcW w:w="1730" w:type="dxa"/>
            <w:shd w:val="clear" w:color="auto" w:fill="auto"/>
          </w:tcPr>
          <w:p w14:paraId="54F79850" w14:textId="77777777" w:rsidR="00F61E6E" w:rsidRPr="00F21719" w:rsidRDefault="00F61E6E" w:rsidP="00B24633">
            <w:pPr>
              <w:pStyle w:val="Default"/>
              <w:rPr>
                <w:sz w:val="22"/>
                <w:szCs w:val="22"/>
                <w:lang w:val="da-DK"/>
              </w:rPr>
            </w:pPr>
            <w:r w:rsidRPr="00F21719">
              <w:rPr>
                <w:sz w:val="22"/>
                <w:szCs w:val="22"/>
                <w:lang w:val="da-DK"/>
              </w:rPr>
              <w:t xml:space="preserve">Kompartment-syndrom sekundært til blødning </w:t>
            </w:r>
          </w:p>
        </w:tc>
      </w:tr>
      <w:tr w:rsidR="00F61E6E" w:rsidRPr="00F21719" w14:paraId="5E1CAB09" w14:textId="77777777" w:rsidTr="00505B18">
        <w:tc>
          <w:tcPr>
            <w:tcW w:w="8647" w:type="dxa"/>
            <w:gridSpan w:val="5"/>
            <w:shd w:val="clear" w:color="auto" w:fill="auto"/>
          </w:tcPr>
          <w:p w14:paraId="0FB99884" w14:textId="77777777" w:rsidR="00F61E6E" w:rsidRPr="00F21719" w:rsidRDefault="00F61E6E" w:rsidP="00B24633">
            <w:pPr>
              <w:pStyle w:val="Default"/>
              <w:rPr>
                <w:i/>
                <w:iCs/>
                <w:sz w:val="22"/>
                <w:szCs w:val="22"/>
                <w:lang w:val="da-DK"/>
              </w:rPr>
            </w:pPr>
            <w:r w:rsidRPr="00F21719">
              <w:rPr>
                <w:i/>
                <w:iCs/>
                <w:sz w:val="22"/>
                <w:szCs w:val="22"/>
                <w:lang w:val="da-DK"/>
              </w:rPr>
              <w:t>Nyrer og urinveje</w:t>
            </w:r>
          </w:p>
        </w:tc>
      </w:tr>
      <w:tr w:rsidR="00F61E6E" w:rsidRPr="00F21719" w14:paraId="357BDCB1" w14:textId="77777777" w:rsidTr="00505B18">
        <w:tc>
          <w:tcPr>
            <w:tcW w:w="1729" w:type="dxa"/>
            <w:shd w:val="clear" w:color="auto" w:fill="auto"/>
          </w:tcPr>
          <w:p w14:paraId="0CDA631F" w14:textId="77777777" w:rsidR="00F61E6E" w:rsidRPr="00F21719" w:rsidRDefault="00F61E6E" w:rsidP="00B24633">
            <w:pPr>
              <w:pStyle w:val="Default"/>
              <w:rPr>
                <w:sz w:val="22"/>
                <w:szCs w:val="22"/>
                <w:lang w:val="da-DK"/>
              </w:rPr>
            </w:pPr>
            <w:r w:rsidRPr="00F21719">
              <w:rPr>
                <w:sz w:val="22"/>
                <w:szCs w:val="22"/>
                <w:lang w:val="da-DK"/>
              </w:rPr>
              <w:t>Blødning i urogenital-kanalen (herunder hæmaturi og menoragi</w:t>
            </w:r>
            <w:r w:rsidRPr="00F21719">
              <w:rPr>
                <w:sz w:val="22"/>
                <w:szCs w:val="22"/>
                <w:vertAlign w:val="superscript"/>
                <w:lang w:val="da-DK"/>
              </w:rPr>
              <w:t>B</w:t>
            </w:r>
            <w:r w:rsidRPr="00F21719">
              <w:rPr>
                <w:sz w:val="22"/>
                <w:szCs w:val="22"/>
                <w:lang w:val="da-DK"/>
              </w:rPr>
              <w:t xml:space="preserve">), nedsat nyrefunktion (herunder forhøjet blod-kreatinin og blod-urinstof) </w:t>
            </w:r>
          </w:p>
        </w:tc>
        <w:tc>
          <w:tcPr>
            <w:tcW w:w="1729" w:type="dxa"/>
            <w:shd w:val="clear" w:color="auto" w:fill="auto"/>
          </w:tcPr>
          <w:p w14:paraId="3119507D" w14:textId="77777777" w:rsidR="00F61E6E" w:rsidRPr="00F21719" w:rsidRDefault="00F61E6E" w:rsidP="00B24633">
            <w:pPr>
              <w:pStyle w:val="Sidehoved"/>
              <w:tabs>
                <w:tab w:val="left" w:pos="210"/>
                <w:tab w:val="left" w:pos="742"/>
                <w:tab w:val="left" w:pos="1309"/>
              </w:tabs>
              <w:ind w:left="175" w:firstLine="35"/>
              <w:rPr>
                <w:sz w:val="22"/>
                <w:szCs w:val="22"/>
              </w:rPr>
            </w:pPr>
          </w:p>
        </w:tc>
        <w:tc>
          <w:tcPr>
            <w:tcW w:w="1730" w:type="dxa"/>
            <w:shd w:val="clear" w:color="auto" w:fill="auto"/>
          </w:tcPr>
          <w:p w14:paraId="3331960A"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c>
          <w:tcPr>
            <w:tcW w:w="1729" w:type="dxa"/>
            <w:shd w:val="clear" w:color="auto" w:fill="auto"/>
          </w:tcPr>
          <w:p w14:paraId="1055D42E"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c>
          <w:tcPr>
            <w:tcW w:w="1730" w:type="dxa"/>
            <w:shd w:val="clear" w:color="auto" w:fill="auto"/>
          </w:tcPr>
          <w:p w14:paraId="47B99452" w14:textId="00701D61" w:rsidR="00F61E6E" w:rsidRPr="00F21719" w:rsidRDefault="00430E67" w:rsidP="00B24633">
            <w:pPr>
              <w:pStyle w:val="Default"/>
              <w:rPr>
                <w:sz w:val="22"/>
                <w:szCs w:val="22"/>
                <w:lang w:val="da-DK"/>
              </w:rPr>
            </w:pPr>
            <w:r w:rsidRPr="00F21719">
              <w:rPr>
                <w:sz w:val="22"/>
                <w:szCs w:val="22"/>
                <w:lang w:val="da-DK"/>
              </w:rPr>
              <w:t>Nyresvigt/akut nyresvigt sekundært til blødning, der er tilstrækkelig til at medføre hypoperfusion</w:t>
            </w:r>
            <w:r>
              <w:rPr>
                <w:sz w:val="22"/>
                <w:szCs w:val="22"/>
                <w:lang w:val="da-DK"/>
              </w:rPr>
              <w:t xml:space="preserve">, </w:t>
            </w:r>
            <w:bookmarkStart w:id="3" w:name="_Hlk145275832"/>
            <w:r w:rsidRPr="009C0777">
              <w:rPr>
                <w:sz w:val="22"/>
                <w:szCs w:val="22"/>
                <w:lang w:val="nb-NO"/>
              </w:rPr>
              <w:t>antikoagulantia-relateret nefropati</w:t>
            </w:r>
            <w:bookmarkEnd w:id="3"/>
          </w:p>
        </w:tc>
      </w:tr>
      <w:tr w:rsidR="00F61E6E" w:rsidRPr="00F21719" w14:paraId="6015E33F" w14:textId="77777777" w:rsidTr="00505B18">
        <w:tc>
          <w:tcPr>
            <w:tcW w:w="8647" w:type="dxa"/>
            <w:gridSpan w:val="5"/>
            <w:shd w:val="clear" w:color="auto" w:fill="auto"/>
          </w:tcPr>
          <w:p w14:paraId="6BCE300A" w14:textId="77777777" w:rsidR="00F61E6E" w:rsidRPr="00F21719" w:rsidRDefault="00F61E6E" w:rsidP="00B24633">
            <w:pPr>
              <w:pStyle w:val="Default"/>
              <w:rPr>
                <w:i/>
                <w:iCs/>
                <w:sz w:val="22"/>
                <w:szCs w:val="22"/>
                <w:lang w:val="da-DK"/>
              </w:rPr>
            </w:pPr>
            <w:r w:rsidRPr="00F21719">
              <w:rPr>
                <w:i/>
                <w:iCs/>
                <w:sz w:val="22"/>
                <w:szCs w:val="22"/>
                <w:lang w:val="da-DK"/>
              </w:rPr>
              <w:t>Almene symptomer og reaktioner på administrationsstedet</w:t>
            </w:r>
          </w:p>
        </w:tc>
      </w:tr>
      <w:tr w:rsidR="00F61E6E" w:rsidRPr="00F21719" w14:paraId="05CB7D1B" w14:textId="77777777" w:rsidTr="00505B18">
        <w:tc>
          <w:tcPr>
            <w:tcW w:w="1729" w:type="dxa"/>
            <w:shd w:val="clear" w:color="auto" w:fill="auto"/>
          </w:tcPr>
          <w:p w14:paraId="42BBCC37" w14:textId="77777777" w:rsidR="00F61E6E" w:rsidRPr="00F21719" w:rsidRDefault="00F61E6E" w:rsidP="00B24633">
            <w:pPr>
              <w:pStyle w:val="Default"/>
              <w:rPr>
                <w:sz w:val="22"/>
                <w:szCs w:val="22"/>
                <w:lang w:val="da-DK"/>
              </w:rPr>
            </w:pPr>
            <w:r w:rsidRPr="00F21719">
              <w:rPr>
                <w:sz w:val="22"/>
                <w:szCs w:val="22"/>
                <w:lang w:val="da-DK"/>
              </w:rPr>
              <w:t>Feber</w:t>
            </w:r>
            <w:r w:rsidRPr="00F21719">
              <w:rPr>
                <w:sz w:val="22"/>
                <w:szCs w:val="22"/>
                <w:vertAlign w:val="superscript"/>
                <w:lang w:val="da-DK"/>
              </w:rPr>
              <w:t>A</w:t>
            </w:r>
            <w:r w:rsidRPr="00F21719">
              <w:rPr>
                <w:sz w:val="22"/>
                <w:szCs w:val="22"/>
                <w:lang w:val="da-DK"/>
              </w:rPr>
              <w:t xml:space="preserve">, perifert ødem, nedsat generel styrke </w:t>
            </w:r>
            <w:r w:rsidRPr="00F21719">
              <w:rPr>
                <w:sz w:val="22"/>
                <w:szCs w:val="22"/>
                <w:lang w:val="da-DK"/>
              </w:rPr>
              <w:lastRenderedPageBreak/>
              <w:t xml:space="preserve">og energi (herunder træthed og asteni) </w:t>
            </w:r>
          </w:p>
        </w:tc>
        <w:tc>
          <w:tcPr>
            <w:tcW w:w="1729" w:type="dxa"/>
            <w:shd w:val="clear" w:color="auto" w:fill="auto"/>
          </w:tcPr>
          <w:p w14:paraId="39963C23" w14:textId="77777777" w:rsidR="00F61E6E" w:rsidRPr="00F21719" w:rsidRDefault="00F61E6E" w:rsidP="00B24633">
            <w:pPr>
              <w:pStyle w:val="Default"/>
              <w:rPr>
                <w:sz w:val="22"/>
                <w:szCs w:val="22"/>
                <w:lang w:val="da-DK"/>
              </w:rPr>
            </w:pPr>
            <w:r w:rsidRPr="00F21719">
              <w:rPr>
                <w:sz w:val="22"/>
                <w:szCs w:val="22"/>
                <w:lang w:val="da-DK"/>
              </w:rPr>
              <w:lastRenderedPageBreak/>
              <w:t xml:space="preserve">Utilpashed </w:t>
            </w:r>
          </w:p>
        </w:tc>
        <w:tc>
          <w:tcPr>
            <w:tcW w:w="1730" w:type="dxa"/>
            <w:shd w:val="clear" w:color="auto" w:fill="auto"/>
          </w:tcPr>
          <w:p w14:paraId="538DE29B" w14:textId="77777777" w:rsidR="00F61E6E" w:rsidRPr="00F21719" w:rsidRDefault="00F61E6E" w:rsidP="00B24633">
            <w:pPr>
              <w:pStyle w:val="Default"/>
              <w:rPr>
                <w:sz w:val="22"/>
                <w:szCs w:val="22"/>
                <w:lang w:val="da-DK"/>
              </w:rPr>
            </w:pPr>
            <w:r w:rsidRPr="00F21719">
              <w:rPr>
                <w:sz w:val="22"/>
                <w:szCs w:val="22"/>
                <w:lang w:val="da-DK"/>
              </w:rPr>
              <w:t>Lokaliseret ødem</w:t>
            </w:r>
            <w:r w:rsidRPr="00F21719">
              <w:rPr>
                <w:sz w:val="22"/>
                <w:szCs w:val="22"/>
                <w:vertAlign w:val="superscript"/>
                <w:lang w:val="da-DK"/>
              </w:rPr>
              <w:t>A</w:t>
            </w:r>
            <w:r w:rsidRPr="00F21719">
              <w:rPr>
                <w:sz w:val="22"/>
                <w:szCs w:val="22"/>
                <w:lang w:val="da-DK"/>
              </w:rPr>
              <w:t xml:space="preserve"> </w:t>
            </w:r>
          </w:p>
        </w:tc>
        <w:tc>
          <w:tcPr>
            <w:tcW w:w="1729" w:type="dxa"/>
            <w:shd w:val="clear" w:color="auto" w:fill="auto"/>
          </w:tcPr>
          <w:p w14:paraId="053B30A0"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c>
          <w:tcPr>
            <w:tcW w:w="1730" w:type="dxa"/>
            <w:shd w:val="clear" w:color="auto" w:fill="auto"/>
          </w:tcPr>
          <w:p w14:paraId="4AC51535"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r>
      <w:tr w:rsidR="00F61E6E" w:rsidRPr="00F21719" w14:paraId="77B208E5" w14:textId="77777777" w:rsidTr="00505B18">
        <w:tc>
          <w:tcPr>
            <w:tcW w:w="8647" w:type="dxa"/>
            <w:gridSpan w:val="5"/>
            <w:shd w:val="clear" w:color="auto" w:fill="auto"/>
          </w:tcPr>
          <w:p w14:paraId="6A8B2908" w14:textId="77777777" w:rsidR="00F61E6E" w:rsidRPr="00F21719" w:rsidRDefault="00F61E6E" w:rsidP="00B24633">
            <w:pPr>
              <w:pStyle w:val="Default"/>
              <w:rPr>
                <w:i/>
                <w:iCs/>
                <w:sz w:val="22"/>
                <w:szCs w:val="22"/>
                <w:lang w:val="da-DK"/>
              </w:rPr>
            </w:pPr>
            <w:r w:rsidRPr="00F21719">
              <w:rPr>
                <w:i/>
                <w:iCs/>
                <w:sz w:val="22"/>
                <w:szCs w:val="22"/>
                <w:lang w:val="da-DK"/>
              </w:rPr>
              <w:t>Undersøgelser</w:t>
            </w:r>
          </w:p>
        </w:tc>
      </w:tr>
      <w:tr w:rsidR="00F61E6E" w:rsidRPr="00F21719" w14:paraId="53869AFE" w14:textId="77777777" w:rsidTr="00505B18">
        <w:tc>
          <w:tcPr>
            <w:tcW w:w="1729" w:type="dxa"/>
            <w:shd w:val="clear" w:color="auto" w:fill="auto"/>
          </w:tcPr>
          <w:p w14:paraId="040C361A" w14:textId="77777777" w:rsidR="00F61E6E" w:rsidRPr="00F21719" w:rsidRDefault="00F61E6E" w:rsidP="00B24633">
            <w:pPr>
              <w:pStyle w:val="Sidehoved"/>
              <w:tabs>
                <w:tab w:val="clear" w:pos="4819"/>
                <w:tab w:val="clear" w:pos="9638"/>
              </w:tabs>
              <w:ind w:left="33" w:firstLine="1"/>
              <w:rPr>
                <w:sz w:val="22"/>
                <w:szCs w:val="22"/>
              </w:rPr>
            </w:pPr>
          </w:p>
        </w:tc>
        <w:tc>
          <w:tcPr>
            <w:tcW w:w="1729" w:type="dxa"/>
            <w:shd w:val="clear" w:color="auto" w:fill="auto"/>
          </w:tcPr>
          <w:p w14:paraId="63842F20" w14:textId="77777777" w:rsidR="00F61E6E" w:rsidRPr="00F21719" w:rsidRDefault="00F61E6E" w:rsidP="00B24633">
            <w:pPr>
              <w:pStyle w:val="Default"/>
              <w:rPr>
                <w:sz w:val="22"/>
                <w:szCs w:val="22"/>
                <w:lang w:val="da-DK"/>
              </w:rPr>
            </w:pPr>
            <w:r w:rsidRPr="00F21719">
              <w:rPr>
                <w:sz w:val="22"/>
                <w:szCs w:val="22"/>
                <w:lang w:val="da-DK"/>
              </w:rPr>
              <w:t>Forhøjet LDH</w:t>
            </w:r>
            <w:r w:rsidRPr="00F21719">
              <w:rPr>
                <w:sz w:val="22"/>
                <w:szCs w:val="22"/>
                <w:vertAlign w:val="superscript"/>
                <w:lang w:val="da-DK"/>
              </w:rPr>
              <w:t>A</w:t>
            </w:r>
            <w:r w:rsidRPr="00F21719">
              <w:rPr>
                <w:sz w:val="22"/>
                <w:szCs w:val="22"/>
                <w:lang w:val="da-DK"/>
              </w:rPr>
              <w:t>, forhøjet lipase</w:t>
            </w:r>
            <w:r w:rsidRPr="00F21719">
              <w:rPr>
                <w:sz w:val="22"/>
                <w:szCs w:val="22"/>
                <w:vertAlign w:val="superscript"/>
                <w:lang w:val="da-DK"/>
              </w:rPr>
              <w:t>A</w:t>
            </w:r>
            <w:r w:rsidRPr="00F21719">
              <w:rPr>
                <w:sz w:val="22"/>
                <w:szCs w:val="22"/>
                <w:lang w:val="da-DK"/>
              </w:rPr>
              <w:t>, forhøjet amylase</w:t>
            </w:r>
            <w:r w:rsidRPr="00F21719">
              <w:rPr>
                <w:sz w:val="22"/>
                <w:szCs w:val="22"/>
                <w:vertAlign w:val="superscript"/>
                <w:lang w:val="da-DK"/>
              </w:rPr>
              <w:t>A</w:t>
            </w:r>
            <w:r w:rsidRPr="00F21719">
              <w:rPr>
                <w:sz w:val="22"/>
                <w:szCs w:val="22"/>
                <w:lang w:val="da-DK"/>
              </w:rPr>
              <w:t xml:space="preserve"> </w:t>
            </w:r>
          </w:p>
        </w:tc>
        <w:tc>
          <w:tcPr>
            <w:tcW w:w="1730" w:type="dxa"/>
            <w:shd w:val="clear" w:color="auto" w:fill="auto"/>
          </w:tcPr>
          <w:p w14:paraId="6110DADB"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c>
          <w:tcPr>
            <w:tcW w:w="1729" w:type="dxa"/>
            <w:shd w:val="clear" w:color="auto" w:fill="auto"/>
          </w:tcPr>
          <w:p w14:paraId="5EA8E38A"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c>
          <w:tcPr>
            <w:tcW w:w="1730" w:type="dxa"/>
            <w:shd w:val="clear" w:color="auto" w:fill="auto"/>
          </w:tcPr>
          <w:p w14:paraId="102E1920"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r>
      <w:tr w:rsidR="00F61E6E" w:rsidRPr="00F21719" w14:paraId="688A153A" w14:textId="77777777" w:rsidTr="00505B18">
        <w:tc>
          <w:tcPr>
            <w:tcW w:w="8647" w:type="dxa"/>
            <w:gridSpan w:val="5"/>
            <w:shd w:val="clear" w:color="auto" w:fill="auto"/>
          </w:tcPr>
          <w:p w14:paraId="6DF4EF37" w14:textId="77777777" w:rsidR="00F61E6E" w:rsidRPr="00F21719" w:rsidRDefault="00F61E6E" w:rsidP="00B24633">
            <w:pPr>
              <w:pStyle w:val="Default"/>
              <w:rPr>
                <w:i/>
                <w:iCs/>
                <w:sz w:val="22"/>
                <w:szCs w:val="22"/>
                <w:lang w:val="da-DK"/>
              </w:rPr>
            </w:pPr>
            <w:r w:rsidRPr="00F21719">
              <w:rPr>
                <w:i/>
                <w:iCs/>
                <w:sz w:val="22"/>
                <w:szCs w:val="22"/>
                <w:lang w:val="da-DK"/>
              </w:rPr>
              <w:t>Traumer, forgiftninger og behandlingskomplikationer</w:t>
            </w:r>
          </w:p>
        </w:tc>
      </w:tr>
      <w:tr w:rsidR="00F61E6E" w:rsidRPr="00F21719" w14:paraId="2F76B115" w14:textId="77777777" w:rsidTr="00505B18">
        <w:tc>
          <w:tcPr>
            <w:tcW w:w="1729" w:type="dxa"/>
            <w:shd w:val="clear" w:color="auto" w:fill="auto"/>
          </w:tcPr>
          <w:p w14:paraId="145D42D7" w14:textId="77777777" w:rsidR="00F61E6E" w:rsidRPr="00F21719" w:rsidRDefault="00F61E6E" w:rsidP="00B24633">
            <w:pPr>
              <w:pStyle w:val="Default"/>
              <w:rPr>
                <w:sz w:val="22"/>
                <w:szCs w:val="22"/>
                <w:lang w:val="da-DK"/>
              </w:rPr>
            </w:pPr>
            <w:r w:rsidRPr="00F21719">
              <w:rPr>
                <w:sz w:val="22"/>
                <w:szCs w:val="22"/>
                <w:lang w:val="da-DK"/>
              </w:rPr>
              <w:t>Blødning efter procedurer (herunder postoperativ anæmi og blødning fra sår), kontusion, sårsekretion</w:t>
            </w:r>
            <w:r w:rsidRPr="00F21719">
              <w:rPr>
                <w:sz w:val="22"/>
                <w:szCs w:val="22"/>
                <w:vertAlign w:val="superscript"/>
                <w:lang w:val="da-DK"/>
              </w:rPr>
              <w:t xml:space="preserve">A </w:t>
            </w:r>
          </w:p>
        </w:tc>
        <w:tc>
          <w:tcPr>
            <w:tcW w:w="1729" w:type="dxa"/>
            <w:shd w:val="clear" w:color="auto" w:fill="auto"/>
          </w:tcPr>
          <w:p w14:paraId="58D9F3BE" w14:textId="77777777" w:rsidR="00F61E6E" w:rsidRPr="00F21719" w:rsidRDefault="00F61E6E" w:rsidP="00B24633">
            <w:pPr>
              <w:pStyle w:val="Sidehoved"/>
              <w:tabs>
                <w:tab w:val="left" w:pos="210"/>
                <w:tab w:val="left" w:pos="742"/>
                <w:tab w:val="left" w:pos="1309"/>
              </w:tabs>
              <w:ind w:left="175" w:firstLine="35"/>
              <w:rPr>
                <w:sz w:val="22"/>
                <w:szCs w:val="22"/>
              </w:rPr>
            </w:pPr>
          </w:p>
        </w:tc>
        <w:tc>
          <w:tcPr>
            <w:tcW w:w="1730" w:type="dxa"/>
            <w:shd w:val="clear" w:color="auto" w:fill="auto"/>
          </w:tcPr>
          <w:p w14:paraId="3C689E5C" w14:textId="77777777" w:rsidR="00F61E6E" w:rsidRPr="00F21719" w:rsidRDefault="00F61E6E" w:rsidP="00B24633">
            <w:pPr>
              <w:pStyle w:val="Default"/>
              <w:rPr>
                <w:sz w:val="22"/>
                <w:szCs w:val="22"/>
                <w:vertAlign w:val="superscript"/>
                <w:lang w:val="da-DK"/>
              </w:rPr>
            </w:pPr>
            <w:r w:rsidRPr="00F21719">
              <w:rPr>
                <w:sz w:val="22"/>
                <w:szCs w:val="22"/>
                <w:lang w:val="da-DK"/>
              </w:rPr>
              <w:t>Vaskulær pseudo-aneurisme</w:t>
            </w:r>
            <w:r w:rsidRPr="00F21719">
              <w:rPr>
                <w:sz w:val="22"/>
                <w:szCs w:val="22"/>
                <w:vertAlign w:val="superscript"/>
                <w:lang w:val="da-DK"/>
              </w:rPr>
              <w:t>C</w:t>
            </w:r>
            <w:r w:rsidRPr="00F21719">
              <w:rPr>
                <w:sz w:val="22"/>
                <w:szCs w:val="22"/>
                <w:lang w:val="da-DK"/>
              </w:rPr>
              <w:t xml:space="preserve"> </w:t>
            </w:r>
          </w:p>
        </w:tc>
        <w:tc>
          <w:tcPr>
            <w:tcW w:w="1729" w:type="dxa"/>
            <w:shd w:val="clear" w:color="auto" w:fill="auto"/>
          </w:tcPr>
          <w:p w14:paraId="148FFD33"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c>
          <w:tcPr>
            <w:tcW w:w="1730" w:type="dxa"/>
            <w:shd w:val="clear" w:color="auto" w:fill="auto"/>
          </w:tcPr>
          <w:p w14:paraId="72F155D5" w14:textId="77777777" w:rsidR="00F61E6E" w:rsidRPr="00F21719" w:rsidRDefault="00F61E6E" w:rsidP="00B24633">
            <w:pPr>
              <w:pStyle w:val="Sidehoved"/>
              <w:tabs>
                <w:tab w:val="left" w:pos="175"/>
                <w:tab w:val="left" w:pos="210"/>
                <w:tab w:val="left" w:pos="742"/>
                <w:tab w:val="left" w:pos="1309"/>
              </w:tabs>
              <w:ind w:left="175" w:firstLine="35"/>
              <w:rPr>
                <w:sz w:val="22"/>
                <w:szCs w:val="22"/>
              </w:rPr>
            </w:pPr>
          </w:p>
        </w:tc>
      </w:tr>
    </w:tbl>
    <w:p w14:paraId="77745143" w14:textId="77777777" w:rsidR="00F61E6E" w:rsidRPr="00F21719" w:rsidRDefault="00F61E6E" w:rsidP="00B24633">
      <w:pPr>
        <w:pStyle w:val="Sidehoved"/>
        <w:tabs>
          <w:tab w:val="left" w:pos="851"/>
        </w:tabs>
        <w:ind w:left="851"/>
        <w:rPr>
          <w:sz w:val="22"/>
          <w:szCs w:val="22"/>
        </w:rPr>
      </w:pPr>
      <w:r w:rsidRPr="00F21719">
        <w:rPr>
          <w:sz w:val="22"/>
          <w:szCs w:val="22"/>
          <w:vertAlign w:val="superscript"/>
        </w:rPr>
        <w:t>A</w:t>
      </w:r>
      <w:r w:rsidRPr="00F21719">
        <w:rPr>
          <w:sz w:val="22"/>
          <w:szCs w:val="22"/>
        </w:rPr>
        <w:t xml:space="preserve"> Iagttaget ved forebyggelse af VTE hos voksne patienter, som gennemgår elektiv hofte- eller knæledsalloplastik</w:t>
      </w:r>
    </w:p>
    <w:p w14:paraId="445E60FD" w14:textId="77777777" w:rsidR="00F61E6E" w:rsidRPr="00F21719" w:rsidRDefault="00F61E6E" w:rsidP="00B24633">
      <w:pPr>
        <w:pStyle w:val="Sidehoved"/>
        <w:tabs>
          <w:tab w:val="left" w:pos="851"/>
        </w:tabs>
        <w:ind w:left="851"/>
        <w:rPr>
          <w:sz w:val="22"/>
          <w:szCs w:val="22"/>
        </w:rPr>
      </w:pPr>
      <w:r w:rsidRPr="00F21719">
        <w:rPr>
          <w:sz w:val="22"/>
          <w:szCs w:val="22"/>
          <w:vertAlign w:val="superscript"/>
        </w:rPr>
        <w:t>B</w:t>
      </w:r>
      <w:r w:rsidRPr="00F21719">
        <w:rPr>
          <w:sz w:val="22"/>
          <w:szCs w:val="22"/>
        </w:rPr>
        <w:t xml:space="preserve"> Iagttaget ved behandling af DVT, PE og forebyggelse af recidiv som meget almindelig hos kvinder &lt; 55 år.</w:t>
      </w:r>
    </w:p>
    <w:p w14:paraId="73BBA83E" w14:textId="77777777" w:rsidR="00F61E6E" w:rsidRPr="00F21719" w:rsidRDefault="00F61E6E" w:rsidP="00B24633">
      <w:pPr>
        <w:pStyle w:val="Sidehoved"/>
        <w:tabs>
          <w:tab w:val="left" w:pos="851"/>
        </w:tabs>
        <w:ind w:left="851"/>
        <w:rPr>
          <w:sz w:val="22"/>
          <w:szCs w:val="22"/>
        </w:rPr>
      </w:pPr>
      <w:r w:rsidRPr="00F21719">
        <w:rPr>
          <w:sz w:val="22"/>
          <w:szCs w:val="22"/>
          <w:vertAlign w:val="superscript"/>
        </w:rPr>
        <w:t>C</w:t>
      </w:r>
      <w:r w:rsidRPr="00F21719">
        <w:rPr>
          <w:sz w:val="22"/>
          <w:szCs w:val="22"/>
        </w:rPr>
        <w:t xml:space="preserve"> Iagttaget som ikke almindelig ved forebyggelse af aterotrombotiske hændelser efter akut koronarsyndrom (efter perkutan koronarintervention)</w:t>
      </w:r>
    </w:p>
    <w:p w14:paraId="013246AB" w14:textId="77777777" w:rsidR="00F61E6E" w:rsidRPr="00F21719" w:rsidRDefault="00F61E6E" w:rsidP="00B24633">
      <w:pPr>
        <w:pStyle w:val="Sidehoved"/>
        <w:tabs>
          <w:tab w:val="clear" w:pos="4819"/>
          <w:tab w:val="clear" w:pos="9638"/>
          <w:tab w:val="left" w:pos="851"/>
        </w:tabs>
        <w:ind w:left="851"/>
        <w:rPr>
          <w:sz w:val="22"/>
          <w:szCs w:val="22"/>
        </w:rPr>
      </w:pPr>
      <w:r w:rsidRPr="00F21719">
        <w:rPr>
          <w:sz w:val="22"/>
          <w:szCs w:val="22"/>
        </w:rPr>
        <w:t>* En præspecificeret selektiv indfaldsvinkel til indsamling af uønskede hændelser blev anvendt i udvalgte fase III-studier. Forekomsten af bivirkninger steg ikke, og der blev ikke identificeret nogen ny bivirkning efter analyse af disse studier.</w:t>
      </w:r>
    </w:p>
    <w:p w14:paraId="00CDB038" w14:textId="77777777" w:rsidR="00F61E6E" w:rsidRPr="00B24633" w:rsidRDefault="00F61E6E" w:rsidP="00B24633">
      <w:pPr>
        <w:pStyle w:val="Sidehoved"/>
        <w:tabs>
          <w:tab w:val="clear" w:pos="4819"/>
          <w:tab w:val="clear" w:pos="9638"/>
          <w:tab w:val="left" w:pos="851"/>
        </w:tabs>
        <w:ind w:left="851"/>
        <w:rPr>
          <w:szCs w:val="24"/>
        </w:rPr>
      </w:pPr>
    </w:p>
    <w:p w14:paraId="6DEDFA42" w14:textId="77777777" w:rsidR="00F61E6E" w:rsidRPr="00B24633" w:rsidRDefault="00F61E6E" w:rsidP="00B24633">
      <w:pPr>
        <w:pStyle w:val="Sidehoved"/>
        <w:tabs>
          <w:tab w:val="left" w:pos="851"/>
        </w:tabs>
        <w:ind w:left="851"/>
        <w:rPr>
          <w:szCs w:val="24"/>
          <w:u w:val="single"/>
        </w:rPr>
      </w:pPr>
      <w:r w:rsidRPr="00B24633">
        <w:rPr>
          <w:szCs w:val="24"/>
          <w:u w:val="single"/>
        </w:rPr>
        <w:t>Beskrivelse af udvalgte bivirkninger</w:t>
      </w:r>
    </w:p>
    <w:p w14:paraId="5DA697DE" w14:textId="41BAF959" w:rsidR="00F61E6E" w:rsidRPr="00B24633" w:rsidRDefault="00F61E6E" w:rsidP="00B24633">
      <w:pPr>
        <w:ind w:left="851"/>
        <w:rPr>
          <w:sz w:val="24"/>
          <w:szCs w:val="24"/>
        </w:rPr>
      </w:pPr>
      <w:r w:rsidRPr="00B24633">
        <w:rPr>
          <w:sz w:val="24"/>
          <w:szCs w:val="24"/>
        </w:rPr>
        <w:t xml:space="preserve">Grundet den farmakologiske virkningsmekanisme kan brugen af </w:t>
      </w:r>
      <w:r w:rsidR="00825675" w:rsidRPr="00B24633">
        <w:rPr>
          <w:sz w:val="24"/>
          <w:szCs w:val="24"/>
        </w:rPr>
        <w:t xml:space="preserve">Rivaroxaban </w:t>
      </w:r>
      <w:r w:rsidR="00825675">
        <w:rPr>
          <w:sz w:val="24"/>
          <w:szCs w:val="24"/>
        </w:rPr>
        <w:t>”</w:t>
      </w:r>
      <w:r w:rsidR="00825675" w:rsidRPr="00B24633">
        <w:rPr>
          <w:sz w:val="24"/>
          <w:szCs w:val="24"/>
        </w:rPr>
        <w:t>Orion</w:t>
      </w:r>
      <w:r w:rsidR="00825675">
        <w:rPr>
          <w:sz w:val="24"/>
          <w:szCs w:val="24"/>
        </w:rPr>
        <w:t>”</w:t>
      </w:r>
      <w:r w:rsidR="00825675" w:rsidRPr="00B24633">
        <w:rPr>
          <w:sz w:val="24"/>
          <w:szCs w:val="24"/>
        </w:rPr>
        <w:t xml:space="preserve"> </w:t>
      </w:r>
      <w:r w:rsidRPr="00B24633">
        <w:rPr>
          <w:sz w:val="24"/>
          <w:szCs w:val="24"/>
        </w:rPr>
        <w:t xml:space="preserve">være forbundet med en øget risiko for okkult eller synlig blødning fra alle væv eller organer, hvilket kan medføre posthæmoragisk anæmi. Symptomerne og sværhedsgraden (herunder mulig dødelig udgang) varierer i forhold til blødningens placering og graden eller omfanget af blødningen og/eller anæmien </w:t>
      </w:r>
      <w:r w:rsidR="00825675" w:rsidRPr="00B24633">
        <w:rPr>
          <w:sz w:val="24"/>
          <w:szCs w:val="24"/>
        </w:rPr>
        <w:t xml:space="preserve">(se pkt. 4.9 </w:t>
      </w:r>
      <w:r w:rsidR="00825675">
        <w:rPr>
          <w:sz w:val="24"/>
          <w:szCs w:val="24"/>
        </w:rPr>
        <w:t>”</w:t>
      </w:r>
      <w:r w:rsidR="00825675" w:rsidRPr="00B24633">
        <w:rPr>
          <w:sz w:val="24"/>
          <w:szCs w:val="24"/>
        </w:rPr>
        <w:t>Behandling af blødning</w:t>
      </w:r>
      <w:r w:rsidR="00825675">
        <w:rPr>
          <w:sz w:val="24"/>
          <w:szCs w:val="24"/>
        </w:rPr>
        <w:t xml:space="preserve">”). </w:t>
      </w:r>
      <w:r w:rsidRPr="00B24633">
        <w:rPr>
          <w:sz w:val="24"/>
          <w:szCs w:val="24"/>
        </w:rPr>
        <w:t xml:space="preserve">I de kliniske studier sås slimhindeblødninger (f.eks. blødning fra næse, tandkød, mave-tarm-kanalen, genitalier og urinveje, herunder unormal blødning fra skeden eller øget menstruationsblødning) og anæmi hyppigere under langtidsbehandling med rivaroxaban i sammenligning med VKA-behandling. Ud over den kliniske overvågning kan det derfor være af værdi at undersøge hæmoglobin/hæmatokrit for at opdage okkult blødning, og kvantificere den kliniske relevans af synlig blødning, hvis det skønnes nødvendigt. Risikoen for blødning kan være øget hos visse patientgrupper, f.eks. hos patienter med ukontrolleret, svær arteriel hypertension, og/eller som samtidig får anden behandling, der påvirker hæmostasen </w:t>
      </w:r>
      <w:r w:rsidR="00825675" w:rsidRPr="00B24633">
        <w:rPr>
          <w:sz w:val="24"/>
          <w:szCs w:val="24"/>
        </w:rPr>
        <w:t xml:space="preserve">(se pkt. 4.4 </w:t>
      </w:r>
      <w:r w:rsidR="00825675">
        <w:rPr>
          <w:sz w:val="24"/>
          <w:szCs w:val="24"/>
        </w:rPr>
        <w:t>”</w:t>
      </w:r>
      <w:r w:rsidR="00825675" w:rsidRPr="00B24633">
        <w:rPr>
          <w:sz w:val="24"/>
          <w:szCs w:val="24"/>
        </w:rPr>
        <w:t>Blødningsrisiko</w:t>
      </w:r>
      <w:r w:rsidR="00825675">
        <w:rPr>
          <w:sz w:val="24"/>
          <w:szCs w:val="24"/>
        </w:rPr>
        <w:t>”</w:t>
      </w:r>
      <w:r w:rsidR="00825675" w:rsidRPr="00B24633">
        <w:rPr>
          <w:sz w:val="24"/>
          <w:szCs w:val="24"/>
        </w:rPr>
        <w:t>)</w:t>
      </w:r>
      <w:r w:rsidRPr="00B24633">
        <w:rPr>
          <w:sz w:val="24"/>
          <w:szCs w:val="24"/>
        </w:rPr>
        <w:t>. Menstruationsblødningen kan være kraftigere og/eller forlænget. Blødningskomplikationer kan optræde som svaghed, bleghed, svimmelhed, hovedpine eller uforklarlig hævelse, dyspnø og uforklarligt shock. I nogle tilfælde er der som følge af anæmi set symptomer på kardial iskæmi som f.eks. brystsmerter eller angina pectoris.</w:t>
      </w:r>
    </w:p>
    <w:p w14:paraId="5B1D01BA" w14:textId="24EBF6CE" w:rsidR="00F61E6E" w:rsidRPr="00B24633" w:rsidRDefault="00825675" w:rsidP="00B24633">
      <w:pPr>
        <w:pStyle w:val="Sidehoved"/>
        <w:tabs>
          <w:tab w:val="clear" w:pos="4819"/>
          <w:tab w:val="clear" w:pos="9638"/>
          <w:tab w:val="left" w:pos="851"/>
        </w:tabs>
        <w:ind w:left="851"/>
        <w:rPr>
          <w:szCs w:val="24"/>
        </w:rPr>
      </w:pPr>
      <w:r w:rsidRPr="00B24633">
        <w:rPr>
          <w:szCs w:val="24"/>
        </w:rPr>
        <w:t xml:space="preserve">Der er for Rivaroxaban </w:t>
      </w:r>
      <w:r>
        <w:rPr>
          <w:szCs w:val="24"/>
        </w:rPr>
        <w:t>”</w:t>
      </w:r>
      <w:r w:rsidRPr="00B24633">
        <w:rPr>
          <w:szCs w:val="24"/>
        </w:rPr>
        <w:t>Orion</w:t>
      </w:r>
      <w:r>
        <w:rPr>
          <w:szCs w:val="24"/>
        </w:rPr>
        <w:t>”</w:t>
      </w:r>
      <w:r w:rsidRPr="00B24633">
        <w:rPr>
          <w:szCs w:val="24"/>
        </w:rPr>
        <w:t xml:space="preserve"> indberettet </w:t>
      </w:r>
      <w:r w:rsidR="00F61E6E" w:rsidRPr="00B24633">
        <w:rPr>
          <w:szCs w:val="24"/>
        </w:rPr>
        <w:t xml:space="preserve">kendte komplikationer sekundære til svær blødning som f.eks. kompartmentsyndrom og nyresvigt som følge af </w:t>
      </w:r>
      <w:r w:rsidRPr="00B24633">
        <w:rPr>
          <w:szCs w:val="24"/>
        </w:rPr>
        <w:t>hypoperfusion</w:t>
      </w:r>
      <w:r>
        <w:rPr>
          <w:szCs w:val="24"/>
        </w:rPr>
        <w:t xml:space="preserve"> eller</w:t>
      </w:r>
      <w:r w:rsidRPr="003B1694">
        <w:t xml:space="preserve"> </w:t>
      </w:r>
      <w:r w:rsidRPr="003B1694">
        <w:rPr>
          <w:szCs w:val="24"/>
        </w:rPr>
        <w:t>antikoagulantia</w:t>
      </w:r>
      <w:r>
        <w:rPr>
          <w:szCs w:val="24"/>
        </w:rPr>
        <w:t>-</w:t>
      </w:r>
      <w:r w:rsidRPr="003B1694">
        <w:rPr>
          <w:szCs w:val="24"/>
        </w:rPr>
        <w:t>relateret nefropati</w:t>
      </w:r>
      <w:r w:rsidR="00F61E6E" w:rsidRPr="00B24633">
        <w:rPr>
          <w:szCs w:val="24"/>
        </w:rPr>
        <w:t>. Der skal derfor tages højde for risikoen for blødning, når tilstanden hos en patient, der får antikoagulans, evalueres.</w:t>
      </w:r>
    </w:p>
    <w:p w14:paraId="02D833DC" w14:textId="77777777" w:rsidR="00F61E6E" w:rsidRPr="00B24633" w:rsidRDefault="00F61E6E" w:rsidP="00B24633">
      <w:pPr>
        <w:pStyle w:val="Sidehoved"/>
        <w:tabs>
          <w:tab w:val="clear" w:pos="4819"/>
          <w:tab w:val="clear" w:pos="9638"/>
          <w:tab w:val="left" w:pos="851"/>
        </w:tabs>
        <w:ind w:left="851"/>
        <w:rPr>
          <w:szCs w:val="24"/>
        </w:rPr>
      </w:pPr>
    </w:p>
    <w:p w14:paraId="3B4A38FE" w14:textId="77777777" w:rsidR="00F61E6E" w:rsidRPr="00B24633" w:rsidRDefault="00F61E6E" w:rsidP="00B24633">
      <w:pPr>
        <w:pStyle w:val="Sidehoved"/>
        <w:tabs>
          <w:tab w:val="left" w:pos="851"/>
        </w:tabs>
        <w:ind w:left="851"/>
        <w:rPr>
          <w:szCs w:val="24"/>
          <w:u w:val="single"/>
        </w:rPr>
      </w:pPr>
      <w:r w:rsidRPr="00B24633">
        <w:rPr>
          <w:szCs w:val="24"/>
          <w:u w:val="single"/>
        </w:rPr>
        <w:lastRenderedPageBreak/>
        <w:t>Pædiatrisk population</w:t>
      </w:r>
    </w:p>
    <w:p w14:paraId="2979395A" w14:textId="77777777" w:rsidR="00F61E6E" w:rsidRPr="00B24633" w:rsidRDefault="00F61E6E" w:rsidP="00B24633">
      <w:pPr>
        <w:pStyle w:val="Sidehoved"/>
        <w:tabs>
          <w:tab w:val="left" w:pos="851"/>
        </w:tabs>
        <w:ind w:left="851"/>
        <w:rPr>
          <w:i/>
          <w:iCs/>
          <w:szCs w:val="24"/>
        </w:rPr>
      </w:pPr>
      <w:r w:rsidRPr="00B24633">
        <w:rPr>
          <w:i/>
          <w:iCs/>
          <w:szCs w:val="24"/>
        </w:rPr>
        <w:t>Behandling af VTE og forebyggelse af recidiverende VTE</w:t>
      </w:r>
    </w:p>
    <w:p w14:paraId="2A99EA58" w14:textId="77777777" w:rsidR="00F61E6E" w:rsidRPr="00B24633" w:rsidRDefault="00F61E6E" w:rsidP="00B24633">
      <w:pPr>
        <w:pStyle w:val="Sidehoved"/>
        <w:tabs>
          <w:tab w:val="left" w:pos="851"/>
        </w:tabs>
        <w:ind w:left="851"/>
        <w:rPr>
          <w:szCs w:val="24"/>
        </w:rPr>
      </w:pPr>
      <w:r w:rsidRPr="00B24633">
        <w:rPr>
          <w:szCs w:val="24"/>
        </w:rPr>
        <w:t xml:space="preserve">Sikkerhedsvurderingen hos børn og unge er baseret på sikkerhedsdata fra to fase II og et fase III åbne, aktivt kontrollerede studier hos pædiatriske patienter fra fødslen til under 18 år. Sikkerhedsfundene var generelt sammenlignelige mellem rivaroxaban og komparatoren i de forskellige pædiatriske aldersgrupper. Samlet svarede sikkerhedsprofilen hos 412 børn og unge behandlet med rivaroxaban til den observerede profil hos den voksne population, og den var konsistent i alle delgrupperne for alder, selvom vurderingen er begrænset af det lille antal patienter. </w:t>
      </w:r>
    </w:p>
    <w:p w14:paraId="6DBFF1BB" w14:textId="240D87DA" w:rsidR="00F61E6E" w:rsidRPr="00B24633" w:rsidRDefault="00F61E6E" w:rsidP="00B24633">
      <w:pPr>
        <w:pStyle w:val="Sidehoved"/>
        <w:tabs>
          <w:tab w:val="left" w:pos="851"/>
        </w:tabs>
        <w:ind w:left="851"/>
        <w:rPr>
          <w:szCs w:val="24"/>
        </w:rPr>
      </w:pPr>
      <w:r w:rsidRPr="00B24633">
        <w:rPr>
          <w:szCs w:val="24"/>
        </w:rPr>
        <w:t>Hos pædiatriske patienter blev hovedpine (meget almindelig, 16,7</w:t>
      </w:r>
      <w:r w:rsidR="00054680">
        <w:rPr>
          <w:szCs w:val="24"/>
        </w:rPr>
        <w:t xml:space="preserve"> %</w:t>
      </w:r>
      <w:r w:rsidRPr="00B24633">
        <w:rPr>
          <w:szCs w:val="24"/>
        </w:rPr>
        <w:t>), feber (meget almindelig, 11,7</w:t>
      </w:r>
      <w:r w:rsidR="00054680">
        <w:rPr>
          <w:szCs w:val="24"/>
        </w:rPr>
        <w:t xml:space="preserve"> %</w:t>
      </w:r>
      <w:r w:rsidRPr="00B24633">
        <w:rPr>
          <w:szCs w:val="24"/>
        </w:rPr>
        <w:t>), epistaxis (meget almindelig, 11,2</w:t>
      </w:r>
      <w:r w:rsidR="00054680">
        <w:rPr>
          <w:szCs w:val="24"/>
        </w:rPr>
        <w:t xml:space="preserve"> %</w:t>
      </w:r>
      <w:r w:rsidRPr="00B24633">
        <w:rPr>
          <w:szCs w:val="24"/>
        </w:rPr>
        <w:t>), opkastning (meget almindelig, 10,7</w:t>
      </w:r>
      <w:r w:rsidR="00054680">
        <w:rPr>
          <w:szCs w:val="24"/>
        </w:rPr>
        <w:t xml:space="preserve"> %</w:t>
      </w:r>
      <w:r w:rsidRPr="00B24633">
        <w:rPr>
          <w:szCs w:val="24"/>
        </w:rPr>
        <w:t>), takykardi (almindelig, 1,5</w:t>
      </w:r>
      <w:r w:rsidR="00054680">
        <w:rPr>
          <w:szCs w:val="24"/>
        </w:rPr>
        <w:t xml:space="preserve"> %</w:t>
      </w:r>
      <w:r w:rsidRPr="00B24633">
        <w:rPr>
          <w:szCs w:val="24"/>
        </w:rPr>
        <w:t>), forhøjet bilirubin (almindelig, 1,5</w:t>
      </w:r>
      <w:r w:rsidR="00054680">
        <w:rPr>
          <w:szCs w:val="24"/>
        </w:rPr>
        <w:t xml:space="preserve"> %</w:t>
      </w:r>
      <w:r w:rsidRPr="00B24633">
        <w:rPr>
          <w:szCs w:val="24"/>
        </w:rPr>
        <w:t>) og forhøjet bilirubin, konjugeret (ikke almindelig, 0,7</w:t>
      </w:r>
      <w:r w:rsidR="00054680">
        <w:rPr>
          <w:szCs w:val="24"/>
        </w:rPr>
        <w:t xml:space="preserve"> %</w:t>
      </w:r>
      <w:r w:rsidRPr="00B24633">
        <w:rPr>
          <w:szCs w:val="24"/>
        </w:rPr>
        <w:t>) rapporteret hyppigere, sammenlignet med voksne. I overensstemmelse med den voksne population blev menoragi observeret hos 6,6</w:t>
      </w:r>
      <w:r w:rsidR="00E65BA3">
        <w:rPr>
          <w:szCs w:val="24"/>
        </w:rPr>
        <w:t> </w:t>
      </w:r>
      <w:r w:rsidR="00054680">
        <w:rPr>
          <w:szCs w:val="24"/>
        </w:rPr>
        <w:t>%</w:t>
      </w:r>
      <w:r w:rsidRPr="00B24633">
        <w:rPr>
          <w:szCs w:val="24"/>
        </w:rPr>
        <w:t xml:space="preserve"> (almindelig) af unge kvinder efter menarche.</w:t>
      </w:r>
      <w:r w:rsidR="00F21719">
        <w:rPr>
          <w:szCs w:val="24"/>
        </w:rPr>
        <w:t xml:space="preserve"> </w:t>
      </w:r>
      <w:r w:rsidRPr="00B24633">
        <w:rPr>
          <w:szCs w:val="24"/>
        </w:rPr>
        <w:t>Trombocytopeni, observeret ved erfaring efter markedsføring hos den voksne population, var almindelig (4,6</w:t>
      </w:r>
      <w:r w:rsidR="00054680">
        <w:rPr>
          <w:szCs w:val="24"/>
        </w:rPr>
        <w:t xml:space="preserve"> %</w:t>
      </w:r>
      <w:r w:rsidRPr="00B24633">
        <w:rPr>
          <w:szCs w:val="24"/>
        </w:rPr>
        <w:t>) i pædiatriske kliniske studier. Bivirkninger hos pædiatriske patienter var primært af let til moderat sværhedsgrad.</w:t>
      </w:r>
    </w:p>
    <w:p w14:paraId="77A982E0" w14:textId="77777777" w:rsidR="00F61E6E" w:rsidRPr="00B24633" w:rsidRDefault="00F61E6E" w:rsidP="00B24633">
      <w:pPr>
        <w:pStyle w:val="Sidehoved"/>
        <w:tabs>
          <w:tab w:val="clear" w:pos="4819"/>
          <w:tab w:val="clear" w:pos="9638"/>
          <w:tab w:val="left" w:pos="851"/>
        </w:tabs>
        <w:ind w:left="851"/>
        <w:rPr>
          <w:szCs w:val="24"/>
        </w:rPr>
      </w:pPr>
    </w:p>
    <w:p w14:paraId="3D0EB39A" w14:textId="77777777" w:rsidR="00F61E6E" w:rsidRPr="00B24633" w:rsidRDefault="00F61E6E" w:rsidP="00B24633">
      <w:pPr>
        <w:pStyle w:val="Sidehoved"/>
        <w:tabs>
          <w:tab w:val="left" w:pos="851"/>
        </w:tabs>
        <w:ind w:left="851"/>
        <w:rPr>
          <w:szCs w:val="24"/>
          <w:u w:val="single"/>
        </w:rPr>
      </w:pPr>
      <w:r w:rsidRPr="00B24633">
        <w:rPr>
          <w:szCs w:val="24"/>
          <w:u w:val="single"/>
        </w:rPr>
        <w:t>Indberetning af formodede bivirkninger</w:t>
      </w:r>
    </w:p>
    <w:p w14:paraId="780CE7E5" w14:textId="77777777" w:rsidR="00F61E6E" w:rsidRPr="00B24633" w:rsidRDefault="00F61E6E" w:rsidP="00B24633">
      <w:pPr>
        <w:pStyle w:val="Sidehoved"/>
        <w:tabs>
          <w:tab w:val="left" w:pos="851"/>
        </w:tabs>
        <w:ind w:left="851"/>
        <w:rPr>
          <w:szCs w:val="24"/>
        </w:rPr>
      </w:pPr>
      <w:r w:rsidRPr="00B24633">
        <w:rPr>
          <w:szCs w:val="24"/>
        </w:rPr>
        <w:t>Når lægemidlet er godkendt, er indberetning af formodede bivirkninger vigtig. Det muliggør løbende overvågning af benefit/risk-forholdet for lægemidlet. Sundhedspersoner anmodes om at indberette alle formodede bivirkninger via:</w:t>
      </w:r>
    </w:p>
    <w:p w14:paraId="22292AF0" w14:textId="77777777" w:rsidR="00F61E6E" w:rsidRPr="00B24633" w:rsidRDefault="00F61E6E" w:rsidP="00B24633">
      <w:pPr>
        <w:pStyle w:val="Sidehoved"/>
        <w:tabs>
          <w:tab w:val="left" w:pos="851"/>
        </w:tabs>
        <w:ind w:left="851"/>
        <w:rPr>
          <w:szCs w:val="24"/>
        </w:rPr>
      </w:pPr>
    </w:p>
    <w:p w14:paraId="2060FEA6" w14:textId="77777777" w:rsidR="00F61E6E" w:rsidRPr="00B24633" w:rsidRDefault="00F61E6E" w:rsidP="00B24633">
      <w:pPr>
        <w:pStyle w:val="Sidehoved"/>
        <w:tabs>
          <w:tab w:val="left" w:pos="851"/>
        </w:tabs>
        <w:ind w:left="851"/>
        <w:rPr>
          <w:szCs w:val="24"/>
        </w:rPr>
      </w:pPr>
      <w:r w:rsidRPr="00B24633">
        <w:rPr>
          <w:szCs w:val="24"/>
        </w:rPr>
        <w:t>Lægemiddelstyrelsen</w:t>
      </w:r>
      <w:r w:rsidRPr="00B24633">
        <w:rPr>
          <w:szCs w:val="24"/>
        </w:rPr>
        <w:br/>
        <w:t>Axel Heides Gade 1</w:t>
      </w:r>
      <w:r w:rsidRPr="00B24633">
        <w:rPr>
          <w:szCs w:val="24"/>
        </w:rPr>
        <w:br/>
        <w:t>DK-2300 København S</w:t>
      </w:r>
      <w:r w:rsidRPr="00B24633">
        <w:rPr>
          <w:szCs w:val="24"/>
        </w:rPr>
        <w:br/>
        <w:t>Websted: </w:t>
      </w:r>
      <w:hyperlink r:id="rId8" w:history="1">
        <w:r w:rsidRPr="00B24633">
          <w:rPr>
            <w:rStyle w:val="Hyperlink"/>
            <w:b/>
            <w:bCs/>
            <w:szCs w:val="24"/>
          </w:rPr>
          <w:t>www.meldenbivirkning.dk</w:t>
        </w:r>
      </w:hyperlink>
    </w:p>
    <w:p w14:paraId="63EF6FA0" w14:textId="77777777" w:rsidR="009260DE" w:rsidRPr="00B24633" w:rsidRDefault="009260DE" w:rsidP="00B24633">
      <w:pPr>
        <w:tabs>
          <w:tab w:val="left" w:pos="851"/>
        </w:tabs>
        <w:ind w:left="851"/>
        <w:rPr>
          <w:sz w:val="24"/>
          <w:szCs w:val="24"/>
        </w:rPr>
      </w:pPr>
    </w:p>
    <w:p w14:paraId="739A3473" w14:textId="77777777" w:rsidR="009260DE" w:rsidRPr="00B24633" w:rsidRDefault="009260DE" w:rsidP="00B24633">
      <w:pPr>
        <w:tabs>
          <w:tab w:val="left" w:pos="851"/>
        </w:tabs>
        <w:ind w:left="851" w:hanging="851"/>
        <w:rPr>
          <w:b/>
          <w:sz w:val="24"/>
          <w:szCs w:val="24"/>
        </w:rPr>
      </w:pPr>
      <w:r w:rsidRPr="00B24633">
        <w:rPr>
          <w:b/>
          <w:sz w:val="24"/>
          <w:szCs w:val="24"/>
        </w:rPr>
        <w:t>4.9</w:t>
      </w:r>
      <w:r w:rsidRPr="00B24633">
        <w:rPr>
          <w:b/>
          <w:sz w:val="24"/>
          <w:szCs w:val="24"/>
        </w:rPr>
        <w:tab/>
        <w:t>Overdosering</w:t>
      </w:r>
    </w:p>
    <w:p w14:paraId="65D20DF3" w14:textId="2A5D59DE" w:rsidR="00F61E6E" w:rsidRPr="00B24633" w:rsidRDefault="00F61E6E" w:rsidP="00B24633">
      <w:pPr>
        <w:tabs>
          <w:tab w:val="left" w:pos="851"/>
        </w:tabs>
        <w:ind w:left="851"/>
        <w:rPr>
          <w:sz w:val="24"/>
          <w:szCs w:val="24"/>
        </w:rPr>
      </w:pPr>
      <w:r w:rsidRPr="00B24633">
        <w:rPr>
          <w:sz w:val="24"/>
          <w:szCs w:val="24"/>
        </w:rPr>
        <w:t>Hos voksne er der indberettet sjældne tilfælde af overdosering på op til 1.960 mg. I tilfælde af overdosering, skal patienten observeres tæt for blødningskomplikationer eller andre bivirkninger (se pkt. </w:t>
      </w:r>
      <w:r w:rsidR="00B24633" w:rsidRPr="00B24633">
        <w:rPr>
          <w:sz w:val="24"/>
          <w:szCs w:val="24"/>
        </w:rPr>
        <w:t>"</w:t>
      </w:r>
      <w:r w:rsidRPr="00B24633">
        <w:rPr>
          <w:sz w:val="24"/>
          <w:szCs w:val="24"/>
        </w:rPr>
        <w:t>Behandling af blødning</w:t>
      </w:r>
      <w:r w:rsidR="00B24633" w:rsidRPr="00B24633">
        <w:rPr>
          <w:sz w:val="24"/>
          <w:szCs w:val="24"/>
        </w:rPr>
        <w:t>"</w:t>
      </w:r>
      <w:r w:rsidRPr="00B24633">
        <w:rPr>
          <w:sz w:val="24"/>
          <w:szCs w:val="24"/>
        </w:rPr>
        <w:t xml:space="preserve">). Der er begrænsede tilgængelige data for børn. Den begrænsede absorption forventes at medføre en </w:t>
      </w:r>
      <w:r w:rsidRPr="00B24633">
        <w:rPr>
          <w:i/>
          <w:iCs/>
          <w:sz w:val="24"/>
          <w:szCs w:val="24"/>
        </w:rPr>
        <w:t>ceiling</w:t>
      </w:r>
      <w:r w:rsidRPr="00B24633">
        <w:rPr>
          <w:sz w:val="24"/>
          <w:szCs w:val="24"/>
        </w:rPr>
        <w:t xml:space="preserve">-effekt uden yderligere stigning i den gennemsnitlige plasmakoncentration ved supraterapeutiske doser på 50 mg rivaroxaban eller højere hos voksne, men der foreligger imidlertid ingen data ved supraterapeutiske doser hos børn. </w:t>
      </w:r>
    </w:p>
    <w:p w14:paraId="466E1ADD" w14:textId="77777777" w:rsidR="00F61E6E" w:rsidRPr="00B24633" w:rsidRDefault="00F61E6E" w:rsidP="00B24633">
      <w:pPr>
        <w:tabs>
          <w:tab w:val="left" w:pos="851"/>
        </w:tabs>
        <w:ind w:left="851"/>
        <w:rPr>
          <w:sz w:val="24"/>
          <w:szCs w:val="24"/>
        </w:rPr>
      </w:pPr>
      <w:r w:rsidRPr="00B24633">
        <w:rPr>
          <w:sz w:val="24"/>
          <w:szCs w:val="24"/>
        </w:rPr>
        <w:t>Der findes en specifik antidot (andexanet alfa), der antagoniserer rivaroxabans farmakodynamiske virkning for voksne, men ikke klarlagt for børn</w:t>
      </w:r>
      <w:r w:rsidRPr="00B24633" w:rsidDel="00D67461">
        <w:rPr>
          <w:sz w:val="24"/>
          <w:szCs w:val="24"/>
        </w:rPr>
        <w:t xml:space="preserve"> </w:t>
      </w:r>
      <w:r w:rsidRPr="00B24633">
        <w:rPr>
          <w:sz w:val="24"/>
          <w:szCs w:val="24"/>
        </w:rPr>
        <w:t xml:space="preserve">(se produktresuméet for andexanet alfa). </w:t>
      </w:r>
    </w:p>
    <w:p w14:paraId="0909663B" w14:textId="77777777" w:rsidR="00F61E6E" w:rsidRPr="00B24633" w:rsidRDefault="00F61E6E" w:rsidP="00B24633">
      <w:pPr>
        <w:tabs>
          <w:tab w:val="left" w:pos="851"/>
        </w:tabs>
        <w:ind w:left="851"/>
        <w:rPr>
          <w:sz w:val="24"/>
          <w:szCs w:val="24"/>
        </w:rPr>
      </w:pPr>
      <w:r w:rsidRPr="00B24633">
        <w:rPr>
          <w:sz w:val="24"/>
          <w:szCs w:val="24"/>
        </w:rPr>
        <w:t xml:space="preserve">Ved overdosering med rivaroxaban kan det overvejes at bruge aktivt kul til at reducere absorptionen. </w:t>
      </w:r>
    </w:p>
    <w:p w14:paraId="48A3A606" w14:textId="77777777" w:rsidR="00F61E6E" w:rsidRPr="00B24633" w:rsidRDefault="00F61E6E" w:rsidP="00B24633">
      <w:pPr>
        <w:tabs>
          <w:tab w:val="left" w:pos="851"/>
        </w:tabs>
        <w:ind w:left="851"/>
        <w:rPr>
          <w:sz w:val="24"/>
          <w:szCs w:val="24"/>
        </w:rPr>
      </w:pPr>
    </w:p>
    <w:p w14:paraId="4924FDAF"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Behandling af blødning </w:t>
      </w:r>
    </w:p>
    <w:p w14:paraId="2B2503AF" w14:textId="77777777" w:rsidR="00F61E6E" w:rsidRPr="00B24633" w:rsidRDefault="00F61E6E" w:rsidP="00B24633">
      <w:pPr>
        <w:tabs>
          <w:tab w:val="left" w:pos="851"/>
        </w:tabs>
        <w:ind w:left="851"/>
        <w:rPr>
          <w:sz w:val="24"/>
          <w:szCs w:val="24"/>
        </w:rPr>
      </w:pPr>
    </w:p>
    <w:p w14:paraId="460B13A3" w14:textId="77777777" w:rsidR="00F61E6E" w:rsidRPr="00B24633" w:rsidRDefault="00F61E6E" w:rsidP="00B24633">
      <w:pPr>
        <w:tabs>
          <w:tab w:val="left" w:pos="851"/>
        </w:tabs>
        <w:ind w:left="851"/>
        <w:rPr>
          <w:sz w:val="24"/>
          <w:szCs w:val="24"/>
        </w:rPr>
      </w:pPr>
      <w:r w:rsidRPr="00B24633">
        <w:rPr>
          <w:sz w:val="24"/>
          <w:szCs w:val="24"/>
        </w:rPr>
        <w:t xml:space="preserve">Såfremt der optræder blødningskomplikationer hos en patient, der får rivaroxaban, skal næste rivaroxaban-administration udsættes eller behandlingen seponeres efter lægens vurdering. Rivaroxaban har en halveringstid på ca. 5 – 13 timer hos voksne. Halveringstiden hos børn, estimeret ved brug af populationsfarmakokinetiske (popPK) modelleringstiltag er kortere (se pkt. 5.2). Behandlingen tilpasses individuelt efter blødningens sværhedsgrad og sted. Hensigtsmæssig symptomatisk behandling kan benyttes </w:t>
      </w:r>
      <w:r w:rsidRPr="00B24633">
        <w:rPr>
          <w:sz w:val="24"/>
          <w:szCs w:val="24"/>
        </w:rPr>
        <w:lastRenderedPageBreak/>
        <w:t xml:space="preserve">efter behov som f.eks. mekanisk kompression (f.eks. for svær epistaxis), kirurgisk hæmostase med blodstandsende indgreb, væskesubstitution og hæmodynamisk understøttelse, blodprodukter (pakkede røde blodlegemer eller frisk frosset plasma afhængigt af den tilknyttede anæmi eller koagulopati) eller blodplader. </w:t>
      </w:r>
    </w:p>
    <w:p w14:paraId="31FD1D7F" w14:textId="77777777" w:rsidR="00F61E6E" w:rsidRPr="00B24633" w:rsidRDefault="00F61E6E" w:rsidP="00B24633">
      <w:pPr>
        <w:tabs>
          <w:tab w:val="left" w:pos="851"/>
        </w:tabs>
        <w:ind w:left="851"/>
        <w:rPr>
          <w:sz w:val="24"/>
          <w:szCs w:val="24"/>
        </w:rPr>
      </w:pPr>
      <w:r w:rsidRPr="00B24633">
        <w:rPr>
          <w:sz w:val="24"/>
          <w:szCs w:val="24"/>
        </w:rPr>
        <w:t xml:space="preserve">Såfremt blødningen ikke kan standses med ovennævnte tiltag, bør administration af enten en specifik faktor Xa-inhibitor antidot (andexanet alfa), som antagoniserer den farmakodynamiske virkning af rivaroxaban eller et specifikt prokoagulant middel, som f.eks. protrombinkomplekskoncentrat (PCC), aktiveret protrombinkomplekskoncentrat (APCC) eller rekombinant faktor VIIa (r-FVIIa), overvejes. Der er imidlertid på nuværende tidspunkt yderst begrænsede erfaringer med brug af disse lægemidler hos voksne og børn, der får rivaroxaban. Anbefalingen er desuden baseret på begrænsede, ikke-kliniske data. Det bør overvejes at redosere og titrere rekombinant faktor VIIa afhængigt af bedringen i blødningen. Afhængigt af lokal tilgængelighed bør det overvejes at konsultere en koagulationsekspert i tilfælde af større blødninger (se pkt. 5.1). </w:t>
      </w:r>
    </w:p>
    <w:p w14:paraId="56615D56" w14:textId="77777777" w:rsidR="00F61E6E" w:rsidRPr="00B24633" w:rsidRDefault="00F61E6E" w:rsidP="00B24633">
      <w:pPr>
        <w:tabs>
          <w:tab w:val="left" w:pos="851"/>
        </w:tabs>
        <w:ind w:left="851"/>
        <w:rPr>
          <w:sz w:val="24"/>
          <w:szCs w:val="24"/>
        </w:rPr>
      </w:pPr>
    </w:p>
    <w:p w14:paraId="7046A207" w14:textId="77777777" w:rsidR="00F61E6E" w:rsidRPr="00B24633" w:rsidRDefault="00F61E6E" w:rsidP="00B24633">
      <w:pPr>
        <w:tabs>
          <w:tab w:val="left" w:pos="851"/>
        </w:tabs>
        <w:ind w:left="851"/>
        <w:rPr>
          <w:sz w:val="24"/>
          <w:szCs w:val="24"/>
        </w:rPr>
      </w:pPr>
      <w:r w:rsidRPr="00B24633">
        <w:rPr>
          <w:sz w:val="24"/>
          <w:szCs w:val="24"/>
        </w:rPr>
        <w:t>Protaminsulfat og vitamin K forventes ikke at påvirke rivaroxabans antikoagulerende aktivitet. Der er begrænset erfaring med tranexamsyre og ingen erfaringer med aminocapronsyre og aprotinin hos voksne, der får rivaroxaban. Der er ingen erfaring om brugen af disse stoffer hos børn, der får rivaroxaban. Der er hverken videnskabeligt rationale for fordele ved eller erfaring med anvendelse af det systemiske hæmostatikum desmopressin hos personer, der får rivaroxaban. På grund af rivaroxabans høje plasmaproteinbinding forventes det ikke, at lægemidlet er dialyserbart.</w:t>
      </w:r>
    </w:p>
    <w:p w14:paraId="576CF447" w14:textId="77777777" w:rsidR="009260DE" w:rsidRPr="00B24633" w:rsidRDefault="009260DE" w:rsidP="00B24633">
      <w:pPr>
        <w:tabs>
          <w:tab w:val="left" w:pos="851"/>
        </w:tabs>
        <w:ind w:left="851"/>
        <w:rPr>
          <w:sz w:val="24"/>
          <w:szCs w:val="24"/>
        </w:rPr>
      </w:pPr>
    </w:p>
    <w:p w14:paraId="09E41ABE" w14:textId="77777777" w:rsidR="009260DE" w:rsidRPr="00B24633" w:rsidRDefault="009260DE" w:rsidP="00B24633">
      <w:pPr>
        <w:tabs>
          <w:tab w:val="left" w:pos="851"/>
        </w:tabs>
        <w:ind w:left="851" w:hanging="851"/>
        <w:rPr>
          <w:b/>
          <w:sz w:val="24"/>
          <w:szCs w:val="24"/>
        </w:rPr>
      </w:pPr>
      <w:r w:rsidRPr="00B24633">
        <w:rPr>
          <w:b/>
          <w:sz w:val="24"/>
          <w:szCs w:val="24"/>
        </w:rPr>
        <w:t>4.10</w:t>
      </w:r>
      <w:r w:rsidRPr="00B24633">
        <w:rPr>
          <w:b/>
          <w:sz w:val="24"/>
          <w:szCs w:val="24"/>
        </w:rPr>
        <w:tab/>
        <w:t>Udlevering</w:t>
      </w:r>
    </w:p>
    <w:p w14:paraId="0EE2A16D" w14:textId="6DD0FD83" w:rsidR="009260DE" w:rsidRPr="00B24633" w:rsidRDefault="00F61E6E" w:rsidP="00B24633">
      <w:pPr>
        <w:tabs>
          <w:tab w:val="left" w:pos="851"/>
        </w:tabs>
        <w:ind w:left="851"/>
        <w:rPr>
          <w:sz w:val="24"/>
          <w:szCs w:val="24"/>
        </w:rPr>
      </w:pPr>
      <w:r w:rsidRPr="00B24633">
        <w:rPr>
          <w:sz w:val="24"/>
          <w:szCs w:val="24"/>
        </w:rPr>
        <w:t>B</w:t>
      </w:r>
    </w:p>
    <w:p w14:paraId="27578121" w14:textId="77777777" w:rsidR="009260DE" w:rsidRPr="00B24633" w:rsidRDefault="009260DE" w:rsidP="00B24633">
      <w:pPr>
        <w:tabs>
          <w:tab w:val="left" w:pos="851"/>
        </w:tabs>
        <w:ind w:left="851"/>
        <w:rPr>
          <w:sz w:val="24"/>
          <w:szCs w:val="24"/>
        </w:rPr>
      </w:pPr>
    </w:p>
    <w:p w14:paraId="6301A11C" w14:textId="77777777" w:rsidR="009260DE" w:rsidRPr="00B24633" w:rsidRDefault="009260DE" w:rsidP="00B24633">
      <w:pPr>
        <w:tabs>
          <w:tab w:val="left" w:pos="851"/>
        </w:tabs>
        <w:ind w:left="851"/>
        <w:rPr>
          <w:sz w:val="24"/>
          <w:szCs w:val="24"/>
        </w:rPr>
      </w:pPr>
    </w:p>
    <w:p w14:paraId="508E8C02" w14:textId="77777777" w:rsidR="009260DE" w:rsidRPr="00B24633" w:rsidRDefault="009260DE" w:rsidP="00B24633">
      <w:pPr>
        <w:tabs>
          <w:tab w:val="left" w:pos="851"/>
        </w:tabs>
        <w:ind w:left="851" w:hanging="851"/>
        <w:rPr>
          <w:b/>
          <w:sz w:val="24"/>
          <w:szCs w:val="24"/>
        </w:rPr>
      </w:pPr>
      <w:r w:rsidRPr="00B24633">
        <w:rPr>
          <w:b/>
          <w:sz w:val="24"/>
          <w:szCs w:val="24"/>
        </w:rPr>
        <w:t>5.</w:t>
      </w:r>
      <w:r w:rsidRPr="00B24633">
        <w:rPr>
          <w:b/>
          <w:sz w:val="24"/>
          <w:szCs w:val="24"/>
        </w:rPr>
        <w:tab/>
        <w:t>FARMAKOLOGISKE EGENSKABER</w:t>
      </w:r>
    </w:p>
    <w:p w14:paraId="079E0498" w14:textId="77777777" w:rsidR="009260DE" w:rsidRPr="00B24633" w:rsidRDefault="009260DE" w:rsidP="00B24633">
      <w:pPr>
        <w:tabs>
          <w:tab w:val="left" w:pos="851"/>
        </w:tabs>
        <w:ind w:left="851"/>
        <w:rPr>
          <w:sz w:val="24"/>
          <w:szCs w:val="24"/>
        </w:rPr>
      </w:pPr>
    </w:p>
    <w:p w14:paraId="5422E2DB" w14:textId="77777777" w:rsidR="009260DE" w:rsidRPr="00B24633" w:rsidRDefault="009260DE" w:rsidP="00B24633">
      <w:pPr>
        <w:tabs>
          <w:tab w:val="num" w:pos="851"/>
        </w:tabs>
        <w:ind w:left="851" w:hanging="851"/>
        <w:rPr>
          <w:b/>
          <w:sz w:val="24"/>
          <w:szCs w:val="24"/>
        </w:rPr>
      </w:pPr>
      <w:r w:rsidRPr="00B24633">
        <w:rPr>
          <w:b/>
          <w:sz w:val="24"/>
          <w:szCs w:val="24"/>
        </w:rPr>
        <w:t>5.1</w:t>
      </w:r>
      <w:r w:rsidRPr="00B24633">
        <w:rPr>
          <w:b/>
          <w:sz w:val="24"/>
          <w:szCs w:val="24"/>
        </w:rPr>
        <w:tab/>
        <w:t>Farmakodynamiske egenskaber</w:t>
      </w:r>
    </w:p>
    <w:p w14:paraId="306FE126" w14:textId="7A90EC8A" w:rsidR="00F61E6E" w:rsidRPr="00B24633" w:rsidRDefault="00505B18" w:rsidP="00B24633">
      <w:pPr>
        <w:tabs>
          <w:tab w:val="left" w:pos="851"/>
        </w:tabs>
        <w:ind w:left="851"/>
        <w:rPr>
          <w:sz w:val="24"/>
          <w:szCs w:val="24"/>
        </w:rPr>
      </w:pPr>
      <w:r w:rsidRPr="00B24633">
        <w:rPr>
          <w:sz w:val="24"/>
          <w:szCs w:val="24"/>
        </w:rPr>
        <w:t>Farmakoterapeutisk klassifikation</w:t>
      </w:r>
      <w:r w:rsidR="00F61E6E" w:rsidRPr="00B24633">
        <w:rPr>
          <w:sz w:val="24"/>
          <w:szCs w:val="24"/>
        </w:rPr>
        <w:t>: Antitrombosemidler, direkte faktor Xa-hæmmere</w:t>
      </w:r>
      <w:r w:rsidRPr="00B24633">
        <w:rPr>
          <w:sz w:val="24"/>
          <w:szCs w:val="24"/>
        </w:rPr>
        <w:t>, ATC-kode: B01AF01</w:t>
      </w:r>
    </w:p>
    <w:p w14:paraId="5965C8C5" w14:textId="4AF0B154" w:rsidR="009260DE" w:rsidRPr="00B24633" w:rsidRDefault="009260DE" w:rsidP="00B24633">
      <w:pPr>
        <w:tabs>
          <w:tab w:val="left" w:pos="851"/>
        </w:tabs>
        <w:ind w:left="851"/>
        <w:rPr>
          <w:sz w:val="24"/>
          <w:szCs w:val="24"/>
        </w:rPr>
      </w:pPr>
    </w:p>
    <w:p w14:paraId="50B773B7" w14:textId="77777777" w:rsidR="00F61E6E" w:rsidRPr="00B24633" w:rsidRDefault="00F61E6E" w:rsidP="00B24633">
      <w:pPr>
        <w:tabs>
          <w:tab w:val="left" w:pos="851"/>
        </w:tabs>
        <w:ind w:left="851"/>
        <w:rPr>
          <w:sz w:val="24"/>
          <w:szCs w:val="24"/>
          <w:u w:val="single"/>
        </w:rPr>
      </w:pPr>
      <w:r w:rsidRPr="00B24633">
        <w:rPr>
          <w:sz w:val="24"/>
          <w:szCs w:val="24"/>
          <w:u w:val="single"/>
        </w:rPr>
        <w:t>Virkningsmekanisme</w:t>
      </w:r>
    </w:p>
    <w:p w14:paraId="28DF16E9" w14:textId="77777777" w:rsidR="00F61E6E" w:rsidRPr="00B24633" w:rsidRDefault="00F61E6E" w:rsidP="00B24633">
      <w:pPr>
        <w:tabs>
          <w:tab w:val="left" w:pos="851"/>
        </w:tabs>
        <w:ind w:left="851"/>
        <w:rPr>
          <w:sz w:val="24"/>
          <w:szCs w:val="24"/>
          <w:u w:val="single"/>
        </w:rPr>
      </w:pPr>
    </w:p>
    <w:p w14:paraId="117EC3E9" w14:textId="77777777" w:rsidR="00F61E6E" w:rsidRPr="00B24633" w:rsidRDefault="00F61E6E" w:rsidP="00B24633">
      <w:pPr>
        <w:tabs>
          <w:tab w:val="left" w:pos="851"/>
        </w:tabs>
        <w:ind w:left="851"/>
        <w:rPr>
          <w:sz w:val="24"/>
          <w:szCs w:val="24"/>
        </w:rPr>
      </w:pPr>
      <w:r w:rsidRPr="00B24633">
        <w:rPr>
          <w:sz w:val="24"/>
          <w:szCs w:val="24"/>
        </w:rPr>
        <w:t xml:space="preserve">Rivaroxaban er en yderst selektiv, direkte faktor Xa-hæmmer med oral biotilgængelighed. Hæmning af faktor Xa afbryder blodkoagulationskaskadens intrinsiske og ekstrinsiske bane, og hæmmer både dannelsen af trombin og tromber. Rivaroxaban hæmmer ikke trombin (aktiveret faktor II), og der er ikke vist nogen effekt på blodpladerne. </w:t>
      </w:r>
    </w:p>
    <w:p w14:paraId="472E7E43" w14:textId="77777777" w:rsidR="00F61E6E" w:rsidRPr="00B24633" w:rsidRDefault="00F61E6E" w:rsidP="00B24633">
      <w:pPr>
        <w:tabs>
          <w:tab w:val="left" w:pos="851"/>
        </w:tabs>
        <w:ind w:left="851"/>
        <w:rPr>
          <w:sz w:val="24"/>
          <w:szCs w:val="24"/>
        </w:rPr>
      </w:pPr>
    </w:p>
    <w:p w14:paraId="5DAEA828" w14:textId="77777777" w:rsidR="00F61E6E" w:rsidRPr="00B24633" w:rsidRDefault="00F61E6E" w:rsidP="00B24633">
      <w:pPr>
        <w:tabs>
          <w:tab w:val="left" w:pos="851"/>
        </w:tabs>
        <w:ind w:left="851"/>
        <w:rPr>
          <w:sz w:val="24"/>
          <w:szCs w:val="24"/>
          <w:u w:val="single"/>
        </w:rPr>
      </w:pPr>
      <w:r w:rsidRPr="00B24633">
        <w:rPr>
          <w:sz w:val="24"/>
          <w:szCs w:val="24"/>
          <w:u w:val="single"/>
        </w:rPr>
        <w:t>Farmakodynamisk virkning</w:t>
      </w:r>
    </w:p>
    <w:p w14:paraId="1075DBE1" w14:textId="77777777" w:rsidR="00F61E6E" w:rsidRPr="00B24633" w:rsidRDefault="00F61E6E" w:rsidP="00B24633">
      <w:pPr>
        <w:tabs>
          <w:tab w:val="left" w:pos="851"/>
        </w:tabs>
        <w:ind w:left="851"/>
        <w:rPr>
          <w:sz w:val="24"/>
          <w:szCs w:val="24"/>
          <w:u w:val="single"/>
        </w:rPr>
      </w:pPr>
    </w:p>
    <w:p w14:paraId="1480F5F2" w14:textId="77777777" w:rsidR="00F61E6E" w:rsidRPr="00B24633" w:rsidRDefault="00F61E6E" w:rsidP="00B24633">
      <w:pPr>
        <w:tabs>
          <w:tab w:val="left" w:pos="851"/>
        </w:tabs>
        <w:ind w:left="851"/>
        <w:rPr>
          <w:sz w:val="24"/>
          <w:szCs w:val="24"/>
        </w:rPr>
      </w:pPr>
      <w:r w:rsidRPr="00B24633">
        <w:rPr>
          <w:sz w:val="24"/>
          <w:szCs w:val="24"/>
        </w:rPr>
        <w:t xml:space="preserve">Der er set dosisafhængig hæmning af faktor Xa-aktivitet hos mennesker. Protrombintiden (PT) påvirkes af rivaroxaban i forhold til dosis og i tæt sammenhæng med plasmakoncentrationerne (r-værdi lig med 0,98), hvis der anvendes Neoplastin til analysen. Andre reagenser ville give andre resultater. PT skal måles i sekunder, da INR kun kalibreres og valideres for cumariner og ikke kan anvendes i forbindelse med andre antikoagulantia. </w:t>
      </w:r>
    </w:p>
    <w:p w14:paraId="32680906" w14:textId="77777777" w:rsidR="00F61E6E" w:rsidRPr="00B24633" w:rsidRDefault="00F61E6E" w:rsidP="00B24633">
      <w:pPr>
        <w:tabs>
          <w:tab w:val="left" w:pos="851"/>
        </w:tabs>
        <w:ind w:left="851"/>
        <w:rPr>
          <w:sz w:val="24"/>
          <w:szCs w:val="24"/>
        </w:rPr>
      </w:pPr>
    </w:p>
    <w:p w14:paraId="5C2F094A" w14:textId="77777777" w:rsidR="00F61E6E" w:rsidRPr="00B24633" w:rsidRDefault="00F61E6E" w:rsidP="00B24633">
      <w:pPr>
        <w:tabs>
          <w:tab w:val="left" w:pos="851"/>
        </w:tabs>
        <w:ind w:left="851"/>
        <w:rPr>
          <w:sz w:val="24"/>
          <w:szCs w:val="24"/>
        </w:rPr>
      </w:pPr>
      <w:r w:rsidRPr="00B24633">
        <w:rPr>
          <w:sz w:val="24"/>
          <w:szCs w:val="24"/>
        </w:rPr>
        <w:t xml:space="preserve">Hos patienter i behandling med rivaroxaban for DVT og PE og forebyggelse af recidiv var 5/95-percentilerne for PT (Neoplastin) 2 – 4 timer efter tabletindtagelse (dvs. på </w:t>
      </w:r>
      <w:r w:rsidRPr="00B24633">
        <w:rPr>
          <w:sz w:val="24"/>
          <w:szCs w:val="24"/>
        </w:rPr>
        <w:lastRenderedPageBreak/>
        <w:t>tidspunktet for maksimal effekt) for 15 mg rivaroxaban to gange dagligt 17-32 sek. og for 20 mg rivaroxaban én gang dagligt 15–30 sek. Ved dalniveau (8 – 16 timer efter tabletindtagelse) var 5/95-percentilerne for 15 mg to gange dagligt fra 14 – 24 sek. og for 20 mg én gang dagligt (18–30 timer efter tabletindtagelsen) fra 13 – 20 sek.</w:t>
      </w:r>
    </w:p>
    <w:p w14:paraId="13843B1F" w14:textId="77777777" w:rsidR="00F61E6E" w:rsidRPr="00B24633" w:rsidRDefault="00F61E6E" w:rsidP="00B24633">
      <w:pPr>
        <w:tabs>
          <w:tab w:val="left" w:pos="851"/>
        </w:tabs>
        <w:ind w:left="851"/>
        <w:rPr>
          <w:sz w:val="24"/>
          <w:szCs w:val="24"/>
        </w:rPr>
      </w:pPr>
    </w:p>
    <w:p w14:paraId="52DCC291" w14:textId="77777777" w:rsidR="00F61E6E" w:rsidRPr="00B24633" w:rsidRDefault="00F61E6E" w:rsidP="00B24633">
      <w:pPr>
        <w:tabs>
          <w:tab w:val="left" w:pos="851"/>
        </w:tabs>
        <w:ind w:left="851"/>
        <w:rPr>
          <w:sz w:val="24"/>
          <w:szCs w:val="24"/>
        </w:rPr>
      </w:pPr>
      <w:r w:rsidRPr="00B24633">
        <w:rPr>
          <w:sz w:val="24"/>
          <w:szCs w:val="24"/>
        </w:rPr>
        <w:t>Hos patienter med ikke-valvulær atrieflimren i behandling med rivaroxaban for forebyggelse af apopleksi og systemisk emboli var 5/95-percentilerne for PT (Neoplastin) 1 ‒ 4 timer efter tabletindtagelse (dvs. på tidspunktet for maksimal effekt) hos patienter behandlet med 20 mg én gang dagligt fra 14 – 40 sek., og hos patienter med moderat nyreinsufficiens behandlet med 15 mg én gang dagligt fra 10-50 sek. Ved dalniveau (16–36 timer efter tabletindtagelse) var 5/95 percentilerne hos patienter behandlet med 20 mg én gang dagligt fra 12–26 sek., og hos patienter med moderat nyreinsufficiens behandlet med 15 mg én gang dagligt fra 12–26 sek.</w:t>
      </w:r>
    </w:p>
    <w:p w14:paraId="7A211841" w14:textId="77777777" w:rsidR="00F61E6E" w:rsidRPr="00B24633" w:rsidRDefault="00F61E6E" w:rsidP="00B24633">
      <w:pPr>
        <w:tabs>
          <w:tab w:val="left" w:pos="851"/>
        </w:tabs>
        <w:ind w:left="851"/>
        <w:rPr>
          <w:sz w:val="24"/>
          <w:szCs w:val="24"/>
        </w:rPr>
      </w:pPr>
    </w:p>
    <w:p w14:paraId="62AC5ED0" w14:textId="77777777" w:rsidR="00F61E6E" w:rsidRPr="00B24633" w:rsidRDefault="00F61E6E" w:rsidP="00B24633">
      <w:pPr>
        <w:tabs>
          <w:tab w:val="left" w:pos="851"/>
        </w:tabs>
        <w:ind w:left="851"/>
        <w:rPr>
          <w:sz w:val="24"/>
          <w:szCs w:val="24"/>
        </w:rPr>
      </w:pPr>
      <w:r w:rsidRPr="00B24633">
        <w:rPr>
          <w:sz w:val="24"/>
          <w:szCs w:val="24"/>
        </w:rPr>
        <w:t>I et klinisk farmakologisk studie af ophævelse af rivaroxabans farmakodynamiske egenskaber hos raske voksne forsøgspersoner (n = 22) undersøgte man virkningerne af enkeltdoser (50 IE/kg) af to forskellige typer PCC, en 3-faktor PCC (faktor II, IX og X) og en 4-faktor PCC (faktor II, VII, IX og X). 3-faktor PCC'en reducerede middelværdierne af neoplastin-PT med ca. 1,0 sekund inden for 30 minutter sammenlignet med reduktioner på ca. 3,5 sekunder observeret med 4-faktor PCC'en. Til gengæld havde 3-faktor PCC'en en større og hurtigere samlet effekt på ophævelse af ændringer i endogen trombingenerering end 4-faktor PCC'en (se pkt. 4.9).</w:t>
      </w:r>
    </w:p>
    <w:p w14:paraId="09BE2C4E" w14:textId="77777777" w:rsidR="00F61E6E" w:rsidRPr="00B24633" w:rsidRDefault="00F61E6E" w:rsidP="00B24633">
      <w:pPr>
        <w:tabs>
          <w:tab w:val="left" w:pos="851"/>
        </w:tabs>
        <w:ind w:left="851"/>
        <w:rPr>
          <w:sz w:val="24"/>
          <w:szCs w:val="24"/>
        </w:rPr>
      </w:pPr>
      <w:r w:rsidRPr="00B24633">
        <w:rPr>
          <w:sz w:val="24"/>
          <w:szCs w:val="24"/>
        </w:rPr>
        <w:t>Den aktiverede partielle tromboplastintid (aPTT) og Heptest forlænges også i forhold til dosis, men de anbefales ikke til vurdering af rivaroxabans farmakodynamiske effekt. Det er ikke nødvendigt at overvåge koagulationsparametrene under behandling med rivaroxaban som klinisk rutine. Hvis det imidlertid er klinisk indiceret, kan rivaroxaban-niveauerne måles ved kalibrerede kvantitative anti- faktor Xa-test (se pkt. 5.2).</w:t>
      </w:r>
    </w:p>
    <w:p w14:paraId="5FB65E89" w14:textId="77777777" w:rsidR="00F61E6E" w:rsidRPr="00B24633" w:rsidRDefault="00F61E6E" w:rsidP="00B24633">
      <w:pPr>
        <w:tabs>
          <w:tab w:val="left" w:pos="851"/>
        </w:tabs>
        <w:ind w:left="851"/>
        <w:rPr>
          <w:sz w:val="24"/>
          <w:szCs w:val="24"/>
        </w:rPr>
      </w:pPr>
    </w:p>
    <w:p w14:paraId="7255A26E" w14:textId="77777777" w:rsidR="00F61E6E" w:rsidRPr="00B24633" w:rsidRDefault="00F61E6E" w:rsidP="00B24633">
      <w:pPr>
        <w:tabs>
          <w:tab w:val="left" w:pos="851"/>
        </w:tabs>
        <w:ind w:left="851"/>
        <w:rPr>
          <w:sz w:val="24"/>
          <w:szCs w:val="24"/>
        </w:rPr>
      </w:pPr>
      <w:r w:rsidRPr="00B24633">
        <w:rPr>
          <w:sz w:val="24"/>
          <w:szCs w:val="24"/>
          <w:u w:val="single"/>
        </w:rPr>
        <w:t>Pædiatrisk population</w:t>
      </w:r>
    </w:p>
    <w:p w14:paraId="5A454F0B" w14:textId="77777777" w:rsidR="00F61E6E" w:rsidRPr="00B24633" w:rsidRDefault="00F61E6E" w:rsidP="00B24633">
      <w:pPr>
        <w:tabs>
          <w:tab w:val="left" w:pos="851"/>
        </w:tabs>
        <w:ind w:left="851"/>
        <w:rPr>
          <w:sz w:val="24"/>
          <w:szCs w:val="24"/>
        </w:rPr>
      </w:pPr>
      <w:r w:rsidRPr="00B24633">
        <w:rPr>
          <w:sz w:val="24"/>
          <w:szCs w:val="24"/>
        </w:rPr>
        <w:t>PT- (neoplastin-reagens), aPTT- og anti-Xa-analyse (med en kalibreret kvantitativ test) viser en tæt korrelation med plasmakoncentrationerne hos børn. Korrelationen mellem anti-Xa til plasmakoncentrationer er linær, med en hældning nær 1. Individuelle afvigelser med højere eller lavere anti-Xa-værdier, sammenlignet med de tilsvarende plasmakoncentrationer, kan opstå. Der er ikke behov for rutinemæssig overvågning af koagulationsparametrene i løbet af den kliniske behandling med rivaroxaban. Hvis det er klinisk indiceret, kan rivaroxabankoncentrationer måles ved kalibrerede kvantitative anti-faktor Xa-tests i mikrog/l (se tabel 13 i pkt. 5.2 for intervaller for observerede plasmakoncentrationer af rivaroxaban hos børn). Den nedre kvantificeringsgrænse skal overvejes, når der anvendes anti-Xa-tests til at kvantificere plasmakoncentrationerne af rivaroxaban hos børn. Der er ikke klarlagt en tærskelværdi for virknings- og sikkerhedshændelser.</w:t>
      </w:r>
    </w:p>
    <w:p w14:paraId="2FF64738" w14:textId="77777777" w:rsidR="00F61E6E" w:rsidRPr="00B24633" w:rsidRDefault="00F61E6E" w:rsidP="00B24633">
      <w:pPr>
        <w:tabs>
          <w:tab w:val="left" w:pos="851"/>
        </w:tabs>
        <w:ind w:left="851"/>
        <w:rPr>
          <w:sz w:val="24"/>
          <w:szCs w:val="24"/>
        </w:rPr>
      </w:pPr>
    </w:p>
    <w:p w14:paraId="1616EA3E" w14:textId="77777777" w:rsidR="00F61E6E" w:rsidRPr="00B24633" w:rsidRDefault="00F61E6E" w:rsidP="00B24633">
      <w:pPr>
        <w:tabs>
          <w:tab w:val="left" w:pos="851"/>
        </w:tabs>
        <w:ind w:left="851"/>
        <w:rPr>
          <w:sz w:val="24"/>
          <w:szCs w:val="24"/>
          <w:u w:val="single"/>
        </w:rPr>
      </w:pPr>
      <w:r w:rsidRPr="00B24633">
        <w:rPr>
          <w:sz w:val="24"/>
          <w:szCs w:val="24"/>
          <w:u w:val="single"/>
        </w:rPr>
        <w:t xml:space="preserve">Klinisk virkning og sikkerhed </w:t>
      </w:r>
    </w:p>
    <w:p w14:paraId="0824F729" w14:textId="77777777" w:rsidR="00F61E6E" w:rsidRPr="00B24633" w:rsidRDefault="00F61E6E" w:rsidP="00B24633">
      <w:pPr>
        <w:tabs>
          <w:tab w:val="left" w:pos="851"/>
        </w:tabs>
        <w:ind w:left="851"/>
        <w:rPr>
          <w:sz w:val="24"/>
          <w:szCs w:val="24"/>
          <w:u w:val="single"/>
        </w:rPr>
      </w:pPr>
    </w:p>
    <w:p w14:paraId="0D2AA0F0" w14:textId="77777777" w:rsidR="00F61E6E" w:rsidRPr="00B24633" w:rsidRDefault="00F61E6E" w:rsidP="00B24633">
      <w:pPr>
        <w:tabs>
          <w:tab w:val="left" w:pos="851"/>
        </w:tabs>
        <w:ind w:left="851"/>
        <w:rPr>
          <w:i/>
          <w:sz w:val="24"/>
          <w:szCs w:val="24"/>
        </w:rPr>
      </w:pPr>
      <w:r w:rsidRPr="00B24633">
        <w:rPr>
          <w:i/>
          <w:sz w:val="24"/>
          <w:szCs w:val="24"/>
        </w:rPr>
        <w:t>Forebyggelse af apopleksi og systemisk emboli hos patienter med ikke-valvulær atrieflimren</w:t>
      </w:r>
    </w:p>
    <w:p w14:paraId="376CBDC7" w14:textId="77777777" w:rsidR="00F61E6E" w:rsidRPr="00B24633" w:rsidRDefault="00F61E6E" w:rsidP="00B24633">
      <w:pPr>
        <w:tabs>
          <w:tab w:val="left" w:pos="851"/>
        </w:tabs>
        <w:ind w:left="851"/>
        <w:rPr>
          <w:sz w:val="24"/>
          <w:szCs w:val="24"/>
        </w:rPr>
      </w:pPr>
      <w:r w:rsidRPr="00B24633">
        <w:rPr>
          <w:sz w:val="24"/>
          <w:szCs w:val="24"/>
        </w:rPr>
        <w:t>Det kliniske rivaroxaban-program var udformet med henblik på at påvise effekten af rivaroxaban til forebyggelse af apopleksi og systemisk emboli hos patienter med ikke-valvulær atrieflimren.</w:t>
      </w:r>
    </w:p>
    <w:p w14:paraId="61B943AC" w14:textId="77777777" w:rsidR="00F61E6E" w:rsidRPr="00B24633" w:rsidRDefault="00F61E6E" w:rsidP="00B24633">
      <w:pPr>
        <w:tabs>
          <w:tab w:val="left" w:pos="851"/>
        </w:tabs>
        <w:ind w:left="851"/>
        <w:rPr>
          <w:sz w:val="24"/>
          <w:szCs w:val="24"/>
        </w:rPr>
      </w:pPr>
      <w:r w:rsidRPr="00B24633">
        <w:rPr>
          <w:sz w:val="24"/>
          <w:szCs w:val="24"/>
        </w:rPr>
        <w:t xml:space="preserve">I det centrale dobbeltblindstudie ROCKET AF blev 14.264 patienter udvalgt til enten rivaroxaban 20 mg én gang dagligt (15 mg én gang dagligt for patienter med </w:t>
      </w:r>
      <w:r w:rsidRPr="00B24633">
        <w:rPr>
          <w:sz w:val="24"/>
          <w:szCs w:val="24"/>
        </w:rPr>
        <w:lastRenderedPageBreak/>
        <w:t>kreatininclearance 30</w:t>
      </w:r>
      <w:r w:rsidRPr="00B24633">
        <w:rPr>
          <w:color w:val="000000"/>
          <w:sz w:val="24"/>
          <w:szCs w:val="24"/>
          <w:lang w:eastAsia="en-GB"/>
        </w:rPr>
        <w:t>–</w:t>
      </w:r>
      <w:r w:rsidRPr="00B24633">
        <w:rPr>
          <w:sz w:val="24"/>
          <w:szCs w:val="24"/>
        </w:rPr>
        <w:t>49 ml/min) eller warfarin titreret til en INR på 2,5 (behandlingsinterval 2,0 </w:t>
      </w:r>
      <w:r w:rsidRPr="00B24633">
        <w:rPr>
          <w:color w:val="000000"/>
          <w:sz w:val="24"/>
          <w:szCs w:val="24"/>
          <w:lang w:eastAsia="en-GB"/>
        </w:rPr>
        <w:t>– </w:t>
      </w:r>
      <w:r w:rsidRPr="00B24633">
        <w:rPr>
          <w:sz w:val="24"/>
          <w:szCs w:val="24"/>
        </w:rPr>
        <w:t>3,0). Mediantiden for behandlingen var 19 måneder, og den samlede varighed af behandlingen var op til 41 måneder.</w:t>
      </w:r>
    </w:p>
    <w:p w14:paraId="1B660929" w14:textId="1CD5AB3C" w:rsidR="00F61E6E" w:rsidRPr="00B24633" w:rsidRDefault="00F61E6E" w:rsidP="00B24633">
      <w:pPr>
        <w:tabs>
          <w:tab w:val="left" w:pos="851"/>
        </w:tabs>
        <w:ind w:left="851"/>
        <w:rPr>
          <w:sz w:val="24"/>
          <w:szCs w:val="24"/>
        </w:rPr>
      </w:pPr>
      <w:r w:rsidRPr="00B24633">
        <w:rPr>
          <w:sz w:val="24"/>
          <w:szCs w:val="24"/>
        </w:rPr>
        <w:t>34,9</w:t>
      </w:r>
      <w:r w:rsidR="00054680">
        <w:rPr>
          <w:sz w:val="24"/>
          <w:szCs w:val="24"/>
        </w:rPr>
        <w:t xml:space="preserve"> %</w:t>
      </w:r>
      <w:r w:rsidRPr="00B24633">
        <w:rPr>
          <w:sz w:val="24"/>
          <w:szCs w:val="24"/>
        </w:rPr>
        <w:t xml:space="preserve"> af patienterne blev behandlet med acetylsalicylsyre, mens 11,4</w:t>
      </w:r>
      <w:r w:rsidR="00054680">
        <w:rPr>
          <w:sz w:val="24"/>
          <w:szCs w:val="24"/>
        </w:rPr>
        <w:t xml:space="preserve"> %</w:t>
      </w:r>
      <w:r w:rsidRPr="00B24633">
        <w:rPr>
          <w:sz w:val="24"/>
          <w:szCs w:val="24"/>
        </w:rPr>
        <w:t xml:space="preserve"> blev behandlet med klasse- III-antiarytmika, herunder amiodaron.</w:t>
      </w:r>
    </w:p>
    <w:p w14:paraId="347A1E0C" w14:textId="77777777" w:rsidR="00F61E6E" w:rsidRPr="00B24633" w:rsidRDefault="00F61E6E" w:rsidP="00B24633">
      <w:pPr>
        <w:tabs>
          <w:tab w:val="left" w:pos="851"/>
        </w:tabs>
        <w:ind w:left="851"/>
        <w:rPr>
          <w:sz w:val="24"/>
          <w:szCs w:val="24"/>
        </w:rPr>
      </w:pPr>
    </w:p>
    <w:p w14:paraId="4BDF7605" w14:textId="31D64C8F" w:rsidR="00F61E6E" w:rsidRPr="00B24633" w:rsidRDefault="00F61E6E" w:rsidP="00B24633">
      <w:pPr>
        <w:tabs>
          <w:tab w:val="left" w:pos="851"/>
        </w:tabs>
        <w:ind w:left="851"/>
        <w:rPr>
          <w:sz w:val="24"/>
          <w:szCs w:val="24"/>
        </w:rPr>
      </w:pPr>
      <w:r w:rsidRPr="00B24633">
        <w:rPr>
          <w:sz w:val="24"/>
          <w:szCs w:val="24"/>
        </w:rPr>
        <w:t>Rivaroxaban var ikke ringere end warfarin med hensyn til det sammensatte primære endepunkt for apopleksi og systemisk non-CNS-emboli. I per protokolpopulationen under behandling forekom apopleksi eller systemisk emboli hos 188 patienter på rivaroxaban (1,71</w:t>
      </w:r>
      <w:r w:rsidR="00054680">
        <w:rPr>
          <w:sz w:val="24"/>
          <w:szCs w:val="24"/>
        </w:rPr>
        <w:t xml:space="preserve"> %</w:t>
      </w:r>
      <w:r w:rsidRPr="00B24633">
        <w:rPr>
          <w:sz w:val="24"/>
          <w:szCs w:val="24"/>
        </w:rPr>
        <w:t xml:space="preserve"> pr. år) og 241 på warfarin (2,16</w:t>
      </w:r>
      <w:r w:rsidR="00054680">
        <w:rPr>
          <w:sz w:val="24"/>
          <w:szCs w:val="24"/>
        </w:rPr>
        <w:t xml:space="preserve"> %</w:t>
      </w:r>
      <w:r w:rsidRPr="00B24633">
        <w:rPr>
          <w:sz w:val="24"/>
          <w:szCs w:val="24"/>
        </w:rPr>
        <w:t xml:space="preserve"> pr. år) (HR 0,79; 95</w:t>
      </w:r>
      <w:r w:rsidR="00054680">
        <w:rPr>
          <w:sz w:val="24"/>
          <w:szCs w:val="24"/>
        </w:rPr>
        <w:t xml:space="preserve"> %</w:t>
      </w:r>
      <w:r w:rsidRPr="00B24633">
        <w:rPr>
          <w:sz w:val="24"/>
          <w:szCs w:val="24"/>
        </w:rPr>
        <w:t xml:space="preserve"> KI, 0,66 – 0,96; p &lt; 0,001 for non-inferioritet). Hos alle randomiserede patienter, der var blevet analyseret med hensyn til ITT (Intention to treat), forekom primære hændelser hos 269 på rivaroxaban (2,12</w:t>
      </w:r>
      <w:r w:rsidR="00054680">
        <w:rPr>
          <w:sz w:val="24"/>
          <w:szCs w:val="24"/>
        </w:rPr>
        <w:t xml:space="preserve"> %</w:t>
      </w:r>
      <w:r w:rsidRPr="00B24633">
        <w:rPr>
          <w:sz w:val="24"/>
          <w:szCs w:val="24"/>
        </w:rPr>
        <w:t xml:space="preserve"> pr. år) og 306 på warfarin (2,42</w:t>
      </w:r>
      <w:r w:rsidR="00054680">
        <w:rPr>
          <w:sz w:val="24"/>
          <w:szCs w:val="24"/>
        </w:rPr>
        <w:t xml:space="preserve"> %</w:t>
      </w:r>
      <w:r w:rsidRPr="00B24633">
        <w:rPr>
          <w:sz w:val="24"/>
          <w:szCs w:val="24"/>
        </w:rPr>
        <w:t xml:space="preserve"> pr. år) (HR 0,88; 95</w:t>
      </w:r>
      <w:r w:rsidR="00054680">
        <w:rPr>
          <w:sz w:val="24"/>
          <w:szCs w:val="24"/>
        </w:rPr>
        <w:t xml:space="preserve"> %</w:t>
      </w:r>
      <w:r w:rsidRPr="00B24633">
        <w:rPr>
          <w:sz w:val="24"/>
          <w:szCs w:val="24"/>
        </w:rPr>
        <w:t xml:space="preserve"> KI, 0,74– 1,03; p &lt; 0,001 for non-inferioritet; p</w:t>
      </w:r>
      <w:r w:rsidR="00825675">
        <w:rPr>
          <w:sz w:val="24"/>
          <w:szCs w:val="24"/>
        </w:rPr>
        <w:t xml:space="preserve"> </w:t>
      </w:r>
      <w:r w:rsidRPr="00B24633">
        <w:rPr>
          <w:sz w:val="24"/>
          <w:szCs w:val="24"/>
        </w:rPr>
        <w:t>=</w:t>
      </w:r>
      <w:r w:rsidR="00825675">
        <w:rPr>
          <w:sz w:val="24"/>
          <w:szCs w:val="24"/>
        </w:rPr>
        <w:t xml:space="preserve"> </w:t>
      </w:r>
      <w:r w:rsidRPr="00B24633">
        <w:rPr>
          <w:sz w:val="24"/>
          <w:szCs w:val="24"/>
        </w:rPr>
        <w:t>0,117 for superioritet). Resultaterne for de sekundære endepunkter testet hierarkisk i ITT-analysen vises i tabel 4.</w:t>
      </w:r>
    </w:p>
    <w:p w14:paraId="56BF787B" w14:textId="6801411E" w:rsidR="00F61E6E" w:rsidRPr="00B24633" w:rsidRDefault="00F61E6E" w:rsidP="00B24633">
      <w:pPr>
        <w:tabs>
          <w:tab w:val="left" w:pos="851"/>
        </w:tabs>
        <w:ind w:left="851"/>
        <w:rPr>
          <w:sz w:val="24"/>
          <w:szCs w:val="24"/>
        </w:rPr>
      </w:pPr>
      <w:r w:rsidRPr="00B24633">
        <w:rPr>
          <w:sz w:val="24"/>
          <w:szCs w:val="24"/>
        </w:rPr>
        <w:t>Hos patienterne i warfarin-gruppen var INR-værdierne inden for det terapeutiske område (2,0 – 3,0) som middelværdi 55</w:t>
      </w:r>
      <w:r w:rsidR="00054680">
        <w:rPr>
          <w:sz w:val="24"/>
          <w:szCs w:val="24"/>
        </w:rPr>
        <w:t xml:space="preserve"> %</w:t>
      </w:r>
      <w:r w:rsidRPr="00B24633">
        <w:rPr>
          <w:sz w:val="24"/>
          <w:szCs w:val="24"/>
        </w:rPr>
        <w:t xml:space="preserve"> af tiden (median 58</w:t>
      </w:r>
      <w:r w:rsidR="00054680">
        <w:rPr>
          <w:sz w:val="24"/>
          <w:szCs w:val="24"/>
        </w:rPr>
        <w:t xml:space="preserve"> %</w:t>
      </w:r>
      <w:r w:rsidRPr="00B24633">
        <w:rPr>
          <w:sz w:val="24"/>
          <w:szCs w:val="24"/>
        </w:rPr>
        <w:t xml:space="preserve">; interkvartilt område 43 – 71). Der var ingen forskel i virkningen af rivaroxaban ved forskellige centerniveauer for TTR (Time in Target INR Range (tid i terapeutisk område) på 2,0 – 3,0) i de lige store kvartiler (p = 0,74 for interaktion). I den højeste kvartil i henhold til center var </w:t>
      </w:r>
      <w:r w:rsidRPr="00B24633">
        <w:rPr>
          <w:i/>
          <w:sz w:val="24"/>
          <w:szCs w:val="24"/>
        </w:rPr>
        <w:t xml:space="preserve">hazard </w:t>
      </w:r>
      <w:r w:rsidRPr="00B24633">
        <w:rPr>
          <w:sz w:val="24"/>
          <w:szCs w:val="24"/>
        </w:rPr>
        <w:t>ratio (HR) for rivaroxaban i forhold til warfarin 0,74 (95</w:t>
      </w:r>
      <w:r w:rsidR="00054680">
        <w:rPr>
          <w:sz w:val="24"/>
          <w:szCs w:val="24"/>
        </w:rPr>
        <w:t xml:space="preserve"> %</w:t>
      </w:r>
      <w:r w:rsidRPr="00B24633">
        <w:rPr>
          <w:sz w:val="24"/>
          <w:szCs w:val="24"/>
        </w:rPr>
        <w:t xml:space="preserve"> KI, 0,49 – 1,12). Frekvenserne af det primære sikkerhedsendepunkt (større og mindre klinisk relevante blødninger) var ens for de to behandlingsgrupper (se tabel 5).</w:t>
      </w:r>
    </w:p>
    <w:p w14:paraId="0A7DD849" w14:textId="77777777" w:rsidR="00F61E6E" w:rsidRPr="00B24633" w:rsidRDefault="00F61E6E" w:rsidP="00B24633">
      <w:pPr>
        <w:tabs>
          <w:tab w:val="left" w:pos="851"/>
        </w:tabs>
        <w:ind w:left="851"/>
        <w:rPr>
          <w:sz w:val="24"/>
          <w:szCs w:val="24"/>
        </w:rPr>
      </w:pPr>
    </w:p>
    <w:p w14:paraId="18DF1495" w14:textId="2F080858" w:rsidR="00F61E6E" w:rsidRDefault="00F61E6E" w:rsidP="00B24633">
      <w:pPr>
        <w:ind w:left="851"/>
        <w:rPr>
          <w:b/>
          <w:sz w:val="24"/>
          <w:szCs w:val="24"/>
        </w:rPr>
      </w:pPr>
      <w:r w:rsidRPr="00B24633">
        <w:rPr>
          <w:b/>
          <w:sz w:val="24"/>
          <w:szCs w:val="24"/>
        </w:rPr>
        <w:t xml:space="preserve">Tabel 4: Virkningsresultater af ROCKET </w:t>
      </w:r>
      <w:proofErr w:type="gramStart"/>
      <w:r w:rsidRPr="00B24633">
        <w:rPr>
          <w:b/>
          <w:sz w:val="24"/>
          <w:szCs w:val="24"/>
        </w:rPr>
        <w:t>AF fase</w:t>
      </w:r>
      <w:proofErr w:type="gramEnd"/>
      <w:r w:rsidRPr="00B24633">
        <w:rPr>
          <w:b/>
          <w:sz w:val="24"/>
          <w:szCs w:val="24"/>
        </w:rPr>
        <w:t> III</w:t>
      </w:r>
    </w:p>
    <w:p w14:paraId="6234F374" w14:textId="77777777" w:rsidR="00F21719" w:rsidRPr="00B24633" w:rsidRDefault="00F21719" w:rsidP="00B24633">
      <w:pPr>
        <w:ind w:left="851"/>
        <w:rPr>
          <w:b/>
          <w:sz w:val="24"/>
          <w:szCs w:val="24"/>
        </w:rPr>
      </w:pPr>
    </w:p>
    <w:tbl>
      <w:tblPr>
        <w:tblW w:w="0" w:type="auto"/>
        <w:tblInd w:w="8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5"/>
        <w:gridCol w:w="2268"/>
        <w:gridCol w:w="2268"/>
        <w:gridCol w:w="2836"/>
      </w:tblGrid>
      <w:tr w:rsidR="00F61E6E" w:rsidRPr="00F21719" w14:paraId="6111FB81" w14:textId="77777777" w:rsidTr="00B24633">
        <w:trPr>
          <w:trHeight w:val="252"/>
        </w:trPr>
        <w:tc>
          <w:tcPr>
            <w:tcW w:w="1985" w:type="dxa"/>
          </w:tcPr>
          <w:p w14:paraId="4125441D" w14:textId="77777777" w:rsidR="00F61E6E" w:rsidRPr="00F21719" w:rsidRDefault="00F61E6E" w:rsidP="00B24633">
            <w:pPr>
              <w:keepNext/>
              <w:widowControl w:val="0"/>
              <w:autoSpaceDE w:val="0"/>
              <w:autoSpaceDN w:val="0"/>
              <w:spacing w:line="233" w:lineRule="exact"/>
              <w:ind w:left="107"/>
              <w:rPr>
                <w:b/>
                <w:sz w:val="22"/>
                <w:szCs w:val="22"/>
              </w:rPr>
            </w:pPr>
            <w:r w:rsidRPr="00F21719">
              <w:rPr>
                <w:b/>
                <w:sz w:val="22"/>
                <w:szCs w:val="22"/>
              </w:rPr>
              <w:t>Studiepopulation</w:t>
            </w:r>
          </w:p>
        </w:tc>
        <w:tc>
          <w:tcPr>
            <w:tcW w:w="7372" w:type="dxa"/>
            <w:gridSpan w:val="3"/>
          </w:tcPr>
          <w:p w14:paraId="4DB2D7EA" w14:textId="77777777" w:rsidR="00F61E6E" w:rsidRPr="00F21719" w:rsidRDefault="00F61E6E" w:rsidP="00B24633">
            <w:pPr>
              <w:keepNext/>
              <w:widowControl w:val="0"/>
              <w:autoSpaceDE w:val="0"/>
              <w:autoSpaceDN w:val="0"/>
              <w:spacing w:line="233" w:lineRule="exact"/>
              <w:ind w:left="107"/>
              <w:rPr>
                <w:b/>
                <w:sz w:val="22"/>
                <w:szCs w:val="22"/>
              </w:rPr>
            </w:pPr>
            <w:r w:rsidRPr="00F21719">
              <w:rPr>
                <w:b/>
                <w:sz w:val="22"/>
                <w:szCs w:val="22"/>
              </w:rPr>
              <w:t>ITT-analyser</w:t>
            </w:r>
            <w:r w:rsidRPr="00F21719">
              <w:rPr>
                <w:b/>
                <w:spacing w:val="-4"/>
                <w:sz w:val="22"/>
                <w:szCs w:val="22"/>
              </w:rPr>
              <w:t xml:space="preserve"> </w:t>
            </w:r>
            <w:r w:rsidRPr="00F21719">
              <w:rPr>
                <w:b/>
                <w:sz w:val="22"/>
                <w:szCs w:val="22"/>
              </w:rPr>
              <w:t>af</w:t>
            </w:r>
            <w:r w:rsidRPr="00F21719">
              <w:rPr>
                <w:b/>
                <w:spacing w:val="-3"/>
                <w:sz w:val="22"/>
                <w:szCs w:val="22"/>
              </w:rPr>
              <w:t xml:space="preserve"> </w:t>
            </w:r>
            <w:r w:rsidRPr="00F21719">
              <w:rPr>
                <w:b/>
                <w:sz w:val="22"/>
                <w:szCs w:val="22"/>
              </w:rPr>
              <w:t>virkningen</w:t>
            </w:r>
            <w:r w:rsidRPr="00F21719">
              <w:rPr>
                <w:b/>
                <w:spacing w:val="-2"/>
                <w:sz w:val="22"/>
                <w:szCs w:val="22"/>
              </w:rPr>
              <w:t xml:space="preserve"> </w:t>
            </w:r>
            <w:r w:rsidRPr="00F21719">
              <w:rPr>
                <w:b/>
                <w:sz w:val="22"/>
                <w:szCs w:val="22"/>
              </w:rPr>
              <w:t>hos</w:t>
            </w:r>
            <w:r w:rsidRPr="00F21719">
              <w:rPr>
                <w:b/>
                <w:spacing w:val="-4"/>
                <w:sz w:val="22"/>
                <w:szCs w:val="22"/>
              </w:rPr>
              <w:t xml:space="preserve"> patienter</w:t>
            </w:r>
            <w:r w:rsidRPr="00F21719">
              <w:rPr>
                <w:b/>
                <w:spacing w:val="-3"/>
                <w:sz w:val="22"/>
                <w:szCs w:val="22"/>
              </w:rPr>
              <w:t xml:space="preserve"> </w:t>
            </w:r>
            <w:r w:rsidRPr="00F21719">
              <w:rPr>
                <w:b/>
                <w:sz w:val="22"/>
                <w:szCs w:val="22"/>
              </w:rPr>
              <w:t>med</w:t>
            </w:r>
            <w:r w:rsidRPr="00F21719">
              <w:rPr>
                <w:b/>
                <w:spacing w:val="-3"/>
                <w:sz w:val="22"/>
                <w:szCs w:val="22"/>
              </w:rPr>
              <w:t xml:space="preserve"> </w:t>
            </w:r>
            <w:r w:rsidRPr="00F21719">
              <w:rPr>
                <w:b/>
                <w:sz w:val="22"/>
                <w:szCs w:val="22"/>
              </w:rPr>
              <w:t>ikke-valvulær</w:t>
            </w:r>
            <w:r w:rsidRPr="00F21719">
              <w:rPr>
                <w:b/>
                <w:spacing w:val="-3"/>
                <w:sz w:val="22"/>
                <w:szCs w:val="22"/>
              </w:rPr>
              <w:t xml:space="preserve"> </w:t>
            </w:r>
            <w:r w:rsidRPr="00F21719">
              <w:rPr>
                <w:b/>
                <w:sz w:val="22"/>
                <w:szCs w:val="22"/>
              </w:rPr>
              <w:t>atrieflimren</w:t>
            </w:r>
          </w:p>
        </w:tc>
      </w:tr>
      <w:tr w:rsidR="00F61E6E" w:rsidRPr="00F21719" w14:paraId="00C76513" w14:textId="77777777" w:rsidTr="00B24633">
        <w:trPr>
          <w:trHeight w:val="2281"/>
        </w:trPr>
        <w:tc>
          <w:tcPr>
            <w:tcW w:w="1985" w:type="dxa"/>
          </w:tcPr>
          <w:p w14:paraId="09EA795B" w14:textId="77777777" w:rsidR="00F61E6E" w:rsidRPr="00F21719" w:rsidRDefault="00F61E6E" w:rsidP="00B24633">
            <w:pPr>
              <w:widowControl w:val="0"/>
              <w:autoSpaceDE w:val="0"/>
              <w:autoSpaceDN w:val="0"/>
              <w:spacing w:before="1"/>
              <w:ind w:left="107"/>
              <w:rPr>
                <w:b/>
                <w:sz w:val="22"/>
                <w:szCs w:val="22"/>
              </w:rPr>
            </w:pPr>
            <w:r w:rsidRPr="00F21719">
              <w:rPr>
                <w:b/>
                <w:sz w:val="22"/>
                <w:szCs w:val="22"/>
              </w:rPr>
              <w:t>Terapeutisk</w:t>
            </w:r>
            <w:r w:rsidRPr="00F21719">
              <w:rPr>
                <w:b/>
                <w:spacing w:val="-1"/>
                <w:sz w:val="22"/>
                <w:szCs w:val="22"/>
              </w:rPr>
              <w:t xml:space="preserve"> </w:t>
            </w:r>
            <w:r w:rsidRPr="00F21719">
              <w:rPr>
                <w:b/>
                <w:sz w:val="22"/>
                <w:szCs w:val="22"/>
              </w:rPr>
              <w:t>dosis</w:t>
            </w:r>
          </w:p>
        </w:tc>
        <w:tc>
          <w:tcPr>
            <w:tcW w:w="2268" w:type="dxa"/>
          </w:tcPr>
          <w:p w14:paraId="033E4458" w14:textId="4758611A" w:rsidR="00F61E6E" w:rsidRPr="00F21719" w:rsidRDefault="00F61E6E" w:rsidP="00F21719">
            <w:pPr>
              <w:jc w:val="center"/>
              <w:rPr>
                <w:b/>
                <w:sz w:val="22"/>
                <w:szCs w:val="22"/>
              </w:rPr>
            </w:pPr>
            <w:r w:rsidRPr="00F21719">
              <w:rPr>
                <w:b/>
                <w:sz w:val="22"/>
                <w:szCs w:val="22"/>
              </w:rPr>
              <w:t>Rivaroxaban 20 mg én gang dagligt (15 mg én gang dagligt for patienter med moderat nedsat nyrefunktion) Frekvens (per 100 patientår)</w:t>
            </w:r>
          </w:p>
        </w:tc>
        <w:tc>
          <w:tcPr>
            <w:tcW w:w="2268" w:type="dxa"/>
          </w:tcPr>
          <w:p w14:paraId="06D0A4DC" w14:textId="77777777" w:rsidR="00F61E6E" w:rsidRPr="00F21719" w:rsidRDefault="00F61E6E" w:rsidP="00F21719">
            <w:pPr>
              <w:jc w:val="center"/>
              <w:rPr>
                <w:b/>
                <w:sz w:val="22"/>
                <w:szCs w:val="22"/>
              </w:rPr>
            </w:pPr>
            <w:r w:rsidRPr="00F21719">
              <w:rPr>
                <w:b/>
                <w:sz w:val="22"/>
                <w:szCs w:val="22"/>
              </w:rPr>
              <w:t>Warfarin</w:t>
            </w:r>
          </w:p>
          <w:p w14:paraId="0D514AF1" w14:textId="77777777" w:rsidR="00F61E6E" w:rsidRPr="00F21719" w:rsidRDefault="00F61E6E" w:rsidP="00F21719">
            <w:pPr>
              <w:jc w:val="center"/>
              <w:rPr>
                <w:b/>
                <w:sz w:val="22"/>
                <w:szCs w:val="22"/>
              </w:rPr>
            </w:pPr>
            <w:r w:rsidRPr="00F21719">
              <w:rPr>
                <w:b/>
                <w:sz w:val="22"/>
                <w:szCs w:val="22"/>
              </w:rPr>
              <w:t>titreret til en mål- INR på 2,5</w:t>
            </w:r>
          </w:p>
          <w:p w14:paraId="02B4C0CF" w14:textId="496FBD97" w:rsidR="00F61E6E" w:rsidRPr="00F21719" w:rsidRDefault="00F61E6E" w:rsidP="00F21719">
            <w:pPr>
              <w:jc w:val="center"/>
              <w:rPr>
                <w:b/>
                <w:sz w:val="22"/>
                <w:szCs w:val="22"/>
              </w:rPr>
            </w:pPr>
            <w:r w:rsidRPr="00F21719">
              <w:rPr>
                <w:b/>
                <w:sz w:val="22"/>
                <w:szCs w:val="22"/>
              </w:rPr>
              <w:t>(behandlings</w:t>
            </w:r>
            <w:r w:rsidR="00F21719" w:rsidRPr="00F21719">
              <w:rPr>
                <w:b/>
                <w:sz w:val="22"/>
                <w:szCs w:val="22"/>
              </w:rPr>
              <w:softHyphen/>
            </w:r>
            <w:r w:rsidRPr="00F21719">
              <w:rPr>
                <w:b/>
                <w:sz w:val="22"/>
                <w:szCs w:val="22"/>
              </w:rPr>
              <w:t>interval 2,0-3,0)</w:t>
            </w:r>
          </w:p>
          <w:p w14:paraId="6B55716F" w14:textId="77777777" w:rsidR="00F61E6E" w:rsidRPr="00F21719" w:rsidRDefault="00F61E6E" w:rsidP="00F21719">
            <w:pPr>
              <w:jc w:val="center"/>
              <w:rPr>
                <w:sz w:val="22"/>
                <w:szCs w:val="22"/>
              </w:rPr>
            </w:pPr>
            <w:r w:rsidRPr="00F21719">
              <w:rPr>
                <w:b/>
                <w:sz w:val="22"/>
                <w:szCs w:val="22"/>
              </w:rPr>
              <w:t>Frekvens (per 100 patientår)</w:t>
            </w:r>
          </w:p>
        </w:tc>
        <w:tc>
          <w:tcPr>
            <w:tcW w:w="2836" w:type="dxa"/>
          </w:tcPr>
          <w:p w14:paraId="47ED9705" w14:textId="1C93A932" w:rsidR="00F61E6E" w:rsidRPr="00F21719" w:rsidRDefault="00F61E6E" w:rsidP="00F21719">
            <w:pPr>
              <w:jc w:val="center"/>
              <w:rPr>
                <w:b/>
                <w:sz w:val="22"/>
                <w:szCs w:val="22"/>
              </w:rPr>
            </w:pPr>
            <w:r w:rsidRPr="00F21719">
              <w:rPr>
                <w:b/>
                <w:sz w:val="22"/>
                <w:szCs w:val="22"/>
              </w:rPr>
              <w:t>HR (95</w:t>
            </w:r>
            <w:r w:rsidR="00054680">
              <w:rPr>
                <w:b/>
                <w:sz w:val="22"/>
                <w:szCs w:val="22"/>
              </w:rPr>
              <w:t xml:space="preserve"> %</w:t>
            </w:r>
            <w:r w:rsidRPr="00F21719">
              <w:rPr>
                <w:b/>
                <w:sz w:val="22"/>
                <w:szCs w:val="22"/>
              </w:rPr>
              <w:t xml:space="preserve"> KI) p-værdi, test for superioritet</w:t>
            </w:r>
          </w:p>
        </w:tc>
      </w:tr>
      <w:tr w:rsidR="00F61E6E" w:rsidRPr="00F21719" w14:paraId="75140DE7" w14:textId="77777777" w:rsidTr="00B24633">
        <w:trPr>
          <w:trHeight w:val="782"/>
        </w:trPr>
        <w:tc>
          <w:tcPr>
            <w:tcW w:w="1985" w:type="dxa"/>
          </w:tcPr>
          <w:p w14:paraId="7C7D3D99" w14:textId="77777777" w:rsidR="00F61E6E" w:rsidRPr="00F21719" w:rsidRDefault="00F61E6E" w:rsidP="00B24633">
            <w:pPr>
              <w:widowControl w:val="0"/>
              <w:autoSpaceDE w:val="0"/>
              <w:autoSpaceDN w:val="0"/>
              <w:ind w:left="107"/>
              <w:rPr>
                <w:sz w:val="22"/>
                <w:szCs w:val="22"/>
              </w:rPr>
            </w:pPr>
            <w:r w:rsidRPr="00F21719">
              <w:rPr>
                <w:sz w:val="22"/>
                <w:szCs w:val="22"/>
              </w:rPr>
              <w:t>Apopleksi og</w:t>
            </w:r>
            <w:r w:rsidRPr="00F21719">
              <w:rPr>
                <w:spacing w:val="-52"/>
                <w:sz w:val="22"/>
                <w:szCs w:val="22"/>
              </w:rPr>
              <w:t xml:space="preserve"> </w:t>
            </w:r>
            <w:r w:rsidRPr="00F21719">
              <w:rPr>
                <w:sz w:val="22"/>
                <w:szCs w:val="22"/>
              </w:rPr>
              <w:t>systemisk</w:t>
            </w:r>
          </w:p>
          <w:p w14:paraId="6BB12385" w14:textId="77777777" w:rsidR="00F61E6E" w:rsidRPr="00F21719" w:rsidRDefault="00F61E6E" w:rsidP="00B24633">
            <w:pPr>
              <w:widowControl w:val="0"/>
              <w:autoSpaceDE w:val="0"/>
              <w:autoSpaceDN w:val="0"/>
              <w:spacing w:line="244" w:lineRule="exact"/>
              <w:ind w:left="107"/>
              <w:rPr>
                <w:sz w:val="22"/>
                <w:szCs w:val="22"/>
              </w:rPr>
            </w:pPr>
            <w:r w:rsidRPr="00F21719">
              <w:rPr>
                <w:sz w:val="22"/>
                <w:szCs w:val="22"/>
              </w:rPr>
              <w:t>non-CNS-emboli</w:t>
            </w:r>
          </w:p>
        </w:tc>
        <w:tc>
          <w:tcPr>
            <w:tcW w:w="2268" w:type="dxa"/>
          </w:tcPr>
          <w:p w14:paraId="05ACA453" w14:textId="77777777" w:rsidR="00F61E6E" w:rsidRPr="00F21719" w:rsidRDefault="00F61E6E" w:rsidP="00B24633">
            <w:pPr>
              <w:widowControl w:val="0"/>
              <w:autoSpaceDE w:val="0"/>
              <w:autoSpaceDN w:val="0"/>
              <w:ind w:left="842"/>
              <w:jc w:val="center"/>
              <w:rPr>
                <w:sz w:val="22"/>
                <w:szCs w:val="22"/>
              </w:rPr>
            </w:pPr>
            <w:r w:rsidRPr="00F21719">
              <w:rPr>
                <w:sz w:val="22"/>
                <w:szCs w:val="22"/>
              </w:rPr>
              <w:t>269</w:t>
            </w:r>
          </w:p>
          <w:p w14:paraId="4B28B322" w14:textId="77777777" w:rsidR="00F61E6E" w:rsidRPr="00F21719" w:rsidRDefault="00F61E6E" w:rsidP="00B24633">
            <w:pPr>
              <w:widowControl w:val="0"/>
              <w:autoSpaceDE w:val="0"/>
              <w:autoSpaceDN w:val="0"/>
              <w:ind w:left="842"/>
              <w:jc w:val="center"/>
              <w:rPr>
                <w:sz w:val="22"/>
                <w:szCs w:val="22"/>
              </w:rPr>
            </w:pPr>
            <w:r w:rsidRPr="00F21719">
              <w:rPr>
                <w:sz w:val="22"/>
                <w:szCs w:val="22"/>
              </w:rPr>
              <w:t>(2,12)</w:t>
            </w:r>
          </w:p>
        </w:tc>
        <w:tc>
          <w:tcPr>
            <w:tcW w:w="2268" w:type="dxa"/>
          </w:tcPr>
          <w:p w14:paraId="736CF4EB" w14:textId="77777777" w:rsidR="00F61E6E" w:rsidRPr="00F21719" w:rsidRDefault="00F61E6E" w:rsidP="00B24633">
            <w:pPr>
              <w:widowControl w:val="0"/>
              <w:autoSpaceDE w:val="0"/>
              <w:autoSpaceDN w:val="0"/>
              <w:ind w:left="842"/>
              <w:jc w:val="center"/>
              <w:rPr>
                <w:sz w:val="22"/>
                <w:szCs w:val="22"/>
              </w:rPr>
            </w:pPr>
            <w:r w:rsidRPr="00F21719">
              <w:rPr>
                <w:sz w:val="22"/>
                <w:szCs w:val="22"/>
              </w:rPr>
              <w:t>306</w:t>
            </w:r>
          </w:p>
          <w:p w14:paraId="35FCC5D8" w14:textId="77777777" w:rsidR="00F61E6E" w:rsidRPr="00F21719" w:rsidRDefault="00F61E6E" w:rsidP="00B24633">
            <w:pPr>
              <w:widowControl w:val="0"/>
              <w:autoSpaceDE w:val="0"/>
              <w:autoSpaceDN w:val="0"/>
              <w:ind w:left="843"/>
              <w:jc w:val="center"/>
              <w:rPr>
                <w:sz w:val="22"/>
                <w:szCs w:val="22"/>
              </w:rPr>
            </w:pPr>
            <w:r w:rsidRPr="00F21719">
              <w:rPr>
                <w:sz w:val="22"/>
                <w:szCs w:val="22"/>
              </w:rPr>
              <w:t>(2,42)</w:t>
            </w:r>
          </w:p>
        </w:tc>
        <w:tc>
          <w:tcPr>
            <w:tcW w:w="2836" w:type="dxa"/>
          </w:tcPr>
          <w:p w14:paraId="3D3ECDA7" w14:textId="77777777" w:rsidR="00F61E6E" w:rsidRPr="00F21719" w:rsidRDefault="00F61E6E" w:rsidP="00B24633">
            <w:pPr>
              <w:widowControl w:val="0"/>
              <w:autoSpaceDE w:val="0"/>
              <w:autoSpaceDN w:val="0"/>
              <w:spacing w:line="253" w:lineRule="exact"/>
              <w:ind w:left="841"/>
              <w:jc w:val="center"/>
              <w:rPr>
                <w:sz w:val="22"/>
                <w:szCs w:val="22"/>
              </w:rPr>
            </w:pPr>
            <w:r w:rsidRPr="00F21719">
              <w:rPr>
                <w:sz w:val="22"/>
                <w:szCs w:val="22"/>
              </w:rPr>
              <w:t>0,88</w:t>
            </w:r>
          </w:p>
          <w:p w14:paraId="2D6465DF" w14:textId="77777777" w:rsidR="00F61E6E" w:rsidRPr="00F21719" w:rsidRDefault="00F61E6E" w:rsidP="00B24633">
            <w:pPr>
              <w:widowControl w:val="0"/>
              <w:autoSpaceDE w:val="0"/>
              <w:autoSpaceDN w:val="0"/>
              <w:ind w:left="842"/>
              <w:jc w:val="center"/>
              <w:rPr>
                <w:sz w:val="22"/>
                <w:szCs w:val="22"/>
              </w:rPr>
            </w:pPr>
            <w:r w:rsidRPr="00F21719">
              <w:rPr>
                <w:sz w:val="22"/>
                <w:szCs w:val="22"/>
              </w:rPr>
              <w:t>(0,74 </w:t>
            </w:r>
            <w:r w:rsidRPr="00F21719">
              <w:rPr>
                <w:color w:val="000000"/>
                <w:sz w:val="22"/>
                <w:szCs w:val="22"/>
                <w:lang w:eastAsia="en-GB"/>
              </w:rPr>
              <w:t>– </w:t>
            </w:r>
            <w:r w:rsidRPr="00F21719">
              <w:rPr>
                <w:sz w:val="22"/>
                <w:szCs w:val="22"/>
              </w:rPr>
              <w:t>1,03)</w:t>
            </w:r>
          </w:p>
          <w:p w14:paraId="7FA4EC8E" w14:textId="77777777" w:rsidR="00F61E6E" w:rsidRPr="00F21719" w:rsidRDefault="00F61E6E" w:rsidP="00B24633">
            <w:pPr>
              <w:widowControl w:val="0"/>
              <w:autoSpaceDE w:val="0"/>
              <w:autoSpaceDN w:val="0"/>
              <w:spacing w:line="233" w:lineRule="exact"/>
              <w:ind w:left="842"/>
              <w:jc w:val="center"/>
              <w:rPr>
                <w:sz w:val="22"/>
                <w:szCs w:val="22"/>
              </w:rPr>
            </w:pPr>
            <w:r w:rsidRPr="00F21719">
              <w:rPr>
                <w:sz w:val="22"/>
                <w:szCs w:val="22"/>
              </w:rPr>
              <w:t>0,117</w:t>
            </w:r>
          </w:p>
        </w:tc>
      </w:tr>
      <w:tr w:rsidR="00F61E6E" w:rsidRPr="00F21719" w14:paraId="3271C831" w14:textId="77777777" w:rsidTr="00B24633">
        <w:trPr>
          <w:trHeight w:val="1012"/>
        </w:trPr>
        <w:tc>
          <w:tcPr>
            <w:tcW w:w="1985" w:type="dxa"/>
          </w:tcPr>
          <w:p w14:paraId="1D663CBF" w14:textId="77777777" w:rsidR="00F61E6E" w:rsidRPr="00F21719" w:rsidRDefault="00F61E6E" w:rsidP="00B24633">
            <w:pPr>
              <w:widowControl w:val="0"/>
              <w:autoSpaceDE w:val="0"/>
              <w:autoSpaceDN w:val="0"/>
              <w:ind w:left="107"/>
              <w:rPr>
                <w:sz w:val="22"/>
                <w:szCs w:val="22"/>
              </w:rPr>
            </w:pPr>
            <w:r w:rsidRPr="00F21719">
              <w:rPr>
                <w:sz w:val="22"/>
                <w:szCs w:val="22"/>
              </w:rPr>
              <w:t>Apopleksi,</w:t>
            </w:r>
            <w:r w:rsidRPr="00F21719">
              <w:rPr>
                <w:spacing w:val="-52"/>
                <w:sz w:val="22"/>
                <w:szCs w:val="22"/>
              </w:rPr>
              <w:t xml:space="preserve"> </w:t>
            </w:r>
            <w:r w:rsidRPr="00F21719">
              <w:rPr>
                <w:sz w:val="22"/>
                <w:szCs w:val="22"/>
              </w:rPr>
              <w:t>systemisk non-CNS-emboli</w:t>
            </w:r>
            <w:r w:rsidRPr="00F21719">
              <w:rPr>
                <w:spacing w:val="-52"/>
                <w:sz w:val="22"/>
                <w:szCs w:val="22"/>
              </w:rPr>
              <w:t xml:space="preserve"> </w:t>
            </w:r>
            <w:r w:rsidRPr="00F21719">
              <w:rPr>
                <w:sz w:val="22"/>
                <w:szCs w:val="22"/>
              </w:rPr>
              <w:t>og</w:t>
            </w:r>
            <w:r w:rsidRPr="00F21719">
              <w:rPr>
                <w:spacing w:val="-2"/>
                <w:sz w:val="22"/>
                <w:szCs w:val="22"/>
              </w:rPr>
              <w:t xml:space="preserve"> </w:t>
            </w:r>
            <w:r w:rsidRPr="00F21719">
              <w:rPr>
                <w:sz w:val="22"/>
                <w:szCs w:val="22"/>
              </w:rPr>
              <w:t>vaskulær</w:t>
            </w:r>
            <w:r w:rsidRPr="00F21719">
              <w:rPr>
                <w:spacing w:val="-3"/>
                <w:sz w:val="22"/>
                <w:szCs w:val="22"/>
              </w:rPr>
              <w:t xml:space="preserve"> </w:t>
            </w:r>
            <w:r w:rsidRPr="00F21719">
              <w:rPr>
                <w:sz w:val="22"/>
                <w:szCs w:val="22"/>
              </w:rPr>
              <w:t>død</w:t>
            </w:r>
          </w:p>
        </w:tc>
        <w:tc>
          <w:tcPr>
            <w:tcW w:w="2268" w:type="dxa"/>
          </w:tcPr>
          <w:p w14:paraId="76353F87" w14:textId="77777777" w:rsidR="00F61E6E" w:rsidRPr="00F21719" w:rsidRDefault="00F61E6E" w:rsidP="00B24633">
            <w:pPr>
              <w:widowControl w:val="0"/>
              <w:autoSpaceDE w:val="0"/>
              <w:autoSpaceDN w:val="0"/>
              <w:ind w:left="842"/>
              <w:jc w:val="center"/>
              <w:rPr>
                <w:sz w:val="22"/>
                <w:szCs w:val="22"/>
              </w:rPr>
            </w:pPr>
            <w:r w:rsidRPr="00F21719">
              <w:rPr>
                <w:sz w:val="22"/>
                <w:szCs w:val="22"/>
              </w:rPr>
              <w:t>572</w:t>
            </w:r>
          </w:p>
          <w:p w14:paraId="73D31D91" w14:textId="77777777" w:rsidR="00F61E6E" w:rsidRPr="00F21719" w:rsidRDefault="00F61E6E" w:rsidP="00B24633">
            <w:pPr>
              <w:widowControl w:val="0"/>
              <w:autoSpaceDE w:val="0"/>
              <w:autoSpaceDN w:val="0"/>
              <w:ind w:left="842"/>
              <w:jc w:val="center"/>
              <w:rPr>
                <w:sz w:val="22"/>
                <w:szCs w:val="22"/>
              </w:rPr>
            </w:pPr>
            <w:r w:rsidRPr="00F21719">
              <w:rPr>
                <w:sz w:val="22"/>
                <w:szCs w:val="22"/>
              </w:rPr>
              <w:t>(4,51)</w:t>
            </w:r>
          </w:p>
        </w:tc>
        <w:tc>
          <w:tcPr>
            <w:tcW w:w="2268" w:type="dxa"/>
          </w:tcPr>
          <w:p w14:paraId="052249E0" w14:textId="77777777" w:rsidR="00F61E6E" w:rsidRPr="00F21719" w:rsidRDefault="00F61E6E" w:rsidP="00B24633">
            <w:pPr>
              <w:widowControl w:val="0"/>
              <w:autoSpaceDE w:val="0"/>
              <w:autoSpaceDN w:val="0"/>
              <w:ind w:left="842"/>
              <w:jc w:val="center"/>
              <w:rPr>
                <w:sz w:val="22"/>
                <w:szCs w:val="22"/>
              </w:rPr>
            </w:pPr>
            <w:r w:rsidRPr="00F21719">
              <w:rPr>
                <w:sz w:val="22"/>
                <w:szCs w:val="22"/>
              </w:rPr>
              <w:t>609</w:t>
            </w:r>
          </w:p>
          <w:p w14:paraId="0F78D624" w14:textId="77777777" w:rsidR="00F61E6E" w:rsidRPr="00F21719" w:rsidRDefault="00F61E6E" w:rsidP="00B24633">
            <w:pPr>
              <w:widowControl w:val="0"/>
              <w:autoSpaceDE w:val="0"/>
              <w:autoSpaceDN w:val="0"/>
              <w:ind w:left="843"/>
              <w:jc w:val="center"/>
              <w:rPr>
                <w:sz w:val="22"/>
                <w:szCs w:val="22"/>
              </w:rPr>
            </w:pPr>
            <w:r w:rsidRPr="00F21719">
              <w:rPr>
                <w:sz w:val="22"/>
                <w:szCs w:val="22"/>
              </w:rPr>
              <w:t>(4,81)</w:t>
            </w:r>
          </w:p>
        </w:tc>
        <w:tc>
          <w:tcPr>
            <w:tcW w:w="2836" w:type="dxa"/>
          </w:tcPr>
          <w:p w14:paraId="29BBECA9" w14:textId="77777777" w:rsidR="00F61E6E" w:rsidRPr="00F21719" w:rsidRDefault="00F61E6E" w:rsidP="00B24633">
            <w:pPr>
              <w:widowControl w:val="0"/>
              <w:autoSpaceDE w:val="0"/>
              <w:autoSpaceDN w:val="0"/>
              <w:ind w:left="841"/>
              <w:jc w:val="center"/>
              <w:rPr>
                <w:sz w:val="22"/>
                <w:szCs w:val="22"/>
              </w:rPr>
            </w:pPr>
            <w:r w:rsidRPr="00F21719">
              <w:rPr>
                <w:sz w:val="22"/>
                <w:szCs w:val="22"/>
              </w:rPr>
              <w:t>0.94</w:t>
            </w:r>
          </w:p>
          <w:p w14:paraId="2972D11C" w14:textId="77777777" w:rsidR="00F61E6E" w:rsidRPr="00F21719" w:rsidRDefault="00F61E6E" w:rsidP="00B24633">
            <w:pPr>
              <w:widowControl w:val="0"/>
              <w:autoSpaceDE w:val="0"/>
              <w:autoSpaceDN w:val="0"/>
              <w:ind w:left="842"/>
              <w:jc w:val="center"/>
              <w:rPr>
                <w:sz w:val="22"/>
                <w:szCs w:val="22"/>
              </w:rPr>
            </w:pPr>
            <w:r w:rsidRPr="00F21719">
              <w:rPr>
                <w:sz w:val="22"/>
                <w:szCs w:val="22"/>
              </w:rPr>
              <w:t>(0,84 </w:t>
            </w:r>
            <w:r w:rsidRPr="00F21719">
              <w:rPr>
                <w:color w:val="000000"/>
                <w:sz w:val="22"/>
                <w:szCs w:val="22"/>
                <w:lang w:eastAsia="en-GB"/>
              </w:rPr>
              <w:t>– </w:t>
            </w:r>
            <w:r w:rsidRPr="00F21719">
              <w:rPr>
                <w:sz w:val="22"/>
                <w:szCs w:val="22"/>
              </w:rPr>
              <w:t>1,05)</w:t>
            </w:r>
          </w:p>
          <w:p w14:paraId="34CCDE1D" w14:textId="77777777" w:rsidR="00F61E6E" w:rsidRPr="00F21719" w:rsidRDefault="00F61E6E" w:rsidP="00B24633">
            <w:pPr>
              <w:widowControl w:val="0"/>
              <w:autoSpaceDE w:val="0"/>
              <w:autoSpaceDN w:val="0"/>
              <w:ind w:left="842"/>
              <w:jc w:val="center"/>
              <w:rPr>
                <w:sz w:val="22"/>
                <w:szCs w:val="22"/>
              </w:rPr>
            </w:pPr>
            <w:r w:rsidRPr="00F21719">
              <w:rPr>
                <w:sz w:val="22"/>
                <w:szCs w:val="22"/>
              </w:rPr>
              <w:t>0,265</w:t>
            </w:r>
          </w:p>
        </w:tc>
      </w:tr>
      <w:tr w:rsidR="00F61E6E" w:rsidRPr="00F21719" w14:paraId="236510E3" w14:textId="77777777" w:rsidTr="00B24633">
        <w:trPr>
          <w:trHeight w:val="1264"/>
        </w:trPr>
        <w:tc>
          <w:tcPr>
            <w:tcW w:w="1985" w:type="dxa"/>
          </w:tcPr>
          <w:p w14:paraId="5219C87B" w14:textId="77777777" w:rsidR="00F61E6E" w:rsidRPr="00F21719" w:rsidRDefault="00F61E6E" w:rsidP="00B24633">
            <w:pPr>
              <w:widowControl w:val="0"/>
              <w:autoSpaceDE w:val="0"/>
              <w:autoSpaceDN w:val="0"/>
              <w:ind w:left="107"/>
              <w:rPr>
                <w:sz w:val="22"/>
                <w:szCs w:val="22"/>
              </w:rPr>
            </w:pPr>
            <w:r w:rsidRPr="00F21719">
              <w:rPr>
                <w:sz w:val="22"/>
                <w:szCs w:val="22"/>
              </w:rPr>
              <w:t>Apopleksi,</w:t>
            </w:r>
            <w:r w:rsidRPr="00F21719">
              <w:rPr>
                <w:spacing w:val="-52"/>
                <w:sz w:val="22"/>
                <w:szCs w:val="22"/>
              </w:rPr>
              <w:t xml:space="preserve"> </w:t>
            </w:r>
            <w:r w:rsidRPr="00F21719">
              <w:rPr>
                <w:sz w:val="22"/>
                <w:szCs w:val="22"/>
              </w:rPr>
              <w:t>systemisk</w:t>
            </w:r>
          </w:p>
          <w:p w14:paraId="422CF7DE" w14:textId="77777777" w:rsidR="00F61E6E" w:rsidRPr="00F21719" w:rsidRDefault="00F61E6E" w:rsidP="00B24633">
            <w:pPr>
              <w:widowControl w:val="0"/>
              <w:autoSpaceDE w:val="0"/>
              <w:autoSpaceDN w:val="0"/>
              <w:spacing w:line="254" w:lineRule="exact"/>
              <w:ind w:left="107"/>
              <w:rPr>
                <w:sz w:val="22"/>
                <w:szCs w:val="22"/>
              </w:rPr>
            </w:pPr>
            <w:r w:rsidRPr="00F21719">
              <w:rPr>
                <w:sz w:val="22"/>
                <w:szCs w:val="22"/>
              </w:rPr>
              <w:t>non-CNS-emboli,</w:t>
            </w:r>
            <w:r w:rsidRPr="00F21719">
              <w:rPr>
                <w:spacing w:val="-52"/>
                <w:sz w:val="22"/>
                <w:szCs w:val="22"/>
              </w:rPr>
              <w:t xml:space="preserve"> </w:t>
            </w:r>
            <w:r w:rsidRPr="00F21719">
              <w:rPr>
                <w:sz w:val="22"/>
                <w:szCs w:val="22"/>
              </w:rPr>
              <w:t>vaskulær død og</w:t>
            </w:r>
            <w:r w:rsidRPr="00F21719">
              <w:rPr>
                <w:spacing w:val="1"/>
                <w:sz w:val="22"/>
                <w:szCs w:val="22"/>
              </w:rPr>
              <w:t xml:space="preserve"> </w:t>
            </w:r>
            <w:r w:rsidRPr="00F21719">
              <w:rPr>
                <w:sz w:val="22"/>
                <w:szCs w:val="22"/>
              </w:rPr>
              <w:t>myokardieinfarkt</w:t>
            </w:r>
          </w:p>
        </w:tc>
        <w:tc>
          <w:tcPr>
            <w:tcW w:w="2268" w:type="dxa"/>
          </w:tcPr>
          <w:p w14:paraId="522DC9AD" w14:textId="77777777" w:rsidR="00F61E6E" w:rsidRPr="00F21719" w:rsidRDefault="00F61E6E" w:rsidP="00B24633">
            <w:pPr>
              <w:widowControl w:val="0"/>
              <w:autoSpaceDE w:val="0"/>
              <w:autoSpaceDN w:val="0"/>
              <w:ind w:left="842"/>
              <w:jc w:val="center"/>
              <w:rPr>
                <w:sz w:val="22"/>
                <w:szCs w:val="22"/>
              </w:rPr>
            </w:pPr>
            <w:r w:rsidRPr="00F21719">
              <w:rPr>
                <w:sz w:val="22"/>
                <w:szCs w:val="22"/>
              </w:rPr>
              <w:t>659</w:t>
            </w:r>
          </w:p>
          <w:p w14:paraId="419EDD5F" w14:textId="77777777" w:rsidR="00F61E6E" w:rsidRPr="00F21719" w:rsidRDefault="00F61E6E" w:rsidP="00B24633">
            <w:pPr>
              <w:widowControl w:val="0"/>
              <w:autoSpaceDE w:val="0"/>
              <w:autoSpaceDN w:val="0"/>
              <w:ind w:left="842"/>
              <w:jc w:val="center"/>
              <w:rPr>
                <w:sz w:val="22"/>
                <w:szCs w:val="22"/>
              </w:rPr>
            </w:pPr>
            <w:r w:rsidRPr="00F21719">
              <w:rPr>
                <w:sz w:val="22"/>
                <w:szCs w:val="22"/>
              </w:rPr>
              <w:t>(5,24)</w:t>
            </w:r>
          </w:p>
        </w:tc>
        <w:tc>
          <w:tcPr>
            <w:tcW w:w="2268" w:type="dxa"/>
          </w:tcPr>
          <w:p w14:paraId="069F5218" w14:textId="77777777" w:rsidR="00F61E6E" w:rsidRPr="00F21719" w:rsidRDefault="00F61E6E" w:rsidP="00B24633">
            <w:pPr>
              <w:widowControl w:val="0"/>
              <w:autoSpaceDE w:val="0"/>
              <w:autoSpaceDN w:val="0"/>
              <w:spacing w:line="253" w:lineRule="exact"/>
              <w:ind w:left="842"/>
              <w:jc w:val="center"/>
              <w:rPr>
                <w:sz w:val="22"/>
                <w:szCs w:val="22"/>
              </w:rPr>
            </w:pPr>
            <w:r w:rsidRPr="00F21719">
              <w:rPr>
                <w:sz w:val="22"/>
                <w:szCs w:val="22"/>
              </w:rPr>
              <w:t>709</w:t>
            </w:r>
          </w:p>
          <w:p w14:paraId="291D0842" w14:textId="77777777" w:rsidR="00F61E6E" w:rsidRPr="00F21719" w:rsidRDefault="00F61E6E" w:rsidP="00B24633">
            <w:pPr>
              <w:widowControl w:val="0"/>
              <w:autoSpaceDE w:val="0"/>
              <w:autoSpaceDN w:val="0"/>
              <w:ind w:left="842"/>
              <w:jc w:val="center"/>
              <w:rPr>
                <w:sz w:val="22"/>
                <w:szCs w:val="22"/>
              </w:rPr>
            </w:pPr>
            <w:r w:rsidRPr="00F21719">
              <w:rPr>
                <w:sz w:val="22"/>
                <w:szCs w:val="22"/>
              </w:rPr>
              <w:t>(5,65)</w:t>
            </w:r>
          </w:p>
        </w:tc>
        <w:tc>
          <w:tcPr>
            <w:tcW w:w="2836" w:type="dxa"/>
          </w:tcPr>
          <w:p w14:paraId="59D2A5E4" w14:textId="77777777" w:rsidR="00F61E6E" w:rsidRPr="00F21719" w:rsidRDefault="00F61E6E" w:rsidP="00B24633">
            <w:pPr>
              <w:widowControl w:val="0"/>
              <w:autoSpaceDE w:val="0"/>
              <w:autoSpaceDN w:val="0"/>
              <w:ind w:left="841"/>
              <w:jc w:val="center"/>
              <w:rPr>
                <w:sz w:val="22"/>
                <w:szCs w:val="22"/>
              </w:rPr>
            </w:pPr>
            <w:r w:rsidRPr="00F21719">
              <w:rPr>
                <w:sz w:val="22"/>
                <w:szCs w:val="22"/>
              </w:rPr>
              <w:t>0,93</w:t>
            </w:r>
          </w:p>
          <w:p w14:paraId="0132F479" w14:textId="77777777" w:rsidR="00F61E6E" w:rsidRPr="00F21719" w:rsidRDefault="00F61E6E" w:rsidP="00B24633">
            <w:pPr>
              <w:widowControl w:val="0"/>
              <w:autoSpaceDE w:val="0"/>
              <w:autoSpaceDN w:val="0"/>
              <w:ind w:left="842"/>
              <w:jc w:val="center"/>
              <w:rPr>
                <w:sz w:val="22"/>
                <w:szCs w:val="22"/>
              </w:rPr>
            </w:pPr>
            <w:r w:rsidRPr="00F21719">
              <w:rPr>
                <w:sz w:val="22"/>
                <w:szCs w:val="22"/>
              </w:rPr>
              <w:t>(0,83 </w:t>
            </w:r>
            <w:r w:rsidRPr="00F21719">
              <w:rPr>
                <w:color w:val="000000"/>
                <w:sz w:val="22"/>
                <w:szCs w:val="22"/>
                <w:lang w:eastAsia="en-GB"/>
              </w:rPr>
              <w:t>– </w:t>
            </w:r>
            <w:r w:rsidRPr="00F21719">
              <w:rPr>
                <w:sz w:val="22"/>
                <w:szCs w:val="22"/>
              </w:rPr>
              <w:t>1,03)</w:t>
            </w:r>
          </w:p>
          <w:p w14:paraId="1AD974DD" w14:textId="77777777" w:rsidR="00F61E6E" w:rsidRPr="00F21719" w:rsidRDefault="00F61E6E" w:rsidP="00B24633">
            <w:pPr>
              <w:widowControl w:val="0"/>
              <w:autoSpaceDE w:val="0"/>
              <w:autoSpaceDN w:val="0"/>
              <w:ind w:left="842"/>
              <w:jc w:val="center"/>
              <w:rPr>
                <w:sz w:val="22"/>
                <w:szCs w:val="22"/>
              </w:rPr>
            </w:pPr>
            <w:r w:rsidRPr="00F21719">
              <w:rPr>
                <w:sz w:val="22"/>
                <w:szCs w:val="22"/>
              </w:rPr>
              <w:t>0,158</w:t>
            </w:r>
          </w:p>
        </w:tc>
      </w:tr>
      <w:tr w:rsidR="00F61E6E" w:rsidRPr="00F21719" w14:paraId="54E120CB" w14:textId="77777777" w:rsidTr="00B24633">
        <w:trPr>
          <w:trHeight w:val="777"/>
        </w:trPr>
        <w:tc>
          <w:tcPr>
            <w:tcW w:w="1985" w:type="dxa"/>
          </w:tcPr>
          <w:p w14:paraId="7745A832" w14:textId="77777777" w:rsidR="00F61E6E" w:rsidRPr="00F21719" w:rsidRDefault="00F61E6E" w:rsidP="00B24633">
            <w:pPr>
              <w:widowControl w:val="0"/>
              <w:autoSpaceDE w:val="0"/>
              <w:autoSpaceDN w:val="0"/>
              <w:rPr>
                <w:b/>
                <w:sz w:val="22"/>
                <w:szCs w:val="22"/>
              </w:rPr>
            </w:pPr>
          </w:p>
          <w:p w14:paraId="4652728C" w14:textId="77777777" w:rsidR="00F61E6E" w:rsidRPr="00F21719" w:rsidRDefault="00F61E6E" w:rsidP="00B24633">
            <w:pPr>
              <w:widowControl w:val="0"/>
              <w:numPr>
                <w:ilvl w:val="0"/>
                <w:numId w:val="8"/>
              </w:numPr>
              <w:autoSpaceDE w:val="0"/>
              <w:autoSpaceDN w:val="0"/>
              <w:rPr>
                <w:sz w:val="22"/>
                <w:szCs w:val="22"/>
              </w:rPr>
            </w:pPr>
            <w:r w:rsidRPr="00F21719">
              <w:rPr>
                <w:sz w:val="22"/>
                <w:szCs w:val="22"/>
              </w:rPr>
              <w:t>Apopleksi</w:t>
            </w:r>
          </w:p>
        </w:tc>
        <w:tc>
          <w:tcPr>
            <w:tcW w:w="2268" w:type="dxa"/>
          </w:tcPr>
          <w:p w14:paraId="64014823" w14:textId="77777777" w:rsidR="00F61E6E" w:rsidRPr="00F21719" w:rsidRDefault="00F61E6E" w:rsidP="00B24633">
            <w:pPr>
              <w:widowControl w:val="0"/>
              <w:autoSpaceDE w:val="0"/>
              <w:autoSpaceDN w:val="0"/>
              <w:spacing w:line="249" w:lineRule="exact"/>
              <w:ind w:left="842"/>
              <w:jc w:val="center"/>
              <w:rPr>
                <w:sz w:val="22"/>
                <w:szCs w:val="22"/>
              </w:rPr>
            </w:pPr>
            <w:r w:rsidRPr="00F21719">
              <w:rPr>
                <w:sz w:val="22"/>
                <w:szCs w:val="22"/>
              </w:rPr>
              <w:t>253</w:t>
            </w:r>
          </w:p>
          <w:p w14:paraId="20395A68" w14:textId="77777777" w:rsidR="00F61E6E" w:rsidRPr="00F21719" w:rsidRDefault="00F61E6E" w:rsidP="00B24633">
            <w:pPr>
              <w:widowControl w:val="0"/>
              <w:autoSpaceDE w:val="0"/>
              <w:autoSpaceDN w:val="0"/>
              <w:ind w:left="842"/>
              <w:jc w:val="center"/>
              <w:rPr>
                <w:sz w:val="22"/>
                <w:szCs w:val="22"/>
              </w:rPr>
            </w:pPr>
            <w:r w:rsidRPr="00F21719">
              <w:rPr>
                <w:sz w:val="22"/>
                <w:szCs w:val="22"/>
              </w:rPr>
              <w:t>(1,99)</w:t>
            </w:r>
          </w:p>
        </w:tc>
        <w:tc>
          <w:tcPr>
            <w:tcW w:w="2268" w:type="dxa"/>
          </w:tcPr>
          <w:p w14:paraId="534E0CA4" w14:textId="77777777" w:rsidR="00F61E6E" w:rsidRPr="00F21719" w:rsidRDefault="00F61E6E" w:rsidP="00B24633">
            <w:pPr>
              <w:widowControl w:val="0"/>
              <w:autoSpaceDE w:val="0"/>
              <w:autoSpaceDN w:val="0"/>
              <w:spacing w:line="249" w:lineRule="exact"/>
              <w:ind w:left="842"/>
              <w:jc w:val="center"/>
              <w:rPr>
                <w:sz w:val="22"/>
                <w:szCs w:val="22"/>
              </w:rPr>
            </w:pPr>
            <w:r w:rsidRPr="00F21719">
              <w:rPr>
                <w:sz w:val="22"/>
                <w:szCs w:val="22"/>
              </w:rPr>
              <w:t>281</w:t>
            </w:r>
          </w:p>
          <w:p w14:paraId="7447C6A4" w14:textId="77777777" w:rsidR="00F61E6E" w:rsidRPr="00F21719" w:rsidRDefault="00F61E6E" w:rsidP="00B24633">
            <w:pPr>
              <w:widowControl w:val="0"/>
              <w:autoSpaceDE w:val="0"/>
              <w:autoSpaceDN w:val="0"/>
              <w:ind w:left="842"/>
              <w:jc w:val="center"/>
              <w:rPr>
                <w:sz w:val="22"/>
                <w:szCs w:val="22"/>
              </w:rPr>
            </w:pPr>
            <w:r w:rsidRPr="00F21719">
              <w:rPr>
                <w:sz w:val="22"/>
                <w:szCs w:val="22"/>
              </w:rPr>
              <w:t>(2,22)</w:t>
            </w:r>
          </w:p>
        </w:tc>
        <w:tc>
          <w:tcPr>
            <w:tcW w:w="2836" w:type="dxa"/>
          </w:tcPr>
          <w:p w14:paraId="009C8455" w14:textId="77777777" w:rsidR="00F61E6E" w:rsidRPr="00F21719" w:rsidRDefault="00F61E6E" w:rsidP="00B24633">
            <w:pPr>
              <w:widowControl w:val="0"/>
              <w:autoSpaceDE w:val="0"/>
              <w:autoSpaceDN w:val="0"/>
              <w:spacing w:line="249" w:lineRule="exact"/>
              <w:ind w:left="841"/>
              <w:jc w:val="center"/>
              <w:rPr>
                <w:sz w:val="22"/>
                <w:szCs w:val="22"/>
              </w:rPr>
            </w:pPr>
            <w:r w:rsidRPr="00F21719">
              <w:rPr>
                <w:sz w:val="22"/>
                <w:szCs w:val="22"/>
              </w:rPr>
              <w:t>0,90</w:t>
            </w:r>
          </w:p>
          <w:p w14:paraId="0F8D6302" w14:textId="77777777" w:rsidR="00F61E6E" w:rsidRPr="00F21719" w:rsidRDefault="00F61E6E" w:rsidP="00B24633">
            <w:pPr>
              <w:widowControl w:val="0"/>
              <w:autoSpaceDE w:val="0"/>
              <w:autoSpaceDN w:val="0"/>
              <w:ind w:left="842"/>
              <w:jc w:val="center"/>
              <w:rPr>
                <w:sz w:val="22"/>
                <w:szCs w:val="22"/>
              </w:rPr>
            </w:pPr>
            <w:r w:rsidRPr="00F21719">
              <w:rPr>
                <w:sz w:val="22"/>
                <w:szCs w:val="22"/>
              </w:rPr>
              <w:t>(0,76</w:t>
            </w:r>
            <w:r w:rsidRPr="00F21719">
              <w:rPr>
                <w:color w:val="000000"/>
                <w:sz w:val="22"/>
                <w:szCs w:val="22"/>
                <w:lang w:eastAsia="en-GB"/>
              </w:rPr>
              <w:t>–</w:t>
            </w:r>
            <w:r w:rsidRPr="00F21719">
              <w:rPr>
                <w:sz w:val="22"/>
                <w:szCs w:val="22"/>
              </w:rPr>
              <w:t>1,07)</w:t>
            </w:r>
          </w:p>
          <w:p w14:paraId="3E1C0B0F" w14:textId="77777777" w:rsidR="00F61E6E" w:rsidRPr="00F21719" w:rsidRDefault="00F61E6E" w:rsidP="00B24633">
            <w:pPr>
              <w:widowControl w:val="0"/>
              <w:autoSpaceDE w:val="0"/>
              <w:autoSpaceDN w:val="0"/>
              <w:spacing w:line="233" w:lineRule="exact"/>
              <w:ind w:left="842"/>
              <w:jc w:val="center"/>
              <w:rPr>
                <w:sz w:val="22"/>
                <w:szCs w:val="22"/>
              </w:rPr>
            </w:pPr>
            <w:r w:rsidRPr="00F21719">
              <w:rPr>
                <w:sz w:val="22"/>
                <w:szCs w:val="22"/>
              </w:rPr>
              <w:t>0,221</w:t>
            </w:r>
          </w:p>
        </w:tc>
      </w:tr>
      <w:tr w:rsidR="00F61E6E" w:rsidRPr="00F21719" w14:paraId="3542BBAB" w14:textId="77777777" w:rsidTr="00B24633">
        <w:trPr>
          <w:trHeight w:val="782"/>
        </w:trPr>
        <w:tc>
          <w:tcPr>
            <w:tcW w:w="1985" w:type="dxa"/>
          </w:tcPr>
          <w:p w14:paraId="5BB3E1EA" w14:textId="77777777" w:rsidR="00F61E6E" w:rsidRPr="00F21719" w:rsidRDefault="00F61E6E" w:rsidP="00B24633">
            <w:pPr>
              <w:widowControl w:val="0"/>
              <w:numPr>
                <w:ilvl w:val="0"/>
                <w:numId w:val="8"/>
              </w:numPr>
              <w:autoSpaceDE w:val="0"/>
              <w:autoSpaceDN w:val="0"/>
              <w:rPr>
                <w:sz w:val="22"/>
                <w:szCs w:val="22"/>
              </w:rPr>
            </w:pPr>
            <w:r w:rsidRPr="00F21719">
              <w:rPr>
                <w:sz w:val="22"/>
                <w:szCs w:val="22"/>
              </w:rPr>
              <w:lastRenderedPageBreak/>
              <w:t>Systemisk non-CNS-</w:t>
            </w:r>
            <w:r w:rsidRPr="00F21719">
              <w:rPr>
                <w:spacing w:val="-52"/>
                <w:sz w:val="22"/>
                <w:szCs w:val="22"/>
              </w:rPr>
              <w:t xml:space="preserve"> </w:t>
            </w:r>
            <w:r w:rsidRPr="00F21719">
              <w:rPr>
                <w:sz w:val="22"/>
                <w:szCs w:val="22"/>
              </w:rPr>
              <w:t>emboli</w:t>
            </w:r>
          </w:p>
        </w:tc>
        <w:tc>
          <w:tcPr>
            <w:tcW w:w="2268" w:type="dxa"/>
          </w:tcPr>
          <w:p w14:paraId="1EEEA381" w14:textId="77777777" w:rsidR="00F61E6E" w:rsidRPr="00F21719" w:rsidRDefault="00F61E6E" w:rsidP="00B24633">
            <w:pPr>
              <w:widowControl w:val="0"/>
              <w:autoSpaceDE w:val="0"/>
              <w:autoSpaceDN w:val="0"/>
              <w:ind w:left="842"/>
              <w:jc w:val="center"/>
              <w:rPr>
                <w:sz w:val="22"/>
                <w:szCs w:val="22"/>
              </w:rPr>
            </w:pPr>
            <w:r w:rsidRPr="00F21719">
              <w:rPr>
                <w:sz w:val="22"/>
                <w:szCs w:val="22"/>
              </w:rPr>
              <w:t>20</w:t>
            </w:r>
          </w:p>
          <w:p w14:paraId="44034901" w14:textId="77777777" w:rsidR="00F61E6E" w:rsidRPr="00F21719" w:rsidRDefault="00F61E6E" w:rsidP="00B24633">
            <w:pPr>
              <w:widowControl w:val="0"/>
              <w:autoSpaceDE w:val="0"/>
              <w:autoSpaceDN w:val="0"/>
              <w:ind w:left="842"/>
              <w:jc w:val="center"/>
              <w:rPr>
                <w:sz w:val="22"/>
                <w:szCs w:val="22"/>
              </w:rPr>
            </w:pPr>
            <w:r w:rsidRPr="00F21719">
              <w:rPr>
                <w:sz w:val="22"/>
                <w:szCs w:val="22"/>
              </w:rPr>
              <w:t>(0,16)</w:t>
            </w:r>
          </w:p>
        </w:tc>
        <w:tc>
          <w:tcPr>
            <w:tcW w:w="2268" w:type="dxa"/>
          </w:tcPr>
          <w:p w14:paraId="4D148D98" w14:textId="77777777" w:rsidR="00F61E6E" w:rsidRPr="00F21719" w:rsidRDefault="00F61E6E" w:rsidP="00B24633">
            <w:pPr>
              <w:widowControl w:val="0"/>
              <w:autoSpaceDE w:val="0"/>
              <w:autoSpaceDN w:val="0"/>
              <w:ind w:left="841"/>
              <w:jc w:val="center"/>
              <w:rPr>
                <w:sz w:val="22"/>
                <w:szCs w:val="22"/>
              </w:rPr>
            </w:pPr>
            <w:r w:rsidRPr="00F21719">
              <w:rPr>
                <w:sz w:val="22"/>
                <w:szCs w:val="22"/>
              </w:rPr>
              <w:t>27</w:t>
            </w:r>
          </w:p>
          <w:p w14:paraId="2888DF14" w14:textId="77777777" w:rsidR="00F61E6E" w:rsidRPr="00F21719" w:rsidRDefault="00F61E6E" w:rsidP="00B24633">
            <w:pPr>
              <w:widowControl w:val="0"/>
              <w:autoSpaceDE w:val="0"/>
              <w:autoSpaceDN w:val="0"/>
              <w:ind w:left="842"/>
              <w:jc w:val="center"/>
              <w:rPr>
                <w:sz w:val="22"/>
                <w:szCs w:val="22"/>
              </w:rPr>
            </w:pPr>
            <w:r w:rsidRPr="00F21719">
              <w:rPr>
                <w:sz w:val="22"/>
                <w:szCs w:val="22"/>
              </w:rPr>
              <w:t>(0,21)</w:t>
            </w:r>
          </w:p>
        </w:tc>
        <w:tc>
          <w:tcPr>
            <w:tcW w:w="2836" w:type="dxa"/>
          </w:tcPr>
          <w:p w14:paraId="25E2DA75" w14:textId="77777777" w:rsidR="00F61E6E" w:rsidRPr="00F21719" w:rsidRDefault="00F61E6E" w:rsidP="00B24633">
            <w:pPr>
              <w:widowControl w:val="0"/>
              <w:autoSpaceDE w:val="0"/>
              <w:autoSpaceDN w:val="0"/>
              <w:spacing w:line="253" w:lineRule="exact"/>
              <w:ind w:left="841"/>
              <w:jc w:val="center"/>
              <w:rPr>
                <w:sz w:val="22"/>
                <w:szCs w:val="22"/>
              </w:rPr>
            </w:pPr>
            <w:r w:rsidRPr="00F21719">
              <w:rPr>
                <w:sz w:val="22"/>
                <w:szCs w:val="22"/>
              </w:rPr>
              <w:t>0,74</w:t>
            </w:r>
          </w:p>
          <w:p w14:paraId="0AE38C54" w14:textId="77777777" w:rsidR="00F61E6E" w:rsidRPr="00F21719" w:rsidRDefault="00F61E6E" w:rsidP="00B24633">
            <w:pPr>
              <w:widowControl w:val="0"/>
              <w:autoSpaceDE w:val="0"/>
              <w:autoSpaceDN w:val="0"/>
              <w:ind w:left="842"/>
              <w:jc w:val="center"/>
              <w:rPr>
                <w:sz w:val="22"/>
                <w:szCs w:val="22"/>
              </w:rPr>
            </w:pPr>
            <w:r w:rsidRPr="00F21719">
              <w:rPr>
                <w:sz w:val="22"/>
                <w:szCs w:val="22"/>
              </w:rPr>
              <w:t>(0,42 </w:t>
            </w:r>
            <w:r w:rsidRPr="00F21719">
              <w:rPr>
                <w:color w:val="000000"/>
                <w:sz w:val="22"/>
                <w:szCs w:val="22"/>
                <w:lang w:eastAsia="en-GB"/>
              </w:rPr>
              <w:t>– </w:t>
            </w:r>
            <w:r w:rsidRPr="00F21719">
              <w:rPr>
                <w:sz w:val="22"/>
                <w:szCs w:val="22"/>
              </w:rPr>
              <w:t>1,32)</w:t>
            </w:r>
          </w:p>
          <w:p w14:paraId="568B337A" w14:textId="77777777" w:rsidR="00F61E6E" w:rsidRPr="00F21719" w:rsidRDefault="00F61E6E" w:rsidP="00B24633">
            <w:pPr>
              <w:widowControl w:val="0"/>
              <w:autoSpaceDE w:val="0"/>
              <w:autoSpaceDN w:val="0"/>
              <w:spacing w:line="233" w:lineRule="exact"/>
              <w:ind w:left="842"/>
              <w:jc w:val="center"/>
              <w:rPr>
                <w:sz w:val="22"/>
                <w:szCs w:val="22"/>
              </w:rPr>
            </w:pPr>
            <w:r w:rsidRPr="00F21719">
              <w:rPr>
                <w:sz w:val="22"/>
                <w:szCs w:val="22"/>
              </w:rPr>
              <w:t>0,308</w:t>
            </w:r>
          </w:p>
        </w:tc>
      </w:tr>
      <w:tr w:rsidR="00F61E6E" w:rsidRPr="00F21719" w14:paraId="1E3BFE0F" w14:textId="77777777" w:rsidTr="00B24633">
        <w:trPr>
          <w:trHeight w:val="782"/>
        </w:trPr>
        <w:tc>
          <w:tcPr>
            <w:tcW w:w="1985" w:type="dxa"/>
          </w:tcPr>
          <w:p w14:paraId="5C265B9F" w14:textId="77777777" w:rsidR="00F61E6E" w:rsidRPr="00F21719" w:rsidRDefault="00F61E6E" w:rsidP="00B24633">
            <w:pPr>
              <w:widowControl w:val="0"/>
              <w:autoSpaceDE w:val="0"/>
              <w:autoSpaceDN w:val="0"/>
              <w:rPr>
                <w:b/>
                <w:sz w:val="22"/>
                <w:szCs w:val="22"/>
              </w:rPr>
            </w:pPr>
          </w:p>
          <w:p w14:paraId="4695CE0F" w14:textId="77777777" w:rsidR="00F61E6E" w:rsidRPr="00F21719" w:rsidRDefault="00F61E6E" w:rsidP="00B24633">
            <w:pPr>
              <w:widowControl w:val="0"/>
              <w:autoSpaceDE w:val="0"/>
              <w:autoSpaceDN w:val="0"/>
              <w:ind w:left="107"/>
              <w:rPr>
                <w:sz w:val="22"/>
                <w:szCs w:val="22"/>
              </w:rPr>
            </w:pPr>
            <w:r w:rsidRPr="00F21719">
              <w:rPr>
                <w:sz w:val="22"/>
                <w:szCs w:val="22"/>
              </w:rPr>
              <w:t>Myokardieinfarkt</w:t>
            </w:r>
          </w:p>
        </w:tc>
        <w:tc>
          <w:tcPr>
            <w:tcW w:w="2268" w:type="dxa"/>
          </w:tcPr>
          <w:p w14:paraId="7C0EF37B" w14:textId="77777777" w:rsidR="00F61E6E" w:rsidRPr="00F21719" w:rsidRDefault="00F61E6E" w:rsidP="00B24633">
            <w:pPr>
              <w:widowControl w:val="0"/>
              <w:autoSpaceDE w:val="0"/>
              <w:autoSpaceDN w:val="0"/>
              <w:rPr>
                <w:b/>
                <w:sz w:val="22"/>
                <w:szCs w:val="22"/>
              </w:rPr>
            </w:pPr>
          </w:p>
          <w:p w14:paraId="649FB44F" w14:textId="77777777" w:rsidR="00F61E6E" w:rsidRPr="00F21719" w:rsidRDefault="00F61E6E" w:rsidP="00B24633">
            <w:pPr>
              <w:widowControl w:val="0"/>
              <w:autoSpaceDE w:val="0"/>
              <w:autoSpaceDN w:val="0"/>
              <w:ind w:left="681"/>
              <w:rPr>
                <w:sz w:val="22"/>
                <w:szCs w:val="22"/>
              </w:rPr>
            </w:pPr>
            <w:r w:rsidRPr="00F21719">
              <w:rPr>
                <w:sz w:val="22"/>
                <w:szCs w:val="22"/>
              </w:rPr>
              <w:t>130</w:t>
            </w:r>
            <w:r w:rsidRPr="00F21719">
              <w:rPr>
                <w:spacing w:val="-1"/>
                <w:sz w:val="22"/>
                <w:szCs w:val="22"/>
              </w:rPr>
              <w:t xml:space="preserve"> </w:t>
            </w:r>
            <w:r w:rsidRPr="00F21719">
              <w:rPr>
                <w:sz w:val="22"/>
                <w:szCs w:val="22"/>
              </w:rPr>
              <w:t>(1,02)</w:t>
            </w:r>
          </w:p>
        </w:tc>
        <w:tc>
          <w:tcPr>
            <w:tcW w:w="2268" w:type="dxa"/>
          </w:tcPr>
          <w:p w14:paraId="5DD53A00" w14:textId="77777777" w:rsidR="00F61E6E" w:rsidRPr="00F21719" w:rsidRDefault="00F61E6E" w:rsidP="00B24633">
            <w:pPr>
              <w:widowControl w:val="0"/>
              <w:autoSpaceDE w:val="0"/>
              <w:autoSpaceDN w:val="0"/>
              <w:ind w:left="842"/>
              <w:jc w:val="center"/>
              <w:rPr>
                <w:sz w:val="22"/>
                <w:szCs w:val="22"/>
              </w:rPr>
            </w:pPr>
            <w:r w:rsidRPr="00F21719">
              <w:rPr>
                <w:sz w:val="22"/>
                <w:szCs w:val="22"/>
              </w:rPr>
              <w:t>142</w:t>
            </w:r>
          </w:p>
          <w:p w14:paraId="581F0324" w14:textId="77777777" w:rsidR="00F61E6E" w:rsidRPr="00F21719" w:rsidRDefault="00F61E6E" w:rsidP="00B24633">
            <w:pPr>
              <w:widowControl w:val="0"/>
              <w:autoSpaceDE w:val="0"/>
              <w:autoSpaceDN w:val="0"/>
              <w:ind w:left="843"/>
              <w:jc w:val="center"/>
              <w:rPr>
                <w:sz w:val="22"/>
                <w:szCs w:val="22"/>
              </w:rPr>
            </w:pPr>
            <w:r w:rsidRPr="00F21719">
              <w:rPr>
                <w:sz w:val="22"/>
                <w:szCs w:val="22"/>
              </w:rPr>
              <w:t>(1,11)</w:t>
            </w:r>
          </w:p>
        </w:tc>
        <w:tc>
          <w:tcPr>
            <w:tcW w:w="2836" w:type="dxa"/>
          </w:tcPr>
          <w:p w14:paraId="38C8608F" w14:textId="77777777" w:rsidR="00F61E6E" w:rsidRPr="00F21719" w:rsidRDefault="00F61E6E" w:rsidP="00B24633">
            <w:pPr>
              <w:widowControl w:val="0"/>
              <w:autoSpaceDE w:val="0"/>
              <w:autoSpaceDN w:val="0"/>
              <w:spacing w:line="253" w:lineRule="exact"/>
              <w:ind w:left="829"/>
              <w:jc w:val="center"/>
              <w:rPr>
                <w:sz w:val="22"/>
                <w:szCs w:val="22"/>
              </w:rPr>
            </w:pPr>
            <w:r w:rsidRPr="00F21719">
              <w:rPr>
                <w:sz w:val="22"/>
                <w:szCs w:val="22"/>
              </w:rPr>
              <w:t>0,91</w:t>
            </w:r>
          </w:p>
          <w:p w14:paraId="7A2D17AD" w14:textId="77777777" w:rsidR="00F61E6E" w:rsidRPr="00F21719" w:rsidRDefault="00F61E6E" w:rsidP="00B24633">
            <w:pPr>
              <w:widowControl w:val="0"/>
              <w:autoSpaceDE w:val="0"/>
              <w:autoSpaceDN w:val="0"/>
              <w:ind w:left="830"/>
              <w:jc w:val="center"/>
              <w:rPr>
                <w:sz w:val="22"/>
                <w:szCs w:val="22"/>
              </w:rPr>
            </w:pPr>
            <w:r w:rsidRPr="00F21719">
              <w:rPr>
                <w:sz w:val="22"/>
                <w:szCs w:val="22"/>
              </w:rPr>
              <w:t>(0,72 </w:t>
            </w:r>
            <w:r w:rsidRPr="00F21719">
              <w:rPr>
                <w:color w:val="000000"/>
                <w:sz w:val="22"/>
                <w:szCs w:val="22"/>
                <w:lang w:eastAsia="en-GB"/>
              </w:rPr>
              <w:t>– </w:t>
            </w:r>
            <w:r w:rsidRPr="00F21719">
              <w:rPr>
                <w:sz w:val="22"/>
                <w:szCs w:val="22"/>
              </w:rPr>
              <w:t>1,16)</w:t>
            </w:r>
          </w:p>
          <w:p w14:paraId="2EF23DDC" w14:textId="77777777" w:rsidR="00F61E6E" w:rsidRPr="00F21719" w:rsidRDefault="00F61E6E" w:rsidP="00B24633">
            <w:pPr>
              <w:widowControl w:val="0"/>
              <w:autoSpaceDE w:val="0"/>
              <w:autoSpaceDN w:val="0"/>
              <w:spacing w:line="233" w:lineRule="exact"/>
              <w:ind w:left="830"/>
              <w:jc w:val="center"/>
              <w:rPr>
                <w:sz w:val="22"/>
                <w:szCs w:val="22"/>
              </w:rPr>
            </w:pPr>
            <w:r w:rsidRPr="00F21719">
              <w:rPr>
                <w:sz w:val="22"/>
                <w:szCs w:val="22"/>
              </w:rPr>
              <w:t>0,464</w:t>
            </w:r>
          </w:p>
        </w:tc>
      </w:tr>
    </w:tbl>
    <w:p w14:paraId="7E8E56D1" w14:textId="77777777" w:rsidR="00F61E6E" w:rsidRPr="00B24633" w:rsidRDefault="00F61E6E" w:rsidP="00B24633">
      <w:pPr>
        <w:tabs>
          <w:tab w:val="left" w:pos="851"/>
        </w:tabs>
        <w:ind w:left="851"/>
        <w:rPr>
          <w:sz w:val="24"/>
          <w:szCs w:val="24"/>
        </w:rPr>
      </w:pPr>
    </w:p>
    <w:p w14:paraId="35A59A2B" w14:textId="64B8FD5A" w:rsidR="00F61E6E" w:rsidRDefault="00F61E6E" w:rsidP="00B24633">
      <w:pPr>
        <w:ind w:left="851"/>
        <w:rPr>
          <w:b/>
          <w:sz w:val="24"/>
          <w:szCs w:val="24"/>
        </w:rPr>
      </w:pPr>
      <w:r w:rsidRPr="00B24633">
        <w:rPr>
          <w:b/>
          <w:sz w:val="24"/>
          <w:szCs w:val="24"/>
        </w:rPr>
        <w:t xml:space="preserve">Tabel 5: Sikkerhedsresultater af ROCKET </w:t>
      </w:r>
      <w:proofErr w:type="gramStart"/>
      <w:r w:rsidRPr="00B24633">
        <w:rPr>
          <w:b/>
          <w:sz w:val="24"/>
          <w:szCs w:val="24"/>
        </w:rPr>
        <w:t>AF fase</w:t>
      </w:r>
      <w:proofErr w:type="gramEnd"/>
      <w:r w:rsidRPr="00B24633">
        <w:rPr>
          <w:b/>
          <w:sz w:val="24"/>
          <w:szCs w:val="24"/>
        </w:rPr>
        <w:t> III</w:t>
      </w:r>
    </w:p>
    <w:p w14:paraId="27DC586A" w14:textId="77777777" w:rsidR="00F21719" w:rsidRPr="00B24633" w:rsidRDefault="00F21719" w:rsidP="00B24633">
      <w:pPr>
        <w:ind w:left="851"/>
        <w:rPr>
          <w:b/>
          <w:sz w:val="24"/>
          <w:szCs w:val="24"/>
        </w:rPr>
      </w:pPr>
    </w:p>
    <w:tbl>
      <w:tblPr>
        <w:tblW w:w="9360" w:type="dxa"/>
        <w:tblInd w:w="8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86"/>
        <w:gridCol w:w="2414"/>
        <w:gridCol w:w="2460"/>
        <w:gridCol w:w="1800"/>
      </w:tblGrid>
      <w:tr w:rsidR="00F61E6E" w:rsidRPr="00F21719" w14:paraId="3A6E394F" w14:textId="77777777" w:rsidTr="00B24633">
        <w:trPr>
          <w:trHeight w:val="252"/>
        </w:trPr>
        <w:tc>
          <w:tcPr>
            <w:tcW w:w="2686" w:type="dxa"/>
          </w:tcPr>
          <w:p w14:paraId="2D184268" w14:textId="77777777" w:rsidR="00F61E6E" w:rsidRPr="00F21719" w:rsidRDefault="00F61E6E" w:rsidP="00B24633">
            <w:pPr>
              <w:keepNext/>
              <w:widowControl w:val="0"/>
              <w:autoSpaceDE w:val="0"/>
              <w:autoSpaceDN w:val="0"/>
              <w:spacing w:line="233" w:lineRule="exact"/>
              <w:ind w:left="107"/>
              <w:rPr>
                <w:b/>
                <w:sz w:val="22"/>
                <w:szCs w:val="22"/>
              </w:rPr>
            </w:pPr>
            <w:r w:rsidRPr="00F21719">
              <w:rPr>
                <w:b/>
                <w:sz w:val="22"/>
                <w:szCs w:val="22"/>
              </w:rPr>
              <w:t>Studiepopulation</w:t>
            </w:r>
          </w:p>
        </w:tc>
        <w:tc>
          <w:tcPr>
            <w:tcW w:w="6674" w:type="dxa"/>
            <w:gridSpan w:val="3"/>
          </w:tcPr>
          <w:p w14:paraId="16B86102" w14:textId="77777777" w:rsidR="00F61E6E" w:rsidRPr="00F21719" w:rsidRDefault="00F61E6E" w:rsidP="00B24633">
            <w:pPr>
              <w:keepNext/>
              <w:widowControl w:val="0"/>
              <w:autoSpaceDE w:val="0"/>
              <w:autoSpaceDN w:val="0"/>
              <w:spacing w:line="233" w:lineRule="exact"/>
              <w:ind w:left="107"/>
              <w:rPr>
                <w:b/>
                <w:sz w:val="22"/>
                <w:szCs w:val="22"/>
              </w:rPr>
            </w:pPr>
            <w:r w:rsidRPr="00F21719">
              <w:rPr>
                <w:b/>
                <w:sz w:val="22"/>
                <w:szCs w:val="22"/>
              </w:rPr>
              <w:t>Patienter</w:t>
            </w:r>
            <w:r w:rsidRPr="00F21719">
              <w:rPr>
                <w:b/>
                <w:spacing w:val="-3"/>
                <w:sz w:val="22"/>
                <w:szCs w:val="22"/>
              </w:rPr>
              <w:t xml:space="preserve"> </w:t>
            </w:r>
            <w:r w:rsidRPr="00F21719">
              <w:rPr>
                <w:b/>
                <w:sz w:val="22"/>
                <w:szCs w:val="22"/>
              </w:rPr>
              <w:t>med</w:t>
            </w:r>
            <w:r w:rsidRPr="00F21719">
              <w:rPr>
                <w:b/>
                <w:spacing w:val="-2"/>
                <w:sz w:val="22"/>
                <w:szCs w:val="22"/>
              </w:rPr>
              <w:t xml:space="preserve"> </w:t>
            </w:r>
            <w:r w:rsidRPr="00F21719">
              <w:rPr>
                <w:b/>
                <w:sz w:val="22"/>
                <w:szCs w:val="22"/>
              </w:rPr>
              <w:t>ikke-valvulær</w:t>
            </w:r>
            <w:r w:rsidRPr="00F21719">
              <w:rPr>
                <w:b/>
                <w:spacing w:val="-3"/>
                <w:sz w:val="22"/>
                <w:szCs w:val="22"/>
              </w:rPr>
              <w:t xml:space="preserve"> </w:t>
            </w:r>
            <w:r w:rsidRPr="00F21719">
              <w:rPr>
                <w:b/>
                <w:sz w:val="22"/>
                <w:szCs w:val="22"/>
              </w:rPr>
              <w:t>atrieflimren</w:t>
            </w:r>
            <w:r w:rsidRPr="00F21719">
              <w:rPr>
                <w:b/>
                <w:sz w:val="22"/>
                <w:szCs w:val="22"/>
                <w:vertAlign w:val="superscript"/>
              </w:rPr>
              <w:t>a)</w:t>
            </w:r>
          </w:p>
        </w:tc>
      </w:tr>
      <w:tr w:rsidR="00F61E6E" w:rsidRPr="00F21719" w14:paraId="50175804" w14:textId="77777777" w:rsidTr="00B24633">
        <w:trPr>
          <w:trHeight w:val="2023"/>
        </w:trPr>
        <w:tc>
          <w:tcPr>
            <w:tcW w:w="2686" w:type="dxa"/>
          </w:tcPr>
          <w:p w14:paraId="31994C4A" w14:textId="77777777" w:rsidR="00F61E6E" w:rsidRPr="00F21719" w:rsidRDefault="00F61E6E" w:rsidP="00B24633">
            <w:pPr>
              <w:widowControl w:val="0"/>
              <w:autoSpaceDE w:val="0"/>
              <w:autoSpaceDN w:val="0"/>
              <w:ind w:left="107"/>
              <w:rPr>
                <w:b/>
                <w:sz w:val="22"/>
                <w:szCs w:val="22"/>
              </w:rPr>
            </w:pPr>
            <w:r w:rsidRPr="00F21719">
              <w:rPr>
                <w:b/>
                <w:sz w:val="22"/>
                <w:szCs w:val="22"/>
              </w:rPr>
              <w:t>Terapeutisk</w:t>
            </w:r>
            <w:r w:rsidRPr="00F21719">
              <w:rPr>
                <w:b/>
                <w:spacing w:val="-1"/>
                <w:sz w:val="22"/>
                <w:szCs w:val="22"/>
              </w:rPr>
              <w:t xml:space="preserve"> </w:t>
            </w:r>
            <w:r w:rsidRPr="00F21719">
              <w:rPr>
                <w:b/>
                <w:sz w:val="22"/>
                <w:szCs w:val="22"/>
              </w:rPr>
              <w:t>dosis</w:t>
            </w:r>
          </w:p>
        </w:tc>
        <w:tc>
          <w:tcPr>
            <w:tcW w:w="2414" w:type="dxa"/>
          </w:tcPr>
          <w:p w14:paraId="2872F817" w14:textId="42C20F9E" w:rsidR="00F21719" w:rsidRDefault="00F61E6E" w:rsidP="00F21719">
            <w:pPr>
              <w:jc w:val="center"/>
              <w:rPr>
                <w:b/>
                <w:sz w:val="22"/>
                <w:szCs w:val="22"/>
              </w:rPr>
            </w:pPr>
            <w:r w:rsidRPr="00F21719">
              <w:rPr>
                <w:b/>
                <w:sz w:val="22"/>
                <w:szCs w:val="22"/>
              </w:rPr>
              <w:t>Rivaroxaban 20 mg én gang dagligt (15 mg én gang dagligt for patienter med moderat nedsat nyrefunktion)</w:t>
            </w:r>
          </w:p>
          <w:p w14:paraId="5080C312" w14:textId="5DA44506" w:rsidR="00F61E6E" w:rsidRPr="00F21719" w:rsidRDefault="00F61E6E" w:rsidP="00F21719">
            <w:pPr>
              <w:jc w:val="center"/>
              <w:rPr>
                <w:b/>
                <w:sz w:val="22"/>
                <w:szCs w:val="22"/>
              </w:rPr>
            </w:pPr>
            <w:r w:rsidRPr="00F21719">
              <w:rPr>
                <w:b/>
                <w:sz w:val="22"/>
                <w:szCs w:val="22"/>
              </w:rPr>
              <w:t>Frekvens (per</w:t>
            </w:r>
            <w:r w:rsidR="00F21719">
              <w:rPr>
                <w:b/>
                <w:sz w:val="22"/>
                <w:szCs w:val="22"/>
              </w:rPr>
              <w:t xml:space="preserve"> </w:t>
            </w:r>
            <w:r w:rsidRPr="00F21719">
              <w:rPr>
                <w:b/>
                <w:sz w:val="22"/>
                <w:szCs w:val="22"/>
              </w:rPr>
              <w:t>100 patientår)</w:t>
            </w:r>
          </w:p>
        </w:tc>
        <w:tc>
          <w:tcPr>
            <w:tcW w:w="2460" w:type="dxa"/>
          </w:tcPr>
          <w:p w14:paraId="76C872F6" w14:textId="77777777" w:rsidR="00F61E6E" w:rsidRPr="00F21719" w:rsidRDefault="00F61E6E" w:rsidP="00F21719">
            <w:pPr>
              <w:jc w:val="center"/>
              <w:rPr>
                <w:b/>
                <w:sz w:val="22"/>
                <w:szCs w:val="22"/>
              </w:rPr>
            </w:pPr>
            <w:r w:rsidRPr="00F21719">
              <w:rPr>
                <w:b/>
                <w:sz w:val="22"/>
                <w:szCs w:val="22"/>
              </w:rPr>
              <w:t>Warfarin</w:t>
            </w:r>
          </w:p>
          <w:p w14:paraId="02EF3704" w14:textId="29DDEC3B" w:rsidR="00F61E6E" w:rsidRPr="00F21719" w:rsidRDefault="00F61E6E" w:rsidP="00F21719">
            <w:pPr>
              <w:jc w:val="center"/>
              <w:rPr>
                <w:b/>
                <w:sz w:val="22"/>
                <w:szCs w:val="22"/>
              </w:rPr>
            </w:pPr>
            <w:r w:rsidRPr="00F21719">
              <w:rPr>
                <w:b/>
                <w:sz w:val="22"/>
                <w:szCs w:val="22"/>
              </w:rPr>
              <w:t>Titreret til en INR på 2,5 (behandlings</w:t>
            </w:r>
            <w:r w:rsidR="00F21719">
              <w:rPr>
                <w:b/>
                <w:sz w:val="22"/>
                <w:szCs w:val="22"/>
              </w:rPr>
              <w:softHyphen/>
            </w:r>
            <w:r w:rsidRPr="00F21719">
              <w:rPr>
                <w:b/>
                <w:sz w:val="22"/>
                <w:szCs w:val="22"/>
              </w:rPr>
              <w:t>interval 2,0-3,0)</w:t>
            </w:r>
          </w:p>
          <w:p w14:paraId="2E1E3A71" w14:textId="77777777" w:rsidR="00F61E6E" w:rsidRPr="00F21719" w:rsidRDefault="00F61E6E" w:rsidP="00F21719">
            <w:pPr>
              <w:jc w:val="center"/>
              <w:rPr>
                <w:b/>
                <w:sz w:val="22"/>
                <w:szCs w:val="22"/>
              </w:rPr>
            </w:pPr>
          </w:p>
          <w:p w14:paraId="58B4DE6A" w14:textId="3DA27B8C" w:rsidR="00F61E6E" w:rsidRPr="00F21719" w:rsidRDefault="00F61E6E" w:rsidP="00F21719">
            <w:pPr>
              <w:jc w:val="center"/>
              <w:rPr>
                <w:b/>
                <w:sz w:val="22"/>
                <w:szCs w:val="22"/>
              </w:rPr>
            </w:pPr>
            <w:r w:rsidRPr="00F21719">
              <w:rPr>
                <w:b/>
                <w:sz w:val="22"/>
                <w:szCs w:val="22"/>
              </w:rPr>
              <w:t>Frekvens (per</w:t>
            </w:r>
            <w:r w:rsidR="00F21719">
              <w:rPr>
                <w:b/>
                <w:sz w:val="22"/>
                <w:szCs w:val="22"/>
              </w:rPr>
              <w:t xml:space="preserve"> </w:t>
            </w:r>
            <w:r w:rsidRPr="00F21719">
              <w:rPr>
                <w:b/>
                <w:sz w:val="22"/>
                <w:szCs w:val="22"/>
              </w:rPr>
              <w:t>100 patientår)</w:t>
            </w:r>
          </w:p>
        </w:tc>
        <w:tc>
          <w:tcPr>
            <w:tcW w:w="1800" w:type="dxa"/>
          </w:tcPr>
          <w:p w14:paraId="2DC55F6D" w14:textId="7B3985F6" w:rsidR="00F61E6E" w:rsidRPr="00F21719" w:rsidRDefault="00F61E6E" w:rsidP="00F21719">
            <w:pPr>
              <w:jc w:val="center"/>
              <w:rPr>
                <w:b/>
                <w:sz w:val="22"/>
                <w:szCs w:val="22"/>
              </w:rPr>
            </w:pPr>
            <w:r w:rsidRPr="00F21719">
              <w:rPr>
                <w:b/>
                <w:sz w:val="22"/>
                <w:szCs w:val="22"/>
              </w:rPr>
              <w:t>HR (95</w:t>
            </w:r>
            <w:r w:rsidR="00054680">
              <w:rPr>
                <w:b/>
                <w:sz w:val="22"/>
                <w:szCs w:val="22"/>
              </w:rPr>
              <w:t xml:space="preserve"> %</w:t>
            </w:r>
            <w:r w:rsidRPr="00F21719">
              <w:rPr>
                <w:b/>
                <w:sz w:val="22"/>
                <w:szCs w:val="22"/>
              </w:rPr>
              <w:t xml:space="preserve"> KI)</w:t>
            </w:r>
          </w:p>
          <w:p w14:paraId="07EAA70D" w14:textId="77777777" w:rsidR="00F61E6E" w:rsidRPr="00F21719" w:rsidRDefault="00F61E6E" w:rsidP="00F21719">
            <w:pPr>
              <w:jc w:val="center"/>
              <w:rPr>
                <w:b/>
                <w:sz w:val="22"/>
                <w:szCs w:val="22"/>
              </w:rPr>
            </w:pPr>
            <w:r w:rsidRPr="00F21719">
              <w:rPr>
                <w:b/>
                <w:sz w:val="22"/>
                <w:szCs w:val="22"/>
              </w:rPr>
              <w:t>p-værdi</w:t>
            </w:r>
          </w:p>
        </w:tc>
      </w:tr>
      <w:tr w:rsidR="00F61E6E" w:rsidRPr="00F21719" w14:paraId="02975DB6" w14:textId="77777777" w:rsidTr="00B24633">
        <w:trPr>
          <w:trHeight w:val="257"/>
        </w:trPr>
        <w:tc>
          <w:tcPr>
            <w:tcW w:w="2686" w:type="dxa"/>
            <w:tcBorders>
              <w:bottom w:val="nil"/>
            </w:tcBorders>
          </w:tcPr>
          <w:p w14:paraId="2A98776F" w14:textId="77777777" w:rsidR="00F61E6E" w:rsidRPr="00F21719" w:rsidRDefault="00F61E6E" w:rsidP="00B24633">
            <w:pPr>
              <w:widowControl w:val="0"/>
              <w:autoSpaceDE w:val="0"/>
              <w:autoSpaceDN w:val="0"/>
              <w:spacing w:line="238" w:lineRule="exact"/>
              <w:ind w:left="107"/>
              <w:rPr>
                <w:sz w:val="22"/>
                <w:szCs w:val="22"/>
              </w:rPr>
            </w:pPr>
            <w:r w:rsidRPr="00F21719">
              <w:rPr>
                <w:sz w:val="22"/>
                <w:szCs w:val="22"/>
              </w:rPr>
              <w:t>Større</w:t>
            </w:r>
            <w:r w:rsidRPr="00F21719">
              <w:rPr>
                <w:spacing w:val="-2"/>
                <w:sz w:val="22"/>
                <w:szCs w:val="22"/>
              </w:rPr>
              <w:t xml:space="preserve"> </w:t>
            </w:r>
            <w:r w:rsidRPr="00F21719">
              <w:rPr>
                <w:sz w:val="22"/>
                <w:szCs w:val="22"/>
              </w:rPr>
              <w:t>og</w:t>
            </w:r>
            <w:r w:rsidRPr="00F21719">
              <w:rPr>
                <w:spacing w:val="-1"/>
                <w:sz w:val="22"/>
                <w:szCs w:val="22"/>
              </w:rPr>
              <w:t xml:space="preserve"> </w:t>
            </w:r>
            <w:r w:rsidRPr="00F21719">
              <w:rPr>
                <w:sz w:val="22"/>
                <w:szCs w:val="22"/>
              </w:rPr>
              <w:t>mindre</w:t>
            </w:r>
            <w:r w:rsidRPr="00F21719">
              <w:rPr>
                <w:spacing w:val="-2"/>
                <w:sz w:val="22"/>
                <w:szCs w:val="22"/>
              </w:rPr>
              <w:t xml:space="preserve"> </w:t>
            </w:r>
            <w:r w:rsidRPr="00F21719">
              <w:rPr>
                <w:sz w:val="22"/>
                <w:szCs w:val="22"/>
              </w:rPr>
              <w:t>klinisk</w:t>
            </w:r>
          </w:p>
        </w:tc>
        <w:tc>
          <w:tcPr>
            <w:tcW w:w="2414" w:type="dxa"/>
            <w:tcBorders>
              <w:bottom w:val="nil"/>
            </w:tcBorders>
          </w:tcPr>
          <w:p w14:paraId="362A98F8"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1.475</w:t>
            </w:r>
          </w:p>
        </w:tc>
        <w:tc>
          <w:tcPr>
            <w:tcW w:w="2460" w:type="dxa"/>
            <w:tcBorders>
              <w:bottom w:val="nil"/>
            </w:tcBorders>
          </w:tcPr>
          <w:p w14:paraId="1B3B2C0D"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1.449</w:t>
            </w:r>
          </w:p>
        </w:tc>
        <w:tc>
          <w:tcPr>
            <w:tcW w:w="1800" w:type="dxa"/>
            <w:tcBorders>
              <w:bottom w:val="nil"/>
            </w:tcBorders>
          </w:tcPr>
          <w:p w14:paraId="4815ACEA"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1,03</w:t>
            </w:r>
            <w:r w:rsidRPr="00F21719">
              <w:rPr>
                <w:spacing w:val="-1"/>
                <w:sz w:val="22"/>
                <w:szCs w:val="22"/>
              </w:rPr>
              <w:t xml:space="preserve"> </w:t>
            </w:r>
            <w:r w:rsidRPr="00F21719">
              <w:rPr>
                <w:sz w:val="22"/>
                <w:szCs w:val="22"/>
              </w:rPr>
              <w:t>(0,96 – 1,11)</w:t>
            </w:r>
          </w:p>
        </w:tc>
      </w:tr>
      <w:tr w:rsidR="00F61E6E" w:rsidRPr="00F21719" w14:paraId="2378307F" w14:textId="77777777" w:rsidTr="00B24633">
        <w:trPr>
          <w:trHeight w:val="248"/>
        </w:trPr>
        <w:tc>
          <w:tcPr>
            <w:tcW w:w="2686" w:type="dxa"/>
            <w:tcBorders>
              <w:top w:val="nil"/>
            </w:tcBorders>
          </w:tcPr>
          <w:p w14:paraId="03F2B449" w14:textId="77777777" w:rsidR="00F61E6E" w:rsidRPr="00F21719" w:rsidRDefault="00F61E6E" w:rsidP="00B24633">
            <w:pPr>
              <w:widowControl w:val="0"/>
              <w:autoSpaceDE w:val="0"/>
              <w:autoSpaceDN w:val="0"/>
              <w:spacing w:line="228" w:lineRule="exact"/>
              <w:ind w:left="107"/>
              <w:rPr>
                <w:sz w:val="22"/>
                <w:szCs w:val="22"/>
              </w:rPr>
            </w:pPr>
            <w:r w:rsidRPr="00F21719">
              <w:rPr>
                <w:sz w:val="22"/>
                <w:szCs w:val="22"/>
              </w:rPr>
              <w:t>relevante</w:t>
            </w:r>
            <w:r w:rsidRPr="00F21719">
              <w:rPr>
                <w:spacing w:val="-3"/>
                <w:sz w:val="22"/>
                <w:szCs w:val="22"/>
              </w:rPr>
              <w:t xml:space="preserve"> </w:t>
            </w:r>
            <w:r w:rsidRPr="00F21719">
              <w:rPr>
                <w:sz w:val="22"/>
                <w:szCs w:val="22"/>
              </w:rPr>
              <w:t>blødninger</w:t>
            </w:r>
          </w:p>
        </w:tc>
        <w:tc>
          <w:tcPr>
            <w:tcW w:w="2414" w:type="dxa"/>
            <w:tcBorders>
              <w:top w:val="nil"/>
            </w:tcBorders>
          </w:tcPr>
          <w:p w14:paraId="10FB0B99" w14:textId="77777777" w:rsidR="00F61E6E" w:rsidRPr="00F21719" w:rsidRDefault="00F61E6E" w:rsidP="00B24633">
            <w:pPr>
              <w:widowControl w:val="0"/>
              <w:autoSpaceDE w:val="0"/>
              <w:autoSpaceDN w:val="0"/>
              <w:spacing w:line="228" w:lineRule="exact"/>
              <w:ind w:left="107"/>
              <w:jc w:val="center"/>
              <w:rPr>
                <w:sz w:val="22"/>
                <w:szCs w:val="22"/>
              </w:rPr>
            </w:pPr>
            <w:r w:rsidRPr="00F21719">
              <w:rPr>
                <w:sz w:val="22"/>
                <w:szCs w:val="22"/>
              </w:rPr>
              <w:t>(14,91)</w:t>
            </w:r>
          </w:p>
        </w:tc>
        <w:tc>
          <w:tcPr>
            <w:tcW w:w="2460" w:type="dxa"/>
            <w:tcBorders>
              <w:top w:val="nil"/>
            </w:tcBorders>
          </w:tcPr>
          <w:p w14:paraId="09F8A419" w14:textId="77777777" w:rsidR="00F61E6E" w:rsidRPr="00F21719" w:rsidRDefault="00F61E6E" w:rsidP="00B24633">
            <w:pPr>
              <w:widowControl w:val="0"/>
              <w:autoSpaceDE w:val="0"/>
              <w:autoSpaceDN w:val="0"/>
              <w:spacing w:line="228" w:lineRule="exact"/>
              <w:ind w:left="107"/>
              <w:jc w:val="center"/>
              <w:rPr>
                <w:sz w:val="22"/>
                <w:szCs w:val="22"/>
              </w:rPr>
            </w:pPr>
            <w:r w:rsidRPr="00F21719">
              <w:rPr>
                <w:sz w:val="22"/>
                <w:szCs w:val="22"/>
              </w:rPr>
              <w:t>(14,52)</w:t>
            </w:r>
          </w:p>
        </w:tc>
        <w:tc>
          <w:tcPr>
            <w:tcW w:w="1800" w:type="dxa"/>
            <w:tcBorders>
              <w:top w:val="nil"/>
            </w:tcBorders>
          </w:tcPr>
          <w:p w14:paraId="22BC0E2A" w14:textId="77777777" w:rsidR="00F61E6E" w:rsidRPr="00F21719" w:rsidRDefault="00F61E6E" w:rsidP="00B24633">
            <w:pPr>
              <w:widowControl w:val="0"/>
              <w:autoSpaceDE w:val="0"/>
              <w:autoSpaceDN w:val="0"/>
              <w:spacing w:line="228" w:lineRule="exact"/>
              <w:ind w:left="107"/>
              <w:jc w:val="center"/>
              <w:rPr>
                <w:sz w:val="22"/>
                <w:szCs w:val="22"/>
              </w:rPr>
            </w:pPr>
            <w:r w:rsidRPr="00F21719">
              <w:rPr>
                <w:sz w:val="22"/>
                <w:szCs w:val="22"/>
              </w:rPr>
              <w:t>0,442</w:t>
            </w:r>
          </w:p>
        </w:tc>
      </w:tr>
      <w:tr w:rsidR="00F61E6E" w:rsidRPr="00F21719" w14:paraId="4765D6F1" w14:textId="77777777" w:rsidTr="00B24633">
        <w:trPr>
          <w:trHeight w:val="252"/>
        </w:trPr>
        <w:tc>
          <w:tcPr>
            <w:tcW w:w="2686" w:type="dxa"/>
            <w:vMerge w:val="restart"/>
          </w:tcPr>
          <w:p w14:paraId="54E9420D" w14:textId="77777777" w:rsidR="00F61E6E" w:rsidRPr="00F21719" w:rsidRDefault="00F61E6E" w:rsidP="00B24633">
            <w:pPr>
              <w:widowControl w:val="0"/>
              <w:autoSpaceDE w:val="0"/>
              <w:autoSpaceDN w:val="0"/>
              <w:spacing w:before="125"/>
              <w:ind w:left="141"/>
              <w:rPr>
                <w:sz w:val="22"/>
                <w:szCs w:val="22"/>
              </w:rPr>
            </w:pPr>
            <w:r w:rsidRPr="00F21719">
              <w:rPr>
                <w:sz w:val="22"/>
                <w:szCs w:val="22"/>
              </w:rPr>
              <w:t>Større</w:t>
            </w:r>
            <w:r w:rsidRPr="00F21719">
              <w:rPr>
                <w:spacing w:val="-3"/>
                <w:sz w:val="22"/>
                <w:szCs w:val="22"/>
              </w:rPr>
              <w:t xml:space="preserve"> </w:t>
            </w:r>
            <w:r w:rsidRPr="00F21719">
              <w:rPr>
                <w:sz w:val="22"/>
                <w:szCs w:val="22"/>
              </w:rPr>
              <w:t>blødninger</w:t>
            </w:r>
          </w:p>
        </w:tc>
        <w:tc>
          <w:tcPr>
            <w:tcW w:w="2414" w:type="dxa"/>
            <w:tcBorders>
              <w:bottom w:val="nil"/>
            </w:tcBorders>
          </w:tcPr>
          <w:p w14:paraId="1397E0FA"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395</w:t>
            </w:r>
          </w:p>
        </w:tc>
        <w:tc>
          <w:tcPr>
            <w:tcW w:w="2460" w:type="dxa"/>
            <w:tcBorders>
              <w:bottom w:val="nil"/>
            </w:tcBorders>
          </w:tcPr>
          <w:p w14:paraId="449E965C"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386</w:t>
            </w:r>
          </w:p>
        </w:tc>
        <w:tc>
          <w:tcPr>
            <w:tcW w:w="1800" w:type="dxa"/>
            <w:tcBorders>
              <w:bottom w:val="nil"/>
            </w:tcBorders>
          </w:tcPr>
          <w:p w14:paraId="12FB2276"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1,04</w:t>
            </w:r>
            <w:r w:rsidRPr="00F21719">
              <w:rPr>
                <w:spacing w:val="-1"/>
                <w:sz w:val="22"/>
                <w:szCs w:val="22"/>
              </w:rPr>
              <w:t xml:space="preserve"> </w:t>
            </w:r>
            <w:r w:rsidRPr="00F21719">
              <w:rPr>
                <w:sz w:val="22"/>
                <w:szCs w:val="22"/>
              </w:rPr>
              <w:t>(0,90 </w:t>
            </w:r>
            <w:r w:rsidRPr="00F21719">
              <w:rPr>
                <w:color w:val="000000"/>
                <w:sz w:val="22"/>
                <w:szCs w:val="22"/>
                <w:lang w:eastAsia="en-GB"/>
              </w:rPr>
              <w:t>– </w:t>
            </w:r>
            <w:r w:rsidRPr="00F21719">
              <w:rPr>
                <w:sz w:val="22"/>
                <w:szCs w:val="22"/>
              </w:rPr>
              <w:t>1,20)</w:t>
            </w:r>
          </w:p>
        </w:tc>
      </w:tr>
      <w:tr w:rsidR="00F61E6E" w:rsidRPr="00F21719" w14:paraId="6E7ABA42" w14:textId="77777777" w:rsidTr="00B24633">
        <w:trPr>
          <w:trHeight w:val="243"/>
        </w:trPr>
        <w:tc>
          <w:tcPr>
            <w:tcW w:w="2686" w:type="dxa"/>
            <w:vMerge/>
            <w:tcBorders>
              <w:top w:val="nil"/>
            </w:tcBorders>
          </w:tcPr>
          <w:p w14:paraId="28F3BFBB" w14:textId="77777777" w:rsidR="00F61E6E" w:rsidRPr="00F21719" w:rsidRDefault="00F61E6E" w:rsidP="00B24633">
            <w:pPr>
              <w:widowControl w:val="0"/>
              <w:autoSpaceDE w:val="0"/>
              <w:autoSpaceDN w:val="0"/>
              <w:rPr>
                <w:sz w:val="22"/>
                <w:szCs w:val="22"/>
              </w:rPr>
            </w:pPr>
          </w:p>
        </w:tc>
        <w:tc>
          <w:tcPr>
            <w:tcW w:w="2414" w:type="dxa"/>
            <w:tcBorders>
              <w:top w:val="nil"/>
            </w:tcBorders>
          </w:tcPr>
          <w:p w14:paraId="2A0F3D28" w14:textId="77777777" w:rsidR="00F61E6E" w:rsidRPr="00F21719" w:rsidRDefault="00F61E6E" w:rsidP="00B24633">
            <w:pPr>
              <w:widowControl w:val="0"/>
              <w:autoSpaceDE w:val="0"/>
              <w:autoSpaceDN w:val="0"/>
              <w:spacing w:line="223" w:lineRule="exact"/>
              <w:ind w:left="107"/>
              <w:jc w:val="center"/>
              <w:rPr>
                <w:sz w:val="22"/>
                <w:szCs w:val="22"/>
              </w:rPr>
            </w:pPr>
            <w:r w:rsidRPr="00F21719">
              <w:rPr>
                <w:sz w:val="22"/>
                <w:szCs w:val="22"/>
              </w:rPr>
              <w:t>(3,60)</w:t>
            </w:r>
          </w:p>
        </w:tc>
        <w:tc>
          <w:tcPr>
            <w:tcW w:w="2460" w:type="dxa"/>
            <w:tcBorders>
              <w:top w:val="nil"/>
            </w:tcBorders>
          </w:tcPr>
          <w:p w14:paraId="25A9E14E" w14:textId="77777777" w:rsidR="00F61E6E" w:rsidRPr="00F21719" w:rsidRDefault="00F61E6E" w:rsidP="00B24633">
            <w:pPr>
              <w:widowControl w:val="0"/>
              <w:autoSpaceDE w:val="0"/>
              <w:autoSpaceDN w:val="0"/>
              <w:spacing w:line="223" w:lineRule="exact"/>
              <w:ind w:left="107"/>
              <w:jc w:val="center"/>
              <w:rPr>
                <w:sz w:val="22"/>
                <w:szCs w:val="22"/>
              </w:rPr>
            </w:pPr>
            <w:r w:rsidRPr="00F21719">
              <w:rPr>
                <w:sz w:val="22"/>
                <w:szCs w:val="22"/>
              </w:rPr>
              <w:t>(3,45)</w:t>
            </w:r>
          </w:p>
        </w:tc>
        <w:tc>
          <w:tcPr>
            <w:tcW w:w="1800" w:type="dxa"/>
            <w:tcBorders>
              <w:top w:val="nil"/>
            </w:tcBorders>
          </w:tcPr>
          <w:p w14:paraId="0135228A" w14:textId="77777777" w:rsidR="00F61E6E" w:rsidRPr="00F21719" w:rsidRDefault="00F61E6E" w:rsidP="00B24633">
            <w:pPr>
              <w:widowControl w:val="0"/>
              <w:autoSpaceDE w:val="0"/>
              <w:autoSpaceDN w:val="0"/>
              <w:spacing w:line="223" w:lineRule="exact"/>
              <w:ind w:left="107"/>
              <w:jc w:val="center"/>
              <w:rPr>
                <w:sz w:val="22"/>
                <w:szCs w:val="22"/>
              </w:rPr>
            </w:pPr>
            <w:r w:rsidRPr="00F21719">
              <w:rPr>
                <w:sz w:val="22"/>
                <w:szCs w:val="22"/>
              </w:rPr>
              <w:t>0,576</w:t>
            </w:r>
          </w:p>
        </w:tc>
      </w:tr>
      <w:tr w:rsidR="00F61E6E" w:rsidRPr="00F21719" w14:paraId="39CB0919" w14:textId="77777777" w:rsidTr="00B24633">
        <w:trPr>
          <w:trHeight w:val="257"/>
        </w:trPr>
        <w:tc>
          <w:tcPr>
            <w:tcW w:w="2686" w:type="dxa"/>
            <w:tcBorders>
              <w:bottom w:val="nil"/>
            </w:tcBorders>
          </w:tcPr>
          <w:p w14:paraId="754863AB" w14:textId="77777777" w:rsidR="00F61E6E" w:rsidRPr="00F21719" w:rsidRDefault="00F61E6E" w:rsidP="00B24633">
            <w:pPr>
              <w:widowControl w:val="0"/>
              <w:autoSpaceDE w:val="0"/>
              <w:autoSpaceDN w:val="0"/>
              <w:spacing w:line="238" w:lineRule="exact"/>
              <w:ind w:left="141"/>
              <w:rPr>
                <w:sz w:val="22"/>
                <w:szCs w:val="22"/>
              </w:rPr>
            </w:pPr>
            <w:r w:rsidRPr="00F21719">
              <w:rPr>
                <w:sz w:val="22"/>
                <w:szCs w:val="22"/>
              </w:rPr>
              <w:t>Død</w:t>
            </w:r>
            <w:r w:rsidRPr="00F21719">
              <w:rPr>
                <w:spacing w:val="-2"/>
                <w:sz w:val="22"/>
                <w:szCs w:val="22"/>
              </w:rPr>
              <w:t xml:space="preserve"> </w:t>
            </w:r>
            <w:r w:rsidRPr="00F21719">
              <w:rPr>
                <w:sz w:val="22"/>
                <w:szCs w:val="22"/>
              </w:rPr>
              <w:t>som</w:t>
            </w:r>
            <w:r w:rsidRPr="00F21719">
              <w:rPr>
                <w:spacing w:val="-2"/>
                <w:sz w:val="22"/>
                <w:szCs w:val="22"/>
              </w:rPr>
              <w:t xml:space="preserve"> </w:t>
            </w:r>
            <w:r w:rsidRPr="00F21719">
              <w:rPr>
                <w:sz w:val="22"/>
                <w:szCs w:val="22"/>
              </w:rPr>
              <w:t>følge</w:t>
            </w:r>
            <w:r w:rsidRPr="00F21719">
              <w:rPr>
                <w:spacing w:val="-2"/>
                <w:sz w:val="22"/>
                <w:szCs w:val="22"/>
              </w:rPr>
              <w:t xml:space="preserve"> </w:t>
            </w:r>
            <w:r w:rsidRPr="00F21719">
              <w:rPr>
                <w:sz w:val="22"/>
                <w:szCs w:val="22"/>
              </w:rPr>
              <w:t>af</w:t>
            </w:r>
          </w:p>
        </w:tc>
        <w:tc>
          <w:tcPr>
            <w:tcW w:w="2414" w:type="dxa"/>
            <w:tcBorders>
              <w:bottom w:val="nil"/>
            </w:tcBorders>
          </w:tcPr>
          <w:p w14:paraId="75249FDD"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27</w:t>
            </w:r>
          </w:p>
        </w:tc>
        <w:tc>
          <w:tcPr>
            <w:tcW w:w="2460" w:type="dxa"/>
            <w:tcBorders>
              <w:bottom w:val="nil"/>
            </w:tcBorders>
          </w:tcPr>
          <w:p w14:paraId="1915CE29"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55</w:t>
            </w:r>
          </w:p>
        </w:tc>
        <w:tc>
          <w:tcPr>
            <w:tcW w:w="1800" w:type="dxa"/>
            <w:tcBorders>
              <w:bottom w:val="nil"/>
            </w:tcBorders>
          </w:tcPr>
          <w:p w14:paraId="7492AB85"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0,50</w:t>
            </w:r>
            <w:r w:rsidRPr="00F21719">
              <w:rPr>
                <w:spacing w:val="-1"/>
                <w:sz w:val="22"/>
                <w:szCs w:val="22"/>
              </w:rPr>
              <w:t xml:space="preserve"> </w:t>
            </w:r>
            <w:r w:rsidRPr="00F21719">
              <w:rPr>
                <w:sz w:val="22"/>
                <w:szCs w:val="22"/>
              </w:rPr>
              <w:t>(0,31 </w:t>
            </w:r>
            <w:r w:rsidRPr="00F21719">
              <w:rPr>
                <w:color w:val="000000"/>
                <w:sz w:val="22"/>
                <w:szCs w:val="22"/>
                <w:lang w:eastAsia="en-GB"/>
              </w:rPr>
              <w:t>– </w:t>
            </w:r>
            <w:r w:rsidRPr="00F21719">
              <w:rPr>
                <w:sz w:val="22"/>
                <w:szCs w:val="22"/>
              </w:rPr>
              <w:t>0,79)</w:t>
            </w:r>
          </w:p>
        </w:tc>
      </w:tr>
      <w:tr w:rsidR="00F61E6E" w:rsidRPr="00F21719" w14:paraId="4219B9A7" w14:textId="77777777" w:rsidTr="00B24633">
        <w:trPr>
          <w:trHeight w:val="248"/>
        </w:trPr>
        <w:tc>
          <w:tcPr>
            <w:tcW w:w="2686" w:type="dxa"/>
            <w:tcBorders>
              <w:top w:val="nil"/>
            </w:tcBorders>
          </w:tcPr>
          <w:p w14:paraId="3D28E09E" w14:textId="77777777" w:rsidR="00F61E6E" w:rsidRPr="00F21719" w:rsidRDefault="00F61E6E" w:rsidP="00B24633">
            <w:pPr>
              <w:widowControl w:val="0"/>
              <w:autoSpaceDE w:val="0"/>
              <w:autoSpaceDN w:val="0"/>
              <w:spacing w:line="228" w:lineRule="exact"/>
              <w:ind w:left="141"/>
              <w:rPr>
                <w:sz w:val="22"/>
                <w:szCs w:val="22"/>
              </w:rPr>
            </w:pPr>
            <w:r w:rsidRPr="00F21719">
              <w:rPr>
                <w:sz w:val="22"/>
                <w:szCs w:val="22"/>
              </w:rPr>
              <w:t>blødning*</w:t>
            </w:r>
          </w:p>
        </w:tc>
        <w:tc>
          <w:tcPr>
            <w:tcW w:w="2414" w:type="dxa"/>
            <w:tcBorders>
              <w:top w:val="nil"/>
            </w:tcBorders>
          </w:tcPr>
          <w:p w14:paraId="643DF3C0" w14:textId="77777777" w:rsidR="00F61E6E" w:rsidRPr="00F21719" w:rsidRDefault="00F61E6E" w:rsidP="00B24633">
            <w:pPr>
              <w:widowControl w:val="0"/>
              <w:autoSpaceDE w:val="0"/>
              <w:autoSpaceDN w:val="0"/>
              <w:spacing w:line="228" w:lineRule="exact"/>
              <w:ind w:left="107"/>
              <w:jc w:val="center"/>
              <w:rPr>
                <w:sz w:val="22"/>
                <w:szCs w:val="22"/>
              </w:rPr>
            </w:pPr>
            <w:r w:rsidRPr="00F21719">
              <w:rPr>
                <w:sz w:val="22"/>
                <w:szCs w:val="22"/>
              </w:rPr>
              <w:t>(0,24)</w:t>
            </w:r>
          </w:p>
        </w:tc>
        <w:tc>
          <w:tcPr>
            <w:tcW w:w="2460" w:type="dxa"/>
            <w:tcBorders>
              <w:top w:val="nil"/>
            </w:tcBorders>
          </w:tcPr>
          <w:p w14:paraId="37BCEB3C" w14:textId="77777777" w:rsidR="00F61E6E" w:rsidRPr="00F21719" w:rsidRDefault="00F61E6E" w:rsidP="00B24633">
            <w:pPr>
              <w:widowControl w:val="0"/>
              <w:autoSpaceDE w:val="0"/>
              <w:autoSpaceDN w:val="0"/>
              <w:spacing w:line="228" w:lineRule="exact"/>
              <w:ind w:left="107"/>
              <w:jc w:val="center"/>
              <w:rPr>
                <w:sz w:val="22"/>
                <w:szCs w:val="22"/>
              </w:rPr>
            </w:pPr>
            <w:r w:rsidRPr="00F21719">
              <w:rPr>
                <w:sz w:val="22"/>
                <w:szCs w:val="22"/>
              </w:rPr>
              <w:t>(0,48)</w:t>
            </w:r>
          </w:p>
        </w:tc>
        <w:tc>
          <w:tcPr>
            <w:tcW w:w="1800" w:type="dxa"/>
            <w:tcBorders>
              <w:top w:val="nil"/>
            </w:tcBorders>
          </w:tcPr>
          <w:p w14:paraId="65993882" w14:textId="77777777" w:rsidR="00F61E6E" w:rsidRPr="00F21719" w:rsidRDefault="00F61E6E" w:rsidP="00B24633">
            <w:pPr>
              <w:widowControl w:val="0"/>
              <w:autoSpaceDE w:val="0"/>
              <w:autoSpaceDN w:val="0"/>
              <w:spacing w:line="228" w:lineRule="exact"/>
              <w:ind w:left="107"/>
              <w:jc w:val="center"/>
              <w:rPr>
                <w:sz w:val="22"/>
                <w:szCs w:val="22"/>
              </w:rPr>
            </w:pPr>
            <w:r w:rsidRPr="00F21719">
              <w:rPr>
                <w:sz w:val="22"/>
                <w:szCs w:val="22"/>
              </w:rPr>
              <w:t>0,003</w:t>
            </w:r>
          </w:p>
        </w:tc>
      </w:tr>
      <w:tr w:rsidR="00F61E6E" w:rsidRPr="00F21719" w14:paraId="4E29FBEA" w14:textId="77777777" w:rsidTr="00B24633">
        <w:trPr>
          <w:trHeight w:val="252"/>
        </w:trPr>
        <w:tc>
          <w:tcPr>
            <w:tcW w:w="2686" w:type="dxa"/>
            <w:vMerge w:val="restart"/>
          </w:tcPr>
          <w:p w14:paraId="6FF4211E" w14:textId="77777777" w:rsidR="00F61E6E" w:rsidRPr="00F21719" w:rsidRDefault="00F61E6E" w:rsidP="00B24633">
            <w:pPr>
              <w:widowControl w:val="0"/>
              <w:numPr>
                <w:ilvl w:val="0"/>
                <w:numId w:val="8"/>
              </w:numPr>
              <w:autoSpaceDE w:val="0"/>
              <w:autoSpaceDN w:val="0"/>
              <w:spacing w:before="125"/>
              <w:rPr>
                <w:sz w:val="22"/>
                <w:szCs w:val="22"/>
              </w:rPr>
            </w:pPr>
            <w:r w:rsidRPr="00F21719">
              <w:rPr>
                <w:sz w:val="22"/>
                <w:szCs w:val="22"/>
              </w:rPr>
              <w:t>Kritisk</w:t>
            </w:r>
            <w:r w:rsidRPr="00F21719">
              <w:rPr>
                <w:spacing w:val="-3"/>
                <w:sz w:val="22"/>
                <w:szCs w:val="22"/>
              </w:rPr>
              <w:t xml:space="preserve"> </w:t>
            </w:r>
            <w:r w:rsidRPr="00F21719">
              <w:rPr>
                <w:sz w:val="22"/>
                <w:szCs w:val="22"/>
              </w:rPr>
              <w:t>organblødning*</w:t>
            </w:r>
          </w:p>
        </w:tc>
        <w:tc>
          <w:tcPr>
            <w:tcW w:w="2414" w:type="dxa"/>
            <w:tcBorders>
              <w:bottom w:val="nil"/>
            </w:tcBorders>
          </w:tcPr>
          <w:p w14:paraId="03A779DB"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91</w:t>
            </w:r>
          </w:p>
        </w:tc>
        <w:tc>
          <w:tcPr>
            <w:tcW w:w="2460" w:type="dxa"/>
            <w:tcBorders>
              <w:bottom w:val="nil"/>
            </w:tcBorders>
          </w:tcPr>
          <w:p w14:paraId="4AFA8712"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133</w:t>
            </w:r>
          </w:p>
        </w:tc>
        <w:tc>
          <w:tcPr>
            <w:tcW w:w="1800" w:type="dxa"/>
            <w:tcBorders>
              <w:bottom w:val="nil"/>
            </w:tcBorders>
          </w:tcPr>
          <w:p w14:paraId="081CA671"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0,69</w:t>
            </w:r>
            <w:r w:rsidRPr="00F21719">
              <w:rPr>
                <w:spacing w:val="-1"/>
                <w:sz w:val="22"/>
                <w:szCs w:val="22"/>
              </w:rPr>
              <w:t xml:space="preserve"> </w:t>
            </w:r>
            <w:r w:rsidRPr="00F21719">
              <w:rPr>
                <w:sz w:val="22"/>
                <w:szCs w:val="22"/>
              </w:rPr>
              <w:t>(0,53 </w:t>
            </w:r>
            <w:r w:rsidRPr="00F21719">
              <w:rPr>
                <w:color w:val="000000"/>
                <w:sz w:val="22"/>
                <w:szCs w:val="22"/>
                <w:lang w:eastAsia="en-GB"/>
              </w:rPr>
              <w:t>– </w:t>
            </w:r>
            <w:r w:rsidRPr="00F21719">
              <w:rPr>
                <w:sz w:val="22"/>
                <w:szCs w:val="22"/>
              </w:rPr>
              <w:t>0,91)</w:t>
            </w:r>
          </w:p>
        </w:tc>
      </w:tr>
      <w:tr w:rsidR="00F61E6E" w:rsidRPr="00F21719" w14:paraId="464C7FC4" w14:textId="77777777" w:rsidTr="00B24633">
        <w:trPr>
          <w:trHeight w:val="243"/>
        </w:trPr>
        <w:tc>
          <w:tcPr>
            <w:tcW w:w="2686" w:type="dxa"/>
            <w:vMerge/>
            <w:tcBorders>
              <w:top w:val="nil"/>
            </w:tcBorders>
          </w:tcPr>
          <w:p w14:paraId="3BB2290F" w14:textId="77777777" w:rsidR="00F61E6E" w:rsidRPr="00F21719" w:rsidRDefault="00F61E6E" w:rsidP="00B24633">
            <w:pPr>
              <w:widowControl w:val="0"/>
              <w:autoSpaceDE w:val="0"/>
              <w:autoSpaceDN w:val="0"/>
              <w:rPr>
                <w:sz w:val="22"/>
                <w:szCs w:val="22"/>
              </w:rPr>
            </w:pPr>
          </w:p>
        </w:tc>
        <w:tc>
          <w:tcPr>
            <w:tcW w:w="2414" w:type="dxa"/>
            <w:tcBorders>
              <w:top w:val="nil"/>
            </w:tcBorders>
          </w:tcPr>
          <w:p w14:paraId="3CDDF140" w14:textId="77777777" w:rsidR="00F61E6E" w:rsidRPr="00F21719" w:rsidRDefault="00F61E6E" w:rsidP="00B24633">
            <w:pPr>
              <w:widowControl w:val="0"/>
              <w:autoSpaceDE w:val="0"/>
              <w:autoSpaceDN w:val="0"/>
              <w:spacing w:line="223" w:lineRule="exact"/>
              <w:ind w:left="107"/>
              <w:jc w:val="center"/>
              <w:rPr>
                <w:sz w:val="22"/>
                <w:szCs w:val="22"/>
              </w:rPr>
            </w:pPr>
            <w:r w:rsidRPr="00F21719">
              <w:rPr>
                <w:sz w:val="22"/>
                <w:szCs w:val="22"/>
              </w:rPr>
              <w:t>(0,82)</w:t>
            </w:r>
          </w:p>
        </w:tc>
        <w:tc>
          <w:tcPr>
            <w:tcW w:w="2460" w:type="dxa"/>
            <w:tcBorders>
              <w:top w:val="nil"/>
            </w:tcBorders>
          </w:tcPr>
          <w:p w14:paraId="297D050F" w14:textId="77777777" w:rsidR="00F61E6E" w:rsidRPr="00F21719" w:rsidRDefault="00F61E6E" w:rsidP="00B24633">
            <w:pPr>
              <w:widowControl w:val="0"/>
              <w:autoSpaceDE w:val="0"/>
              <w:autoSpaceDN w:val="0"/>
              <w:spacing w:line="223" w:lineRule="exact"/>
              <w:ind w:left="107"/>
              <w:jc w:val="center"/>
              <w:rPr>
                <w:sz w:val="22"/>
                <w:szCs w:val="22"/>
              </w:rPr>
            </w:pPr>
            <w:r w:rsidRPr="00F21719">
              <w:rPr>
                <w:sz w:val="22"/>
                <w:szCs w:val="22"/>
              </w:rPr>
              <w:t>(1,18)</w:t>
            </w:r>
          </w:p>
        </w:tc>
        <w:tc>
          <w:tcPr>
            <w:tcW w:w="1800" w:type="dxa"/>
            <w:tcBorders>
              <w:top w:val="nil"/>
            </w:tcBorders>
          </w:tcPr>
          <w:p w14:paraId="3C37DE00" w14:textId="77777777" w:rsidR="00F61E6E" w:rsidRPr="00F21719" w:rsidRDefault="00F61E6E" w:rsidP="00B24633">
            <w:pPr>
              <w:widowControl w:val="0"/>
              <w:autoSpaceDE w:val="0"/>
              <w:autoSpaceDN w:val="0"/>
              <w:spacing w:line="223" w:lineRule="exact"/>
              <w:ind w:left="107"/>
              <w:jc w:val="center"/>
              <w:rPr>
                <w:sz w:val="22"/>
                <w:szCs w:val="22"/>
              </w:rPr>
            </w:pPr>
            <w:r w:rsidRPr="00F21719">
              <w:rPr>
                <w:sz w:val="22"/>
                <w:szCs w:val="22"/>
              </w:rPr>
              <w:t>0,007</w:t>
            </w:r>
          </w:p>
        </w:tc>
      </w:tr>
      <w:tr w:rsidR="00F61E6E" w:rsidRPr="00F21719" w14:paraId="1266ACEB" w14:textId="77777777" w:rsidTr="00B24633">
        <w:trPr>
          <w:trHeight w:val="252"/>
        </w:trPr>
        <w:tc>
          <w:tcPr>
            <w:tcW w:w="2686" w:type="dxa"/>
          </w:tcPr>
          <w:p w14:paraId="7FCE4CE7" w14:textId="77777777" w:rsidR="00F61E6E" w:rsidRPr="00F21719" w:rsidRDefault="00F61E6E" w:rsidP="00B24633">
            <w:pPr>
              <w:widowControl w:val="0"/>
              <w:numPr>
                <w:ilvl w:val="0"/>
                <w:numId w:val="8"/>
              </w:numPr>
              <w:autoSpaceDE w:val="0"/>
              <w:autoSpaceDN w:val="0"/>
              <w:spacing w:line="233" w:lineRule="exact"/>
              <w:rPr>
                <w:sz w:val="22"/>
                <w:szCs w:val="22"/>
              </w:rPr>
            </w:pPr>
            <w:r w:rsidRPr="00F21719">
              <w:rPr>
                <w:sz w:val="22"/>
                <w:szCs w:val="22"/>
              </w:rPr>
              <w:t>Intrakraniel</w:t>
            </w:r>
            <w:r w:rsidRPr="00F21719">
              <w:rPr>
                <w:spacing w:val="-2"/>
                <w:sz w:val="22"/>
                <w:szCs w:val="22"/>
              </w:rPr>
              <w:t xml:space="preserve"> </w:t>
            </w:r>
            <w:r w:rsidRPr="00F21719">
              <w:rPr>
                <w:sz w:val="22"/>
                <w:szCs w:val="22"/>
              </w:rPr>
              <w:t>blødning*</w:t>
            </w:r>
          </w:p>
        </w:tc>
        <w:tc>
          <w:tcPr>
            <w:tcW w:w="2414" w:type="dxa"/>
          </w:tcPr>
          <w:p w14:paraId="28693DCB"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55</w:t>
            </w:r>
          </w:p>
          <w:p w14:paraId="68746298"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(0,49)</w:t>
            </w:r>
          </w:p>
        </w:tc>
        <w:tc>
          <w:tcPr>
            <w:tcW w:w="2460" w:type="dxa"/>
          </w:tcPr>
          <w:p w14:paraId="53F756DB"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84</w:t>
            </w:r>
          </w:p>
          <w:p w14:paraId="52CBF024"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(0,74)</w:t>
            </w:r>
          </w:p>
        </w:tc>
        <w:tc>
          <w:tcPr>
            <w:tcW w:w="1800" w:type="dxa"/>
          </w:tcPr>
          <w:p w14:paraId="74C87416"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0,67</w:t>
            </w:r>
            <w:r w:rsidRPr="00F21719">
              <w:rPr>
                <w:spacing w:val="-1"/>
                <w:sz w:val="22"/>
                <w:szCs w:val="22"/>
              </w:rPr>
              <w:t xml:space="preserve"> </w:t>
            </w:r>
            <w:r w:rsidRPr="00F21719">
              <w:rPr>
                <w:sz w:val="22"/>
                <w:szCs w:val="22"/>
              </w:rPr>
              <w:t>(0,47 </w:t>
            </w:r>
            <w:r w:rsidRPr="00F21719">
              <w:rPr>
                <w:color w:val="000000"/>
                <w:sz w:val="22"/>
                <w:szCs w:val="22"/>
                <w:lang w:eastAsia="en-GB"/>
              </w:rPr>
              <w:t>– </w:t>
            </w:r>
            <w:r w:rsidRPr="00F21719">
              <w:rPr>
                <w:sz w:val="22"/>
                <w:szCs w:val="22"/>
              </w:rPr>
              <w:t>0,93)</w:t>
            </w:r>
          </w:p>
          <w:p w14:paraId="491A561F" w14:textId="77777777" w:rsidR="00F61E6E" w:rsidRPr="00F21719" w:rsidRDefault="00F61E6E" w:rsidP="00B24633">
            <w:pPr>
              <w:widowControl w:val="0"/>
              <w:autoSpaceDE w:val="0"/>
              <w:autoSpaceDN w:val="0"/>
              <w:spacing w:line="233" w:lineRule="exact"/>
              <w:ind w:left="107"/>
              <w:jc w:val="center"/>
              <w:rPr>
                <w:sz w:val="22"/>
                <w:szCs w:val="22"/>
              </w:rPr>
            </w:pPr>
            <w:r w:rsidRPr="00F21719">
              <w:rPr>
                <w:sz w:val="22"/>
                <w:szCs w:val="22"/>
              </w:rPr>
              <w:t>0,019</w:t>
            </w:r>
          </w:p>
        </w:tc>
      </w:tr>
      <w:tr w:rsidR="00F61E6E" w:rsidRPr="00F21719" w14:paraId="05DDBD73" w14:textId="77777777" w:rsidTr="00B24633">
        <w:trPr>
          <w:trHeight w:val="506"/>
        </w:trPr>
        <w:tc>
          <w:tcPr>
            <w:tcW w:w="2686" w:type="dxa"/>
          </w:tcPr>
          <w:p w14:paraId="08047C0E" w14:textId="77777777" w:rsidR="00F61E6E" w:rsidRPr="00F21719" w:rsidRDefault="00F61E6E" w:rsidP="00B24633">
            <w:pPr>
              <w:widowControl w:val="0"/>
              <w:numPr>
                <w:ilvl w:val="0"/>
                <w:numId w:val="8"/>
              </w:numPr>
              <w:autoSpaceDE w:val="0"/>
              <w:autoSpaceDN w:val="0"/>
              <w:spacing w:before="122"/>
              <w:rPr>
                <w:sz w:val="22"/>
                <w:szCs w:val="22"/>
              </w:rPr>
            </w:pPr>
            <w:r w:rsidRPr="00F21719">
              <w:rPr>
                <w:sz w:val="22"/>
                <w:szCs w:val="22"/>
              </w:rPr>
              <w:t>Hæmoglobin-infusion*</w:t>
            </w:r>
          </w:p>
        </w:tc>
        <w:tc>
          <w:tcPr>
            <w:tcW w:w="2414" w:type="dxa"/>
          </w:tcPr>
          <w:p w14:paraId="2F17DFE8"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305</w:t>
            </w:r>
          </w:p>
          <w:p w14:paraId="41F59150"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(2,77)</w:t>
            </w:r>
          </w:p>
        </w:tc>
        <w:tc>
          <w:tcPr>
            <w:tcW w:w="2460" w:type="dxa"/>
          </w:tcPr>
          <w:p w14:paraId="04D46F3A"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254</w:t>
            </w:r>
          </w:p>
          <w:p w14:paraId="64BBAA48"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(2,26)</w:t>
            </w:r>
          </w:p>
        </w:tc>
        <w:tc>
          <w:tcPr>
            <w:tcW w:w="1800" w:type="dxa"/>
          </w:tcPr>
          <w:p w14:paraId="0E807E6D"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1,22</w:t>
            </w:r>
            <w:r w:rsidRPr="00F21719">
              <w:rPr>
                <w:spacing w:val="-1"/>
                <w:sz w:val="22"/>
                <w:szCs w:val="22"/>
              </w:rPr>
              <w:t xml:space="preserve"> </w:t>
            </w:r>
            <w:r w:rsidRPr="00F21719">
              <w:rPr>
                <w:sz w:val="22"/>
                <w:szCs w:val="22"/>
              </w:rPr>
              <w:t>(1,03 </w:t>
            </w:r>
            <w:r w:rsidRPr="00F21719">
              <w:rPr>
                <w:color w:val="000000"/>
                <w:sz w:val="22"/>
                <w:szCs w:val="22"/>
                <w:lang w:eastAsia="en-GB"/>
              </w:rPr>
              <w:t>– </w:t>
            </w:r>
            <w:r w:rsidRPr="00F21719">
              <w:rPr>
                <w:sz w:val="22"/>
                <w:szCs w:val="22"/>
              </w:rPr>
              <w:t>1,44)</w:t>
            </w:r>
          </w:p>
          <w:p w14:paraId="727ECF25"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0,019</w:t>
            </w:r>
          </w:p>
        </w:tc>
      </w:tr>
      <w:tr w:rsidR="00F61E6E" w:rsidRPr="00F21719" w14:paraId="3EF9325A" w14:textId="77777777" w:rsidTr="00B24633">
        <w:trPr>
          <w:trHeight w:val="1012"/>
        </w:trPr>
        <w:tc>
          <w:tcPr>
            <w:tcW w:w="2686" w:type="dxa"/>
          </w:tcPr>
          <w:p w14:paraId="26B993C2" w14:textId="77777777" w:rsidR="00F61E6E" w:rsidRPr="00F21719" w:rsidRDefault="00F61E6E" w:rsidP="00B24633">
            <w:pPr>
              <w:widowControl w:val="0"/>
              <w:numPr>
                <w:ilvl w:val="0"/>
                <w:numId w:val="8"/>
              </w:numPr>
              <w:autoSpaceDE w:val="0"/>
              <w:autoSpaceDN w:val="0"/>
              <w:rPr>
                <w:sz w:val="22"/>
                <w:szCs w:val="22"/>
              </w:rPr>
            </w:pPr>
            <w:r w:rsidRPr="00F21719">
              <w:rPr>
                <w:sz w:val="22"/>
                <w:szCs w:val="22"/>
              </w:rPr>
              <w:t>Transfusion af 2 eller</w:t>
            </w:r>
            <w:r w:rsidRPr="00F21719">
              <w:rPr>
                <w:spacing w:val="1"/>
                <w:sz w:val="22"/>
                <w:szCs w:val="22"/>
              </w:rPr>
              <w:t xml:space="preserve"> </w:t>
            </w:r>
            <w:r w:rsidRPr="00F21719">
              <w:rPr>
                <w:sz w:val="22"/>
                <w:szCs w:val="22"/>
              </w:rPr>
              <w:t>flere enheder pakkede</w:t>
            </w:r>
            <w:r w:rsidRPr="00F21719">
              <w:rPr>
                <w:spacing w:val="-52"/>
                <w:sz w:val="22"/>
                <w:szCs w:val="22"/>
              </w:rPr>
              <w:t xml:space="preserve"> </w:t>
            </w:r>
            <w:r w:rsidRPr="00F21719">
              <w:rPr>
                <w:sz w:val="22"/>
                <w:szCs w:val="22"/>
              </w:rPr>
              <w:t>røde</w:t>
            </w:r>
            <w:r w:rsidRPr="00F21719">
              <w:rPr>
                <w:spacing w:val="-3"/>
                <w:sz w:val="22"/>
                <w:szCs w:val="22"/>
              </w:rPr>
              <w:t xml:space="preserve"> </w:t>
            </w:r>
            <w:r w:rsidRPr="00F21719">
              <w:rPr>
                <w:sz w:val="22"/>
                <w:szCs w:val="22"/>
              </w:rPr>
              <w:t>blodceller</w:t>
            </w:r>
            <w:r w:rsidRPr="00F21719">
              <w:rPr>
                <w:spacing w:val="-2"/>
                <w:sz w:val="22"/>
                <w:szCs w:val="22"/>
              </w:rPr>
              <w:t xml:space="preserve"> </w:t>
            </w:r>
            <w:r w:rsidRPr="00F21719">
              <w:rPr>
                <w:sz w:val="22"/>
                <w:szCs w:val="22"/>
              </w:rPr>
              <w:t>eller helblod*</w:t>
            </w:r>
          </w:p>
        </w:tc>
        <w:tc>
          <w:tcPr>
            <w:tcW w:w="2414" w:type="dxa"/>
          </w:tcPr>
          <w:p w14:paraId="38664F0C"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183</w:t>
            </w:r>
          </w:p>
          <w:p w14:paraId="47F34378" w14:textId="77777777" w:rsidR="00F61E6E" w:rsidRPr="00F21719" w:rsidRDefault="00F61E6E" w:rsidP="00B24633">
            <w:pPr>
              <w:widowControl w:val="0"/>
              <w:autoSpaceDE w:val="0"/>
              <w:autoSpaceDN w:val="0"/>
              <w:ind w:left="107"/>
              <w:jc w:val="center"/>
              <w:rPr>
                <w:sz w:val="22"/>
                <w:szCs w:val="22"/>
              </w:rPr>
            </w:pPr>
            <w:r w:rsidRPr="00F21719">
              <w:rPr>
                <w:sz w:val="22"/>
                <w:szCs w:val="22"/>
              </w:rPr>
              <w:t>(1,65)</w:t>
            </w:r>
          </w:p>
        </w:tc>
        <w:tc>
          <w:tcPr>
            <w:tcW w:w="2460" w:type="dxa"/>
          </w:tcPr>
          <w:p w14:paraId="5A7030B4"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149</w:t>
            </w:r>
          </w:p>
          <w:p w14:paraId="1D0948A0" w14:textId="77777777" w:rsidR="00F61E6E" w:rsidRPr="00F21719" w:rsidRDefault="00F61E6E" w:rsidP="00B24633">
            <w:pPr>
              <w:widowControl w:val="0"/>
              <w:autoSpaceDE w:val="0"/>
              <w:autoSpaceDN w:val="0"/>
              <w:ind w:left="107"/>
              <w:jc w:val="center"/>
              <w:rPr>
                <w:sz w:val="22"/>
                <w:szCs w:val="22"/>
              </w:rPr>
            </w:pPr>
            <w:r w:rsidRPr="00F21719">
              <w:rPr>
                <w:sz w:val="22"/>
                <w:szCs w:val="22"/>
              </w:rPr>
              <w:t>(1,32)</w:t>
            </w:r>
          </w:p>
        </w:tc>
        <w:tc>
          <w:tcPr>
            <w:tcW w:w="1800" w:type="dxa"/>
          </w:tcPr>
          <w:p w14:paraId="0833F6CC"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1,25</w:t>
            </w:r>
            <w:r w:rsidRPr="00F21719">
              <w:rPr>
                <w:spacing w:val="-1"/>
                <w:sz w:val="22"/>
                <w:szCs w:val="22"/>
              </w:rPr>
              <w:t xml:space="preserve"> </w:t>
            </w:r>
            <w:r w:rsidRPr="00F21719">
              <w:rPr>
                <w:sz w:val="22"/>
                <w:szCs w:val="22"/>
              </w:rPr>
              <w:t>(1,01 </w:t>
            </w:r>
            <w:r w:rsidRPr="00F21719">
              <w:rPr>
                <w:color w:val="000000"/>
                <w:sz w:val="22"/>
                <w:szCs w:val="22"/>
                <w:lang w:eastAsia="en-GB"/>
              </w:rPr>
              <w:t>– </w:t>
            </w:r>
            <w:r w:rsidRPr="00F21719">
              <w:rPr>
                <w:sz w:val="22"/>
                <w:szCs w:val="22"/>
              </w:rPr>
              <w:t>1,55)</w:t>
            </w:r>
          </w:p>
          <w:p w14:paraId="4C8FAD53" w14:textId="77777777" w:rsidR="00F61E6E" w:rsidRPr="00F21719" w:rsidRDefault="00F61E6E" w:rsidP="00B24633">
            <w:pPr>
              <w:widowControl w:val="0"/>
              <w:autoSpaceDE w:val="0"/>
              <w:autoSpaceDN w:val="0"/>
              <w:ind w:left="107"/>
              <w:jc w:val="center"/>
              <w:rPr>
                <w:sz w:val="22"/>
                <w:szCs w:val="22"/>
              </w:rPr>
            </w:pPr>
            <w:r w:rsidRPr="00F21719">
              <w:rPr>
                <w:sz w:val="22"/>
                <w:szCs w:val="22"/>
              </w:rPr>
              <w:t>0,044</w:t>
            </w:r>
          </w:p>
        </w:tc>
      </w:tr>
      <w:tr w:rsidR="00F61E6E" w:rsidRPr="00F21719" w14:paraId="55217877" w14:textId="77777777" w:rsidTr="00B24633">
        <w:trPr>
          <w:trHeight w:val="506"/>
        </w:trPr>
        <w:tc>
          <w:tcPr>
            <w:tcW w:w="2686" w:type="dxa"/>
          </w:tcPr>
          <w:p w14:paraId="790D816E" w14:textId="77777777" w:rsidR="00F61E6E" w:rsidRPr="00F21719" w:rsidRDefault="00F61E6E" w:rsidP="00B24633">
            <w:pPr>
              <w:widowControl w:val="0"/>
              <w:autoSpaceDE w:val="0"/>
              <w:autoSpaceDN w:val="0"/>
              <w:spacing w:line="248" w:lineRule="exact"/>
              <w:ind w:left="107"/>
              <w:rPr>
                <w:sz w:val="22"/>
                <w:szCs w:val="22"/>
              </w:rPr>
            </w:pPr>
            <w:r w:rsidRPr="00F21719">
              <w:rPr>
                <w:sz w:val="22"/>
                <w:szCs w:val="22"/>
              </w:rPr>
              <w:t>Mindre</w:t>
            </w:r>
            <w:r w:rsidRPr="00F21719">
              <w:rPr>
                <w:spacing w:val="-3"/>
                <w:sz w:val="22"/>
                <w:szCs w:val="22"/>
              </w:rPr>
              <w:t xml:space="preserve"> </w:t>
            </w:r>
            <w:r w:rsidRPr="00F21719">
              <w:rPr>
                <w:sz w:val="22"/>
                <w:szCs w:val="22"/>
              </w:rPr>
              <w:t>klinisk</w:t>
            </w:r>
            <w:r w:rsidRPr="00F21719">
              <w:rPr>
                <w:spacing w:val="-1"/>
                <w:sz w:val="22"/>
                <w:szCs w:val="22"/>
              </w:rPr>
              <w:t xml:space="preserve"> </w:t>
            </w:r>
            <w:r w:rsidRPr="00F21719">
              <w:rPr>
                <w:sz w:val="22"/>
                <w:szCs w:val="22"/>
              </w:rPr>
              <w:t>relevante</w:t>
            </w:r>
          </w:p>
          <w:p w14:paraId="162B57E4" w14:textId="77777777" w:rsidR="00F61E6E" w:rsidRPr="00F21719" w:rsidRDefault="00F61E6E" w:rsidP="00B24633">
            <w:pPr>
              <w:widowControl w:val="0"/>
              <w:autoSpaceDE w:val="0"/>
              <w:autoSpaceDN w:val="0"/>
              <w:spacing w:line="238" w:lineRule="exact"/>
              <w:ind w:left="107"/>
              <w:rPr>
                <w:sz w:val="22"/>
                <w:szCs w:val="22"/>
              </w:rPr>
            </w:pPr>
            <w:r w:rsidRPr="00F21719">
              <w:rPr>
                <w:sz w:val="22"/>
                <w:szCs w:val="22"/>
              </w:rPr>
              <w:t>blødninger</w:t>
            </w:r>
          </w:p>
        </w:tc>
        <w:tc>
          <w:tcPr>
            <w:tcW w:w="2414" w:type="dxa"/>
          </w:tcPr>
          <w:p w14:paraId="17D79448"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1.185</w:t>
            </w:r>
          </w:p>
          <w:p w14:paraId="44604873"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(11,80)</w:t>
            </w:r>
          </w:p>
        </w:tc>
        <w:tc>
          <w:tcPr>
            <w:tcW w:w="2460" w:type="dxa"/>
          </w:tcPr>
          <w:p w14:paraId="3CC849C1"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1.151</w:t>
            </w:r>
          </w:p>
          <w:p w14:paraId="6AC2531E"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(11,37)</w:t>
            </w:r>
          </w:p>
        </w:tc>
        <w:tc>
          <w:tcPr>
            <w:tcW w:w="1800" w:type="dxa"/>
          </w:tcPr>
          <w:p w14:paraId="3BFB9637"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1,04</w:t>
            </w:r>
            <w:r w:rsidRPr="00F21719">
              <w:rPr>
                <w:spacing w:val="-1"/>
                <w:sz w:val="22"/>
                <w:szCs w:val="22"/>
              </w:rPr>
              <w:t xml:space="preserve"> </w:t>
            </w:r>
            <w:r w:rsidRPr="00F21719">
              <w:rPr>
                <w:sz w:val="22"/>
                <w:szCs w:val="22"/>
              </w:rPr>
              <w:t>(0,96 </w:t>
            </w:r>
            <w:r w:rsidRPr="00F21719">
              <w:rPr>
                <w:color w:val="000000"/>
                <w:sz w:val="22"/>
                <w:szCs w:val="22"/>
                <w:lang w:eastAsia="en-GB"/>
              </w:rPr>
              <w:t>– </w:t>
            </w:r>
            <w:r w:rsidRPr="00F21719">
              <w:rPr>
                <w:sz w:val="22"/>
                <w:szCs w:val="22"/>
              </w:rPr>
              <w:t>1,13)</w:t>
            </w:r>
          </w:p>
          <w:p w14:paraId="3DBEA089"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0,345</w:t>
            </w:r>
          </w:p>
        </w:tc>
      </w:tr>
      <w:tr w:rsidR="00F61E6E" w:rsidRPr="00F21719" w14:paraId="4ACB613A" w14:textId="77777777" w:rsidTr="00B24633">
        <w:trPr>
          <w:trHeight w:val="505"/>
        </w:trPr>
        <w:tc>
          <w:tcPr>
            <w:tcW w:w="2686" w:type="dxa"/>
          </w:tcPr>
          <w:p w14:paraId="00175F20" w14:textId="77777777" w:rsidR="00F61E6E" w:rsidRPr="00F21719" w:rsidRDefault="00F61E6E" w:rsidP="00B24633">
            <w:pPr>
              <w:widowControl w:val="0"/>
              <w:autoSpaceDE w:val="0"/>
              <w:autoSpaceDN w:val="0"/>
              <w:spacing w:before="121"/>
              <w:ind w:left="107"/>
              <w:rPr>
                <w:sz w:val="22"/>
                <w:szCs w:val="22"/>
              </w:rPr>
            </w:pPr>
            <w:r w:rsidRPr="00F21719">
              <w:rPr>
                <w:sz w:val="22"/>
                <w:szCs w:val="22"/>
              </w:rPr>
              <w:t>Død</w:t>
            </w:r>
            <w:r w:rsidRPr="00F21719">
              <w:rPr>
                <w:spacing w:val="-2"/>
                <w:sz w:val="22"/>
                <w:szCs w:val="22"/>
              </w:rPr>
              <w:t xml:space="preserve"> </w:t>
            </w:r>
            <w:r w:rsidRPr="00F21719">
              <w:rPr>
                <w:sz w:val="22"/>
                <w:szCs w:val="22"/>
              </w:rPr>
              <w:t>uanset</w:t>
            </w:r>
            <w:r w:rsidRPr="00F21719">
              <w:rPr>
                <w:spacing w:val="-2"/>
                <w:sz w:val="22"/>
                <w:szCs w:val="22"/>
              </w:rPr>
              <w:t xml:space="preserve"> år</w:t>
            </w:r>
            <w:r w:rsidRPr="00F21719">
              <w:rPr>
                <w:sz w:val="22"/>
                <w:szCs w:val="22"/>
              </w:rPr>
              <w:t>sag</w:t>
            </w:r>
          </w:p>
        </w:tc>
        <w:tc>
          <w:tcPr>
            <w:tcW w:w="2414" w:type="dxa"/>
          </w:tcPr>
          <w:p w14:paraId="1BA905B3"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208</w:t>
            </w:r>
          </w:p>
          <w:p w14:paraId="3E4C6AE9"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(1,87)</w:t>
            </w:r>
          </w:p>
        </w:tc>
        <w:tc>
          <w:tcPr>
            <w:tcW w:w="2460" w:type="dxa"/>
          </w:tcPr>
          <w:p w14:paraId="14AE4DAE"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250</w:t>
            </w:r>
          </w:p>
          <w:p w14:paraId="7DE6C84D"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(2,21)</w:t>
            </w:r>
          </w:p>
        </w:tc>
        <w:tc>
          <w:tcPr>
            <w:tcW w:w="1800" w:type="dxa"/>
          </w:tcPr>
          <w:p w14:paraId="199F25BD" w14:textId="77777777" w:rsidR="00F61E6E" w:rsidRPr="00F21719" w:rsidRDefault="00F61E6E" w:rsidP="00B24633">
            <w:pPr>
              <w:widowControl w:val="0"/>
              <w:autoSpaceDE w:val="0"/>
              <w:autoSpaceDN w:val="0"/>
              <w:spacing w:line="248" w:lineRule="exact"/>
              <w:ind w:left="107"/>
              <w:jc w:val="center"/>
              <w:rPr>
                <w:sz w:val="22"/>
                <w:szCs w:val="22"/>
              </w:rPr>
            </w:pPr>
            <w:r w:rsidRPr="00F21719">
              <w:rPr>
                <w:sz w:val="22"/>
                <w:szCs w:val="22"/>
              </w:rPr>
              <w:t>0,85</w:t>
            </w:r>
            <w:r w:rsidRPr="00F21719">
              <w:rPr>
                <w:spacing w:val="-1"/>
                <w:sz w:val="22"/>
                <w:szCs w:val="22"/>
              </w:rPr>
              <w:t xml:space="preserve"> </w:t>
            </w:r>
            <w:r w:rsidRPr="00F21719">
              <w:rPr>
                <w:sz w:val="22"/>
                <w:szCs w:val="22"/>
              </w:rPr>
              <w:t>(0,70 </w:t>
            </w:r>
            <w:r w:rsidRPr="00F21719">
              <w:rPr>
                <w:color w:val="000000"/>
                <w:sz w:val="22"/>
                <w:szCs w:val="22"/>
                <w:lang w:eastAsia="en-GB"/>
              </w:rPr>
              <w:t>– </w:t>
            </w:r>
            <w:r w:rsidRPr="00F21719">
              <w:rPr>
                <w:sz w:val="22"/>
                <w:szCs w:val="22"/>
              </w:rPr>
              <w:t>1,02)</w:t>
            </w:r>
          </w:p>
          <w:p w14:paraId="09778F91" w14:textId="77777777" w:rsidR="00F61E6E" w:rsidRPr="00F21719" w:rsidRDefault="00F61E6E" w:rsidP="00B24633">
            <w:pPr>
              <w:widowControl w:val="0"/>
              <w:autoSpaceDE w:val="0"/>
              <w:autoSpaceDN w:val="0"/>
              <w:spacing w:line="238" w:lineRule="exact"/>
              <w:ind w:left="107"/>
              <w:jc w:val="center"/>
              <w:rPr>
                <w:sz w:val="22"/>
                <w:szCs w:val="22"/>
              </w:rPr>
            </w:pPr>
            <w:r w:rsidRPr="00F21719">
              <w:rPr>
                <w:sz w:val="22"/>
                <w:szCs w:val="22"/>
              </w:rPr>
              <w:t>0,073</w:t>
            </w:r>
          </w:p>
        </w:tc>
      </w:tr>
    </w:tbl>
    <w:p w14:paraId="775DC6B5" w14:textId="77777777" w:rsidR="00F61E6E" w:rsidRPr="00F21719" w:rsidRDefault="00F61E6E" w:rsidP="00B24633">
      <w:pPr>
        <w:tabs>
          <w:tab w:val="left" w:pos="851"/>
        </w:tabs>
        <w:ind w:left="851"/>
        <w:rPr>
          <w:sz w:val="22"/>
          <w:szCs w:val="22"/>
        </w:rPr>
      </w:pPr>
      <w:r w:rsidRPr="00F21719">
        <w:rPr>
          <w:sz w:val="22"/>
          <w:szCs w:val="22"/>
          <w:vertAlign w:val="superscript"/>
        </w:rPr>
        <w:t>a)</w:t>
      </w:r>
      <w:r w:rsidRPr="00F21719">
        <w:rPr>
          <w:sz w:val="22"/>
          <w:szCs w:val="22"/>
        </w:rPr>
        <w:t xml:space="preserve"> Sikkerhedspopulation, ved behandling</w:t>
      </w:r>
    </w:p>
    <w:p w14:paraId="639D0962" w14:textId="77777777" w:rsidR="00F61E6E" w:rsidRPr="00F21719" w:rsidRDefault="00F61E6E" w:rsidP="00B24633">
      <w:pPr>
        <w:tabs>
          <w:tab w:val="left" w:pos="851"/>
        </w:tabs>
        <w:ind w:left="851"/>
        <w:rPr>
          <w:sz w:val="22"/>
          <w:szCs w:val="22"/>
        </w:rPr>
      </w:pPr>
      <w:r w:rsidRPr="00F21719">
        <w:rPr>
          <w:sz w:val="22"/>
          <w:szCs w:val="22"/>
        </w:rPr>
        <w:t>* Nominelt signifikant</w:t>
      </w:r>
    </w:p>
    <w:p w14:paraId="1A7DE9B8" w14:textId="77777777" w:rsidR="00F61E6E" w:rsidRPr="00B24633" w:rsidRDefault="00F61E6E" w:rsidP="00B24633">
      <w:pPr>
        <w:tabs>
          <w:tab w:val="left" w:pos="851"/>
        </w:tabs>
        <w:ind w:left="851"/>
        <w:rPr>
          <w:sz w:val="24"/>
          <w:szCs w:val="24"/>
        </w:rPr>
      </w:pPr>
    </w:p>
    <w:p w14:paraId="6B7BE7A5" w14:textId="1F7722AB" w:rsidR="00F61E6E" w:rsidRPr="00B24633" w:rsidRDefault="00F61E6E" w:rsidP="00B24633">
      <w:pPr>
        <w:tabs>
          <w:tab w:val="left" w:pos="851"/>
        </w:tabs>
        <w:ind w:left="851"/>
        <w:rPr>
          <w:sz w:val="24"/>
          <w:szCs w:val="24"/>
        </w:rPr>
      </w:pPr>
      <w:bookmarkStart w:id="4" w:name="_Hlk134532663"/>
      <w:r w:rsidRPr="00B24633">
        <w:rPr>
          <w:sz w:val="24"/>
          <w:szCs w:val="24"/>
        </w:rPr>
        <w:t>Ud over fase III-studiet ROCKET AF er der efter godkendelse gennemført et åbent, prospektivt, ikke-interventions-kohortestudie med en enkelt arm (XANTUS) med central evaluering af resultaterne, herunder tromboemboliske hændelser og alvorlige blødninger. 6.704 patienter med ikke-valvulær atrieflimren blev inkluderet til behandling for at forebygge apopleksi og systemisk non-CNS-emboli efter klinisk praksis. Den gennemsnitlige CHADS</w:t>
      </w:r>
      <w:r w:rsidRPr="00B24633">
        <w:rPr>
          <w:sz w:val="24"/>
          <w:szCs w:val="24"/>
          <w:vertAlign w:val="subscript"/>
        </w:rPr>
        <w:t>2</w:t>
      </w:r>
      <w:r w:rsidRPr="00B24633">
        <w:rPr>
          <w:sz w:val="24"/>
          <w:szCs w:val="24"/>
        </w:rPr>
        <w:t>-score var 1,9 og HAS-BLED-score var 2,0 i XANTUS sammenholdt med en gennemsnitlig CHADS</w:t>
      </w:r>
      <w:r w:rsidRPr="00B24633">
        <w:rPr>
          <w:sz w:val="24"/>
          <w:szCs w:val="24"/>
          <w:vertAlign w:val="subscript"/>
        </w:rPr>
        <w:t>2</w:t>
      </w:r>
      <w:r w:rsidRPr="00B24633">
        <w:rPr>
          <w:sz w:val="24"/>
          <w:szCs w:val="24"/>
        </w:rPr>
        <w:t>- og HAS-BLED-score på henholdsvis 3,5 og 2,8 i ROCKET AF. Alvorlige blødninger sås med en hyppighed på 2,1 pr. 100 patientår. Blødning resulterende i død blev rapporteret med en hyppighed på 0,2 pr. 100 patientår og intrakraniel blødning med en hyppighed på 0,4 pr. 100 patientår. Apopleksi eller systemisk non-CNS-emboli blev rapporteret med en hyppighed på 0,8 pr. 100 patientår.</w:t>
      </w:r>
    </w:p>
    <w:p w14:paraId="0B72A0CD" w14:textId="77777777" w:rsidR="00F61E6E" w:rsidRPr="00B24633" w:rsidRDefault="00F61E6E" w:rsidP="00B24633">
      <w:pPr>
        <w:tabs>
          <w:tab w:val="left" w:pos="851"/>
        </w:tabs>
        <w:ind w:left="851"/>
        <w:rPr>
          <w:sz w:val="24"/>
          <w:szCs w:val="24"/>
        </w:rPr>
      </w:pPr>
      <w:r w:rsidRPr="00B24633">
        <w:rPr>
          <w:sz w:val="24"/>
          <w:szCs w:val="24"/>
        </w:rPr>
        <w:t>Disse resultater ved klinisk praksis er konsistente med den etablerede sikkerhedsprofil ved denne indikation.</w:t>
      </w:r>
    </w:p>
    <w:p w14:paraId="478F95B0" w14:textId="77777777" w:rsidR="00F61E6E" w:rsidRPr="00B24633" w:rsidRDefault="00F61E6E" w:rsidP="00B24633">
      <w:pPr>
        <w:tabs>
          <w:tab w:val="left" w:pos="851"/>
        </w:tabs>
        <w:ind w:left="851"/>
        <w:rPr>
          <w:sz w:val="24"/>
          <w:szCs w:val="24"/>
        </w:rPr>
      </w:pPr>
    </w:p>
    <w:p w14:paraId="6A6E6A22" w14:textId="2C5BDC4D" w:rsidR="00F61E6E" w:rsidRPr="00B24633" w:rsidRDefault="00F61E6E" w:rsidP="00B24633">
      <w:pPr>
        <w:tabs>
          <w:tab w:val="left" w:pos="851"/>
        </w:tabs>
        <w:ind w:left="851"/>
        <w:rPr>
          <w:sz w:val="24"/>
          <w:szCs w:val="24"/>
        </w:rPr>
      </w:pPr>
      <w:r w:rsidRPr="00B24633">
        <w:rPr>
          <w:sz w:val="24"/>
          <w:szCs w:val="24"/>
        </w:rPr>
        <w:t>I et ikke-interventionsstudie efter godkendelsen med flere end 162.000 patienter fra fire lande blev rivaroxaban ordineret til forebyggelse af apopleksi og systemisk embolisme hos patienter med non-valvulær atrieflimren. Hændelsesraten for iskæmisk apopleksi var 0,70 (95</w:t>
      </w:r>
      <w:r w:rsidR="00054680">
        <w:rPr>
          <w:sz w:val="24"/>
          <w:szCs w:val="24"/>
        </w:rPr>
        <w:t xml:space="preserve"> %</w:t>
      </w:r>
      <w:r w:rsidRPr="00B24633">
        <w:rPr>
          <w:sz w:val="24"/>
          <w:szCs w:val="24"/>
        </w:rPr>
        <w:t> KI 0,44</w:t>
      </w:r>
      <w:r w:rsidRPr="00B24633">
        <w:rPr>
          <w:sz w:val="24"/>
          <w:szCs w:val="24"/>
        </w:rPr>
        <w:noBreakHyphen/>
        <w:t>1,13) pr. 100 patientår. Blødning, der førte til indlæggelse, forekom med hændelsesrater pr. 100 patientår på 0,43 (95</w:t>
      </w:r>
      <w:r w:rsidR="00054680">
        <w:rPr>
          <w:sz w:val="24"/>
          <w:szCs w:val="24"/>
        </w:rPr>
        <w:t xml:space="preserve"> %</w:t>
      </w:r>
      <w:r w:rsidRPr="00B24633">
        <w:rPr>
          <w:sz w:val="24"/>
          <w:szCs w:val="24"/>
        </w:rPr>
        <w:t> KI 0,31</w:t>
      </w:r>
      <w:r w:rsidRPr="00B24633">
        <w:rPr>
          <w:sz w:val="24"/>
          <w:szCs w:val="24"/>
        </w:rPr>
        <w:noBreakHyphen/>
        <w:t>0,59) for intrakraniel blødning, 1,04 (95</w:t>
      </w:r>
      <w:r w:rsidR="00054680">
        <w:rPr>
          <w:sz w:val="24"/>
          <w:szCs w:val="24"/>
        </w:rPr>
        <w:t xml:space="preserve"> %</w:t>
      </w:r>
      <w:r w:rsidRPr="00B24633">
        <w:rPr>
          <w:sz w:val="24"/>
          <w:szCs w:val="24"/>
        </w:rPr>
        <w:t> KI 0,65</w:t>
      </w:r>
      <w:r w:rsidRPr="00B24633">
        <w:rPr>
          <w:sz w:val="24"/>
          <w:szCs w:val="24"/>
        </w:rPr>
        <w:noBreakHyphen/>
        <w:t>1,66) for gastrointestinal blødning, 0,41 (95</w:t>
      </w:r>
      <w:r w:rsidR="00054680">
        <w:rPr>
          <w:sz w:val="24"/>
          <w:szCs w:val="24"/>
        </w:rPr>
        <w:t xml:space="preserve"> %</w:t>
      </w:r>
      <w:r w:rsidRPr="00B24633">
        <w:rPr>
          <w:sz w:val="24"/>
          <w:szCs w:val="24"/>
        </w:rPr>
        <w:t xml:space="preserve"> KI 0,31-0,53) for urogenital blødning og 0,40 (95</w:t>
      </w:r>
      <w:r w:rsidR="00054680">
        <w:rPr>
          <w:sz w:val="24"/>
          <w:szCs w:val="24"/>
        </w:rPr>
        <w:t xml:space="preserve"> %</w:t>
      </w:r>
      <w:r w:rsidRPr="00B24633">
        <w:rPr>
          <w:sz w:val="24"/>
          <w:szCs w:val="24"/>
        </w:rPr>
        <w:t> KI 0,25</w:t>
      </w:r>
      <w:r w:rsidRPr="00B24633">
        <w:rPr>
          <w:sz w:val="24"/>
          <w:szCs w:val="24"/>
        </w:rPr>
        <w:noBreakHyphen/>
        <w:t>0,65) for anden blødning.</w:t>
      </w:r>
    </w:p>
    <w:p w14:paraId="28EA9B74" w14:textId="77777777" w:rsidR="00F61E6E" w:rsidRPr="00B24633" w:rsidRDefault="00F61E6E" w:rsidP="00B24633">
      <w:pPr>
        <w:tabs>
          <w:tab w:val="left" w:pos="851"/>
        </w:tabs>
        <w:ind w:left="851"/>
        <w:rPr>
          <w:sz w:val="24"/>
          <w:szCs w:val="24"/>
        </w:rPr>
      </w:pPr>
    </w:p>
    <w:p w14:paraId="4B5A89B5" w14:textId="77777777" w:rsidR="00F61E6E" w:rsidRPr="00B24633" w:rsidRDefault="00F61E6E" w:rsidP="00B24633">
      <w:pPr>
        <w:tabs>
          <w:tab w:val="left" w:pos="851"/>
        </w:tabs>
        <w:ind w:left="851"/>
        <w:rPr>
          <w:sz w:val="24"/>
          <w:szCs w:val="24"/>
        </w:rPr>
      </w:pPr>
      <w:r w:rsidRPr="00B24633">
        <w:rPr>
          <w:sz w:val="24"/>
          <w:szCs w:val="24"/>
          <w:u w:val="single"/>
        </w:rPr>
        <w:t>Patienter, der skal kardioverteres</w:t>
      </w:r>
    </w:p>
    <w:p w14:paraId="6B61B30D" w14:textId="77777777" w:rsidR="00F61E6E" w:rsidRPr="00B24633" w:rsidRDefault="00F61E6E" w:rsidP="00B24633">
      <w:pPr>
        <w:tabs>
          <w:tab w:val="left" w:pos="851"/>
        </w:tabs>
        <w:ind w:left="851"/>
        <w:rPr>
          <w:sz w:val="24"/>
          <w:szCs w:val="24"/>
        </w:rPr>
      </w:pPr>
    </w:p>
    <w:p w14:paraId="1E1EF2CF" w14:textId="367172E5" w:rsidR="00F61E6E" w:rsidRPr="00B24633" w:rsidRDefault="00F61E6E" w:rsidP="00B24633">
      <w:pPr>
        <w:tabs>
          <w:tab w:val="left" w:pos="851"/>
        </w:tabs>
        <w:ind w:left="851"/>
        <w:rPr>
          <w:sz w:val="24"/>
          <w:szCs w:val="24"/>
        </w:rPr>
      </w:pPr>
      <w:r w:rsidRPr="00B24633">
        <w:rPr>
          <w:sz w:val="24"/>
          <w:szCs w:val="24"/>
        </w:rPr>
        <w:t>Et prospektivt, randomiseret, åbent, eksploratorisk multicenterstudie med blindet endepunktsevaluering (X-VERT) blev gennemført hos 1.504 patienter (der var naive for oral antikoagulantia eller tidligere behandlede) med non-valvulær atrieflimren, som skulle have foretaget kardiovertering, for at sammenligne rivaroxaban med dosistilpasset VKA (randomiseret 2:1) i forhold til forebyggelse af kardiovaskulære hændelser. Der blev anvendt en TEE-guidet (1-5 dages førbehandling) eller konventionel (mindst tre ugers førbehandling) kardioverteringsstrategi. Det primære effektmål (enhver forekomst af apopleksi, transitorisk iskæmisk attak, ikke-CNS systemisk emboli, myokardieinfarkt (MI) og kardiovaskulær død) forekom hos 5 (0,5</w:t>
      </w:r>
      <w:r w:rsidR="00054680">
        <w:rPr>
          <w:sz w:val="24"/>
          <w:szCs w:val="24"/>
        </w:rPr>
        <w:t xml:space="preserve"> %</w:t>
      </w:r>
      <w:r w:rsidRPr="00B24633">
        <w:rPr>
          <w:sz w:val="24"/>
          <w:szCs w:val="24"/>
        </w:rPr>
        <w:t>) patienter i rivaroxaban-gruppen (n = 978) og hos 5 (1,0</w:t>
      </w:r>
      <w:r w:rsidR="00054680">
        <w:rPr>
          <w:sz w:val="24"/>
          <w:szCs w:val="24"/>
        </w:rPr>
        <w:t xml:space="preserve"> %</w:t>
      </w:r>
      <w:r w:rsidRPr="00B24633">
        <w:rPr>
          <w:sz w:val="24"/>
          <w:szCs w:val="24"/>
        </w:rPr>
        <w:t>) patienter i VKA-gruppen (n = 492; RR 0,50; 95</w:t>
      </w:r>
      <w:r w:rsidR="00054680">
        <w:rPr>
          <w:sz w:val="24"/>
          <w:szCs w:val="24"/>
        </w:rPr>
        <w:t xml:space="preserve"> %</w:t>
      </w:r>
      <w:r w:rsidRPr="00B24633">
        <w:rPr>
          <w:sz w:val="24"/>
          <w:szCs w:val="24"/>
        </w:rPr>
        <w:t xml:space="preserve"> KI 0,15 – 1,73; modificeret ITT-population). Det primære sikkerhedsmål (større blødning) forekom hos 6 (0,6</w:t>
      </w:r>
      <w:r w:rsidR="00054680">
        <w:rPr>
          <w:sz w:val="24"/>
          <w:szCs w:val="24"/>
        </w:rPr>
        <w:t xml:space="preserve"> %</w:t>
      </w:r>
      <w:r w:rsidRPr="00B24633">
        <w:rPr>
          <w:sz w:val="24"/>
          <w:szCs w:val="24"/>
        </w:rPr>
        <w:t>) og 4 (0,8</w:t>
      </w:r>
      <w:r w:rsidR="00054680">
        <w:rPr>
          <w:sz w:val="24"/>
          <w:szCs w:val="24"/>
        </w:rPr>
        <w:t xml:space="preserve"> %</w:t>
      </w:r>
      <w:r w:rsidRPr="00B24633">
        <w:rPr>
          <w:sz w:val="24"/>
          <w:szCs w:val="24"/>
        </w:rPr>
        <w:t>) patienter i hhv. rivaroxaban-gruppen (n = 988) og VKA-gruppen (n = 499) (RR 0,76; 95</w:t>
      </w:r>
      <w:r w:rsidR="00054680">
        <w:rPr>
          <w:sz w:val="24"/>
          <w:szCs w:val="24"/>
        </w:rPr>
        <w:t xml:space="preserve"> %</w:t>
      </w:r>
      <w:r w:rsidRPr="00B24633">
        <w:rPr>
          <w:sz w:val="24"/>
          <w:szCs w:val="24"/>
        </w:rPr>
        <w:t xml:space="preserve"> KI 0,21 – 2,67; sikkerhedspopulation). Dette eksploratoriske studie viste sammenlignelig virkning og sikkerhed mellem rivaroxaban- og VKA-grupperne i forhold til kardiovertering.</w:t>
      </w:r>
    </w:p>
    <w:p w14:paraId="2455B70F" w14:textId="77777777" w:rsidR="00F61E6E" w:rsidRPr="00B24633" w:rsidRDefault="00F61E6E" w:rsidP="00B24633">
      <w:pPr>
        <w:tabs>
          <w:tab w:val="left" w:pos="851"/>
        </w:tabs>
        <w:ind w:left="851"/>
        <w:rPr>
          <w:sz w:val="24"/>
          <w:szCs w:val="24"/>
        </w:rPr>
      </w:pPr>
    </w:p>
    <w:p w14:paraId="075C7559" w14:textId="77777777" w:rsidR="00F61E6E" w:rsidRPr="00B24633" w:rsidRDefault="00F61E6E" w:rsidP="00B24633">
      <w:pPr>
        <w:tabs>
          <w:tab w:val="left" w:pos="851"/>
        </w:tabs>
        <w:ind w:left="851"/>
        <w:rPr>
          <w:sz w:val="24"/>
          <w:szCs w:val="24"/>
        </w:rPr>
      </w:pPr>
      <w:r w:rsidRPr="00B24633">
        <w:rPr>
          <w:sz w:val="24"/>
          <w:szCs w:val="24"/>
          <w:u w:val="single"/>
        </w:rPr>
        <w:t>Patienter med ikke-valvulær atrieflimren, som gennemgår PCI med indsat stent</w:t>
      </w:r>
    </w:p>
    <w:p w14:paraId="010E81F8" w14:textId="77777777" w:rsidR="00F61E6E" w:rsidRPr="00B24633" w:rsidRDefault="00F61E6E" w:rsidP="00B24633">
      <w:pPr>
        <w:tabs>
          <w:tab w:val="left" w:pos="851"/>
        </w:tabs>
        <w:ind w:left="851"/>
        <w:rPr>
          <w:sz w:val="24"/>
          <w:szCs w:val="24"/>
        </w:rPr>
      </w:pPr>
    </w:p>
    <w:p w14:paraId="249CC822" w14:textId="77777777" w:rsidR="00F61E6E" w:rsidRPr="00B24633" w:rsidRDefault="00F61E6E" w:rsidP="00B24633">
      <w:pPr>
        <w:tabs>
          <w:tab w:val="left" w:pos="851"/>
        </w:tabs>
        <w:ind w:left="851"/>
        <w:rPr>
          <w:sz w:val="24"/>
          <w:szCs w:val="24"/>
        </w:rPr>
      </w:pPr>
      <w:r w:rsidRPr="00B24633">
        <w:rPr>
          <w:sz w:val="24"/>
          <w:szCs w:val="24"/>
        </w:rPr>
        <w:t>Et randomiseret, åbent, multicenterstudie (PIONEER AF-PCI) blev gennemført hos 2.124 patienter med ikke-valvulær atrieflimren, som gennemgik PCI med indsat stent mod primær aterosklerotisk sygdom for at sammenligne sikkerheden af to rivaroxaban-programmer og ét VKA-program. Patienterne blev randomiseret i forholdet 1:1:1 til 12 måneders behandling i alt. Patienter med apopleksi eller TIA i anamnesen blev ekskluderet.</w:t>
      </w:r>
    </w:p>
    <w:p w14:paraId="2DB68D4E" w14:textId="77777777" w:rsidR="00F61E6E" w:rsidRPr="00B24633" w:rsidRDefault="00F61E6E" w:rsidP="00B24633">
      <w:pPr>
        <w:tabs>
          <w:tab w:val="left" w:pos="851"/>
        </w:tabs>
        <w:ind w:left="851"/>
        <w:rPr>
          <w:sz w:val="24"/>
          <w:szCs w:val="24"/>
        </w:rPr>
      </w:pPr>
    </w:p>
    <w:p w14:paraId="4F57BD38" w14:textId="77777777" w:rsidR="00F61E6E" w:rsidRPr="00B24633" w:rsidRDefault="00F61E6E" w:rsidP="00B24633">
      <w:pPr>
        <w:tabs>
          <w:tab w:val="left" w:pos="851"/>
        </w:tabs>
        <w:ind w:left="851"/>
        <w:rPr>
          <w:sz w:val="24"/>
          <w:szCs w:val="24"/>
        </w:rPr>
      </w:pPr>
      <w:r w:rsidRPr="00B24633">
        <w:rPr>
          <w:sz w:val="24"/>
          <w:szCs w:val="24"/>
        </w:rPr>
        <w:t>Gruppe 1 fik rivaroxaban 15 mg én gang dagligt (10 mg én gang dagligt hos patienter med kreatininclearance 30 – 49 ml/min) plus en P2Y12-hæmmer. Gruppe 2 fik rivaroxaban 2,5 mg to gange dagligt plus DAPT (dobbelt antitrombotisk behandling, f.eks. clopidogrel 75 mg [eller alternativt P2Y12-hæmmer] plus lavdosis acetylsalicylsyre [ASA]) i 1, 6 eller 12 måneder efterfulgt af rivaroxaban 15 mg (eller 10 mg hos patienter med kreatininclearance 30 – 49 ml/min) én gang dagligt plus lavdosis ASA. Gruppe 3 fik dosisjusteret VKA plus DAPT i 1, 6 eller 12 måneder efterfulgt af dosisjusteret VKA plus lavdosis ASA.</w:t>
      </w:r>
    </w:p>
    <w:p w14:paraId="7402E14C" w14:textId="77777777" w:rsidR="00F61E6E" w:rsidRPr="00B24633" w:rsidRDefault="00F61E6E" w:rsidP="00B24633">
      <w:pPr>
        <w:tabs>
          <w:tab w:val="left" w:pos="851"/>
        </w:tabs>
        <w:ind w:left="851"/>
        <w:rPr>
          <w:sz w:val="24"/>
          <w:szCs w:val="24"/>
        </w:rPr>
      </w:pPr>
    </w:p>
    <w:p w14:paraId="2D8A21F0" w14:textId="0B248B47" w:rsidR="00F61E6E" w:rsidRPr="00B24633" w:rsidRDefault="00F61E6E" w:rsidP="00B24633">
      <w:pPr>
        <w:tabs>
          <w:tab w:val="left" w:pos="851"/>
        </w:tabs>
        <w:ind w:left="851"/>
        <w:rPr>
          <w:sz w:val="24"/>
          <w:szCs w:val="24"/>
        </w:rPr>
      </w:pPr>
      <w:r w:rsidRPr="00B24633">
        <w:rPr>
          <w:sz w:val="24"/>
          <w:szCs w:val="24"/>
        </w:rPr>
        <w:t>Det primære sikkerhedsendepunkt, klinisk signifikante blødningshændelser, forekom hos henhold</w:t>
      </w:r>
      <w:r w:rsidR="00F21719">
        <w:rPr>
          <w:sz w:val="24"/>
          <w:szCs w:val="24"/>
        </w:rPr>
        <w:t>s</w:t>
      </w:r>
      <w:r w:rsidRPr="00B24633">
        <w:rPr>
          <w:sz w:val="24"/>
          <w:szCs w:val="24"/>
        </w:rPr>
        <w:t>vis 109 (15,7</w:t>
      </w:r>
      <w:r w:rsidR="00054680">
        <w:rPr>
          <w:sz w:val="24"/>
          <w:szCs w:val="24"/>
        </w:rPr>
        <w:t xml:space="preserve"> %</w:t>
      </w:r>
      <w:r w:rsidRPr="00B24633">
        <w:rPr>
          <w:sz w:val="24"/>
          <w:szCs w:val="24"/>
        </w:rPr>
        <w:t>), 117 (16,6</w:t>
      </w:r>
      <w:r w:rsidR="00054680">
        <w:rPr>
          <w:sz w:val="24"/>
          <w:szCs w:val="24"/>
        </w:rPr>
        <w:t xml:space="preserve"> %</w:t>
      </w:r>
      <w:r w:rsidRPr="00B24633">
        <w:rPr>
          <w:sz w:val="24"/>
          <w:szCs w:val="24"/>
        </w:rPr>
        <w:t>) og 167 (24,0</w:t>
      </w:r>
      <w:r w:rsidR="00054680">
        <w:rPr>
          <w:sz w:val="24"/>
          <w:szCs w:val="24"/>
        </w:rPr>
        <w:t xml:space="preserve"> %</w:t>
      </w:r>
      <w:r w:rsidRPr="00B24633">
        <w:rPr>
          <w:sz w:val="24"/>
          <w:szCs w:val="24"/>
        </w:rPr>
        <w:t>) patienter i gruppe 1, gruppe 2 og gruppe 3 (henhold</w:t>
      </w:r>
      <w:r w:rsidR="00F21719">
        <w:rPr>
          <w:sz w:val="24"/>
          <w:szCs w:val="24"/>
        </w:rPr>
        <w:t>s</w:t>
      </w:r>
      <w:r w:rsidRPr="00B24633">
        <w:rPr>
          <w:sz w:val="24"/>
          <w:szCs w:val="24"/>
        </w:rPr>
        <w:t>vis HR 0,59; 95</w:t>
      </w:r>
      <w:r w:rsidR="00054680">
        <w:rPr>
          <w:sz w:val="24"/>
          <w:szCs w:val="24"/>
        </w:rPr>
        <w:t xml:space="preserve"> %</w:t>
      </w:r>
      <w:r w:rsidRPr="00B24633">
        <w:rPr>
          <w:sz w:val="24"/>
          <w:szCs w:val="24"/>
        </w:rPr>
        <w:t xml:space="preserve"> KI 0,47 – 0,76; p &lt; 0,001 og HR 0,63; 95</w:t>
      </w:r>
      <w:r w:rsidR="00054680">
        <w:rPr>
          <w:sz w:val="24"/>
          <w:szCs w:val="24"/>
        </w:rPr>
        <w:t xml:space="preserve"> %</w:t>
      </w:r>
      <w:r w:rsidRPr="00B24633">
        <w:rPr>
          <w:sz w:val="24"/>
          <w:szCs w:val="24"/>
        </w:rPr>
        <w:t xml:space="preserve"> KI 0,50 – 0,80; p &lt; 0,001). Det sekundære endepunkt (sammensat af kardiovaskulære hændelser, CV-død, myokardieinfarkt [MI] eller apopleksi) forekom hos henholdsvis 41 (5,9</w:t>
      </w:r>
      <w:r w:rsidR="00054680">
        <w:rPr>
          <w:sz w:val="24"/>
          <w:szCs w:val="24"/>
        </w:rPr>
        <w:t xml:space="preserve"> %</w:t>
      </w:r>
      <w:r w:rsidRPr="00B24633">
        <w:rPr>
          <w:sz w:val="24"/>
          <w:szCs w:val="24"/>
        </w:rPr>
        <w:t>), 36 (5,1</w:t>
      </w:r>
      <w:r w:rsidR="00054680">
        <w:rPr>
          <w:sz w:val="24"/>
          <w:szCs w:val="24"/>
        </w:rPr>
        <w:t xml:space="preserve"> %</w:t>
      </w:r>
      <w:r w:rsidRPr="00B24633">
        <w:rPr>
          <w:sz w:val="24"/>
          <w:szCs w:val="24"/>
        </w:rPr>
        <w:t>) og 36 (5,2</w:t>
      </w:r>
      <w:r w:rsidR="00054680">
        <w:rPr>
          <w:sz w:val="24"/>
          <w:szCs w:val="24"/>
        </w:rPr>
        <w:t xml:space="preserve"> %</w:t>
      </w:r>
      <w:r w:rsidRPr="00B24633">
        <w:rPr>
          <w:sz w:val="24"/>
          <w:szCs w:val="24"/>
        </w:rPr>
        <w:t xml:space="preserve">) patienter i gruppe 1, gruppe 2 og gruppe 3. Hvert </w:t>
      </w:r>
      <w:r w:rsidRPr="00B24633">
        <w:rPr>
          <w:sz w:val="24"/>
          <w:szCs w:val="24"/>
        </w:rPr>
        <w:lastRenderedPageBreak/>
        <w:t>behandlingsprogram med rivaroxaban viste en signifikant reduktion af klinisk signifikante blødningshændelser sammenlignet med behandlingsprogrammet med VKA hos patienter med ikke-valvulær atrieflimren, som gennemgik en PCI med indsat stent.</w:t>
      </w:r>
    </w:p>
    <w:p w14:paraId="2744BB72" w14:textId="77777777" w:rsidR="00F61E6E" w:rsidRPr="00B24633" w:rsidRDefault="00F61E6E" w:rsidP="00B24633">
      <w:pPr>
        <w:tabs>
          <w:tab w:val="left" w:pos="851"/>
        </w:tabs>
        <w:ind w:left="851"/>
        <w:rPr>
          <w:sz w:val="24"/>
          <w:szCs w:val="24"/>
        </w:rPr>
      </w:pPr>
      <w:r w:rsidRPr="00B24633">
        <w:rPr>
          <w:sz w:val="24"/>
          <w:szCs w:val="24"/>
        </w:rPr>
        <w:t>Det primære formål ved PIONEER AF-PCI var at vurdere sikkerheden. Data for virkningen (inklusive tromboemboliske hændelser) hos denne patientgruppe er begrænsede.</w:t>
      </w:r>
    </w:p>
    <w:p w14:paraId="12D7D44A" w14:textId="77777777" w:rsidR="00F61E6E" w:rsidRPr="00B24633" w:rsidRDefault="00F61E6E" w:rsidP="00B24633">
      <w:pPr>
        <w:tabs>
          <w:tab w:val="left" w:pos="851"/>
        </w:tabs>
        <w:ind w:left="851"/>
        <w:rPr>
          <w:sz w:val="24"/>
          <w:szCs w:val="24"/>
        </w:rPr>
      </w:pPr>
    </w:p>
    <w:p w14:paraId="7CF7E67B" w14:textId="77777777" w:rsidR="00F61E6E" w:rsidRPr="00B24633" w:rsidRDefault="00F61E6E" w:rsidP="00B24633">
      <w:pPr>
        <w:ind w:left="857"/>
        <w:rPr>
          <w:i/>
          <w:sz w:val="24"/>
          <w:szCs w:val="24"/>
        </w:rPr>
      </w:pPr>
      <w:r w:rsidRPr="00B24633">
        <w:rPr>
          <w:i/>
          <w:sz w:val="24"/>
          <w:szCs w:val="24"/>
        </w:rPr>
        <w:t>Behandling</w:t>
      </w:r>
      <w:r w:rsidRPr="00B24633">
        <w:rPr>
          <w:i/>
          <w:spacing w:val="-3"/>
          <w:sz w:val="24"/>
          <w:szCs w:val="24"/>
        </w:rPr>
        <w:t xml:space="preserve"> </w:t>
      </w:r>
      <w:r w:rsidRPr="00B24633">
        <w:rPr>
          <w:i/>
          <w:sz w:val="24"/>
          <w:szCs w:val="24"/>
        </w:rPr>
        <w:t>af</w:t>
      </w:r>
      <w:r w:rsidRPr="00B24633">
        <w:rPr>
          <w:i/>
          <w:spacing w:val="-3"/>
          <w:sz w:val="24"/>
          <w:szCs w:val="24"/>
        </w:rPr>
        <w:t xml:space="preserve"> </w:t>
      </w:r>
      <w:r w:rsidRPr="00B24633">
        <w:rPr>
          <w:i/>
          <w:sz w:val="24"/>
          <w:szCs w:val="24"/>
        </w:rPr>
        <w:t>DVT,</w:t>
      </w:r>
      <w:r w:rsidRPr="00B24633">
        <w:rPr>
          <w:i/>
          <w:spacing w:val="-2"/>
          <w:sz w:val="24"/>
          <w:szCs w:val="24"/>
        </w:rPr>
        <w:t xml:space="preserve"> </w:t>
      </w:r>
      <w:r w:rsidRPr="00B24633">
        <w:rPr>
          <w:i/>
          <w:sz w:val="24"/>
          <w:szCs w:val="24"/>
        </w:rPr>
        <w:t>PE</w:t>
      </w:r>
      <w:r w:rsidRPr="00B24633">
        <w:rPr>
          <w:i/>
          <w:spacing w:val="-3"/>
          <w:sz w:val="24"/>
          <w:szCs w:val="24"/>
        </w:rPr>
        <w:t xml:space="preserve"> </w:t>
      </w:r>
      <w:r w:rsidRPr="00B24633">
        <w:rPr>
          <w:i/>
          <w:sz w:val="24"/>
          <w:szCs w:val="24"/>
        </w:rPr>
        <w:t>og</w:t>
      </w:r>
      <w:r w:rsidRPr="00B24633">
        <w:rPr>
          <w:i/>
          <w:spacing w:val="-4"/>
          <w:sz w:val="24"/>
          <w:szCs w:val="24"/>
        </w:rPr>
        <w:t xml:space="preserve"> </w:t>
      </w:r>
      <w:r w:rsidRPr="00B24633">
        <w:rPr>
          <w:i/>
          <w:sz w:val="24"/>
          <w:szCs w:val="24"/>
        </w:rPr>
        <w:t>forebyggelse</w:t>
      </w:r>
      <w:r w:rsidRPr="00B24633">
        <w:rPr>
          <w:i/>
          <w:spacing w:val="-1"/>
          <w:sz w:val="24"/>
          <w:szCs w:val="24"/>
        </w:rPr>
        <w:t xml:space="preserve"> </w:t>
      </w:r>
      <w:r w:rsidRPr="00B24633">
        <w:rPr>
          <w:i/>
          <w:sz w:val="24"/>
          <w:szCs w:val="24"/>
        </w:rPr>
        <w:t>af</w:t>
      </w:r>
      <w:r w:rsidRPr="00B24633">
        <w:rPr>
          <w:i/>
          <w:spacing w:val="-3"/>
          <w:sz w:val="24"/>
          <w:szCs w:val="24"/>
        </w:rPr>
        <w:t xml:space="preserve"> </w:t>
      </w:r>
      <w:r w:rsidRPr="00B24633">
        <w:rPr>
          <w:i/>
          <w:sz w:val="24"/>
          <w:szCs w:val="24"/>
        </w:rPr>
        <w:t>recidiverende</w:t>
      </w:r>
      <w:r w:rsidRPr="00B24633">
        <w:rPr>
          <w:i/>
          <w:spacing w:val="-4"/>
          <w:sz w:val="24"/>
          <w:szCs w:val="24"/>
        </w:rPr>
        <w:t xml:space="preserve"> </w:t>
      </w:r>
      <w:r w:rsidRPr="00B24633">
        <w:rPr>
          <w:i/>
          <w:sz w:val="24"/>
          <w:szCs w:val="24"/>
        </w:rPr>
        <w:t>DVT</w:t>
      </w:r>
      <w:r w:rsidRPr="00B24633">
        <w:rPr>
          <w:i/>
          <w:spacing w:val="-2"/>
          <w:sz w:val="24"/>
          <w:szCs w:val="24"/>
        </w:rPr>
        <w:t xml:space="preserve"> </w:t>
      </w:r>
      <w:r w:rsidRPr="00B24633">
        <w:rPr>
          <w:i/>
          <w:sz w:val="24"/>
          <w:szCs w:val="24"/>
        </w:rPr>
        <w:t>og</w:t>
      </w:r>
      <w:r w:rsidRPr="00B24633">
        <w:rPr>
          <w:i/>
          <w:spacing w:val="-4"/>
          <w:sz w:val="24"/>
          <w:szCs w:val="24"/>
        </w:rPr>
        <w:t xml:space="preserve"> </w:t>
      </w:r>
      <w:r w:rsidRPr="00B24633">
        <w:rPr>
          <w:i/>
          <w:sz w:val="24"/>
          <w:szCs w:val="24"/>
        </w:rPr>
        <w:t>PE</w:t>
      </w:r>
    </w:p>
    <w:p w14:paraId="4D520773" w14:textId="77777777" w:rsidR="00F61E6E" w:rsidRPr="00B24633" w:rsidRDefault="00F61E6E" w:rsidP="00B24633">
      <w:pPr>
        <w:tabs>
          <w:tab w:val="left" w:pos="851"/>
        </w:tabs>
        <w:ind w:left="851"/>
        <w:rPr>
          <w:sz w:val="24"/>
          <w:szCs w:val="24"/>
        </w:rPr>
      </w:pPr>
      <w:r w:rsidRPr="00B24633">
        <w:rPr>
          <w:sz w:val="24"/>
          <w:szCs w:val="24"/>
        </w:rPr>
        <w:t>Det kliniske rivaroxaban-program var udformet med henblik på at påvise effekten af rivaroxaban til indledende og fortsat behandling af akut DVT og PE og forebyggelse af recidiv.</w:t>
      </w:r>
    </w:p>
    <w:p w14:paraId="5EF4AFE6" w14:textId="77777777" w:rsidR="00F61E6E" w:rsidRPr="00B24633" w:rsidRDefault="00F61E6E" w:rsidP="00B24633">
      <w:pPr>
        <w:tabs>
          <w:tab w:val="left" w:pos="851"/>
        </w:tabs>
        <w:ind w:left="851"/>
        <w:rPr>
          <w:sz w:val="24"/>
          <w:szCs w:val="24"/>
        </w:rPr>
      </w:pPr>
      <w:r w:rsidRPr="00B24633">
        <w:rPr>
          <w:sz w:val="24"/>
          <w:szCs w:val="24"/>
        </w:rPr>
        <w:t>Mere end 12.800 patienter blev undersøgt i fire randomiserede kontrollerede kliniske fase III-studier (Einstein DVT, Einstein PE, Einstein Extension og Einstein Choice), og desuden blev der foretaget en foruddefineret samlet analyse af Einstein DVT og Einstein PE-studierne. Den samlede kombinerede behandlingsvarighed i alle studier var op til 21 måneder.</w:t>
      </w:r>
    </w:p>
    <w:p w14:paraId="6C0D04AF" w14:textId="77777777" w:rsidR="00F61E6E" w:rsidRPr="00B24633" w:rsidRDefault="00F61E6E" w:rsidP="00B24633">
      <w:pPr>
        <w:tabs>
          <w:tab w:val="left" w:pos="851"/>
        </w:tabs>
        <w:ind w:left="851"/>
        <w:rPr>
          <w:sz w:val="24"/>
          <w:szCs w:val="24"/>
        </w:rPr>
      </w:pPr>
    </w:p>
    <w:p w14:paraId="4A79B0A0" w14:textId="77777777" w:rsidR="00F61E6E" w:rsidRPr="00B24633" w:rsidRDefault="00F61E6E" w:rsidP="00B24633">
      <w:pPr>
        <w:tabs>
          <w:tab w:val="left" w:pos="851"/>
        </w:tabs>
        <w:ind w:left="851"/>
        <w:rPr>
          <w:sz w:val="24"/>
          <w:szCs w:val="24"/>
        </w:rPr>
      </w:pPr>
      <w:r w:rsidRPr="00B24633">
        <w:rPr>
          <w:sz w:val="24"/>
          <w:szCs w:val="24"/>
        </w:rPr>
        <w:t>I Einstein DVT blev 3.449 patienter med akut DVT undersøgt for behandling af DVT og forebyggelse af recidiverende DVT og PE (patienter med symptomatisk PE blev udelukket fra dette studie). Behandlingsvarigheden var 3, 6 eller 12 måneder afhængigt af investigators kliniske vurdering.</w:t>
      </w:r>
    </w:p>
    <w:p w14:paraId="3979B820" w14:textId="77777777" w:rsidR="00F61E6E" w:rsidRPr="00B24633" w:rsidRDefault="00F61E6E" w:rsidP="00B24633">
      <w:pPr>
        <w:tabs>
          <w:tab w:val="left" w:pos="851"/>
        </w:tabs>
        <w:ind w:left="851"/>
        <w:rPr>
          <w:sz w:val="24"/>
          <w:szCs w:val="24"/>
        </w:rPr>
      </w:pPr>
      <w:r w:rsidRPr="00B24633">
        <w:rPr>
          <w:sz w:val="24"/>
          <w:szCs w:val="24"/>
        </w:rPr>
        <w:t>I den indledende 3-ugersbehandling af akut DVT fik patienterne 15 mg rivaroxaban to gange dagligt. Der fortsattes derefter med 20 mg rivaroxaban én gang dagligt.</w:t>
      </w:r>
    </w:p>
    <w:p w14:paraId="0D9980D7" w14:textId="77777777" w:rsidR="00F61E6E" w:rsidRPr="00B24633" w:rsidRDefault="00F61E6E" w:rsidP="00B24633">
      <w:pPr>
        <w:tabs>
          <w:tab w:val="left" w:pos="851"/>
        </w:tabs>
        <w:ind w:left="851"/>
        <w:rPr>
          <w:sz w:val="24"/>
          <w:szCs w:val="24"/>
        </w:rPr>
      </w:pPr>
    </w:p>
    <w:p w14:paraId="54F06A15" w14:textId="77777777" w:rsidR="00F61E6E" w:rsidRPr="00B24633" w:rsidRDefault="00F61E6E" w:rsidP="00B24633">
      <w:pPr>
        <w:tabs>
          <w:tab w:val="left" w:pos="851"/>
        </w:tabs>
        <w:ind w:left="851"/>
        <w:rPr>
          <w:sz w:val="24"/>
          <w:szCs w:val="24"/>
        </w:rPr>
      </w:pPr>
      <w:r w:rsidRPr="00B24633">
        <w:rPr>
          <w:sz w:val="24"/>
          <w:szCs w:val="24"/>
        </w:rPr>
        <w:t>I Einstein PE blev 4.832 patienter med akut PE undersøgt for behandling af PE og forebyggelse af recidiverende DVT og PE. Behandlingsvarigheden var 3, 6 eller 12 måneder afhængigt af investigators kliniske vurdering.</w:t>
      </w:r>
    </w:p>
    <w:p w14:paraId="26228764" w14:textId="77777777" w:rsidR="00F61E6E" w:rsidRPr="00B24633" w:rsidRDefault="00F61E6E" w:rsidP="00B24633">
      <w:pPr>
        <w:tabs>
          <w:tab w:val="left" w:pos="851"/>
        </w:tabs>
        <w:ind w:left="851"/>
        <w:rPr>
          <w:sz w:val="24"/>
          <w:szCs w:val="24"/>
        </w:rPr>
      </w:pPr>
      <w:r w:rsidRPr="00B24633">
        <w:rPr>
          <w:sz w:val="24"/>
          <w:szCs w:val="24"/>
        </w:rPr>
        <w:t>I den indledende behandling af akut PE fik patienterne 15 mg rivaroxaban to gange dagligt i tre uger. Der fortsattes derefter med 20 mg rivaroxaban én gang dagligt.</w:t>
      </w:r>
    </w:p>
    <w:p w14:paraId="15B0C00D" w14:textId="77777777" w:rsidR="00F61E6E" w:rsidRPr="00B24633" w:rsidRDefault="00F61E6E" w:rsidP="00B24633">
      <w:pPr>
        <w:tabs>
          <w:tab w:val="left" w:pos="851"/>
        </w:tabs>
        <w:ind w:left="851"/>
        <w:rPr>
          <w:sz w:val="24"/>
          <w:szCs w:val="24"/>
        </w:rPr>
      </w:pPr>
    </w:p>
    <w:p w14:paraId="38C47975" w14:textId="77777777" w:rsidR="00F61E6E" w:rsidRPr="00B24633" w:rsidRDefault="00F61E6E" w:rsidP="00B24633">
      <w:pPr>
        <w:tabs>
          <w:tab w:val="left" w:pos="851"/>
        </w:tabs>
        <w:ind w:left="851"/>
        <w:rPr>
          <w:sz w:val="24"/>
          <w:szCs w:val="24"/>
        </w:rPr>
      </w:pPr>
      <w:r w:rsidRPr="00B24633">
        <w:rPr>
          <w:sz w:val="24"/>
          <w:szCs w:val="24"/>
        </w:rPr>
        <w:t>I både Einstein DVT- og Einstein PE-studiet bestod den sammenlignende behandlingsplan af enoxaparin givet i mindst 5 dage samtidig med en vitamin K-antagonist, indtil PT/INR lå inden for behandlingsintervallet (</w:t>
      </w:r>
      <w:r w:rsidRPr="00B24633">
        <w:rPr>
          <w:bCs/>
          <w:sz w:val="24"/>
          <w:szCs w:val="24"/>
        </w:rPr>
        <w:t>≥ </w:t>
      </w:r>
      <w:r w:rsidRPr="00B24633">
        <w:rPr>
          <w:sz w:val="24"/>
          <w:szCs w:val="24"/>
        </w:rPr>
        <w:t>2,0). Behandlingen fortsattes med en vitamin K-antagonist, der dosisjusteredes med henblik på vedligeholdelse af PT/INR-værdier i behandlingsintervallet 2,0 - 3,0.</w:t>
      </w:r>
    </w:p>
    <w:p w14:paraId="647442F6" w14:textId="77777777" w:rsidR="00F61E6E" w:rsidRPr="00B24633" w:rsidRDefault="00F61E6E" w:rsidP="00B24633">
      <w:pPr>
        <w:tabs>
          <w:tab w:val="left" w:pos="851"/>
        </w:tabs>
        <w:ind w:left="851"/>
        <w:rPr>
          <w:sz w:val="24"/>
          <w:szCs w:val="24"/>
        </w:rPr>
      </w:pPr>
    </w:p>
    <w:p w14:paraId="5B39BFD1" w14:textId="77777777" w:rsidR="00F61E6E" w:rsidRPr="00B24633" w:rsidRDefault="00F61E6E" w:rsidP="00B24633">
      <w:pPr>
        <w:tabs>
          <w:tab w:val="left" w:pos="851"/>
        </w:tabs>
        <w:ind w:left="851"/>
        <w:rPr>
          <w:sz w:val="24"/>
          <w:szCs w:val="24"/>
        </w:rPr>
      </w:pPr>
      <w:r w:rsidRPr="00B24633">
        <w:rPr>
          <w:sz w:val="24"/>
          <w:szCs w:val="24"/>
        </w:rPr>
        <w:t>I Einstein Extension undersøgtes 1.197 patienter med DVT eller PE med hensyn til forebyggelse af recidiverende DVT og PE. Behandlingsvarigheden var yderligere 6–12 måneder for patienter, der havde gennemført 6–12 måneders behandling for venøs tromboli afhængigt af investigators kliniske vurdering. Rivaroxaban 20 mg én gang dagligt blev sammenlignet med placebo.</w:t>
      </w:r>
    </w:p>
    <w:p w14:paraId="518096B5" w14:textId="77777777" w:rsidR="00F61E6E" w:rsidRPr="00B24633" w:rsidRDefault="00F61E6E" w:rsidP="00B24633">
      <w:pPr>
        <w:tabs>
          <w:tab w:val="left" w:pos="851"/>
        </w:tabs>
        <w:ind w:left="851"/>
        <w:rPr>
          <w:sz w:val="24"/>
          <w:szCs w:val="24"/>
        </w:rPr>
      </w:pPr>
    </w:p>
    <w:p w14:paraId="4D22792A" w14:textId="77777777" w:rsidR="00F61E6E" w:rsidRPr="00B24633" w:rsidRDefault="00F61E6E" w:rsidP="00B24633">
      <w:pPr>
        <w:tabs>
          <w:tab w:val="left" w:pos="851"/>
        </w:tabs>
        <w:ind w:left="851"/>
        <w:rPr>
          <w:sz w:val="24"/>
          <w:szCs w:val="24"/>
        </w:rPr>
      </w:pPr>
      <w:r w:rsidRPr="00B24633">
        <w:rPr>
          <w:sz w:val="24"/>
          <w:szCs w:val="24"/>
        </w:rPr>
        <w:t>Einstein DVT, PE og Extension benyttede samme på forhånd fastsatte primære og sekundære effektendepunkter. Det primære effektendepunkt var symptomatisk recidiverende VTE defineret som sammensat af recidiverende DVT med dødelig eller ikke-dødelig PE. Det sekundære effektendepunkt var sammensat af recidiverende DVT, ikke-dødelig PE og død uanset årsag.</w:t>
      </w:r>
    </w:p>
    <w:p w14:paraId="3E8F312D" w14:textId="77777777" w:rsidR="00F61E6E" w:rsidRPr="00B24633" w:rsidRDefault="00F61E6E" w:rsidP="00B24633">
      <w:pPr>
        <w:tabs>
          <w:tab w:val="left" w:pos="851"/>
        </w:tabs>
        <w:ind w:left="851"/>
        <w:rPr>
          <w:sz w:val="24"/>
          <w:szCs w:val="24"/>
        </w:rPr>
      </w:pPr>
    </w:p>
    <w:p w14:paraId="165E5AED" w14:textId="77777777" w:rsidR="00F61E6E" w:rsidRPr="00B24633" w:rsidRDefault="00F61E6E" w:rsidP="00B24633">
      <w:pPr>
        <w:tabs>
          <w:tab w:val="left" w:pos="851"/>
        </w:tabs>
        <w:ind w:left="851"/>
        <w:rPr>
          <w:sz w:val="24"/>
          <w:szCs w:val="24"/>
        </w:rPr>
      </w:pPr>
      <w:r w:rsidRPr="00B24633">
        <w:rPr>
          <w:sz w:val="24"/>
          <w:szCs w:val="24"/>
        </w:rPr>
        <w:t>I Einstein Choice blev 3.396 patienter med bekræftet symptomatisk DVT og/eller PE, som havde gennemførte 6</w:t>
      </w:r>
      <w:r w:rsidRPr="00B24633">
        <w:rPr>
          <w:bCs/>
          <w:sz w:val="24"/>
          <w:szCs w:val="24"/>
        </w:rPr>
        <w:t>–</w:t>
      </w:r>
      <w:r w:rsidRPr="00B24633">
        <w:rPr>
          <w:sz w:val="24"/>
          <w:szCs w:val="24"/>
        </w:rPr>
        <w:t xml:space="preserve">12 måneders behandling med antikoagulantia, undersøgt for forebyggelse af dødelig PE eller ikke-dødelig symptomatisk recidiverende DVT eller PE. </w:t>
      </w:r>
      <w:r w:rsidRPr="00B24633">
        <w:rPr>
          <w:sz w:val="24"/>
          <w:szCs w:val="24"/>
        </w:rPr>
        <w:lastRenderedPageBreak/>
        <w:t>Patienter med en indikation for</w:t>
      </w:r>
      <w:r w:rsidRPr="00B24633">
        <w:rPr>
          <w:spacing w:val="-52"/>
          <w:sz w:val="24"/>
          <w:szCs w:val="24"/>
        </w:rPr>
        <w:t xml:space="preserve"> </w:t>
      </w:r>
      <w:r w:rsidRPr="00B24633">
        <w:rPr>
          <w:sz w:val="24"/>
          <w:szCs w:val="24"/>
        </w:rPr>
        <w:t>fortsat antikoagulationsbehandling blev udelukket fra studiet. Behandlingsvarigheden var op til</w:t>
      </w:r>
      <w:r w:rsidRPr="00B24633">
        <w:rPr>
          <w:spacing w:val="1"/>
          <w:sz w:val="24"/>
          <w:szCs w:val="24"/>
        </w:rPr>
        <w:t xml:space="preserve"> </w:t>
      </w:r>
      <w:r w:rsidRPr="00B24633">
        <w:rPr>
          <w:sz w:val="24"/>
          <w:szCs w:val="24"/>
        </w:rPr>
        <w:t>12 måneder afhængigt af den individuelle randomiseringsdato (median: 351 dage). Rivaroxaban</w:t>
      </w:r>
      <w:r w:rsidRPr="00B24633">
        <w:rPr>
          <w:spacing w:val="1"/>
          <w:sz w:val="24"/>
          <w:szCs w:val="24"/>
        </w:rPr>
        <w:t xml:space="preserve"> </w:t>
      </w:r>
      <w:r w:rsidRPr="00B24633">
        <w:rPr>
          <w:sz w:val="24"/>
          <w:szCs w:val="24"/>
        </w:rPr>
        <w:t>20 mg én gang dagligt og rivaroxaban 10 mg én gang dagligt blev sammenlignet med 100 mg</w:t>
      </w:r>
      <w:r w:rsidRPr="00B24633">
        <w:rPr>
          <w:spacing w:val="1"/>
          <w:sz w:val="24"/>
          <w:szCs w:val="24"/>
        </w:rPr>
        <w:t xml:space="preserve"> </w:t>
      </w:r>
      <w:r w:rsidRPr="00B24633">
        <w:rPr>
          <w:sz w:val="24"/>
          <w:szCs w:val="24"/>
        </w:rPr>
        <w:t>acetylsalicylsyre</w:t>
      </w:r>
      <w:r w:rsidRPr="00B24633">
        <w:rPr>
          <w:spacing w:val="-2"/>
          <w:sz w:val="24"/>
          <w:szCs w:val="24"/>
        </w:rPr>
        <w:t xml:space="preserve"> </w:t>
      </w:r>
      <w:r w:rsidRPr="00B24633">
        <w:rPr>
          <w:sz w:val="24"/>
          <w:szCs w:val="24"/>
        </w:rPr>
        <w:t>én gang dagligt.</w:t>
      </w:r>
    </w:p>
    <w:p w14:paraId="3CD2E5D4" w14:textId="77777777" w:rsidR="00F61E6E" w:rsidRPr="00B24633" w:rsidRDefault="00F61E6E" w:rsidP="00B24633">
      <w:pPr>
        <w:tabs>
          <w:tab w:val="left" w:pos="851"/>
        </w:tabs>
        <w:ind w:left="851"/>
        <w:rPr>
          <w:sz w:val="24"/>
          <w:szCs w:val="24"/>
        </w:rPr>
      </w:pPr>
      <w:r w:rsidRPr="00B24633">
        <w:rPr>
          <w:sz w:val="24"/>
          <w:szCs w:val="24"/>
        </w:rPr>
        <w:t>Det primære effektendepunkt var symptomatisk recidiverende VTE defineret som recidiverende DVT og dødelig eller ikke-dødelig PE.</w:t>
      </w:r>
    </w:p>
    <w:p w14:paraId="01C7C48B" w14:textId="77777777" w:rsidR="00F61E6E" w:rsidRPr="00B24633" w:rsidRDefault="00F61E6E" w:rsidP="00B24633">
      <w:pPr>
        <w:tabs>
          <w:tab w:val="left" w:pos="851"/>
        </w:tabs>
        <w:ind w:left="851"/>
        <w:rPr>
          <w:sz w:val="24"/>
          <w:szCs w:val="24"/>
        </w:rPr>
      </w:pPr>
    </w:p>
    <w:p w14:paraId="67CBC9C2" w14:textId="3C5A5B06" w:rsidR="00F61E6E" w:rsidRPr="00B24633" w:rsidRDefault="00F61E6E" w:rsidP="00B24633">
      <w:pPr>
        <w:tabs>
          <w:tab w:val="left" w:pos="851"/>
        </w:tabs>
        <w:ind w:left="851"/>
        <w:rPr>
          <w:sz w:val="24"/>
          <w:szCs w:val="24"/>
        </w:rPr>
      </w:pPr>
      <w:r w:rsidRPr="00B24633">
        <w:rPr>
          <w:sz w:val="24"/>
          <w:szCs w:val="24"/>
        </w:rPr>
        <w:t>I DVT-studiet Einstein (se tabel 6) blev rivaroxaban påvist at være non-inferiørt sammenlignet med enoxaparin/VKA med hensyn til det primære effektendepunkt (p &lt; 0,0001 (test for non-inferioritet), HR: 0,680 (0,443 </w:t>
      </w:r>
      <w:r w:rsidRPr="00B24633">
        <w:rPr>
          <w:bCs/>
          <w:sz w:val="24"/>
          <w:szCs w:val="24"/>
        </w:rPr>
        <w:t>– </w:t>
      </w:r>
      <w:r w:rsidRPr="00B24633">
        <w:rPr>
          <w:sz w:val="24"/>
          <w:szCs w:val="24"/>
        </w:rPr>
        <w:t>1,042), p = 0,076 (test for superioritet)). Den på forhånd fastsatte kliniske nettofordel (primært effektendepunkt plus større blødninger) indberettedes med en HR på 0,67 (95</w:t>
      </w:r>
      <w:r w:rsidR="00054680">
        <w:rPr>
          <w:sz w:val="24"/>
          <w:szCs w:val="24"/>
        </w:rPr>
        <w:t xml:space="preserve"> %</w:t>
      </w:r>
      <w:r w:rsidRPr="00B24633">
        <w:rPr>
          <w:sz w:val="24"/>
          <w:szCs w:val="24"/>
        </w:rPr>
        <w:t> KI: 0,47</w:t>
      </w:r>
      <w:r w:rsidRPr="00B24633">
        <w:rPr>
          <w:bCs/>
          <w:sz w:val="24"/>
          <w:szCs w:val="24"/>
        </w:rPr>
        <w:t>–</w:t>
      </w:r>
      <w:r w:rsidRPr="00B24633">
        <w:rPr>
          <w:sz w:val="24"/>
          <w:szCs w:val="24"/>
        </w:rPr>
        <w:t>0,95), nominel p-værdi p = 0,027) til fordel for rivaroxaban. INR-værdierne var inden for det terapeutiske område som middelværdi 60,3</w:t>
      </w:r>
      <w:r w:rsidR="00054680">
        <w:rPr>
          <w:sz w:val="24"/>
          <w:szCs w:val="24"/>
        </w:rPr>
        <w:t xml:space="preserve"> %</w:t>
      </w:r>
      <w:r w:rsidRPr="00B24633">
        <w:rPr>
          <w:sz w:val="24"/>
          <w:szCs w:val="24"/>
        </w:rPr>
        <w:t xml:space="preserve"> af tiden for middel-behandlingsvarigheden på 189 dage, og henholdsvis 55,4</w:t>
      </w:r>
      <w:r w:rsidR="00054680">
        <w:rPr>
          <w:sz w:val="24"/>
          <w:szCs w:val="24"/>
        </w:rPr>
        <w:t xml:space="preserve"> %</w:t>
      </w:r>
      <w:r w:rsidRPr="00B24633">
        <w:rPr>
          <w:sz w:val="24"/>
          <w:szCs w:val="24"/>
        </w:rPr>
        <w:t>, 60,1</w:t>
      </w:r>
      <w:r w:rsidR="00054680">
        <w:rPr>
          <w:sz w:val="24"/>
          <w:szCs w:val="24"/>
        </w:rPr>
        <w:t xml:space="preserve"> %</w:t>
      </w:r>
      <w:r w:rsidRPr="00B24633">
        <w:rPr>
          <w:sz w:val="24"/>
          <w:szCs w:val="24"/>
        </w:rPr>
        <w:t xml:space="preserve"> og 62,8</w:t>
      </w:r>
      <w:r w:rsidR="00054680">
        <w:rPr>
          <w:sz w:val="24"/>
          <w:szCs w:val="24"/>
        </w:rPr>
        <w:t xml:space="preserve"> %</w:t>
      </w:r>
      <w:r w:rsidRPr="00B24633">
        <w:rPr>
          <w:sz w:val="24"/>
          <w:szCs w:val="24"/>
        </w:rPr>
        <w:t xml:space="preserve"> af tiden i grupperne med planlagt behandlingstid i 3, 6 og 12 måneder. I enoxaparin/VKA-gruppen var der ingen klar sammenhæng mellem niveauet for middel-center-TTR på centerniveau (Time in Target INR Range på 2,0</w:t>
      </w:r>
      <w:r w:rsidRPr="00B24633">
        <w:rPr>
          <w:bCs/>
          <w:sz w:val="24"/>
          <w:szCs w:val="24"/>
        </w:rPr>
        <w:t>–</w:t>
      </w:r>
      <w:r w:rsidRPr="00B24633">
        <w:rPr>
          <w:sz w:val="24"/>
          <w:szCs w:val="24"/>
        </w:rPr>
        <w:t>3,0) i de lige store tertiler og forekomsten af recidiverende VTE (p = 0,032 for interaktion). I henhold til center var HR med rivaroxaban i forhold til warfarin i den højeste tertil 0,69 (95</w:t>
      </w:r>
      <w:r w:rsidR="00054680">
        <w:rPr>
          <w:sz w:val="24"/>
          <w:szCs w:val="24"/>
        </w:rPr>
        <w:t xml:space="preserve"> %</w:t>
      </w:r>
      <w:r w:rsidRPr="00B24633">
        <w:rPr>
          <w:sz w:val="24"/>
          <w:szCs w:val="24"/>
        </w:rPr>
        <w:t xml:space="preserve"> KI: 0,35</w:t>
      </w:r>
      <w:r w:rsidRPr="00B24633">
        <w:rPr>
          <w:bCs/>
          <w:sz w:val="24"/>
          <w:szCs w:val="24"/>
        </w:rPr>
        <w:t>–</w:t>
      </w:r>
      <w:r w:rsidRPr="00B24633">
        <w:rPr>
          <w:sz w:val="24"/>
          <w:szCs w:val="24"/>
        </w:rPr>
        <w:t>1,35).</w:t>
      </w:r>
    </w:p>
    <w:p w14:paraId="1007F957" w14:textId="77777777" w:rsidR="00F61E6E" w:rsidRPr="00B24633" w:rsidRDefault="00F61E6E" w:rsidP="00B24633">
      <w:pPr>
        <w:tabs>
          <w:tab w:val="left" w:pos="851"/>
        </w:tabs>
        <w:ind w:left="851"/>
        <w:rPr>
          <w:sz w:val="24"/>
          <w:szCs w:val="24"/>
        </w:rPr>
      </w:pPr>
    </w:p>
    <w:p w14:paraId="1CF52B44" w14:textId="77777777" w:rsidR="00F61E6E" w:rsidRPr="00B24633" w:rsidRDefault="00F61E6E" w:rsidP="00B24633">
      <w:pPr>
        <w:tabs>
          <w:tab w:val="left" w:pos="851"/>
        </w:tabs>
        <w:ind w:left="851"/>
        <w:rPr>
          <w:sz w:val="24"/>
          <w:szCs w:val="24"/>
        </w:rPr>
      </w:pPr>
      <w:r w:rsidRPr="00B24633">
        <w:rPr>
          <w:sz w:val="24"/>
          <w:szCs w:val="24"/>
        </w:rPr>
        <w:t>Frekvenserne for det primære sikkerhedsendepunkt (større eller klinisk relevante mindre blødninger) samt det sekundære sikkerhedsendepunkt (større blødninger) var ens for de to behandlingsgrupper.</w:t>
      </w:r>
    </w:p>
    <w:bookmarkEnd w:id="4"/>
    <w:p w14:paraId="04898D13" w14:textId="77777777" w:rsidR="00F61E6E" w:rsidRPr="00B24633" w:rsidRDefault="00F61E6E" w:rsidP="00B24633">
      <w:pPr>
        <w:tabs>
          <w:tab w:val="left" w:pos="851"/>
        </w:tabs>
        <w:ind w:left="851"/>
        <w:rPr>
          <w:sz w:val="24"/>
          <w:szCs w:val="24"/>
        </w:rPr>
      </w:pPr>
    </w:p>
    <w:p w14:paraId="2BF5BC50" w14:textId="596301BF" w:rsidR="00F61E6E" w:rsidRDefault="00F61E6E" w:rsidP="00B24633">
      <w:pPr>
        <w:ind w:left="851"/>
        <w:rPr>
          <w:b/>
          <w:sz w:val="24"/>
          <w:szCs w:val="24"/>
        </w:rPr>
      </w:pPr>
      <w:r w:rsidRPr="00B24633">
        <w:rPr>
          <w:b/>
          <w:sz w:val="24"/>
          <w:szCs w:val="24"/>
        </w:rPr>
        <w:t>Tabel 6:</w:t>
      </w:r>
      <w:r w:rsidRPr="00B24633">
        <w:rPr>
          <w:b/>
          <w:spacing w:val="-2"/>
          <w:sz w:val="24"/>
          <w:szCs w:val="24"/>
        </w:rPr>
        <w:t xml:space="preserve"> </w:t>
      </w:r>
      <w:r w:rsidRPr="00B24633">
        <w:rPr>
          <w:b/>
          <w:sz w:val="24"/>
          <w:szCs w:val="24"/>
        </w:rPr>
        <w:t>Effekt-</w:t>
      </w:r>
      <w:r w:rsidRPr="00B24633">
        <w:rPr>
          <w:b/>
          <w:spacing w:val="-2"/>
          <w:sz w:val="24"/>
          <w:szCs w:val="24"/>
        </w:rPr>
        <w:t xml:space="preserve"> </w:t>
      </w:r>
      <w:r w:rsidRPr="00B24633">
        <w:rPr>
          <w:b/>
          <w:sz w:val="24"/>
          <w:szCs w:val="24"/>
        </w:rPr>
        <w:t>og</w:t>
      </w:r>
      <w:r w:rsidRPr="00B24633">
        <w:rPr>
          <w:b/>
          <w:spacing w:val="-2"/>
          <w:sz w:val="24"/>
          <w:szCs w:val="24"/>
        </w:rPr>
        <w:t xml:space="preserve"> </w:t>
      </w:r>
      <w:r w:rsidRPr="00B24633">
        <w:rPr>
          <w:b/>
          <w:sz w:val="24"/>
          <w:szCs w:val="24"/>
        </w:rPr>
        <w:t>sikkerhedsresultater</w:t>
      </w:r>
      <w:r w:rsidRPr="00B24633">
        <w:rPr>
          <w:b/>
          <w:spacing w:val="-3"/>
          <w:sz w:val="24"/>
          <w:szCs w:val="24"/>
        </w:rPr>
        <w:t xml:space="preserve"> </w:t>
      </w:r>
      <w:r w:rsidRPr="00B24633">
        <w:rPr>
          <w:b/>
          <w:sz w:val="24"/>
          <w:szCs w:val="24"/>
        </w:rPr>
        <w:t>fra</w:t>
      </w:r>
      <w:r w:rsidRPr="00B24633">
        <w:rPr>
          <w:b/>
          <w:spacing w:val="-2"/>
          <w:sz w:val="24"/>
          <w:szCs w:val="24"/>
        </w:rPr>
        <w:t xml:space="preserve"> </w:t>
      </w:r>
      <w:r w:rsidRPr="00B24633">
        <w:rPr>
          <w:b/>
          <w:sz w:val="24"/>
          <w:szCs w:val="24"/>
        </w:rPr>
        <w:t>fase</w:t>
      </w:r>
      <w:r w:rsidRPr="00B24633">
        <w:rPr>
          <w:b/>
          <w:spacing w:val="-4"/>
          <w:sz w:val="24"/>
          <w:szCs w:val="24"/>
        </w:rPr>
        <w:t xml:space="preserve"> </w:t>
      </w:r>
      <w:r w:rsidRPr="00B24633">
        <w:rPr>
          <w:b/>
          <w:sz w:val="24"/>
          <w:szCs w:val="24"/>
        </w:rPr>
        <w:t>III</w:t>
      </w:r>
      <w:r w:rsidRPr="00B24633">
        <w:rPr>
          <w:b/>
          <w:spacing w:val="-3"/>
          <w:sz w:val="24"/>
          <w:szCs w:val="24"/>
        </w:rPr>
        <w:t xml:space="preserve"> </w:t>
      </w:r>
      <w:r w:rsidRPr="00B24633">
        <w:rPr>
          <w:b/>
          <w:sz w:val="24"/>
          <w:szCs w:val="24"/>
        </w:rPr>
        <w:t>Einstein</w:t>
      </w:r>
      <w:r w:rsidRPr="00B24633">
        <w:rPr>
          <w:b/>
          <w:spacing w:val="-2"/>
          <w:sz w:val="24"/>
          <w:szCs w:val="24"/>
        </w:rPr>
        <w:t xml:space="preserve"> </w:t>
      </w:r>
      <w:r w:rsidRPr="00B24633">
        <w:rPr>
          <w:b/>
          <w:sz w:val="24"/>
          <w:szCs w:val="24"/>
        </w:rPr>
        <w:t>DVT</w:t>
      </w:r>
    </w:p>
    <w:p w14:paraId="4646D241" w14:textId="77777777" w:rsidR="00F21719" w:rsidRPr="00B24633" w:rsidRDefault="00F21719" w:rsidP="00B24633">
      <w:pPr>
        <w:ind w:left="851"/>
        <w:rPr>
          <w:b/>
          <w:sz w:val="24"/>
          <w:szCs w:val="24"/>
        </w:rPr>
      </w:pPr>
    </w:p>
    <w:tbl>
      <w:tblPr>
        <w:tblW w:w="0" w:type="auto"/>
        <w:tblInd w:w="8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95"/>
        <w:gridCol w:w="3043"/>
        <w:gridCol w:w="2840"/>
      </w:tblGrid>
      <w:tr w:rsidR="00F61E6E" w:rsidRPr="00F21719" w14:paraId="600EF5F5" w14:textId="77777777" w:rsidTr="00B24633">
        <w:trPr>
          <w:trHeight w:val="253"/>
        </w:trPr>
        <w:tc>
          <w:tcPr>
            <w:tcW w:w="3295" w:type="dxa"/>
          </w:tcPr>
          <w:p w14:paraId="0D461B90" w14:textId="77777777" w:rsidR="00F61E6E" w:rsidRPr="00F21719" w:rsidRDefault="00F61E6E" w:rsidP="00B24633">
            <w:pPr>
              <w:keepNext/>
              <w:autoSpaceDE w:val="0"/>
              <w:autoSpaceDN w:val="0"/>
              <w:spacing w:before="1" w:after="240" w:line="233" w:lineRule="exact"/>
              <w:ind w:left="107"/>
              <w:rPr>
                <w:b/>
                <w:sz w:val="22"/>
                <w:szCs w:val="22"/>
              </w:rPr>
            </w:pPr>
            <w:r w:rsidRPr="00F21719">
              <w:rPr>
                <w:b/>
                <w:sz w:val="22"/>
                <w:szCs w:val="22"/>
              </w:rPr>
              <w:t>Studiepopulation</w:t>
            </w:r>
          </w:p>
        </w:tc>
        <w:tc>
          <w:tcPr>
            <w:tcW w:w="5883" w:type="dxa"/>
            <w:gridSpan w:val="2"/>
          </w:tcPr>
          <w:p w14:paraId="559C1643" w14:textId="77777777" w:rsidR="00F61E6E" w:rsidRPr="00F21719" w:rsidRDefault="00F61E6E" w:rsidP="00B24633">
            <w:pPr>
              <w:keepNext/>
              <w:autoSpaceDE w:val="0"/>
              <w:autoSpaceDN w:val="0"/>
              <w:spacing w:before="1" w:after="240" w:line="233" w:lineRule="exact"/>
              <w:ind w:left="106"/>
              <w:rPr>
                <w:b/>
                <w:sz w:val="22"/>
                <w:szCs w:val="22"/>
              </w:rPr>
            </w:pPr>
            <w:r w:rsidRPr="00F21719">
              <w:rPr>
                <w:b/>
                <w:sz w:val="22"/>
                <w:szCs w:val="22"/>
              </w:rPr>
              <w:t>3.449</w:t>
            </w:r>
            <w:r w:rsidRPr="00F21719">
              <w:rPr>
                <w:b/>
                <w:spacing w:val="-3"/>
                <w:sz w:val="22"/>
                <w:szCs w:val="22"/>
              </w:rPr>
              <w:t xml:space="preserve"> patienter </w:t>
            </w:r>
            <w:r w:rsidRPr="00F21719">
              <w:rPr>
                <w:b/>
                <w:sz w:val="22"/>
                <w:szCs w:val="22"/>
              </w:rPr>
              <w:t>med</w:t>
            </w:r>
            <w:r w:rsidRPr="00F21719">
              <w:rPr>
                <w:b/>
                <w:spacing w:val="-2"/>
                <w:sz w:val="22"/>
                <w:szCs w:val="22"/>
              </w:rPr>
              <w:t xml:space="preserve"> </w:t>
            </w:r>
            <w:r w:rsidRPr="00F21719">
              <w:rPr>
                <w:b/>
                <w:sz w:val="22"/>
                <w:szCs w:val="22"/>
              </w:rPr>
              <w:t>symtomatisk</w:t>
            </w:r>
            <w:r w:rsidRPr="00F21719">
              <w:rPr>
                <w:b/>
                <w:spacing w:val="-2"/>
                <w:sz w:val="22"/>
                <w:szCs w:val="22"/>
              </w:rPr>
              <w:t xml:space="preserve"> </w:t>
            </w:r>
            <w:r w:rsidRPr="00F21719">
              <w:rPr>
                <w:b/>
                <w:sz w:val="22"/>
                <w:szCs w:val="22"/>
              </w:rPr>
              <w:t>akut</w:t>
            </w:r>
            <w:r w:rsidRPr="00F21719">
              <w:rPr>
                <w:b/>
                <w:spacing w:val="-3"/>
                <w:sz w:val="22"/>
                <w:szCs w:val="22"/>
              </w:rPr>
              <w:t xml:space="preserve"> </w:t>
            </w:r>
            <w:r w:rsidRPr="00F21719">
              <w:rPr>
                <w:b/>
                <w:sz w:val="22"/>
                <w:szCs w:val="22"/>
              </w:rPr>
              <w:t>dyb</w:t>
            </w:r>
            <w:r w:rsidRPr="00F21719">
              <w:rPr>
                <w:b/>
                <w:spacing w:val="-2"/>
                <w:sz w:val="22"/>
                <w:szCs w:val="22"/>
              </w:rPr>
              <w:t xml:space="preserve"> </w:t>
            </w:r>
            <w:r w:rsidRPr="00F21719">
              <w:rPr>
                <w:b/>
                <w:sz w:val="22"/>
                <w:szCs w:val="22"/>
              </w:rPr>
              <w:t>ventrombose</w:t>
            </w:r>
          </w:p>
        </w:tc>
      </w:tr>
      <w:tr w:rsidR="00F61E6E" w:rsidRPr="00F21719" w14:paraId="301F40E1" w14:textId="77777777" w:rsidTr="00B24633">
        <w:trPr>
          <w:trHeight w:val="758"/>
        </w:trPr>
        <w:tc>
          <w:tcPr>
            <w:tcW w:w="3295" w:type="dxa"/>
          </w:tcPr>
          <w:p w14:paraId="38FEAE3E" w14:textId="77777777" w:rsidR="00F61E6E" w:rsidRPr="00F21719" w:rsidRDefault="00F61E6E" w:rsidP="00B24633">
            <w:pPr>
              <w:widowControl w:val="0"/>
              <w:autoSpaceDE w:val="0"/>
              <w:autoSpaceDN w:val="0"/>
              <w:ind w:left="107"/>
              <w:rPr>
                <w:b/>
                <w:sz w:val="22"/>
                <w:szCs w:val="22"/>
              </w:rPr>
            </w:pPr>
            <w:r w:rsidRPr="00F21719">
              <w:rPr>
                <w:b/>
                <w:sz w:val="22"/>
                <w:szCs w:val="22"/>
              </w:rPr>
              <w:t>Terapeutisk</w:t>
            </w:r>
            <w:r w:rsidRPr="00F21719">
              <w:rPr>
                <w:b/>
                <w:spacing w:val="-2"/>
                <w:sz w:val="22"/>
                <w:szCs w:val="22"/>
              </w:rPr>
              <w:t xml:space="preserve"> </w:t>
            </w:r>
            <w:r w:rsidRPr="00F21719">
              <w:rPr>
                <w:b/>
                <w:sz w:val="22"/>
                <w:szCs w:val="22"/>
              </w:rPr>
              <w:t>dosis</w:t>
            </w:r>
            <w:r w:rsidRPr="00F21719">
              <w:rPr>
                <w:b/>
                <w:spacing w:val="-3"/>
                <w:sz w:val="22"/>
                <w:szCs w:val="22"/>
              </w:rPr>
              <w:t xml:space="preserve"> </w:t>
            </w:r>
            <w:r w:rsidRPr="00F21719">
              <w:rPr>
                <w:b/>
                <w:sz w:val="22"/>
                <w:szCs w:val="22"/>
              </w:rPr>
              <w:t>og</w:t>
            </w:r>
            <w:r w:rsidRPr="00F21719">
              <w:rPr>
                <w:b/>
                <w:spacing w:val="-2"/>
                <w:sz w:val="22"/>
                <w:szCs w:val="22"/>
              </w:rPr>
              <w:t xml:space="preserve"> </w:t>
            </w:r>
            <w:r w:rsidRPr="00F21719">
              <w:rPr>
                <w:b/>
                <w:sz w:val="22"/>
                <w:szCs w:val="22"/>
              </w:rPr>
              <w:t>varighed</w:t>
            </w:r>
          </w:p>
        </w:tc>
        <w:tc>
          <w:tcPr>
            <w:tcW w:w="3043" w:type="dxa"/>
          </w:tcPr>
          <w:p w14:paraId="1D6F4C21" w14:textId="77777777" w:rsidR="00F61E6E" w:rsidRPr="00F21719" w:rsidRDefault="00F61E6E" w:rsidP="00B24633">
            <w:pPr>
              <w:widowControl w:val="0"/>
              <w:autoSpaceDE w:val="0"/>
              <w:autoSpaceDN w:val="0"/>
              <w:spacing w:line="252" w:lineRule="exact"/>
              <w:ind w:left="106"/>
              <w:rPr>
                <w:b/>
                <w:sz w:val="22"/>
                <w:szCs w:val="22"/>
              </w:rPr>
            </w:pPr>
            <w:r w:rsidRPr="00F21719">
              <w:rPr>
                <w:b/>
                <w:sz w:val="22"/>
                <w:szCs w:val="22"/>
              </w:rPr>
              <w:t>Rivaroxaban</w:t>
            </w:r>
            <w:r w:rsidRPr="00F21719">
              <w:rPr>
                <w:b/>
                <w:sz w:val="22"/>
                <w:szCs w:val="22"/>
                <w:vertAlign w:val="superscript"/>
              </w:rPr>
              <w:t>a)</w:t>
            </w:r>
          </w:p>
          <w:p w14:paraId="51C84C07" w14:textId="77777777" w:rsidR="00F61E6E" w:rsidRPr="00F21719" w:rsidRDefault="00F61E6E" w:rsidP="00B24633">
            <w:pPr>
              <w:widowControl w:val="0"/>
              <w:autoSpaceDE w:val="0"/>
              <w:autoSpaceDN w:val="0"/>
              <w:spacing w:line="252" w:lineRule="exact"/>
              <w:ind w:left="106"/>
              <w:rPr>
                <w:b/>
                <w:sz w:val="22"/>
                <w:szCs w:val="22"/>
              </w:rPr>
            </w:pPr>
            <w:r w:rsidRPr="00F21719">
              <w:rPr>
                <w:b/>
                <w:sz w:val="22"/>
                <w:szCs w:val="22"/>
              </w:rPr>
              <w:t>3,</w:t>
            </w:r>
            <w:r w:rsidRPr="00F21719">
              <w:rPr>
                <w:b/>
                <w:spacing w:val="-2"/>
                <w:sz w:val="22"/>
                <w:szCs w:val="22"/>
              </w:rPr>
              <w:t xml:space="preserve"> </w:t>
            </w:r>
            <w:r w:rsidRPr="00F21719">
              <w:rPr>
                <w:b/>
                <w:sz w:val="22"/>
                <w:szCs w:val="22"/>
              </w:rPr>
              <w:t>6</w:t>
            </w:r>
            <w:r w:rsidRPr="00F21719">
              <w:rPr>
                <w:b/>
                <w:spacing w:val="-1"/>
                <w:sz w:val="22"/>
                <w:szCs w:val="22"/>
              </w:rPr>
              <w:t xml:space="preserve"> </w:t>
            </w:r>
            <w:r w:rsidRPr="00F21719">
              <w:rPr>
                <w:b/>
                <w:sz w:val="22"/>
                <w:szCs w:val="22"/>
              </w:rPr>
              <w:t>eller</w:t>
            </w:r>
            <w:r w:rsidRPr="00F21719">
              <w:rPr>
                <w:b/>
                <w:spacing w:val="-2"/>
                <w:sz w:val="22"/>
                <w:szCs w:val="22"/>
              </w:rPr>
              <w:t xml:space="preserve"> </w:t>
            </w:r>
            <w:r w:rsidRPr="00F21719">
              <w:rPr>
                <w:b/>
                <w:sz w:val="22"/>
                <w:szCs w:val="22"/>
              </w:rPr>
              <w:t>12</w:t>
            </w:r>
            <w:r w:rsidRPr="00F21719">
              <w:rPr>
                <w:b/>
                <w:spacing w:val="-2"/>
                <w:sz w:val="22"/>
                <w:szCs w:val="22"/>
              </w:rPr>
              <w:t> måneder</w:t>
            </w:r>
          </w:p>
          <w:p w14:paraId="0C1991AC" w14:textId="1A562289" w:rsidR="00F61E6E" w:rsidRPr="00F21719" w:rsidRDefault="00213042" w:rsidP="00B24633">
            <w:pPr>
              <w:widowControl w:val="0"/>
              <w:autoSpaceDE w:val="0"/>
              <w:autoSpaceDN w:val="0"/>
              <w:spacing w:line="233" w:lineRule="exact"/>
              <w:ind w:left="106"/>
              <w:rPr>
                <w:b/>
                <w:sz w:val="22"/>
                <w:szCs w:val="22"/>
              </w:rPr>
            </w:pPr>
            <w:r w:rsidRPr="00F21719">
              <w:rPr>
                <w:b/>
                <w:sz w:val="22"/>
                <w:szCs w:val="22"/>
              </w:rPr>
              <w:t>N</w:t>
            </w:r>
            <w:r>
              <w:rPr>
                <w:b/>
                <w:sz w:val="22"/>
                <w:szCs w:val="22"/>
              </w:rPr>
              <w:t xml:space="preserve"> </w:t>
            </w:r>
            <w:r w:rsidRPr="00F21719">
              <w:rPr>
                <w:b/>
                <w:sz w:val="22"/>
                <w:szCs w:val="22"/>
              </w:rPr>
              <w:t>=</w:t>
            </w:r>
            <w:r>
              <w:rPr>
                <w:b/>
                <w:sz w:val="22"/>
                <w:szCs w:val="22"/>
              </w:rPr>
              <w:t xml:space="preserve"> </w:t>
            </w:r>
            <w:r w:rsidRPr="00F21719">
              <w:rPr>
                <w:b/>
                <w:sz w:val="22"/>
                <w:szCs w:val="22"/>
              </w:rPr>
              <w:t>1</w:t>
            </w:r>
            <w:r w:rsidRPr="00F21719">
              <w:rPr>
                <w:b/>
                <w:spacing w:val="-1"/>
                <w:sz w:val="22"/>
                <w:szCs w:val="22"/>
              </w:rPr>
              <w:t>.</w:t>
            </w:r>
            <w:r w:rsidRPr="00F21719">
              <w:rPr>
                <w:b/>
                <w:sz w:val="22"/>
                <w:szCs w:val="22"/>
              </w:rPr>
              <w:t>731</w:t>
            </w:r>
          </w:p>
        </w:tc>
        <w:tc>
          <w:tcPr>
            <w:tcW w:w="2840" w:type="dxa"/>
          </w:tcPr>
          <w:p w14:paraId="4BF620E4" w14:textId="77777777" w:rsidR="00F61E6E" w:rsidRPr="00F21719" w:rsidRDefault="00F61E6E" w:rsidP="00B24633">
            <w:pPr>
              <w:widowControl w:val="0"/>
              <w:autoSpaceDE w:val="0"/>
              <w:autoSpaceDN w:val="0"/>
              <w:ind w:left="106"/>
              <w:rPr>
                <w:b/>
                <w:sz w:val="22"/>
                <w:szCs w:val="22"/>
              </w:rPr>
            </w:pPr>
            <w:r w:rsidRPr="00F21719">
              <w:rPr>
                <w:b/>
                <w:sz w:val="22"/>
                <w:szCs w:val="22"/>
              </w:rPr>
              <w:t>Enoxaparin/VKA</w:t>
            </w:r>
            <w:r w:rsidRPr="00F21719">
              <w:rPr>
                <w:b/>
                <w:sz w:val="22"/>
                <w:szCs w:val="22"/>
                <w:vertAlign w:val="superscript"/>
              </w:rPr>
              <w:t>b)</w:t>
            </w:r>
            <w:r w:rsidRPr="00F21719">
              <w:rPr>
                <w:b/>
                <w:spacing w:val="1"/>
                <w:sz w:val="22"/>
                <w:szCs w:val="22"/>
              </w:rPr>
              <w:t xml:space="preserve"> </w:t>
            </w:r>
            <w:r w:rsidRPr="00F21719">
              <w:rPr>
                <w:b/>
                <w:sz w:val="22"/>
                <w:szCs w:val="22"/>
              </w:rPr>
              <w:t>3,</w:t>
            </w:r>
            <w:r w:rsidRPr="00F21719">
              <w:rPr>
                <w:b/>
                <w:spacing w:val="-3"/>
                <w:sz w:val="22"/>
                <w:szCs w:val="22"/>
              </w:rPr>
              <w:t xml:space="preserve"> </w:t>
            </w:r>
            <w:r w:rsidRPr="00F21719">
              <w:rPr>
                <w:b/>
                <w:sz w:val="22"/>
                <w:szCs w:val="22"/>
              </w:rPr>
              <w:t>6</w:t>
            </w:r>
            <w:r w:rsidRPr="00F21719">
              <w:rPr>
                <w:b/>
                <w:spacing w:val="-2"/>
                <w:sz w:val="22"/>
                <w:szCs w:val="22"/>
              </w:rPr>
              <w:t xml:space="preserve"> </w:t>
            </w:r>
            <w:r w:rsidRPr="00F21719">
              <w:rPr>
                <w:b/>
                <w:sz w:val="22"/>
                <w:szCs w:val="22"/>
              </w:rPr>
              <w:t>eller</w:t>
            </w:r>
            <w:r w:rsidRPr="00F21719">
              <w:rPr>
                <w:b/>
                <w:spacing w:val="-3"/>
                <w:sz w:val="22"/>
                <w:szCs w:val="22"/>
              </w:rPr>
              <w:t xml:space="preserve"> </w:t>
            </w:r>
            <w:r w:rsidRPr="00F21719">
              <w:rPr>
                <w:b/>
                <w:sz w:val="22"/>
                <w:szCs w:val="22"/>
              </w:rPr>
              <w:t>12</w:t>
            </w:r>
            <w:r w:rsidRPr="00F21719">
              <w:rPr>
                <w:b/>
                <w:spacing w:val="-3"/>
                <w:sz w:val="22"/>
                <w:szCs w:val="22"/>
              </w:rPr>
              <w:t> måneder</w:t>
            </w:r>
          </w:p>
          <w:p w14:paraId="3C58A784" w14:textId="148CFBD7" w:rsidR="00F61E6E" w:rsidRPr="00F21719" w:rsidRDefault="00F61E6E" w:rsidP="00B24633">
            <w:pPr>
              <w:widowControl w:val="0"/>
              <w:autoSpaceDE w:val="0"/>
              <w:autoSpaceDN w:val="0"/>
              <w:spacing w:line="232" w:lineRule="exact"/>
              <w:ind w:left="106"/>
              <w:rPr>
                <w:b/>
                <w:sz w:val="22"/>
                <w:szCs w:val="22"/>
              </w:rPr>
            </w:pPr>
            <w:r w:rsidRPr="00F21719">
              <w:rPr>
                <w:b/>
                <w:sz w:val="22"/>
                <w:szCs w:val="22"/>
              </w:rPr>
              <w:t>N</w:t>
            </w:r>
            <w:r w:rsidR="00825675">
              <w:rPr>
                <w:b/>
                <w:sz w:val="22"/>
                <w:szCs w:val="22"/>
              </w:rPr>
              <w:t xml:space="preserve"> </w:t>
            </w:r>
            <w:r w:rsidRPr="00F21719">
              <w:rPr>
                <w:b/>
                <w:sz w:val="22"/>
                <w:szCs w:val="22"/>
              </w:rPr>
              <w:t>=</w:t>
            </w:r>
            <w:r w:rsidR="00825675">
              <w:rPr>
                <w:b/>
                <w:sz w:val="22"/>
                <w:szCs w:val="22"/>
              </w:rPr>
              <w:t xml:space="preserve"> </w:t>
            </w:r>
            <w:r w:rsidRPr="00F21719">
              <w:rPr>
                <w:b/>
                <w:sz w:val="22"/>
                <w:szCs w:val="22"/>
              </w:rPr>
              <w:t>1</w:t>
            </w:r>
            <w:r w:rsidRPr="00F21719">
              <w:rPr>
                <w:b/>
                <w:spacing w:val="-1"/>
                <w:sz w:val="22"/>
                <w:szCs w:val="22"/>
              </w:rPr>
              <w:t>.</w:t>
            </w:r>
            <w:r w:rsidRPr="00F21719">
              <w:rPr>
                <w:b/>
                <w:sz w:val="22"/>
                <w:szCs w:val="22"/>
              </w:rPr>
              <w:t>718</w:t>
            </w:r>
          </w:p>
        </w:tc>
      </w:tr>
      <w:tr w:rsidR="00F61E6E" w:rsidRPr="00F21719" w14:paraId="73236945" w14:textId="77777777" w:rsidTr="00B24633">
        <w:trPr>
          <w:trHeight w:val="506"/>
        </w:trPr>
        <w:tc>
          <w:tcPr>
            <w:tcW w:w="3295" w:type="dxa"/>
          </w:tcPr>
          <w:p w14:paraId="3A08CDFB" w14:textId="77777777" w:rsidR="00F61E6E" w:rsidRPr="00F21719" w:rsidRDefault="00F61E6E" w:rsidP="00B24633">
            <w:pPr>
              <w:widowControl w:val="0"/>
              <w:autoSpaceDE w:val="0"/>
              <w:autoSpaceDN w:val="0"/>
              <w:spacing w:before="127"/>
              <w:ind w:left="107"/>
              <w:rPr>
                <w:sz w:val="22"/>
                <w:szCs w:val="22"/>
              </w:rPr>
            </w:pPr>
            <w:r w:rsidRPr="00F21719">
              <w:rPr>
                <w:sz w:val="22"/>
                <w:szCs w:val="22"/>
              </w:rPr>
              <w:t>Symtomatisk</w:t>
            </w:r>
            <w:r w:rsidRPr="00F21719">
              <w:rPr>
                <w:spacing w:val="-3"/>
                <w:sz w:val="22"/>
                <w:szCs w:val="22"/>
              </w:rPr>
              <w:t xml:space="preserve"> </w:t>
            </w:r>
            <w:r w:rsidRPr="00F21719">
              <w:rPr>
                <w:sz w:val="22"/>
                <w:szCs w:val="22"/>
              </w:rPr>
              <w:t>recidiverende</w:t>
            </w:r>
            <w:r w:rsidRPr="00F21719">
              <w:rPr>
                <w:spacing w:val="-4"/>
                <w:sz w:val="22"/>
                <w:szCs w:val="22"/>
              </w:rPr>
              <w:t xml:space="preserve"> </w:t>
            </w:r>
            <w:r w:rsidRPr="00F21719">
              <w:rPr>
                <w:sz w:val="22"/>
                <w:szCs w:val="22"/>
              </w:rPr>
              <w:t>VTE*</w:t>
            </w:r>
          </w:p>
        </w:tc>
        <w:tc>
          <w:tcPr>
            <w:tcW w:w="3043" w:type="dxa"/>
          </w:tcPr>
          <w:p w14:paraId="7ED2F2A4" w14:textId="77777777" w:rsidR="00F61E6E" w:rsidRPr="00F21719" w:rsidRDefault="00F61E6E" w:rsidP="00B24633">
            <w:pPr>
              <w:widowControl w:val="0"/>
              <w:autoSpaceDE w:val="0"/>
              <w:autoSpaceDN w:val="0"/>
              <w:spacing w:line="253" w:lineRule="exact"/>
              <w:ind w:left="106"/>
              <w:rPr>
                <w:sz w:val="22"/>
                <w:szCs w:val="22"/>
              </w:rPr>
            </w:pPr>
            <w:r w:rsidRPr="00F21719">
              <w:rPr>
                <w:sz w:val="22"/>
                <w:szCs w:val="22"/>
              </w:rPr>
              <w:t>36</w:t>
            </w:r>
          </w:p>
          <w:p w14:paraId="7DB38352" w14:textId="34F2C7A8" w:rsidR="00F61E6E" w:rsidRPr="00F21719" w:rsidRDefault="00F61E6E" w:rsidP="00B24633">
            <w:pPr>
              <w:widowControl w:val="0"/>
              <w:autoSpaceDE w:val="0"/>
              <w:autoSpaceDN w:val="0"/>
              <w:spacing w:line="233" w:lineRule="exact"/>
              <w:ind w:left="106"/>
              <w:rPr>
                <w:sz w:val="22"/>
                <w:szCs w:val="22"/>
              </w:rPr>
            </w:pPr>
            <w:r w:rsidRPr="00F21719">
              <w:rPr>
                <w:sz w:val="22"/>
                <w:szCs w:val="22"/>
              </w:rPr>
              <w:t>(2,1</w:t>
            </w:r>
            <w:r w:rsidR="00054680">
              <w:rPr>
                <w:sz w:val="22"/>
                <w:szCs w:val="22"/>
              </w:rPr>
              <w:t xml:space="preserve"> %</w:t>
            </w:r>
            <w:r w:rsidRPr="00F21719">
              <w:rPr>
                <w:sz w:val="22"/>
                <w:szCs w:val="22"/>
              </w:rPr>
              <w:t>)</w:t>
            </w:r>
          </w:p>
        </w:tc>
        <w:tc>
          <w:tcPr>
            <w:tcW w:w="2840" w:type="dxa"/>
          </w:tcPr>
          <w:p w14:paraId="6AC1E9D5" w14:textId="77777777" w:rsidR="00F61E6E" w:rsidRPr="00F21719" w:rsidRDefault="00F61E6E" w:rsidP="00B24633">
            <w:pPr>
              <w:widowControl w:val="0"/>
              <w:autoSpaceDE w:val="0"/>
              <w:autoSpaceDN w:val="0"/>
              <w:spacing w:line="253" w:lineRule="exact"/>
              <w:ind w:left="106"/>
              <w:rPr>
                <w:sz w:val="22"/>
                <w:szCs w:val="22"/>
              </w:rPr>
            </w:pPr>
            <w:r w:rsidRPr="00F21719">
              <w:rPr>
                <w:sz w:val="22"/>
                <w:szCs w:val="22"/>
              </w:rPr>
              <w:t>51</w:t>
            </w:r>
          </w:p>
          <w:p w14:paraId="2C3472C3" w14:textId="66AABB54" w:rsidR="00F61E6E" w:rsidRPr="00F21719" w:rsidRDefault="00F61E6E" w:rsidP="00B24633">
            <w:pPr>
              <w:widowControl w:val="0"/>
              <w:autoSpaceDE w:val="0"/>
              <w:autoSpaceDN w:val="0"/>
              <w:spacing w:line="233" w:lineRule="exact"/>
              <w:ind w:left="106"/>
              <w:rPr>
                <w:sz w:val="22"/>
                <w:szCs w:val="22"/>
              </w:rPr>
            </w:pPr>
            <w:r w:rsidRPr="00F21719">
              <w:rPr>
                <w:sz w:val="22"/>
                <w:szCs w:val="22"/>
              </w:rPr>
              <w:t>(3,0</w:t>
            </w:r>
            <w:r w:rsidR="00054680">
              <w:rPr>
                <w:sz w:val="22"/>
                <w:szCs w:val="22"/>
              </w:rPr>
              <w:t xml:space="preserve"> %</w:t>
            </w:r>
            <w:r w:rsidRPr="00F21719">
              <w:rPr>
                <w:sz w:val="22"/>
                <w:szCs w:val="22"/>
              </w:rPr>
              <w:t>)</w:t>
            </w:r>
          </w:p>
        </w:tc>
      </w:tr>
      <w:tr w:rsidR="00F61E6E" w:rsidRPr="00F21719" w14:paraId="2EA0049B" w14:textId="77777777" w:rsidTr="00B24633">
        <w:trPr>
          <w:trHeight w:val="505"/>
        </w:trPr>
        <w:tc>
          <w:tcPr>
            <w:tcW w:w="3295" w:type="dxa"/>
          </w:tcPr>
          <w:p w14:paraId="308A7261" w14:textId="77777777" w:rsidR="00F61E6E" w:rsidRPr="00F21719" w:rsidRDefault="00F61E6E" w:rsidP="00B24633">
            <w:pPr>
              <w:widowControl w:val="0"/>
              <w:numPr>
                <w:ilvl w:val="0"/>
                <w:numId w:val="26"/>
              </w:numPr>
              <w:autoSpaceDE w:val="0"/>
              <w:autoSpaceDN w:val="0"/>
              <w:spacing w:before="121"/>
              <w:ind w:left="700" w:hanging="567"/>
              <w:rPr>
                <w:sz w:val="22"/>
                <w:szCs w:val="22"/>
              </w:rPr>
            </w:pPr>
            <w:r w:rsidRPr="00F21719">
              <w:rPr>
                <w:sz w:val="22"/>
                <w:szCs w:val="22"/>
              </w:rPr>
              <w:t>Symtomatisk recidiverende PE</w:t>
            </w:r>
          </w:p>
        </w:tc>
        <w:tc>
          <w:tcPr>
            <w:tcW w:w="3043" w:type="dxa"/>
          </w:tcPr>
          <w:p w14:paraId="4A52C5E2" w14:textId="77777777" w:rsidR="00F61E6E" w:rsidRPr="00F21719" w:rsidRDefault="00F61E6E" w:rsidP="00B24633">
            <w:pPr>
              <w:widowControl w:val="0"/>
              <w:autoSpaceDE w:val="0"/>
              <w:autoSpaceDN w:val="0"/>
              <w:spacing w:line="253" w:lineRule="exact"/>
              <w:ind w:left="106"/>
              <w:rPr>
                <w:sz w:val="22"/>
                <w:szCs w:val="22"/>
              </w:rPr>
            </w:pPr>
            <w:r w:rsidRPr="00F21719">
              <w:rPr>
                <w:sz w:val="22"/>
                <w:szCs w:val="22"/>
              </w:rPr>
              <w:t>20</w:t>
            </w:r>
          </w:p>
          <w:p w14:paraId="647E565A" w14:textId="6772D376" w:rsidR="00F61E6E" w:rsidRPr="00F21719" w:rsidRDefault="00F61E6E" w:rsidP="00B24633">
            <w:pPr>
              <w:widowControl w:val="0"/>
              <w:autoSpaceDE w:val="0"/>
              <w:autoSpaceDN w:val="0"/>
              <w:spacing w:line="233" w:lineRule="exact"/>
              <w:ind w:left="106"/>
              <w:rPr>
                <w:sz w:val="22"/>
                <w:szCs w:val="22"/>
              </w:rPr>
            </w:pPr>
            <w:r w:rsidRPr="00F21719">
              <w:rPr>
                <w:sz w:val="22"/>
                <w:szCs w:val="22"/>
              </w:rPr>
              <w:t>(1,2</w:t>
            </w:r>
            <w:r w:rsidR="00054680">
              <w:rPr>
                <w:sz w:val="22"/>
                <w:szCs w:val="22"/>
              </w:rPr>
              <w:t xml:space="preserve"> %</w:t>
            </w:r>
            <w:r w:rsidRPr="00F21719">
              <w:rPr>
                <w:sz w:val="22"/>
                <w:szCs w:val="22"/>
              </w:rPr>
              <w:t>)</w:t>
            </w:r>
          </w:p>
        </w:tc>
        <w:tc>
          <w:tcPr>
            <w:tcW w:w="2840" w:type="dxa"/>
          </w:tcPr>
          <w:p w14:paraId="5DC3A012" w14:textId="77777777" w:rsidR="00F61E6E" w:rsidRPr="00F21719" w:rsidRDefault="00F61E6E" w:rsidP="00B24633">
            <w:pPr>
              <w:widowControl w:val="0"/>
              <w:autoSpaceDE w:val="0"/>
              <w:autoSpaceDN w:val="0"/>
              <w:spacing w:line="253" w:lineRule="exact"/>
              <w:ind w:left="106"/>
              <w:rPr>
                <w:sz w:val="22"/>
                <w:szCs w:val="22"/>
              </w:rPr>
            </w:pPr>
            <w:r w:rsidRPr="00F21719">
              <w:rPr>
                <w:sz w:val="22"/>
                <w:szCs w:val="22"/>
              </w:rPr>
              <w:t>18</w:t>
            </w:r>
          </w:p>
          <w:p w14:paraId="34E0C987" w14:textId="6BEA8711" w:rsidR="00F61E6E" w:rsidRPr="00F21719" w:rsidRDefault="00F61E6E" w:rsidP="00B24633">
            <w:pPr>
              <w:widowControl w:val="0"/>
              <w:autoSpaceDE w:val="0"/>
              <w:autoSpaceDN w:val="0"/>
              <w:spacing w:line="233" w:lineRule="exact"/>
              <w:ind w:left="106"/>
              <w:rPr>
                <w:sz w:val="22"/>
                <w:szCs w:val="22"/>
              </w:rPr>
            </w:pPr>
            <w:r w:rsidRPr="00F21719">
              <w:rPr>
                <w:sz w:val="22"/>
                <w:szCs w:val="22"/>
              </w:rPr>
              <w:t>(1,0</w:t>
            </w:r>
            <w:r w:rsidR="00054680">
              <w:rPr>
                <w:sz w:val="22"/>
                <w:szCs w:val="22"/>
              </w:rPr>
              <w:t xml:space="preserve"> %</w:t>
            </w:r>
            <w:r w:rsidRPr="00F21719">
              <w:rPr>
                <w:sz w:val="22"/>
                <w:szCs w:val="22"/>
              </w:rPr>
              <w:t>)</w:t>
            </w:r>
          </w:p>
        </w:tc>
      </w:tr>
      <w:tr w:rsidR="00F61E6E" w:rsidRPr="00F21719" w14:paraId="4DE20373" w14:textId="77777777" w:rsidTr="00B24633">
        <w:trPr>
          <w:trHeight w:val="504"/>
        </w:trPr>
        <w:tc>
          <w:tcPr>
            <w:tcW w:w="3295" w:type="dxa"/>
          </w:tcPr>
          <w:p w14:paraId="4BDD6980" w14:textId="77777777" w:rsidR="00F61E6E" w:rsidRPr="00F21719" w:rsidRDefault="00F61E6E" w:rsidP="00B24633">
            <w:pPr>
              <w:widowControl w:val="0"/>
              <w:numPr>
                <w:ilvl w:val="0"/>
                <w:numId w:val="26"/>
              </w:numPr>
              <w:autoSpaceDE w:val="0"/>
              <w:autoSpaceDN w:val="0"/>
              <w:spacing w:before="121"/>
              <w:ind w:left="700" w:hanging="567"/>
              <w:rPr>
                <w:sz w:val="22"/>
                <w:szCs w:val="22"/>
              </w:rPr>
            </w:pPr>
            <w:r w:rsidRPr="00F21719">
              <w:rPr>
                <w:sz w:val="22"/>
                <w:szCs w:val="22"/>
              </w:rPr>
              <w:t>Symtomatisk recidiverende DVT</w:t>
            </w:r>
          </w:p>
        </w:tc>
        <w:tc>
          <w:tcPr>
            <w:tcW w:w="3043" w:type="dxa"/>
          </w:tcPr>
          <w:p w14:paraId="08254060" w14:textId="77777777" w:rsidR="00F61E6E" w:rsidRPr="00F21719" w:rsidRDefault="00F61E6E" w:rsidP="00B24633">
            <w:pPr>
              <w:widowControl w:val="0"/>
              <w:autoSpaceDE w:val="0"/>
              <w:autoSpaceDN w:val="0"/>
              <w:spacing w:line="251" w:lineRule="exact"/>
              <w:ind w:left="106"/>
              <w:rPr>
                <w:sz w:val="22"/>
                <w:szCs w:val="22"/>
              </w:rPr>
            </w:pPr>
            <w:r w:rsidRPr="00F21719">
              <w:rPr>
                <w:sz w:val="22"/>
                <w:szCs w:val="22"/>
              </w:rPr>
              <w:t>14</w:t>
            </w:r>
          </w:p>
          <w:p w14:paraId="1823536E" w14:textId="5610B02A" w:rsidR="00F61E6E" w:rsidRPr="00F21719" w:rsidRDefault="00F61E6E" w:rsidP="00B24633">
            <w:pPr>
              <w:widowControl w:val="0"/>
              <w:autoSpaceDE w:val="0"/>
              <w:autoSpaceDN w:val="0"/>
              <w:spacing w:line="233" w:lineRule="exact"/>
              <w:ind w:left="106"/>
              <w:rPr>
                <w:sz w:val="22"/>
                <w:szCs w:val="22"/>
              </w:rPr>
            </w:pPr>
            <w:r w:rsidRPr="00F21719">
              <w:rPr>
                <w:sz w:val="22"/>
                <w:szCs w:val="22"/>
              </w:rPr>
              <w:t>(0,8</w:t>
            </w:r>
            <w:r w:rsidR="00054680">
              <w:rPr>
                <w:sz w:val="22"/>
                <w:szCs w:val="22"/>
              </w:rPr>
              <w:t xml:space="preserve"> %</w:t>
            </w:r>
            <w:r w:rsidRPr="00F21719">
              <w:rPr>
                <w:sz w:val="22"/>
                <w:szCs w:val="22"/>
              </w:rPr>
              <w:t>)</w:t>
            </w:r>
          </w:p>
        </w:tc>
        <w:tc>
          <w:tcPr>
            <w:tcW w:w="2840" w:type="dxa"/>
          </w:tcPr>
          <w:p w14:paraId="1E44716A" w14:textId="77777777" w:rsidR="00F61E6E" w:rsidRPr="00F21719" w:rsidRDefault="00F61E6E" w:rsidP="00B24633">
            <w:pPr>
              <w:widowControl w:val="0"/>
              <w:autoSpaceDE w:val="0"/>
              <w:autoSpaceDN w:val="0"/>
              <w:spacing w:line="251" w:lineRule="exact"/>
              <w:ind w:left="106"/>
              <w:rPr>
                <w:sz w:val="22"/>
                <w:szCs w:val="22"/>
              </w:rPr>
            </w:pPr>
            <w:r w:rsidRPr="00F21719">
              <w:rPr>
                <w:sz w:val="22"/>
                <w:szCs w:val="22"/>
              </w:rPr>
              <w:t>28</w:t>
            </w:r>
          </w:p>
          <w:p w14:paraId="42BFA9CD" w14:textId="7C5F5F54" w:rsidR="00F61E6E" w:rsidRPr="00F21719" w:rsidRDefault="00F61E6E" w:rsidP="00B24633">
            <w:pPr>
              <w:widowControl w:val="0"/>
              <w:autoSpaceDE w:val="0"/>
              <w:autoSpaceDN w:val="0"/>
              <w:spacing w:line="233" w:lineRule="exact"/>
              <w:ind w:left="106"/>
              <w:rPr>
                <w:sz w:val="22"/>
                <w:szCs w:val="22"/>
              </w:rPr>
            </w:pPr>
            <w:r w:rsidRPr="00F21719">
              <w:rPr>
                <w:sz w:val="22"/>
                <w:szCs w:val="22"/>
              </w:rPr>
              <w:t>(1,6</w:t>
            </w:r>
            <w:r w:rsidR="00054680">
              <w:rPr>
                <w:sz w:val="22"/>
                <w:szCs w:val="22"/>
              </w:rPr>
              <w:t xml:space="preserve"> %</w:t>
            </w:r>
            <w:r w:rsidRPr="00F21719">
              <w:rPr>
                <w:sz w:val="22"/>
                <w:szCs w:val="22"/>
              </w:rPr>
              <w:t>)</w:t>
            </w:r>
          </w:p>
        </w:tc>
      </w:tr>
      <w:tr w:rsidR="00F61E6E" w:rsidRPr="00F21719" w14:paraId="10896ACE" w14:textId="77777777" w:rsidTr="00B24633">
        <w:trPr>
          <w:trHeight w:val="502"/>
        </w:trPr>
        <w:tc>
          <w:tcPr>
            <w:tcW w:w="3295" w:type="dxa"/>
          </w:tcPr>
          <w:p w14:paraId="72AB34C8" w14:textId="77777777" w:rsidR="00F61E6E" w:rsidRPr="00F21719" w:rsidRDefault="00F61E6E" w:rsidP="00B24633">
            <w:pPr>
              <w:widowControl w:val="0"/>
              <w:numPr>
                <w:ilvl w:val="0"/>
                <w:numId w:val="26"/>
              </w:numPr>
              <w:autoSpaceDE w:val="0"/>
              <w:autoSpaceDN w:val="0"/>
              <w:spacing w:before="121"/>
              <w:ind w:left="700" w:hanging="567"/>
              <w:rPr>
                <w:sz w:val="22"/>
                <w:szCs w:val="22"/>
              </w:rPr>
            </w:pPr>
            <w:r w:rsidRPr="00F21719">
              <w:rPr>
                <w:sz w:val="22"/>
                <w:szCs w:val="22"/>
              </w:rPr>
              <w:t>Symtomatisk PE og DVT</w:t>
            </w:r>
          </w:p>
        </w:tc>
        <w:tc>
          <w:tcPr>
            <w:tcW w:w="3043" w:type="dxa"/>
          </w:tcPr>
          <w:p w14:paraId="2D14CCFA" w14:textId="77777777" w:rsidR="00F61E6E" w:rsidRPr="00F21719" w:rsidRDefault="00F61E6E" w:rsidP="00B24633">
            <w:pPr>
              <w:widowControl w:val="0"/>
              <w:autoSpaceDE w:val="0"/>
              <w:autoSpaceDN w:val="0"/>
              <w:spacing w:line="249" w:lineRule="exact"/>
              <w:ind w:left="106"/>
              <w:rPr>
                <w:sz w:val="22"/>
                <w:szCs w:val="22"/>
              </w:rPr>
            </w:pPr>
            <w:r w:rsidRPr="00F21719">
              <w:rPr>
                <w:w w:val="99"/>
                <w:sz w:val="22"/>
                <w:szCs w:val="22"/>
              </w:rPr>
              <w:t>1</w:t>
            </w:r>
          </w:p>
          <w:p w14:paraId="12085117" w14:textId="324647CD" w:rsidR="00F61E6E" w:rsidRPr="00F21719" w:rsidRDefault="00F61E6E" w:rsidP="00B24633">
            <w:pPr>
              <w:widowControl w:val="0"/>
              <w:autoSpaceDE w:val="0"/>
              <w:autoSpaceDN w:val="0"/>
              <w:spacing w:line="233" w:lineRule="exact"/>
              <w:ind w:left="106"/>
              <w:rPr>
                <w:sz w:val="22"/>
                <w:szCs w:val="22"/>
              </w:rPr>
            </w:pPr>
            <w:r w:rsidRPr="00F21719">
              <w:rPr>
                <w:sz w:val="22"/>
                <w:szCs w:val="22"/>
              </w:rPr>
              <w:t>(0,1</w:t>
            </w:r>
            <w:r w:rsidR="00054680">
              <w:rPr>
                <w:sz w:val="22"/>
                <w:szCs w:val="22"/>
              </w:rPr>
              <w:t xml:space="preserve"> %</w:t>
            </w:r>
            <w:r w:rsidRPr="00F21719">
              <w:rPr>
                <w:sz w:val="22"/>
                <w:szCs w:val="22"/>
              </w:rPr>
              <w:t>)</w:t>
            </w:r>
          </w:p>
        </w:tc>
        <w:tc>
          <w:tcPr>
            <w:tcW w:w="2840" w:type="dxa"/>
          </w:tcPr>
          <w:p w14:paraId="641B90A8" w14:textId="77777777" w:rsidR="00F61E6E" w:rsidRPr="00F21719" w:rsidRDefault="00F61E6E" w:rsidP="00B24633">
            <w:pPr>
              <w:widowControl w:val="0"/>
              <w:autoSpaceDE w:val="0"/>
              <w:autoSpaceDN w:val="0"/>
              <w:spacing w:before="123"/>
              <w:ind w:left="106"/>
              <w:rPr>
                <w:sz w:val="22"/>
                <w:szCs w:val="22"/>
              </w:rPr>
            </w:pPr>
            <w:r w:rsidRPr="00F21719">
              <w:rPr>
                <w:w w:val="99"/>
                <w:sz w:val="22"/>
                <w:szCs w:val="22"/>
              </w:rPr>
              <w:t>0</w:t>
            </w:r>
          </w:p>
        </w:tc>
      </w:tr>
      <w:tr w:rsidR="00F61E6E" w:rsidRPr="00F21719" w14:paraId="45F6A361" w14:textId="77777777" w:rsidTr="00B24633">
        <w:trPr>
          <w:trHeight w:val="505"/>
        </w:trPr>
        <w:tc>
          <w:tcPr>
            <w:tcW w:w="3295" w:type="dxa"/>
          </w:tcPr>
          <w:p w14:paraId="02D31849" w14:textId="77777777" w:rsidR="00F61E6E" w:rsidRPr="00F21719" w:rsidRDefault="00F61E6E" w:rsidP="00B24633">
            <w:pPr>
              <w:widowControl w:val="0"/>
              <w:numPr>
                <w:ilvl w:val="0"/>
                <w:numId w:val="26"/>
              </w:numPr>
              <w:autoSpaceDE w:val="0"/>
              <w:autoSpaceDN w:val="0"/>
              <w:spacing w:before="121"/>
              <w:ind w:left="700" w:hanging="567"/>
              <w:rPr>
                <w:sz w:val="22"/>
                <w:szCs w:val="22"/>
              </w:rPr>
            </w:pPr>
            <w:r w:rsidRPr="00F21719">
              <w:rPr>
                <w:sz w:val="22"/>
                <w:szCs w:val="22"/>
              </w:rPr>
              <w:t>Dødelig PE/død, hvor PE ikke kan udelukkes</w:t>
            </w:r>
          </w:p>
        </w:tc>
        <w:tc>
          <w:tcPr>
            <w:tcW w:w="3043" w:type="dxa"/>
          </w:tcPr>
          <w:p w14:paraId="77576BE1" w14:textId="77777777" w:rsidR="00F61E6E" w:rsidRPr="00F21719" w:rsidRDefault="00F61E6E" w:rsidP="00B24633">
            <w:pPr>
              <w:widowControl w:val="0"/>
              <w:autoSpaceDE w:val="0"/>
              <w:autoSpaceDN w:val="0"/>
              <w:spacing w:line="253" w:lineRule="exact"/>
              <w:ind w:left="106"/>
              <w:rPr>
                <w:sz w:val="22"/>
                <w:szCs w:val="22"/>
              </w:rPr>
            </w:pPr>
            <w:r w:rsidRPr="00F21719">
              <w:rPr>
                <w:w w:val="99"/>
                <w:sz w:val="22"/>
                <w:szCs w:val="22"/>
              </w:rPr>
              <w:t>4</w:t>
            </w:r>
          </w:p>
          <w:p w14:paraId="6FD27BE4" w14:textId="420447D8" w:rsidR="00F61E6E" w:rsidRPr="00F21719" w:rsidRDefault="00F61E6E" w:rsidP="00B24633">
            <w:pPr>
              <w:widowControl w:val="0"/>
              <w:autoSpaceDE w:val="0"/>
              <w:autoSpaceDN w:val="0"/>
              <w:spacing w:line="233" w:lineRule="exact"/>
              <w:ind w:left="106"/>
              <w:rPr>
                <w:sz w:val="22"/>
                <w:szCs w:val="22"/>
              </w:rPr>
            </w:pPr>
            <w:r w:rsidRPr="00F21719">
              <w:rPr>
                <w:sz w:val="22"/>
                <w:szCs w:val="22"/>
              </w:rPr>
              <w:t>(0,2</w:t>
            </w:r>
            <w:r w:rsidR="00054680">
              <w:rPr>
                <w:sz w:val="22"/>
                <w:szCs w:val="22"/>
              </w:rPr>
              <w:t xml:space="preserve"> %</w:t>
            </w:r>
            <w:r w:rsidRPr="00F21719">
              <w:rPr>
                <w:sz w:val="22"/>
                <w:szCs w:val="22"/>
              </w:rPr>
              <w:t>)</w:t>
            </w:r>
          </w:p>
        </w:tc>
        <w:tc>
          <w:tcPr>
            <w:tcW w:w="2840" w:type="dxa"/>
          </w:tcPr>
          <w:p w14:paraId="78E7D2FC" w14:textId="77777777" w:rsidR="00F61E6E" w:rsidRPr="00F21719" w:rsidRDefault="00F61E6E" w:rsidP="00B24633">
            <w:pPr>
              <w:widowControl w:val="0"/>
              <w:autoSpaceDE w:val="0"/>
              <w:autoSpaceDN w:val="0"/>
              <w:spacing w:line="253" w:lineRule="exact"/>
              <w:ind w:left="106"/>
              <w:rPr>
                <w:sz w:val="22"/>
                <w:szCs w:val="22"/>
              </w:rPr>
            </w:pPr>
            <w:r w:rsidRPr="00F21719">
              <w:rPr>
                <w:w w:val="99"/>
                <w:sz w:val="22"/>
                <w:szCs w:val="22"/>
              </w:rPr>
              <w:t>6</w:t>
            </w:r>
          </w:p>
          <w:p w14:paraId="709602CF" w14:textId="275202BC" w:rsidR="00F61E6E" w:rsidRPr="00F21719" w:rsidRDefault="00F61E6E" w:rsidP="00B24633">
            <w:pPr>
              <w:widowControl w:val="0"/>
              <w:autoSpaceDE w:val="0"/>
              <w:autoSpaceDN w:val="0"/>
              <w:spacing w:line="233" w:lineRule="exact"/>
              <w:ind w:left="106"/>
              <w:rPr>
                <w:sz w:val="22"/>
                <w:szCs w:val="22"/>
              </w:rPr>
            </w:pPr>
            <w:r w:rsidRPr="00F21719">
              <w:rPr>
                <w:sz w:val="22"/>
                <w:szCs w:val="22"/>
              </w:rPr>
              <w:t>(0,3</w:t>
            </w:r>
            <w:r w:rsidR="00054680">
              <w:rPr>
                <w:sz w:val="22"/>
                <w:szCs w:val="22"/>
              </w:rPr>
              <w:t xml:space="preserve"> %</w:t>
            </w:r>
            <w:r w:rsidRPr="00F21719">
              <w:rPr>
                <w:sz w:val="22"/>
                <w:szCs w:val="22"/>
              </w:rPr>
              <w:t>)</w:t>
            </w:r>
          </w:p>
        </w:tc>
      </w:tr>
      <w:tr w:rsidR="00F61E6E" w:rsidRPr="00F21719" w14:paraId="7907F271" w14:textId="77777777" w:rsidTr="00B24633">
        <w:trPr>
          <w:trHeight w:val="504"/>
        </w:trPr>
        <w:tc>
          <w:tcPr>
            <w:tcW w:w="3295" w:type="dxa"/>
          </w:tcPr>
          <w:p w14:paraId="21E69489" w14:textId="77777777" w:rsidR="00F61E6E" w:rsidRPr="00F21719" w:rsidRDefault="00F61E6E" w:rsidP="00B24633">
            <w:pPr>
              <w:widowControl w:val="0"/>
              <w:autoSpaceDE w:val="0"/>
              <w:autoSpaceDN w:val="0"/>
              <w:spacing w:line="254" w:lineRule="exact"/>
              <w:ind w:left="107"/>
              <w:rPr>
                <w:sz w:val="22"/>
                <w:szCs w:val="22"/>
              </w:rPr>
            </w:pPr>
            <w:r w:rsidRPr="00F21719">
              <w:rPr>
                <w:sz w:val="22"/>
                <w:szCs w:val="22"/>
              </w:rPr>
              <w:t>Større eller klinisk relevant</w:t>
            </w:r>
            <w:r w:rsidRPr="00F21719">
              <w:rPr>
                <w:spacing w:val="-52"/>
                <w:sz w:val="22"/>
                <w:szCs w:val="22"/>
              </w:rPr>
              <w:t xml:space="preserve"> </w:t>
            </w:r>
            <w:r w:rsidRPr="00F21719">
              <w:rPr>
                <w:sz w:val="22"/>
                <w:szCs w:val="22"/>
              </w:rPr>
              <w:t>mindre</w:t>
            </w:r>
            <w:r w:rsidRPr="00F21719">
              <w:rPr>
                <w:spacing w:val="-2"/>
                <w:sz w:val="22"/>
                <w:szCs w:val="22"/>
              </w:rPr>
              <w:t xml:space="preserve"> </w:t>
            </w:r>
            <w:r w:rsidRPr="00F21719">
              <w:rPr>
                <w:sz w:val="22"/>
                <w:szCs w:val="22"/>
              </w:rPr>
              <w:t>blødning</w:t>
            </w:r>
          </w:p>
        </w:tc>
        <w:tc>
          <w:tcPr>
            <w:tcW w:w="3043" w:type="dxa"/>
          </w:tcPr>
          <w:p w14:paraId="25DD0C82" w14:textId="77777777" w:rsidR="00F61E6E" w:rsidRPr="00F21719" w:rsidRDefault="00F61E6E" w:rsidP="00B24633">
            <w:pPr>
              <w:widowControl w:val="0"/>
              <w:autoSpaceDE w:val="0"/>
              <w:autoSpaceDN w:val="0"/>
              <w:spacing w:line="251" w:lineRule="exact"/>
              <w:ind w:left="106"/>
              <w:rPr>
                <w:sz w:val="22"/>
                <w:szCs w:val="22"/>
              </w:rPr>
            </w:pPr>
            <w:r w:rsidRPr="00F21719">
              <w:rPr>
                <w:sz w:val="22"/>
                <w:szCs w:val="22"/>
              </w:rPr>
              <w:t>139</w:t>
            </w:r>
          </w:p>
          <w:p w14:paraId="2C35AEAB" w14:textId="7778DEDE" w:rsidR="00F61E6E" w:rsidRPr="00F21719" w:rsidRDefault="00F61E6E" w:rsidP="00B24633">
            <w:pPr>
              <w:widowControl w:val="0"/>
              <w:autoSpaceDE w:val="0"/>
              <w:autoSpaceDN w:val="0"/>
              <w:spacing w:line="233" w:lineRule="exact"/>
              <w:ind w:left="106"/>
              <w:rPr>
                <w:sz w:val="22"/>
                <w:szCs w:val="22"/>
              </w:rPr>
            </w:pPr>
            <w:r w:rsidRPr="00F21719">
              <w:rPr>
                <w:sz w:val="22"/>
                <w:szCs w:val="22"/>
              </w:rPr>
              <w:t>(8,1</w:t>
            </w:r>
            <w:r w:rsidR="00054680">
              <w:rPr>
                <w:sz w:val="22"/>
                <w:szCs w:val="22"/>
              </w:rPr>
              <w:t xml:space="preserve"> %</w:t>
            </w:r>
            <w:r w:rsidRPr="00F21719">
              <w:rPr>
                <w:sz w:val="22"/>
                <w:szCs w:val="22"/>
              </w:rPr>
              <w:t>)</w:t>
            </w:r>
          </w:p>
        </w:tc>
        <w:tc>
          <w:tcPr>
            <w:tcW w:w="2840" w:type="dxa"/>
          </w:tcPr>
          <w:p w14:paraId="227AAEFD" w14:textId="77777777" w:rsidR="00F61E6E" w:rsidRPr="00F21719" w:rsidRDefault="00F61E6E" w:rsidP="00B24633">
            <w:pPr>
              <w:widowControl w:val="0"/>
              <w:autoSpaceDE w:val="0"/>
              <w:autoSpaceDN w:val="0"/>
              <w:spacing w:line="251" w:lineRule="exact"/>
              <w:ind w:left="106"/>
              <w:rPr>
                <w:sz w:val="22"/>
                <w:szCs w:val="22"/>
              </w:rPr>
            </w:pPr>
            <w:r w:rsidRPr="00F21719">
              <w:rPr>
                <w:sz w:val="22"/>
                <w:szCs w:val="22"/>
              </w:rPr>
              <w:t>138</w:t>
            </w:r>
          </w:p>
          <w:p w14:paraId="5797E3B8" w14:textId="04FD3DA7" w:rsidR="00F61E6E" w:rsidRPr="00F21719" w:rsidRDefault="00F61E6E" w:rsidP="00B24633">
            <w:pPr>
              <w:widowControl w:val="0"/>
              <w:autoSpaceDE w:val="0"/>
              <w:autoSpaceDN w:val="0"/>
              <w:spacing w:line="233" w:lineRule="exact"/>
              <w:ind w:left="106"/>
              <w:rPr>
                <w:sz w:val="22"/>
                <w:szCs w:val="22"/>
              </w:rPr>
            </w:pPr>
            <w:r w:rsidRPr="00F21719">
              <w:rPr>
                <w:sz w:val="22"/>
                <w:szCs w:val="22"/>
              </w:rPr>
              <w:t>(8,1</w:t>
            </w:r>
            <w:r w:rsidR="00054680">
              <w:rPr>
                <w:sz w:val="22"/>
                <w:szCs w:val="22"/>
              </w:rPr>
              <w:t xml:space="preserve"> %</w:t>
            </w:r>
            <w:r w:rsidRPr="00F21719">
              <w:rPr>
                <w:sz w:val="22"/>
                <w:szCs w:val="22"/>
              </w:rPr>
              <w:t>)</w:t>
            </w:r>
          </w:p>
        </w:tc>
      </w:tr>
      <w:tr w:rsidR="00F61E6E" w:rsidRPr="00F21719" w14:paraId="621A2A21" w14:textId="77777777" w:rsidTr="00B24633">
        <w:trPr>
          <w:trHeight w:val="502"/>
        </w:trPr>
        <w:tc>
          <w:tcPr>
            <w:tcW w:w="3295" w:type="dxa"/>
          </w:tcPr>
          <w:p w14:paraId="40ECC8C5" w14:textId="77777777" w:rsidR="00F61E6E" w:rsidRPr="00F21719" w:rsidRDefault="00F61E6E" w:rsidP="00B24633">
            <w:pPr>
              <w:widowControl w:val="0"/>
              <w:autoSpaceDE w:val="0"/>
              <w:autoSpaceDN w:val="0"/>
              <w:spacing w:before="123"/>
              <w:ind w:left="107"/>
              <w:rPr>
                <w:sz w:val="22"/>
                <w:szCs w:val="22"/>
              </w:rPr>
            </w:pPr>
            <w:r w:rsidRPr="00F21719">
              <w:rPr>
                <w:sz w:val="22"/>
                <w:szCs w:val="22"/>
              </w:rPr>
              <w:t>Større</w:t>
            </w:r>
            <w:r w:rsidRPr="00F21719">
              <w:rPr>
                <w:spacing w:val="-2"/>
                <w:sz w:val="22"/>
                <w:szCs w:val="22"/>
              </w:rPr>
              <w:t xml:space="preserve"> </w:t>
            </w:r>
            <w:r w:rsidRPr="00F21719">
              <w:rPr>
                <w:sz w:val="22"/>
                <w:szCs w:val="22"/>
              </w:rPr>
              <w:t>blødning</w:t>
            </w:r>
          </w:p>
        </w:tc>
        <w:tc>
          <w:tcPr>
            <w:tcW w:w="3043" w:type="dxa"/>
          </w:tcPr>
          <w:p w14:paraId="56DF00D0" w14:textId="77777777" w:rsidR="00F61E6E" w:rsidRPr="00F21719" w:rsidRDefault="00F61E6E" w:rsidP="00B24633">
            <w:pPr>
              <w:widowControl w:val="0"/>
              <w:autoSpaceDE w:val="0"/>
              <w:autoSpaceDN w:val="0"/>
              <w:spacing w:line="249" w:lineRule="exact"/>
              <w:ind w:left="106"/>
              <w:rPr>
                <w:sz w:val="22"/>
                <w:szCs w:val="22"/>
              </w:rPr>
            </w:pPr>
            <w:r w:rsidRPr="00F21719">
              <w:rPr>
                <w:sz w:val="22"/>
                <w:szCs w:val="22"/>
              </w:rPr>
              <w:t>14</w:t>
            </w:r>
          </w:p>
          <w:p w14:paraId="442EFDD5" w14:textId="75D08DA5" w:rsidR="00F61E6E" w:rsidRPr="00F21719" w:rsidRDefault="00F61E6E" w:rsidP="00B24633">
            <w:pPr>
              <w:widowControl w:val="0"/>
              <w:autoSpaceDE w:val="0"/>
              <w:autoSpaceDN w:val="0"/>
              <w:spacing w:line="233" w:lineRule="exact"/>
              <w:ind w:left="106"/>
              <w:rPr>
                <w:sz w:val="22"/>
                <w:szCs w:val="22"/>
              </w:rPr>
            </w:pPr>
            <w:r w:rsidRPr="00F21719">
              <w:rPr>
                <w:sz w:val="22"/>
                <w:szCs w:val="22"/>
              </w:rPr>
              <w:t>(0,8</w:t>
            </w:r>
            <w:r w:rsidR="00054680">
              <w:rPr>
                <w:sz w:val="22"/>
                <w:szCs w:val="22"/>
              </w:rPr>
              <w:t xml:space="preserve"> %</w:t>
            </w:r>
            <w:r w:rsidRPr="00F21719">
              <w:rPr>
                <w:sz w:val="22"/>
                <w:szCs w:val="22"/>
              </w:rPr>
              <w:t>)</w:t>
            </w:r>
          </w:p>
        </w:tc>
        <w:tc>
          <w:tcPr>
            <w:tcW w:w="2840" w:type="dxa"/>
          </w:tcPr>
          <w:p w14:paraId="59CCBF27" w14:textId="77777777" w:rsidR="00F61E6E" w:rsidRPr="00F21719" w:rsidRDefault="00F61E6E" w:rsidP="00B24633">
            <w:pPr>
              <w:widowControl w:val="0"/>
              <w:autoSpaceDE w:val="0"/>
              <w:autoSpaceDN w:val="0"/>
              <w:spacing w:line="249" w:lineRule="exact"/>
              <w:ind w:left="106"/>
              <w:rPr>
                <w:sz w:val="22"/>
                <w:szCs w:val="22"/>
              </w:rPr>
            </w:pPr>
            <w:r w:rsidRPr="00F21719">
              <w:rPr>
                <w:sz w:val="22"/>
                <w:szCs w:val="22"/>
              </w:rPr>
              <w:t>20</w:t>
            </w:r>
          </w:p>
          <w:p w14:paraId="1ECE0ECA" w14:textId="3B075477" w:rsidR="00F61E6E" w:rsidRPr="00F21719" w:rsidRDefault="00F61E6E" w:rsidP="00B24633">
            <w:pPr>
              <w:widowControl w:val="0"/>
              <w:autoSpaceDE w:val="0"/>
              <w:autoSpaceDN w:val="0"/>
              <w:spacing w:line="233" w:lineRule="exact"/>
              <w:ind w:left="106"/>
              <w:rPr>
                <w:sz w:val="22"/>
                <w:szCs w:val="22"/>
              </w:rPr>
            </w:pPr>
            <w:r w:rsidRPr="00F21719">
              <w:rPr>
                <w:sz w:val="22"/>
                <w:szCs w:val="22"/>
              </w:rPr>
              <w:t>(1,2</w:t>
            </w:r>
            <w:r w:rsidR="00054680">
              <w:rPr>
                <w:sz w:val="22"/>
                <w:szCs w:val="22"/>
              </w:rPr>
              <w:t xml:space="preserve"> %</w:t>
            </w:r>
            <w:r w:rsidRPr="00F21719">
              <w:rPr>
                <w:sz w:val="22"/>
                <w:szCs w:val="22"/>
              </w:rPr>
              <w:t>)</w:t>
            </w:r>
          </w:p>
        </w:tc>
      </w:tr>
    </w:tbl>
    <w:p w14:paraId="20CF3085" w14:textId="77777777" w:rsidR="00F61E6E" w:rsidRPr="00F21719" w:rsidRDefault="00F61E6E" w:rsidP="00B24633">
      <w:pPr>
        <w:tabs>
          <w:tab w:val="left" w:pos="851"/>
        </w:tabs>
        <w:ind w:left="851"/>
        <w:rPr>
          <w:sz w:val="22"/>
          <w:szCs w:val="22"/>
        </w:rPr>
      </w:pPr>
      <w:r w:rsidRPr="00F21719">
        <w:rPr>
          <w:sz w:val="22"/>
          <w:szCs w:val="22"/>
          <w:vertAlign w:val="superscript"/>
        </w:rPr>
        <w:t>a)</w:t>
      </w:r>
      <w:r w:rsidRPr="00F21719">
        <w:rPr>
          <w:sz w:val="22"/>
          <w:szCs w:val="22"/>
        </w:rPr>
        <w:t xml:space="preserve"> Rivaroxaban 15 mg to gange dagligt i tre uger efterfulgt af 20 mg én gang dagligt</w:t>
      </w:r>
    </w:p>
    <w:p w14:paraId="478533CF" w14:textId="77777777" w:rsidR="00F61E6E" w:rsidRPr="00F21719" w:rsidRDefault="00F61E6E" w:rsidP="00B24633">
      <w:pPr>
        <w:tabs>
          <w:tab w:val="left" w:pos="851"/>
        </w:tabs>
        <w:ind w:left="851"/>
        <w:rPr>
          <w:sz w:val="22"/>
          <w:szCs w:val="22"/>
        </w:rPr>
      </w:pPr>
      <w:r w:rsidRPr="00F21719">
        <w:rPr>
          <w:sz w:val="22"/>
          <w:szCs w:val="22"/>
          <w:vertAlign w:val="superscript"/>
        </w:rPr>
        <w:t>b)</w:t>
      </w:r>
      <w:r w:rsidRPr="00F21719">
        <w:rPr>
          <w:sz w:val="22"/>
          <w:szCs w:val="22"/>
        </w:rPr>
        <w:t xml:space="preserve"> Enoxaparin i mindst 5 dage overlappet med og efterfulgt af VKA</w:t>
      </w:r>
    </w:p>
    <w:p w14:paraId="5C216FB4" w14:textId="77777777" w:rsidR="00F61E6E" w:rsidRPr="00F21719" w:rsidRDefault="00F61E6E" w:rsidP="00B24633">
      <w:pPr>
        <w:tabs>
          <w:tab w:val="left" w:pos="851"/>
        </w:tabs>
        <w:ind w:left="851"/>
        <w:rPr>
          <w:sz w:val="22"/>
          <w:szCs w:val="22"/>
        </w:rPr>
      </w:pPr>
      <w:r w:rsidRPr="00F21719">
        <w:rPr>
          <w:sz w:val="22"/>
          <w:szCs w:val="22"/>
        </w:rPr>
        <w:t>* p &lt; 0,0001 (non-inferioritet i forhold til en forudspecificeret HR på 2,0); HR: 0,680 (0,443 ‒ 1,042), p = 0,076 (superioritet)</w:t>
      </w:r>
    </w:p>
    <w:p w14:paraId="09C72EA0" w14:textId="77777777" w:rsidR="00F61E6E" w:rsidRPr="00B24633" w:rsidRDefault="00F61E6E" w:rsidP="00B24633">
      <w:pPr>
        <w:tabs>
          <w:tab w:val="left" w:pos="851"/>
        </w:tabs>
        <w:ind w:left="851"/>
        <w:rPr>
          <w:sz w:val="24"/>
          <w:szCs w:val="24"/>
        </w:rPr>
      </w:pPr>
    </w:p>
    <w:p w14:paraId="3954689F" w14:textId="3621736A" w:rsidR="00F61E6E" w:rsidRPr="00B24633" w:rsidRDefault="00F61E6E" w:rsidP="00B24633">
      <w:pPr>
        <w:tabs>
          <w:tab w:val="left" w:pos="851"/>
        </w:tabs>
        <w:ind w:left="851"/>
        <w:rPr>
          <w:sz w:val="24"/>
          <w:szCs w:val="24"/>
        </w:rPr>
      </w:pPr>
      <w:bookmarkStart w:id="5" w:name="_Hlk134533417"/>
      <w:r w:rsidRPr="00B24633">
        <w:rPr>
          <w:sz w:val="24"/>
          <w:szCs w:val="24"/>
        </w:rPr>
        <w:lastRenderedPageBreak/>
        <w:t>I Einstein PE-studiet (se tabel 7) blev rivaroxaban påvist at være non-inferiørt sammenlignet med enoxaparin/VKA med hensyn til det primære effektendepunkt (p = 0,0026 (test for non-inferioritet); HR: 1,123 (0,749 ‒ 1,684)). Den fordspecificerede kliniske nettofordel (primært effektendepunkt plus større blødning) blev indberettet med en HR på 0,849 ((95</w:t>
      </w:r>
      <w:r w:rsidR="00054680">
        <w:rPr>
          <w:sz w:val="24"/>
          <w:szCs w:val="24"/>
        </w:rPr>
        <w:t xml:space="preserve"> %</w:t>
      </w:r>
      <w:r w:rsidRPr="00B24633">
        <w:rPr>
          <w:sz w:val="24"/>
          <w:szCs w:val="24"/>
        </w:rPr>
        <w:t xml:space="preserve"> KI: 0,633 ‒ 1,139), nominel p-værdi p = 0,275). INR-værdierne var indenfor det terapeutiske område gennemsnitligt 63</w:t>
      </w:r>
      <w:r w:rsidR="00054680">
        <w:rPr>
          <w:sz w:val="24"/>
          <w:szCs w:val="24"/>
        </w:rPr>
        <w:t xml:space="preserve"> %</w:t>
      </w:r>
      <w:r w:rsidRPr="00B24633">
        <w:rPr>
          <w:sz w:val="24"/>
          <w:szCs w:val="24"/>
        </w:rPr>
        <w:t xml:space="preserve"> af tiden ved middelbehandlings</w:t>
      </w:r>
      <w:r w:rsidR="00E65BA3">
        <w:rPr>
          <w:sz w:val="24"/>
          <w:szCs w:val="24"/>
        </w:rPr>
        <w:softHyphen/>
      </w:r>
      <w:r w:rsidRPr="00B24633">
        <w:rPr>
          <w:sz w:val="24"/>
          <w:szCs w:val="24"/>
        </w:rPr>
        <w:t>varighed på 215 dage, og 57</w:t>
      </w:r>
      <w:r w:rsidR="00054680">
        <w:rPr>
          <w:sz w:val="24"/>
          <w:szCs w:val="24"/>
        </w:rPr>
        <w:t xml:space="preserve"> %</w:t>
      </w:r>
      <w:r w:rsidRPr="00B24633">
        <w:rPr>
          <w:sz w:val="24"/>
          <w:szCs w:val="24"/>
        </w:rPr>
        <w:t>, 62</w:t>
      </w:r>
      <w:r w:rsidR="00054680">
        <w:rPr>
          <w:sz w:val="24"/>
          <w:szCs w:val="24"/>
        </w:rPr>
        <w:t xml:space="preserve"> %</w:t>
      </w:r>
      <w:r w:rsidRPr="00B24633">
        <w:rPr>
          <w:sz w:val="24"/>
          <w:szCs w:val="24"/>
        </w:rPr>
        <w:t xml:space="preserve"> og 65</w:t>
      </w:r>
      <w:r w:rsidR="00054680">
        <w:rPr>
          <w:sz w:val="24"/>
          <w:szCs w:val="24"/>
        </w:rPr>
        <w:t xml:space="preserve"> %</w:t>
      </w:r>
      <w:r w:rsidRPr="00B24633">
        <w:rPr>
          <w:sz w:val="24"/>
          <w:szCs w:val="24"/>
        </w:rPr>
        <w:t xml:space="preserve"> af tiden i grupperne med en planlagt behandlingstid på henholdsvis 3, 6 og 12 måneder. I enoxaparin/VKA-gruppen var der ingen klar sammenhæng mellem niveauet for middel center-TTR (tid i target INR-niveauet på 2,0-3,0) i de lige store tertiler og forekomsten af recidiverende VTE (p = 0,082 for interaktion). I henhold til center var HR med rivaroxaban i forhold til warfarin i den højeste tertil (0,642 (95</w:t>
      </w:r>
      <w:r w:rsidR="00054680">
        <w:rPr>
          <w:sz w:val="24"/>
          <w:szCs w:val="24"/>
        </w:rPr>
        <w:t xml:space="preserve"> %</w:t>
      </w:r>
      <w:r w:rsidRPr="00B24633">
        <w:rPr>
          <w:sz w:val="24"/>
          <w:szCs w:val="24"/>
        </w:rPr>
        <w:t xml:space="preserve"> KI: 0,277 ‒ 1,484).</w:t>
      </w:r>
    </w:p>
    <w:p w14:paraId="763E73F3" w14:textId="77777777" w:rsidR="00F61E6E" w:rsidRPr="00B24633" w:rsidRDefault="00F61E6E" w:rsidP="00B24633">
      <w:pPr>
        <w:tabs>
          <w:tab w:val="left" w:pos="851"/>
        </w:tabs>
        <w:ind w:left="851"/>
        <w:rPr>
          <w:sz w:val="24"/>
          <w:szCs w:val="24"/>
        </w:rPr>
      </w:pPr>
    </w:p>
    <w:p w14:paraId="54F32976" w14:textId="037FD051" w:rsidR="00F61E6E" w:rsidRPr="00B24633" w:rsidRDefault="00F61E6E" w:rsidP="00B24633">
      <w:pPr>
        <w:tabs>
          <w:tab w:val="left" w:pos="851"/>
        </w:tabs>
        <w:ind w:left="851"/>
        <w:rPr>
          <w:sz w:val="24"/>
          <w:szCs w:val="24"/>
        </w:rPr>
      </w:pPr>
      <w:r w:rsidRPr="00B24633">
        <w:rPr>
          <w:sz w:val="24"/>
          <w:szCs w:val="24"/>
        </w:rPr>
        <w:t>Frekvensen af det primære sikkerhedsendepunkt (større eller klinisk relevante mindre blødninger) var lidt lavere i rivaroxaban-behandlingsgruppen (10,3</w:t>
      </w:r>
      <w:r w:rsidR="00054680">
        <w:rPr>
          <w:sz w:val="24"/>
          <w:szCs w:val="24"/>
        </w:rPr>
        <w:t xml:space="preserve"> %</w:t>
      </w:r>
      <w:r w:rsidRPr="00B24633">
        <w:rPr>
          <w:sz w:val="24"/>
          <w:szCs w:val="24"/>
        </w:rPr>
        <w:t xml:space="preserve"> (249/2.412)) end i enoxaparin/VKA-gruppen (11,4</w:t>
      </w:r>
      <w:r w:rsidR="00054680">
        <w:rPr>
          <w:sz w:val="24"/>
          <w:szCs w:val="24"/>
        </w:rPr>
        <w:t xml:space="preserve"> %</w:t>
      </w:r>
      <w:r w:rsidRPr="00B24633">
        <w:rPr>
          <w:sz w:val="24"/>
          <w:szCs w:val="24"/>
        </w:rPr>
        <w:t xml:space="preserve"> (274/2.405). Frekvensen af det sekundære sikkerhedsendepunkt (større blødninger) var lavere i rivaroxabangruppen (1,1</w:t>
      </w:r>
      <w:r w:rsidR="00054680">
        <w:rPr>
          <w:sz w:val="24"/>
          <w:szCs w:val="24"/>
        </w:rPr>
        <w:t xml:space="preserve"> %</w:t>
      </w:r>
      <w:r w:rsidRPr="00B24633">
        <w:rPr>
          <w:sz w:val="24"/>
          <w:szCs w:val="24"/>
        </w:rPr>
        <w:t xml:space="preserve"> (26/2.412) end i enoxaparin/VKA-gruppen (2,2</w:t>
      </w:r>
      <w:r w:rsidR="00054680">
        <w:rPr>
          <w:sz w:val="24"/>
          <w:szCs w:val="24"/>
        </w:rPr>
        <w:t xml:space="preserve"> %</w:t>
      </w:r>
      <w:r w:rsidRPr="00B24633">
        <w:rPr>
          <w:sz w:val="24"/>
          <w:szCs w:val="24"/>
        </w:rPr>
        <w:t xml:space="preserve"> (52/2.405) med en HR på 0,493 (95</w:t>
      </w:r>
      <w:r w:rsidR="00054680">
        <w:rPr>
          <w:sz w:val="24"/>
          <w:szCs w:val="24"/>
        </w:rPr>
        <w:t xml:space="preserve"> %</w:t>
      </w:r>
      <w:r w:rsidRPr="00B24633">
        <w:rPr>
          <w:sz w:val="24"/>
          <w:szCs w:val="24"/>
        </w:rPr>
        <w:t xml:space="preserve"> KI: 0,308 ‒ 0,789).</w:t>
      </w:r>
    </w:p>
    <w:p w14:paraId="44FFE8FD" w14:textId="77777777" w:rsidR="00AF570B" w:rsidRPr="00B24633" w:rsidRDefault="00AF570B" w:rsidP="00B24633">
      <w:pPr>
        <w:tabs>
          <w:tab w:val="left" w:pos="851"/>
        </w:tabs>
        <w:ind w:left="851"/>
        <w:rPr>
          <w:sz w:val="24"/>
          <w:szCs w:val="24"/>
        </w:rPr>
      </w:pPr>
    </w:p>
    <w:bookmarkEnd w:id="5"/>
    <w:p w14:paraId="0F8A7B32" w14:textId="4A85E687" w:rsidR="00F61E6E" w:rsidRDefault="00F61E6E" w:rsidP="00B24633">
      <w:pPr>
        <w:ind w:left="851"/>
        <w:rPr>
          <w:b/>
          <w:sz w:val="24"/>
          <w:szCs w:val="24"/>
        </w:rPr>
      </w:pPr>
      <w:r w:rsidRPr="00B24633">
        <w:rPr>
          <w:b/>
          <w:sz w:val="24"/>
          <w:szCs w:val="24"/>
        </w:rPr>
        <w:t>Tabel 7: Effekt- og sikkerhedsresultater fra fase III Einstein PE</w:t>
      </w:r>
    </w:p>
    <w:p w14:paraId="0DE9B5C4" w14:textId="77777777" w:rsidR="00F21719" w:rsidRPr="00B24633" w:rsidRDefault="00F21719" w:rsidP="00B24633">
      <w:pPr>
        <w:ind w:left="851"/>
        <w:rPr>
          <w:b/>
          <w:sz w:val="24"/>
          <w:szCs w:val="24"/>
        </w:rPr>
      </w:pPr>
    </w:p>
    <w:tbl>
      <w:tblPr>
        <w:tblW w:w="0" w:type="auto"/>
        <w:tblInd w:w="8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95"/>
        <w:gridCol w:w="3043"/>
        <w:gridCol w:w="2841"/>
      </w:tblGrid>
      <w:tr w:rsidR="00F61E6E" w:rsidRPr="00F21719" w14:paraId="34B320E3" w14:textId="77777777" w:rsidTr="00B24633">
        <w:trPr>
          <w:trHeight w:val="252"/>
        </w:trPr>
        <w:tc>
          <w:tcPr>
            <w:tcW w:w="3295" w:type="dxa"/>
          </w:tcPr>
          <w:p w14:paraId="4EA4F326" w14:textId="77777777" w:rsidR="00F61E6E" w:rsidRPr="00F21719" w:rsidRDefault="00F61E6E" w:rsidP="00B24633">
            <w:pPr>
              <w:keepNext/>
              <w:widowControl w:val="0"/>
              <w:autoSpaceDE w:val="0"/>
              <w:autoSpaceDN w:val="0"/>
              <w:spacing w:after="240" w:line="233" w:lineRule="exact"/>
              <w:ind w:left="107"/>
              <w:jc w:val="both"/>
              <w:rPr>
                <w:b/>
                <w:sz w:val="22"/>
                <w:szCs w:val="22"/>
              </w:rPr>
            </w:pPr>
            <w:r w:rsidRPr="00F21719">
              <w:rPr>
                <w:b/>
                <w:sz w:val="22"/>
                <w:szCs w:val="22"/>
              </w:rPr>
              <w:t>Studiepopulation</w:t>
            </w:r>
          </w:p>
        </w:tc>
        <w:tc>
          <w:tcPr>
            <w:tcW w:w="5884" w:type="dxa"/>
            <w:gridSpan w:val="2"/>
          </w:tcPr>
          <w:p w14:paraId="2910C54F" w14:textId="77777777" w:rsidR="00F61E6E" w:rsidRPr="00F21719" w:rsidRDefault="00F61E6E" w:rsidP="00B24633">
            <w:pPr>
              <w:rPr>
                <w:b/>
                <w:bCs/>
                <w:sz w:val="22"/>
                <w:szCs w:val="22"/>
              </w:rPr>
            </w:pPr>
            <w:r w:rsidRPr="00F21719">
              <w:rPr>
                <w:b/>
                <w:bCs/>
                <w:sz w:val="22"/>
                <w:szCs w:val="22"/>
              </w:rPr>
              <w:t>4.832</w:t>
            </w:r>
            <w:r w:rsidRPr="00F21719">
              <w:rPr>
                <w:b/>
                <w:bCs/>
                <w:spacing w:val="52"/>
                <w:sz w:val="22"/>
                <w:szCs w:val="22"/>
              </w:rPr>
              <w:t> </w:t>
            </w:r>
            <w:r w:rsidRPr="00F21719">
              <w:rPr>
                <w:b/>
                <w:bCs/>
                <w:sz w:val="22"/>
                <w:szCs w:val="22"/>
              </w:rPr>
              <w:t>patienter med</w:t>
            </w:r>
            <w:r w:rsidRPr="00F21719">
              <w:rPr>
                <w:b/>
                <w:bCs/>
                <w:spacing w:val="-1"/>
                <w:sz w:val="22"/>
                <w:szCs w:val="22"/>
              </w:rPr>
              <w:t xml:space="preserve"> </w:t>
            </w:r>
            <w:r w:rsidRPr="00F21719">
              <w:rPr>
                <w:b/>
                <w:bCs/>
                <w:sz w:val="22"/>
                <w:szCs w:val="22"/>
              </w:rPr>
              <w:t>akut</w:t>
            </w:r>
            <w:r w:rsidRPr="00F21719">
              <w:rPr>
                <w:b/>
                <w:bCs/>
                <w:spacing w:val="-2"/>
                <w:sz w:val="22"/>
                <w:szCs w:val="22"/>
              </w:rPr>
              <w:t xml:space="preserve"> </w:t>
            </w:r>
            <w:r w:rsidRPr="00F21719">
              <w:rPr>
                <w:b/>
                <w:bCs/>
                <w:sz w:val="22"/>
                <w:szCs w:val="22"/>
              </w:rPr>
              <w:t>symtomatisk</w:t>
            </w:r>
            <w:r w:rsidRPr="00F21719">
              <w:rPr>
                <w:b/>
                <w:bCs/>
                <w:spacing w:val="-1"/>
                <w:sz w:val="22"/>
                <w:szCs w:val="22"/>
              </w:rPr>
              <w:t xml:space="preserve"> </w:t>
            </w:r>
            <w:r w:rsidRPr="00F21719">
              <w:rPr>
                <w:b/>
                <w:bCs/>
                <w:sz w:val="22"/>
                <w:szCs w:val="22"/>
              </w:rPr>
              <w:t>PE</w:t>
            </w:r>
          </w:p>
          <w:p w14:paraId="036E2CA3" w14:textId="77777777" w:rsidR="00F61E6E" w:rsidRPr="00F21719" w:rsidRDefault="00F61E6E" w:rsidP="00B24633">
            <w:pPr>
              <w:rPr>
                <w:sz w:val="22"/>
                <w:szCs w:val="22"/>
              </w:rPr>
            </w:pPr>
          </w:p>
        </w:tc>
      </w:tr>
      <w:tr w:rsidR="00F61E6E" w:rsidRPr="00F21719" w14:paraId="7DB064A8" w14:textId="77777777" w:rsidTr="00B24633">
        <w:trPr>
          <w:trHeight w:val="759"/>
        </w:trPr>
        <w:tc>
          <w:tcPr>
            <w:tcW w:w="3295" w:type="dxa"/>
          </w:tcPr>
          <w:p w14:paraId="57017CBB" w14:textId="77777777" w:rsidR="00F61E6E" w:rsidRPr="00F21719" w:rsidRDefault="00F61E6E" w:rsidP="00B24633">
            <w:pPr>
              <w:widowControl w:val="0"/>
              <w:autoSpaceDE w:val="0"/>
              <w:autoSpaceDN w:val="0"/>
              <w:ind w:left="107"/>
              <w:rPr>
                <w:b/>
                <w:sz w:val="22"/>
                <w:szCs w:val="22"/>
              </w:rPr>
            </w:pPr>
            <w:r w:rsidRPr="00F21719">
              <w:rPr>
                <w:b/>
                <w:sz w:val="22"/>
                <w:szCs w:val="22"/>
              </w:rPr>
              <w:t>Terapeutisk</w:t>
            </w:r>
            <w:r w:rsidRPr="00F21719">
              <w:rPr>
                <w:b/>
                <w:spacing w:val="-2"/>
                <w:sz w:val="22"/>
                <w:szCs w:val="22"/>
              </w:rPr>
              <w:t xml:space="preserve"> </w:t>
            </w:r>
            <w:r w:rsidRPr="00F21719">
              <w:rPr>
                <w:b/>
                <w:sz w:val="22"/>
                <w:szCs w:val="22"/>
              </w:rPr>
              <w:t>dosis</w:t>
            </w:r>
            <w:r w:rsidRPr="00F21719">
              <w:rPr>
                <w:b/>
                <w:spacing w:val="-3"/>
                <w:sz w:val="22"/>
                <w:szCs w:val="22"/>
              </w:rPr>
              <w:t xml:space="preserve"> </w:t>
            </w:r>
            <w:r w:rsidRPr="00F21719">
              <w:rPr>
                <w:b/>
                <w:sz w:val="22"/>
                <w:szCs w:val="22"/>
              </w:rPr>
              <w:t>og</w:t>
            </w:r>
            <w:r w:rsidRPr="00F21719">
              <w:rPr>
                <w:b/>
                <w:spacing w:val="-2"/>
                <w:sz w:val="22"/>
                <w:szCs w:val="22"/>
              </w:rPr>
              <w:t xml:space="preserve"> </w:t>
            </w:r>
            <w:r w:rsidRPr="00F21719">
              <w:rPr>
                <w:b/>
                <w:sz w:val="22"/>
                <w:szCs w:val="22"/>
              </w:rPr>
              <w:t>varighed</w:t>
            </w:r>
          </w:p>
        </w:tc>
        <w:tc>
          <w:tcPr>
            <w:tcW w:w="3043" w:type="dxa"/>
          </w:tcPr>
          <w:p w14:paraId="6F1AEAB9" w14:textId="77777777" w:rsidR="00F61E6E" w:rsidRPr="00F21719" w:rsidRDefault="00F61E6E" w:rsidP="00B24633">
            <w:pPr>
              <w:widowControl w:val="0"/>
              <w:autoSpaceDE w:val="0"/>
              <w:autoSpaceDN w:val="0"/>
              <w:spacing w:line="253" w:lineRule="exact"/>
              <w:ind w:left="106"/>
              <w:rPr>
                <w:b/>
                <w:sz w:val="22"/>
                <w:szCs w:val="22"/>
              </w:rPr>
            </w:pPr>
            <w:r w:rsidRPr="00F21719">
              <w:rPr>
                <w:b/>
                <w:sz w:val="22"/>
                <w:szCs w:val="22"/>
              </w:rPr>
              <w:t>Rivaroxaban</w:t>
            </w:r>
            <w:r w:rsidRPr="00F21719">
              <w:rPr>
                <w:b/>
                <w:sz w:val="22"/>
                <w:szCs w:val="22"/>
                <w:vertAlign w:val="superscript"/>
              </w:rPr>
              <w:t>a)</w:t>
            </w:r>
          </w:p>
          <w:p w14:paraId="76AB9E69" w14:textId="77777777" w:rsidR="00F61E6E" w:rsidRPr="00F21719" w:rsidRDefault="00F61E6E" w:rsidP="00B24633">
            <w:pPr>
              <w:widowControl w:val="0"/>
              <w:autoSpaceDE w:val="0"/>
              <w:autoSpaceDN w:val="0"/>
              <w:ind w:left="106"/>
              <w:rPr>
                <w:b/>
                <w:sz w:val="22"/>
                <w:szCs w:val="22"/>
              </w:rPr>
            </w:pPr>
            <w:r w:rsidRPr="00F21719">
              <w:rPr>
                <w:b/>
                <w:sz w:val="22"/>
                <w:szCs w:val="22"/>
              </w:rPr>
              <w:t>3,</w:t>
            </w:r>
            <w:r w:rsidRPr="00F21719">
              <w:rPr>
                <w:b/>
                <w:spacing w:val="-2"/>
                <w:sz w:val="22"/>
                <w:szCs w:val="22"/>
              </w:rPr>
              <w:t xml:space="preserve"> </w:t>
            </w:r>
            <w:r w:rsidRPr="00F21719">
              <w:rPr>
                <w:b/>
                <w:sz w:val="22"/>
                <w:szCs w:val="22"/>
              </w:rPr>
              <w:t>6</w:t>
            </w:r>
            <w:r w:rsidRPr="00F21719">
              <w:rPr>
                <w:b/>
                <w:spacing w:val="-1"/>
                <w:sz w:val="22"/>
                <w:szCs w:val="22"/>
              </w:rPr>
              <w:t xml:space="preserve"> </w:t>
            </w:r>
            <w:r w:rsidRPr="00F21719">
              <w:rPr>
                <w:b/>
                <w:sz w:val="22"/>
                <w:szCs w:val="22"/>
              </w:rPr>
              <w:t>eller</w:t>
            </w:r>
            <w:r w:rsidRPr="00F21719">
              <w:rPr>
                <w:b/>
                <w:spacing w:val="-2"/>
                <w:sz w:val="22"/>
                <w:szCs w:val="22"/>
              </w:rPr>
              <w:t xml:space="preserve"> </w:t>
            </w:r>
            <w:r w:rsidRPr="00F21719">
              <w:rPr>
                <w:b/>
                <w:sz w:val="22"/>
                <w:szCs w:val="22"/>
              </w:rPr>
              <w:t>12 måneder</w:t>
            </w:r>
          </w:p>
          <w:p w14:paraId="30E90EDE" w14:textId="2D40380B" w:rsidR="00F61E6E" w:rsidRPr="00F21719" w:rsidRDefault="00213042" w:rsidP="00B24633">
            <w:pPr>
              <w:widowControl w:val="0"/>
              <w:autoSpaceDE w:val="0"/>
              <w:autoSpaceDN w:val="0"/>
              <w:spacing w:line="233" w:lineRule="exact"/>
              <w:ind w:left="106"/>
              <w:rPr>
                <w:b/>
                <w:sz w:val="22"/>
                <w:szCs w:val="22"/>
              </w:rPr>
            </w:pPr>
            <w:r w:rsidRPr="00F21719">
              <w:rPr>
                <w:b/>
                <w:sz w:val="22"/>
                <w:szCs w:val="22"/>
              </w:rPr>
              <w:t>N</w:t>
            </w:r>
            <w:r>
              <w:rPr>
                <w:b/>
                <w:sz w:val="22"/>
                <w:szCs w:val="22"/>
              </w:rPr>
              <w:t xml:space="preserve"> </w:t>
            </w:r>
            <w:r w:rsidRPr="00F21719">
              <w:rPr>
                <w:b/>
                <w:sz w:val="22"/>
                <w:szCs w:val="22"/>
              </w:rPr>
              <w:t>=</w:t>
            </w:r>
            <w:r>
              <w:rPr>
                <w:b/>
                <w:sz w:val="22"/>
                <w:szCs w:val="22"/>
              </w:rPr>
              <w:t xml:space="preserve"> </w:t>
            </w:r>
            <w:r w:rsidRPr="00F21719">
              <w:rPr>
                <w:b/>
                <w:sz w:val="22"/>
                <w:szCs w:val="22"/>
              </w:rPr>
              <w:t>2.419</w:t>
            </w:r>
          </w:p>
        </w:tc>
        <w:tc>
          <w:tcPr>
            <w:tcW w:w="2841" w:type="dxa"/>
          </w:tcPr>
          <w:p w14:paraId="77EC23B3" w14:textId="77777777" w:rsidR="00F61E6E" w:rsidRPr="00F21719" w:rsidRDefault="00F61E6E" w:rsidP="00B24633">
            <w:pPr>
              <w:widowControl w:val="0"/>
              <w:autoSpaceDE w:val="0"/>
              <w:autoSpaceDN w:val="0"/>
              <w:ind w:left="106"/>
              <w:rPr>
                <w:b/>
                <w:sz w:val="22"/>
                <w:szCs w:val="22"/>
              </w:rPr>
            </w:pPr>
            <w:r w:rsidRPr="00F21719">
              <w:rPr>
                <w:b/>
                <w:sz w:val="22"/>
                <w:szCs w:val="22"/>
              </w:rPr>
              <w:t>Enoxaparin/VKA</w:t>
            </w:r>
            <w:r w:rsidRPr="00F21719">
              <w:rPr>
                <w:b/>
                <w:sz w:val="22"/>
                <w:szCs w:val="22"/>
                <w:vertAlign w:val="superscript"/>
              </w:rPr>
              <w:t>b)</w:t>
            </w:r>
            <w:r w:rsidRPr="00F21719">
              <w:rPr>
                <w:b/>
                <w:spacing w:val="1"/>
                <w:sz w:val="22"/>
                <w:szCs w:val="22"/>
              </w:rPr>
              <w:t xml:space="preserve"> </w:t>
            </w:r>
            <w:r w:rsidRPr="00F21719">
              <w:rPr>
                <w:b/>
                <w:sz w:val="22"/>
                <w:szCs w:val="22"/>
              </w:rPr>
              <w:t>3,</w:t>
            </w:r>
            <w:r w:rsidRPr="00F21719">
              <w:rPr>
                <w:b/>
                <w:spacing w:val="-3"/>
                <w:sz w:val="22"/>
                <w:szCs w:val="22"/>
              </w:rPr>
              <w:t xml:space="preserve"> </w:t>
            </w:r>
            <w:r w:rsidRPr="00F21719">
              <w:rPr>
                <w:b/>
                <w:sz w:val="22"/>
                <w:szCs w:val="22"/>
              </w:rPr>
              <w:t>6</w:t>
            </w:r>
            <w:r w:rsidRPr="00F21719">
              <w:rPr>
                <w:b/>
                <w:spacing w:val="-2"/>
                <w:sz w:val="22"/>
                <w:szCs w:val="22"/>
              </w:rPr>
              <w:t xml:space="preserve"> </w:t>
            </w:r>
            <w:r w:rsidRPr="00F21719">
              <w:rPr>
                <w:b/>
                <w:sz w:val="22"/>
                <w:szCs w:val="22"/>
              </w:rPr>
              <w:t>eller</w:t>
            </w:r>
            <w:r w:rsidRPr="00F21719">
              <w:rPr>
                <w:b/>
                <w:spacing w:val="-3"/>
                <w:sz w:val="22"/>
                <w:szCs w:val="22"/>
              </w:rPr>
              <w:t xml:space="preserve"> </w:t>
            </w:r>
            <w:r w:rsidRPr="00F21719">
              <w:rPr>
                <w:b/>
                <w:sz w:val="22"/>
                <w:szCs w:val="22"/>
              </w:rPr>
              <w:t>12 måneder</w:t>
            </w:r>
          </w:p>
          <w:p w14:paraId="39228E0D" w14:textId="226D96C5" w:rsidR="00F61E6E" w:rsidRPr="00F21719" w:rsidRDefault="00F61E6E" w:rsidP="00B24633">
            <w:pPr>
              <w:widowControl w:val="0"/>
              <w:autoSpaceDE w:val="0"/>
              <w:autoSpaceDN w:val="0"/>
              <w:spacing w:line="233" w:lineRule="exact"/>
              <w:ind w:left="106"/>
              <w:rPr>
                <w:b/>
                <w:sz w:val="22"/>
                <w:szCs w:val="22"/>
              </w:rPr>
            </w:pPr>
            <w:r w:rsidRPr="00F21719">
              <w:rPr>
                <w:b/>
                <w:sz w:val="22"/>
                <w:szCs w:val="22"/>
              </w:rPr>
              <w:t>N</w:t>
            </w:r>
            <w:r w:rsidR="00825675">
              <w:rPr>
                <w:b/>
                <w:sz w:val="22"/>
                <w:szCs w:val="22"/>
              </w:rPr>
              <w:t xml:space="preserve"> </w:t>
            </w:r>
            <w:r w:rsidRPr="00F21719">
              <w:rPr>
                <w:b/>
                <w:sz w:val="22"/>
                <w:szCs w:val="22"/>
              </w:rPr>
              <w:t>=</w:t>
            </w:r>
            <w:r w:rsidR="00825675">
              <w:rPr>
                <w:b/>
                <w:sz w:val="22"/>
                <w:szCs w:val="22"/>
              </w:rPr>
              <w:t xml:space="preserve"> </w:t>
            </w:r>
            <w:r w:rsidRPr="00F21719">
              <w:rPr>
                <w:b/>
                <w:sz w:val="22"/>
                <w:szCs w:val="22"/>
              </w:rPr>
              <w:t>2</w:t>
            </w:r>
            <w:r w:rsidRPr="00F21719">
              <w:rPr>
                <w:b/>
                <w:spacing w:val="-1"/>
                <w:sz w:val="22"/>
                <w:szCs w:val="22"/>
              </w:rPr>
              <w:t>.</w:t>
            </w:r>
            <w:r w:rsidRPr="00F21719">
              <w:rPr>
                <w:b/>
                <w:sz w:val="22"/>
                <w:szCs w:val="22"/>
              </w:rPr>
              <w:t>413</w:t>
            </w:r>
          </w:p>
        </w:tc>
      </w:tr>
      <w:tr w:rsidR="00F61E6E" w:rsidRPr="00F21719" w14:paraId="3DCA6B51" w14:textId="77777777" w:rsidTr="00B24633">
        <w:trPr>
          <w:trHeight w:val="505"/>
        </w:trPr>
        <w:tc>
          <w:tcPr>
            <w:tcW w:w="3295" w:type="dxa"/>
          </w:tcPr>
          <w:p w14:paraId="73127C5C" w14:textId="77777777" w:rsidR="00F61E6E" w:rsidRPr="00F21719" w:rsidRDefault="00F61E6E" w:rsidP="00B24633">
            <w:pPr>
              <w:widowControl w:val="0"/>
              <w:autoSpaceDE w:val="0"/>
              <w:autoSpaceDN w:val="0"/>
              <w:spacing w:before="127"/>
              <w:ind w:left="107"/>
              <w:rPr>
                <w:sz w:val="22"/>
                <w:szCs w:val="22"/>
              </w:rPr>
            </w:pPr>
            <w:r w:rsidRPr="00F21719">
              <w:rPr>
                <w:sz w:val="22"/>
                <w:szCs w:val="22"/>
              </w:rPr>
              <w:t>Symtomatisk</w:t>
            </w:r>
            <w:r w:rsidRPr="00F21719">
              <w:rPr>
                <w:spacing w:val="-3"/>
                <w:sz w:val="22"/>
                <w:szCs w:val="22"/>
              </w:rPr>
              <w:t xml:space="preserve"> </w:t>
            </w:r>
            <w:r w:rsidRPr="00F21719">
              <w:rPr>
                <w:sz w:val="22"/>
                <w:szCs w:val="22"/>
              </w:rPr>
              <w:t>recidiverende</w:t>
            </w:r>
            <w:r w:rsidRPr="00F21719">
              <w:rPr>
                <w:spacing w:val="-4"/>
                <w:sz w:val="22"/>
                <w:szCs w:val="22"/>
              </w:rPr>
              <w:t xml:space="preserve"> </w:t>
            </w:r>
            <w:r w:rsidRPr="00F21719">
              <w:rPr>
                <w:sz w:val="22"/>
                <w:szCs w:val="22"/>
              </w:rPr>
              <w:t>VTE*</w:t>
            </w:r>
          </w:p>
        </w:tc>
        <w:tc>
          <w:tcPr>
            <w:tcW w:w="3043" w:type="dxa"/>
          </w:tcPr>
          <w:p w14:paraId="2739D507" w14:textId="77777777" w:rsidR="00F61E6E" w:rsidRPr="00F21719" w:rsidRDefault="00F61E6E" w:rsidP="00B24633">
            <w:pPr>
              <w:widowControl w:val="0"/>
              <w:autoSpaceDE w:val="0"/>
              <w:autoSpaceDN w:val="0"/>
              <w:spacing w:line="253" w:lineRule="exact"/>
              <w:ind w:left="106"/>
              <w:rPr>
                <w:sz w:val="22"/>
                <w:szCs w:val="22"/>
              </w:rPr>
            </w:pPr>
            <w:r w:rsidRPr="00F21719">
              <w:rPr>
                <w:sz w:val="22"/>
                <w:szCs w:val="22"/>
              </w:rPr>
              <w:t>50</w:t>
            </w:r>
          </w:p>
          <w:p w14:paraId="70AE2DE7" w14:textId="41711A9C" w:rsidR="00F61E6E" w:rsidRPr="00F21719" w:rsidRDefault="00F61E6E" w:rsidP="00B24633">
            <w:pPr>
              <w:widowControl w:val="0"/>
              <w:autoSpaceDE w:val="0"/>
              <w:autoSpaceDN w:val="0"/>
              <w:spacing w:line="233" w:lineRule="exact"/>
              <w:ind w:left="106"/>
              <w:rPr>
                <w:sz w:val="22"/>
                <w:szCs w:val="22"/>
              </w:rPr>
            </w:pPr>
            <w:r w:rsidRPr="00F21719">
              <w:rPr>
                <w:sz w:val="22"/>
                <w:szCs w:val="22"/>
              </w:rPr>
              <w:t>(2,1</w:t>
            </w:r>
            <w:r w:rsidR="00054680">
              <w:rPr>
                <w:sz w:val="22"/>
                <w:szCs w:val="22"/>
              </w:rPr>
              <w:t xml:space="preserve"> %</w:t>
            </w:r>
            <w:r w:rsidRPr="00F21719">
              <w:rPr>
                <w:sz w:val="22"/>
                <w:szCs w:val="22"/>
              </w:rPr>
              <w:t>)</w:t>
            </w:r>
          </w:p>
        </w:tc>
        <w:tc>
          <w:tcPr>
            <w:tcW w:w="2841" w:type="dxa"/>
          </w:tcPr>
          <w:p w14:paraId="6523F83E" w14:textId="77777777" w:rsidR="00F61E6E" w:rsidRPr="00F21719" w:rsidRDefault="00F61E6E" w:rsidP="00B24633">
            <w:pPr>
              <w:widowControl w:val="0"/>
              <w:autoSpaceDE w:val="0"/>
              <w:autoSpaceDN w:val="0"/>
              <w:spacing w:line="253" w:lineRule="exact"/>
              <w:ind w:left="106"/>
              <w:rPr>
                <w:sz w:val="22"/>
                <w:szCs w:val="22"/>
              </w:rPr>
            </w:pPr>
            <w:r w:rsidRPr="00F21719">
              <w:rPr>
                <w:sz w:val="22"/>
                <w:szCs w:val="22"/>
              </w:rPr>
              <w:t>44</w:t>
            </w:r>
          </w:p>
          <w:p w14:paraId="2FF75025" w14:textId="219CBB7A" w:rsidR="00F61E6E" w:rsidRPr="00F21719" w:rsidRDefault="00F61E6E" w:rsidP="00B24633">
            <w:pPr>
              <w:widowControl w:val="0"/>
              <w:autoSpaceDE w:val="0"/>
              <w:autoSpaceDN w:val="0"/>
              <w:spacing w:line="233" w:lineRule="exact"/>
              <w:ind w:left="106"/>
              <w:rPr>
                <w:sz w:val="22"/>
                <w:szCs w:val="22"/>
              </w:rPr>
            </w:pPr>
            <w:r w:rsidRPr="00F21719">
              <w:rPr>
                <w:sz w:val="22"/>
                <w:szCs w:val="22"/>
              </w:rPr>
              <w:t>(1,8</w:t>
            </w:r>
            <w:r w:rsidR="00054680">
              <w:rPr>
                <w:sz w:val="22"/>
                <w:szCs w:val="22"/>
              </w:rPr>
              <w:t xml:space="preserve"> %</w:t>
            </w:r>
            <w:r w:rsidRPr="00F21719">
              <w:rPr>
                <w:sz w:val="22"/>
                <w:szCs w:val="22"/>
              </w:rPr>
              <w:t>)</w:t>
            </w:r>
          </w:p>
        </w:tc>
      </w:tr>
      <w:tr w:rsidR="00F61E6E" w:rsidRPr="00F21719" w14:paraId="7EC9919F" w14:textId="77777777" w:rsidTr="00B24633">
        <w:trPr>
          <w:trHeight w:val="505"/>
        </w:trPr>
        <w:tc>
          <w:tcPr>
            <w:tcW w:w="3295" w:type="dxa"/>
          </w:tcPr>
          <w:p w14:paraId="1983CE08" w14:textId="77777777" w:rsidR="00F61E6E" w:rsidRPr="00F21719" w:rsidRDefault="00F61E6E" w:rsidP="007F055A">
            <w:pPr>
              <w:widowControl w:val="0"/>
              <w:numPr>
                <w:ilvl w:val="0"/>
                <w:numId w:val="26"/>
              </w:numPr>
              <w:autoSpaceDE w:val="0"/>
              <w:autoSpaceDN w:val="0"/>
              <w:spacing w:before="121"/>
              <w:ind w:left="412" w:hanging="283"/>
              <w:rPr>
                <w:sz w:val="22"/>
                <w:szCs w:val="22"/>
              </w:rPr>
            </w:pPr>
            <w:r w:rsidRPr="00F21719">
              <w:rPr>
                <w:sz w:val="22"/>
                <w:szCs w:val="22"/>
              </w:rPr>
              <w:t>Symtomatisk recidiverende PE</w:t>
            </w:r>
          </w:p>
        </w:tc>
        <w:tc>
          <w:tcPr>
            <w:tcW w:w="3043" w:type="dxa"/>
          </w:tcPr>
          <w:p w14:paraId="7083C6F2" w14:textId="77777777" w:rsidR="00F61E6E" w:rsidRPr="00F21719" w:rsidRDefault="00F61E6E" w:rsidP="00B24633">
            <w:pPr>
              <w:widowControl w:val="0"/>
              <w:autoSpaceDE w:val="0"/>
              <w:autoSpaceDN w:val="0"/>
              <w:spacing w:line="253" w:lineRule="exact"/>
              <w:ind w:left="106"/>
              <w:rPr>
                <w:sz w:val="22"/>
                <w:szCs w:val="22"/>
              </w:rPr>
            </w:pPr>
            <w:r w:rsidRPr="00F21719">
              <w:rPr>
                <w:sz w:val="22"/>
                <w:szCs w:val="22"/>
              </w:rPr>
              <w:t>23</w:t>
            </w:r>
          </w:p>
          <w:p w14:paraId="0A741B0B" w14:textId="30F9E12F" w:rsidR="00F61E6E" w:rsidRPr="00F21719" w:rsidRDefault="00F61E6E" w:rsidP="00B24633">
            <w:pPr>
              <w:widowControl w:val="0"/>
              <w:autoSpaceDE w:val="0"/>
              <w:autoSpaceDN w:val="0"/>
              <w:spacing w:line="233" w:lineRule="exact"/>
              <w:ind w:left="106"/>
              <w:rPr>
                <w:sz w:val="22"/>
                <w:szCs w:val="22"/>
              </w:rPr>
            </w:pPr>
            <w:r w:rsidRPr="00F21719">
              <w:rPr>
                <w:sz w:val="22"/>
                <w:szCs w:val="22"/>
              </w:rPr>
              <w:t>(1,0</w:t>
            </w:r>
            <w:r w:rsidR="00054680">
              <w:rPr>
                <w:sz w:val="22"/>
                <w:szCs w:val="22"/>
              </w:rPr>
              <w:t xml:space="preserve"> %</w:t>
            </w:r>
            <w:r w:rsidRPr="00F21719">
              <w:rPr>
                <w:sz w:val="22"/>
                <w:szCs w:val="22"/>
              </w:rPr>
              <w:t>)</w:t>
            </w:r>
          </w:p>
        </w:tc>
        <w:tc>
          <w:tcPr>
            <w:tcW w:w="2841" w:type="dxa"/>
          </w:tcPr>
          <w:p w14:paraId="233E227B" w14:textId="77777777" w:rsidR="00F61E6E" w:rsidRPr="00F21719" w:rsidRDefault="00F61E6E" w:rsidP="00B24633">
            <w:pPr>
              <w:widowControl w:val="0"/>
              <w:autoSpaceDE w:val="0"/>
              <w:autoSpaceDN w:val="0"/>
              <w:spacing w:line="253" w:lineRule="exact"/>
              <w:ind w:left="106"/>
              <w:rPr>
                <w:sz w:val="22"/>
                <w:szCs w:val="22"/>
              </w:rPr>
            </w:pPr>
            <w:r w:rsidRPr="00F21719">
              <w:rPr>
                <w:sz w:val="22"/>
                <w:szCs w:val="22"/>
              </w:rPr>
              <w:t>20</w:t>
            </w:r>
          </w:p>
          <w:p w14:paraId="21BD85FA" w14:textId="3131DAF8" w:rsidR="00F61E6E" w:rsidRPr="00F21719" w:rsidRDefault="00F61E6E" w:rsidP="00B24633">
            <w:pPr>
              <w:widowControl w:val="0"/>
              <w:autoSpaceDE w:val="0"/>
              <w:autoSpaceDN w:val="0"/>
              <w:spacing w:line="233" w:lineRule="exact"/>
              <w:ind w:left="106"/>
              <w:rPr>
                <w:sz w:val="22"/>
                <w:szCs w:val="22"/>
              </w:rPr>
            </w:pPr>
            <w:r w:rsidRPr="00F21719">
              <w:rPr>
                <w:sz w:val="22"/>
                <w:szCs w:val="22"/>
              </w:rPr>
              <w:t>(0,8</w:t>
            </w:r>
            <w:r w:rsidR="00054680">
              <w:rPr>
                <w:sz w:val="22"/>
                <w:szCs w:val="22"/>
              </w:rPr>
              <w:t xml:space="preserve"> %</w:t>
            </w:r>
            <w:r w:rsidRPr="00F21719">
              <w:rPr>
                <w:sz w:val="22"/>
                <w:szCs w:val="22"/>
              </w:rPr>
              <w:t>)</w:t>
            </w:r>
          </w:p>
        </w:tc>
      </w:tr>
      <w:tr w:rsidR="00F61E6E" w:rsidRPr="00F21719" w14:paraId="02DE547B" w14:textId="77777777" w:rsidTr="00B24633">
        <w:trPr>
          <w:trHeight w:val="504"/>
        </w:trPr>
        <w:tc>
          <w:tcPr>
            <w:tcW w:w="3295" w:type="dxa"/>
          </w:tcPr>
          <w:p w14:paraId="15E47DBF" w14:textId="77777777" w:rsidR="00F61E6E" w:rsidRPr="00F21719" w:rsidRDefault="00F61E6E" w:rsidP="007F055A">
            <w:pPr>
              <w:widowControl w:val="0"/>
              <w:numPr>
                <w:ilvl w:val="0"/>
                <w:numId w:val="26"/>
              </w:numPr>
              <w:autoSpaceDE w:val="0"/>
              <w:autoSpaceDN w:val="0"/>
              <w:spacing w:before="121"/>
              <w:ind w:left="412" w:hanging="283"/>
              <w:rPr>
                <w:sz w:val="22"/>
                <w:szCs w:val="22"/>
              </w:rPr>
            </w:pPr>
            <w:r w:rsidRPr="00F21719">
              <w:rPr>
                <w:sz w:val="22"/>
                <w:szCs w:val="22"/>
              </w:rPr>
              <w:t>Symtomatisk recidiverende DVT</w:t>
            </w:r>
          </w:p>
        </w:tc>
        <w:tc>
          <w:tcPr>
            <w:tcW w:w="3043" w:type="dxa"/>
          </w:tcPr>
          <w:p w14:paraId="79B8BAF6" w14:textId="77777777" w:rsidR="00F61E6E" w:rsidRPr="00F21719" w:rsidRDefault="00F61E6E" w:rsidP="00B24633">
            <w:pPr>
              <w:widowControl w:val="0"/>
              <w:autoSpaceDE w:val="0"/>
              <w:autoSpaceDN w:val="0"/>
              <w:spacing w:line="251" w:lineRule="exact"/>
              <w:ind w:left="106"/>
              <w:rPr>
                <w:sz w:val="22"/>
                <w:szCs w:val="22"/>
              </w:rPr>
            </w:pPr>
            <w:r w:rsidRPr="00F21719">
              <w:rPr>
                <w:sz w:val="22"/>
                <w:szCs w:val="22"/>
              </w:rPr>
              <w:t>18</w:t>
            </w:r>
          </w:p>
          <w:p w14:paraId="3EE96082" w14:textId="7AE9FA41" w:rsidR="00F61E6E" w:rsidRPr="00F21719" w:rsidRDefault="00F61E6E" w:rsidP="00B24633">
            <w:pPr>
              <w:widowControl w:val="0"/>
              <w:autoSpaceDE w:val="0"/>
              <w:autoSpaceDN w:val="0"/>
              <w:spacing w:line="233" w:lineRule="exact"/>
              <w:ind w:left="106"/>
              <w:rPr>
                <w:sz w:val="22"/>
                <w:szCs w:val="22"/>
              </w:rPr>
            </w:pPr>
            <w:r w:rsidRPr="00F21719">
              <w:rPr>
                <w:sz w:val="22"/>
                <w:szCs w:val="22"/>
              </w:rPr>
              <w:t>(0,7</w:t>
            </w:r>
            <w:r w:rsidR="00054680">
              <w:rPr>
                <w:sz w:val="22"/>
                <w:szCs w:val="22"/>
              </w:rPr>
              <w:t xml:space="preserve"> %</w:t>
            </w:r>
            <w:r w:rsidRPr="00F21719">
              <w:rPr>
                <w:sz w:val="22"/>
                <w:szCs w:val="22"/>
              </w:rPr>
              <w:t>)</w:t>
            </w:r>
          </w:p>
        </w:tc>
        <w:tc>
          <w:tcPr>
            <w:tcW w:w="2841" w:type="dxa"/>
          </w:tcPr>
          <w:p w14:paraId="1A283FDC" w14:textId="77777777" w:rsidR="00F61E6E" w:rsidRPr="00F21719" w:rsidRDefault="00F61E6E" w:rsidP="00B24633">
            <w:pPr>
              <w:widowControl w:val="0"/>
              <w:autoSpaceDE w:val="0"/>
              <w:autoSpaceDN w:val="0"/>
              <w:spacing w:line="251" w:lineRule="exact"/>
              <w:ind w:left="106"/>
              <w:rPr>
                <w:sz w:val="22"/>
                <w:szCs w:val="22"/>
              </w:rPr>
            </w:pPr>
            <w:r w:rsidRPr="00F21719">
              <w:rPr>
                <w:sz w:val="22"/>
                <w:szCs w:val="22"/>
              </w:rPr>
              <w:t>17</w:t>
            </w:r>
          </w:p>
          <w:p w14:paraId="15268C3A" w14:textId="1728DDA9" w:rsidR="00F61E6E" w:rsidRPr="00F21719" w:rsidRDefault="00F61E6E" w:rsidP="00B24633">
            <w:pPr>
              <w:widowControl w:val="0"/>
              <w:autoSpaceDE w:val="0"/>
              <w:autoSpaceDN w:val="0"/>
              <w:spacing w:line="233" w:lineRule="exact"/>
              <w:ind w:left="106"/>
              <w:rPr>
                <w:sz w:val="22"/>
                <w:szCs w:val="22"/>
              </w:rPr>
            </w:pPr>
            <w:r w:rsidRPr="00F21719">
              <w:rPr>
                <w:sz w:val="22"/>
                <w:szCs w:val="22"/>
              </w:rPr>
              <w:t>(0,7</w:t>
            </w:r>
            <w:r w:rsidR="00054680">
              <w:rPr>
                <w:sz w:val="22"/>
                <w:szCs w:val="22"/>
              </w:rPr>
              <w:t xml:space="preserve"> %</w:t>
            </w:r>
            <w:r w:rsidRPr="00F21719">
              <w:rPr>
                <w:sz w:val="22"/>
                <w:szCs w:val="22"/>
              </w:rPr>
              <w:t>)</w:t>
            </w:r>
          </w:p>
        </w:tc>
      </w:tr>
      <w:tr w:rsidR="00F61E6E" w:rsidRPr="00F21719" w14:paraId="205F082A" w14:textId="77777777" w:rsidTr="00B24633">
        <w:trPr>
          <w:trHeight w:val="502"/>
        </w:trPr>
        <w:tc>
          <w:tcPr>
            <w:tcW w:w="3295" w:type="dxa"/>
          </w:tcPr>
          <w:p w14:paraId="265BAA22" w14:textId="77777777" w:rsidR="00F61E6E" w:rsidRPr="00F21719" w:rsidRDefault="00F61E6E" w:rsidP="007F055A">
            <w:pPr>
              <w:widowControl w:val="0"/>
              <w:numPr>
                <w:ilvl w:val="0"/>
                <w:numId w:val="26"/>
              </w:numPr>
              <w:autoSpaceDE w:val="0"/>
              <w:autoSpaceDN w:val="0"/>
              <w:spacing w:before="121"/>
              <w:ind w:left="412" w:hanging="283"/>
              <w:rPr>
                <w:sz w:val="22"/>
                <w:szCs w:val="22"/>
              </w:rPr>
            </w:pPr>
            <w:r w:rsidRPr="00F21719">
              <w:rPr>
                <w:sz w:val="22"/>
                <w:szCs w:val="22"/>
              </w:rPr>
              <w:t>Symtomatisk PE og DVT</w:t>
            </w:r>
          </w:p>
        </w:tc>
        <w:tc>
          <w:tcPr>
            <w:tcW w:w="3043" w:type="dxa"/>
          </w:tcPr>
          <w:p w14:paraId="259A9DB7" w14:textId="77777777" w:rsidR="00F61E6E" w:rsidRPr="00F21719" w:rsidRDefault="00F61E6E" w:rsidP="00B24633">
            <w:pPr>
              <w:widowControl w:val="0"/>
              <w:autoSpaceDE w:val="0"/>
              <w:autoSpaceDN w:val="0"/>
              <w:spacing w:before="123"/>
              <w:ind w:left="106"/>
              <w:rPr>
                <w:sz w:val="22"/>
                <w:szCs w:val="22"/>
              </w:rPr>
            </w:pPr>
            <w:r w:rsidRPr="00F21719">
              <w:rPr>
                <w:w w:val="99"/>
                <w:sz w:val="22"/>
                <w:szCs w:val="22"/>
              </w:rPr>
              <w:t>0</w:t>
            </w:r>
          </w:p>
        </w:tc>
        <w:tc>
          <w:tcPr>
            <w:tcW w:w="2841" w:type="dxa"/>
          </w:tcPr>
          <w:p w14:paraId="37A14B46" w14:textId="77777777" w:rsidR="00F61E6E" w:rsidRPr="00F21719" w:rsidRDefault="00F61E6E" w:rsidP="00B24633">
            <w:pPr>
              <w:widowControl w:val="0"/>
              <w:autoSpaceDE w:val="0"/>
              <w:autoSpaceDN w:val="0"/>
              <w:spacing w:line="249" w:lineRule="exact"/>
              <w:ind w:left="106"/>
              <w:rPr>
                <w:sz w:val="22"/>
                <w:szCs w:val="22"/>
              </w:rPr>
            </w:pPr>
            <w:r w:rsidRPr="00F21719">
              <w:rPr>
                <w:w w:val="99"/>
                <w:sz w:val="22"/>
                <w:szCs w:val="22"/>
              </w:rPr>
              <w:t>2</w:t>
            </w:r>
          </w:p>
          <w:p w14:paraId="41D19572" w14:textId="59F8B17E" w:rsidR="00F61E6E" w:rsidRPr="00F21719" w:rsidRDefault="00F61E6E" w:rsidP="00B24633">
            <w:pPr>
              <w:widowControl w:val="0"/>
              <w:autoSpaceDE w:val="0"/>
              <w:autoSpaceDN w:val="0"/>
              <w:spacing w:line="233" w:lineRule="exact"/>
              <w:ind w:left="106"/>
              <w:rPr>
                <w:sz w:val="22"/>
                <w:szCs w:val="22"/>
              </w:rPr>
            </w:pPr>
            <w:r w:rsidRPr="00F21719">
              <w:rPr>
                <w:sz w:val="22"/>
                <w:szCs w:val="22"/>
              </w:rPr>
              <w:t>(&lt; 0,1</w:t>
            </w:r>
            <w:r w:rsidR="00054680">
              <w:rPr>
                <w:sz w:val="22"/>
                <w:szCs w:val="22"/>
              </w:rPr>
              <w:t xml:space="preserve"> %</w:t>
            </w:r>
            <w:r w:rsidRPr="00F21719">
              <w:rPr>
                <w:sz w:val="22"/>
                <w:szCs w:val="22"/>
              </w:rPr>
              <w:t>)</w:t>
            </w:r>
          </w:p>
        </w:tc>
      </w:tr>
      <w:tr w:rsidR="00F61E6E" w:rsidRPr="00F21719" w14:paraId="66A0AE1D" w14:textId="77777777" w:rsidTr="00B24633">
        <w:trPr>
          <w:trHeight w:val="505"/>
        </w:trPr>
        <w:tc>
          <w:tcPr>
            <w:tcW w:w="3295" w:type="dxa"/>
          </w:tcPr>
          <w:p w14:paraId="78C8ED40" w14:textId="77777777" w:rsidR="00F61E6E" w:rsidRPr="00F21719" w:rsidRDefault="00F61E6E" w:rsidP="007F055A">
            <w:pPr>
              <w:widowControl w:val="0"/>
              <w:numPr>
                <w:ilvl w:val="0"/>
                <w:numId w:val="26"/>
              </w:numPr>
              <w:autoSpaceDE w:val="0"/>
              <w:autoSpaceDN w:val="0"/>
              <w:spacing w:before="121"/>
              <w:ind w:left="412" w:hanging="283"/>
              <w:rPr>
                <w:sz w:val="22"/>
                <w:szCs w:val="22"/>
              </w:rPr>
            </w:pPr>
            <w:r w:rsidRPr="00F21719">
              <w:rPr>
                <w:sz w:val="22"/>
                <w:szCs w:val="22"/>
              </w:rPr>
              <w:t>Dødelig PE/Død, hvor PE ikke kan udelukkes</w:t>
            </w:r>
          </w:p>
        </w:tc>
        <w:tc>
          <w:tcPr>
            <w:tcW w:w="3043" w:type="dxa"/>
          </w:tcPr>
          <w:p w14:paraId="4F42A0B7" w14:textId="77777777" w:rsidR="00F61E6E" w:rsidRPr="00F21719" w:rsidRDefault="00F61E6E" w:rsidP="00B24633">
            <w:pPr>
              <w:widowControl w:val="0"/>
              <w:autoSpaceDE w:val="0"/>
              <w:autoSpaceDN w:val="0"/>
              <w:spacing w:line="253" w:lineRule="exact"/>
              <w:ind w:left="106"/>
              <w:rPr>
                <w:sz w:val="22"/>
                <w:szCs w:val="22"/>
              </w:rPr>
            </w:pPr>
            <w:r w:rsidRPr="00F21719">
              <w:rPr>
                <w:sz w:val="22"/>
                <w:szCs w:val="22"/>
              </w:rPr>
              <w:t>11</w:t>
            </w:r>
          </w:p>
          <w:p w14:paraId="4A1C7F0C" w14:textId="7C31A01D" w:rsidR="00F61E6E" w:rsidRPr="00F21719" w:rsidRDefault="00F61E6E" w:rsidP="00B24633">
            <w:pPr>
              <w:widowControl w:val="0"/>
              <w:autoSpaceDE w:val="0"/>
              <w:autoSpaceDN w:val="0"/>
              <w:spacing w:line="233" w:lineRule="exact"/>
              <w:ind w:left="106"/>
              <w:rPr>
                <w:sz w:val="22"/>
                <w:szCs w:val="22"/>
              </w:rPr>
            </w:pPr>
            <w:r w:rsidRPr="00F21719">
              <w:rPr>
                <w:sz w:val="22"/>
                <w:szCs w:val="22"/>
              </w:rPr>
              <w:t>(0,5</w:t>
            </w:r>
            <w:r w:rsidR="00054680">
              <w:rPr>
                <w:sz w:val="22"/>
                <w:szCs w:val="22"/>
              </w:rPr>
              <w:t xml:space="preserve"> %</w:t>
            </w:r>
            <w:r w:rsidRPr="00F21719">
              <w:rPr>
                <w:sz w:val="22"/>
                <w:szCs w:val="22"/>
              </w:rPr>
              <w:t>)</w:t>
            </w:r>
          </w:p>
        </w:tc>
        <w:tc>
          <w:tcPr>
            <w:tcW w:w="2841" w:type="dxa"/>
          </w:tcPr>
          <w:p w14:paraId="4242BEC9" w14:textId="77777777" w:rsidR="00F61E6E" w:rsidRPr="00F21719" w:rsidRDefault="00F61E6E" w:rsidP="00B24633">
            <w:pPr>
              <w:widowControl w:val="0"/>
              <w:autoSpaceDE w:val="0"/>
              <w:autoSpaceDN w:val="0"/>
              <w:spacing w:line="253" w:lineRule="exact"/>
              <w:ind w:left="106"/>
              <w:rPr>
                <w:sz w:val="22"/>
                <w:szCs w:val="22"/>
              </w:rPr>
            </w:pPr>
            <w:r w:rsidRPr="00F21719">
              <w:rPr>
                <w:w w:val="99"/>
                <w:sz w:val="22"/>
                <w:szCs w:val="22"/>
              </w:rPr>
              <w:t>7</w:t>
            </w:r>
          </w:p>
          <w:p w14:paraId="159DED2E" w14:textId="092401D8" w:rsidR="00F61E6E" w:rsidRPr="00F21719" w:rsidRDefault="00F61E6E" w:rsidP="00B24633">
            <w:pPr>
              <w:widowControl w:val="0"/>
              <w:autoSpaceDE w:val="0"/>
              <w:autoSpaceDN w:val="0"/>
              <w:spacing w:line="233" w:lineRule="exact"/>
              <w:ind w:left="106"/>
              <w:rPr>
                <w:sz w:val="22"/>
                <w:szCs w:val="22"/>
              </w:rPr>
            </w:pPr>
            <w:r w:rsidRPr="00F21719">
              <w:rPr>
                <w:sz w:val="22"/>
                <w:szCs w:val="22"/>
              </w:rPr>
              <w:t>(0,3</w:t>
            </w:r>
            <w:r w:rsidR="00054680">
              <w:rPr>
                <w:sz w:val="22"/>
                <w:szCs w:val="22"/>
              </w:rPr>
              <w:t xml:space="preserve"> %</w:t>
            </w:r>
            <w:r w:rsidRPr="00F21719">
              <w:rPr>
                <w:sz w:val="22"/>
                <w:szCs w:val="22"/>
              </w:rPr>
              <w:t>)</w:t>
            </w:r>
          </w:p>
        </w:tc>
      </w:tr>
      <w:tr w:rsidR="00F61E6E" w:rsidRPr="00F21719" w14:paraId="59188F99" w14:textId="77777777" w:rsidTr="00B24633">
        <w:trPr>
          <w:trHeight w:val="504"/>
        </w:trPr>
        <w:tc>
          <w:tcPr>
            <w:tcW w:w="3295" w:type="dxa"/>
          </w:tcPr>
          <w:p w14:paraId="3D44756A" w14:textId="77777777" w:rsidR="00F61E6E" w:rsidRPr="00F21719" w:rsidRDefault="00F61E6E" w:rsidP="00B24633">
            <w:pPr>
              <w:widowControl w:val="0"/>
              <w:autoSpaceDE w:val="0"/>
              <w:autoSpaceDN w:val="0"/>
              <w:spacing w:line="254" w:lineRule="exact"/>
              <w:ind w:left="107"/>
              <w:rPr>
                <w:sz w:val="22"/>
                <w:szCs w:val="22"/>
              </w:rPr>
            </w:pPr>
            <w:r w:rsidRPr="00F21719">
              <w:rPr>
                <w:sz w:val="22"/>
                <w:szCs w:val="22"/>
              </w:rPr>
              <w:t>Større eller mindre klinisk</w:t>
            </w:r>
            <w:r w:rsidRPr="00F21719">
              <w:rPr>
                <w:spacing w:val="-52"/>
                <w:sz w:val="22"/>
                <w:szCs w:val="22"/>
              </w:rPr>
              <w:t xml:space="preserve"> </w:t>
            </w:r>
            <w:r w:rsidRPr="00F21719">
              <w:rPr>
                <w:sz w:val="22"/>
                <w:szCs w:val="22"/>
              </w:rPr>
              <w:t>relevant</w:t>
            </w:r>
            <w:r w:rsidRPr="00F21719">
              <w:rPr>
                <w:spacing w:val="-1"/>
                <w:sz w:val="22"/>
                <w:szCs w:val="22"/>
              </w:rPr>
              <w:t xml:space="preserve"> </w:t>
            </w:r>
            <w:r w:rsidRPr="00F21719">
              <w:rPr>
                <w:sz w:val="22"/>
                <w:szCs w:val="22"/>
              </w:rPr>
              <w:t>blødning</w:t>
            </w:r>
          </w:p>
        </w:tc>
        <w:tc>
          <w:tcPr>
            <w:tcW w:w="3043" w:type="dxa"/>
          </w:tcPr>
          <w:p w14:paraId="0659260C" w14:textId="77777777" w:rsidR="00F61E6E" w:rsidRPr="00F21719" w:rsidRDefault="00F61E6E" w:rsidP="00B24633">
            <w:pPr>
              <w:widowControl w:val="0"/>
              <w:autoSpaceDE w:val="0"/>
              <w:autoSpaceDN w:val="0"/>
              <w:spacing w:line="251" w:lineRule="exact"/>
              <w:ind w:left="106"/>
              <w:rPr>
                <w:sz w:val="22"/>
                <w:szCs w:val="22"/>
              </w:rPr>
            </w:pPr>
            <w:r w:rsidRPr="00F21719">
              <w:rPr>
                <w:sz w:val="22"/>
                <w:szCs w:val="22"/>
              </w:rPr>
              <w:t>249</w:t>
            </w:r>
          </w:p>
          <w:p w14:paraId="2515593A" w14:textId="2A4380AB" w:rsidR="00F61E6E" w:rsidRPr="00F21719" w:rsidRDefault="00F61E6E" w:rsidP="00B24633">
            <w:pPr>
              <w:widowControl w:val="0"/>
              <w:autoSpaceDE w:val="0"/>
              <w:autoSpaceDN w:val="0"/>
              <w:spacing w:line="233" w:lineRule="exact"/>
              <w:ind w:left="106"/>
              <w:rPr>
                <w:sz w:val="22"/>
                <w:szCs w:val="22"/>
              </w:rPr>
            </w:pPr>
            <w:r w:rsidRPr="00F21719">
              <w:rPr>
                <w:sz w:val="22"/>
                <w:szCs w:val="22"/>
              </w:rPr>
              <w:t>(10,3</w:t>
            </w:r>
            <w:r w:rsidR="00054680">
              <w:rPr>
                <w:sz w:val="22"/>
                <w:szCs w:val="22"/>
              </w:rPr>
              <w:t xml:space="preserve"> %</w:t>
            </w:r>
            <w:r w:rsidRPr="00F21719">
              <w:rPr>
                <w:sz w:val="22"/>
                <w:szCs w:val="22"/>
              </w:rPr>
              <w:t>)</w:t>
            </w:r>
          </w:p>
        </w:tc>
        <w:tc>
          <w:tcPr>
            <w:tcW w:w="2841" w:type="dxa"/>
          </w:tcPr>
          <w:p w14:paraId="3F0CC8C2" w14:textId="77777777" w:rsidR="00F61E6E" w:rsidRPr="00F21719" w:rsidRDefault="00F61E6E" w:rsidP="00B24633">
            <w:pPr>
              <w:widowControl w:val="0"/>
              <w:autoSpaceDE w:val="0"/>
              <w:autoSpaceDN w:val="0"/>
              <w:spacing w:line="251" w:lineRule="exact"/>
              <w:ind w:left="106"/>
              <w:rPr>
                <w:sz w:val="22"/>
                <w:szCs w:val="22"/>
              </w:rPr>
            </w:pPr>
            <w:r w:rsidRPr="00F21719">
              <w:rPr>
                <w:sz w:val="22"/>
                <w:szCs w:val="22"/>
              </w:rPr>
              <w:t>274</w:t>
            </w:r>
          </w:p>
          <w:p w14:paraId="687E8747" w14:textId="2FBE6547" w:rsidR="00F61E6E" w:rsidRPr="00F21719" w:rsidRDefault="00F61E6E" w:rsidP="00B24633">
            <w:pPr>
              <w:widowControl w:val="0"/>
              <w:autoSpaceDE w:val="0"/>
              <w:autoSpaceDN w:val="0"/>
              <w:spacing w:line="233" w:lineRule="exact"/>
              <w:ind w:left="106"/>
              <w:rPr>
                <w:sz w:val="22"/>
                <w:szCs w:val="22"/>
              </w:rPr>
            </w:pPr>
            <w:r w:rsidRPr="00F21719">
              <w:rPr>
                <w:sz w:val="22"/>
                <w:szCs w:val="22"/>
              </w:rPr>
              <w:t>(11,4</w:t>
            </w:r>
            <w:r w:rsidR="00054680">
              <w:rPr>
                <w:sz w:val="22"/>
                <w:szCs w:val="22"/>
              </w:rPr>
              <w:t xml:space="preserve"> %</w:t>
            </w:r>
            <w:r w:rsidRPr="00F21719">
              <w:rPr>
                <w:sz w:val="22"/>
                <w:szCs w:val="22"/>
              </w:rPr>
              <w:t>)</w:t>
            </w:r>
          </w:p>
        </w:tc>
      </w:tr>
      <w:tr w:rsidR="00F61E6E" w:rsidRPr="00F21719" w14:paraId="18EFCE6F" w14:textId="77777777" w:rsidTr="00B24633">
        <w:trPr>
          <w:trHeight w:val="502"/>
        </w:trPr>
        <w:tc>
          <w:tcPr>
            <w:tcW w:w="3295" w:type="dxa"/>
          </w:tcPr>
          <w:p w14:paraId="1E49D480" w14:textId="77777777" w:rsidR="00F61E6E" w:rsidRPr="00F21719" w:rsidRDefault="00F61E6E" w:rsidP="00B24633">
            <w:pPr>
              <w:widowControl w:val="0"/>
              <w:autoSpaceDE w:val="0"/>
              <w:autoSpaceDN w:val="0"/>
              <w:spacing w:before="121"/>
              <w:ind w:left="107"/>
              <w:rPr>
                <w:sz w:val="22"/>
                <w:szCs w:val="22"/>
              </w:rPr>
            </w:pPr>
            <w:r w:rsidRPr="00F21719">
              <w:rPr>
                <w:sz w:val="22"/>
                <w:szCs w:val="22"/>
              </w:rPr>
              <w:t>Større</w:t>
            </w:r>
            <w:r w:rsidRPr="00F21719">
              <w:rPr>
                <w:spacing w:val="-2"/>
                <w:sz w:val="22"/>
                <w:szCs w:val="22"/>
              </w:rPr>
              <w:t xml:space="preserve"> </w:t>
            </w:r>
            <w:r w:rsidRPr="00F21719">
              <w:rPr>
                <w:sz w:val="22"/>
                <w:szCs w:val="22"/>
              </w:rPr>
              <w:t>blødning</w:t>
            </w:r>
          </w:p>
        </w:tc>
        <w:tc>
          <w:tcPr>
            <w:tcW w:w="3043" w:type="dxa"/>
          </w:tcPr>
          <w:p w14:paraId="1169E5E7" w14:textId="77777777" w:rsidR="00F61E6E" w:rsidRPr="00F21719" w:rsidRDefault="00F61E6E" w:rsidP="00B24633">
            <w:pPr>
              <w:widowControl w:val="0"/>
              <w:autoSpaceDE w:val="0"/>
              <w:autoSpaceDN w:val="0"/>
              <w:spacing w:line="249" w:lineRule="exact"/>
              <w:ind w:left="106"/>
              <w:rPr>
                <w:sz w:val="22"/>
                <w:szCs w:val="22"/>
              </w:rPr>
            </w:pPr>
            <w:r w:rsidRPr="00F21719">
              <w:rPr>
                <w:sz w:val="22"/>
                <w:szCs w:val="22"/>
              </w:rPr>
              <w:t>26</w:t>
            </w:r>
          </w:p>
          <w:p w14:paraId="26A599A0" w14:textId="54F9A92A" w:rsidR="00F61E6E" w:rsidRPr="00F21719" w:rsidRDefault="00F61E6E" w:rsidP="00B24633">
            <w:pPr>
              <w:widowControl w:val="0"/>
              <w:autoSpaceDE w:val="0"/>
              <w:autoSpaceDN w:val="0"/>
              <w:spacing w:line="233" w:lineRule="exact"/>
              <w:ind w:left="106"/>
              <w:rPr>
                <w:sz w:val="22"/>
                <w:szCs w:val="22"/>
              </w:rPr>
            </w:pPr>
            <w:r w:rsidRPr="00F21719">
              <w:rPr>
                <w:sz w:val="22"/>
                <w:szCs w:val="22"/>
              </w:rPr>
              <w:t>(1,1</w:t>
            </w:r>
            <w:r w:rsidR="00054680">
              <w:rPr>
                <w:sz w:val="22"/>
                <w:szCs w:val="22"/>
              </w:rPr>
              <w:t xml:space="preserve"> %</w:t>
            </w:r>
            <w:r w:rsidRPr="00F21719">
              <w:rPr>
                <w:sz w:val="22"/>
                <w:szCs w:val="22"/>
              </w:rPr>
              <w:t>)</w:t>
            </w:r>
          </w:p>
        </w:tc>
        <w:tc>
          <w:tcPr>
            <w:tcW w:w="2841" w:type="dxa"/>
          </w:tcPr>
          <w:p w14:paraId="3A034646" w14:textId="77777777" w:rsidR="00F61E6E" w:rsidRPr="00F21719" w:rsidRDefault="00F61E6E" w:rsidP="00B24633">
            <w:pPr>
              <w:widowControl w:val="0"/>
              <w:autoSpaceDE w:val="0"/>
              <w:autoSpaceDN w:val="0"/>
              <w:spacing w:line="249" w:lineRule="exact"/>
              <w:ind w:left="106"/>
              <w:rPr>
                <w:sz w:val="22"/>
                <w:szCs w:val="22"/>
              </w:rPr>
            </w:pPr>
            <w:r w:rsidRPr="00F21719">
              <w:rPr>
                <w:sz w:val="22"/>
                <w:szCs w:val="22"/>
              </w:rPr>
              <w:t>52</w:t>
            </w:r>
          </w:p>
          <w:p w14:paraId="2AABB948" w14:textId="69FA2AFE" w:rsidR="00F61E6E" w:rsidRPr="00F21719" w:rsidRDefault="00F61E6E" w:rsidP="00B24633">
            <w:pPr>
              <w:widowControl w:val="0"/>
              <w:autoSpaceDE w:val="0"/>
              <w:autoSpaceDN w:val="0"/>
              <w:spacing w:line="233" w:lineRule="exact"/>
              <w:ind w:left="106"/>
              <w:rPr>
                <w:sz w:val="22"/>
                <w:szCs w:val="22"/>
              </w:rPr>
            </w:pPr>
            <w:r w:rsidRPr="00F21719">
              <w:rPr>
                <w:sz w:val="22"/>
                <w:szCs w:val="22"/>
              </w:rPr>
              <w:t>(2,2</w:t>
            </w:r>
            <w:r w:rsidR="00054680">
              <w:rPr>
                <w:sz w:val="22"/>
                <w:szCs w:val="22"/>
              </w:rPr>
              <w:t xml:space="preserve"> %</w:t>
            </w:r>
            <w:r w:rsidRPr="00F21719">
              <w:rPr>
                <w:sz w:val="22"/>
                <w:szCs w:val="22"/>
              </w:rPr>
              <w:t>)</w:t>
            </w:r>
          </w:p>
        </w:tc>
      </w:tr>
    </w:tbl>
    <w:p w14:paraId="42CF328B" w14:textId="77777777" w:rsidR="00F61E6E" w:rsidRPr="00F21719" w:rsidRDefault="00F61E6E" w:rsidP="00B24633">
      <w:pPr>
        <w:tabs>
          <w:tab w:val="left" w:pos="851"/>
          <w:tab w:val="left" w:pos="1560"/>
        </w:tabs>
        <w:ind w:left="851"/>
        <w:rPr>
          <w:sz w:val="22"/>
          <w:szCs w:val="22"/>
        </w:rPr>
      </w:pPr>
      <w:r w:rsidRPr="00F21719">
        <w:rPr>
          <w:sz w:val="22"/>
          <w:szCs w:val="22"/>
          <w:vertAlign w:val="superscript"/>
        </w:rPr>
        <w:t>a)</w:t>
      </w:r>
      <w:r w:rsidRPr="00F21719">
        <w:rPr>
          <w:sz w:val="22"/>
          <w:szCs w:val="22"/>
        </w:rPr>
        <w:t xml:space="preserve"> Rivaroxaban 15 mg to gange dagligt i tre uger efterfulgt af 20 mg én gang dagligt</w:t>
      </w:r>
    </w:p>
    <w:p w14:paraId="21D2DD82" w14:textId="77777777" w:rsidR="00F61E6E" w:rsidRPr="00F21719" w:rsidRDefault="00F61E6E" w:rsidP="00B24633">
      <w:pPr>
        <w:tabs>
          <w:tab w:val="left" w:pos="851"/>
          <w:tab w:val="left" w:pos="1560"/>
        </w:tabs>
        <w:ind w:left="851"/>
        <w:rPr>
          <w:sz w:val="22"/>
          <w:szCs w:val="22"/>
        </w:rPr>
      </w:pPr>
      <w:r w:rsidRPr="00F21719">
        <w:rPr>
          <w:sz w:val="22"/>
          <w:szCs w:val="22"/>
          <w:vertAlign w:val="superscript"/>
        </w:rPr>
        <w:t>b)</w:t>
      </w:r>
      <w:r w:rsidRPr="00F21719">
        <w:rPr>
          <w:sz w:val="22"/>
          <w:szCs w:val="22"/>
        </w:rPr>
        <w:t xml:space="preserve"> Enoxaparin i mindst 5 dage, overlappet med og efterfulgt af VKA</w:t>
      </w:r>
    </w:p>
    <w:p w14:paraId="318883FE" w14:textId="77777777" w:rsidR="00F61E6E" w:rsidRPr="00F21719" w:rsidRDefault="00F61E6E" w:rsidP="00B24633">
      <w:pPr>
        <w:tabs>
          <w:tab w:val="left" w:pos="851"/>
          <w:tab w:val="left" w:pos="1560"/>
        </w:tabs>
        <w:ind w:left="851"/>
        <w:rPr>
          <w:sz w:val="22"/>
          <w:szCs w:val="22"/>
        </w:rPr>
      </w:pPr>
      <w:r w:rsidRPr="00F21719">
        <w:rPr>
          <w:sz w:val="22"/>
          <w:szCs w:val="22"/>
        </w:rPr>
        <w:t>* p &lt; 0,0026 (non-inferioritet i forhold til en præspecificeret HR på 2,0); HR: 1,123 (0,749 – 1,684)</w:t>
      </w:r>
    </w:p>
    <w:p w14:paraId="5D3C70DA" w14:textId="77777777" w:rsidR="00F61E6E" w:rsidRPr="00B24633" w:rsidRDefault="00F61E6E" w:rsidP="00B24633">
      <w:pPr>
        <w:tabs>
          <w:tab w:val="left" w:pos="851"/>
        </w:tabs>
        <w:ind w:left="851"/>
        <w:rPr>
          <w:sz w:val="24"/>
          <w:szCs w:val="24"/>
        </w:rPr>
      </w:pPr>
    </w:p>
    <w:p w14:paraId="72C24345" w14:textId="77777777" w:rsidR="00F61E6E" w:rsidRPr="00B24633" w:rsidRDefault="00F61E6E" w:rsidP="00B24633">
      <w:pPr>
        <w:tabs>
          <w:tab w:val="left" w:pos="851"/>
        </w:tabs>
        <w:ind w:left="851"/>
        <w:rPr>
          <w:sz w:val="24"/>
          <w:szCs w:val="24"/>
        </w:rPr>
      </w:pPr>
      <w:r w:rsidRPr="00B24633">
        <w:rPr>
          <w:sz w:val="24"/>
          <w:szCs w:val="24"/>
        </w:rPr>
        <w:t>Der blev udført en forudspecificeret samlet analyse af resultaterne fra Einstein DVT- og PE-studierne (se tabel 8).</w:t>
      </w:r>
    </w:p>
    <w:p w14:paraId="219B935F" w14:textId="1DCC8EF5" w:rsidR="00F21719" w:rsidRDefault="00F21719">
      <w:pPr>
        <w:rPr>
          <w:sz w:val="24"/>
          <w:szCs w:val="24"/>
        </w:rPr>
      </w:pPr>
      <w:r>
        <w:rPr>
          <w:sz w:val="24"/>
          <w:szCs w:val="24"/>
        </w:rPr>
        <w:br w:type="page"/>
      </w:r>
    </w:p>
    <w:p w14:paraId="4B9500C7" w14:textId="77777777" w:rsidR="00F61E6E" w:rsidRPr="00B24633" w:rsidRDefault="00F61E6E" w:rsidP="00B24633">
      <w:pPr>
        <w:tabs>
          <w:tab w:val="left" w:pos="851"/>
        </w:tabs>
        <w:ind w:left="851"/>
        <w:rPr>
          <w:sz w:val="24"/>
          <w:szCs w:val="24"/>
        </w:rPr>
      </w:pPr>
    </w:p>
    <w:p w14:paraId="68716D2A" w14:textId="2E4BBFD7" w:rsidR="00F61E6E" w:rsidRDefault="00F61E6E" w:rsidP="00B24633">
      <w:pPr>
        <w:ind w:left="851"/>
        <w:rPr>
          <w:b/>
          <w:sz w:val="24"/>
          <w:szCs w:val="24"/>
        </w:rPr>
      </w:pPr>
      <w:r w:rsidRPr="00B24633">
        <w:rPr>
          <w:b/>
          <w:sz w:val="24"/>
          <w:szCs w:val="24"/>
        </w:rPr>
        <w:t>Tabel 8: Effekt- og sikkerhedsresultater fra samlet analyse af fase III Einstein DVT og Einstein PE</w:t>
      </w:r>
    </w:p>
    <w:p w14:paraId="2B0B6403" w14:textId="77777777" w:rsidR="00F21719" w:rsidRPr="00B24633" w:rsidRDefault="00F21719" w:rsidP="00B24633">
      <w:pPr>
        <w:ind w:left="851"/>
        <w:rPr>
          <w:b/>
          <w:sz w:val="24"/>
          <w:szCs w:val="24"/>
        </w:rPr>
      </w:pPr>
    </w:p>
    <w:tbl>
      <w:tblPr>
        <w:tblW w:w="8930" w:type="dxa"/>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95"/>
        <w:gridCol w:w="3043"/>
        <w:gridCol w:w="2592"/>
      </w:tblGrid>
      <w:tr w:rsidR="00F61E6E" w:rsidRPr="00F21719" w14:paraId="4B1D528F" w14:textId="77777777" w:rsidTr="00B24633">
        <w:trPr>
          <w:trHeight w:val="252"/>
        </w:trPr>
        <w:tc>
          <w:tcPr>
            <w:tcW w:w="3295" w:type="dxa"/>
          </w:tcPr>
          <w:p w14:paraId="6275D34D" w14:textId="77777777" w:rsidR="00F61E6E" w:rsidRPr="00F21719" w:rsidRDefault="00F61E6E" w:rsidP="00B24633">
            <w:pPr>
              <w:keepNext/>
              <w:widowControl w:val="0"/>
              <w:autoSpaceDE w:val="0"/>
              <w:autoSpaceDN w:val="0"/>
              <w:ind w:left="141"/>
              <w:rPr>
                <w:b/>
                <w:bCs/>
                <w:sz w:val="22"/>
                <w:szCs w:val="22"/>
              </w:rPr>
            </w:pPr>
            <w:r w:rsidRPr="00F21719">
              <w:rPr>
                <w:b/>
                <w:bCs/>
                <w:sz w:val="22"/>
                <w:szCs w:val="22"/>
              </w:rPr>
              <w:t>Studiepopulation</w:t>
            </w:r>
          </w:p>
        </w:tc>
        <w:tc>
          <w:tcPr>
            <w:tcW w:w="5635" w:type="dxa"/>
            <w:gridSpan w:val="2"/>
          </w:tcPr>
          <w:p w14:paraId="5D381227" w14:textId="77777777" w:rsidR="00F61E6E" w:rsidRPr="00F21719" w:rsidRDefault="00F61E6E" w:rsidP="00B24633">
            <w:pPr>
              <w:keepNext/>
              <w:widowControl w:val="0"/>
              <w:autoSpaceDE w:val="0"/>
              <w:autoSpaceDN w:val="0"/>
              <w:ind w:left="141"/>
              <w:rPr>
                <w:b/>
                <w:bCs/>
                <w:sz w:val="22"/>
                <w:szCs w:val="22"/>
              </w:rPr>
            </w:pPr>
            <w:r w:rsidRPr="00F21719">
              <w:rPr>
                <w:b/>
                <w:bCs/>
                <w:sz w:val="22"/>
                <w:szCs w:val="22"/>
              </w:rPr>
              <w:t>8.281 patienter med akut symtomatisk DVT eller PE</w:t>
            </w:r>
          </w:p>
        </w:tc>
      </w:tr>
      <w:tr w:rsidR="00F61E6E" w:rsidRPr="00F21719" w14:paraId="15FB62D5" w14:textId="77777777" w:rsidTr="00B24633">
        <w:trPr>
          <w:trHeight w:val="759"/>
        </w:trPr>
        <w:tc>
          <w:tcPr>
            <w:tcW w:w="3295" w:type="dxa"/>
          </w:tcPr>
          <w:p w14:paraId="3EF52379" w14:textId="77777777" w:rsidR="00F61E6E" w:rsidRPr="00F21719" w:rsidRDefault="00F61E6E" w:rsidP="00B24633">
            <w:pPr>
              <w:widowControl w:val="0"/>
              <w:autoSpaceDE w:val="0"/>
              <w:autoSpaceDN w:val="0"/>
              <w:ind w:left="141"/>
              <w:rPr>
                <w:b/>
                <w:bCs/>
                <w:sz w:val="22"/>
                <w:szCs w:val="22"/>
              </w:rPr>
            </w:pPr>
            <w:r w:rsidRPr="00F21719">
              <w:rPr>
                <w:b/>
                <w:bCs/>
                <w:sz w:val="22"/>
                <w:szCs w:val="22"/>
              </w:rPr>
              <w:t>Terapeutisk dosis og varighed</w:t>
            </w:r>
          </w:p>
        </w:tc>
        <w:tc>
          <w:tcPr>
            <w:tcW w:w="3043" w:type="dxa"/>
          </w:tcPr>
          <w:p w14:paraId="5D5EA588" w14:textId="77777777" w:rsidR="00F61E6E" w:rsidRPr="00F21719" w:rsidRDefault="00F61E6E" w:rsidP="00B24633">
            <w:pPr>
              <w:widowControl w:val="0"/>
              <w:autoSpaceDE w:val="0"/>
              <w:autoSpaceDN w:val="0"/>
              <w:ind w:left="141"/>
              <w:rPr>
                <w:b/>
                <w:bCs/>
                <w:sz w:val="22"/>
                <w:szCs w:val="22"/>
              </w:rPr>
            </w:pPr>
            <w:r w:rsidRPr="00F21719">
              <w:rPr>
                <w:b/>
                <w:bCs/>
                <w:sz w:val="22"/>
                <w:szCs w:val="22"/>
              </w:rPr>
              <w:t xml:space="preserve">Rivaroxaban </w:t>
            </w:r>
            <w:r w:rsidRPr="00F21719">
              <w:rPr>
                <w:b/>
                <w:bCs/>
                <w:sz w:val="22"/>
                <w:szCs w:val="22"/>
                <w:vertAlign w:val="superscript"/>
              </w:rPr>
              <w:t>a)</w:t>
            </w:r>
          </w:p>
          <w:p w14:paraId="130144AD" w14:textId="77777777" w:rsidR="00F61E6E" w:rsidRPr="00F21719" w:rsidRDefault="00F61E6E" w:rsidP="00B24633">
            <w:pPr>
              <w:widowControl w:val="0"/>
              <w:autoSpaceDE w:val="0"/>
              <w:autoSpaceDN w:val="0"/>
              <w:ind w:left="141"/>
              <w:rPr>
                <w:b/>
                <w:bCs/>
                <w:sz w:val="22"/>
                <w:szCs w:val="22"/>
              </w:rPr>
            </w:pPr>
            <w:r w:rsidRPr="00F21719">
              <w:rPr>
                <w:b/>
                <w:bCs/>
                <w:sz w:val="22"/>
                <w:szCs w:val="22"/>
              </w:rPr>
              <w:t xml:space="preserve">3, 6 eller 12 måneder </w:t>
            </w:r>
          </w:p>
          <w:p w14:paraId="32B45466" w14:textId="56D3928F" w:rsidR="00F61E6E" w:rsidRPr="00F21719" w:rsidRDefault="00213042" w:rsidP="00B24633">
            <w:pPr>
              <w:widowControl w:val="0"/>
              <w:autoSpaceDE w:val="0"/>
              <w:autoSpaceDN w:val="0"/>
              <w:ind w:left="141"/>
              <w:rPr>
                <w:b/>
                <w:bCs/>
                <w:sz w:val="22"/>
                <w:szCs w:val="22"/>
              </w:rPr>
            </w:pPr>
            <w:r w:rsidRPr="00F21719">
              <w:rPr>
                <w:b/>
                <w:bCs/>
                <w:sz w:val="22"/>
                <w:szCs w:val="22"/>
              </w:rPr>
              <w:t>N</w:t>
            </w:r>
            <w:r>
              <w:rPr>
                <w:b/>
                <w:bCs/>
                <w:sz w:val="22"/>
                <w:szCs w:val="22"/>
              </w:rPr>
              <w:t xml:space="preserve"> </w:t>
            </w:r>
            <w:r w:rsidRPr="00F21719">
              <w:rPr>
                <w:b/>
                <w:bCs/>
                <w:sz w:val="22"/>
                <w:szCs w:val="22"/>
              </w:rPr>
              <w:t>=</w:t>
            </w:r>
            <w:r>
              <w:rPr>
                <w:b/>
                <w:bCs/>
                <w:sz w:val="22"/>
                <w:szCs w:val="22"/>
              </w:rPr>
              <w:t xml:space="preserve"> </w:t>
            </w:r>
            <w:r w:rsidRPr="00F21719">
              <w:rPr>
                <w:b/>
                <w:bCs/>
                <w:sz w:val="22"/>
                <w:szCs w:val="22"/>
              </w:rPr>
              <w:t>4.150</w:t>
            </w:r>
          </w:p>
        </w:tc>
        <w:tc>
          <w:tcPr>
            <w:tcW w:w="2592" w:type="dxa"/>
          </w:tcPr>
          <w:p w14:paraId="4B16A5B2" w14:textId="77777777" w:rsidR="00F61E6E" w:rsidRPr="00F21719" w:rsidRDefault="00F61E6E" w:rsidP="00B24633">
            <w:pPr>
              <w:widowControl w:val="0"/>
              <w:autoSpaceDE w:val="0"/>
              <w:autoSpaceDN w:val="0"/>
              <w:ind w:left="141"/>
              <w:rPr>
                <w:b/>
                <w:bCs/>
                <w:sz w:val="22"/>
                <w:szCs w:val="22"/>
              </w:rPr>
            </w:pPr>
            <w:r w:rsidRPr="00F21719">
              <w:rPr>
                <w:b/>
                <w:bCs/>
                <w:sz w:val="22"/>
                <w:szCs w:val="22"/>
              </w:rPr>
              <w:t>Enoxaparin/VKA</w:t>
            </w:r>
            <w:r w:rsidRPr="00F21719">
              <w:rPr>
                <w:b/>
                <w:bCs/>
                <w:sz w:val="22"/>
                <w:szCs w:val="22"/>
                <w:vertAlign w:val="superscript"/>
              </w:rPr>
              <w:t>b)</w:t>
            </w:r>
            <w:r w:rsidRPr="00F21719">
              <w:rPr>
                <w:b/>
                <w:bCs/>
                <w:sz w:val="22"/>
                <w:szCs w:val="22"/>
              </w:rPr>
              <w:t xml:space="preserve"> </w:t>
            </w:r>
          </w:p>
          <w:p w14:paraId="3EDF72EF" w14:textId="77777777" w:rsidR="00F61E6E" w:rsidRPr="00F21719" w:rsidRDefault="00F61E6E" w:rsidP="00B24633">
            <w:pPr>
              <w:widowControl w:val="0"/>
              <w:autoSpaceDE w:val="0"/>
              <w:autoSpaceDN w:val="0"/>
              <w:ind w:left="141"/>
              <w:rPr>
                <w:b/>
                <w:bCs/>
                <w:sz w:val="22"/>
                <w:szCs w:val="22"/>
              </w:rPr>
            </w:pPr>
            <w:r w:rsidRPr="00F21719">
              <w:rPr>
                <w:b/>
                <w:bCs/>
                <w:sz w:val="22"/>
                <w:szCs w:val="22"/>
              </w:rPr>
              <w:t>3, 6 eller 12 måneder</w:t>
            </w:r>
          </w:p>
          <w:p w14:paraId="1D49096D" w14:textId="186769E0" w:rsidR="00F61E6E" w:rsidRPr="00F21719" w:rsidRDefault="00F61E6E" w:rsidP="00B24633">
            <w:pPr>
              <w:widowControl w:val="0"/>
              <w:autoSpaceDE w:val="0"/>
              <w:autoSpaceDN w:val="0"/>
              <w:ind w:left="141"/>
              <w:rPr>
                <w:b/>
                <w:bCs/>
                <w:sz w:val="22"/>
                <w:szCs w:val="22"/>
              </w:rPr>
            </w:pPr>
            <w:r w:rsidRPr="00F21719">
              <w:rPr>
                <w:b/>
                <w:bCs/>
                <w:sz w:val="22"/>
                <w:szCs w:val="22"/>
              </w:rPr>
              <w:t>N</w:t>
            </w:r>
            <w:r w:rsidR="00825675">
              <w:rPr>
                <w:b/>
                <w:bCs/>
                <w:sz w:val="22"/>
                <w:szCs w:val="22"/>
              </w:rPr>
              <w:t xml:space="preserve"> </w:t>
            </w:r>
            <w:r w:rsidRPr="00F21719">
              <w:rPr>
                <w:b/>
                <w:bCs/>
                <w:sz w:val="22"/>
                <w:szCs w:val="22"/>
              </w:rPr>
              <w:t>=</w:t>
            </w:r>
            <w:r w:rsidR="00825675">
              <w:rPr>
                <w:b/>
                <w:bCs/>
                <w:sz w:val="22"/>
                <w:szCs w:val="22"/>
              </w:rPr>
              <w:t xml:space="preserve"> </w:t>
            </w:r>
            <w:r w:rsidRPr="00F21719">
              <w:rPr>
                <w:b/>
                <w:bCs/>
                <w:sz w:val="22"/>
                <w:szCs w:val="22"/>
              </w:rPr>
              <w:t>4.131</w:t>
            </w:r>
          </w:p>
        </w:tc>
      </w:tr>
      <w:tr w:rsidR="00F61E6E" w:rsidRPr="00F21719" w14:paraId="622002F5" w14:textId="77777777" w:rsidTr="00B24633">
        <w:trPr>
          <w:trHeight w:val="502"/>
        </w:trPr>
        <w:tc>
          <w:tcPr>
            <w:tcW w:w="3295" w:type="dxa"/>
          </w:tcPr>
          <w:p w14:paraId="680B3CC0" w14:textId="77777777" w:rsidR="00F61E6E" w:rsidRPr="00F21719" w:rsidRDefault="00F61E6E" w:rsidP="00B24633">
            <w:pPr>
              <w:widowControl w:val="0"/>
              <w:autoSpaceDE w:val="0"/>
              <w:autoSpaceDN w:val="0"/>
              <w:ind w:left="141"/>
              <w:rPr>
                <w:sz w:val="22"/>
                <w:szCs w:val="22"/>
              </w:rPr>
            </w:pPr>
            <w:r w:rsidRPr="00F21719">
              <w:rPr>
                <w:sz w:val="22"/>
                <w:szCs w:val="22"/>
              </w:rPr>
              <w:t>Symtomatisk recidiverende VTE*</w:t>
            </w:r>
          </w:p>
        </w:tc>
        <w:tc>
          <w:tcPr>
            <w:tcW w:w="3043" w:type="dxa"/>
          </w:tcPr>
          <w:p w14:paraId="12267482" w14:textId="77777777" w:rsidR="00F61E6E" w:rsidRPr="00F21719" w:rsidRDefault="00F61E6E" w:rsidP="00B24633">
            <w:pPr>
              <w:widowControl w:val="0"/>
              <w:autoSpaceDE w:val="0"/>
              <w:autoSpaceDN w:val="0"/>
              <w:ind w:left="141"/>
              <w:rPr>
                <w:sz w:val="22"/>
                <w:szCs w:val="22"/>
              </w:rPr>
            </w:pPr>
            <w:r w:rsidRPr="00F21719">
              <w:rPr>
                <w:sz w:val="22"/>
                <w:szCs w:val="22"/>
              </w:rPr>
              <w:t>86</w:t>
            </w:r>
          </w:p>
          <w:p w14:paraId="68506223" w14:textId="4AD84241" w:rsidR="00F61E6E" w:rsidRPr="00F21719" w:rsidRDefault="00F61E6E" w:rsidP="00B24633">
            <w:pPr>
              <w:widowControl w:val="0"/>
              <w:autoSpaceDE w:val="0"/>
              <w:autoSpaceDN w:val="0"/>
              <w:ind w:left="141"/>
              <w:rPr>
                <w:sz w:val="22"/>
                <w:szCs w:val="22"/>
              </w:rPr>
            </w:pPr>
            <w:r w:rsidRPr="00F21719">
              <w:rPr>
                <w:sz w:val="22"/>
                <w:szCs w:val="22"/>
              </w:rPr>
              <w:t>(2,1</w:t>
            </w:r>
            <w:r w:rsidR="00054680">
              <w:rPr>
                <w:sz w:val="22"/>
                <w:szCs w:val="22"/>
              </w:rPr>
              <w:t xml:space="preserve"> %</w:t>
            </w:r>
            <w:r w:rsidRPr="00F21719">
              <w:rPr>
                <w:sz w:val="22"/>
                <w:szCs w:val="22"/>
              </w:rPr>
              <w:t>)</w:t>
            </w:r>
          </w:p>
        </w:tc>
        <w:tc>
          <w:tcPr>
            <w:tcW w:w="2592" w:type="dxa"/>
          </w:tcPr>
          <w:p w14:paraId="6ED1BA6B" w14:textId="77777777" w:rsidR="00F61E6E" w:rsidRPr="00F21719" w:rsidRDefault="00F61E6E" w:rsidP="00B24633">
            <w:pPr>
              <w:widowControl w:val="0"/>
              <w:autoSpaceDE w:val="0"/>
              <w:autoSpaceDN w:val="0"/>
              <w:ind w:left="141"/>
              <w:rPr>
                <w:sz w:val="22"/>
                <w:szCs w:val="22"/>
              </w:rPr>
            </w:pPr>
            <w:r w:rsidRPr="00F21719">
              <w:rPr>
                <w:sz w:val="22"/>
                <w:szCs w:val="22"/>
              </w:rPr>
              <w:t>95</w:t>
            </w:r>
          </w:p>
          <w:p w14:paraId="7EE995AD" w14:textId="77FAD888" w:rsidR="00F61E6E" w:rsidRPr="00F21719" w:rsidRDefault="00F61E6E" w:rsidP="00B24633">
            <w:pPr>
              <w:widowControl w:val="0"/>
              <w:autoSpaceDE w:val="0"/>
              <w:autoSpaceDN w:val="0"/>
              <w:ind w:left="141"/>
              <w:rPr>
                <w:sz w:val="22"/>
                <w:szCs w:val="22"/>
              </w:rPr>
            </w:pPr>
            <w:r w:rsidRPr="00F21719">
              <w:rPr>
                <w:sz w:val="22"/>
                <w:szCs w:val="22"/>
              </w:rPr>
              <w:t>(2,3</w:t>
            </w:r>
            <w:r w:rsidR="00054680">
              <w:rPr>
                <w:sz w:val="22"/>
                <w:szCs w:val="22"/>
              </w:rPr>
              <w:t xml:space="preserve"> %</w:t>
            </w:r>
            <w:r w:rsidRPr="00F21719">
              <w:rPr>
                <w:sz w:val="22"/>
                <w:szCs w:val="22"/>
              </w:rPr>
              <w:t>)</w:t>
            </w:r>
          </w:p>
        </w:tc>
      </w:tr>
      <w:tr w:rsidR="00F61E6E" w:rsidRPr="00F21719" w14:paraId="34BFB8BF" w14:textId="77777777" w:rsidTr="00B24633">
        <w:trPr>
          <w:trHeight w:val="506"/>
        </w:trPr>
        <w:tc>
          <w:tcPr>
            <w:tcW w:w="3295" w:type="dxa"/>
          </w:tcPr>
          <w:p w14:paraId="011E6D9D" w14:textId="77777777" w:rsidR="00F61E6E" w:rsidRPr="00F21719" w:rsidRDefault="00F61E6E" w:rsidP="007F055A">
            <w:pPr>
              <w:widowControl w:val="0"/>
              <w:numPr>
                <w:ilvl w:val="0"/>
                <w:numId w:val="26"/>
              </w:numPr>
              <w:autoSpaceDE w:val="0"/>
              <w:autoSpaceDN w:val="0"/>
              <w:ind w:left="412" w:hanging="283"/>
              <w:rPr>
                <w:sz w:val="22"/>
                <w:szCs w:val="22"/>
              </w:rPr>
            </w:pPr>
            <w:r w:rsidRPr="00F21719">
              <w:rPr>
                <w:sz w:val="22"/>
                <w:szCs w:val="22"/>
              </w:rPr>
              <w:t>Symtomatisk recidiverende PE</w:t>
            </w:r>
          </w:p>
        </w:tc>
        <w:tc>
          <w:tcPr>
            <w:tcW w:w="3043" w:type="dxa"/>
          </w:tcPr>
          <w:p w14:paraId="075FD623" w14:textId="77777777" w:rsidR="00F61E6E" w:rsidRPr="00F21719" w:rsidRDefault="00F61E6E" w:rsidP="00B24633">
            <w:pPr>
              <w:widowControl w:val="0"/>
              <w:autoSpaceDE w:val="0"/>
              <w:autoSpaceDN w:val="0"/>
              <w:ind w:left="141"/>
              <w:rPr>
                <w:sz w:val="22"/>
                <w:szCs w:val="22"/>
              </w:rPr>
            </w:pPr>
            <w:r w:rsidRPr="00F21719">
              <w:rPr>
                <w:sz w:val="22"/>
                <w:szCs w:val="22"/>
              </w:rPr>
              <w:t>43</w:t>
            </w:r>
          </w:p>
          <w:p w14:paraId="02A6B5BE" w14:textId="78BCBFEA" w:rsidR="00F61E6E" w:rsidRPr="00F21719" w:rsidRDefault="00F61E6E" w:rsidP="00B24633">
            <w:pPr>
              <w:widowControl w:val="0"/>
              <w:autoSpaceDE w:val="0"/>
              <w:autoSpaceDN w:val="0"/>
              <w:ind w:left="141"/>
              <w:rPr>
                <w:sz w:val="22"/>
                <w:szCs w:val="22"/>
              </w:rPr>
            </w:pPr>
            <w:r w:rsidRPr="00F21719">
              <w:rPr>
                <w:sz w:val="22"/>
                <w:szCs w:val="22"/>
              </w:rPr>
              <w:t>(1,0</w:t>
            </w:r>
            <w:r w:rsidR="00054680">
              <w:rPr>
                <w:sz w:val="22"/>
                <w:szCs w:val="22"/>
              </w:rPr>
              <w:t xml:space="preserve"> %</w:t>
            </w:r>
            <w:r w:rsidRPr="00F21719">
              <w:rPr>
                <w:sz w:val="22"/>
                <w:szCs w:val="22"/>
              </w:rPr>
              <w:t>)</w:t>
            </w:r>
          </w:p>
        </w:tc>
        <w:tc>
          <w:tcPr>
            <w:tcW w:w="2592" w:type="dxa"/>
          </w:tcPr>
          <w:p w14:paraId="5096DB67" w14:textId="77777777" w:rsidR="00F61E6E" w:rsidRPr="00F21719" w:rsidRDefault="00F61E6E" w:rsidP="00B24633">
            <w:pPr>
              <w:widowControl w:val="0"/>
              <w:autoSpaceDE w:val="0"/>
              <w:autoSpaceDN w:val="0"/>
              <w:ind w:left="141"/>
              <w:rPr>
                <w:sz w:val="22"/>
                <w:szCs w:val="22"/>
              </w:rPr>
            </w:pPr>
            <w:r w:rsidRPr="00F21719">
              <w:rPr>
                <w:sz w:val="22"/>
                <w:szCs w:val="22"/>
              </w:rPr>
              <w:t>38</w:t>
            </w:r>
          </w:p>
          <w:p w14:paraId="466BE868" w14:textId="43EFD13E" w:rsidR="00F61E6E" w:rsidRPr="00F21719" w:rsidRDefault="00F61E6E" w:rsidP="00B24633">
            <w:pPr>
              <w:widowControl w:val="0"/>
              <w:autoSpaceDE w:val="0"/>
              <w:autoSpaceDN w:val="0"/>
              <w:ind w:left="141"/>
              <w:rPr>
                <w:sz w:val="22"/>
                <w:szCs w:val="22"/>
              </w:rPr>
            </w:pPr>
            <w:r w:rsidRPr="00F21719">
              <w:rPr>
                <w:sz w:val="22"/>
                <w:szCs w:val="22"/>
              </w:rPr>
              <w:t>(0,9</w:t>
            </w:r>
            <w:r w:rsidR="00054680">
              <w:rPr>
                <w:sz w:val="22"/>
                <w:szCs w:val="22"/>
              </w:rPr>
              <w:t xml:space="preserve"> %</w:t>
            </w:r>
            <w:r w:rsidRPr="00F21719">
              <w:rPr>
                <w:sz w:val="22"/>
                <w:szCs w:val="22"/>
              </w:rPr>
              <w:t>)</w:t>
            </w:r>
          </w:p>
        </w:tc>
      </w:tr>
      <w:tr w:rsidR="00F61E6E" w:rsidRPr="00F21719" w14:paraId="678F6916" w14:textId="77777777" w:rsidTr="00B24633">
        <w:trPr>
          <w:trHeight w:val="506"/>
        </w:trPr>
        <w:tc>
          <w:tcPr>
            <w:tcW w:w="3295" w:type="dxa"/>
          </w:tcPr>
          <w:p w14:paraId="3A1F3E7F" w14:textId="77777777" w:rsidR="00F61E6E" w:rsidRPr="00F21719" w:rsidRDefault="00F61E6E" w:rsidP="007F055A">
            <w:pPr>
              <w:widowControl w:val="0"/>
              <w:numPr>
                <w:ilvl w:val="0"/>
                <w:numId w:val="26"/>
              </w:numPr>
              <w:autoSpaceDE w:val="0"/>
              <w:autoSpaceDN w:val="0"/>
              <w:ind w:left="412" w:hanging="283"/>
              <w:rPr>
                <w:sz w:val="22"/>
                <w:szCs w:val="22"/>
              </w:rPr>
            </w:pPr>
            <w:r w:rsidRPr="00F21719">
              <w:rPr>
                <w:sz w:val="22"/>
                <w:szCs w:val="22"/>
              </w:rPr>
              <w:t>Symtomatisk recidiverende DVT</w:t>
            </w:r>
          </w:p>
        </w:tc>
        <w:tc>
          <w:tcPr>
            <w:tcW w:w="3043" w:type="dxa"/>
          </w:tcPr>
          <w:p w14:paraId="5BAD5012" w14:textId="77777777" w:rsidR="00F61E6E" w:rsidRPr="00F21719" w:rsidRDefault="00F61E6E" w:rsidP="00B24633">
            <w:pPr>
              <w:widowControl w:val="0"/>
              <w:autoSpaceDE w:val="0"/>
              <w:autoSpaceDN w:val="0"/>
              <w:ind w:left="141"/>
              <w:rPr>
                <w:sz w:val="22"/>
                <w:szCs w:val="22"/>
              </w:rPr>
            </w:pPr>
            <w:r w:rsidRPr="00F21719">
              <w:rPr>
                <w:sz w:val="22"/>
                <w:szCs w:val="22"/>
              </w:rPr>
              <w:t>32</w:t>
            </w:r>
          </w:p>
          <w:p w14:paraId="22E5BCC0" w14:textId="115A9456" w:rsidR="00F61E6E" w:rsidRPr="00F21719" w:rsidRDefault="00F61E6E" w:rsidP="00B24633">
            <w:pPr>
              <w:widowControl w:val="0"/>
              <w:autoSpaceDE w:val="0"/>
              <w:autoSpaceDN w:val="0"/>
              <w:ind w:left="141"/>
              <w:rPr>
                <w:sz w:val="22"/>
                <w:szCs w:val="22"/>
              </w:rPr>
            </w:pPr>
            <w:r w:rsidRPr="00F21719">
              <w:rPr>
                <w:sz w:val="22"/>
                <w:szCs w:val="22"/>
              </w:rPr>
              <w:t>(0,8</w:t>
            </w:r>
            <w:r w:rsidR="00054680">
              <w:rPr>
                <w:sz w:val="22"/>
                <w:szCs w:val="22"/>
              </w:rPr>
              <w:t xml:space="preserve"> %</w:t>
            </w:r>
            <w:r w:rsidRPr="00F21719">
              <w:rPr>
                <w:sz w:val="22"/>
                <w:szCs w:val="22"/>
              </w:rPr>
              <w:t>)</w:t>
            </w:r>
          </w:p>
        </w:tc>
        <w:tc>
          <w:tcPr>
            <w:tcW w:w="2592" w:type="dxa"/>
          </w:tcPr>
          <w:p w14:paraId="6286CF0A" w14:textId="77777777" w:rsidR="00F61E6E" w:rsidRPr="00F21719" w:rsidRDefault="00F61E6E" w:rsidP="00B24633">
            <w:pPr>
              <w:widowControl w:val="0"/>
              <w:autoSpaceDE w:val="0"/>
              <w:autoSpaceDN w:val="0"/>
              <w:ind w:left="141"/>
              <w:rPr>
                <w:sz w:val="22"/>
                <w:szCs w:val="22"/>
              </w:rPr>
            </w:pPr>
            <w:r w:rsidRPr="00F21719">
              <w:rPr>
                <w:sz w:val="22"/>
                <w:szCs w:val="22"/>
              </w:rPr>
              <w:t>45</w:t>
            </w:r>
          </w:p>
          <w:p w14:paraId="68C1A2CC" w14:textId="2CC38360" w:rsidR="00F61E6E" w:rsidRPr="00F21719" w:rsidRDefault="00F61E6E" w:rsidP="00B24633">
            <w:pPr>
              <w:widowControl w:val="0"/>
              <w:autoSpaceDE w:val="0"/>
              <w:autoSpaceDN w:val="0"/>
              <w:ind w:left="141"/>
              <w:rPr>
                <w:sz w:val="22"/>
                <w:szCs w:val="22"/>
              </w:rPr>
            </w:pPr>
            <w:r w:rsidRPr="00F21719">
              <w:rPr>
                <w:sz w:val="22"/>
                <w:szCs w:val="22"/>
              </w:rPr>
              <w:t>(1,1</w:t>
            </w:r>
            <w:r w:rsidR="00054680">
              <w:rPr>
                <w:sz w:val="22"/>
                <w:szCs w:val="22"/>
              </w:rPr>
              <w:t xml:space="preserve"> %</w:t>
            </w:r>
            <w:r w:rsidRPr="00F21719">
              <w:rPr>
                <w:sz w:val="22"/>
                <w:szCs w:val="22"/>
              </w:rPr>
              <w:t>)</w:t>
            </w:r>
          </w:p>
        </w:tc>
      </w:tr>
      <w:tr w:rsidR="00F61E6E" w:rsidRPr="00F21719" w14:paraId="29E9557E" w14:textId="77777777" w:rsidTr="00B24633">
        <w:trPr>
          <w:trHeight w:val="505"/>
        </w:trPr>
        <w:tc>
          <w:tcPr>
            <w:tcW w:w="3295" w:type="dxa"/>
          </w:tcPr>
          <w:p w14:paraId="03BF704D" w14:textId="77777777" w:rsidR="00F61E6E" w:rsidRPr="00F21719" w:rsidRDefault="00F61E6E" w:rsidP="007F055A">
            <w:pPr>
              <w:widowControl w:val="0"/>
              <w:numPr>
                <w:ilvl w:val="0"/>
                <w:numId w:val="26"/>
              </w:numPr>
              <w:autoSpaceDE w:val="0"/>
              <w:autoSpaceDN w:val="0"/>
              <w:ind w:left="412" w:hanging="283"/>
              <w:rPr>
                <w:sz w:val="22"/>
                <w:szCs w:val="22"/>
              </w:rPr>
            </w:pPr>
            <w:r w:rsidRPr="00F21719">
              <w:rPr>
                <w:sz w:val="22"/>
                <w:szCs w:val="22"/>
              </w:rPr>
              <w:t>Symtomatisk PE og DVT</w:t>
            </w:r>
          </w:p>
        </w:tc>
        <w:tc>
          <w:tcPr>
            <w:tcW w:w="3043" w:type="dxa"/>
          </w:tcPr>
          <w:p w14:paraId="6243DE63" w14:textId="77777777" w:rsidR="00F61E6E" w:rsidRPr="00F21719" w:rsidRDefault="00F61E6E" w:rsidP="00B24633">
            <w:pPr>
              <w:widowControl w:val="0"/>
              <w:autoSpaceDE w:val="0"/>
              <w:autoSpaceDN w:val="0"/>
              <w:ind w:left="141"/>
              <w:rPr>
                <w:sz w:val="22"/>
                <w:szCs w:val="22"/>
              </w:rPr>
            </w:pPr>
            <w:r w:rsidRPr="00F21719">
              <w:rPr>
                <w:sz w:val="22"/>
                <w:szCs w:val="22"/>
              </w:rPr>
              <w:t>1</w:t>
            </w:r>
          </w:p>
          <w:p w14:paraId="60B76071" w14:textId="39B21F34" w:rsidR="00F61E6E" w:rsidRPr="00F21719" w:rsidRDefault="00F61E6E" w:rsidP="00B24633">
            <w:pPr>
              <w:widowControl w:val="0"/>
              <w:autoSpaceDE w:val="0"/>
              <w:autoSpaceDN w:val="0"/>
              <w:ind w:left="141"/>
              <w:rPr>
                <w:sz w:val="22"/>
                <w:szCs w:val="22"/>
              </w:rPr>
            </w:pPr>
            <w:r w:rsidRPr="00F21719">
              <w:rPr>
                <w:sz w:val="22"/>
                <w:szCs w:val="22"/>
              </w:rPr>
              <w:t>(&gt;0,1</w:t>
            </w:r>
            <w:r w:rsidR="00054680">
              <w:rPr>
                <w:sz w:val="22"/>
                <w:szCs w:val="22"/>
              </w:rPr>
              <w:t xml:space="preserve"> %</w:t>
            </w:r>
            <w:r w:rsidRPr="00F21719">
              <w:rPr>
                <w:sz w:val="22"/>
                <w:szCs w:val="22"/>
              </w:rPr>
              <w:t>)</w:t>
            </w:r>
          </w:p>
        </w:tc>
        <w:tc>
          <w:tcPr>
            <w:tcW w:w="2592" w:type="dxa"/>
          </w:tcPr>
          <w:p w14:paraId="75FBBF24" w14:textId="77777777" w:rsidR="00F61E6E" w:rsidRPr="00F21719" w:rsidRDefault="00F61E6E" w:rsidP="00B24633">
            <w:pPr>
              <w:widowControl w:val="0"/>
              <w:autoSpaceDE w:val="0"/>
              <w:autoSpaceDN w:val="0"/>
              <w:ind w:left="141"/>
              <w:rPr>
                <w:sz w:val="22"/>
                <w:szCs w:val="22"/>
              </w:rPr>
            </w:pPr>
            <w:r w:rsidRPr="00F21719">
              <w:rPr>
                <w:sz w:val="22"/>
                <w:szCs w:val="22"/>
              </w:rPr>
              <w:t>2</w:t>
            </w:r>
          </w:p>
          <w:p w14:paraId="55E0BE17" w14:textId="7102BF80" w:rsidR="00F61E6E" w:rsidRPr="00F21719" w:rsidRDefault="00F61E6E" w:rsidP="00B24633">
            <w:pPr>
              <w:widowControl w:val="0"/>
              <w:autoSpaceDE w:val="0"/>
              <w:autoSpaceDN w:val="0"/>
              <w:ind w:left="141"/>
              <w:rPr>
                <w:sz w:val="22"/>
                <w:szCs w:val="22"/>
              </w:rPr>
            </w:pPr>
            <w:r w:rsidRPr="00F21719">
              <w:rPr>
                <w:sz w:val="22"/>
                <w:szCs w:val="22"/>
              </w:rPr>
              <w:t>(&lt;0,1</w:t>
            </w:r>
            <w:r w:rsidR="00054680">
              <w:rPr>
                <w:sz w:val="22"/>
                <w:szCs w:val="22"/>
              </w:rPr>
              <w:t xml:space="preserve"> %</w:t>
            </w:r>
            <w:r w:rsidRPr="00F21719">
              <w:rPr>
                <w:sz w:val="22"/>
                <w:szCs w:val="22"/>
              </w:rPr>
              <w:t>)</w:t>
            </w:r>
          </w:p>
        </w:tc>
      </w:tr>
      <w:tr w:rsidR="00F61E6E" w:rsidRPr="00F21719" w14:paraId="0D3C0635" w14:textId="77777777" w:rsidTr="00B24633">
        <w:trPr>
          <w:trHeight w:val="506"/>
        </w:trPr>
        <w:tc>
          <w:tcPr>
            <w:tcW w:w="3295" w:type="dxa"/>
          </w:tcPr>
          <w:p w14:paraId="77819424" w14:textId="77777777" w:rsidR="00F61E6E" w:rsidRPr="00F21719" w:rsidRDefault="00F61E6E" w:rsidP="007F055A">
            <w:pPr>
              <w:widowControl w:val="0"/>
              <w:numPr>
                <w:ilvl w:val="0"/>
                <w:numId w:val="26"/>
              </w:numPr>
              <w:autoSpaceDE w:val="0"/>
              <w:autoSpaceDN w:val="0"/>
              <w:ind w:left="412" w:hanging="283"/>
              <w:rPr>
                <w:sz w:val="22"/>
                <w:szCs w:val="22"/>
              </w:rPr>
            </w:pPr>
            <w:r w:rsidRPr="00F21719">
              <w:rPr>
                <w:sz w:val="22"/>
                <w:szCs w:val="22"/>
              </w:rPr>
              <w:t>Dødelig PE/Død, hvor PE ikke kan udelukkes</w:t>
            </w:r>
          </w:p>
        </w:tc>
        <w:tc>
          <w:tcPr>
            <w:tcW w:w="3043" w:type="dxa"/>
          </w:tcPr>
          <w:p w14:paraId="411D3352" w14:textId="77777777" w:rsidR="00F61E6E" w:rsidRPr="00F21719" w:rsidRDefault="00F61E6E" w:rsidP="00B24633">
            <w:pPr>
              <w:widowControl w:val="0"/>
              <w:autoSpaceDE w:val="0"/>
              <w:autoSpaceDN w:val="0"/>
              <w:ind w:left="141"/>
              <w:rPr>
                <w:sz w:val="22"/>
                <w:szCs w:val="22"/>
              </w:rPr>
            </w:pPr>
            <w:r w:rsidRPr="00F21719">
              <w:rPr>
                <w:sz w:val="22"/>
                <w:szCs w:val="22"/>
              </w:rPr>
              <w:t>15</w:t>
            </w:r>
          </w:p>
          <w:p w14:paraId="1846AF93" w14:textId="7C736ABB" w:rsidR="00F61E6E" w:rsidRPr="00F21719" w:rsidRDefault="00F61E6E" w:rsidP="00B24633">
            <w:pPr>
              <w:widowControl w:val="0"/>
              <w:autoSpaceDE w:val="0"/>
              <w:autoSpaceDN w:val="0"/>
              <w:ind w:left="141"/>
              <w:rPr>
                <w:sz w:val="22"/>
                <w:szCs w:val="22"/>
              </w:rPr>
            </w:pPr>
            <w:r w:rsidRPr="00F21719">
              <w:rPr>
                <w:sz w:val="22"/>
                <w:szCs w:val="22"/>
              </w:rPr>
              <w:t>(0,4</w:t>
            </w:r>
            <w:r w:rsidR="00054680">
              <w:rPr>
                <w:sz w:val="22"/>
                <w:szCs w:val="22"/>
              </w:rPr>
              <w:t xml:space="preserve"> %</w:t>
            </w:r>
            <w:r w:rsidRPr="00F21719">
              <w:rPr>
                <w:sz w:val="22"/>
                <w:szCs w:val="22"/>
              </w:rPr>
              <w:t>)</w:t>
            </w:r>
          </w:p>
        </w:tc>
        <w:tc>
          <w:tcPr>
            <w:tcW w:w="2592" w:type="dxa"/>
          </w:tcPr>
          <w:p w14:paraId="6ACA6B9F" w14:textId="77777777" w:rsidR="00F61E6E" w:rsidRPr="00F21719" w:rsidRDefault="00F61E6E" w:rsidP="00B24633">
            <w:pPr>
              <w:widowControl w:val="0"/>
              <w:autoSpaceDE w:val="0"/>
              <w:autoSpaceDN w:val="0"/>
              <w:ind w:left="141"/>
              <w:rPr>
                <w:sz w:val="22"/>
                <w:szCs w:val="22"/>
              </w:rPr>
            </w:pPr>
            <w:r w:rsidRPr="00F21719">
              <w:rPr>
                <w:sz w:val="22"/>
                <w:szCs w:val="22"/>
              </w:rPr>
              <w:t>13</w:t>
            </w:r>
          </w:p>
          <w:p w14:paraId="728FAF11" w14:textId="0F593416" w:rsidR="00F61E6E" w:rsidRPr="00F21719" w:rsidRDefault="00F61E6E" w:rsidP="00B24633">
            <w:pPr>
              <w:widowControl w:val="0"/>
              <w:autoSpaceDE w:val="0"/>
              <w:autoSpaceDN w:val="0"/>
              <w:ind w:left="141"/>
              <w:rPr>
                <w:sz w:val="22"/>
                <w:szCs w:val="22"/>
              </w:rPr>
            </w:pPr>
            <w:r w:rsidRPr="00F21719">
              <w:rPr>
                <w:sz w:val="22"/>
                <w:szCs w:val="22"/>
              </w:rPr>
              <w:t>(0,3</w:t>
            </w:r>
            <w:r w:rsidR="00054680">
              <w:rPr>
                <w:sz w:val="22"/>
                <w:szCs w:val="22"/>
              </w:rPr>
              <w:t xml:space="preserve"> %</w:t>
            </w:r>
            <w:r w:rsidRPr="00F21719">
              <w:rPr>
                <w:sz w:val="22"/>
                <w:szCs w:val="22"/>
              </w:rPr>
              <w:t>)</w:t>
            </w:r>
          </w:p>
        </w:tc>
      </w:tr>
      <w:tr w:rsidR="00F61E6E" w:rsidRPr="00F21719" w14:paraId="26BFF7BB" w14:textId="77777777" w:rsidTr="00B24633">
        <w:trPr>
          <w:trHeight w:val="504"/>
        </w:trPr>
        <w:tc>
          <w:tcPr>
            <w:tcW w:w="3295" w:type="dxa"/>
            <w:tcBorders>
              <w:bottom w:val="single" w:sz="4" w:space="0" w:color="000000"/>
            </w:tcBorders>
          </w:tcPr>
          <w:p w14:paraId="52C6C970" w14:textId="77777777" w:rsidR="00F61E6E" w:rsidRPr="00F21719" w:rsidRDefault="00F61E6E" w:rsidP="00B24633">
            <w:pPr>
              <w:widowControl w:val="0"/>
              <w:autoSpaceDE w:val="0"/>
              <w:autoSpaceDN w:val="0"/>
              <w:ind w:left="141"/>
              <w:rPr>
                <w:sz w:val="22"/>
                <w:szCs w:val="22"/>
              </w:rPr>
            </w:pPr>
            <w:r w:rsidRPr="00F21719">
              <w:rPr>
                <w:sz w:val="22"/>
                <w:szCs w:val="22"/>
              </w:rPr>
              <w:t>Større eller mindre klinisk relevant blødning</w:t>
            </w:r>
          </w:p>
        </w:tc>
        <w:tc>
          <w:tcPr>
            <w:tcW w:w="3043" w:type="dxa"/>
            <w:tcBorders>
              <w:bottom w:val="single" w:sz="4" w:space="0" w:color="000000"/>
            </w:tcBorders>
          </w:tcPr>
          <w:p w14:paraId="2F2AB1A5" w14:textId="77777777" w:rsidR="00F61E6E" w:rsidRPr="00F21719" w:rsidRDefault="00F61E6E" w:rsidP="00B24633">
            <w:pPr>
              <w:widowControl w:val="0"/>
              <w:autoSpaceDE w:val="0"/>
              <w:autoSpaceDN w:val="0"/>
              <w:ind w:left="141"/>
              <w:rPr>
                <w:sz w:val="22"/>
                <w:szCs w:val="22"/>
              </w:rPr>
            </w:pPr>
            <w:r w:rsidRPr="00F21719">
              <w:rPr>
                <w:sz w:val="22"/>
                <w:szCs w:val="22"/>
              </w:rPr>
              <w:t>388</w:t>
            </w:r>
          </w:p>
          <w:p w14:paraId="13EDC642" w14:textId="058F34C0" w:rsidR="00F61E6E" w:rsidRPr="00F21719" w:rsidRDefault="00F61E6E" w:rsidP="00B24633">
            <w:pPr>
              <w:widowControl w:val="0"/>
              <w:autoSpaceDE w:val="0"/>
              <w:autoSpaceDN w:val="0"/>
              <w:ind w:left="141"/>
              <w:rPr>
                <w:sz w:val="22"/>
                <w:szCs w:val="22"/>
              </w:rPr>
            </w:pPr>
            <w:r w:rsidRPr="00F21719">
              <w:rPr>
                <w:sz w:val="22"/>
                <w:szCs w:val="22"/>
              </w:rPr>
              <w:t>(9,4</w:t>
            </w:r>
            <w:r w:rsidR="00054680">
              <w:rPr>
                <w:sz w:val="22"/>
                <w:szCs w:val="22"/>
              </w:rPr>
              <w:t xml:space="preserve"> %</w:t>
            </w:r>
            <w:r w:rsidRPr="00F21719">
              <w:rPr>
                <w:sz w:val="22"/>
                <w:szCs w:val="22"/>
              </w:rPr>
              <w:t>)</w:t>
            </w:r>
          </w:p>
        </w:tc>
        <w:tc>
          <w:tcPr>
            <w:tcW w:w="2592" w:type="dxa"/>
            <w:tcBorders>
              <w:bottom w:val="single" w:sz="4" w:space="0" w:color="000000"/>
            </w:tcBorders>
          </w:tcPr>
          <w:p w14:paraId="23DB981D" w14:textId="77777777" w:rsidR="00F61E6E" w:rsidRPr="00F21719" w:rsidRDefault="00F61E6E" w:rsidP="00B24633">
            <w:pPr>
              <w:widowControl w:val="0"/>
              <w:autoSpaceDE w:val="0"/>
              <w:autoSpaceDN w:val="0"/>
              <w:ind w:left="141"/>
              <w:rPr>
                <w:sz w:val="22"/>
                <w:szCs w:val="22"/>
              </w:rPr>
            </w:pPr>
            <w:r w:rsidRPr="00F21719">
              <w:rPr>
                <w:sz w:val="22"/>
                <w:szCs w:val="22"/>
              </w:rPr>
              <w:t>412</w:t>
            </w:r>
          </w:p>
          <w:p w14:paraId="3A67449C" w14:textId="0485C505" w:rsidR="00F61E6E" w:rsidRPr="00F21719" w:rsidRDefault="00F61E6E" w:rsidP="00B24633">
            <w:pPr>
              <w:widowControl w:val="0"/>
              <w:autoSpaceDE w:val="0"/>
              <w:autoSpaceDN w:val="0"/>
              <w:ind w:left="141"/>
              <w:rPr>
                <w:sz w:val="22"/>
                <w:szCs w:val="22"/>
              </w:rPr>
            </w:pPr>
            <w:r w:rsidRPr="00F21719">
              <w:rPr>
                <w:sz w:val="22"/>
                <w:szCs w:val="22"/>
              </w:rPr>
              <w:t>(10,0</w:t>
            </w:r>
            <w:r w:rsidR="00054680">
              <w:rPr>
                <w:sz w:val="22"/>
                <w:szCs w:val="22"/>
              </w:rPr>
              <w:t xml:space="preserve"> %</w:t>
            </w:r>
            <w:r w:rsidRPr="00F21719">
              <w:rPr>
                <w:sz w:val="22"/>
                <w:szCs w:val="22"/>
              </w:rPr>
              <w:t>)</w:t>
            </w:r>
          </w:p>
        </w:tc>
      </w:tr>
      <w:tr w:rsidR="00F61E6E" w:rsidRPr="00F21719" w14:paraId="45A97FED" w14:textId="77777777" w:rsidTr="00B24633">
        <w:trPr>
          <w:trHeight w:val="501"/>
        </w:trPr>
        <w:tc>
          <w:tcPr>
            <w:tcW w:w="3295" w:type="dxa"/>
            <w:tcBorders>
              <w:bottom w:val="single" w:sz="4" w:space="0" w:color="auto"/>
            </w:tcBorders>
          </w:tcPr>
          <w:p w14:paraId="2D8F795B" w14:textId="77777777" w:rsidR="00F61E6E" w:rsidRPr="00F21719" w:rsidRDefault="00F61E6E" w:rsidP="00B24633">
            <w:pPr>
              <w:widowControl w:val="0"/>
              <w:autoSpaceDE w:val="0"/>
              <w:autoSpaceDN w:val="0"/>
              <w:ind w:left="141"/>
              <w:rPr>
                <w:sz w:val="22"/>
                <w:szCs w:val="22"/>
              </w:rPr>
            </w:pPr>
            <w:r w:rsidRPr="00F21719">
              <w:rPr>
                <w:sz w:val="22"/>
                <w:szCs w:val="22"/>
              </w:rPr>
              <w:t>Større blødning</w:t>
            </w:r>
          </w:p>
        </w:tc>
        <w:tc>
          <w:tcPr>
            <w:tcW w:w="3043" w:type="dxa"/>
            <w:tcBorders>
              <w:bottom w:val="single" w:sz="4" w:space="0" w:color="auto"/>
            </w:tcBorders>
          </w:tcPr>
          <w:p w14:paraId="742F6947" w14:textId="77777777" w:rsidR="00F61E6E" w:rsidRPr="00F21719" w:rsidRDefault="00F61E6E" w:rsidP="00B24633">
            <w:pPr>
              <w:widowControl w:val="0"/>
              <w:autoSpaceDE w:val="0"/>
              <w:autoSpaceDN w:val="0"/>
              <w:ind w:left="141"/>
              <w:rPr>
                <w:sz w:val="22"/>
                <w:szCs w:val="22"/>
              </w:rPr>
            </w:pPr>
            <w:r w:rsidRPr="00F21719">
              <w:rPr>
                <w:sz w:val="22"/>
                <w:szCs w:val="22"/>
              </w:rPr>
              <w:t>40</w:t>
            </w:r>
          </w:p>
          <w:p w14:paraId="59E6C519" w14:textId="3AD5A847" w:rsidR="00F61E6E" w:rsidRPr="00F21719" w:rsidRDefault="00F61E6E" w:rsidP="00B24633">
            <w:pPr>
              <w:widowControl w:val="0"/>
              <w:autoSpaceDE w:val="0"/>
              <w:autoSpaceDN w:val="0"/>
              <w:ind w:left="141"/>
              <w:rPr>
                <w:sz w:val="22"/>
                <w:szCs w:val="22"/>
              </w:rPr>
            </w:pPr>
            <w:r w:rsidRPr="00F21719">
              <w:rPr>
                <w:sz w:val="22"/>
                <w:szCs w:val="22"/>
              </w:rPr>
              <w:t>(1,0</w:t>
            </w:r>
            <w:r w:rsidR="00054680">
              <w:rPr>
                <w:sz w:val="22"/>
                <w:szCs w:val="22"/>
              </w:rPr>
              <w:t xml:space="preserve"> %</w:t>
            </w:r>
            <w:r w:rsidRPr="00F21719">
              <w:rPr>
                <w:sz w:val="22"/>
                <w:szCs w:val="22"/>
              </w:rPr>
              <w:t>)</w:t>
            </w:r>
          </w:p>
        </w:tc>
        <w:tc>
          <w:tcPr>
            <w:tcW w:w="2592" w:type="dxa"/>
            <w:tcBorders>
              <w:bottom w:val="single" w:sz="4" w:space="0" w:color="auto"/>
            </w:tcBorders>
          </w:tcPr>
          <w:p w14:paraId="0524371D" w14:textId="77777777" w:rsidR="00F61E6E" w:rsidRPr="00F21719" w:rsidRDefault="00F61E6E" w:rsidP="00B24633">
            <w:pPr>
              <w:widowControl w:val="0"/>
              <w:autoSpaceDE w:val="0"/>
              <w:autoSpaceDN w:val="0"/>
              <w:ind w:left="141"/>
              <w:rPr>
                <w:sz w:val="22"/>
                <w:szCs w:val="22"/>
              </w:rPr>
            </w:pPr>
            <w:r w:rsidRPr="00F21719">
              <w:rPr>
                <w:sz w:val="22"/>
                <w:szCs w:val="22"/>
              </w:rPr>
              <w:t>72</w:t>
            </w:r>
          </w:p>
          <w:p w14:paraId="5962FDA5" w14:textId="353572D6" w:rsidR="00F61E6E" w:rsidRPr="00F21719" w:rsidRDefault="00F61E6E" w:rsidP="00B24633">
            <w:pPr>
              <w:widowControl w:val="0"/>
              <w:autoSpaceDE w:val="0"/>
              <w:autoSpaceDN w:val="0"/>
              <w:ind w:left="141"/>
              <w:rPr>
                <w:sz w:val="22"/>
                <w:szCs w:val="22"/>
              </w:rPr>
            </w:pPr>
            <w:r w:rsidRPr="00F21719">
              <w:rPr>
                <w:sz w:val="22"/>
                <w:szCs w:val="22"/>
              </w:rPr>
              <w:t>(1,7</w:t>
            </w:r>
            <w:r w:rsidR="00054680">
              <w:rPr>
                <w:sz w:val="22"/>
                <w:szCs w:val="22"/>
              </w:rPr>
              <w:t xml:space="preserve"> %</w:t>
            </w:r>
            <w:r w:rsidRPr="00F21719">
              <w:rPr>
                <w:sz w:val="22"/>
                <w:szCs w:val="22"/>
              </w:rPr>
              <w:t>)</w:t>
            </w:r>
          </w:p>
        </w:tc>
      </w:tr>
    </w:tbl>
    <w:p w14:paraId="129D90E6" w14:textId="77777777" w:rsidR="00F61E6E" w:rsidRPr="00F21719" w:rsidRDefault="00F61E6E" w:rsidP="00B24633">
      <w:pPr>
        <w:tabs>
          <w:tab w:val="left" w:pos="851"/>
          <w:tab w:val="left" w:pos="1560"/>
        </w:tabs>
        <w:ind w:left="851"/>
        <w:rPr>
          <w:sz w:val="22"/>
          <w:szCs w:val="22"/>
        </w:rPr>
      </w:pPr>
      <w:r w:rsidRPr="00F21719">
        <w:rPr>
          <w:sz w:val="22"/>
          <w:szCs w:val="22"/>
          <w:vertAlign w:val="superscript"/>
        </w:rPr>
        <w:t>a)</w:t>
      </w:r>
      <w:r w:rsidRPr="00F21719">
        <w:rPr>
          <w:sz w:val="22"/>
          <w:szCs w:val="22"/>
        </w:rPr>
        <w:t xml:space="preserve"> Rivaroxaban 15 mg to gange dagligt i tre uger efterfulgt af 20 mg én gang dagligt</w:t>
      </w:r>
    </w:p>
    <w:p w14:paraId="41CC8D50" w14:textId="77777777" w:rsidR="00F61E6E" w:rsidRPr="00F21719" w:rsidRDefault="00F61E6E" w:rsidP="00B24633">
      <w:pPr>
        <w:tabs>
          <w:tab w:val="left" w:pos="851"/>
          <w:tab w:val="left" w:pos="1560"/>
        </w:tabs>
        <w:ind w:left="851"/>
        <w:rPr>
          <w:sz w:val="22"/>
          <w:szCs w:val="22"/>
        </w:rPr>
      </w:pPr>
      <w:r w:rsidRPr="00F21719">
        <w:rPr>
          <w:sz w:val="22"/>
          <w:szCs w:val="22"/>
          <w:vertAlign w:val="superscript"/>
        </w:rPr>
        <w:t>b)</w:t>
      </w:r>
      <w:r w:rsidRPr="00F21719">
        <w:rPr>
          <w:sz w:val="22"/>
          <w:szCs w:val="22"/>
        </w:rPr>
        <w:t xml:space="preserve"> Enoxaparin i mindst 5 dage, overlappende med og efterfulgt af VKA</w:t>
      </w:r>
    </w:p>
    <w:p w14:paraId="1B59EFCA" w14:textId="77777777" w:rsidR="00213042" w:rsidRPr="00F21719" w:rsidRDefault="00213042" w:rsidP="00213042">
      <w:pPr>
        <w:tabs>
          <w:tab w:val="left" w:pos="851"/>
          <w:tab w:val="left" w:pos="1560"/>
        </w:tabs>
        <w:ind w:left="851"/>
        <w:rPr>
          <w:sz w:val="22"/>
          <w:szCs w:val="22"/>
        </w:rPr>
      </w:pPr>
      <w:r w:rsidRPr="00F21719">
        <w:rPr>
          <w:sz w:val="22"/>
          <w:szCs w:val="22"/>
        </w:rPr>
        <w:t>* p &lt; 0,0001 (non-inferioritet i forhold til en præspecificeret HR på 1,75); HR:</w:t>
      </w:r>
      <w:r>
        <w:rPr>
          <w:sz w:val="22"/>
          <w:szCs w:val="22"/>
        </w:rPr>
        <w:t xml:space="preserve"> </w:t>
      </w:r>
      <w:r w:rsidRPr="00F21719">
        <w:rPr>
          <w:sz w:val="22"/>
          <w:szCs w:val="22"/>
        </w:rPr>
        <w:t>0,886</w:t>
      </w:r>
      <w:r>
        <w:rPr>
          <w:sz w:val="22"/>
          <w:szCs w:val="22"/>
        </w:rPr>
        <w:t xml:space="preserve"> </w:t>
      </w:r>
      <w:r w:rsidRPr="00F21719">
        <w:rPr>
          <w:sz w:val="22"/>
          <w:szCs w:val="22"/>
        </w:rPr>
        <w:t>(0,661 – 1,186)</w:t>
      </w:r>
    </w:p>
    <w:p w14:paraId="044AFB7B" w14:textId="77777777" w:rsidR="00F61E6E" w:rsidRPr="00B24633" w:rsidRDefault="00F61E6E" w:rsidP="00B24633">
      <w:pPr>
        <w:tabs>
          <w:tab w:val="left" w:pos="851"/>
          <w:tab w:val="left" w:pos="1560"/>
        </w:tabs>
        <w:ind w:left="851"/>
        <w:rPr>
          <w:sz w:val="24"/>
          <w:szCs w:val="24"/>
        </w:rPr>
      </w:pPr>
    </w:p>
    <w:p w14:paraId="4B9E543B" w14:textId="6DDED92A" w:rsidR="00F61E6E" w:rsidRPr="00B24633" w:rsidRDefault="00F61E6E" w:rsidP="00B24633">
      <w:pPr>
        <w:tabs>
          <w:tab w:val="left" w:pos="851"/>
          <w:tab w:val="left" w:pos="1560"/>
        </w:tabs>
        <w:ind w:left="851"/>
        <w:rPr>
          <w:sz w:val="24"/>
          <w:szCs w:val="24"/>
        </w:rPr>
      </w:pPr>
      <w:bookmarkStart w:id="6" w:name="_Hlk134533445"/>
      <w:r w:rsidRPr="00B24633">
        <w:rPr>
          <w:sz w:val="24"/>
          <w:szCs w:val="24"/>
        </w:rPr>
        <w:t>Den forudspecificeret kliniske nettofordel (primært virkningsresultat plus større blødninger) for den samlede analyse blev indrapporteret med en HR på 0,771 ((95</w:t>
      </w:r>
      <w:r w:rsidR="00054680">
        <w:rPr>
          <w:sz w:val="24"/>
          <w:szCs w:val="24"/>
        </w:rPr>
        <w:t xml:space="preserve"> %</w:t>
      </w:r>
      <w:r w:rsidRPr="00B24633">
        <w:rPr>
          <w:sz w:val="24"/>
          <w:szCs w:val="24"/>
        </w:rPr>
        <w:t xml:space="preserve"> KI: 0,614 – 0,967), nominel p-værdi p = 0,0244). </w:t>
      </w:r>
    </w:p>
    <w:p w14:paraId="14123E44" w14:textId="77777777" w:rsidR="00F61E6E" w:rsidRPr="00B24633" w:rsidRDefault="00F61E6E" w:rsidP="00B24633">
      <w:pPr>
        <w:tabs>
          <w:tab w:val="left" w:pos="851"/>
        </w:tabs>
        <w:ind w:left="851"/>
        <w:rPr>
          <w:sz w:val="24"/>
          <w:szCs w:val="24"/>
        </w:rPr>
      </w:pPr>
    </w:p>
    <w:p w14:paraId="1AEB8096" w14:textId="77777777" w:rsidR="00F61E6E" w:rsidRPr="00B24633" w:rsidRDefault="00F61E6E" w:rsidP="00B24633">
      <w:pPr>
        <w:tabs>
          <w:tab w:val="left" w:pos="851"/>
        </w:tabs>
        <w:ind w:left="851"/>
        <w:rPr>
          <w:sz w:val="24"/>
          <w:szCs w:val="24"/>
        </w:rPr>
      </w:pPr>
      <w:r w:rsidRPr="00B24633">
        <w:rPr>
          <w:sz w:val="24"/>
          <w:szCs w:val="24"/>
        </w:rPr>
        <w:t>I studiet Einstein Extension (se tabel 9) viste rivaroxaban sig superiør sammenlignet med placebo med hensyn til primære og sekundære effektendepunkter. For det primære sikkerhedsendepunkt (større blødninger) var der en ikke-signifikant numerisk højere frekvens af patienter i behandling med rivaroxaban 20 mg én gang dagligt sammenlignet med placebo. Det sekundære sikkerhedsendepunkt (større eller klinisk relevante mindre blødninger) viste højere frekvenser for patienter i behandling med rivaroxaban 20 mg én gang dagligt sammenlignet med placebo.</w:t>
      </w:r>
    </w:p>
    <w:bookmarkEnd w:id="6"/>
    <w:p w14:paraId="57B0B1B7" w14:textId="77777777" w:rsidR="00F61E6E" w:rsidRPr="00B24633" w:rsidRDefault="00F61E6E" w:rsidP="00B24633">
      <w:pPr>
        <w:tabs>
          <w:tab w:val="left" w:pos="851"/>
          <w:tab w:val="left" w:pos="1560"/>
        </w:tabs>
        <w:ind w:left="851"/>
        <w:rPr>
          <w:sz w:val="24"/>
          <w:szCs w:val="24"/>
        </w:rPr>
      </w:pPr>
    </w:p>
    <w:p w14:paraId="309E8E4D" w14:textId="29B48CAE" w:rsidR="00F61E6E" w:rsidRDefault="00F61E6E" w:rsidP="00B24633">
      <w:pPr>
        <w:ind w:left="851"/>
        <w:rPr>
          <w:b/>
          <w:sz w:val="24"/>
          <w:szCs w:val="24"/>
        </w:rPr>
      </w:pPr>
      <w:r w:rsidRPr="00B24633">
        <w:rPr>
          <w:b/>
          <w:sz w:val="24"/>
          <w:szCs w:val="24"/>
        </w:rPr>
        <w:t>Tabel 9: Effekt- og sikkerhedsresultater fra Einstein Extension fase III</w:t>
      </w:r>
    </w:p>
    <w:p w14:paraId="0E85AE01" w14:textId="77777777" w:rsidR="00F21719" w:rsidRPr="00B24633" w:rsidRDefault="00F21719" w:rsidP="00B24633">
      <w:pPr>
        <w:ind w:left="851"/>
        <w:rPr>
          <w:b/>
          <w:sz w:val="24"/>
          <w:szCs w:val="24"/>
        </w:rPr>
      </w:pPr>
    </w:p>
    <w:tbl>
      <w:tblPr>
        <w:tblW w:w="0" w:type="auto"/>
        <w:tblInd w:w="8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14"/>
        <w:gridCol w:w="3057"/>
        <w:gridCol w:w="2807"/>
      </w:tblGrid>
      <w:tr w:rsidR="00F61E6E" w:rsidRPr="00F21719" w14:paraId="13FB2E9F" w14:textId="77777777" w:rsidTr="00B24633">
        <w:trPr>
          <w:trHeight w:val="504"/>
        </w:trPr>
        <w:tc>
          <w:tcPr>
            <w:tcW w:w="3314" w:type="dxa"/>
          </w:tcPr>
          <w:p w14:paraId="4DC5EB20" w14:textId="77777777" w:rsidR="00F61E6E" w:rsidRPr="00F21719" w:rsidRDefault="00F61E6E" w:rsidP="00B24633">
            <w:pPr>
              <w:keepNext/>
              <w:widowControl w:val="0"/>
              <w:autoSpaceDE w:val="0"/>
              <w:autoSpaceDN w:val="0"/>
              <w:spacing w:before="125"/>
              <w:ind w:left="107"/>
              <w:rPr>
                <w:b/>
                <w:sz w:val="22"/>
                <w:szCs w:val="22"/>
              </w:rPr>
            </w:pPr>
            <w:r w:rsidRPr="00F21719">
              <w:rPr>
                <w:b/>
                <w:sz w:val="22"/>
                <w:szCs w:val="22"/>
              </w:rPr>
              <w:t>Studiepopulation</w:t>
            </w:r>
          </w:p>
        </w:tc>
        <w:tc>
          <w:tcPr>
            <w:tcW w:w="5864" w:type="dxa"/>
            <w:gridSpan w:val="2"/>
          </w:tcPr>
          <w:p w14:paraId="3CDA0B95" w14:textId="77777777" w:rsidR="00F61E6E" w:rsidRPr="00F21719" w:rsidRDefault="00F61E6E" w:rsidP="00B24633">
            <w:pPr>
              <w:keepNext/>
              <w:widowControl w:val="0"/>
              <w:autoSpaceDE w:val="0"/>
              <w:autoSpaceDN w:val="0"/>
              <w:spacing w:line="252" w:lineRule="exact"/>
              <w:ind w:left="106"/>
              <w:rPr>
                <w:b/>
                <w:sz w:val="22"/>
                <w:szCs w:val="22"/>
              </w:rPr>
            </w:pPr>
            <w:r w:rsidRPr="00F21719">
              <w:rPr>
                <w:b/>
                <w:sz w:val="22"/>
                <w:szCs w:val="22"/>
              </w:rPr>
              <w:t>1.197</w:t>
            </w:r>
            <w:r w:rsidRPr="00F21719">
              <w:rPr>
                <w:b/>
                <w:spacing w:val="-3"/>
                <w:sz w:val="22"/>
                <w:szCs w:val="22"/>
              </w:rPr>
              <w:t> patienter</w:t>
            </w:r>
            <w:r w:rsidRPr="00F21719">
              <w:rPr>
                <w:b/>
                <w:spacing w:val="-4"/>
                <w:sz w:val="22"/>
                <w:szCs w:val="22"/>
              </w:rPr>
              <w:t xml:space="preserve"> </w:t>
            </w:r>
            <w:r w:rsidRPr="00F21719">
              <w:rPr>
                <w:b/>
                <w:sz w:val="22"/>
                <w:szCs w:val="22"/>
              </w:rPr>
              <w:t>i</w:t>
            </w:r>
            <w:r w:rsidRPr="00F21719">
              <w:rPr>
                <w:b/>
                <w:spacing w:val="-3"/>
                <w:sz w:val="22"/>
                <w:szCs w:val="22"/>
              </w:rPr>
              <w:t xml:space="preserve"> </w:t>
            </w:r>
            <w:r w:rsidRPr="00F21719">
              <w:rPr>
                <w:b/>
                <w:sz w:val="22"/>
                <w:szCs w:val="22"/>
              </w:rPr>
              <w:t>fortsat</w:t>
            </w:r>
            <w:r w:rsidRPr="00F21719">
              <w:rPr>
                <w:b/>
                <w:spacing w:val="-3"/>
                <w:sz w:val="22"/>
                <w:szCs w:val="22"/>
              </w:rPr>
              <w:t xml:space="preserve"> </w:t>
            </w:r>
            <w:r w:rsidRPr="00F21719">
              <w:rPr>
                <w:b/>
                <w:sz w:val="22"/>
                <w:szCs w:val="22"/>
              </w:rPr>
              <w:t>behandling</w:t>
            </w:r>
            <w:r w:rsidRPr="00F21719">
              <w:rPr>
                <w:b/>
                <w:spacing w:val="-2"/>
                <w:sz w:val="22"/>
                <w:szCs w:val="22"/>
              </w:rPr>
              <w:t xml:space="preserve"> </w:t>
            </w:r>
            <w:r w:rsidRPr="00F21719">
              <w:rPr>
                <w:b/>
                <w:sz w:val="22"/>
                <w:szCs w:val="22"/>
              </w:rPr>
              <w:t>og</w:t>
            </w:r>
            <w:r w:rsidRPr="00F21719">
              <w:rPr>
                <w:b/>
                <w:spacing w:val="-4"/>
                <w:sz w:val="22"/>
                <w:szCs w:val="22"/>
              </w:rPr>
              <w:t xml:space="preserve"> </w:t>
            </w:r>
            <w:r w:rsidRPr="00F21719">
              <w:rPr>
                <w:b/>
                <w:sz w:val="22"/>
                <w:szCs w:val="22"/>
              </w:rPr>
              <w:t>forebyggelse</w:t>
            </w:r>
            <w:r w:rsidRPr="00F21719">
              <w:rPr>
                <w:b/>
                <w:spacing w:val="-4"/>
                <w:sz w:val="22"/>
                <w:szCs w:val="22"/>
              </w:rPr>
              <w:t xml:space="preserve"> </w:t>
            </w:r>
            <w:r w:rsidRPr="00F21719">
              <w:rPr>
                <w:b/>
                <w:sz w:val="22"/>
                <w:szCs w:val="22"/>
              </w:rPr>
              <w:t>af</w:t>
            </w:r>
            <w:r w:rsidRPr="00F21719">
              <w:rPr>
                <w:b/>
                <w:spacing w:val="-52"/>
                <w:sz w:val="22"/>
                <w:szCs w:val="22"/>
              </w:rPr>
              <w:t xml:space="preserve"> </w:t>
            </w:r>
            <w:r w:rsidRPr="00F21719">
              <w:rPr>
                <w:b/>
                <w:sz w:val="22"/>
                <w:szCs w:val="22"/>
              </w:rPr>
              <w:t>recidiverende</w:t>
            </w:r>
            <w:r w:rsidRPr="00F21719">
              <w:rPr>
                <w:b/>
                <w:spacing w:val="-2"/>
                <w:sz w:val="22"/>
                <w:szCs w:val="22"/>
              </w:rPr>
              <w:t xml:space="preserve"> </w:t>
            </w:r>
            <w:r w:rsidRPr="00F21719">
              <w:rPr>
                <w:b/>
                <w:sz w:val="22"/>
                <w:szCs w:val="22"/>
              </w:rPr>
              <w:t>venøs</w:t>
            </w:r>
            <w:r w:rsidRPr="00F21719">
              <w:rPr>
                <w:b/>
                <w:spacing w:val="-1"/>
                <w:sz w:val="22"/>
                <w:szCs w:val="22"/>
              </w:rPr>
              <w:t xml:space="preserve"> </w:t>
            </w:r>
            <w:r w:rsidRPr="00F21719">
              <w:rPr>
                <w:b/>
                <w:sz w:val="22"/>
                <w:szCs w:val="22"/>
              </w:rPr>
              <w:t>tromboemboli</w:t>
            </w:r>
          </w:p>
        </w:tc>
      </w:tr>
      <w:tr w:rsidR="00F61E6E" w:rsidRPr="00F21719" w14:paraId="20B9C60A" w14:textId="77777777" w:rsidTr="00B24633">
        <w:trPr>
          <w:trHeight w:val="759"/>
        </w:trPr>
        <w:tc>
          <w:tcPr>
            <w:tcW w:w="3314" w:type="dxa"/>
          </w:tcPr>
          <w:p w14:paraId="263834EC" w14:textId="77777777" w:rsidR="00F61E6E" w:rsidRPr="00F21719" w:rsidRDefault="00F61E6E" w:rsidP="00B24633">
            <w:pPr>
              <w:widowControl w:val="0"/>
              <w:autoSpaceDE w:val="0"/>
              <w:autoSpaceDN w:val="0"/>
              <w:ind w:left="107"/>
              <w:rPr>
                <w:b/>
                <w:sz w:val="22"/>
                <w:szCs w:val="22"/>
              </w:rPr>
            </w:pPr>
            <w:r w:rsidRPr="00F21719">
              <w:rPr>
                <w:b/>
                <w:sz w:val="22"/>
                <w:szCs w:val="22"/>
              </w:rPr>
              <w:t>Dosis</w:t>
            </w:r>
            <w:r w:rsidRPr="00F21719">
              <w:rPr>
                <w:b/>
                <w:spacing w:val="-4"/>
                <w:sz w:val="22"/>
                <w:szCs w:val="22"/>
              </w:rPr>
              <w:t xml:space="preserve"> </w:t>
            </w:r>
            <w:r w:rsidRPr="00F21719">
              <w:rPr>
                <w:b/>
                <w:sz w:val="22"/>
                <w:szCs w:val="22"/>
              </w:rPr>
              <w:t>og</w:t>
            </w:r>
            <w:r w:rsidRPr="00F21719">
              <w:rPr>
                <w:b/>
                <w:spacing w:val="-2"/>
                <w:sz w:val="22"/>
                <w:szCs w:val="22"/>
              </w:rPr>
              <w:t xml:space="preserve"> </w:t>
            </w:r>
            <w:r w:rsidRPr="00F21719">
              <w:rPr>
                <w:b/>
                <w:sz w:val="22"/>
                <w:szCs w:val="22"/>
              </w:rPr>
              <w:t>behandlingsvarighed</w:t>
            </w:r>
          </w:p>
        </w:tc>
        <w:tc>
          <w:tcPr>
            <w:tcW w:w="3057" w:type="dxa"/>
          </w:tcPr>
          <w:p w14:paraId="55530D30" w14:textId="77777777" w:rsidR="00F61E6E" w:rsidRPr="00F21719" w:rsidRDefault="00F61E6E" w:rsidP="00B24633">
            <w:pPr>
              <w:widowControl w:val="0"/>
              <w:autoSpaceDE w:val="0"/>
              <w:autoSpaceDN w:val="0"/>
              <w:spacing w:line="252" w:lineRule="exact"/>
              <w:ind w:left="106"/>
              <w:rPr>
                <w:b/>
                <w:sz w:val="22"/>
                <w:szCs w:val="22"/>
              </w:rPr>
            </w:pPr>
            <w:r w:rsidRPr="00F21719">
              <w:rPr>
                <w:b/>
                <w:sz w:val="22"/>
                <w:szCs w:val="22"/>
              </w:rPr>
              <w:t>Rivaroxaban</w:t>
            </w:r>
            <w:r w:rsidRPr="00F21719">
              <w:rPr>
                <w:b/>
                <w:sz w:val="22"/>
                <w:szCs w:val="22"/>
                <w:vertAlign w:val="superscript"/>
              </w:rPr>
              <w:t>a)</w:t>
            </w:r>
          </w:p>
          <w:p w14:paraId="6E2DC0E7" w14:textId="77777777" w:rsidR="00F61E6E" w:rsidRPr="00F21719" w:rsidRDefault="00F61E6E" w:rsidP="00B24633">
            <w:pPr>
              <w:widowControl w:val="0"/>
              <w:autoSpaceDE w:val="0"/>
              <w:autoSpaceDN w:val="0"/>
              <w:spacing w:line="252" w:lineRule="exact"/>
              <w:ind w:left="106"/>
              <w:rPr>
                <w:b/>
                <w:sz w:val="22"/>
                <w:szCs w:val="22"/>
              </w:rPr>
            </w:pPr>
            <w:r w:rsidRPr="00F21719">
              <w:rPr>
                <w:b/>
                <w:sz w:val="22"/>
                <w:szCs w:val="22"/>
              </w:rPr>
              <w:t>6</w:t>
            </w:r>
            <w:r w:rsidRPr="00F21719">
              <w:rPr>
                <w:b/>
                <w:spacing w:val="-2"/>
                <w:sz w:val="22"/>
                <w:szCs w:val="22"/>
              </w:rPr>
              <w:t xml:space="preserve"> </w:t>
            </w:r>
            <w:r w:rsidRPr="00F21719">
              <w:rPr>
                <w:b/>
                <w:sz w:val="22"/>
                <w:szCs w:val="22"/>
              </w:rPr>
              <w:t>eller</w:t>
            </w:r>
            <w:r w:rsidRPr="00F21719">
              <w:rPr>
                <w:b/>
                <w:spacing w:val="-2"/>
                <w:sz w:val="22"/>
                <w:szCs w:val="22"/>
              </w:rPr>
              <w:t xml:space="preserve"> </w:t>
            </w:r>
            <w:r w:rsidRPr="00F21719">
              <w:rPr>
                <w:b/>
                <w:sz w:val="22"/>
                <w:szCs w:val="22"/>
              </w:rPr>
              <w:t>12</w:t>
            </w:r>
            <w:r w:rsidRPr="00F21719">
              <w:rPr>
                <w:b/>
                <w:spacing w:val="-1"/>
                <w:sz w:val="22"/>
                <w:szCs w:val="22"/>
              </w:rPr>
              <w:t> måneder</w:t>
            </w:r>
          </w:p>
          <w:p w14:paraId="6C4E4F48" w14:textId="77777777" w:rsidR="00F61E6E" w:rsidRPr="00F21719" w:rsidRDefault="00F61E6E" w:rsidP="00B24633">
            <w:pPr>
              <w:widowControl w:val="0"/>
              <w:autoSpaceDE w:val="0"/>
              <w:autoSpaceDN w:val="0"/>
              <w:spacing w:line="233" w:lineRule="exact"/>
              <w:ind w:left="106"/>
              <w:rPr>
                <w:b/>
                <w:sz w:val="22"/>
                <w:szCs w:val="22"/>
              </w:rPr>
            </w:pPr>
            <w:r w:rsidRPr="00F21719">
              <w:rPr>
                <w:b/>
                <w:sz w:val="22"/>
                <w:szCs w:val="22"/>
              </w:rPr>
              <w:t>N = 602</w:t>
            </w:r>
          </w:p>
        </w:tc>
        <w:tc>
          <w:tcPr>
            <w:tcW w:w="2807" w:type="dxa"/>
          </w:tcPr>
          <w:p w14:paraId="1344769E" w14:textId="77777777" w:rsidR="00F61E6E" w:rsidRPr="00F21719" w:rsidRDefault="00F61E6E" w:rsidP="00B24633">
            <w:pPr>
              <w:widowControl w:val="0"/>
              <w:autoSpaceDE w:val="0"/>
              <w:autoSpaceDN w:val="0"/>
              <w:spacing w:line="252" w:lineRule="exact"/>
              <w:ind w:left="108"/>
              <w:rPr>
                <w:b/>
                <w:sz w:val="22"/>
                <w:szCs w:val="22"/>
              </w:rPr>
            </w:pPr>
            <w:r w:rsidRPr="00F21719">
              <w:rPr>
                <w:b/>
                <w:sz w:val="22"/>
                <w:szCs w:val="22"/>
              </w:rPr>
              <w:t>Placebo</w:t>
            </w:r>
          </w:p>
          <w:p w14:paraId="44874FCF" w14:textId="77777777" w:rsidR="00F61E6E" w:rsidRPr="00F21719" w:rsidRDefault="00F61E6E" w:rsidP="00B24633">
            <w:pPr>
              <w:widowControl w:val="0"/>
              <w:autoSpaceDE w:val="0"/>
              <w:autoSpaceDN w:val="0"/>
              <w:spacing w:line="252" w:lineRule="exact"/>
              <w:ind w:left="108"/>
              <w:rPr>
                <w:b/>
                <w:sz w:val="22"/>
                <w:szCs w:val="22"/>
              </w:rPr>
            </w:pPr>
            <w:r w:rsidRPr="00F21719">
              <w:rPr>
                <w:b/>
                <w:sz w:val="22"/>
                <w:szCs w:val="22"/>
              </w:rPr>
              <w:t>6</w:t>
            </w:r>
            <w:r w:rsidRPr="00F21719">
              <w:rPr>
                <w:b/>
                <w:spacing w:val="-2"/>
                <w:sz w:val="22"/>
                <w:szCs w:val="22"/>
              </w:rPr>
              <w:t xml:space="preserve"> </w:t>
            </w:r>
            <w:r w:rsidRPr="00F21719">
              <w:rPr>
                <w:b/>
                <w:sz w:val="22"/>
                <w:szCs w:val="22"/>
              </w:rPr>
              <w:t>eller</w:t>
            </w:r>
            <w:r w:rsidRPr="00F21719">
              <w:rPr>
                <w:b/>
                <w:spacing w:val="-2"/>
                <w:sz w:val="22"/>
                <w:szCs w:val="22"/>
              </w:rPr>
              <w:t xml:space="preserve"> </w:t>
            </w:r>
            <w:r w:rsidRPr="00F21719">
              <w:rPr>
                <w:b/>
                <w:sz w:val="22"/>
                <w:szCs w:val="22"/>
              </w:rPr>
              <w:t>12</w:t>
            </w:r>
            <w:r w:rsidRPr="00F21719">
              <w:rPr>
                <w:b/>
                <w:spacing w:val="-1"/>
                <w:sz w:val="22"/>
                <w:szCs w:val="22"/>
              </w:rPr>
              <w:t> måneder</w:t>
            </w:r>
          </w:p>
          <w:p w14:paraId="160D8BD2" w14:textId="77777777" w:rsidR="00F61E6E" w:rsidRPr="00F21719" w:rsidRDefault="00F61E6E" w:rsidP="00B24633">
            <w:pPr>
              <w:widowControl w:val="0"/>
              <w:autoSpaceDE w:val="0"/>
              <w:autoSpaceDN w:val="0"/>
              <w:spacing w:line="233" w:lineRule="exact"/>
              <w:ind w:left="108"/>
              <w:rPr>
                <w:b/>
                <w:sz w:val="22"/>
                <w:szCs w:val="22"/>
              </w:rPr>
            </w:pPr>
            <w:r w:rsidRPr="00F21719">
              <w:rPr>
                <w:b/>
                <w:sz w:val="22"/>
                <w:szCs w:val="22"/>
              </w:rPr>
              <w:t>N = 594</w:t>
            </w:r>
          </w:p>
        </w:tc>
      </w:tr>
      <w:tr w:rsidR="00F61E6E" w:rsidRPr="00F21719" w14:paraId="12CFCF08" w14:textId="77777777" w:rsidTr="00B24633">
        <w:trPr>
          <w:trHeight w:val="257"/>
        </w:trPr>
        <w:tc>
          <w:tcPr>
            <w:tcW w:w="3314" w:type="dxa"/>
            <w:tcBorders>
              <w:bottom w:val="nil"/>
            </w:tcBorders>
          </w:tcPr>
          <w:p w14:paraId="11EF43CE" w14:textId="77777777" w:rsidR="00F61E6E" w:rsidRPr="00F21719" w:rsidRDefault="00F61E6E" w:rsidP="00B24633">
            <w:pPr>
              <w:widowControl w:val="0"/>
              <w:autoSpaceDE w:val="0"/>
              <w:autoSpaceDN w:val="0"/>
              <w:spacing w:line="238" w:lineRule="exact"/>
              <w:ind w:left="107"/>
              <w:rPr>
                <w:sz w:val="22"/>
                <w:szCs w:val="22"/>
              </w:rPr>
            </w:pPr>
            <w:r w:rsidRPr="00F21719">
              <w:rPr>
                <w:sz w:val="22"/>
                <w:szCs w:val="22"/>
              </w:rPr>
              <w:t>Symptomatisk</w:t>
            </w:r>
            <w:r w:rsidRPr="00F21719">
              <w:rPr>
                <w:spacing w:val="-3"/>
                <w:sz w:val="22"/>
                <w:szCs w:val="22"/>
              </w:rPr>
              <w:t xml:space="preserve"> </w:t>
            </w:r>
            <w:r w:rsidRPr="00F21719">
              <w:rPr>
                <w:sz w:val="22"/>
                <w:szCs w:val="22"/>
              </w:rPr>
              <w:t>recidiverende</w:t>
            </w:r>
          </w:p>
        </w:tc>
        <w:tc>
          <w:tcPr>
            <w:tcW w:w="3057" w:type="dxa"/>
            <w:tcBorders>
              <w:bottom w:val="nil"/>
            </w:tcBorders>
          </w:tcPr>
          <w:p w14:paraId="2308E4F8" w14:textId="77777777" w:rsidR="00F61E6E" w:rsidRPr="00F21719" w:rsidRDefault="00F61E6E" w:rsidP="00B24633">
            <w:pPr>
              <w:widowControl w:val="0"/>
              <w:autoSpaceDE w:val="0"/>
              <w:autoSpaceDN w:val="0"/>
              <w:spacing w:line="238" w:lineRule="exact"/>
              <w:ind w:left="106"/>
              <w:rPr>
                <w:sz w:val="22"/>
                <w:szCs w:val="22"/>
              </w:rPr>
            </w:pPr>
            <w:r w:rsidRPr="00F21719">
              <w:rPr>
                <w:w w:val="99"/>
                <w:sz w:val="22"/>
                <w:szCs w:val="22"/>
              </w:rPr>
              <w:t>8</w:t>
            </w:r>
          </w:p>
        </w:tc>
        <w:tc>
          <w:tcPr>
            <w:tcW w:w="2807" w:type="dxa"/>
            <w:tcBorders>
              <w:bottom w:val="nil"/>
            </w:tcBorders>
          </w:tcPr>
          <w:p w14:paraId="2744BB3D" w14:textId="77777777" w:rsidR="00F61E6E" w:rsidRPr="00F21719" w:rsidRDefault="00F61E6E" w:rsidP="00B24633">
            <w:pPr>
              <w:widowControl w:val="0"/>
              <w:autoSpaceDE w:val="0"/>
              <w:autoSpaceDN w:val="0"/>
              <w:spacing w:line="238" w:lineRule="exact"/>
              <w:ind w:left="108"/>
              <w:rPr>
                <w:sz w:val="22"/>
                <w:szCs w:val="22"/>
              </w:rPr>
            </w:pPr>
            <w:r w:rsidRPr="00F21719">
              <w:rPr>
                <w:sz w:val="22"/>
                <w:szCs w:val="22"/>
              </w:rPr>
              <w:t>42</w:t>
            </w:r>
          </w:p>
        </w:tc>
      </w:tr>
      <w:tr w:rsidR="00F61E6E" w:rsidRPr="00F21719" w14:paraId="691F4819" w14:textId="77777777" w:rsidTr="00B24633">
        <w:trPr>
          <w:trHeight w:val="248"/>
        </w:trPr>
        <w:tc>
          <w:tcPr>
            <w:tcW w:w="3314" w:type="dxa"/>
            <w:tcBorders>
              <w:top w:val="nil"/>
            </w:tcBorders>
          </w:tcPr>
          <w:p w14:paraId="49461E67" w14:textId="77777777" w:rsidR="00F61E6E" w:rsidRPr="00F21719" w:rsidRDefault="00F61E6E" w:rsidP="00B24633">
            <w:pPr>
              <w:widowControl w:val="0"/>
              <w:autoSpaceDE w:val="0"/>
              <w:autoSpaceDN w:val="0"/>
              <w:spacing w:line="228" w:lineRule="exact"/>
              <w:ind w:left="107"/>
              <w:rPr>
                <w:sz w:val="22"/>
                <w:szCs w:val="22"/>
              </w:rPr>
            </w:pPr>
            <w:r w:rsidRPr="00F21719">
              <w:rPr>
                <w:sz w:val="22"/>
                <w:szCs w:val="22"/>
              </w:rPr>
              <w:t>VTE*</w:t>
            </w:r>
          </w:p>
        </w:tc>
        <w:tc>
          <w:tcPr>
            <w:tcW w:w="3057" w:type="dxa"/>
            <w:tcBorders>
              <w:top w:val="nil"/>
            </w:tcBorders>
          </w:tcPr>
          <w:p w14:paraId="22092D9C" w14:textId="159EE946" w:rsidR="00F61E6E" w:rsidRPr="00F21719" w:rsidRDefault="00F61E6E" w:rsidP="00B24633">
            <w:pPr>
              <w:widowControl w:val="0"/>
              <w:autoSpaceDE w:val="0"/>
              <w:autoSpaceDN w:val="0"/>
              <w:spacing w:line="228" w:lineRule="exact"/>
              <w:ind w:left="106"/>
              <w:rPr>
                <w:sz w:val="22"/>
                <w:szCs w:val="22"/>
              </w:rPr>
            </w:pPr>
            <w:r w:rsidRPr="00F21719">
              <w:rPr>
                <w:sz w:val="22"/>
                <w:szCs w:val="22"/>
              </w:rPr>
              <w:t>(1,3</w:t>
            </w:r>
            <w:r w:rsidR="00054680">
              <w:rPr>
                <w:spacing w:val="-1"/>
                <w:sz w:val="22"/>
                <w:szCs w:val="22"/>
              </w:rPr>
              <w:t xml:space="preserve"> %</w:t>
            </w:r>
            <w:r w:rsidRPr="00F21719">
              <w:rPr>
                <w:sz w:val="22"/>
                <w:szCs w:val="22"/>
              </w:rPr>
              <w:t>)</w:t>
            </w:r>
          </w:p>
        </w:tc>
        <w:tc>
          <w:tcPr>
            <w:tcW w:w="2807" w:type="dxa"/>
            <w:tcBorders>
              <w:top w:val="nil"/>
            </w:tcBorders>
          </w:tcPr>
          <w:p w14:paraId="55278B7E" w14:textId="0A1AEDB4" w:rsidR="00F61E6E" w:rsidRPr="00F21719" w:rsidRDefault="00F61E6E" w:rsidP="00B24633">
            <w:pPr>
              <w:widowControl w:val="0"/>
              <w:autoSpaceDE w:val="0"/>
              <w:autoSpaceDN w:val="0"/>
              <w:spacing w:line="228" w:lineRule="exact"/>
              <w:ind w:left="108"/>
              <w:rPr>
                <w:sz w:val="22"/>
                <w:szCs w:val="22"/>
              </w:rPr>
            </w:pPr>
            <w:r w:rsidRPr="00F21719">
              <w:rPr>
                <w:sz w:val="22"/>
                <w:szCs w:val="22"/>
              </w:rPr>
              <w:t>(7,1</w:t>
            </w:r>
            <w:r w:rsidR="00054680">
              <w:rPr>
                <w:spacing w:val="-1"/>
                <w:sz w:val="22"/>
                <w:szCs w:val="22"/>
              </w:rPr>
              <w:t xml:space="preserve"> %</w:t>
            </w:r>
            <w:r w:rsidRPr="00F21719">
              <w:rPr>
                <w:sz w:val="22"/>
                <w:szCs w:val="22"/>
              </w:rPr>
              <w:t>)</w:t>
            </w:r>
          </w:p>
        </w:tc>
      </w:tr>
      <w:tr w:rsidR="00F61E6E" w:rsidRPr="00F21719" w14:paraId="6CF3BD95" w14:textId="77777777" w:rsidTr="00B24633">
        <w:trPr>
          <w:trHeight w:val="257"/>
        </w:trPr>
        <w:tc>
          <w:tcPr>
            <w:tcW w:w="3314" w:type="dxa"/>
            <w:tcBorders>
              <w:bottom w:val="nil"/>
            </w:tcBorders>
          </w:tcPr>
          <w:p w14:paraId="701DD36D" w14:textId="77777777" w:rsidR="00F61E6E" w:rsidRPr="00F21719" w:rsidRDefault="00F61E6E" w:rsidP="007F055A">
            <w:pPr>
              <w:widowControl w:val="0"/>
              <w:numPr>
                <w:ilvl w:val="0"/>
                <w:numId w:val="26"/>
              </w:numPr>
              <w:autoSpaceDE w:val="0"/>
              <w:autoSpaceDN w:val="0"/>
              <w:ind w:left="412" w:hanging="283"/>
              <w:rPr>
                <w:sz w:val="22"/>
                <w:szCs w:val="22"/>
              </w:rPr>
            </w:pPr>
            <w:r w:rsidRPr="00F21719">
              <w:rPr>
                <w:sz w:val="22"/>
                <w:szCs w:val="22"/>
              </w:rPr>
              <w:t>Symptomatisk recidiverende PE</w:t>
            </w:r>
          </w:p>
        </w:tc>
        <w:tc>
          <w:tcPr>
            <w:tcW w:w="3057" w:type="dxa"/>
            <w:tcBorders>
              <w:bottom w:val="nil"/>
            </w:tcBorders>
          </w:tcPr>
          <w:p w14:paraId="4344EF76" w14:textId="77777777" w:rsidR="00F61E6E" w:rsidRPr="00F21719" w:rsidRDefault="00F61E6E" w:rsidP="00B24633">
            <w:pPr>
              <w:widowControl w:val="0"/>
              <w:autoSpaceDE w:val="0"/>
              <w:autoSpaceDN w:val="0"/>
              <w:spacing w:line="238" w:lineRule="exact"/>
              <w:ind w:left="106"/>
              <w:rPr>
                <w:w w:val="99"/>
                <w:sz w:val="22"/>
                <w:szCs w:val="22"/>
              </w:rPr>
            </w:pPr>
            <w:r w:rsidRPr="00F21719">
              <w:rPr>
                <w:w w:val="99"/>
                <w:sz w:val="22"/>
                <w:szCs w:val="22"/>
              </w:rPr>
              <w:t>2</w:t>
            </w:r>
          </w:p>
          <w:p w14:paraId="46A36D3D" w14:textId="7DA199CF" w:rsidR="00F61E6E" w:rsidRPr="00F21719" w:rsidRDefault="00F61E6E" w:rsidP="00B24633">
            <w:pPr>
              <w:widowControl w:val="0"/>
              <w:autoSpaceDE w:val="0"/>
              <w:autoSpaceDN w:val="0"/>
              <w:spacing w:line="238" w:lineRule="exact"/>
              <w:ind w:left="106"/>
              <w:rPr>
                <w:sz w:val="22"/>
                <w:szCs w:val="22"/>
              </w:rPr>
            </w:pPr>
            <w:r w:rsidRPr="00F21719">
              <w:rPr>
                <w:sz w:val="22"/>
                <w:szCs w:val="22"/>
              </w:rPr>
              <w:t>(0,3</w:t>
            </w:r>
            <w:r w:rsidR="00054680">
              <w:rPr>
                <w:spacing w:val="-1"/>
                <w:sz w:val="22"/>
                <w:szCs w:val="22"/>
              </w:rPr>
              <w:t xml:space="preserve"> %</w:t>
            </w:r>
            <w:r w:rsidRPr="00F21719">
              <w:rPr>
                <w:sz w:val="22"/>
                <w:szCs w:val="22"/>
              </w:rPr>
              <w:t>)</w:t>
            </w:r>
          </w:p>
        </w:tc>
        <w:tc>
          <w:tcPr>
            <w:tcW w:w="2807" w:type="dxa"/>
            <w:tcBorders>
              <w:bottom w:val="nil"/>
            </w:tcBorders>
          </w:tcPr>
          <w:p w14:paraId="06A2A22B" w14:textId="77777777" w:rsidR="00F61E6E" w:rsidRPr="00F21719" w:rsidRDefault="00F61E6E" w:rsidP="00B24633">
            <w:pPr>
              <w:widowControl w:val="0"/>
              <w:autoSpaceDE w:val="0"/>
              <w:autoSpaceDN w:val="0"/>
              <w:spacing w:line="238" w:lineRule="exact"/>
              <w:ind w:left="108"/>
              <w:rPr>
                <w:sz w:val="22"/>
                <w:szCs w:val="22"/>
              </w:rPr>
            </w:pPr>
            <w:r w:rsidRPr="00F21719">
              <w:rPr>
                <w:sz w:val="22"/>
                <w:szCs w:val="22"/>
              </w:rPr>
              <w:t>13</w:t>
            </w:r>
          </w:p>
          <w:p w14:paraId="2833F967" w14:textId="1DB0BC18" w:rsidR="00F61E6E" w:rsidRPr="00F21719" w:rsidRDefault="00F61E6E" w:rsidP="00B24633">
            <w:pPr>
              <w:widowControl w:val="0"/>
              <w:autoSpaceDE w:val="0"/>
              <w:autoSpaceDN w:val="0"/>
              <w:spacing w:line="238" w:lineRule="exact"/>
              <w:ind w:left="108"/>
              <w:rPr>
                <w:sz w:val="22"/>
                <w:szCs w:val="22"/>
              </w:rPr>
            </w:pPr>
            <w:r w:rsidRPr="00F21719">
              <w:rPr>
                <w:sz w:val="22"/>
                <w:szCs w:val="22"/>
              </w:rPr>
              <w:t>(2,2</w:t>
            </w:r>
            <w:r w:rsidR="00054680">
              <w:rPr>
                <w:spacing w:val="-1"/>
                <w:sz w:val="22"/>
                <w:szCs w:val="22"/>
              </w:rPr>
              <w:t xml:space="preserve"> %</w:t>
            </w:r>
            <w:r w:rsidRPr="00F21719">
              <w:rPr>
                <w:sz w:val="22"/>
                <w:szCs w:val="22"/>
              </w:rPr>
              <w:t>)</w:t>
            </w:r>
          </w:p>
        </w:tc>
      </w:tr>
      <w:tr w:rsidR="00F61E6E" w:rsidRPr="00F21719" w14:paraId="7D6652D1" w14:textId="77777777" w:rsidTr="00B24633">
        <w:trPr>
          <w:trHeight w:val="257"/>
        </w:trPr>
        <w:tc>
          <w:tcPr>
            <w:tcW w:w="3314" w:type="dxa"/>
            <w:tcBorders>
              <w:bottom w:val="nil"/>
            </w:tcBorders>
          </w:tcPr>
          <w:p w14:paraId="5DBCDCD0" w14:textId="77777777" w:rsidR="00F61E6E" w:rsidRPr="00F21719" w:rsidRDefault="00F61E6E" w:rsidP="007F055A">
            <w:pPr>
              <w:widowControl w:val="0"/>
              <w:numPr>
                <w:ilvl w:val="0"/>
                <w:numId w:val="26"/>
              </w:numPr>
              <w:autoSpaceDE w:val="0"/>
              <w:autoSpaceDN w:val="0"/>
              <w:ind w:left="412" w:hanging="283"/>
              <w:rPr>
                <w:sz w:val="22"/>
                <w:szCs w:val="22"/>
              </w:rPr>
            </w:pPr>
            <w:r w:rsidRPr="00F21719">
              <w:rPr>
                <w:sz w:val="22"/>
                <w:szCs w:val="22"/>
              </w:rPr>
              <w:t>Symptomatisk recidiverende DVT</w:t>
            </w:r>
          </w:p>
        </w:tc>
        <w:tc>
          <w:tcPr>
            <w:tcW w:w="3057" w:type="dxa"/>
            <w:tcBorders>
              <w:bottom w:val="nil"/>
            </w:tcBorders>
          </w:tcPr>
          <w:p w14:paraId="316FEFC1" w14:textId="77777777" w:rsidR="00F61E6E" w:rsidRPr="00F21719" w:rsidRDefault="00F61E6E" w:rsidP="00B24633">
            <w:pPr>
              <w:widowControl w:val="0"/>
              <w:autoSpaceDE w:val="0"/>
              <w:autoSpaceDN w:val="0"/>
              <w:spacing w:line="238" w:lineRule="exact"/>
              <w:ind w:left="106"/>
              <w:rPr>
                <w:w w:val="99"/>
                <w:sz w:val="22"/>
                <w:szCs w:val="22"/>
              </w:rPr>
            </w:pPr>
            <w:r w:rsidRPr="00F21719">
              <w:rPr>
                <w:w w:val="99"/>
                <w:sz w:val="22"/>
                <w:szCs w:val="22"/>
              </w:rPr>
              <w:t>5</w:t>
            </w:r>
          </w:p>
          <w:p w14:paraId="2E4D90F0" w14:textId="6A8C9FB0" w:rsidR="00F61E6E" w:rsidRPr="00F21719" w:rsidRDefault="00F61E6E" w:rsidP="00B24633">
            <w:pPr>
              <w:widowControl w:val="0"/>
              <w:autoSpaceDE w:val="0"/>
              <w:autoSpaceDN w:val="0"/>
              <w:spacing w:line="238" w:lineRule="exact"/>
              <w:ind w:left="106"/>
              <w:rPr>
                <w:sz w:val="22"/>
                <w:szCs w:val="22"/>
              </w:rPr>
            </w:pPr>
            <w:r w:rsidRPr="00F21719">
              <w:rPr>
                <w:sz w:val="22"/>
                <w:szCs w:val="22"/>
              </w:rPr>
              <w:t>(0,8</w:t>
            </w:r>
            <w:r w:rsidR="00054680">
              <w:rPr>
                <w:spacing w:val="-1"/>
                <w:sz w:val="22"/>
                <w:szCs w:val="22"/>
              </w:rPr>
              <w:t xml:space="preserve"> %</w:t>
            </w:r>
            <w:r w:rsidRPr="00F21719">
              <w:rPr>
                <w:sz w:val="22"/>
                <w:szCs w:val="22"/>
              </w:rPr>
              <w:t>)</w:t>
            </w:r>
          </w:p>
        </w:tc>
        <w:tc>
          <w:tcPr>
            <w:tcW w:w="2807" w:type="dxa"/>
            <w:tcBorders>
              <w:bottom w:val="nil"/>
            </w:tcBorders>
          </w:tcPr>
          <w:p w14:paraId="70BE0826" w14:textId="77777777" w:rsidR="00F61E6E" w:rsidRPr="00F21719" w:rsidRDefault="00F61E6E" w:rsidP="00B24633">
            <w:pPr>
              <w:widowControl w:val="0"/>
              <w:autoSpaceDE w:val="0"/>
              <w:autoSpaceDN w:val="0"/>
              <w:spacing w:line="238" w:lineRule="exact"/>
              <w:ind w:left="108"/>
              <w:rPr>
                <w:sz w:val="22"/>
                <w:szCs w:val="22"/>
              </w:rPr>
            </w:pPr>
            <w:r w:rsidRPr="00F21719">
              <w:rPr>
                <w:sz w:val="22"/>
                <w:szCs w:val="22"/>
              </w:rPr>
              <w:t>31</w:t>
            </w:r>
          </w:p>
          <w:p w14:paraId="454B8627" w14:textId="66F10159" w:rsidR="00F61E6E" w:rsidRPr="00F21719" w:rsidRDefault="00F61E6E" w:rsidP="00B24633">
            <w:pPr>
              <w:widowControl w:val="0"/>
              <w:autoSpaceDE w:val="0"/>
              <w:autoSpaceDN w:val="0"/>
              <w:spacing w:line="238" w:lineRule="exact"/>
              <w:ind w:left="108"/>
              <w:rPr>
                <w:sz w:val="22"/>
                <w:szCs w:val="22"/>
              </w:rPr>
            </w:pPr>
            <w:r w:rsidRPr="00F21719">
              <w:rPr>
                <w:sz w:val="22"/>
                <w:szCs w:val="22"/>
              </w:rPr>
              <w:t>(5,2</w:t>
            </w:r>
            <w:r w:rsidR="00054680">
              <w:rPr>
                <w:spacing w:val="-1"/>
                <w:sz w:val="22"/>
                <w:szCs w:val="22"/>
              </w:rPr>
              <w:t xml:space="preserve"> %</w:t>
            </w:r>
            <w:r w:rsidRPr="00F21719">
              <w:rPr>
                <w:sz w:val="22"/>
                <w:szCs w:val="22"/>
              </w:rPr>
              <w:t>)</w:t>
            </w:r>
          </w:p>
        </w:tc>
      </w:tr>
      <w:tr w:rsidR="00F61E6E" w:rsidRPr="00F21719" w14:paraId="00DB9C00" w14:textId="77777777" w:rsidTr="00B24633">
        <w:trPr>
          <w:trHeight w:val="257"/>
        </w:trPr>
        <w:tc>
          <w:tcPr>
            <w:tcW w:w="3314" w:type="dxa"/>
            <w:tcBorders>
              <w:bottom w:val="nil"/>
            </w:tcBorders>
          </w:tcPr>
          <w:p w14:paraId="59841529" w14:textId="77777777" w:rsidR="00F61E6E" w:rsidRPr="00F21719" w:rsidRDefault="00F61E6E" w:rsidP="007F055A">
            <w:pPr>
              <w:widowControl w:val="0"/>
              <w:numPr>
                <w:ilvl w:val="0"/>
                <w:numId w:val="26"/>
              </w:numPr>
              <w:autoSpaceDE w:val="0"/>
              <w:autoSpaceDN w:val="0"/>
              <w:ind w:left="412" w:hanging="283"/>
              <w:rPr>
                <w:sz w:val="22"/>
                <w:szCs w:val="22"/>
              </w:rPr>
            </w:pPr>
            <w:r w:rsidRPr="00F21719">
              <w:rPr>
                <w:sz w:val="22"/>
                <w:szCs w:val="22"/>
              </w:rPr>
              <w:t>Dødelig PE eller død, hvor PE ikke kan udelukkes</w:t>
            </w:r>
          </w:p>
        </w:tc>
        <w:tc>
          <w:tcPr>
            <w:tcW w:w="3057" w:type="dxa"/>
            <w:tcBorders>
              <w:bottom w:val="nil"/>
            </w:tcBorders>
          </w:tcPr>
          <w:p w14:paraId="3B2C9BD7" w14:textId="77777777" w:rsidR="00F61E6E" w:rsidRPr="00F21719" w:rsidRDefault="00F61E6E" w:rsidP="00B24633">
            <w:pPr>
              <w:widowControl w:val="0"/>
              <w:autoSpaceDE w:val="0"/>
              <w:autoSpaceDN w:val="0"/>
              <w:spacing w:line="238" w:lineRule="exact"/>
              <w:ind w:left="106"/>
              <w:rPr>
                <w:w w:val="99"/>
                <w:sz w:val="22"/>
                <w:szCs w:val="22"/>
              </w:rPr>
            </w:pPr>
            <w:r w:rsidRPr="00F21719">
              <w:rPr>
                <w:w w:val="99"/>
                <w:sz w:val="22"/>
                <w:szCs w:val="22"/>
              </w:rPr>
              <w:t>1</w:t>
            </w:r>
          </w:p>
          <w:p w14:paraId="396347B2" w14:textId="5B900A66" w:rsidR="00F61E6E" w:rsidRPr="00F21719" w:rsidRDefault="00F61E6E" w:rsidP="00B24633">
            <w:pPr>
              <w:widowControl w:val="0"/>
              <w:autoSpaceDE w:val="0"/>
              <w:autoSpaceDN w:val="0"/>
              <w:spacing w:line="238" w:lineRule="exact"/>
              <w:ind w:left="106"/>
              <w:rPr>
                <w:sz w:val="22"/>
                <w:szCs w:val="22"/>
              </w:rPr>
            </w:pPr>
            <w:r w:rsidRPr="00F21719">
              <w:rPr>
                <w:sz w:val="22"/>
                <w:szCs w:val="22"/>
              </w:rPr>
              <w:t>(0,2</w:t>
            </w:r>
            <w:r w:rsidR="00054680">
              <w:rPr>
                <w:spacing w:val="-1"/>
                <w:sz w:val="22"/>
                <w:szCs w:val="22"/>
              </w:rPr>
              <w:t xml:space="preserve"> %</w:t>
            </w:r>
            <w:r w:rsidRPr="00F21719">
              <w:rPr>
                <w:sz w:val="22"/>
                <w:szCs w:val="22"/>
              </w:rPr>
              <w:t>)</w:t>
            </w:r>
          </w:p>
        </w:tc>
        <w:tc>
          <w:tcPr>
            <w:tcW w:w="2807" w:type="dxa"/>
            <w:tcBorders>
              <w:bottom w:val="nil"/>
            </w:tcBorders>
          </w:tcPr>
          <w:p w14:paraId="30C2412C" w14:textId="77777777" w:rsidR="00F61E6E" w:rsidRPr="00F21719" w:rsidRDefault="00F61E6E" w:rsidP="00B24633">
            <w:pPr>
              <w:widowControl w:val="0"/>
              <w:autoSpaceDE w:val="0"/>
              <w:autoSpaceDN w:val="0"/>
              <w:spacing w:line="238" w:lineRule="exact"/>
              <w:ind w:left="108"/>
              <w:rPr>
                <w:w w:val="99"/>
                <w:sz w:val="22"/>
                <w:szCs w:val="22"/>
              </w:rPr>
            </w:pPr>
            <w:r w:rsidRPr="00F21719">
              <w:rPr>
                <w:w w:val="99"/>
                <w:sz w:val="22"/>
                <w:szCs w:val="22"/>
              </w:rPr>
              <w:t>1</w:t>
            </w:r>
          </w:p>
          <w:p w14:paraId="274AEFBB" w14:textId="546BA5A9" w:rsidR="00F61E6E" w:rsidRPr="00F21719" w:rsidRDefault="00F61E6E" w:rsidP="00B24633">
            <w:pPr>
              <w:widowControl w:val="0"/>
              <w:autoSpaceDE w:val="0"/>
              <w:autoSpaceDN w:val="0"/>
              <w:spacing w:line="238" w:lineRule="exact"/>
              <w:ind w:left="108"/>
              <w:rPr>
                <w:sz w:val="22"/>
                <w:szCs w:val="22"/>
              </w:rPr>
            </w:pPr>
            <w:r w:rsidRPr="00F21719">
              <w:rPr>
                <w:sz w:val="22"/>
                <w:szCs w:val="22"/>
              </w:rPr>
              <w:t>(0,2</w:t>
            </w:r>
            <w:r w:rsidR="00054680">
              <w:rPr>
                <w:spacing w:val="-1"/>
                <w:sz w:val="22"/>
                <w:szCs w:val="22"/>
              </w:rPr>
              <w:t xml:space="preserve"> %</w:t>
            </w:r>
            <w:r w:rsidRPr="00F21719">
              <w:rPr>
                <w:sz w:val="22"/>
                <w:szCs w:val="22"/>
              </w:rPr>
              <w:t>)</w:t>
            </w:r>
          </w:p>
        </w:tc>
      </w:tr>
      <w:tr w:rsidR="00F61E6E" w:rsidRPr="00F21719" w14:paraId="27183A55" w14:textId="77777777" w:rsidTr="00B24633">
        <w:trPr>
          <w:trHeight w:val="252"/>
        </w:trPr>
        <w:tc>
          <w:tcPr>
            <w:tcW w:w="3314" w:type="dxa"/>
            <w:vMerge w:val="restart"/>
          </w:tcPr>
          <w:p w14:paraId="03FC4EEC" w14:textId="77777777" w:rsidR="00F61E6E" w:rsidRPr="00F21719" w:rsidRDefault="00F61E6E" w:rsidP="00B24633">
            <w:pPr>
              <w:widowControl w:val="0"/>
              <w:autoSpaceDE w:val="0"/>
              <w:autoSpaceDN w:val="0"/>
              <w:ind w:left="107"/>
              <w:rPr>
                <w:sz w:val="22"/>
                <w:szCs w:val="22"/>
              </w:rPr>
            </w:pPr>
            <w:r w:rsidRPr="00F21719">
              <w:rPr>
                <w:sz w:val="22"/>
                <w:szCs w:val="22"/>
              </w:rPr>
              <w:lastRenderedPageBreak/>
              <w:t>Større</w:t>
            </w:r>
            <w:r w:rsidRPr="00F21719">
              <w:rPr>
                <w:spacing w:val="-3"/>
                <w:sz w:val="22"/>
                <w:szCs w:val="22"/>
              </w:rPr>
              <w:t xml:space="preserve"> </w:t>
            </w:r>
            <w:r w:rsidRPr="00F21719">
              <w:rPr>
                <w:sz w:val="22"/>
                <w:szCs w:val="22"/>
              </w:rPr>
              <w:t>blødninger</w:t>
            </w:r>
          </w:p>
        </w:tc>
        <w:tc>
          <w:tcPr>
            <w:tcW w:w="3057" w:type="dxa"/>
            <w:tcBorders>
              <w:bottom w:val="nil"/>
            </w:tcBorders>
          </w:tcPr>
          <w:p w14:paraId="016C5994" w14:textId="77777777" w:rsidR="00F61E6E" w:rsidRPr="00F21719" w:rsidRDefault="00F61E6E" w:rsidP="00B24633">
            <w:pPr>
              <w:widowControl w:val="0"/>
              <w:autoSpaceDE w:val="0"/>
              <w:autoSpaceDN w:val="0"/>
              <w:spacing w:line="233" w:lineRule="exact"/>
              <w:ind w:left="106"/>
              <w:rPr>
                <w:sz w:val="22"/>
                <w:szCs w:val="22"/>
              </w:rPr>
            </w:pPr>
            <w:r w:rsidRPr="00F21719">
              <w:rPr>
                <w:w w:val="99"/>
                <w:sz w:val="22"/>
                <w:szCs w:val="22"/>
              </w:rPr>
              <w:t>4</w:t>
            </w:r>
          </w:p>
        </w:tc>
        <w:tc>
          <w:tcPr>
            <w:tcW w:w="2807" w:type="dxa"/>
            <w:tcBorders>
              <w:bottom w:val="nil"/>
            </w:tcBorders>
          </w:tcPr>
          <w:p w14:paraId="34B53753" w14:textId="77777777" w:rsidR="00F61E6E" w:rsidRPr="00F21719" w:rsidRDefault="00F61E6E" w:rsidP="00B24633">
            <w:pPr>
              <w:widowControl w:val="0"/>
              <w:autoSpaceDE w:val="0"/>
              <w:autoSpaceDN w:val="0"/>
              <w:spacing w:line="233" w:lineRule="exact"/>
              <w:ind w:left="108"/>
              <w:rPr>
                <w:sz w:val="22"/>
                <w:szCs w:val="22"/>
              </w:rPr>
            </w:pPr>
            <w:r w:rsidRPr="00F21719">
              <w:rPr>
                <w:w w:val="99"/>
                <w:sz w:val="22"/>
                <w:szCs w:val="22"/>
              </w:rPr>
              <w:t>0</w:t>
            </w:r>
          </w:p>
        </w:tc>
      </w:tr>
      <w:tr w:rsidR="00F61E6E" w:rsidRPr="00F21719" w14:paraId="40D28691" w14:textId="77777777" w:rsidTr="00B24633">
        <w:trPr>
          <w:trHeight w:val="243"/>
        </w:trPr>
        <w:tc>
          <w:tcPr>
            <w:tcW w:w="3314" w:type="dxa"/>
            <w:vMerge/>
            <w:tcBorders>
              <w:top w:val="nil"/>
            </w:tcBorders>
          </w:tcPr>
          <w:p w14:paraId="67828DDB" w14:textId="77777777" w:rsidR="00F61E6E" w:rsidRPr="00F21719" w:rsidRDefault="00F61E6E" w:rsidP="00B24633">
            <w:pPr>
              <w:widowControl w:val="0"/>
              <w:autoSpaceDE w:val="0"/>
              <w:autoSpaceDN w:val="0"/>
              <w:rPr>
                <w:sz w:val="22"/>
                <w:szCs w:val="22"/>
              </w:rPr>
            </w:pPr>
          </w:p>
        </w:tc>
        <w:tc>
          <w:tcPr>
            <w:tcW w:w="3057" w:type="dxa"/>
            <w:tcBorders>
              <w:top w:val="nil"/>
            </w:tcBorders>
          </w:tcPr>
          <w:p w14:paraId="1688EAE2" w14:textId="02FFA70B" w:rsidR="00F61E6E" w:rsidRPr="00F21719" w:rsidRDefault="00F61E6E" w:rsidP="00B24633">
            <w:pPr>
              <w:widowControl w:val="0"/>
              <w:autoSpaceDE w:val="0"/>
              <w:autoSpaceDN w:val="0"/>
              <w:spacing w:line="223" w:lineRule="exact"/>
              <w:ind w:left="106"/>
              <w:rPr>
                <w:sz w:val="22"/>
                <w:szCs w:val="22"/>
              </w:rPr>
            </w:pPr>
            <w:r w:rsidRPr="00F21719">
              <w:rPr>
                <w:sz w:val="22"/>
                <w:szCs w:val="22"/>
              </w:rPr>
              <w:t>(0,7</w:t>
            </w:r>
            <w:r w:rsidR="00054680">
              <w:rPr>
                <w:sz w:val="22"/>
                <w:szCs w:val="22"/>
              </w:rPr>
              <w:t xml:space="preserve"> %</w:t>
            </w:r>
            <w:r w:rsidRPr="00F21719">
              <w:rPr>
                <w:sz w:val="22"/>
                <w:szCs w:val="22"/>
              </w:rPr>
              <w:t>)</w:t>
            </w:r>
          </w:p>
        </w:tc>
        <w:tc>
          <w:tcPr>
            <w:tcW w:w="2807" w:type="dxa"/>
            <w:tcBorders>
              <w:top w:val="nil"/>
            </w:tcBorders>
          </w:tcPr>
          <w:p w14:paraId="1DA79381" w14:textId="45002B91" w:rsidR="00F61E6E" w:rsidRPr="00F21719" w:rsidRDefault="00F61E6E" w:rsidP="00B24633">
            <w:pPr>
              <w:widowControl w:val="0"/>
              <w:autoSpaceDE w:val="0"/>
              <w:autoSpaceDN w:val="0"/>
              <w:spacing w:line="223" w:lineRule="exact"/>
              <w:ind w:left="108"/>
              <w:rPr>
                <w:sz w:val="22"/>
                <w:szCs w:val="22"/>
              </w:rPr>
            </w:pPr>
            <w:r w:rsidRPr="00F21719">
              <w:rPr>
                <w:sz w:val="22"/>
                <w:szCs w:val="22"/>
              </w:rPr>
              <w:t>(0,0</w:t>
            </w:r>
            <w:r w:rsidR="00054680">
              <w:rPr>
                <w:sz w:val="22"/>
                <w:szCs w:val="22"/>
              </w:rPr>
              <w:t xml:space="preserve"> %</w:t>
            </w:r>
            <w:r w:rsidRPr="00F21719">
              <w:rPr>
                <w:sz w:val="22"/>
                <w:szCs w:val="22"/>
              </w:rPr>
              <w:t>)</w:t>
            </w:r>
          </w:p>
        </w:tc>
      </w:tr>
      <w:tr w:rsidR="00F61E6E" w:rsidRPr="00F21719" w14:paraId="7C12021C" w14:textId="77777777" w:rsidTr="00B24633">
        <w:trPr>
          <w:trHeight w:val="252"/>
        </w:trPr>
        <w:tc>
          <w:tcPr>
            <w:tcW w:w="3314" w:type="dxa"/>
            <w:vMerge w:val="restart"/>
          </w:tcPr>
          <w:p w14:paraId="6781462F" w14:textId="77777777" w:rsidR="00F61E6E" w:rsidRPr="00F21719" w:rsidRDefault="00F61E6E" w:rsidP="00B24633">
            <w:pPr>
              <w:widowControl w:val="0"/>
              <w:autoSpaceDE w:val="0"/>
              <w:autoSpaceDN w:val="0"/>
              <w:ind w:left="107"/>
              <w:rPr>
                <w:sz w:val="22"/>
                <w:szCs w:val="22"/>
              </w:rPr>
            </w:pPr>
            <w:r w:rsidRPr="00F21719">
              <w:rPr>
                <w:sz w:val="22"/>
                <w:szCs w:val="22"/>
              </w:rPr>
              <w:t>Klinisk</w:t>
            </w:r>
            <w:r w:rsidRPr="00F21719">
              <w:rPr>
                <w:spacing w:val="-2"/>
                <w:sz w:val="22"/>
                <w:szCs w:val="22"/>
              </w:rPr>
              <w:t xml:space="preserve"> </w:t>
            </w:r>
            <w:r w:rsidRPr="00F21719">
              <w:rPr>
                <w:sz w:val="22"/>
                <w:szCs w:val="22"/>
              </w:rPr>
              <w:t>relevant</w:t>
            </w:r>
            <w:r w:rsidRPr="00F21719">
              <w:rPr>
                <w:spacing w:val="-2"/>
                <w:sz w:val="22"/>
                <w:szCs w:val="22"/>
              </w:rPr>
              <w:t xml:space="preserve"> </w:t>
            </w:r>
            <w:r w:rsidRPr="00F21719">
              <w:rPr>
                <w:sz w:val="22"/>
                <w:szCs w:val="22"/>
              </w:rPr>
              <w:t>mindre</w:t>
            </w:r>
            <w:r w:rsidRPr="00F21719">
              <w:rPr>
                <w:spacing w:val="-3"/>
                <w:sz w:val="22"/>
                <w:szCs w:val="22"/>
              </w:rPr>
              <w:t xml:space="preserve"> </w:t>
            </w:r>
            <w:r w:rsidRPr="00F21719">
              <w:rPr>
                <w:sz w:val="22"/>
                <w:szCs w:val="22"/>
              </w:rPr>
              <w:t>blødning</w:t>
            </w:r>
          </w:p>
        </w:tc>
        <w:tc>
          <w:tcPr>
            <w:tcW w:w="3057" w:type="dxa"/>
            <w:tcBorders>
              <w:bottom w:val="nil"/>
            </w:tcBorders>
          </w:tcPr>
          <w:p w14:paraId="656E6D49" w14:textId="77777777" w:rsidR="00F61E6E" w:rsidRPr="00F21719" w:rsidRDefault="00F61E6E" w:rsidP="00B24633">
            <w:pPr>
              <w:widowControl w:val="0"/>
              <w:autoSpaceDE w:val="0"/>
              <w:autoSpaceDN w:val="0"/>
              <w:spacing w:line="233" w:lineRule="exact"/>
              <w:ind w:left="106"/>
              <w:rPr>
                <w:sz w:val="22"/>
                <w:szCs w:val="22"/>
              </w:rPr>
            </w:pPr>
            <w:r w:rsidRPr="00F21719">
              <w:rPr>
                <w:sz w:val="22"/>
                <w:szCs w:val="22"/>
              </w:rPr>
              <w:t>32</w:t>
            </w:r>
          </w:p>
        </w:tc>
        <w:tc>
          <w:tcPr>
            <w:tcW w:w="2807" w:type="dxa"/>
            <w:tcBorders>
              <w:bottom w:val="nil"/>
            </w:tcBorders>
          </w:tcPr>
          <w:p w14:paraId="58637F28" w14:textId="77777777" w:rsidR="00F61E6E" w:rsidRPr="00F21719" w:rsidRDefault="00F61E6E" w:rsidP="00B24633">
            <w:pPr>
              <w:widowControl w:val="0"/>
              <w:autoSpaceDE w:val="0"/>
              <w:autoSpaceDN w:val="0"/>
              <w:spacing w:line="233" w:lineRule="exact"/>
              <w:ind w:left="108"/>
              <w:rPr>
                <w:sz w:val="22"/>
                <w:szCs w:val="22"/>
              </w:rPr>
            </w:pPr>
            <w:r w:rsidRPr="00F21719">
              <w:rPr>
                <w:w w:val="99"/>
                <w:sz w:val="22"/>
                <w:szCs w:val="22"/>
              </w:rPr>
              <w:t>7</w:t>
            </w:r>
          </w:p>
        </w:tc>
      </w:tr>
      <w:tr w:rsidR="00F61E6E" w:rsidRPr="00F21719" w14:paraId="7F117776" w14:textId="77777777" w:rsidTr="00B24633">
        <w:trPr>
          <w:trHeight w:val="243"/>
        </w:trPr>
        <w:tc>
          <w:tcPr>
            <w:tcW w:w="3314" w:type="dxa"/>
            <w:vMerge/>
            <w:tcBorders>
              <w:top w:val="nil"/>
            </w:tcBorders>
          </w:tcPr>
          <w:p w14:paraId="59E7F18B" w14:textId="77777777" w:rsidR="00F61E6E" w:rsidRPr="00F21719" w:rsidRDefault="00F61E6E" w:rsidP="00B24633">
            <w:pPr>
              <w:widowControl w:val="0"/>
              <w:autoSpaceDE w:val="0"/>
              <w:autoSpaceDN w:val="0"/>
              <w:rPr>
                <w:sz w:val="22"/>
                <w:szCs w:val="22"/>
              </w:rPr>
            </w:pPr>
          </w:p>
        </w:tc>
        <w:tc>
          <w:tcPr>
            <w:tcW w:w="3057" w:type="dxa"/>
            <w:tcBorders>
              <w:top w:val="nil"/>
            </w:tcBorders>
          </w:tcPr>
          <w:p w14:paraId="322A47A0" w14:textId="7C214E42" w:rsidR="00F61E6E" w:rsidRPr="00F21719" w:rsidRDefault="00F61E6E" w:rsidP="00B24633">
            <w:pPr>
              <w:widowControl w:val="0"/>
              <w:autoSpaceDE w:val="0"/>
              <w:autoSpaceDN w:val="0"/>
              <w:spacing w:line="223" w:lineRule="exact"/>
              <w:ind w:left="106"/>
              <w:rPr>
                <w:sz w:val="22"/>
                <w:szCs w:val="22"/>
              </w:rPr>
            </w:pPr>
            <w:r w:rsidRPr="00F21719">
              <w:rPr>
                <w:sz w:val="22"/>
                <w:szCs w:val="22"/>
              </w:rPr>
              <w:t>(5,4</w:t>
            </w:r>
            <w:r w:rsidR="00054680">
              <w:rPr>
                <w:sz w:val="22"/>
                <w:szCs w:val="22"/>
              </w:rPr>
              <w:t xml:space="preserve"> %</w:t>
            </w:r>
            <w:r w:rsidRPr="00F21719">
              <w:rPr>
                <w:sz w:val="22"/>
                <w:szCs w:val="22"/>
              </w:rPr>
              <w:t>)</w:t>
            </w:r>
          </w:p>
        </w:tc>
        <w:tc>
          <w:tcPr>
            <w:tcW w:w="2807" w:type="dxa"/>
            <w:tcBorders>
              <w:top w:val="nil"/>
            </w:tcBorders>
          </w:tcPr>
          <w:p w14:paraId="1B0A8EB5" w14:textId="1571DA0D" w:rsidR="00F61E6E" w:rsidRPr="00F21719" w:rsidRDefault="00F61E6E" w:rsidP="00B24633">
            <w:pPr>
              <w:widowControl w:val="0"/>
              <w:autoSpaceDE w:val="0"/>
              <w:autoSpaceDN w:val="0"/>
              <w:spacing w:line="223" w:lineRule="exact"/>
              <w:ind w:left="108"/>
              <w:rPr>
                <w:sz w:val="22"/>
                <w:szCs w:val="22"/>
              </w:rPr>
            </w:pPr>
            <w:r w:rsidRPr="00F21719">
              <w:rPr>
                <w:sz w:val="22"/>
                <w:szCs w:val="22"/>
              </w:rPr>
              <w:t>(1,2</w:t>
            </w:r>
            <w:r w:rsidR="00054680">
              <w:rPr>
                <w:sz w:val="22"/>
                <w:szCs w:val="22"/>
              </w:rPr>
              <w:t xml:space="preserve"> %</w:t>
            </w:r>
            <w:r w:rsidRPr="00F21719">
              <w:rPr>
                <w:sz w:val="22"/>
                <w:szCs w:val="22"/>
              </w:rPr>
              <w:t>)</w:t>
            </w:r>
          </w:p>
        </w:tc>
      </w:tr>
    </w:tbl>
    <w:p w14:paraId="5C20F588" w14:textId="77777777" w:rsidR="00F61E6E" w:rsidRPr="00F21719" w:rsidRDefault="00F61E6E" w:rsidP="00B24633">
      <w:pPr>
        <w:tabs>
          <w:tab w:val="left" w:pos="851"/>
          <w:tab w:val="left" w:pos="1560"/>
        </w:tabs>
        <w:ind w:left="851"/>
        <w:rPr>
          <w:sz w:val="22"/>
          <w:szCs w:val="22"/>
        </w:rPr>
      </w:pPr>
      <w:r w:rsidRPr="00F21719">
        <w:rPr>
          <w:sz w:val="22"/>
          <w:szCs w:val="22"/>
          <w:vertAlign w:val="superscript"/>
        </w:rPr>
        <w:t>a)</w:t>
      </w:r>
      <w:r w:rsidRPr="00F21719">
        <w:rPr>
          <w:sz w:val="22"/>
          <w:szCs w:val="22"/>
        </w:rPr>
        <w:t xml:space="preserve"> Rivaroxaban 20 mg én gang dagligt</w:t>
      </w:r>
    </w:p>
    <w:p w14:paraId="7778526C" w14:textId="77777777" w:rsidR="00F61E6E" w:rsidRPr="00F21719" w:rsidRDefault="00F61E6E" w:rsidP="00B24633">
      <w:pPr>
        <w:tabs>
          <w:tab w:val="left" w:pos="851"/>
          <w:tab w:val="left" w:pos="1560"/>
        </w:tabs>
        <w:ind w:left="851"/>
        <w:rPr>
          <w:sz w:val="22"/>
          <w:szCs w:val="22"/>
        </w:rPr>
      </w:pPr>
      <w:r w:rsidRPr="00F21719">
        <w:rPr>
          <w:sz w:val="22"/>
          <w:szCs w:val="22"/>
        </w:rPr>
        <w:t>* p &lt; 0,0001 (superioritet), relativ risiko: 0,185 (0,087 ‒ 0,393)</w:t>
      </w:r>
    </w:p>
    <w:p w14:paraId="5DFEE847" w14:textId="77777777" w:rsidR="00F61E6E" w:rsidRPr="00B24633" w:rsidRDefault="00F61E6E" w:rsidP="00B24633">
      <w:pPr>
        <w:tabs>
          <w:tab w:val="left" w:pos="851"/>
        </w:tabs>
        <w:ind w:left="851"/>
        <w:rPr>
          <w:sz w:val="24"/>
          <w:szCs w:val="24"/>
        </w:rPr>
      </w:pPr>
    </w:p>
    <w:p w14:paraId="1721CD21" w14:textId="77777777" w:rsidR="00F61E6E" w:rsidRPr="00B24633" w:rsidRDefault="00F61E6E" w:rsidP="00B24633">
      <w:pPr>
        <w:tabs>
          <w:tab w:val="left" w:pos="851"/>
        </w:tabs>
        <w:ind w:left="851"/>
        <w:rPr>
          <w:sz w:val="24"/>
          <w:szCs w:val="24"/>
        </w:rPr>
      </w:pPr>
      <w:bookmarkStart w:id="7" w:name="_Hlk134533456"/>
      <w:r w:rsidRPr="00B24633">
        <w:rPr>
          <w:sz w:val="24"/>
          <w:szCs w:val="24"/>
        </w:rPr>
        <w:t>I Einstein Choice-studiet (se tabel 10) var både rivaroxaban 20 mg og 10 mg superior sammenlignet med 100 mg acetylsalicylsyre med hensyn til det primære effektendepunkt. Det vigtigste sikkerhedsendepunkt (større blødninger) var for patienter behandlet med rivaroxaban 20 mg og 10 mg én gang dagligt sammenligneligt med 100 mg acetylsalicylsyre.</w:t>
      </w:r>
    </w:p>
    <w:bookmarkEnd w:id="7"/>
    <w:p w14:paraId="06C71C98" w14:textId="77777777" w:rsidR="00F61E6E" w:rsidRPr="00B24633" w:rsidRDefault="00F61E6E" w:rsidP="00B24633">
      <w:pPr>
        <w:tabs>
          <w:tab w:val="left" w:pos="851"/>
        </w:tabs>
        <w:ind w:left="851"/>
        <w:rPr>
          <w:sz w:val="24"/>
          <w:szCs w:val="24"/>
        </w:rPr>
      </w:pPr>
    </w:p>
    <w:p w14:paraId="1FA0B023" w14:textId="6A7E48D0" w:rsidR="00F61E6E" w:rsidRDefault="00F61E6E" w:rsidP="00B24633">
      <w:pPr>
        <w:ind w:left="851"/>
        <w:rPr>
          <w:b/>
          <w:sz w:val="24"/>
          <w:szCs w:val="24"/>
        </w:rPr>
      </w:pPr>
      <w:r w:rsidRPr="00B24633">
        <w:rPr>
          <w:b/>
          <w:sz w:val="24"/>
          <w:szCs w:val="24"/>
        </w:rPr>
        <w:t>Tabel 10: Effekt- og sikkerhedsresultater fra Einstein Choice fase III</w:t>
      </w:r>
    </w:p>
    <w:p w14:paraId="09BC42C2" w14:textId="77777777" w:rsidR="00F21719" w:rsidRPr="00B24633" w:rsidRDefault="00F21719" w:rsidP="00B24633">
      <w:pPr>
        <w:ind w:left="851"/>
        <w:rPr>
          <w:b/>
          <w:sz w:val="24"/>
          <w:szCs w:val="24"/>
        </w:rPr>
      </w:pPr>
    </w:p>
    <w:tbl>
      <w:tblPr>
        <w:tblW w:w="0" w:type="auto"/>
        <w:tblInd w:w="8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70"/>
        <w:gridCol w:w="2188"/>
        <w:gridCol w:w="2073"/>
        <w:gridCol w:w="2150"/>
      </w:tblGrid>
      <w:tr w:rsidR="00F61E6E" w:rsidRPr="00F21719" w14:paraId="52D106B3" w14:textId="77777777" w:rsidTr="00B24633">
        <w:trPr>
          <w:trHeight w:val="504"/>
        </w:trPr>
        <w:tc>
          <w:tcPr>
            <w:tcW w:w="2770" w:type="dxa"/>
          </w:tcPr>
          <w:p w14:paraId="7291FC0A" w14:textId="77777777" w:rsidR="00F61E6E" w:rsidRPr="00F21719" w:rsidRDefault="00F61E6E" w:rsidP="00B24633">
            <w:pPr>
              <w:keepNext/>
              <w:widowControl w:val="0"/>
              <w:autoSpaceDE w:val="0"/>
              <w:autoSpaceDN w:val="0"/>
              <w:spacing w:before="125"/>
              <w:ind w:left="141"/>
              <w:rPr>
                <w:b/>
                <w:sz w:val="22"/>
                <w:szCs w:val="22"/>
              </w:rPr>
            </w:pPr>
            <w:r w:rsidRPr="00F21719">
              <w:rPr>
                <w:b/>
                <w:sz w:val="22"/>
                <w:szCs w:val="22"/>
              </w:rPr>
              <w:t>Studiepopulation</w:t>
            </w:r>
          </w:p>
        </w:tc>
        <w:tc>
          <w:tcPr>
            <w:tcW w:w="6411" w:type="dxa"/>
            <w:gridSpan w:val="3"/>
          </w:tcPr>
          <w:p w14:paraId="657EF6DA" w14:textId="77777777" w:rsidR="00F61E6E" w:rsidRPr="00F21719" w:rsidRDefault="00F61E6E" w:rsidP="00B24633">
            <w:pPr>
              <w:keepNext/>
              <w:widowControl w:val="0"/>
              <w:autoSpaceDE w:val="0"/>
              <w:autoSpaceDN w:val="0"/>
              <w:spacing w:line="252" w:lineRule="exact"/>
              <w:ind w:left="106"/>
              <w:rPr>
                <w:b/>
                <w:sz w:val="22"/>
                <w:szCs w:val="22"/>
              </w:rPr>
            </w:pPr>
            <w:r w:rsidRPr="00F21719">
              <w:rPr>
                <w:b/>
                <w:sz w:val="22"/>
                <w:szCs w:val="22"/>
              </w:rPr>
              <w:t>3.396 patienter fortsatte forebyggelse af</w:t>
            </w:r>
            <w:r w:rsidRPr="00F21719">
              <w:rPr>
                <w:b/>
                <w:spacing w:val="-53"/>
                <w:sz w:val="22"/>
                <w:szCs w:val="22"/>
              </w:rPr>
              <w:t xml:space="preserve"> </w:t>
            </w:r>
            <w:r w:rsidRPr="00F21719">
              <w:rPr>
                <w:b/>
                <w:sz w:val="22"/>
                <w:szCs w:val="22"/>
              </w:rPr>
              <w:t>recidiverende</w:t>
            </w:r>
            <w:r w:rsidRPr="00F21719">
              <w:rPr>
                <w:b/>
                <w:spacing w:val="-3"/>
                <w:sz w:val="22"/>
                <w:szCs w:val="22"/>
              </w:rPr>
              <w:t xml:space="preserve"> </w:t>
            </w:r>
            <w:r w:rsidRPr="00F21719">
              <w:rPr>
                <w:b/>
                <w:sz w:val="22"/>
                <w:szCs w:val="22"/>
              </w:rPr>
              <w:t>venøs</w:t>
            </w:r>
            <w:r w:rsidRPr="00F21719">
              <w:rPr>
                <w:b/>
                <w:spacing w:val="-2"/>
                <w:sz w:val="22"/>
                <w:szCs w:val="22"/>
              </w:rPr>
              <w:t xml:space="preserve"> </w:t>
            </w:r>
            <w:r w:rsidRPr="00F21719">
              <w:rPr>
                <w:b/>
                <w:sz w:val="22"/>
                <w:szCs w:val="22"/>
              </w:rPr>
              <w:t>tromboemboli</w:t>
            </w:r>
          </w:p>
        </w:tc>
      </w:tr>
      <w:tr w:rsidR="00F61E6E" w:rsidRPr="00F21719" w14:paraId="5ABDBA5D" w14:textId="77777777" w:rsidTr="00B24633">
        <w:trPr>
          <w:trHeight w:val="759"/>
        </w:trPr>
        <w:tc>
          <w:tcPr>
            <w:tcW w:w="2770" w:type="dxa"/>
          </w:tcPr>
          <w:p w14:paraId="37FAE462" w14:textId="77777777" w:rsidR="00F61E6E" w:rsidRPr="00F21719" w:rsidRDefault="00F61E6E" w:rsidP="00B24633">
            <w:pPr>
              <w:widowControl w:val="0"/>
              <w:autoSpaceDE w:val="0"/>
              <w:autoSpaceDN w:val="0"/>
              <w:rPr>
                <w:b/>
                <w:sz w:val="22"/>
                <w:szCs w:val="22"/>
              </w:rPr>
            </w:pPr>
          </w:p>
          <w:p w14:paraId="2F1857E6" w14:textId="77777777" w:rsidR="00F61E6E" w:rsidRPr="00F21719" w:rsidRDefault="00F61E6E" w:rsidP="00B24633">
            <w:pPr>
              <w:widowControl w:val="0"/>
              <w:autoSpaceDE w:val="0"/>
              <w:autoSpaceDN w:val="0"/>
              <w:ind w:left="141"/>
              <w:rPr>
                <w:b/>
                <w:sz w:val="22"/>
                <w:szCs w:val="22"/>
              </w:rPr>
            </w:pPr>
            <w:r w:rsidRPr="00F21719">
              <w:rPr>
                <w:b/>
                <w:sz w:val="22"/>
                <w:szCs w:val="22"/>
              </w:rPr>
              <w:t>Terapeutisk</w:t>
            </w:r>
            <w:r w:rsidRPr="00F21719">
              <w:rPr>
                <w:b/>
                <w:spacing w:val="-1"/>
                <w:sz w:val="22"/>
                <w:szCs w:val="22"/>
              </w:rPr>
              <w:t xml:space="preserve"> </w:t>
            </w:r>
            <w:r w:rsidRPr="00F21719">
              <w:rPr>
                <w:b/>
                <w:sz w:val="22"/>
                <w:szCs w:val="22"/>
              </w:rPr>
              <w:t>dosis</w:t>
            </w:r>
          </w:p>
        </w:tc>
        <w:tc>
          <w:tcPr>
            <w:tcW w:w="2188" w:type="dxa"/>
          </w:tcPr>
          <w:p w14:paraId="53F0D34B" w14:textId="77777777" w:rsidR="00F61E6E" w:rsidRPr="00F21719" w:rsidRDefault="00F61E6E" w:rsidP="00F21719">
            <w:pPr>
              <w:widowControl w:val="0"/>
              <w:autoSpaceDE w:val="0"/>
              <w:autoSpaceDN w:val="0"/>
              <w:ind w:left="118"/>
              <w:jc w:val="center"/>
              <w:rPr>
                <w:b/>
                <w:sz w:val="22"/>
                <w:szCs w:val="22"/>
              </w:rPr>
            </w:pPr>
            <w:r w:rsidRPr="00F21719">
              <w:rPr>
                <w:b/>
                <w:sz w:val="22"/>
                <w:szCs w:val="22"/>
              </w:rPr>
              <w:t>Rivaroxaban 20 mg</w:t>
            </w:r>
            <w:r w:rsidRPr="00F21719">
              <w:rPr>
                <w:b/>
                <w:spacing w:val="-52"/>
                <w:sz w:val="22"/>
                <w:szCs w:val="22"/>
              </w:rPr>
              <w:t xml:space="preserve"> </w:t>
            </w:r>
            <w:r w:rsidRPr="00F21719">
              <w:rPr>
                <w:b/>
                <w:sz w:val="22"/>
                <w:szCs w:val="22"/>
              </w:rPr>
              <w:t>én</w:t>
            </w:r>
            <w:r w:rsidRPr="00F21719">
              <w:rPr>
                <w:b/>
                <w:spacing w:val="-1"/>
                <w:sz w:val="22"/>
                <w:szCs w:val="22"/>
              </w:rPr>
              <w:t> </w:t>
            </w:r>
            <w:r w:rsidRPr="00F21719">
              <w:rPr>
                <w:b/>
                <w:sz w:val="22"/>
                <w:szCs w:val="22"/>
              </w:rPr>
              <w:t>gang</w:t>
            </w:r>
            <w:r w:rsidRPr="00F21719">
              <w:rPr>
                <w:b/>
                <w:spacing w:val="-1"/>
                <w:sz w:val="22"/>
                <w:szCs w:val="22"/>
              </w:rPr>
              <w:t xml:space="preserve"> </w:t>
            </w:r>
            <w:r w:rsidRPr="00F21719">
              <w:rPr>
                <w:b/>
                <w:sz w:val="22"/>
                <w:szCs w:val="22"/>
              </w:rPr>
              <w:t>dagligt</w:t>
            </w:r>
          </w:p>
          <w:p w14:paraId="58E6BBB0" w14:textId="77777777" w:rsidR="00F61E6E" w:rsidRPr="00F21719" w:rsidRDefault="00F61E6E" w:rsidP="00F21719">
            <w:pPr>
              <w:widowControl w:val="0"/>
              <w:autoSpaceDE w:val="0"/>
              <w:autoSpaceDN w:val="0"/>
              <w:spacing w:line="232" w:lineRule="exact"/>
              <w:ind w:left="118"/>
              <w:jc w:val="center"/>
              <w:rPr>
                <w:b/>
                <w:sz w:val="22"/>
                <w:szCs w:val="22"/>
              </w:rPr>
            </w:pPr>
            <w:r w:rsidRPr="00F21719">
              <w:rPr>
                <w:b/>
                <w:sz w:val="22"/>
                <w:szCs w:val="22"/>
              </w:rPr>
              <w:t>N = 1.107</w:t>
            </w:r>
          </w:p>
        </w:tc>
        <w:tc>
          <w:tcPr>
            <w:tcW w:w="2073" w:type="dxa"/>
          </w:tcPr>
          <w:p w14:paraId="26BB27CE" w14:textId="7D28A3B8" w:rsidR="00F61E6E" w:rsidRPr="00F21719" w:rsidRDefault="00F61E6E" w:rsidP="00F21719">
            <w:pPr>
              <w:ind w:left="124"/>
              <w:jc w:val="center"/>
              <w:rPr>
                <w:b/>
                <w:sz w:val="22"/>
                <w:szCs w:val="22"/>
              </w:rPr>
            </w:pPr>
            <w:r w:rsidRPr="00F21719">
              <w:rPr>
                <w:b/>
                <w:sz w:val="22"/>
                <w:szCs w:val="22"/>
              </w:rPr>
              <w:t>Rivaroxaban 10 mg én gang dagligt</w:t>
            </w:r>
          </w:p>
          <w:p w14:paraId="74F2CDA5" w14:textId="6450E21C" w:rsidR="00F61E6E" w:rsidRPr="00F21719" w:rsidRDefault="00F61E6E" w:rsidP="00F21719">
            <w:pPr>
              <w:widowControl w:val="0"/>
              <w:autoSpaceDE w:val="0"/>
              <w:autoSpaceDN w:val="0"/>
              <w:spacing w:line="232" w:lineRule="exact"/>
              <w:ind w:left="117"/>
              <w:jc w:val="center"/>
              <w:rPr>
                <w:b/>
                <w:sz w:val="22"/>
                <w:szCs w:val="22"/>
              </w:rPr>
            </w:pPr>
            <w:r w:rsidRPr="00F21719">
              <w:rPr>
                <w:b/>
                <w:sz w:val="22"/>
                <w:szCs w:val="22"/>
              </w:rPr>
              <w:t>N =</w:t>
            </w:r>
            <w:r w:rsidR="00213042">
              <w:rPr>
                <w:b/>
                <w:sz w:val="22"/>
                <w:szCs w:val="22"/>
              </w:rPr>
              <w:t xml:space="preserve"> </w:t>
            </w:r>
            <w:r w:rsidRPr="00F21719">
              <w:rPr>
                <w:b/>
                <w:sz w:val="22"/>
                <w:szCs w:val="22"/>
              </w:rPr>
              <w:t>1.127</w:t>
            </w:r>
          </w:p>
        </w:tc>
        <w:tc>
          <w:tcPr>
            <w:tcW w:w="2150" w:type="dxa"/>
          </w:tcPr>
          <w:p w14:paraId="21C81B8B" w14:textId="574CB33F" w:rsidR="00F61E6E" w:rsidRPr="00F21719" w:rsidRDefault="00F61E6E" w:rsidP="00F21719">
            <w:pPr>
              <w:ind w:left="177"/>
              <w:jc w:val="center"/>
              <w:rPr>
                <w:b/>
                <w:sz w:val="22"/>
                <w:szCs w:val="22"/>
              </w:rPr>
            </w:pPr>
            <w:r w:rsidRPr="00F21719">
              <w:rPr>
                <w:b/>
                <w:sz w:val="22"/>
                <w:szCs w:val="22"/>
              </w:rPr>
              <w:t>ASA 100 mg én gang dagligt</w:t>
            </w:r>
          </w:p>
          <w:p w14:paraId="14D56CDB" w14:textId="77777777" w:rsidR="00F61E6E" w:rsidRPr="00F21719" w:rsidRDefault="00F61E6E" w:rsidP="00F21719">
            <w:pPr>
              <w:widowControl w:val="0"/>
              <w:autoSpaceDE w:val="0"/>
              <w:autoSpaceDN w:val="0"/>
              <w:spacing w:line="232" w:lineRule="exact"/>
              <w:ind w:left="117"/>
              <w:jc w:val="center"/>
              <w:rPr>
                <w:b/>
                <w:sz w:val="22"/>
                <w:szCs w:val="22"/>
              </w:rPr>
            </w:pPr>
            <w:r w:rsidRPr="00F21719">
              <w:rPr>
                <w:b/>
                <w:sz w:val="22"/>
                <w:szCs w:val="22"/>
              </w:rPr>
              <w:t>N</w:t>
            </w:r>
            <w:r w:rsidRPr="00F21719">
              <w:rPr>
                <w:b/>
                <w:spacing w:val="-1"/>
                <w:sz w:val="22"/>
                <w:szCs w:val="22"/>
              </w:rPr>
              <w:t> = </w:t>
            </w:r>
            <w:r w:rsidRPr="00F21719">
              <w:rPr>
                <w:b/>
                <w:sz w:val="22"/>
                <w:szCs w:val="22"/>
              </w:rPr>
              <w:t>1.131</w:t>
            </w:r>
          </w:p>
        </w:tc>
      </w:tr>
      <w:tr w:rsidR="00F61E6E" w:rsidRPr="00F21719" w14:paraId="0A5B03AB" w14:textId="77777777" w:rsidTr="00B24633">
        <w:trPr>
          <w:trHeight w:val="759"/>
        </w:trPr>
        <w:tc>
          <w:tcPr>
            <w:tcW w:w="2770" w:type="dxa"/>
          </w:tcPr>
          <w:p w14:paraId="3BA37374" w14:textId="77777777" w:rsidR="00F61E6E" w:rsidRPr="00F21719" w:rsidRDefault="00F61E6E" w:rsidP="00B24633">
            <w:pPr>
              <w:widowControl w:val="0"/>
              <w:autoSpaceDE w:val="0"/>
              <w:autoSpaceDN w:val="0"/>
              <w:spacing w:line="254" w:lineRule="exact"/>
              <w:ind w:left="141"/>
              <w:jc w:val="both"/>
              <w:rPr>
                <w:sz w:val="22"/>
                <w:szCs w:val="22"/>
              </w:rPr>
            </w:pPr>
            <w:r w:rsidRPr="00F21719">
              <w:rPr>
                <w:spacing w:val="-1"/>
                <w:sz w:val="22"/>
                <w:szCs w:val="22"/>
              </w:rPr>
              <w:t>Behandlingsvarighed</w:t>
            </w:r>
            <w:r w:rsidRPr="00F21719">
              <w:rPr>
                <w:spacing w:val="-53"/>
                <w:sz w:val="22"/>
                <w:szCs w:val="22"/>
              </w:rPr>
              <w:t xml:space="preserve"> </w:t>
            </w:r>
            <w:r w:rsidRPr="00F21719">
              <w:rPr>
                <w:sz w:val="22"/>
                <w:szCs w:val="22"/>
              </w:rPr>
              <w:t>median [interkvartilt</w:t>
            </w:r>
            <w:r w:rsidRPr="00F21719">
              <w:rPr>
                <w:spacing w:val="1"/>
                <w:sz w:val="22"/>
                <w:szCs w:val="22"/>
              </w:rPr>
              <w:t xml:space="preserve"> </w:t>
            </w:r>
            <w:r w:rsidRPr="00F21719">
              <w:rPr>
                <w:sz w:val="22"/>
                <w:szCs w:val="22"/>
              </w:rPr>
              <w:t>interval]</w:t>
            </w:r>
          </w:p>
        </w:tc>
        <w:tc>
          <w:tcPr>
            <w:tcW w:w="2188" w:type="dxa"/>
          </w:tcPr>
          <w:p w14:paraId="0890F1AD" w14:textId="77777777" w:rsidR="00F61E6E" w:rsidRPr="00F21719" w:rsidRDefault="00F61E6E" w:rsidP="00F21719">
            <w:pPr>
              <w:widowControl w:val="0"/>
              <w:autoSpaceDE w:val="0"/>
              <w:autoSpaceDN w:val="0"/>
              <w:ind w:left="118"/>
              <w:jc w:val="center"/>
              <w:rPr>
                <w:sz w:val="22"/>
                <w:szCs w:val="22"/>
              </w:rPr>
            </w:pPr>
            <w:r w:rsidRPr="00F21719">
              <w:rPr>
                <w:sz w:val="22"/>
                <w:szCs w:val="22"/>
              </w:rPr>
              <w:t>349</w:t>
            </w:r>
            <w:r w:rsidRPr="00F21719">
              <w:rPr>
                <w:spacing w:val="-2"/>
                <w:sz w:val="22"/>
                <w:szCs w:val="22"/>
              </w:rPr>
              <w:t xml:space="preserve"> </w:t>
            </w:r>
            <w:r w:rsidRPr="00F21719">
              <w:rPr>
                <w:sz w:val="22"/>
                <w:szCs w:val="22"/>
              </w:rPr>
              <w:t>[189-362]</w:t>
            </w:r>
            <w:r w:rsidRPr="00F21719">
              <w:rPr>
                <w:spacing w:val="-1"/>
                <w:sz w:val="22"/>
                <w:szCs w:val="22"/>
              </w:rPr>
              <w:t> dage</w:t>
            </w:r>
          </w:p>
        </w:tc>
        <w:tc>
          <w:tcPr>
            <w:tcW w:w="2073" w:type="dxa"/>
          </w:tcPr>
          <w:p w14:paraId="3B9426BB" w14:textId="77777777" w:rsidR="00F61E6E" w:rsidRPr="00F21719" w:rsidRDefault="00F61E6E" w:rsidP="00F21719">
            <w:pPr>
              <w:widowControl w:val="0"/>
              <w:autoSpaceDE w:val="0"/>
              <w:autoSpaceDN w:val="0"/>
              <w:ind w:left="117"/>
              <w:jc w:val="center"/>
              <w:rPr>
                <w:sz w:val="22"/>
                <w:szCs w:val="22"/>
              </w:rPr>
            </w:pPr>
            <w:r w:rsidRPr="00F21719">
              <w:rPr>
                <w:sz w:val="22"/>
                <w:szCs w:val="22"/>
              </w:rPr>
              <w:t>353</w:t>
            </w:r>
            <w:r w:rsidRPr="00F21719">
              <w:rPr>
                <w:spacing w:val="-2"/>
                <w:sz w:val="22"/>
                <w:szCs w:val="22"/>
              </w:rPr>
              <w:t xml:space="preserve"> </w:t>
            </w:r>
            <w:r w:rsidRPr="00F21719">
              <w:rPr>
                <w:sz w:val="22"/>
                <w:szCs w:val="22"/>
              </w:rPr>
              <w:t>[190-362]</w:t>
            </w:r>
            <w:r w:rsidRPr="00F21719">
              <w:rPr>
                <w:spacing w:val="-1"/>
                <w:sz w:val="22"/>
                <w:szCs w:val="22"/>
              </w:rPr>
              <w:t> dage</w:t>
            </w:r>
          </w:p>
        </w:tc>
        <w:tc>
          <w:tcPr>
            <w:tcW w:w="2150" w:type="dxa"/>
          </w:tcPr>
          <w:p w14:paraId="3D9EA635" w14:textId="77777777" w:rsidR="00F61E6E" w:rsidRPr="00F21719" w:rsidRDefault="00F61E6E" w:rsidP="00F21719">
            <w:pPr>
              <w:widowControl w:val="0"/>
              <w:autoSpaceDE w:val="0"/>
              <w:autoSpaceDN w:val="0"/>
              <w:ind w:left="117"/>
              <w:jc w:val="center"/>
              <w:rPr>
                <w:sz w:val="22"/>
                <w:szCs w:val="22"/>
              </w:rPr>
            </w:pPr>
            <w:r w:rsidRPr="00F21719">
              <w:rPr>
                <w:sz w:val="22"/>
                <w:szCs w:val="22"/>
              </w:rPr>
              <w:t>350</w:t>
            </w:r>
            <w:r w:rsidRPr="00F21719">
              <w:rPr>
                <w:spacing w:val="-2"/>
                <w:sz w:val="22"/>
                <w:szCs w:val="22"/>
              </w:rPr>
              <w:t xml:space="preserve"> </w:t>
            </w:r>
            <w:r w:rsidRPr="00F21719">
              <w:rPr>
                <w:sz w:val="22"/>
                <w:szCs w:val="22"/>
              </w:rPr>
              <w:t>[186-362]</w:t>
            </w:r>
            <w:r w:rsidRPr="00F21719">
              <w:rPr>
                <w:spacing w:val="-1"/>
                <w:sz w:val="22"/>
                <w:szCs w:val="22"/>
              </w:rPr>
              <w:t> dage</w:t>
            </w:r>
          </w:p>
        </w:tc>
      </w:tr>
      <w:tr w:rsidR="00F61E6E" w:rsidRPr="00F21719" w14:paraId="01F9656E" w14:textId="77777777" w:rsidTr="00B24633">
        <w:trPr>
          <w:trHeight w:val="502"/>
        </w:trPr>
        <w:tc>
          <w:tcPr>
            <w:tcW w:w="2770" w:type="dxa"/>
          </w:tcPr>
          <w:p w14:paraId="60A86460" w14:textId="77777777" w:rsidR="00F61E6E" w:rsidRPr="00F21719" w:rsidRDefault="00F61E6E" w:rsidP="00B24633">
            <w:pPr>
              <w:widowControl w:val="0"/>
              <w:autoSpaceDE w:val="0"/>
              <w:autoSpaceDN w:val="0"/>
              <w:spacing w:line="250" w:lineRule="exact"/>
              <w:ind w:left="141"/>
              <w:rPr>
                <w:sz w:val="22"/>
                <w:szCs w:val="22"/>
              </w:rPr>
            </w:pPr>
            <w:r w:rsidRPr="00F21719">
              <w:rPr>
                <w:sz w:val="22"/>
                <w:szCs w:val="22"/>
              </w:rPr>
              <w:t>Symptomatisk</w:t>
            </w:r>
          </w:p>
          <w:p w14:paraId="371FABFD" w14:textId="77777777" w:rsidR="00F61E6E" w:rsidRPr="00F21719" w:rsidRDefault="00F61E6E" w:rsidP="00B24633">
            <w:pPr>
              <w:widowControl w:val="0"/>
              <w:autoSpaceDE w:val="0"/>
              <w:autoSpaceDN w:val="0"/>
              <w:spacing w:line="233" w:lineRule="exact"/>
              <w:ind w:left="141"/>
              <w:rPr>
                <w:sz w:val="22"/>
                <w:szCs w:val="22"/>
              </w:rPr>
            </w:pPr>
            <w:r w:rsidRPr="00F21719">
              <w:rPr>
                <w:sz w:val="22"/>
                <w:szCs w:val="22"/>
              </w:rPr>
              <w:t>recidiverende</w:t>
            </w:r>
            <w:r w:rsidRPr="00F21719">
              <w:rPr>
                <w:spacing w:val="-3"/>
                <w:sz w:val="22"/>
                <w:szCs w:val="22"/>
              </w:rPr>
              <w:t xml:space="preserve"> </w:t>
            </w:r>
            <w:r w:rsidRPr="00F21719">
              <w:rPr>
                <w:sz w:val="22"/>
                <w:szCs w:val="22"/>
              </w:rPr>
              <w:t>VTE</w:t>
            </w:r>
          </w:p>
        </w:tc>
        <w:tc>
          <w:tcPr>
            <w:tcW w:w="2188" w:type="dxa"/>
          </w:tcPr>
          <w:p w14:paraId="5515DF14" w14:textId="77777777" w:rsidR="00F61E6E" w:rsidRPr="00F21719" w:rsidRDefault="00F61E6E" w:rsidP="00F21719">
            <w:pPr>
              <w:widowControl w:val="0"/>
              <w:autoSpaceDE w:val="0"/>
              <w:autoSpaceDN w:val="0"/>
              <w:spacing w:line="250" w:lineRule="exact"/>
              <w:ind w:left="118"/>
              <w:jc w:val="center"/>
              <w:rPr>
                <w:sz w:val="22"/>
                <w:szCs w:val="22"/>
              </w:rPr>
            </w:pPr>
            <w:r w:rsidRPr="00F21719">
              <w:rPr>
                <w:sz w:val="22"/>
                <w:szCs w:val="22"/>
              </w:rPr>
              <w:t>17</w:t>
            </w:r>
          </w:p>
          <w:p w14:paraId="431BD7C2" w14:textId="251C1CD1" w:rsidR="00F61E6E" w:rsidRPr="00F21719" w:rsidRDefault="00F61E6E" w:rsidP="00F21719">
            <w:pPr>
              <w:widowControl w:val="0"/>
              <w:autoSpaceDE w:val="0"/>
              <w:autoSpaceDN w:val="0"/>
              <w:spacing w:line="233" w:lineRule="exact"/>
              <w:ind w:left="118"/>
              <w:jc w:val="center"/>
              <w:rPr>
                <w:sz w:val="22"/>
                <w:szCs w:val="22"/>
              </w:rPr>
            </w:pPr>
            <w:r w:rsidRPr="00F21719">
              <w:rPr>
                <w:sz w:val="22"/>
                <w:szCs w:val="22"/>
              </w:rPr>
              <w:t>(1,5</w:t>
            </w:r>
            <w:r w:rsidR="00054680">
              <w:rPr>
                <w:sz w:val="22"/>
                <w:szCs w:val="22"/>
              </w:rPr>
              <w:t xml:space="preserve"> </w:t>
            </w:r>
            <w:proofErr w:type="gramStart"/>
            <w:r w:rsidR="00054680">
              <w:rPr>
                <w:sz w:val="22"/>
                <w:szCs w:val="22"/>
              </w:rPr>
              <w:t>%</w:t>
            </w:r>
            <w:r w:rsidRPr="00F21719">
              <w:rPr>
                <w:sz w:val="22"/>
                <w:szCs w:val="22"/>
              </w:rPr>
              <w:t>)*</w:t>
            </w:r>
            <w:proofErr w:type="gramEnd"/>
          </w:p>
        </w:tc>
        <w:tc>
          <w:tcPr>
            <w:tcW w:w="2073" w:type="dxa"/>
          </w:tcPr>
          <w:p w14:paraId="1E3110FC" w14:textId="77777777" w:rsidR="00F61E6E" w:rsidRPr="00F21719" w:rsidRDefault="00F61E6E" w:rsidP="00F21719">
            <w:pPr>
              <w:widowControl w:val="0"/>
              <w:autoSpaceDE w:val="0"/>
              <w:autoSpaceDN w:val="0"/>
              <w:spacing w:line="250" w:lineRule="exact"/>
              <w:ind w:left="117"/>
              <w:jc w:val="center"/>
              <w:rPr>
                <w:sz w:val="22"/>
                <w:szCs w:val="22"/>
              </w:rPr>
            </w:pPr>
            <w:r w:rsidRPr="00F21719">
              <w:rPr>
                <w:sz w:val="22"/>
                <w:szCs w:val="22"/>
              </w:rPr>
              <w:t>13</w:t>
            </w:r>
          </w:p>
          <w:p w14:paraId="5B654F6A" w14:textId="4B50E5AF"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(1,2</w:t>
            </w:r>
            <w:r w:rsidR="00054680">
              <w:rPr>
                <w:sz w:val="22"/>
                <w:szCs w:val="22"/>
              </w:rPr>
              <w:t xml:space="preserve"> </w:t>
            </w:r>
            <w:proofErr w:type="gramStart"/>
            <w:r w:rsidR="00054680">
              <w:rPr>
                <w:sz w:val="22"/>
                <w:szCs w:val="22"/>
              </w:rPr>
              <w:t>%</w:t>
            </w:r>
            <w:r w:rsidRPr="00F21719">
              <w:rPr>
                <w:sz w:val="22"/>
                <w:szCs w:val="22"/>
              </w:rPr>
              <w:t>)*</w:t>
            </w:r>
            <w:proofErr w:type="gramEnd"/>
            <w:r w:rsidRPr="00F21719">
              <w:rPr>
                <w:sz w:val="22"/>
                <w:szCs w:val="22"/>
              </w:rPr>
              <w:t>*</w:t>
            </w:r>
          </w:p>
        </w:tc>
        <w:tc>
          <w:tcPr>
            <w:tcW w:w="2150" w:type="dxa"/>
          </w:tcPr>
          <w:p w14:paraId="58A4745E" w14:textId="77777777" w:rsidR="00F61E6E" w:rsidRPr="00F21719" w:rsidRDefault="00F61E6E" w:rsidP="00F21719">
            <w:pPr>
              <w:widowControl w:val="0"/>
              <w:autoSpaceDE w:val="0"/>
              <w:autoSpaceDN w:val="0"/>
              <w:spacing w:line="250" w:lineRule="exact"/>
              <w:ind w:left="117"/>
              <w:jc w:val="center"/>
              <w:rPr>
                <w:sz w:val="22"/>
                <w:szCs w:val="22"/>
              </w:rPr>
            </w:pPr>
            <w:r w:rsidRPr="00F21719">
              <w:rPr>
                <w:sz w:val="22"/>
                <w:szCs w:val="22"/>
              </w:rPr>
              <w:t>50</w:t>
            </w:r>
          </w:p>
          <w:p w14:paraId="38111257" w14:textId="7BBE07CA"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(4,4</w:t>
            </w:r>
            <w:r w:rsidR="00054680">
              <w:rPr>
                <w:spacing w:val="-1"/>
                <w:sz w:val="22"/>
                <w:szCs w:val="22"/>
              </w:rPr>
              <w:t xml:space="preserve"> %</w:t>
            </w:r>
            <w:r w:rsidRPr="00F21719">
              <w:rPr>
                <w:sz w:val="22"/>
                <w:szCs w:val="22"/>
              </w:rPr>
              <w:t>)</w:t>
            </w:r>
          </w:p>
        </w:tc>
      </w:tr>
      <w:tr w:rsidR="00F61E6E" w:rsidRPr="00F21719" w14:paraId="7B3DCCCF" w14:textId="77777777" w:rsidTr="00B24633">
        <w:trPr>
          <w:trHeight w:val="506"/>
        </w:trPr>
        <w:tc>
          <w:tcPr>
            <w:tcW w:w="2770" w:type="dxa"/>
          </w:tcPr>
          <w:p w14:paraId="57B4EDEC" w14:textId="77777777" w:rsidR="00F61E6E" w:rsidRPr="00F21719" w:rsidRDefault="00F61E6E" w:rsidP="007F055A">
            <w:pPr>
              <w:widowControl w:val="0"/>
              <w:numPr>
                <w:ilvl w:val="0"/>
                <w:numId w:val="26"/>
              </w:numPr>
              <w:autoSpaceDE w:val="0"/>
              <w:autoSpaceDN w:val="0"/>
              <w:ind w:left="412" w:hanging="283"/>
              <w:rPr>
                <w:sz w:val="22"/>
                <w:szCs w:val="22"/>
              </w:rPr>
            </w:pPr>
            <w:r w:rsidRPr="00F21719">
              <w:rPr>
                <w:sz w:val="22"/>
                <w:szCs w:val="22"/>
              </w:rPr>
              <w:t>Symptomatisk recidiverende PE</w:t>
            </w:r>
          </w:p>
        </w:tc>
        <w:tc>
          <w:tcPr>
            <w:tcW w:w="2188" w:type="dxa"/>
          </w:tcPr>
          <w:p w14:paraId="53186315" w14:textId="77777777" w:rsidR="00F61E6E" w:rsidRPr="00F21719" w:rsidRDefault="00F61E6E" w:rsidP="00F21719">
            <w:pPr>
              <w:widowControl w:val="0"/>
              <w:autoSpaceDE w:val="0"/>
              <w:autoSpaceDN w:val="0"/>
              <w:spacing w:line="253" w:lineRule="exact"/>
              <w:ind w:left="118"/>
              <w:jc w:val="center"/>
              <w:rPr>
                <w:sz w:val="22"/>
                <w:szCs w:val="22"/>
              </w:rPr>
            </w:pPr>
            <w:r w:rsidRPr="00F21719">
              <w:rPr>
                <w:w w:val="99"/>
                <w:sz w:val="22"/>
                <w:szCs w:val="22"/>
              </w:rPr>
              <w:t>6</w:t>
            </w:r>
          </w:p>
          <w:p w14:paraId="699E0022" w14:textId="108F323A" w:rsidR="00F61E6E" w:rsidRPr="00F21719" w:rsidRDefault="00F61E6E" w:rsidP="00F21719">
            <w:pPr>
              <w:widowControl w:val="0"/>
              <w:autoSpaceDE w:val="0"/>
              <w:autoSpaceDN w:val="0"/>
              <w:spacing w:line="233" w:lineRule="exact"/>
              <w:ind w:left="118"/>
              <w:jc w:val="center"/>
              <w:rPr>
                <w:sz w:val="22"/>
                <w:szCs w:val="22"/>
              </w:rPr>
            </w:pPr>
            <w:r w:rsidRPr="00F21719">
              <w:rPr>
                <w:sz w:val="22"/>
                <w:szCs w:val="22"/>
              </w:rPr>
              <w:t>(0,5</w:t>
            </w:r>
            <w:r w:rsidR="00054680">
              <w:rPr>
                <w:spacing w:val="-1"/>
                <w:sz w:val="22"/>
                <w:szCs w:val="22"/>
              </w:rPr>
              <w:t xml:space="preserve"> %</w:t>
            </w:r>
            <w:r w:rsidRPr="00F21719">
              <w:rPr>
                <w:sz w:val="22"/>
                <w:szCs w:val="22"/>
              </w:rPr>
              <w:t>)</w:t>
            </w:r>
          </w:p>
        </w:tc>
        <w:tc>
          <w:tcPr>
            <w:tcW w:w="2073" w:type="dxa"/>
          </w:tcPr>
          <w:p w14:paraId="6D77FA95" w14:textId="77777777" w:rsidR="00F61E6E" w:rsidRPr="00F21719" w:rsidRDefault="00F61E6E" w:rsidP="00F21719">
            <w:pPr>
              <w:widowControl w:val="0"/>
              <w:autoSpaceDE w:val="0"/>
              <w:autoSpaceDN w:val="0"/>
              <w:spacing w:line="253" w:lineRule="exact"/>
              <w:ind w:left="117"/>
              <w:jc w:val="center"/>
              <w:rPr>
                <w:sz w:val="22"/>
                <w:szCs w:val="22"/>
              </w:rPr>
            </w:pPr>
            <w:r w:rsidRPr="00F21719">
              <w:rPr>
                <w:w w:val="99"/>
                <w:sz w:val="22"/>
                <w:szCs w:val="22"/>
              </w:rPr>
              <w:t>6</w:t>
            </w:r>
          </w:p>
          <w:p w14:paraId="2ED504FD" w14:textId="2792A5F4"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(0,5</w:t>
            </w:r>
            <w:r w:rsidR="00054680">
              <w:rPr>
                <w:spacing w:val="-1"/>
                <w:sz w:val="22"/>
                <w:szCs w:val="22"/>
              </w:rPr>
              <w:t xml:space="preserve"> %</w:t>
            </w:r>
            <w:r w:rsidRPr="00F21719">
              <w:rPr>
                <w:sz w:val="22"/>
                <w:szCs w:val="22"/>
              </w:rPr>
              <w:t>)</w:t>
            </w:r>
          </w:p>
        </w:tc>
        <w:tc>
          <w:tcPr>
            <w:tcW w:w="2150" w:type="dxa"/>
          </w:tcPr>
          <w:p w14:paraId="3D2D3640" w14:textId="77777777" w:rsidR="00F61E6E" w:rsidRPr="00F21719" w:rsidRDefault="00F61E6E" w:rsidP="00F21719">
            <w:pPr>
              <w:widowControl w:val="0"/>
              <w:autoSpaceDE w:val="0"/>
              <w:autoSpaceDN w:val="0"/>
              <w:spacing w:line="253" w:lineRule="exact"/>
              <w:ind w:left="117"/>
              <w:jc w:val="center"/>
              <w:rPr>
                <w:sz w:val="22"/>
                <w:szCs w:val="22"/>
              </w:rPr>
            </w:pPr>
            <w:r w:rsidRPr="00F21719">
              <w:rPr>
                <w:sz w:val="22"/>
                <w:szCs w:val="22"/>
              </w:rPr>
              <w:t>19</w:t>
            </w:r>
          </w:p>
          <w:p w14:paraId="0A871503" w14:textId="3E70A125"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(1,7</w:t>
            </w:r>
            <w:r w:rsidR="00054680">
              <w:rPr>
                <w:spacing w:val="-1"/>
                <w:sz w:val="22"/>
                <w:szCs w:val="22"/>
              </w:rPr>
              <w:t xml:space="preserve"> %</w:t>
            </w:r>
            <w:r w:rsidRPr="00F21719">
              <w:rPr>
                <w:sz w:val="22"/>
                <w:szCs w:val="22"/>
              </w:rPr>
              <w:t>)</w:t>
            </w:r>
          </w:p>
        </w:tc>
      </w:tr>
      <w:tr w:rsidR="00F61E6E" w:rsidRPr="00F21719" w14:paraId="2A177477" w14:textId="77777777" w:rsidTr="00B24633">
        <w:trPr>
          <w:trHeight w:val="504"/>
        </w:trPr>
        <w:tc>
          <w:tcPr>
            <w:tcW w:w="2770" w:type="dxa"/>
          </w:tcPr>
          <w:p w14:paraId="0CE70E4C" w14:textId="77777777" w:rsidR="00F61E6E" w:rsidRPr="00F21719" w:rsidRDefault="00F61E6E" w:rsidP="007F055A">
            <w:pPr>
              <w:widowControl w:val="0"/>
              <w:numPr>
                <w:ilvl w:val="0"/>
                <w:numId w:val="26"/>
              </w:numPr>
              <w:autoSpaceDE w:val="0"/>
              <w:autoSpaceDN w:val="0"/>
              <w:ind w:left="412" w:hanging="283"/>
              <w:rPr>
                <w:sz w:val="22"/>
                <w:szCs w:val="22"/>
              </w:rPr>
            </w:pPr>
            <w:r w:rsidRPr="00F21719">
              <w:rPr>
                <w:sz w:val="22"/>
                <w:szCs w:val="22"/>
              </w:rPr>
              <w:t>Symptomatisk recidiverende DVT</w:t>
            </w:r>
          </w:p>
        </w:tc>
        <w:tc>
          <w:tcPr>
            <w:tcW w:w="2188" w:type="dxa"/>
          </w:tcPr>
          <w:p w14:paraId="171C3F12" w14:textId="77777777" w:rsidR="00F61E6E" w:rsidRPr="00F21719" w:rsidRDefault="00F61E6E" w:rsidP="00F21719">
            <w:pPr>
              <w:widowControl w:val="0"/>
              <w:autoSpaceDE w:val="0"/>
              <w:autoSpaceDN w:val="0"/>
              <w:spacing w:line="251" w:lineRule="exact"/>
              <w:ind w:left="118"/>
              <w:jc w:val="center"/>
              <w:rPr>
                <w:sz w:val="22"/>
                <w:szCs w:val="22"/>
              </w:rPr>
            </w:pPr>
            <w:r w:rsidRPr="00F21719">
              <w:rPr>
                <w:w w:val="99"/>
                <w:sz w:val="22"/>
                <w:szCs w:val="22"/>
              </w:rPr>
              <w:t>9</w:t>
            </w:r>
          </w:p>
          <w:p w14:paraId="31AC57A1" w14:textId="7A0C7EEF" w:rsidR="00F61E6E" w:rsidRPr="00F21719" w:rsidRDefault="00F61E6E" w:rsidP="00F21719">
            <w:pPr>
              <w:widowControl w:val="0"/>
              <w:autoSpaceDE w:val="0"/>
              <w:autoSpaceDN w:val="0"/>
              <w:spacing w:line="233" w:lineRule="exact"/>
              <w:ind w:left="118"/>
              <w:jc w:val="center"/>
              <w:rPr>
                <w:sz w:val="22"/>
                <w:szCs w:val="22"/>
              </w:rPr>
            </w:pPr>
            <w:r w:rsidRPr="00F21719">
              <w:rPr>
                <w:sz w:val="22"/>
                <w:szCs w:val="22"/>
              </w:rPr>
              <w:t>(0,8</w:t>
            </w:r>
            <w:r w:rsidR="00054680">
              <w:rPr>
                <w:spacing w:val="-1"/>
                <w:sz w:val="22"/>
                <w:szCs w:val="22"/>
              </w:rPr>
              <w:t xml:space="preserve"> %</w:t>
            </w:r>
            <w:r w:rsidRPr="00F21719">
              <w:rPr>
                <w:sz w:val="22"/>
                <w:szCs w:val="22"/>
              </w:rPr>
              <w:t>)</w:t>
            </w:r>
          </w:p>
        </w:tc>
        <w:tc>
          <w:tcPr>
            <w:tcW w:w="2073" w:type="dxa"/>
          </w:tcPr>
          <w:p w14:paraId="3BAA76E8" w14:textId="77777777" w:rsidR="00F61E6E" w:rsidRPr="00F21719" w:rsidRDefault="00F61E6E" w:rsidP="00F21719">
            <w:pPr>
              <w:widowControl w:val="0"/>
              <w:autoSpaceDE w:val="0"/>
              <w:autoSpaceDN w:val="0"/>
              <w:spacing w:line="251" w:lineRule="exact"/>
              <w:ind w:left="117"/>
              <w:jc w:val="center"/>
              <w:rPr>
                <w:sz w:val="22"/>
                <w:szCs w:val="22"/>
              </w:rPr>
            </w:pPr>
            <w:r w:rsidRPr="00F21719">
              <w:rPr>
                <w:w w:val="99"/>
                <w:sz w:val="22"/>
                <w:szCs w:val="22"/>
              </w:rPr>
              <w:t>8</w:t>
            </w:r>
          </w:p>
          <w:p w14:paraId="15A07DB2" w14:textId="497F71F9"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(0,7</w:t>
            </w:r>
            <w:r w:rsidR="00054680">
              <w:rPr>
                <w:spacing w:val="-1"/>
                <w:sz w:val="22"/>
                <w:szCs w:val="22"/>
              </w:rPr>
              <w:t xml:space="preserve"> %</w:t>
            </w:r>
            <w:r w:rsidRPr="00F21719">
              <w:rPr>
                <w:sz w:val="22"/>
                <w:szCs w:val="22"/>
              </w:rPr>
              <w:t>)</w:t>
            </w:r>
          </w:p>
        </w:tc>
        <w:tc>
          <w:tcPr>
            <w:tcW w:w="2150" w:type="dxa"/>
          </w:tcPr>
          <w:p w14:paraId="4902E038" w14:textId="77777777" w:rsidR="00F61E6E" w:rsidRPr="00F21719" w:rsidRDefault="00F61E6E" w:rsidP="00F21719">
            <w:pPr>
              <w:widowControl w:val="0"/>
              <w:autoSpaceDE w:val="0"/>
              <w:autoSpaceDN w:val="0"/>
              <w:spacing w:line="251" w:lineRule="exact"/>
              <w:ind w:left="117"/>
              <w:jc w:val="center"/>
              <w:rPr>
                <w:sz w:val="22"/>
                <w:szCs w:val="22"/>
              </w:rPr>
            </w:pPr>
            <w:r w:rsidRPr="00F21719">
              <w:rPr>
                <w:sz w:val="22"/>
                <w:szCs w:val="22"/>
              </w:rPr>
              <w:t>30</w:t>
            </w:r>
          </w:p>
          <w:p w14:paraId="0E6093EC" w14:textId="0AEFFA6E"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(2,7</w:t>
            </w:r>
            <w:r w:rsidR="00054680">
              <w:rPr>
                <w:spacing w:val="-1"/>
                <w:sz w:val="22"/>
                <w:szCs w:val="22"/>
              </w:rPr>
              <w:t xml:space="preserve"> %</w:t>
            </w:r>
            <w:r w:rsidRPr="00F21719">
              <w:rPr>
                <w:sz w:val="22"/>
                <w:szCs w:val="22"/>
              </w:rPr>
              <w:t>)</w:t>
            </w:r>
          </w:p>
        </w:tc>
      </w:tr>
      <w:tr w:rsidR="00F61E6E" w:rsidRPr="00F21719" w14:paraId="122C5793" w14:textId="77777777" w:rsidTr="00B24633">
        <w:trPr>
          <w:trHeight w:val="501"/>
        </w:trPr>
        <w:tc>
          <w:tcPr>
            <w:tcW w:w="2770" w:type="dxa"/>
          </w:tcPr>
          <w:p w14:paraId="60DBC7C1" w14:textId="77777777" w:rsidR="00F61E6E" w:rsidRPr="00F21719" w:rsidRDefault="00F61E6E" w:rsidP="007F055A">
            <w:pPr>
              <w:widowControl w:val="0"/>
              <w:numPr>
                <w:ilvl w:val="0"/>
                <w:numId w:val="26"/>
              </w:numPr>
              <w:autoSpaceDE w:val="0"/>
              <w:autoSpaceDN w:val="0"/>
              <w:ind w:left="412" w:hanging="283"/>
              <w:rPr>
                <w:sz w:val="22"/>
                <w:szCs w:val="22"/>
              </w:rPr>
            </w:pPr>
            <w:r w:rsidRPr="00F21719">
              <w:rPr>
                <w:sz w:val="22"/>
                <w:szCs w:val="22"/>
              </w:rPr>
              <w:t>Dødelig PE/død hvor PE ikke kan udelukkes</w:t>
            </w:r>
          </w:p>
        </w:tc>
        <w:tc>
          <w:tcPr>
            <w:tcW w:w="2188" w:type="dxa"/>
          </w:tcPr>
          <w:p w14:paraId="6A8B1EBD" w14:textId="77777777" w:rsidR="00F61E6E" w:rsidRPr="00F21719" w:rsidRDefault="00F61E6E" w:rsidP="00F21719">
            <w:pPr>
              <w:widowControl w:val="0"/>
              <w:autoSpaceDE w:val="0"/>
              <w:autoSpaceDN w:val="0"/>
              <w:spacing w:line="249" w:lineRule="exact"/>
              <w:ind w:left="118"/>
              <w:jc w:val="center"/>
              <w:rPr>
                <w:sz w:val="22"/>
                <w:szCs w:val="22"/>
              </w:rPr>
            </w:pPr>
            <w:r w:rsidRPr="00F21719">
              <w:rPr>
                <w:w w:val="99"/>
                <w:sz w:val="22"/>
                <w:szCs w:val="22"/>
              </w:rPr>
              <w:t>2</w:t>
            </w:r>
          </w:p>
          <w:p w14:paraId="76271A83" w14:textId="10BAA25B" w:rsidR="00F61E6E" w:rsidRPr="00F21719" w:rsidRDefault="00F61E6E" w:rsidP="00F21719">
            <w:pPr>
              <w:widowControl w:val="0"/>
              <w:autoSpaceDE w:val="0"/>
              <w:autoSpaceDN w:val="0"/>
              <w:spacing w:line="233" w:lineRule="exact"/>
              <w:ind w:left="118"/>
              <w:jc w:val="center"/>
              <w:rPr>
                <w:sz w:val="22"/>
                <w:szCs w:val="22"/>
              </w:rPr>
            </w:pPr>
            <w:r w:rsidRPr="00F21719">
              <w:rPr>
                <w:sz w:val="22"/>
                <w:szCs w:val="22"/>
              </w:rPr>
              <w:t>(0,2</w:t>
            </w:r>
            <w:r w:rsidR="00054680">
              <w:rPr>
                <w:spacing w:val="-1"/>
                <w:sz w:val="22"/>
                <w:szCs w:val="22"/>
              </w:rPr>
              <w:t xml:space="preserve"> %</w:t>
            </w:r>
            <w:r w:rsidRPr="00F21719">
              <w:rPr>
                <w:sz w:val="22"/>
                <w:szCs w:val="22"/>
              </w:rPr>
              <w:t>)</w:t>
            </w:r>
          </w:p>
        </w:tc>
        <w:tc>
          <w:tcPr>
            <w:tcW w:w="2073" w:type="dxa"/>
          </w:tcPr>
          <w:p w14:paraId="55311C55" w14:textId="77777777" w:rsidR="00F61E6E" w:rsidRPr="00F21719" w:rsidRDefault="00F61E6E" w:rsidP="00F21719">
            <w:pPr>
              <w:widowControl w:val="0"/>
              <w:autoSpaceDE w:val="0"/>
              <w:autoSpaceDN w:val="0"/>
              <w:spacing w:line="249" w:lineRule="exact"/>
              <w:ind w:left="117"/>
              <w:jc w:val="center"/>
              <w:rPr>
                <w:sz w:val="22"/>
                <w:szCs w:val="22"/>
              </w:rPr>
            </w:pPr>
            <w:r w:rsidRPr="00F21719">
              <w:rPr>
                <w:w w:val="99"/>
                <w:sz w:val="22"/>
                <w:szCs w:val="22"/>
              </w:rPr>
              <w:t>0</w:t>
            </w:r>
          </w:p>
        </w:tc>
        <w:tc>
          <w:tcPr>
            <w:tcW w:w="2150" w:type="dxa"/>
          </w:tcPr>
          <w:p w14:paraId="5818D5C0" w14:textId="77777777" w:rsidR="00F61E6E" w:rsidRPr="00F21719" w:rsidRDefault="00F61E6E" w:rsidP="00F21719">
            <w:pPr>
              <w:widowControl w:val="0"/>
              <w:autoSpaceDE w:val="0"/>
              <w:autoSpaceDN w:val="0"/>
              <w:spacing w:line="249" w:lineRule="exact"/>
              <w:ind w:left="117"/>
              <w:jc w:val="center"/>
              <w:rPr>
                <w:sz w:val="22"/>
                <w:szCs w:val="22"/>
              </w:rPr>
            </w:pPr>
            <w:r w:rsidRPr="00F21719">
              <w:rPr>
                <w:w w:val="99"/>
                <w:sz w:val="22"/>
                <w:szCs w:val="22"/>
              </w:rPr>
              <w:t>2</w:t>
            </w:r>
          </w:p>
          <w:p w14:paraId="4BCCFDAB" w14:textId="2749218E"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(0,2</w:t>
            </w:r>
            <w:r w:rsidR="00054680">
              <w:rPr>
                <w:spacing w:val="-1"/>
                <w:sz w:val="22"/>
                <w:szCs w:val="22"/>
              </w:rPr>
              <w:t xml:space="preserve"> %</w:t>
            </w:r>
            <w:r w:rsidRPr="00F21719">
              <w:rPr>
                <w:sz w:val="22"/>
                <w:szCs w:val="22"/>
              </w:rPr>
              <w:t>)</w:t>
            </w:r>
          </w:p>
        </w:tc>
      </w:tr>
      <w:tr w:rsidR="00F61E6E" w:rsidRPr="00F21719" w14:paraId="51A17CC7" w14:textId="77777777" w:rsidTr="00B24633">
        <w:trPr>
          <w:trHeight w:val="1011"/>
        </w:trPr>
        <w:tc>
          <w:tcPr>
            <w:tcW w:w="2770" w:type="dxa"/>
          </w:tcPr>
          <w:p w14:paraId="4A285CB2" w14:textId="77777777" w:rsidR="00F61E6E" w:rsidRPr="00F21719" w:rsidRDefault="00F61E6E" w:rsidP="00B24633">
            <w:pPr>
              <w:widowControl w:val="0"/>
              <w:autoSpaceDE w:val="0"/>
              <w:autoSpaceDN w:val="0"/>
              <w:ind w:left="141"/>
              <w:rPr>
                <w:sz w:val="22"/>
                <w:szCs w:val="22"/>
              </w:rPr>
            </w:pPr>
            <w:r w:rsidRPr="00F21719">
              <w:rPr>
                <w:sz w:val="22"/>
                <w:szCs w:val="22"/>
              </w:rPr>
              <w:t>Symptomatisk</w:t>
            </w:r>
            <w:r w:rsidRPr="00F21719">
              <w:rPr>
                <w:spacing w:val="1"/>
                <w:sz w:val="22"/>
                <w:szCs w:val="22"/>
              </w:rPr>
              <w:t xml:space="preserve"> </w:t>
            </w:r>
            <w:r w:rsidRPr="00F21719">
              <w:rPr>
                <w:sz w:val="22"/>
                <w:szCs w:val="22"/>
              </w:rPr>
              <w:t>recidiverende</w:t>
            </w:r>
            <w:r w:rsidRPr="00F21719">
              <w:rPr>
                <w:spacing w:val="-4"/>
                <w:sz w:val="22"/>
                <w:szCs w:val="22"/>
              </w:rPr>
              <w:t xml:space="preserve"> </w:t>
            </w:r>
            <w:r w:rsidRPr="00F21719">
              <w:rPr>
                <w:sz w:val="22"/>
                <w:szCs w:val="22"/>
              </w:rPr>
              <w:t>VTE,</w:t>
            </w:r>
            <w:r w:rsidRPr="00F21719">
              <w:rPr>
                <w:spacing w:val="-3"/>
                <w:sz w:val="22"/>
                <w:szCs w:val="22"/>
              </w:rPr>
              <w:t xml:space="preserve"> </w:t>
            </w:r>
            <w:r w:rsidRPr="00F21719">
              <w:rPr>
                <w:sz w:val="22"/>
                <w:szCs w:val="22"/>
              </w:rPr>
              <w:t>MI,</w:t>
            </w:r>
          </w:p>
          <w:p w14:paraId="0978FEA5" w14:textId="77777777" w:rsidR="00F61E6E" w:rsidRPr="00F21719" w:rsidRDefault="00F61E6E" w:rsidP="00B24633">
            <w:pPr>
              <w:widowControl w:val="0"/>
              <w:autoSpaceDE w:val="0"/>
              <w:autoSpaceDN w:val="0"/>
              <w:spacing w:line="252" w:lineRule="exact"/>
              <w:ind w:left="141"/>
              <w:rPr>
                <w:sz w:val="22"/>
                <w:szCs w:val="22"/>
              </w:rPr>
            </w:pPr>
            <w:r w:rsidRPr="00F21719">
              <w:rPr>
                <w:sz w:val="22"/>
                <w:szCs w:val="22"/>
              </w:rPr>
              <w:t>apopleksi eller non-CNS</w:t>
            </w:r>
            <w:r w:rsidRPr="00F21719">
              <w:rPr>
                <w:spacing w:val="-53"/>
                <w:sz w:val="22"/>
                <w:szCs w:val="22"/>
              </w:rPr>
              <w:t xml:space="preserve"> </w:t>
            </w:r>
            <w:r w:rsidRPr="00F21719">
              <w:rPr>
                <w:sz w:val="22"/>
                <w:szCs w:val="22"/>
              </w:rPr>
              <w:t>systemisk</w:t>
            </w:r>
            <w:r w:rsidRPr="00F21719">
              <w:rPr>
                <w:spacing w:val="-1"/>
                <w:sz w:val="22"/>
                <w:szCs w:val="22"/>
              </w:rPr>
              <w:t xml:space="preserve"> </w:t>
            </w:r>
            <w:r w:rsidRPr="00F21719">
              <w:rPr>
                <w:sz w:val="22"/>
                <w:szCs w:val="22"/>
              </w:rPr>
              <w:t>emboli</w:t>
            </w:r>
          </w:p>
        </w:tc>
        <w:tc>
          <w:tcPr>
            <w:tcW w:w="2188" w:type="dxa"/>
          </w:tcPr>
          <w:p w14:paraId="01CDBB97" w14:textId="77777777" w:rsidR="00F61E6E" w:rsidRPr="00F21719" w:rsidRDefault="00F61E6E" w:rsidP="00F21719">
            <w:pPr>
              <w:widowControl w:val="0"/>
              <w:autoSpaceDE w:val="0"/>
              <w:autoSpaceDN w:val="0"/>
              <w:ind w:left="118"/>
              <w:jc w:val="center"/>
              <w:rPr>
                <w:sz w:val="22"/>
                <w:szCs w:val="22"/>
              </w:rPr>
            </w:pPr>
            <w:r w:rsidRPr="00F21719">
              <w:rPr>
                <w:sz w:val="22"/>
                <w:szCs w:val="22"/>
              </w:rPr>
              <w:t>19</w:t>
            </w:r>
          </w:p>
          <w:p w14:paraId="4CA23372" w14:textId="78F252A4" w:rsidR="00F61E6E" w:rsidRPr="00F21719" w:rsidRDefault="00F61E6E" w:rsidP="00F21719">
            <w:pPr>
              <w:widowControl w:val="0"/>
              <w:autoSpaceDE w:val="0"/>
              <w:autoSpaceDN w:val="0"/>
              <w:ind w:left="118"/>
              <w:jc w:val="center"/>
              <w:rPr>
                <w:sz w:val="22"/>
                <w:szCs w:val="22"/>
              </w:rPr>
            </w:pPr>
            <w:r w:rsidRPr="00F21719">
              <w:rPr>
                <w:sz w:val="22"/>
                <w:szCs w:val="22"/>
              </w:rPr>
              <w:t>(1,7</w:t>
            </w:r>
            <w:r w:rsidR="00054680">
              <w:rPr>
                <w:spacing w:val="-1"/>
                <w:sz w:val="22"/>
                <w:szCs w:val="22"/>
              </w:rPr>
              <w:t xml:space="preserve"> %</w:t>
            </w:r>
            <w:r w:rsidRPr="00F21719">
              <w:rPr>
                <w:sz w:val="22"/>
                <w:szCs w:val="22"/>
              </w:rPr>
              <w:t>)</w:t>
            </w:r>
          </w:p>
        </w:tc>
        <w:tc>
          <w:tcPr>
            <w:tcW w:w="2073" w:type="dxa"/>
          </w:tcPr>
          <w:p w14:paraId="059C80F9" w14:textId="77777777" w:rsidR="00F61E6E" w:rsidRPr="00F21719" w:rsidRDefault="00F61E6E" w:rsidP="00F21719">
            <w:pPr>
              <w:widowControl w:val="0"/>
              <w:autoSpaceDE w:val="0"/>
              <w:autoSpaceDN w:val="0"/>
              <w:ind w:left="117"/>
              <w:jc w:val="center"/>
              <w:rPr>
                <w:sz w:val="22"/>
                <w:szCs w:val="22"/>
              </w:rPr>
            </w:pPr>
            <w:r w:rsidRPr="00F21719">
              <w:rPr>
                <w:sz w:val="22"/>
                <w:szCs w:val="22"/>
              </w:rPr>
              <w:t>18</w:t>
            </w:r>
          </w:p>
          <w:p w14:paraId="600C91CB" w14:textId="16A07122" w:rsidR="00F61E6E" w:rsidRPr="00F21719" w:rsidRDefault="00F61E6E" w:rsidP="00F21719">
            <w:pPr>
              <w:widowControl w:val="0"/>
              <w:autoSpaceDE w:val="0"/>
              <w:autoSpaceDN w:val="0"/>
              <w:ind w:left="117"/>
              <w:jc w:val="center"/>
              <w:rPr>
                <w:sz w:val="22"/>
                <w:szCs w:val="22"/>
              </w:rPr>
            </w:pPr>
            <w:r w:rsidRPr="00F21719">
              <w:rPr>
                <w:sz w:val="22"/>
                <w:szCs w:val="22"/>
              </w:rPr>
              <w:t>(1,6</w:t>
            </w:r>
            <w:r w:rsidR="00054680">
              <w:rPr>
                <w:spacing w:val="-1"/>
                <w:sz w:val="22"/>
                <w:szCs w:val="22"/>
              </w:rPr>
              <w:t xml:space="preserve"> %</w:t>
            </w:r>
            <w:r w:rsidRPr="00F21719">
              <w:rPr>
                <w:sz w:val="22"/>
                <w:szCs w:val="22"/>
              </w:rPr>
              <w:t>)</w:t>
            </w:r>
          </w:p>
        </w:tc>
        <w:tc>
          <w:tcPr>
            <w:tcW w:w="2150" w:type="dxa"/>
          </w:tcPr>
          <w:p w14:paraId="5D420192" w14:textId="77777777" w:rsidR="00F61E6E" w:rsidRPr="00F21719" w:rsidRDefault="00F61E6E" w:rsidP="00F21719">
            <w:pPr>
              <w:widowControl w:val="0"/>
              <w:autoSpaceDE w:val="0"/>
              <w:autoSpaceDN w:val="0"/>
              <w:ind w:left="117"/>
              <w:jc w:val="center"/>
              <w:rPr>
                <w:sz w:val="22"/>
                <w:szCs w:val="22"/>
              </w:rPr>
            </w:pPr>
            <w:r w:rsidRPr="00F21719">
              <w:rPr>
                <w:sz w:val="22"/>
                <w:szCs w:val="22"/>
              </w:rPr>
              <w:t>56</w:t>
            </w:r>
          </w:p>
          <w:p w14:paraId="48431C4C" w14:textId="1C19A3F5" w:rsidR="00F61E6E" w:rsidRPr="00F21719" w:rsidRDefault="00F61E6E" w:rsidP="00F21719">
            <w:pPr>
              <w:widowControl w:val="0"/>
              <w:autoSpaceDE w:val="0"/>
              <w:autoSpaceDN w:val="0"/>
              <w:ind w:left="117"/>
              <w:jc w:val="center"/>
              <w:rPr>
                <w:sz w:val="22"/>
                <w:szCs w:val="22"/>
              </w:rPr>
            </w:pPr>
            <w:r w:rsidRPr="00F21719">
              <w:rPr>
                <w:sz w:val="22"/>
                <w:szCs w:val="22"/>
              </w:rPr>
              <w:t>(5,0</w:t>
            </w:r>
            <w:r w:rsidR="00054680">
              <w:rPr>
                <w:spacing w:val="-1"/>
                <w:sz w:val="22"/>
                <w:szCs w:val="22"/>
              </w:rPr>
              <w:t xml:space="preserve"> %</w:t>
            </w:r>
            <w:r w:rsidRPr="00F21719">
              <w:rPr>
                <w:sz w:val="22"/>
                <w:szCs w:val="22"/>
              </w:rPr>
              <w:t>)</w:t>
            </w:r>
          </w:p>
        </w:tc>
      </w:tr>
      <w:tr w:rsidR="00F61E6E" w:rsidRPr="00F21719" w14:paraId="1921B597" w14:textId="77777777" w:rsidTr="00B24633">
        <w:trPr>
          <w:trHeight w:val="505"/>
        </w:trPr>
        <w:tc>
          <w:tcPr>
            <w:tcW w:w="2770" w:type="dxa"/>
          </w:tcPr>
          <w:p w14:paraId="3B3CD115" w14:textId="77777777" w:rsidR="00F61E6E" w:rsidRPr="00F21719" w:rsidRDefault="00F61E6E" w:rsidP="00B24633">
            <w:pPr>
              <w:widowControl w:val="0"/>
              <w:autoSpaceDE w:val="0"/>
              <w:autoSpaceDN w:val="0"/>
              <w:ind w:left="141"/>
              <w:rPr>
                <w:sz w:val="22"/>
                <w:szCs w:val="22"/>
              </w:rPr>
            </w:pPr>
            <w:r w:rsidRPr="00F21719">
              <w:rPr>
                <w:sz w:val="22"/>
                <w:szCs w:val="22"/>
              </w:rPr>
              <w:t>Større</w:t>
            </w:r>
            <w:r w:rsidRPr="00F21719">
              <w:rPr>
                <w:spacing w:val="-3"/>
                <w:sz w:val="22"/>
                <w:szCs w:val="22"/>
              </w:rPr>
              <w:t xml:space="preserve"> </w:t>
            </w:r>
            <w:r w:rsidRPr="00F21719">
              <w:rPr>
                <w:sz w:val="22"/>
                <w:szCs w:val="22"/>
              </w:rPr>
              <w:t>blødning</w:t>
            </w:r>
          </w:p>
        </w:tc>
        <w:tc>
          <w:tcPr>
            <w:tcW w:w="2188" w:type="dxa"/>
          </w:tcPr>
          <w:p w14:paraId="272DF6F6" w14:textId="77777777" w:rsidR="00F61E6E" w:rsidRPr="00F21719" w:rsidRDefault="00F61E6E" w:rsidP="00F21719">
            <w:pPr>
              <w:widowControl w:val="0"/>
              <w:autoSpaceDE w:val="0"/>
              <w:autoSpaceDN w:val="0"/>
              <w:spacing w:line="252" w:lineRule="exact"/>
              <w:ind w:left="118"/>
              <w:jc w:val="center"/>
              <w:rPr>
                <w:sz w:val="22"/>
                <w:szCs w:val="22"/>
              </w:rPr>
            </w:pPr>
            <w:r w:rsidRPr="00F21719">
              <w:rPr>
                <w:w w:val="99"/>
                <w:sz w:val="22"/>
                <w:szCs w:val="22"/>
              </w:rPr>
              <w:t>6</w:t>
            </w:r>
          </w:p>
          <w:p w14:paraId="2967F729" w14:textId="6CB11891" w:rsidR="00F61E6E" w:rsidRPr="00F21719" w:rsidRDefault="00F61E6E" w:rsidP="00F21719">
            <w:pPr>
              <w:widowControl w:val="0"/>
              <w:autoSpaceDE w:val="0"/>
              <w:autoSpaceDN w:val="0"/>
              <w:spacing w:line="233" w:lineRule="exact"/>
              <w:ind w:left="118"/>
              <w:jc w:val="center"/>
              <w:rPr>
                <w:sz w:val="22"/>
                <w:szCs w:val="22"/>
              </w:rPr>
            </w:pPr>
            <w:r w:rsidRPr="00F21719">
              <w:rPr>
                <w:sz w:val="22"/>
                <w:szCs w:val="22"/>
              </w:rPr>
              <w:t>(0,5</w:t>
            </w:r>
            <w:r w:rsidR="00054680">
              <w:rPr>
                <w:spacing w:val="-1"/>
                <w:sz w:val="22"/>
                <w:szCs w:val="22"/>
              </w:rPr>
              <w:t xml:space="preserve"> %</w:t>
            </w:r>
            <w:r w:rsidRPr="00F21719">
              <w:rPr>
                <w:sz w:val="22"/>
                <w:szCs w:val="22"/>
              </w:rPr>
              <w:t>)</w:t>
            </w:r>
          </w:p>
        </w:tc>
        <w:tc>
          <w:tcPr>
            <w:tcW w:w="2073" w:type="dxa"/>
          </w:tcPr>
          <w:p w14:paraId="1481B7CA" w14:textId="77777777" w:rsidR="00F61E6E" w:rsidRPr="00F21719" w:rsidRDefault="00F61E6E" w:rsidP="00F21719">
            <w:pPr>
              <w:widowControl w:val="0"/>
              <w:autoSpaceDE w:val="0"/>
              <w:autoSpaceDN w:val="0"/>
              <w:spacing w:line="252" w:lineRule="exact"/>
              <w:ind w:left="117"/>
              <w:jc w:val="center"/>
              <w:rPr>
                <w:sz w:val="22"/>
                <w:szCs w:val="22"/>
              </w:rPr>
            </w:pPr>
            <w:r w:rsidRPr="00F21719">
              <w:rPr>
                <w:w w:val="99"/>
                <w:sz w:val="22"/>
                <w:szCs w:val="22"/>
              </w:rPr>
              <w:t>5</w:t>
            </w:r>
          </w:p>
          <w:p w14:paraId="4F747655" w14:textId="1C4012A8"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(0,4</w:t>
            </w:r>
            <w:r w:rsidR="00054680">
              <w:rPr>
                <w:spacing w:val="-1"/>
                <w:sz w:val="22"/>
                <w:szCs w:val="22"/>
              </w:rPr>
              <w:t xml:space="preserve"> %</w:t>
            </w:r>
            <w:r w:rsidRPr="00F21719">
              <w:rPr>
                <w:sz w:val="22"/>
                <w:szCs w:val="22"/>
              </w:rPr>
              <w:t>)</w:t>
            </w:r>
          </w:p>
        </w:tc>
        <w:tc>
          <w:tcPr>
            <w:tcW w:w="2150" w:type="dxa"/>
          </w:tcPr>
          <w:p w14:paraId="41EC6C53" w14:textId="77777777" w:rsidR="00F61E6E" w:rsidRPr="00F21719" w:rsidRDefault="00F61E6E" w:rsidP="00F21719">
            <w:pPr>
              <w:widowControl w:val="0"/>
              <w:autoSpaceDE w:val="0"/>
              <w:autoSpaceDN w:val="0"/>
              <w:spacing w:line="252" w:lineRule="exact"/>
              <w:ind w:left="117"/>
              <w:jc w:val="center"/>
              <w:rPr>
                <w:sz w:val="22"/>
                <w:szCs w:val="22"/>
              </w:rPr>
            </w:pPr>
            <w:r w:rsidRPr="00F21719">
              <w:rPr>
                <w:w w:val="99"/>
                <w:sz w:val="22"/>
                <w:szCs w:val="22"/>
              </w:rPr>
              <w:t>3</w:t>
            </w:r>
          </w:p>
          <w:p w14:paraId="26049701" w14:textId="042D4733"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(0,3</w:t>
            </w:r>
            <w:r w:rsidR="00054680">
              <w:rPr>
                <w:spacing w:val="-1"/>
                <w:sz w:val="22"/>
                <w:szCs w:val="22"/>
              </w:rPr>
              <w:t xml:space="preserve"> %</w:t>
            </w:r>
            <w:r w:rsidRPr="00F21719">
              <w:rPr>
                <w:sz w:val="22"/>
                <w:szCs w:val="22"/>
              </w:rPr>
              <w:t>)</w:t>
            </w:r>
          </w:p>
        </w:tc>
      </w:tr>
      <w:tr w:rsidR="00F61E6E" w:rsidRPr="00F21719" w14:paraId="0B7F31D3" w14:textId="77777777" w:rsidTr="00B24633">
        <w:trPr>
          <w:trHeight w:val="506"/>
        </w:trPr>
        <w:tc>
          <w:tcPr>
            <w:tcW w:w="2770" w:type="dxa"/>
          </w:tcPr>
          <w:p w14:paraId="3D402C7C" w14:textId="77777777" w:rsidR="00F61E6E" w:rsidRPr="00F21719" w:rsidRDefault="00F61E6E" w:rsidP="00B24633">
            <w:pPr>
              <w:widowControl w:val="0"/>
              <w:autoSpaceDE w:val="0"/>
              <w:autoSpaceDN w:val="0"/>
              <w:spacing w:line="252" w:lineRule="exact"/>
              <w:ind w:left="107"/>
              <w:rPr>
                <w:sz w:val="22"/>
                <w:szCs w:val="22"/>
              </w:rPr>
            </w:pPr>
            <w:r w:rsidRPr="00F21719">
              <w:rPr>
                <w:sz w:val="22"/>
                <w:szCs w:val="22"/>
              </w:rPr>
              <w:t>Klinisk relevant mindre</w:t>
            </w:r>
            <w:r w:rsidRPr="00F21719">
              <w:rPr>
                <w:spacing w:val="-52"/>
                <w:sz w:val="22"/>
                <w:szCs w:val="22"/>
              </w:rPr>
              <w:t xml:space="preserve"> </w:t>
            </w:r>
            <w:r w:rsidRPr="00F21719">
              <w:rPr>
                <w:sz w:val="22"/>
                <w:szCs w:val="22"/>
              </w:rPr>
              <w:t>blødning</w:t>
            </w:r>
          </w:p>
        </w:tc>
        <w:tc>
          <w:tcPr>
            <w:tcW w:w="2188" w:type="dxa"/>
          </w:tcPr>
          <w:p w14:paraId="61F76796" w14:textId="77777777" w:rsidR="00F61E6E" w:rsidRPr="00F21719" w:rsidRDefault="00F61E6E" w:rsidP="00F21719">
            <w:pPr>
              <w:widowControl w:val="0"/>
              <w:autoSpaceDE w:val="0"/>
              <w:autoSpaceDN w:val="0"/>
              <w:spacing w:line="252" w:lineRule="exact"/>
              <w:ind w:left="118"/>
              <w:jc w:val="center"/>
              <w:rPr>
                <w:sz w:val="22"/>
                <w:szCs w:val="22"/>
              </w:rPr>
            </w:pPr>
            <w:r w:rsidRPr="00F21719">
              <w:rPr>
                <w:sz w:val="22"/>
                <w:szCs w:val="22"/>
              </w:rPr>
              <w:t>30</w:t>
            </w:r>
          </w:p>
          <w:p w14:paraId="6B4DDDD3" w14:textId="24870E64" w:rsidR="00F61E6E" w:rsidRPr="00F21719" w:rsidRDefault="00F61E6E" w:rsidP="00F21719">
            <w:pPr>
              <w:widowControl w:val="0"/>
              <w:autoSpaceDE w:val="0"/>
              <w:autoSpaceDN w:val="0"/>
              <w:spacing w:line="233" w:lineRule="exact"/>
              <w:ind w:left="118"/>
              <w:jc w:val="center"/>
              <w:rPr>
                <w:sz w:val="22"/>
                <w:szCs w:val="22"/>
              </w:rPr>
            </w:pPr>
            <w:r w:rsidRPr="00F21719">
              <w:rPr>
                <w:sz w:val="22"/>
                <w:szCs w:val="22"/>
              </w:rPr>
              <w:t>(2,7</w:t>
            </w:r>
            <w:r w:rsidR="00054680">
              <w:rPr>
                <w:spacing w:val="-1"/>
                <w:sz w:val="22"/>
                <w:szCs w:val="22"/>
              </w:rPr>
              <w:t xml:space="preserve"> %</w:t>
            </w:r>
            <w:r w:rsidRPr="00F21719">
              <w:rPr>
                <w:sz w:val="22"/>
                <w:szCs w:val="22"/>
              </w:rPr>
              <w:t>)</w:t>
            </w:r>
          </w:p>
        </w:tc>
        <w:tc>
          <w:tcPr>
            <w:tcW w:w="2073" w:type="dxa"/>
          </w:tcPr>
          <w:p w14:paraId="2543DCEB" w14:textId="77777777" w:rsidR="00F61E6E" w:rsidRPr="00F21719" w:rsidRDefault="00F61E6E" w:rsidP="00F21719">
            <w:pPr>
              <w:widowControl w:val="0"/>
              <w:autoSpaceDE w:val="0"/>
              <w:autoSpaceDN w:val="0"/>
              <w:spacing w:line="252" w:lineRule="exact"/>
              <w:ind w:left="117"/>
              <w:jc w:val="center"/>
              <w:rPr>
                <w:sz w:val="22"/>
                <w:szCs w:val="22"/>
              </w:rPr>
            </w:pPr>
            <w:r w:rsidRPr="00F21719">
              <w:rPr>
                <w:sz w:val="22"/>
                <w:szCs w:val="22"/>
              </w:rPr>
              <w:t>22</w:t>
            </w:r>
          </w:p>
          <w:p w14:paraId="377EE130" w14:textId="682C43A2"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(2,0</w:t>
            </w:r>
            <w:r w:rsidR="00054680">
              <w:rPr>
                <w:sz w:val="22"/>
                <w:szCs w:val="22"/>
              </w:rPr>
              <w:t xml:space="preserve"> %</w:t>
            </w:r>
            <w:r w:rsidRPr="00F21719">
              <w:rPr>
                <w:sz w:val="22"/>
                <w:szCs w:val="22"/>
              </w:rPr>
              <w:t>)</w:t>
            </w:r>
          </w:p>
        </w:tc>
        <w:tc>
          <w:tcPr>
            <w:tcW w:w="2150" w:type="dxa"/>
          </w:tcPr>
          <w:p w14:paraId="1991C2A9" w14:textId="77777777" w:rsidR="00F61E6E" w:rsidRPr="00F21719" w:rsidRDefault="00F61E6E" w:rsidP="00F21719">
            <w:pPr>
              <w:widowControl w:val="0"/>
              <w:autoSpaceDE w:val="0"/>
              <w:autoSpaceDN w:val="0"/>
              <w:spacing w:line="252" w:lineRule="exact"/>
              <w:ind w:left="117"/>
              <w:jc w:val="center"/>
              <w:rPr>
                <w:sz w:val="22"/>
                <w:szCs w:val="22"/>
              </w:rPr>
            </w:pPr>
            <w:r w:rsidRPr="00F21719">
              <w:rPr>
                <w:sz w:val="22"/>
                <w:szCs w:val="22"/>
              </w:rPr>
              <w:t>20</w:t>
            </w:r>
          </w:p>
          <w:p w14:paraId="07E5872B" w14:textId="709E4755" w:rsidR="00F61E6E" w:rsidRPr="00F21719" w:rsidRDefault="00F61E6E" w:rsidP="00F21719">
            <w:pPr>
              <w:widowControl w:val="0"/>
              <w:autoSpaceDE w:val="0"/>
              <w:autoSpaceDN w:val="0"/>
              <w:spacing w:line="233" w:lineRule="exact"/>
              <w:ind w:left="117"/>
              <w:jc w:val="center"/>
              <w:rPr>
                <w:sz w:val="22"/>
                <w:szCs w:val="22"/>
              </w:rPr>
            </w:pPr>
            <w:r w:rsidRPr="00F21719">
              <w:rPr>
                <w:sz w:val="22"/>
                <w:szCs w:val="22"/>
              </w:rPr>
              <w:t>(1,8</w:t>
            </w:r>
            <w:r w:rsidR="00054680">
              <w:rPr>
                <w:spacing w:val="-1"/>
                <w:sz w:val="22"/>
                <w:szCs w:val="22"/>
              </w:rPr>
              <w:t xml:space="preserve"> %</w:t>
            </w:r>
            <w:r w:rsidRPr="00F21719">
              <w:rPr>
                <w:sz w:val="22"/>
                <w:szCs w:val="22"/>
              </w:rPr>
              <w:t>)</w:t>
            </w:r>
          </w:p>
        </w:tc>
      </w:tr>
      <w:tr w:rsidR="00F61E6E" w:rsidRPr="00F21719" w14:paraId="3D5A07D1" w14:textId="77777777" w:rsidTr="00B24633">
        <w:trPr>
          <w:trHeight w:val="759"/>
        </w:trPr>
        <w:tc>
          <w:tcPr>
            <w:tcW w:w="2770" w:type="dxa"/>
          </w:tcPr>
          <w:p w14:paraId="29A71DC8" w14:textId="77777777" w:rsidR="00F61E6E" w:rsidRPr="00F21719" w:rsidRDefault="00F61E6E" w:rsidP="00B24633">
            <w:pPr>
              <w:widowControl w:val="0"/>
              <w:autoSpaceDE w:val="0"/>
              <w:autoSpaceDN w:val="0"/>
              <w:ind w:left="107"/>
              <w:rPr>
                <w:sz w:val="22"/>
                <w:szCs w:val="22"/>
              </w:rPr>
            </w:pPr>
            <w:r w:rsidRPr="00F21719">
              <w:rPr>
                <w:sz w:val="22"/>
                <w:szCs w:val="22"/>
              </w:rPr>
              <w:t>Symptomatisk recidiverende</w:t>
            </w:r>
            <w:r w:rsidRPr="00F21719">
              <w:rPr>
                <w:spacing w:val="-52"/>
                <w:sz w:val="22"/>
                <w:szCs w:val="22"/>
              </w:rPr>
              <w:t xml:space="preserve"> </w:t>
            </w:r>
            <w:r w:rsidRPr="00F21719">
              <w:rPr>
                <w:sz w:val="22"/>
                <w:szCs w:val="22"/>
              </w:rPr>
              <w:t>VTE</w:t>
            </w:r>
            <w:r w:rsidRPr="00F21719">
              <w:rPr>
                <w:spacing w:val="-2"/>
                <w:sz w:val="22"/>
                <w:szCs w:val="22"/>
              </w:rPr>
              <w:t xml:space="preserve"> </w:t>
            </w:r>
            <w:r w:rsidRPr="00F21719">
              <w:rPr>
                <w:sz w:val="22"/>
                <w:szCs w:val="22"/>
              </w:rPr>
              <w:t>eller</w:t>
            </w:r>
            <w:r w:rsidRPr="00F21719">
              <w:rPr>
                <w:spacing w:val="-1"/>
                <w:sz w:val="22"/>
                <w:szCs w:val="22"/>
              </w:rPr>
              <w:t xml:space="preserve"> </w:t>
            </w:r>
            <w:r w:rsidRPr="00F21719">
              <w:rPr>
                <w:sz w:val="22"/>
                <w:szCs w:val="22"/>
              </w:rPr>
              <w:t>større</w:t>
            </w:r>
            <w:r w:rsidRPr="00F21719">
              <w:rPr>
                <w:spacing w:val="-2"/>
                <w:sz w:val="22"/>
                <w:szCs w:val="22"/>
              </w:rPr>
              <w:t xml:space="preserve"> </w:t>
            </w:r>
            <w:r w:rsidRPr="00F21719">
              <w:rPr>
                <w:sz w:val="22"/>
                <w:szCs w:val="22"/>
              </w:rPr>
              <w:t>blødning</w:t>
            </w:r>
          </w:p>
          <w:p w14:paraId="0B2E48FE" w14:textId="77777777" w:rsidR="00F61E6E" w:rsidRPr="00F21719" w:rsidRDefault="00F61E6E" w:rsidP="00B24633">
            <w:pPr>
              <w:widowControl w:val="0"/>
              <w:autoSpaceDE w:val="0"/>
              <w:autoSpaceDN w:val="0"/>
              <w:spacing w:line="232" w:lineRule="exact"/>
              <w:ind w:left="107"/>
              <w:rPr>
                <w:sz w:val="22"/>
                <w:szCs w:val="22"/>
              </w:rPr>
            </w:pPr>
            <w:r w:rsidRPr="00F21719">
              <w:rPr>
                <w:sz w:val="22"/>
                <w:szCs w:val="22"/>
              </w:rPr>
              <w:t>(kliniske</w:t>
            </w:r>
            <w:r w:rsidRPr="00F21719">
              <w:rPr>
                <w:spacing w:val="-3"/>
                <w:sz w:val="22"/>
                <w:szCs w:val="22"/>
              </w:rPr>
              <w:t xml:space="preserve"> </w:t>
            </w:r>
            <w:r w:rsidRPr="00F21719">
              <w:rPr>
                <w:sz w:val="22"/>
                <w:szCs w:val="22"/>
              </w:rPr>
              <w:t>nettofordel)</w:t>
            </w:r>
          </w:p>
        </w:tc>
        <w:tc>
          <w:tcPr>
            <w:tcW w:w="2188" w:type="dxa"/>
          </w:tcPr>
          <w:p w14:paraId="09B2E8C1" w14:textId="77777777" w:rsidR="00F61E6E" w:rsidRPr="00F21719" w:rsidRDefault="00F61E6E" w:rsidP="00F21719">
            <w:pPr>
              <w:widowControl w:val="0"/>
              <w:autoSpaceDE w:val="0"/>
              <w:autoSpaceDN w:val="0"/>
              <w:ind w:left="118"/>
              <w:jc w:val="center"/>
              <w:rPr>
                <w:sz w:val="22"/>
                <w:szCs w:val="22"/>
              </w:rPr>
            </w:pPr>
            <w:r w:rsidRPr="00F21719">
              <w:rPr>
                <w:sz w:val="22"/>
                <w:szCs w:val="22"/>
              </w:rPr>
              <w:t>23</w:t>
            </w:r>
          </w:p>
          <w:p w14:paraId="2F97FB99" w14:textId="01400C63" w:rsidR="00F61E6E" w:rsidRPr="00F21719" w:rsidRDefault="00F61E6E" w:rsidP="00F21719">
            <w:pPr>
              <w:widowControl w:val="0"/>
              <w:autoSpaceDE w:val="0"/>
              <w:autoSpaceDN w:val="0"/>
              <w:ind w:left="118"/>
              <w:jc w:val="center"/>
              <w:rPr>
                <w:sz w:val="22"/>
                <w:szCs w:val="22"/>
              </w:rPr>
            </w:pPr>
            <w:r w:rsidRPr="00F21719">
              <w:rPr>
                <w:sz w:val="22"/>
                <w:szCs w:val="22"/>
              </w:rPr>
              <w:t>(2,1</w:t>
            </w:r>
            <w:r w:rsidR="00054680">
              <w:rPr>
                <w:sz w:val="22"/>
                <w:szCs w:val="22"/>
              </w:rPr>
              <w:t xml:space="preserve"> </w:t>
            </w:r>
            <w:proofErr w:type="gramStart"/>
            <w:r w:rsidR="00054680">
              <w:rPr>
                <w:sz w:val="22"/>
                <w:szCs w:val="22"/>
              </w:rPr>
              <w:t>%</w:t>
            </w:r>
            <w:r w:rsidRPr="00F21719">
              <w:rPr>
                <w:sz w:val="22"/>
                <w:szCs w:val="22"/>
              </w:rPr>
              <w:t>)</w:t>
            </w:r>
            <w:r w:rsidRPr="00F21719">
              <w:rPr>
                <w:sz w:val="22"/>
                <w:szCs w:val="22"/>
                <w:vertAlign w:val="superscript"/>
              </w:rPr>
              <w:t>+</w:t>
            </w:r>
            <w:proofErr w:type="gramEnd"/>
          </w:p>
        </w:tc>
        <w:tc>
          <w:tcPr>
            <w:tcW w:w="2073" w:type="dxa"/>
          </w:tcPr>
          <w:p w14:paraId="749BDAFF" w14:textId="77777777" w:rsidR="00F61E6E" w:rsidRPr="00F21719" w:rsidRDefault="00F61E6E" w:rsidP="00F21719">
            <w:pPr>
              <w:widowControl w:val="0"/>
              <w:autoSpaceDE w:val="0"/>
              <w:autoSpaceDN w:val="0"/>
              <w:ind w:left="117"/>
              <w:jc w:val="center"/>
              <w:rPr>
                <w:sz w:val="22"/>
                <w:szCs w:val="22"/>
              </w:rPr>
            </w:pPr>
            <w:r w:rsidRPr="00F21719">
              <w:rPr>
                <w:sz w:val="22"/>
                <w:szCs w:val="22"/>
              </w:rPr>
              <w:t>17</w:t>
            </w:r>
          </w:p>
          <w:p w14:paraId="1A2D4E3E" w14:textId="4007C656" w:rsidR="00F61E6E" w:rsidRPr="00F21719" w:rsidRDefault="00F61E6E" w:rsidP="00F21719">
            <w:pPr>
              <w:widowControl w:val="0"/>
              <w:autoSpaceDE w:val="0"/>
              <w:autoSpaceDN w:val="0"/>
              <w:ind w:left="117"/>
              <w:jc w:val="center"/>
              <w:rPr>
                <w:sz w:val="22"/>
                <w:szCs w:val="22"/>
              </w:rPr>
            </w:pPr>
            <w:r w:rsidRPr="00F21719">
              <w:rPr>
                <w:sz w:val="22"/>
                <w:szCs w:val="22"/>
              </w:rPr>
              <w:t>(1,5</w:t>
            </w:r>
            <w:r w:rsidR="00054680">
              <w:rPr>
                <w:spacing w:val="-1"/>
                <w:sz w:val="22"/>
                <w:szCs w:val="22"/>
              </w:rPr>
              <w:t xml:space="preserve"> </w:t>
            </w:r>
            <w:proofErr w:type="gramStart"/>
            <w:r w:rsidR="00054680">
              <w:rPr>
                <w:spacing w:val="-1"/>
                <w:sz w:val="22"/>
                <w:szCs w:val="22"/>
              </w:rPr>
              <w:t>%</w:t>
            </w:r>
            <w:r w:rsidRPr="00F21719">
              <w:rPr>
                <w:sz w:val="22"/>
                <w:szCs w:val="22"/>
              </w:rPr>
              <w:t>)</w:t>
            </w:r>
            <w:r w:rsidRPr="00F21719">
              <w:rPr>
                <w:sz w:val="22"/>
                <w:szCs w:val="22"/>
                <w:vertAlign w:val="superscript"/>
              </w:rPr>
              <w:t>+</w:t>
            </w:r>
            <w:proofErr w:type="gramEnd"/>
            <w:r w:rsidRPr="00F21719">
              <w:rPr>
                <w:sz w:val="22"/>
                <w:szCs w:val="22"/>
                <w:vertAlign w:val="superscript"/>
              </w:rPr>
              <w:t>+</w:t>
            </w:r>
          </w:p>
        </w:tc>
        <w:tc>
          <w:tcPr>
            <w:tcW w:w="2150" w:type="dxa"/>
          </w:tcPr>
          <w:p w14:paraId="571F5FB0" w14:textId="77777777" w:rsidR="00F61E6E" w:rsidRPr="00F21719" w:rsidRDefault="00F61E6E" w:rsidP="00F21719">
            <w:pPr>
              <w:widowControl w:val="0"/>
              <w:autoSpaceDE w:val="0"/>
              <w:autoSpaceDN w:val="0"/>
              <w:ind w:left="117"/>
              <w:jc w:val="center"/>
              <w:rPr>
                <w:sz w:val="22"/>
                <w:szCs w:val="22"/>
              </w:rPr>
            </w:pPr>
            <w:r w:rsidRPr="00F21719">
              <w:rPr>
                <w:sz w:val="22"/>
                <w:szCs w:val="22"/>
              </w:rPr>
              <w:t>53</w:t>
            </w:r>
          </w:p>
          <w:p w14:paraId="69A6C17F" w14:textId="01E7C80E" w:rsidR="00F61E6E" w:rsidRPr="00F21719" w:rsidRDefault="00F61E6E" w:rsidP="00F21719">
            <w:pPr>
              <w:widowControl w:val="0"/>
              <w:autoSpaceDE w:val="0"/>
              <w:autoSpaceDN w:val="0"/>
              <w:ind w:left="117"/>
              <w:jc w:val="center"/>
              <w:rPr>
                <w:sz w:val="22"/>
                <w:szCs w:val="22"/>
              </w:rPr>
            </w:pPr>
            <w:r w:rsidRPr="00F21719">
              <w:rPr>
                <w:sz w:val="22"/>
                <w:szCs w:val="22"/>
              </w:rPr>
              <w:t>(4,7</w:t>
            </w:r>
            <w:r w:rsidR="00054680">
              <w:rPr>
                <w:spacing w:val="-1"/>
                <w:sz w:val="22"/>
                <w:szCs w:val="22"/>
              </w:rPr>
              <w:t xml:space="preserve"> %</w:t>
            </w:r>
            <w:r w:rsidRPr="00F21719">
              <w:rPr>
                <w:sz w:val="22"/>
                <w:szCs w:val="22"/>
              </w:rPr>
              <w:t>)</w:t>
            </w:r>
          </w:p>
        </w:tc>
      </w:tr>
    </w:tbl>
    <w:p w14:paraId="41EABF3B" w14:textId="77777777" w:rsidR="00F61E6E" w:rsidRPr="00F21719" w:rsidRDefault="00F61E6E" w:rsidP="00B24633">
      <w:pPr>
        <w:tabs>
          <w:tab w:val="left" w:pos="851"/>
          <w:tab w:val="left" w:pos="1560"/>
        </w:tabs>
        <w:ind w:left="851"/>
        <w:rPr>
          <w:sz w:val="22"/>
          <w:szCs w:val="22"/>
        </w:rPr>
      </w:pPr>
      <w:r w:rsidRPr="00F21719">
        <w:rPr>
          <w:sz w:val="22"/>
          <w:szCs w:val="22"/>
        </w:rPr>
        <w:t>* p &lt; 0,001(superioritet) rivaroxaban 20 mg én gang dagligt vs. ASA 100 mg én gang dagligt; HR = 0,34 (0,20–0,59)</w:t>
      </w:r>
    </w:p>
    <w:p w14:paraId="65B72042" w14:textId="77777777" w:rsidR="00F61E6E" w:rsidRPr="00F21719" w:rsidRDefault="00F61E6E" w:rsidP="00B24633">
      <w:pPr>
        <w:tabs>
          <w:tab w:val="left" w:pos="851"/>
          <w:tab w:val="left" w:pos="1560"/>
        </w:tabs>
        <w:ind w:left="851"/>
        <w:rPr>
          <w:sz w:val="22"/>
          <w:szCs w:val="22"/>
        </w:rPr>
      </w:pPr>
      <w:r w:rsidRPr="00F21719">
        <w:rPr>
          <w:sz w:val="22"/>
          <w:szCs w:val="22"/>
        </w:rPr>
        <w:t>** p &lt; 0,001 (superioritet) rivaroxaban 10 mg én gang dagligt vs. ASA 100 mg én gang dagligt; HR = 0,26 (0,14–0,47)</w:t>
      </w:r>
    </w:p>
    <w:p w14:paraId="3D5D7E69" w14:textId="77777777" w:rsidR="00F61E6E" w:rsidRPr="00F21719" w:rsidRDefault="00F61E6E" w:rsidP="00B24633">
      <w:pPr>
        <w:tabs>
          <w:tab w:val="left" w:pos="851"/>
          <w:tab w:val="left" w:pos="1560"/>
        </w:tabs>
        <w:ind w:left="851"/>
        <w:rPr>
          <w:sz w:val="22"/>
          <w:szCs w:val="22"/>
        </w:rPr>
      </w:pPr>
      <w:r w:rsidRPr="00F21719">
        <w:rPr>
          <w:sz w:val="22"/>
          <w:szCs w:val="22"/>
        </w:rPr>
        <w:t>+ rivaroxaban 20 mg én gang dagligt vs. ASA 100 mg én gang dagligt; HR = 0,44 (0,27–0,71), p = 0,0009 (nominel)</w:t>
      </w:r>
    </w:p>
    <w:p w14:paraId="46C75457" w14:textId="77777777" w:rsidR="00F61E6E" w:rsidRPr="00F21719" w:rsidRDefault="00F61E6E" w:rsidP="00B24633">
      <w:pPr>
        <w:tabs>
          <w:tab w:val="left" w:pos="851"/>
          <w:tab w:val="left" w:pos="1560"/>
        </w:tabs>
        <w:ind w:left="851"/>
        <w:rPr>
          <w:sz w:val="22"/>
          <w:szCs w:val="22"/>
        </w:rPr>
      </w:pPr>
      <w:r w:rsidRPr="00F21719">
        <w:rPr>
          <w:sz w:val="22"/>
          <w:szCs w:val="22"/>
        </w:rPr>
        <w:t>++ rivaroxaban 10 mg én gang dagligt vs. ASA 100 mg én gang dagligt; HR = 0,32 (0,18–0,55), p &lt; 0,0001 (nominel)</w:t>
      </w:r>
    </w:p>
    <w:p w14:paraId="67FB7168" w14:textId="77777777" w:rsidR="00F61E6E" w:rsidRPr="00B24633" w:rsidRDefault="00F61E6E" w:rsidP="00B24633">
      <w:pPr>
        <w:tabs>
          <w:tab w:val="left" w:pos="851"/>
        </w:tabs>
        <w:ind w:left="851"/>
        <w:rPr>
          <w:sz w:val="24"/>
          <w:szCs w:val="24"/>
        </w:rPr>
      </w:pPr>
      <w:bookmarkStart w:id="8" w:name="_Hlk134533469"/>
    </w:p>
    <w:p w14:paraId="343AA0E3" w14:textId="098A8106" w:rsidR="00F61E6E" w:rsidRPr="00B24633" w:rsidRDefault="00F61E6E" w:rsidP="00B24633">
      <w:pPr>
        <w:tabs>
          <w:tab w:val="left" w:pos="851"/>
        </w:tabs>
        <w:ind w:left="851"/>
        <w:rPr>
          <w:sz w:val="24"/>
          <w:szCs w:val="24"/>
        </w:rPr>
      </w:pPr>
      <w:r w:rsidRPr="00B24633">
        <w:rPr>
          <w:sz w:val="24"/>
          <w:szCs w:val="24"/>
        </w:rPr>
        <w:t xml:space="preserve">Ud over fase III EINSTEIN-programmet er der gennemført et åbent, prospektivt, ikke-interventions- kohortestudie (XALIA) med central evaluering af resultaterne, herunder recidiverende VTE, alvorlige blødninger og død. 5.142 patienter med akut DVT blev </w:t>
      </w:r>
      <w:r w:rsidRPr="00B24633">
        <w:rPr>
          <w:sz w:val="24"/>
          <w:szCs w:val="24"/>
        </w:rPr>
        <w:lastRenderedPageBreak/>
        <w:t>inkluderet med henblik på at undersøge sikkerheden ved langtidsbehandling med rivaroxaban sammenlignet med standard-antikoagulationsbehandling efter klinisk praksis. Forekomsten af alvorlige blødninger, recidiverende VTE og død uanset årsag for rivaroxaban var henholdsvis 0,7</w:t>
      </w:r>
      <w:r w:rsidR="00054680">
        <w:rPr>
          <w:sz w:val="24"/>
          <w:szCs w:val="24"/>
        </w:rPr>
        <w:t xml:space="preserve"> %</w:t>
      </w:r>
      <w:r w:rsidRPr="00B24633">
        <w:rPr>
          <w:sz w:val="24"/>
          <w:szCs w:val="24"/>
        </w:rPr>
        <w:t>, 1,4</w:t>
      </w:r>
      <w:r w:rsidR="00054680">
        <w:rPr>
          <w:sz w:val="24"/>
          <w:szCs w:val="24"/>
        </w:rPr>
        <w:t xml:space="preserve"> %</w:t>
      </w:r>
      <w:r w:rsidRPr="00B24633">
        <w:rPr>
          <w:sz w:val="24"/>
          <w:szCs w:val="24"/>
        </w:rPr>
        <w:t xml:space="preserve"> og 0,5</w:t>
      </w:r>
      <w:r w:rsidR="00054680">
        <w:rPr>
          <w:sz w:val="24"/>
          <w:szCs w:val="24"/>
        </w:rPr>
        <w:t xml:space="preserve"> %</w:t>
      </w:r>
      <w:r w:rsidRPr="00B24633">
        <w:rPr>
          <w:sz w:val="24"/>
          <w:szCs w:val="24"/>
        </w:rPr>
        <w:t>. Der var forskelle i patientkarakteristika ved baseline, herunder alder, cancer og nedsat nyrefunktion. Der blev anvendt en forudspecificeret stratificeret tendensanalyse til at justere for målte forskelle ved baseline, men på trods af dette, kan residual confounding påvirke resultatet. Justeret HR, der sammenligner rivaroxaban og standardbehandling for alvorlige blødninger, recidiverende VTE og død uanset årsag var henholdsvis 0,77 (95</w:t>
      </w:r>
      <w:r w:rsidR="00054680">
        <w:rPr>
          <w:sz w:val="24"/>
          <w:szCs w:val="24"/>
        </w:rPr>
        <w:t xml:space="preserve"> %</w:t>
      </w:r>
      <w:r w:rsidRPr="00B24633">
        <w:rPr>
          <w:sz w:val="24"/>
          <w:szCs w:val="24"/>
        </w:rPr>
        <w:t xml:space="preserve"> KI 0,40 ‒ 1,50), 0,91 (95</w:t>
      </w:r>
      <w:r w:rsidR="00054680">
        <w:rPr>
          <w:sz w:val="24"/>
          <w:szCs w:val="24"/>
        </w:rPr>
        <w:t xml:space="preserve"> %</w:t>
      </w:r>
      <w:r w:rsidRPr="00B24633">
        <w:rPr>
          <w:sz w:val="24"/>
          <w:szCs w:val="24"/>
        </w:rPr>
        <w:t xml:space="preserve"> KI 0,54 ‒ 1,54) og 0,51 (95</w:t>
      </w:r>
      <w:r w:rsidR="00054680">
        <w:rPr>
          <w:sz w:val="24"/>
          <w:szCs w:val="24"/>
        </w:rPr>
        <w:t xml:space="preserve"> %</w:t>
      </w:r>
      <w:r w:rsidRPr="00B24633">
        <w:rPr>
          <w:sz w:val="24"/>
          <w:szCs w:val="24"/>
        </w:rPr>
        <w:t xml:space="preserve"> KI 0,24 </w:t>
      </w:r>
      <w:r w:rsidRPr="00B24633">
        <w:rPr>
          <w:color w:val="000000"/>
          <w:sz w:val="24"/>
          <w:szCs w:val="24"/>
          <w:lang w:eastAsia="en-GB"/>
        </w:rPr>
        <w:t>– </w:t>
      </w:r>
      <w:r w:rsidRPr="00B24633">
        <w:rPr>
          <w:sz w:val="24"/>
          <w:szCs w:val="24"/>
        </w:rPr>
        <w:t>1,07). Disse resultater fra patienter behandlet efter klinisk praksis er konsistente med den etablerede sikkerhedsprofil ved denne indikation.</w:t>
      </w:r>
    </w:p>
    <w:p w14:paraId="483AF2D7" w14:textId="77777777" w:rsidR="00F61E6E" w:rsidRPr="00B24633" w:rsidRDefault="00F61E6E" w:rsidP="00B24633">
      <w:pPr>
        <w:tabs>
          <w:tab w:val="left" w:pos="851"/>
        </w:tabs>
        <w:ind w:left="851"/>
        <w:rPr>
          <w:sz w:val="24"/>
          <w:szCs w:val="24"/>
        </w:rPr>
      </w:pPr>
    </w:p>
    <w:p w14:paraId="1882FBCC" w14:textId="1BE28A90" w:rsidR="00F61E6E" w:rsidRPr="00B24633" w:rsidRDefault="00F61E6E" w:rsidP="00B24633">
      <w:pPr>
        <w:tabs>
          <w:tab w:val="left" w:pos="851"/>
        </w:tabs>
        <w:ind w:left="851"/>
        <w:rPr>
          <w:sz w:val="24"/>
          <w:szCs w:val="24"/>
        </w:rPr>
      </w:pPr>
      <w:r w:rsidRPr="00B24633">
        <w:rPr>
          <w:sz w:val="24"/>
          <w:szCs w:val="24"/>
        </w:rPr>
        <w:t>I et ikke-interventionstudie efter godkendelsen med flere end 40.000 patienter uden cancer i anamnesen fra fire lande blev rivaroxaban ordineret til behandling eller forebyggelse af DVT og PE. Hændelsesraterne pr. 100 patientår for symptomatiske/klinisk åbenbare VTE/tromboemboliske hændelser, der førte til indlæggelse, lå i intervallet 0,64 (95</w:t>
      </w:r>
      <w:r w:rsidR="00E65BA3">
        <w:rPr>
          <w:sz w:val="24"/>
          <w:szCs w:val="24"/>
        </w:rPr>
        <w:t> </w:t>
      </w:r>
      <w:r w:rsidR="00054680">
        <w:rPr>
          <w:sz w:val="24"/>
          <w:szCs w:val="24"/>
        </w:rPr>
        <w:t>%</w:t>
      </w:r>
      <w:r w:rsidRPr="00B24633">
        <w:rPr>
          <w:sz w:val="24"/>
          <w:szCs w:val="24"/>
        </w:rPr>
        <w:t> KI 0,40</w:t>
      </w:r>
      <w:r w:rsidRPr="00B24633">
        <w:rPr>
          <w:sz w:val="24"/>
          <w:szCs w:val="24"/>
        </w:rPr>
        <w:noBreakHyphen/>
        <w:t>0,97) i Storbritannien til 2,30 (95</w:t>
      </w:r>
      <w:r w:rsidR="00054680">
        <w:rPr>
          <w:sz w:val="24"/>
          <w:szCs w:val="24"/>
        </w:rPr>
        <w:t xml:space="preserve"> %</w:t>
      </w:r>
      <w:r w:rsidRPr="00B24633">
        <w:rPr>
          <w:sz w:val="24"/>
          <w:szCs w:val="24"/>
        </w:rPr>
        <w:t> KI 2,11</w:t>
      </w:r>
      <w:r w:rsidRPr="00B24633">
        <w:rPr>
          <w:sz w:val="24"/>
          <w:szCs w:val="24"/>
        </w:rPr>
        <w:noBreakHyphen/>
        <w:t>2,51) for Tyskland. Blødning, der førte til indlæggelse, forekom med hændelsesrater pr. 100 patientår på 0,31 (95</w:t>
      </w:r>
      <w:r w:rsidR="00054680">
        <w:rPr>
          <w:sz w:val="24"/>
          <w:szCs w:val="24"/>
        </w:rPr>
        <w:t xml:space="preserve"> %</w:t>
      </w:r>
      <w:r w:rsidRPr="00B24633">
        <w:rPr>
          <w:sz w:val="24"/>
          <w:szCs w:val="24"/>
        </w:rPr>
        <w:t> KI 0,23</w:t>
      </w:r>
      <w:r w:rsidRPr="00B24633">
        <w:rPr>
          <w:sz w:val="24"/>
          <w:szCs w:val="24"/>
        </w:rPr>
        <w:noBreakHyphen/>
        <w:t>0,42) for intrakraniel blødning, 0,89 (95</w:t>
      </w:r>
      <w:r w:rsidR="00054680">
        <w:rPr>
          <w:sz w:val="24"/>
          <w:szCs w:val="24"/>
        </w:rPr>
        <w:t xml:space="preserve"> %</w:t>
      </w:r>
      <w:r w:rsidRPr="00B24633">
        <w:rPr>
          <w:sz w:val="24"/>
          <w:szCs w:val="24"/>
        </w:rPr>
        <w:t> KI 0,67</w:t>
      </w:r>
      <w:r w:rsidRPr="00B24633">
        <w:rPr>
          <w:sz w:val="24"/>
          <w:szCs w:val="24"/>
        </w:rPr>
        <w:noBreakHyphen/>
        <w:t>1,17) for gastrointestinal blødning, 0,44 (95</w:t>
      </w:r>
      <w:r w:rsidR="00054680">
        <w:rPr>
          <w:sz w:val="24"/>
          <w:szCs w:val="24"/>
        </w:rPr>
        <w:t xml:space="preserve"> %</w:t>
      </w:r>
      <w:r w:rsidRPr="00B24633">
        <w:rPr>
          <w:sz w:val="24"/>
          <w:szCs w:val="24"/>
        </w:rPr>
        <w:t> KI 0,26</w:t>
      </w:r>
      <w:r w:rsidRPr="00B24633">
        <w:rPr>
          <w:sz w:val="24"/>
          <w:szCs w:val="24"/>
        </w:rPr>
        <w:noBreakHyphen/>
        <w:t>0,74) for urogenital blødning og 0,41 (95</w:t>
      </w:r>
      <w:r w:rsidR="007F055A">
        <w:rPr>
          <w:sz w:val="24"/>
          <w:szCs w:val="24"/>
        </w:rPr>
        <w:t> </w:t>
      </w:r>
      <w:r w:rsidR="00054680">
        <w:rPr>
          <w:sz w:val="24"/>
          <w:szCs w:val="24"/>
        </w:rPr>
        <w:t>%</w:t>
      </w:r>
      <w:r w:rsidRPr="00B24633">
        <w:rPr>
          <w:sz w:val="24"/>
          <w:szCs w:val="24"/>
        </w:rPr>
        <w:t> KI 0,31</w:t>
      </w:r>
      <w:r w:rsidRPr="00B24633">
        <w:rPr>
          <w:sz w:val="24"/>
          <w:szCs w:val="24"/>
        </w:rPr>
        <w:noBreakHyphen/>
        <w:t>0,54) for anden blødning.</w:t>
      </w:r>
    </w:p>
    <w:p w14:paraId="740284D7" w14:textId="77777777" w:rsidR="00F61E6E" w:rsidRPr="00B24633" w:rsidRDefault="00F61E6E" w:rsidP="00B24633">
      <w:pPr>
        <w:tabs>
          <w:tab w:val="left" w:pos="851"/>
        </w:tabs>
        <w:ind w:left="851"/>
        <w:rPr>
          <w:sz w:val="24"/>
          <w:szCs w:val="24"/>
        </w:rPr>
      </w:pPr>
    </w:p>
    <w:p w14:paraId="1FAF341A" w14:textId="77777777" w:rsidR="00F61E6E" w:rsidRPr="00B24633" w:rsidRDefault="00F61E6E" w:rsidP="00B24633">
      <w:pPr>
        <w:tabs>
          <w:tab w:val="left" w:pos="851"/>
        </w:tabs>
        <w:ind w:left="851"/>
        <w:rPr>
          <w:sz w:val="24"/>
          <w:szCs w:val="24"/>
          <w:u w:val="single"/>
        </w:rPr>
      </w:pPr>
      <w:r w:rsidRPr="00B24633">
        <w:rPr>
          <w:sz w:val="24"/>
          <w:szCs w:val="24"/>
          <w:u w:val="single"/>
        </w:rPr>
        <w:t>Pædiatrisk population</w:t>
      </w:r>
    </w:p>
    <w:p w14:paraId="1F6E9700" w14:textId="77777777" w:rsidR="00F61E6E" w:rsidRPr="00B24633" w:rsidRDefault="00F61E6E" w:rsidP="00B24633">
      <w:pPr>
        <w:tabs>
          <w:tab w:val="left" w:pos="851"/>
        </w:tabs>
        <w:ind w:left="851"/>
        <w:rPr>
          <w:sz w:val="24"/>
          <w:szCs w:val="24"/>
          <w:u w:val="single"/>
        </w:rPr>
      </w:pPr>
    </w:p>
    <w:p w14:paraId="70A38E66" w14:textId="77777777" w:rsidR="00F61E6E" w:rsidRPr="00B24633" w:rsidRDefault="00F61E6E" w:rsidP="00B24633">
      <w:pPr>
        <w:tabs>
          <w:tab w:val="left" w:pos="851"/>
        </w:tabs>
        <w:ind w:left="851"/>
        <w:rPr>
          <w:i/>
          <w:iCs/>
          <w:sz w:val="24"/>
          <w:szCs w:val="24"/>
        </w:rPr>
      </w:pPr>
      <w:r w:rsidRPr="00B24633">
        <w:rPr>
          <w:i/>
          <w:iCs/>
          <w:sz w:val="24"/>
          <w:szCs w:val="24"/>
        </w:rPr>
        <w:t>Behandling af VTE og forebyggelse af recidiverende VTE hos pædiatriske patienter</w:t>
      </w:r>
    </w:p>
    <w:p w14:paraId="4D9AD01F" w14:textId="77777777" w:rsidR="00F61E6E" w:rsidRPr="00B24633" w:rsidRDefault="00F61E6E" w:rsidP="00B24633">
      <w:pPr>
        <w:tabs>
          <w:tab w:val="left" w:pos="851"/>
        </w:tabs>
        <w:ind w:left="851"/>
        <w:rPr>
          <w:sz w:val="24"/>
          <w:szCs w:val="24"/>
        </w:rPr>
      </w:pPr>
      <w:r w:rsidRPr="00B24633">
        <w:rPr>
          <w:sz w:val="24"/>
          <w:szCs w:val="24"/>
        </w:rPr>
        <w:t>I alt 727 børn med bekræftet akut VTE, hvoraf 528 fik rivaroxaban, blev undersøgt i 6 åbne, pædiatriske multicenterstudier. Legemsvægtjusteret dosering hos patienter fra fødslen til under 18 år førte til en rivaroxaban-eksponering svarende til den, der blev observeret hos voksne patienter med DVT i behandling med rivaroxaban 20 mg én gang dagligt, bekræftet i fase III-studiet (se pkt. 5.2).</w:t>
      </w:r>
    </w:p>
    <w:p w14:paraId="472F12D9" w14:textId="77777777" w:rsidR="00F61E6E" w:rsidRPr="00B24633" w:rsidRDefault="00F61E6E" w:rsidP="00B24633">
      <w:pPr>
        <w:tabs>
          <w:tab w:val="left" w:pos="851"/>
        </w:tabs>
        <w:ind w:left="851"/>
        <w:rPr>
          <w:sz w:val="24"/>
          <w:szCs w:val="24"/>
        </w:rPr>
      </w:pPr>
    </w:p>
    <w:p w14:paraId="73F2E3A6" w14:textId="77777777" w:rsidR="00F61E6E" w:rsidRPr="00B24633" w:rsidRDefault="00F61E6E" w:rsidP="00B24633">
      <w:pPr>
        <w:tabs>
          <w:tab w:val="left" w:pos="851"/>
        </w:tabs>
        <w:ind w:left="851"/>
        <w:rPr>
          <w:sz w:val="24"/>
          <w:szCs w:val="24"/>
        </w:rPr>
      </w:pPr>
      <w:r w:rsidRPr="00B24633">
        <w:rPr>
          <w:sz w:val="24"/>
          <w:szCs w:val="24"/>
        </w:rPr>
        <w:t>EINSTEIN Junior fase III-studiet var et randomiseret, aktivt kontrolleret, åbent, klinisk multicenterstudie hos 500 pædiatriske patienter (fra fødslen til &lt; 18 år) med bekræftet akut VTE. Der var 276 børn i alderen 12 til &lt; 18 år, 101 børn i alderen 6 til &lt; 12 år, 69 børn i alderen 2 til &lt; 6 år og 54 børn i alderen &lt; 2 år.</w:t>
      </w:r>
    </w:p>
    <w:p w14:paraId="481448D2" w14:textId="77777777" w:rsidR="00F61E6E" w:rsidRPr="00B24633" w:rsidRDefault="00F61E6E" w:rsidP="00B24633">
      <w:pPr>
        <w:tabs>
          <w:tab w:val="left" w:pos="851"/>
        </w:tabs>
        <w:ind w:left="851"/>
        <w:rPr>
          <w:sz w:val="24"/>
          <w:szCs w:val="24"/>
        </w:rPr>
      </w:pPr>
    </w:p>
    <w:p w14:paraId="4D3A8152" w14:textId="30B6F40A" w:rsidR="00F61E6E" w:rsidRPr="00B24633" w:rsidRDefault="00F61E6E" w:rsidP="00B24633">
      <w:pPr>
        <w:tabs>
          <w:tab w:val="left" w:pos="851"/>
        </w:tabs>
        <w:ind w:left="851"/>
        <w:rPr>
          <w:sz w:val="24"/>
          <w:szCs w:val="24"/>
        </w:rPr>
      </w:pPr>
      <w:r w:rsidRPr="00B24633">
        <w:rPr>
          <w:sz w:val="24"/>
          <w:szCs w:val="24"/>
        </w:rPr>
        <w:t>Indeks-VTE blev klassificeret som enten centralvenekateter-relateret VTE (CVK-VTE; 90/335 patienter i rivaroxaban-gruppen, 37/165 patienter i komparator-gruppen), cerebralvene- og sinustrombose (CVST; 74/335 patienter i rivaroxaban-gruppen, 43/165 patienter i komparator-gruppen) og alle andre, herunder DVT og PE (non-CVK-VTE; 171/335 patienter i rivaroxaban-gruppen, 85/165 patienter i komparator-gruppen). Den mest almindelige præsentation af indeks- trombose hos børn i alderen 12 til &lt; 18 år var non-CVK-VTE hos 211 (76,4</w:t>
      </w:r>
      <w:r w:rsidR="00054680">
        <w:rPr>
          <w:sz w:val="24"/>
          <w:szCs w:val="24"/>
        </w:rPr>
        <w:t xml:space="preserve"> %</w:t>
      </w:r>
      <w:r w:rsidRPr="00B24633">
        <w:rPr>
          <w:sz w:val="24"/>
          <w:szCs w:val="24"/>
        </w:rPr>
        <w:t>). Hos børn i alderen 6 til &lt; 12 år og i alderen 2 til &lt; 6 år var det CVST hos hhv. 48 (47,5</w:t>
      </w:r>
      <w:r w:rsidR="00054680">
        <w:rPr>
          <w:sz w:val="24"/>
          <w:szCs w:val="24"/>
        </w:rPr>
        <w:t xml:space="preserve"> %</w:t>
      </w:r>
      <w:r w:rsidRPr="00B24633">
        <w:rPr>
          <w:sz w:val="24"/>
          <w:szCs w:val="24"/>
        </w:rPr>
        <w:t>) og 35 (50,7</w:t>
      </w:r>
      <w:r w:rsidR="00054680">
        <w:rPr>
          <w:sz w:val="24"/>
          <w:szCs w:val="24"/>
        </w:rPr>
        <w:t xml:space="preserve"> %</w:t>
      </w:r>
      <w:r w:rsidRPr="00B24633">
        <w:rPr>
          <w:sz w:val="24"/>
          <w:szCs w:val="24"/>
        </w:rPr>
        <w:t>), og hos børn i alderen &lt; 2 år var det CVK-VTE hos 37 (68,5</w:t>
      </w:r>
      <w:r w:rsidR="00054680">
        <w:rPr>
          <w:sz w:val="24"/>
          <w:szCs w:val="24"/>
        </w:rPr>
        <w:t xml:space="preserve"> %</w:t>
      </w:r>
      <w:r w:rsidRPr="00B24633">
        <w:rPr>
          <w:sz w:val="24"/>
          <w:szCs w:val="24"/>
        </w:rPr>
        <w:t>). Der var ingen børn &lt; 6 måneder med CVST i rivaroxaban-gruppen. 22 af patienterne med CVST havde en CNS-infektion (13 patienter hos rivaroxaban-gruppen og 9 patienter hos komparator-gruppen).</w:t>
      </w:r>
    </w:p>
    <w:p w14:paraId="5880093E" w14:textId="77777777" w:rsidR="00F61E6E" w:rsidRPr="00B24633" w:rsidRDefault="00F61E6E" w:rsidP="00B24633">
      <w:pPr>
        <w:tabs>
          <w:tab w:val="left" w:pos="851"/>
        </w:tabs>
        <w:ind w:left="851"/>
        <w:rPr>
          <w:sz w:val="24"/>
          <w:szCs w:val="24"/>
        </w:rPr>
      </w:pPr>
    </w:p>
    <w:p w14:paraId="42EF834A" w14:textId="6F3232AB" w:rsidR="00F61E6E" w:rsidRPr="00B24633" w:rsidRDefault="00F61E6E" w:rsidP="00B24633">
      <w:pPr>
        <w:tabs>
          <w:tab w:val="left" w:pos="851"/>
        </w:tabs>
        <w:ind w:left="851"/>
        <w:rPr>
          <w:sz w:val="24"/>
          <w:szCs w:val="24"/>
        </w:rPr>
      </w:pPr>
      <w:r w:rsidRPr="00B24633">
        <w:rPr>
          <w:sz w:val="24"/>
          <w:szCs w:val="24"/>
        </w:rPr>
        <w:t>VTE blev provokeret af vedvarende, forbigående eller både vedvarende og forbigående risikofaktorer hos 438 (87,6</w:t>
      </w:r>
      <w:r w:rsidR="00054680">
        <w:rPr>
          <w:sz w:val="24"/>
          <w:szCs w:val="24"/>
        </w:rPr>
        <w:t xml:space="preserve"> %</w:t>
      </w:r>
      <w:r w:rsidRPr="00B24633">
        <w:rPr>
          <w:sz w:val="24"/>
          <w:szCs w:val="24"/>
        </w:rPr>
        <w:t>) børn.</w:t>
      </w:r>
    </w:p>
    <w:p w14:paraId="798C79B5" w14:textId="77777777" w:rsidR="00F61E6E" w:rsidRPr="00B24633" w:rsidRDefault="00F61E6E" w:rsidP="00B24633">
      <w:pPr>
        <w:tabs>
          <w:tab w:val="left" w:pos="851"/>
        </w:tabs>
        <w:ind w:left="851"/>
        <w:rPr>
          <w:sz w:val="24"/>
          <w:szCs w:val="24"/>
        </w:rPr>
      </w:pPr>
    </w:p>
    <w:p w14:paraId="1D260E11" w14:textId="77777777" w:rsidR="00F61E6E" w:rsidRPr="00B24633" w:rsidRDefault="00F61E6E" w:rsidP="00B24633">
      <w:pPr>
        <w:tabs>
          <w:tab w:val="left" w:pos="851"/>
        </w:tabs>
        <w:ind w:left="851"/>
        <w:rPr>
          <w:sz w:val="24"/>
          <w:szCs w:val="24"/>
        </w:rPr>
      </w:pPr>
      <w:r w:rsidRPr="00B24633">
        <w:rPr>
          <w:sz w:val="24"/>
          <w:szCs w:val="24"/>
        </w:rPr>
        <w:t>Patienterne fik indledende behandling med terapeutiske doser af UFH, LMH eller fondaparinux i mindst 5 dage, og de blev randomiseret i forholdet 2:1 til at få enten legemsvægtjusterede doser af rivaroxaban eller komparatorgruppen (hepariner, VKA) i en primær studiebehandlingsperiode på 3 måneder (1 måned for børn &lt; 2 år med CVK-VTE). Ved slutningen af den primære studiebehandlingsperiode, blev den billeddiagnostiske test, der blev taget ved baseline, gentaget hvis det var klinisk muligt. Studiebehandlingen kunne på dette tidspunkt stoppes, eller efter investigatorens skøn fortsættes i op til 12 måneder (for børn &lt; 2 år med CVK-VTE op til 3 måneder) i alt.</w:t>
      </w:r>
    </w:p>
    <w:p w14:paraId="57F658A6" w14:textId="77777777" w:rsidR="00F61E6E" w:rsidRPr="00B24633" w:rsidRDefault="00F61E6E" w:rsidP="00B24633">
      <w:pPr>
        <w:tabs>
          <w:tab w:val="left" w:pos="851"/>
        </w:tabs>
        <w:ind w:left="851"/>
        <w:rPr>
          <w:sz w:val="24"/>
          <w:szCs w:val="24"/>
        </w:rPr>
      </w:pPr>
    </w:p>
    <w:p w14:paraId="20B3B42B" w14:textId="54E76651" w:rsidR="00F61E6E" w:rsidRPr="00B24633" w:rsidRDefault="00F61E6E" w:rsidP="00B24633">
      <w:pPr>
        <w:tabs>
          <w:tab w:val="left" w:pos="851"/>
        </w:tabs>
        <w:ind w:left="851"/>
        <w:rPr>
          <w:sz w:val="24"/>
          <w:szCs w:val="24"/>
        </w:rPr>
      </w:pPr>
      <w:r w:rsidRPr="00B24633">
        <w:rPr>
          <w:sz w:val="24"/>
          <w:szCs w:val="24"/>
        </w:rPr>
        <w:t>Det primære udfald for effekt var symptomatisk recidiverende VTE. Det primære sikkerhedsudfald var sammensætningen af større blødning og klinisk relevant ikke-større blødning (clinically relevant non-major bleeding, CRNMB). Alle effekt- og sikkerhedsudfald blev centralt bedømt af en uafhængig komité, der var blindet hvad angik tildeling af behandling. Resultaterne for effekt og sikkerhed vises i tabel 11 og 12 nedenfor.</w:t>
      </w:r>
    </w:p>
    <w:p w14:paraId="2913A3A0" w14:textId="77777777" w:rsidR="00F61E6E" w:rsidRPr="00B24633" w:rsidRDefault="00F61E6E" w:rsidP="00B24633">
      <w:pPr>
        <w:tabs>
          <w:tab w:val="left" w:pos="851"/>
        </w:tabs>
        <w:ind w:left="851"/>
        <w:rPr>
          <w:sz w:val="24"/>
          <w:szCs w:val="24"/>
        </w:rPr>
      </w:pPr>
    </w:p>
    <w:p w14:paraId="7178E7F8" w14:textId="46BB1314" w:rsidR="00F61E6E" w:rsidRPr="00B24633" w:rsidRDefault="00F61E6E" w:rsidP="00B24633">
      <w:pPr>
        <w:tabs>
          <w:tab w:val="left" w:pos="851"/>
        </w:tabs>
        <w:ind w:left="851"/>
        <w:rPr>
          <w:sz w:val="24"/>
          <w:szCs w:val="24"/>
        </w:rPr>
      </w:pPr>
      <w:r w:rsidRPr="00B24633">
        <w:rPr>
          <w:sz w:val="24"/>
          <w:szCs w:val="24"/>
        </w:rPr>
        <w:t>Recidiverende VTE opstod i rivaroxaban-gruppen hos 4 ud af 335 patienter, og hos komparator</w:t>
      </w:r>
      <w:r w:rsidR="00E65BA3">
        <w:rPr>
          <w:sz w:val="24"/>
          <w:szCs w:val="24"/>
        </w:rPr>
        <w:t>-</w:t>
      </w:r>
      <w:r w:rsidRPr="00B24633">
        <w:rPr>
          <w:sz w:val="24"/>
          <w:szCs w:val="24"/>
        </w:rPr>
        <w:t>gruppen hos 5 ud af 165 patienter. Sammensætningen af større blødning og CRNMB blev rapporteret hos 10 ud af 329 patienter (3</w:t>
      </w:r>
      <w:r w:rsidR="00054680">
        <w:rPr>
          <w:sz w:val="24"/>
          <w:szCs w:val="24"/>
        </w:rPr>
        <w:t xml:space="preserve"> %</w:t>
      </w:r>
      <w:r w:rsidRPr="00B24633">
        <w:rPr>
          <w:sz w:val="24"/>
          <w:szCs w:val="24"/>
        </w:rPr>
        <w:t>) i behandling med rivaroxaban, og hos 3 ud af 162 patienter (1,9</w:t>
      </w:r>
      <w:r w:rsidR="00054680">
        <w:rPr>
          <w:sz w:val="24"/>
          <w:szCs w:val="24"/>
        </w:rPr>
        <w:t xml:space="preserve"> %</w:t>
      </w:r>
      <w:r w:rsidRPr="00B24633">
        <w:rPr>
          <w:sz w:val="24"/>
          <w:szCs w:val="24"/>
        </w:rPr>
        <w:t>) i behandling med komparator. Netto klinisk benefit (symptomatisk recidiverende VTE plus større blødningshændelser) blev rapporteret i rivaroxaban-gruppen hos 4 ud af 335 patienter, og i komparator</w:t>
      </w:r>
      <w:r w:rsidR="00E65BA3">
        <w:rPr>
          <w:sz w:val="24"/>
          <w:szCs w:val="24"/>
        </w:rPr>
        <w:t>-</w:t>
      </w:r>
      <w:r w:rsidRPr="00B24633">
        <w:rPr>
          <w:sz w:val="24"/>
          <w:szCs w:val="24"/>
        </w:rPr>
        <w:t>gruppen hos 7 ud af 165 patienter. Normaliseringen af trombebyrden på den gentagne billeddiagnostik forekom hos 128 ud af 335 patienter med rivaroxaban-behandling, og hos 43 ud af 165 patienter i komparatorgruppen. Disse fund var generelt sammenlignelige blandt aldersgrupperne. Der var 119 (36,2</w:t>
      </w:r>
      <w:r w:rsidR="00054680">
        <w:rPr>
          <w:sz w:val="24"/>
          <w:szCs w:val="24"/>
        </w:rPr>
        <w:t xml:space="preserve"> %</w:t>
      </w:r>
      <w:r w:rsidRPr="00B24633">
        <w:rPr>
          <w:sz w:val="24"/>
          <w:szCs w:val="24"/>
        </w:rPr>
        <w:t>) børn med behandlingsrelaterede blødninger i rivaroxaban-gruppen og 45 (27,8</w:t>
      </w:r>
      <w:r w:rsidR="00054680">
        <w:rPr>
          <w:sz w:val="24"/>
          <w:szCs w:val="24"/>
        </w:rPr>
        <w:t xml:space="preserve"> %</w:t>
      </w:r>
      <w:r w:rsidRPr="00B24633">
        <w:rPr>
          <w:sz w:val="24"/>
          <w:szCs w:val="24"/>
        </w:rPr>
        <w:t>) børn i komparator-gruppen.</w:t>
      </w:r>
    </w:p>
    <w:p w14:paraId="466813CC" w14:textId="77777777" w:rsidR="00F61E6E" w:rsidRPr="00B24633" w:rsidRDefault="00F61E6E" w:rsidP="00B24633">
      <w:pPr>
        <w:tabs>
          <w:tab w:val="left" w:pos="851"/>
        </w:tabs>
        <w:ind w:left="851"/>
        <w:rPr>
          <w:sz w:val="24"/>
          <w:szCs w:val="24"/>
        </w:rPr>
      </w:pPr>
    </w:p>
    <w:bookmarkEnd w:id="8"/>
    <w:p w14:paraId="21CC58F2" w14:textId="78F9459C" w:rsidR="00F61E6E" w:rsidRDefault="00F61E6E" w:rsidP="00B24633">
      <w:pPr>
        <w:ind w:left="851"/>
        <w:rPr>
          <w:b/>
          <w:sz w:val="24"/>
          <w:szCs w:val="24"/>
        </w:rPr>
      </w:pPr>
      <w:r w:rsidRPr="00B24633">
        <w:rPr>
          <w:b/>
          <w:sz w:val="24"/>
          <w:szCs w:val="24"/>
        </w:rPr>
        <w:t>Tabel 11: Virkningsresultater ved slutningen af den primære behandlingsperiode</w:t>
      </w:r>
    </w:p>
    <w:p w14:paraId="0DF07626" w14:textId="77777777" w:rsidR="00F21719" w:rsidRPr="00B24633" w:rsidRDefault="00F21719" w:rsidP="00B24633">
      <w:pPr>
        <w:ind w:left="851"/>
        <w:rPr>
          <w:b/>
          <w:sz w:val="24"/>
          <w:szCs w:val="24"/>
        </w:rPr>
      </w:pPr>
    </w:p>
    <w:tbl>
      <w:tblPr>
        <w:tblW w:w="9466" w:type="dxa"/>
        <w:tblInd w:w="856" w:type="dxa"/>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CellMar>
          <w:left w:w="0" w:type="dxa"/>
          <w:right w:w="0" w:type="dxa"/>
        </w:tblCellMar>
        <w:tblLook w:val="01E0" w:firstRow="1" w:lastRow="1" w:firstColumn="1" w:lastColumn="1" w:noHBand="0" w:noVBand="0"/>
      </w:tblPr>
      <w:tblGrid>
        <w:gridCol w:w="5212"/>
        <w:gridCol w:w="2127"/>
        <w:gridCol w:w="2127"/>
      </w:tblGrid>
      <w:tr w:rsidR="00F61E6E" w:rsidRPr="00F21719" w14:paraId="2EE79E55" w14:textId="77777777" w:rsidTr="00B24633">
        <w:trPr>
          <w:trHeight w:val="506"/>
        </w:trPr>
        <w:tc>
          <w:tcPr>
            <w:tcW w:w="5212" w:type="dxa"/>
          </w:tcPr>
          <w:p w14:paraId="377CFB9B" w14:textId="77777777" w:rsidR="00F61E6E" w:rsidRPr="00F21719" w:rsidRDefault="00F61E6E" w:rsidP="00B24633">
            <w:pPr>
              <w:keepNext/>
              <w:widowControl w:val="0"/>
              <w:autoSpaceDE w:val="0"/>
              <w:autoSpaceDN w:val="0"/>
              <w:spacing w:line="253" w:lineRule="exact"/>
              <w:rPr>
                <w:b/>
                <w:sz w:val="22"/>
                <w:szCs w:val="22"/>
              </w:rPr>
            </w:pPr>
            <w:r w:rsidRPr="00F21719">
              <w:rPr>
                <w:b/>
                <w:sz w:val="22"/>
                <w:szCs w:val="22"/>
              </w:rPr>
              <w:t>Hændelse</w:t>
            </w:r>
          </w:p>
        </w:tc>
        <w:tc>
          <w:tcPr>
            <w:tcW w:w="2127" w:type="dxa"/>
          </w:tcPr>
          <w:p w14:paraId="50CD2BEB" w14:textId="3D9AC70C" w:rsidR="00F61E6E" w:rsidRPr="00F21719" w:rsidRDefault="00F61E6E" w:rsidP="00F21719">
            <w:pPr>
              <w:keepNext/>
              <w:widowControl w:val="0"/>
              <w:autoSpaceDE w:val="0"/>
              <w:autoSpaceDN w:val="0"/>
              <w:spacing w:line="254" w:lineRule="exact"/>
              <w:ind w:left="249" w:hanging="249"/>
              <w:jc w:val="center"/>
              <w:rPr>
                <w:b/>
                <w:spacing w:val="-52"/>
                <w:sz w:val="22"/>
                <w:szCs w:val="22"/>
              </w:rPr>
            </w:pPr>
            <w:r w:rsidRPr="00F21719">
              <w:rPr>
                <w:b/>
                <w:sz w:val="22"/>
                <w:szCs w:val="22"/>
              </w:rPr>
              <w:t>Rivaroxaban</w:t>
            </w:r>
          </w:p>
          <w:p w14:paraId="6A1AC291" w14:textId="426A1DE6" w:rsidR="00F61E6E" w:rsidRPr="00F21719" w:rsidRDefault="00F61E6E" w:rsidP="00F21719">
            <w:pPr>
              <w:keepNext/>
              <w:widowControl w:val="0"/>
              <w:autoSpaceDE w:val="0"/>
              <w:autoSpaceDN w:val="0"/>
              <w:spacing w:line="254" w:lineRule="exact"/>
              <w:ind w:left="249" w:hanging="249"/>
              <w:jc w:val="center"/>
              <w:rPr>
                <w:b/>
                <w:sz w:val="22"/>
                <w:szCs w:val="22"/>
              </w:rPr>
            </w:pPr>
            <w:r w:rsidRPr="00F21719">
              <w:rPr>
                <w:b/>
                <w:sz w:val="22"/>
                <w:szCs w:val="22"/>
              </w:rPr>
              <w:t>N</w:t>
            </w:r>
            <w:r w:rsidR="00213042">
              <w:rPr>
                <w:b/>
                <w:sz w:val="22"/>
                <w:szCs w:val="22"/>
              </w:rPr>
              <w:t xml:space="preserve"> </w:t>
            </w:r>
            <w:r w:rsidRPr="00F21719">
              <w:rPr>
                <w:b/>
                <w:sz w:val="22"/>
                <w:szCs w:val="22"/>
              </w:rPr>
              <w:t>=</w:t>
            </w:r>
            <w:r w:rsidR="00213042">
              <w:rPr>
                <w:b/>
                <w:sz w:val="22"/>
                <w:szCs w:val="22"/>
              </w:rPr>
              <w:t xml:space="preserve"> </w:t>
            </w:r>
            <w:r w:rsidRPr="00F21719">
              <w:rPr>
                <w:b/>
                <w:sz w:val="22"/>
                <w:szCs w:val="22"/>
              </w:rPr>
              <w:t>335*</w:t>
            </w:r>
          </w:p>
        </w:tc>
        <w:tc>
          <w:tcPr>
            <w:tcW w:w="2127" w:type="dxa"/>
          </w:tcPr>
          <w:p w14:paraId="1FA7199B" w14:textId="77777777" w:rsidR="00F61E6E" w:rsidRPr="00F21719" w:rsidRDefault="00F61E6E" w:rsidP="00F21719">
            <w:pPr>
              <w:keepNext/>
              <w:widowControl w:val="0"/>
              <w:autoSpaceDE w:val="0"/>
              <w:autoSpaceDN w:val="0"/>
              <w:spacing w:line="254" w:lineRule="exact"/>
              <w:ind w:left="231" w:hanging="231"/>
              <w:jc w:val="center"/>
              <w:rPr>
                <w:b/>
                <w:spacing w:val="-52"/>
                <w:sz w:val="22"/>
                <w:szCs w:val="22"/>
              </w:rPr>
            </w:pPr>
            <w:r w:rsidRPr="00F21719">
              <w:rPr>
                <w:b/>
                <w:sz w:val="22"/>
                <w:szCs w:val="22"/>
              </w:rPr>
              <w:t>Komparator</w:t>
            </w:r>
          </w:p>
          <w:p w14:paraId="688E1C7C" w14:textId="21B89E9B" w:rsidR="00F61E6E" w:rsidRPr="00F21719" w:rsidRDefault="00F61E6E" w:rsidP="00F21719">
            <w:pPr>
              <w:keepNext/>
              <w:widowControl w:val="0"/>
              <w:autoSpaceDE w:val="0"/>
              <w:autoSpaceDN w:val="0"/>
              <w:spacing w:line="254" w:lineRule="exact"/>
              <w:ind w:left="231" w:hanging="231"/>
              <w:jc w:val="center"/>
              <w:rPr>
                <w:b/>
                <w:sz w:val="22"/>
                <w:szCs w:val="22"/>
              </w:rPr>
            </w:pPr>
            <w:r w:rsidRPr="00F21719">
              <w:rPr>
                <w:b/>
                <w:sz w:val="22"/>
                <w:szCs w:val="22"/>
              </w:rPr>
              <w:t>N</w:t>
            </w:r>
            <w:r w:rsidR="00213042">
              <w:rPr>
                <w:b/>
                <w:sz w:val="22"/>
                <w:szCs w:val="22"/>
              </w:rPr>
              <w:t xml:space="preserve"> </w:t>
            </w:r>
            <w:r w:rsidRPr="00F21719">
              <w:rPr>
                <w:b/>
                <w:sz w:val="22"/>
                <w:szCs w:val="22"/>
              </w:rPr>
              <w:t>=</w:t>
            </w:r>
            <w:r w:rsidR="00213042">
              <w:rPr>
                <w:b/>
                <w:sz w:val="22"/>
                <w:szCs w:val="22"/>
              </w:rPr>
              <w:t xml:space="preserve"> </w:t>
            </w:r>
            <w:r w:rsidRPr="00F21719">
              <w:rPr>
                <w:b/>
                <w:sz w:val="22"/>
                <w:szCs w:val="22"/>
              </w:rPr>
              <w:t>165*</w:t>
            </w:r>
          </w:p>
        </w:tc>
      </w:tr>
      <w:tr w:rsidR="00F61E6E" w:rsidRPr="00F21719" w14:paraId="1C40AEA0" w14:textId="77777777" w:rsidTr="00B24633">
        <w:trPr>
          <w:trHeight w:val="757"/>
        </w:trPr>
        <w:tc>
          <w:tcPr>
            <w:tcW w:w="5212" w:type="dxa"/>
          </w:tcPr>
          <w:p w14:paraId="06B20231" w14:textId="77777777" w:rsidR="00F61E6E" w:rsidRPr="00F21719" w:rsidRDefault="00F61E6E" w:rsidP="00B24633">
            <w:pPr>
              <w:widowControl w:val="0"/>
              <w:autoSpaceDE w:val="0"/>
              <w:autoSpaceDN w:val="0"/>
              <w:spacing w:line="251" w:lineRule="exact"/>
              <w:ind w:left="107"/>
              <w:rPr>
                <w:sz w:val="22"/>
                <w:szCs w:val="22"/>
              </w:rPr>
            </w:pPr>
            <w:r w:rsidRPr="00F21719">
              <w:rPr>
                <w:sz w:val="22"/>
                <w:szCs w:val="22"/>
              </w:rPr>
              <w:t>Recidiverende</w:t>
            </w:r>
            <w:r w:rsidRPr="00F21719">
              <w:rPr>
                <w:spacing w:val="-4"/>
                <w:sz w:val="22"/>
                <w:szCs w:val="22"/>
              </w:rPr>
              <w:t xml:space="preserve"> </w:t>
            </w:r>
            <w:r w:rsidRPr="00F21719">
              <w:rPr>
                <w:sz w:val="22"/>
                <w:szCs w:val="22"/>
              </w:rPr>
              <w:t>VTE</w:t>
            </w:r>
            <w:r w:rsidRPr="00F21719">
              <w:rPr>
                <w:spacing w:val="-2"/>
                <w:sz w:val="22"/>
                <w:szCs w:val="22"/>
              </w:rPr>
              <w:t xml:space="preserve"> </w:t>
            </w:r>
            <w:r w:rsidRPr="00F21719">
              <w:rPr>
                <w:sz w:val="22"/>
                <w:szCs w:val="22"/>
              </w:rPr>
              <w:t>(primært</w:t>
            </w:r>
            <w:r w:rsidRPr="00F21719">
              <w:rPr>
                <w:spacing w:val="-2"/>
                <w:sz w:val="22"/>
                <w:szCs w:val="22"/>
              </w:rPr>
              <w:t xml:space="preserve"> </w:t>
            </w:r>
            <w:r w:rsidRPr="00F21719">
              <w:rPr>
                <w:sz w:val="22"/>
                <w:szCs w:val="22"/>
              </w:rPr>
              <w:t>effektudfald)</w:t>
            </w:r>
          </w:p>
        </w:tc>
        <w:tc>
          <w:tcPr>
            <w:tcW w:w="2127" w:type="dxa"/>
          </w:tcPr>
          <w:p w14:paraId="760AC712" w14:textId="77777777" w:rsidR="00F61E6E" w:rsidRPr="00F21719" w:rsidRDefault="00F61E6E" w:rsidP="00F21719">
            <w:pPr>
              <w:widowControl w:val="0"/>
              <w:autoSpaceDE w:val="0"/>
              <w:autoSpaceDN w:val="0"/>
              <w:spacing w:line="251" w:lineRule="exact"/>
              <w:ind w:left="5"/>
              <w:jc w:val="center"/>
              <w:rPr>
                <w:sz w:val="22"/>
                <w:szCs w:val="22"/>
              </w:rPr>
            </w:pPr>
            <w:r w:rsidRPr="00F21719">
              <w:rPr>
                <w:w w:val="99"/>
                <w:sz w:val="22"/>
                <w:szCs w:val="22"/>
              </w:rPr>
              <w:t>4</w:t>
            </w:r>
          </w:p>
          <w:p w14:paraId="1684035D" w14:textId="07AC5827" w:rsidR="00F61E6E" w:rsidRPr="00F21719" w:rsidRDefault="00F61E6E" w:rsidP="00F21719">
            <w:pPr>
              <w:widowControl w:val="0"/>
              <w:autoSpaceDE w:val="0"/>
              <w:autoSpaceDN w:val="0"/>
              <w:ind w:left="274"/>
              <w:jc w:val="center"/>
              <w:rPr>
                <w:sz w:val="22"/>
                <w:szCs w:val="22"/>
              </w:rPr>
            </w:pPr>
            <w:r w:rsidRPr="00F21719">
              <w:rPr>
                <w:sz w:val="22"/>
                <w:szCs w:val="22"/>
              </w:rPr>
              <w:t>(1,2</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p w14:paraId="6181CA25" w14:textId="7BC1699E" w:rsidR="00F61E6E" w:rsidRPr="00F21719" w:rsidRDefault="00F61E6E" w:rsidP="00F21719">
            <w:pPr>
              <w:widowControl w:val="0"/>
              <w:autoSpaceDE w:val="0"/>
              <w:autoSpaceDN w:val="0"/>
              <w:spacing w:line="233" w:lineRule="exact"/>
              <w:ind w:left="274"/>
              <w:jc w:val="center"/>
              <w:rPr>
                <w:sz w:val="22"/>
                <w:szCs w:val="22"/>
              </w:rPr>
            </w:pPr>
            <w:r w:rsidRPr="00F21719">
              <w:rPr>
                <w:sz w:val="22"/>
                <w:szCs w:val="22"/>
              </w:rPr>
              <w:t>0,4</w:t>
            </w:r>
            <w:r w:rsidR="00054680">
              <w:rPr>
                <w:spacing w:val="-1"/>
                <w:sz w:val="22"/>
                <w:szCs w:val="22"/>
              </w:rPr>
              <w:t xml:space="preserve"> %</w:t>
            </w:r>
            <w:r w:rsidRPr="00F21719">
              <w:rPr>
                <w:spacing w:val="-1"/>
                <w:sz w:val="22"/>
                <w:szCs w:val="22"/>
              </w:rPr>
              <w:t> ‒ </w:t>
            </w:r>
            <w:r w:rsidRPr="00F21719">
              <w:rPr>
                <w:sz w:val="22"/>
                <w:szCs w:val="22"/>
              </w:rPr>
              <w:t>3,0</w:t>
            </w:r>
            <w:r w:rsidR="00054680">
              <w:rPr>
                <w:spacing w:val="-1"/>
                <w:sz w:val="22"/>
                <w:szCs w:val="22"/>
              </w:rPr>
              <w:t xml:space="preserve"> %</w:t>
            </w:r>
            <w:r w:rsidRPr="00F21719">
              <w:rPr>
                <w:sz w:val="22"/>
                <w:szCs w:val="22"/>
              </w:rPr>
              <w:t>)</w:t>
            </w:r>
          </w:p>
        </w:tc>
        <w:tc>
          <w:tcPr>
            <w:tcW w:w="2127" w:type="dxa"/>
          </w:tcPr>
          <w:p w14:paraId="4B34D298" w14:textId="77777777" w:rsidR="00F61E6E" w:rsidRPr="00F21719" w:rsidRDefault="00F61E6E" w:rsidP="00F21719">
            <w:pPr>
              <w:widowControl w:val="0"/>
              <w:autoSpaceDE w:val="0"/>
              <w:autoSpaceDN w:val="0"/>
              <w:spacing w:line="251" w:lineRule="exact"/>
              <w:ind w:left="6"/>
              <w:jc w:val="center"/>
              <w:rPr>
                <w:sz w:val="22"/>
                <w:szCs w:val="22"/>
              </w:rPr>
            </w:pPr>
            <w:r w:rsidRPr="00F21719">
              <w:rPr>
                <w:w w:val="99"/>
                <w:sz w:val="22"/>
                <w:szCs w:val="22"/>
              </w:rPr>
              <w:t>5</w:t>
            </w:r>
          </w:p>
          <w:p w14:paraId="447FF34D" w14:textId="639E0D98" w:rsidR="00F61E6E" w:rsidRPr="00F21719" w:rsidRDefault="00F61E6E" w:rsidP="00F21719">
            <w:pPr>
              <w:widowControl w:val="0"/>
              <w:autoSpaceDE w:val="0"/>
              <w:autoSpaceDN w:val="0"/>
              <w:ind w:left="273"/>
              <w:jc w:val="center"/>
              <w:rPr>
                <w:sz w:val="22"/>
                <w:szCs w:val="22"/>
              </w:rPr>
            </w:pPr>
            <w:r w:rsidRPr="00F21719">
              <w:rPr>
                <w:sz w:val="22"/>
                <w:szCs w:val="22"/>
              </w:rPr>
              <w:t>(3,0</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p w14:paraId="7BA5A1E4" w14:textId="03FC1A65" w:rsidR="00F61E6E" w:rsidRPr="00F21719" w:rsidRDefault="00F61E6E" w:rsidP="00F21719">
            <w:pPr>
              <w:widowControl w:val="0"/>
              <w:autoSpaceDE w:val="0"/>
              <w:autoSpaceDN w:val="0"/>
              <w:spacing w:line="233" w:lineRule="exact"/>
              <w:ind w:left="273"/>
              <w:jc w:val="center"/>
              <w:rPr>
                <w:sz w:val="22"/>
                <w:szCs w:val="22"/>
              </w:rPr>
            </w:pPr>
            <w:r w:rsidRPr="00F21719">
              <w:rPr>
                <w:sz w:val="22"/>
                <w:szCs w:val="22"/>
              </w:rPr>
              <w:t>1,2</w:t>
            </w:r>
            <w:r w:rsidR="00054680">
              <w:rPr>
                <w:spacing w:val="-1"/>
                <w:sz w:val="22"/>
                <w:szCs w:val="22"/>
              </w:rPr>
              <w:t xml:space="preserve"> %</w:t>
            </w:r>
            <w:r w:rsidRPr="00F21719">
              <w:rPr>
                <w:spacing w:val="-1"/>
                <w:sz w:val="22"/>
                <w:szCs w:val="22"/>
              </w:rPr>
              <w:t> ‒ </w:t>
            </w:r>
            <w:r w:rsidRPr="00F21719">
              <w:rPr>
                <w:sz w:val="22"/>
                <w:szCs w:val="22"/>
              </w:rPr>
              <w:t>6,6</w:t>
            </w:r>
            <w:r w:rsidR="00054680">
              <w:rPr>
                <w:spacing w:val="-1"/>
                <w:sz w:val="22"/>
                <w:szCs w:val="22"/>
              </w:rPr>
              <w:t xml:space="preserve"> %</w:t>
            </w:r>
            <w:r w:rsidRPr="00F21719">
              <w:rPr>
                <w:sz w:val="22"/>
                <w:szCs w:val="22"/>
              </w:rPr>
              <w:t>)</w:t>
            </w:r>
          </w:p>
        </w:tc>
      </w:tr>
      <w:tr w:rsidR="00F61E6E" w:rsidRPr="00F21719" w14:paraId="45E1D086" w14:textId="77777777" w:rsidTr="00B24633">
        <w:trPr>
          <w:trHeight w:val="758"/>
        </w:trPr>
        <w:tc>
          <w:tcPr>
            <w:tcW w:w="5212" w:type="dxa"/>
          </w:tcPr>
          <w:p w14:paraId="78780145" w14:textId="77777777" w:rsidR="00F61E6E" w:rsidRPr="00F21719" w:rsidRDefault="00F61E6E" w:rsidP="00B24633">
            <w:pPr>
              <w:widowControl w:val="0"/>
              <w:autoSpaceDE w:val="0"/>
              <w:autoSpaceDN w:val="0"/>
              <w:spacing w:line="253" w:lineRule="exact"/>
              <w:ind w:left="107"/>
              <w:rPr>
                <w:sz w:val="22"/>
                <w:szCs w:val="22"/>
              </w:rPr>
            </w:pPr>
            <w:r w:rsidRPr="00F21719">
              <w:rPr>
                <w:sz w:val="22"/>
                <w:szCs w:val="22"/>
              </w:rPr>
              <w:t>Sammensat:</w:t>
            </w:r>
            <w:r w:rsidRPr="00F21719">
              <w:rPr>
                <w:spacing w:val="-2"/>
                <w:sz w:val="22"/>
                <w:szCs w:val="22"/>
              </w:rPr>
              <w:t xml:space="preserve"> </w:t>
            </w:r>
            <w:r w:rsidRPr="00F21719">
              <w:rPr>
                <w:sz w:val="22"/>
                <w:szCs w:val="22"/>
              </w:rPr>
              <w:t>Symptomatisk</w:t>
            </w:r>
            <w:r w:rsidRPr="00F21719">
              <w:rPr>
                <w:spacing w:val="-3"/>
                <w:sz w:val="22"/>
                <w:szCs w:val="22"/>
              </w:rPr>
              <w:t xml:space="preserve"> </w:t>
            </w:r>
            <w:r w:rsidRPr="00F21719">
              <w:rPr>
                <w:sz w:val="22"/>
                <w:szCs w:val="22"/>
              </w:rPr>
              <w:t>recidiverende</w:t>
            </w:r>
            <w:r w:rsidRPr="00F21719">
              <w:rPr>
                <w:spacing w:val="-3"/>
                <w:sz w:val="22"/>
                <w:szCs w:val="22"/>
              </w:rPr>
              <w:t xml:space="preserve"> </w:t>
            </w:r>
            <w:r w:rsidRPr="00F21719">
              <w:rPr>
                <w:sz w:val="22"/>
                <w:szCs w:val="22"/>
              </w:rPr>
              <w:t>VTE</w:t>
            </w:r>
            <w:r w:rsidRPr="00F21719">
              <w:rPr>
                <w:spacing w:val="-3"/>
                <w:sz w:val="22"/>
                <w:szCs w:val="22"/>
              </w:rPr>
              <w:t xml:space="preserve"> </w:t>
            </w:r>
            <w:r w:rsidRPr="00F21719">
              <w:rPr>
                <w:sz w:val="22"/>
                <w:szCs w:val="22"/>
              </w:rPr>
              <w:t>+</w:t>
            </w:r>
          </w:p>
          <w:p w14:paraId="2ED5A968" w14:textId="77777777" w:rsidR="00F61E6E" w:rsidRPr="00F21719" w:rsidRDefault="00F61E6E" w:rsidP="00B24633">
            <w:pPr>
              <w:widowControl w:val="0"/>
              <w:autoSpaceDE w:val="0"/>
              <w:autoSpaceDN w:val="0"/>
              <w:spacing w:line="252" w:lineRule="exact"/>
              <w:ind w:left="107"/>
              <w:rPr>
                <w:sz w:val="22"/>
                <w:szCs w:val="22"/>
              </w:rPr>
            </w:pPr>
            <w:r w:rsidRPr="00F21719">
              <w:rPr>
                <w:sz w:val="22"/>
                <w:szCs w:val="22"/>
              </w:rPr>
              <w:t>asymptomatisk forværring ved gentagen</w:t>
            </w:r>
            <w:r w:rsidRPr="00F21719">
              <w:rPr>
                <w:spacing w:val="-53"/>
                <w:sz w:val="22"/>
                <w:szCs w:val="22"/>
              </w:rPr>
              <w:t xml:space="preserve"> </w:t>
            </w:r>
            <w:r w:rsidRPr="00F21719">
              <w:rPr>
                <w:sz w:val="22"/>
                <w:szCs w:val="22"/>
              </w:rPr>
              <w:t>billeddiagnostik</w:t>
            </w:r>
          </w:p>
        </w:tc>
        <w:tc>
          <w:tcPr>
            <w:tcW w:w="2127" w:type="dxa"/>
          </w:tcPr>
          <w:p w14:paraId="55D0BFA4" w14:textId="77777777" w:rsidR="00F61E6E" w:rsidRPr="00F21719" w:rsidRDefault="00F61E6E" w:rsidP="00F21719">
            <w:pPr>
              <w:widowControl w:val="0"/>
              <w:autoSpaceDE w:val="0"/>
              <w:autoSpaceDN w:val="0"/>
              <w:spacing w:line="253" w:lineRule="exact"/>
              <w:ind w:left="5"/>
              <w:jc w:val="center"/>
              <w:rPr>
                <w:sz w:val="22"/>
                <w:szCs w:val="22"/>
              </w:rPr>
            </w:pPr>
            <w:r w:rsidRPr="00F21719">
              <w:rPr>
                <w:w w:val="99"/>
                <w:sz w:val="22"/>
                <w:szCs w:val="22"/>
              </w:rPr>
              <w:t>5</w:t>
            </w:r>
          </w:p>
          <w:p w14:paraId="4454CDA5" w14:textId="4E798789" w:rsidR="00F61E6E" w:rsidRPr="00F21719" w:rsidRDefault="00F61E6E" w:rsidP="00F21719">
            <w:pPr>
              <w:widowControl w:val="0"/>
              <w:autoSpaceDE w:val="0"/>
              <w:autoSpaceDN w:val="0"/>
              <w:spacing w:line="252" w:lineRule="exact"/>
              <w:ind w:left="274"/>
              <w:jc w:val="center"/>
              <w:rPr>
                <w:sz w:val="22"/>
                <w:szCs w:val="22"/>
              </w:rPr>
            </w:pPr>
            <w:r w:rsidRPr="00F21719">
              <w:rPr>
                <w:sz w:val="22"/>
                <w:szCs w:val="22"/>
              </w:rPr>
              <w:t>(1,5</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p w14:paraId="04620F55" w14:textId="6086B783" w:rsidR="00F61E6E" w:rsidRPr="00F21719" w:rsidRDefault="00F61E6E" w:rsidP="00F21719">
            <w:pPr>
              <w:widowControl w:val="0"/>
              <w:autoSpaceDE w:val="0"/>
              <w:autoSpaceDN w:val="0"/>
              <w:spacing w:line="233" w:lineRule="exact"/>
              <w:ind w:left="274"/>
              <w:jc w:val="center"/>
              <w:rPr>
                <w:sz w:val="22"/>
                <w:szCs w:val="22"/>
              </w:rPr>
            </w:pPr>
            <w:r w:rsidRPr="00F21719">
              <w:rPr>
                <w:sz w:val="22"/>
                <w:szCs w:val="22"/>
              </w:rPr>
              <w:t>0,6</w:t>
            </w:r>
            <w:r w:rsidR="00054680">
              <w:rPr>
                <w:spacing w:val="-1"/>
                <w:sz w:val="22"/>
                <w:szCs w:val="22"/>
              </w:rPr>
              <w:t xml:space="preserve"> %</w:t>
            </w:r>
            <w:r w:rsidRPr="00F21719">
              <w:rPr>
                <w:spacing w:val="-1"/>
                <w:sz w:val="22"/>
                <w:szCs w:val="22"/>
              </w:rPr>
              <w:t> ‒ </w:t>
            </w:r>
            <w:r w:rsidRPr="00F21719">
              <w:rPr>
                <w:sz w:val="22"/>
                <w:szCs w:val="22"/>
              </w:rPr>
              <w:t>3,4</w:t>
            </w:r>
            <w:r w:rsidR="00054680">
              <w:rPr>
                <w:spacing w:val="-1"/>
                <w:sz w:val="22"/>
                <w:szCs w:val="22"/>
              </w:rPr>
              <w:t xml:space="preserve"> %</w:t>
            </w:r>
            <w:r w:rsidRPr="00F21719">
              <w:rPr>
                <w:sz w:val="22"/>
                <w:szCs w:val="22"/>
              </w:rPr>
              <w:t>)</w:t>
            </w:r>
          </w:p>
        </w:tc>
        <w:tc>
          <w:tcPr>
            <w:tcW w:w="2127" w:type="dxa"/>
          </w:tcPr>
          <w:p w14:paraId="40F2E1EE" w14:textId="77777777" w:rsidR="00F61E6E" w:rsidRPr="00F21719" w:rsidRDefault="00F61E6E" w:rsidP="00F21719">
            <w:pPr>
              <w:widowControl w:val="0"/>
              <w:autoSpaceDE w:val="0"/>
              <w:autoSpaceDN w:val="0"/>
              <w:spacing w:line="253" w:lineRule="exact"/>
              <w:ind w:left="6"/>
              <w:jc w:val="center"/>
              <w:rPr>
                <w:sz w:val="22"/>
                <w:szCs w:val="22"/>
              </w:rPr>
            </w:pPr>
            <w:r w:rsidRPr="00F21719">
              <w:rPr>
                <w:w w:val="99"/>
                <w:sz w:val="22"/>
                <w:szCs w:val="22"/>
              </w:rPr>
              <w:t>6</w:t>
            </w:r>
          </w:p>
          <w:p w14:paraId="40D24E30" w14:textId="2774FCA7" w:rsidR="00F61E6E" w:rsidRPr="00F21719" w:rsidRDefault="00F61E6E" w:rsidP="00F21719">
            <w:pPr>
              <w:widowControl w:val="0"/>
              <w:autoSpaceDE w:val="0"/>
              <w:autoSpaceDN w:val="0"/>
              <w:spacing w:line="252" w:lineRule="exact"/>
              <w:ind w:left="273"/>
              <w:jc w:val="center"/>
              <w:rPr>
                <w:sz w:val="22"/>
                <w:szCs w:val="22"/>
              </w:rPr>
            </w:pPr>
            <w:r w:rsidRPr="00F21719">
              <w:rPr>
                <w:sz w:val="22"/>
                <w:szCs w:val="22"/>
              </w:rPr>
              <w:t>(3,6</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p w14:paraId="5F0E6266" w14:textId="6A40DABF" w:rsidR="00F61E6E" w:rsidRPr="00F21719" w:rsidRDefault="00F61E6E" w:rsidP="00F21719">
            <w:pPr>
              <w:widowControl w:val="0"/>
              <w:autoSpaceDE w:val="0"/>
              <w:autoSpaceDN w:val="0"/>
              <w:spacing w:line="233" w:lineRule="exact"/>
              <w:ind w:left="273"/>
              <w:jc w:val="center"/>
              <w:rPr>
                <w:sz w:val="22"/>
                <w:szCs w:val="22"/>
              </w:rPr>
            </w:pPr>
            <w:r w:rsidRPr="00F21719">
              <w:rPr>
                <w:sz w:val="22"/>
                <w:szCs w:val="22"/>
              </w:rPr>
              <w:t>1,6</w:t>
            </w:r>
            <w:r w:rsidR="00054680">
              <w:rPr>
                <w:spacing w:val="-1"/>
                <w:sz w:val="22"/>
                <w:szCs w:val="22"/>
              </w:rPr>
              <w:t xml:space="preserve"> %</w:t>
            </w:r>
            <w:r w:rsidRPr="00F21719">
              <w:rPr>
                <w:spacing w:val="-1"/>
                <w:sz w:val="22"/>
                <w:szCs w:val="22"/>
              </w:rPr>
              <w:t> ‒ </w:t>
            </w:r>
            <w:r w:rsidRPr="00F21719">
              <w:rPr>
                <w:sz w:val="22"/>
                <w:szCs w:val="22"/>
              </w:rPr>
              <w:t>7,6</w:t>
            </w:r>
            <w:r w:rsidR="00054680">
              <w:rPr>
                <w:spacing w:val="-1"/>
                <w:sz w:val="22"/>
                <w:szCs w:val="22"/>
              </w:rPr>
              <w:t xml:space="preserve"> %</w:t>
            </w:r>
            <w:r w:rsidRPr="00F21719">
              <w:rPr>
                <w:sz w:val="22"/>
                <w:szCs w:val="22"/>
              </w:rPr>
              <w:t>)</w:t>
            </w:r>
          </w:p>
        </w:tc>
      </w:tr>
      <w:tr w:rsidR="00F61E6E" w:rsidRPr="00F21719" w14:paraId="20FBFD80" w14:textId="77777777" w:rsidTr="00B24633">
        <w:trPr>
          <w:trHeight w:val="820"/>
        </w:trPr>
        <w:tc>
          <w:tcPr>
            <w:tcW w:w="5212" w:type="dxa"/>
          </w:tcPr>
          <w:p w14:paraId="03098CFC" w14:textId="77777777" w:rsidR="00F61E6E" w:rsidRPr="00F21719" w:rsidRDefault="00F61E6E" w:rsidP="00B24633">
            <w:pPr>
              <w:widowControl w:val="0"/>
              <w:autoSpaceDE w:val="0"/>
              <w:autoSpaceDN w:val="0"/>
              <w:ind w:left="107"/>
              <w:rPr>
                <w:sz w:val="22"/>
                <w:szCs w:val="22"/>
              </w:rPr>
            </w:pPr>
            <w:r w:rsidRPr="00F21719">
              <w:rPr>
                <w:sz w:val="22"/>
                <w:szCs w:val="22"/>
              </w:rPr>
              <w:t>Sammensat: Symptomatisk recidiverende VTE +</w:t>
            </w:r>
            <w:r w:rsidRPr="00F21719">
              <w:rPr>
                <w:spacing w:val="1"/>
                <w:sz w:val="22"/>
                <w:szCs w:val="22"/>
              </w:rPr>
              <w:t xml:space="preserve"> </w:t>
            </w:r>
            <w:r w:rsidRPr="00F21719">
              <w:rPr>
                <w:sz w:val="22"/>
                <w:szCs w:val="22"/>
              </w:rPr>
              <w:t>asymptomatisk forværring + ingen ændring på gentagen</w:t>
            </w:r>
            <w:r w:rsidRPr="00F21719">
              <w:rPr>
                <w:spacing w:val="-53"/>
                <w:sz w:val="22"/>
                <w:szCs w:val="22"/>
              </w:rPr>
              <w:t xml:space="preserve"> </w:t>
            </w:r>
            <w:r w:rsidRPr="00F21719">
              <w:rPr>
                <w:sz w:val="22"/>
                <w:szCs w:val="22"/>
              </w:rPr>
              <w:t>billeddiagnostik</w:t>
            </w:r>
          </w:p>
        </w:tc>
        <w:tc>
          <w:tcPr>
            <w:tcW w:w="2127" w:type="dxa"/>
          </w:tcPr>
          <w:p w14:paraId="20724D08" w14:textId="77777777" w:rsidR="00F61E6E" w:rsidRPr="00F21719" w:rsidRDefault="00F61E6E" w:rsidP="00F21719">
            <w:pPr>
              <w:widowControl w:val="0"/>
              <w:autoSpaceDE w:val="0"/>
              <w:autoSpaceDN w:val="0"/>
              <w:spacing w:line="253" w:lineRule="exact"/>
              <w:ind w:left="274"/>
              <w:jc w:val="center"/>
              <w:rPr>
                <w:sz w:val="22"/>
                <w:szCs w:val="22"/>
              </w:rPr>
            </w:pPr>
            <w:r w:rsidRPr="00F21719">
              <w:rPr>
                <w:sz w:val="22"/>
                <w:szCs w:val="22"/>
              </w:rPr>
              <w:t>21</w:t>
            </w:r>
          </w:p>
          <w:p w14:paraId="5C01E933" w14:textId="59B538D7" w:rsidR="00F61E6E" w:rsidRPr="00F21719" w:rsidRDefault="00F61E6E" w:rsidP="00F21719">
            <w:pPr>
              <w:widowControl w:val="0"/>
              <w:autoSpaceDE w:val="0"/>
              <w:autoSpaceDN w:val="0"/>
              <w:ind w:left="274"/>
              <w:jc w:val="center"/>
              <w:rPr>
                <w:sz w:val="22"/>
                <w:szCs w:val="22"/>
              </w:rPr>
            </w:pPr>
            <w:r w:rsidRPr="00F21719">
              <w:rPr>
                <w:sz w:val="22"/>
                <w:szCs w:val="22"/>
              </w:rPr>
              <w:t>(6,3</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p w14:paraId="505C2A56" w14:textId="44ADBC17" w:rsidR="00F61E6E" w:rsidRPr="00F21719" w:rsidRDefault="00F61E6E" w:rsidP="00F21719">
            <w:pPr>
              <w:widowControl w:val="0"/>
              <w:autoSpaceDE w:val="0"/>
              <w:autoSpaceDN w:val="0"/>
              <w:ind w:left="274"/>
              <w:jc w:val="center"/>
              <w:rPr>
                <w:sz w:val="22"/>
                <w:szCs w:val="22"/>
              </w:rPr>
            </w:pPr>
            <w:r w:rsidRPr="00F21719">
              <w:rPr>
                <w:sz w:val="22"/>
                <w:szCs w:val="22"/>
              </w:rPr>
              <w:t>4,0</w:t>
            </w:r>
            <w:r w:rsidR="00054680">
              <w:rPr>
                <w:spacing w:val="-1"/>
                <w:sz w:val="22"/>
                <w:szCs w:val="22"/>
              </w:rPr>
              <w:t xml:space="preserve"> %</w:t>
            </w:r>
            <w:r w:rsidRPr="00F21719">
              <w:rPr>
                <w:spacing w:val="-1"/>
                <w:sz w:val="22"/>
                <w:szCs w:val="22"/>
              </w:rPr>
              <w:t> ‒ </w:t>
            </w:r>
            <w:r w:rsidRPr="00F21719">
              <w:rPr>
                <w:sz w:val="22"/>
                <w:szCs w:val="22"/>
              </w:rPr>
              <w:t>9,2</w:t>
            </w:r>
            <w:r w:rsidR="00054680">
              <w:rPr>
                <w:spacing w:val="-1"/>
                <w:sz w:val="22"/>
                <w:szCs w:val="22"/>
              </w:rPr>
              <w:t xml:space="preserve"> %</w:t>
            </w:r>
            <w:r w:rsidRPr="00F21719">
              <w:rPr>
                <w:sz w:val="22"/>
                <w:szCs w:val="22"/>
              </w:rPr>
              <w:t>)</w:t>
            </w:r>
          </w:p>
        </w:tc>
        <w:tc>
          <w:tcPr>
            <w:tcW w:w="2127" w:type="dxa"/>
          </w:tcPr>
          <w:p w14:paraId="7AD0F2CA" w14:textId="77777777" w:rsidR="00F61E6E" w:rsidRPr="00F21719" w:rsidRDefault="00F61E6E" w:rsidP="00F21719">
            <w:pPr>
              <w:widowControl w:val="0"/>
              <w:autoSpaceDE w:val="0"/>
              <w:autoSpaceDN w:val="0"/>
              <w:spacing w:line="253" w:lineRule="exact"/>
              <w:ind w:left="274"/>
              <w:jc w:val="center"/>
              <w:rPr>
                <w:sz w:val="22"/>
                <w:szCs w:val="22"/>
              </w:rPr>
            </w:pPr>
            <w:r w:rsidRPr="00F21719">
              <w:rPr>
                <w:sz w:val="22"/>
                <w:szCs w:val="22"/>
              </w:rPr>
              <w:t>19</w:t>
            </w:r>
          </w:p>
          <w:p w14:paraId="3CFF2F83" w14:textId="197C7200" w:rsidR="00F61E6E" w:rsidRPr="00F21719" w:rsidRDefault="00F61E6E" w:rsidP="00F21719">
            <w:pPr>
              <w:widowControl w:val="0"/>
              <w:autoSpaceDE w:val="0"/>
              <w:autoSpaceDN w:val="0"/>
              <w:ind w:left="274"/>
              <w:jc w:val="center"/>
              <w:rPr>
                <w:sz w:val="22"/>
                <w:szCs w:val="22"/>
              </w:rPr>
            </w:pPr>
            <w:r w:rsidRPr="00F21719">
              <w:rPr>
                <w:sz w:val="22"/>
                <w:szCs w:val="22"/>
              </w:rPr>
              <w:t>(11,5</w:t>
            </w:r>
            <w:r w:rsidR="00054680">
              <w:rPr>
                <w:spacing w:val="-1"/>
                <w:sz w:val="22"/>
                <w:szCs w:val="22"/>
              </w:rPr>
              <w:t xml:space="preserve"> %</w:t>
            </w:r>
            <w:r w:rsidRPr="00F21719">
              <w:rPr>
                <w:sz w:val="22"/>
                <w:szCs w:val="22"/>
              </w:rPr>
              <w:t>,</w:t>
            </w:r>
            <w:r w:rsidRPr="00F21719">
              <w:rPr>
                <w:spacing w:val="-1"/>
                <w:sz w:val="22"/>
                <w:szCs w:val="22"/>
              </w:rPr>
              <w:t xml:space="preserve"> </w:t>
            </w:r>
            <w:r w:rsidRPr="00F21719">
              <w:rPr>
                <w:sz w:val="22"/>
                <w:szCs w:val="22"/>
              </w:rPr>
              <w:t>95</w:t>
            </w:r>
            <w:r w:rsidR="00054680">
              <w:rPr>
                <w:spacing w:val="-1"/>
                <w:sz w:val="22"/>
                <w:szCs w:val="22"/>
              </w:rPr>
              <w:t xml:space="preserve"> %</w:t>
            </w:r>
            <w:r w:rsidRPr="00F21719">
              <w:rPr>
                <w:spacing w:val="-2"/>
                <w:sz w:val="22"/>
                <w:szCs w:val="22"/>
              </w:rPr>
              <w:t xml:space="preserve"> </w:t>
            </w:r>
            <w:r w:rsidRPr="00F21719">
              <w:rPr>
                <w:sz w:val="22"/>
                <w:szCs w:val="22"/>
              </w:rPr>
              <w:t>CI</w:t>
            </w:r>
          </w:p>
          <w:p w14:paraId="24CE7F72" w14:textId="06646649" w:rsidR="00F61E6E" w:rsidRPr="00F21719" w:rsidRDefault="00F61E6E" w:rsidP="00F21719">
            <w:pPr>
              <w:widowControl w:val="0"/>
              <w:autoSpaceDE w:val="0"/>
              <w:autoSpaceDN w:val="0"/>
              <w:ind w:left="271"/>
              <w:jc w:val="center"/>
              <w:rPr>
                <w:sz w:val="22"/>
                <w:szCs w:val="22"/>
              </w:rPr>
            </w:pPr>
            <w:r w:rsidRPr="00F21719">
              <w:rPr>
                <w:sz w:val="22"/>
                <w:szCs w:val="22"/>
              </w:rPr>
              <w:t>7,3</w:t>
            </w:r>
            <w:r w:rsidR="00054680">
              <w:rPr>
                <w:spacing w:val="-1"/>
                <w:sz w:val="22"/>
                <w:szCs w:val="22"/>
              </w:rPr>
              <w:t xml:space="preserve"> %</w:t>
            </w:r>
            <w:r w:rsidRPr="00F21719">
              <w:rPr>
                <w:spacing w:val="-2"/>
                <w:sz w:val="22"/>
                <w:szCs w:val="22"/>
              </w:rPr>
              <w:t> ‒ </w:t>
            </w:r>
            <w:r w:rsidRPr="00F21719">
              <w:rPr>
                <w:sz w:val="22"/>
                <w:szCs w:val="22"/>
              </w:rPr>
              <w:t>17,4</w:t>
            </w:r>
            <w:r w:rsidR="00054680">
              <w:rPr>
                <w:spacing w:val="-2"/>
                <w:sz w:val="22"/>
                <w:szCs w:val="22"/>
              </w:rPr>
              <w:t xml:space="preserve"> %</w:t>
            </w:r>
            <w:r w:rsidRPr="00F21719">
              <w:rPr>
                <w:sz w:val="22"/>
                <w:szCs w:val="22"/>
              </w:rPr>
              <w:t>)</w:t>
            </w:r>
          </w:p>
        </w:tc>
      </w:tr>
      <w:tr w:rsidR="00F61E6E" w:rsidRPr="00F21719" w14:paraId="3DA611B6" w14:textId="77777777" w:rsidTr="00B24633">
        <w:trPr>
          <w:trHeight w:val="846"/>
        </w:trPr>
        <w:tc>
          <w:tcPr>
            <w:tcW w:w="5212" w:type="dxa"/>
          </w:tcPr>
          <w:p w14:paraId="7E38DD1B" w14:textId="77777777" w:rsidR="00F61E6E" w:rsidRPr="00F21719" w:rsidRDefault="00F61E6E" w:rsidP="00B24633">
            <w:pPr>
              <w:widowControl w:val="0"/>
              <w:autoSpaceDE w:val="0"/>
              <w:autoSpaceDN w:val="0"/>
              <w:spacing w:line="253" w:lineRule="exact"/>
              <w:ind w:left="107"/>
              <w:rPr>
                <w:sz w:val="22"/>
                <w:szCs w:val="22"/>
              </w:rPr>
            </w:pPr>
            <w:r w:rsidRPr="00F21719">
              <w:rPr>
                <w:sz w:val="22"/>
                <w:szCs w:val="22"/>
              </w:rPr>
              <w:t>Normalisering</w:t>
            </w:r>
            <w:r w:rsidRPr="00F21719">
              <w:rPr>
                <w:spacing w:val="-3"/>
                <w:sz w:val="22"/>
                <w:szCs w:val="22"/>
              </w:rPr>
              <w:t xml:space="preserve"> </w:t>
            </w:r>
            <w:r w:rsidRPr="00F21719">
              <w:rPr>
                <w:sz w:val="22"/>
                <w:szCs w:val="22"/>
              </w:rPr>
              <w:t>på</w:t>
            </w:r>
            <w:r w:rsidRPr="00F21719">
              <w:rPr>
                <w:spacing w:val="-4"/>
                <w:sz w:val="22"/>
                <w:szCs w:val="22"/>
              </w:rPr>
              <w:t xml:space="preserve"> </w:t>
            </w:r>
            <w:r w:rsidRPr="00F21719">
              <w:rPr>
                <w:sz w:val="22"/>
                <w:szCs w:val="22"/>
              </w:rPr>
              <w:t>gentagen</w:t>
            </w:r>
            <w:r w:rsidRPr="00F21719">
              <w:rPr>
                <w:spacing w:val="-4"/>
                <w:sz w:val="22"/>
                <w:szCs w:val="22"/>
              </w:rPr>
              <w:t xml:space="preserve"> </w:t>
            </w:r>
            <w:r w:rsidRPr="00F21719">
              <w:rPr>
                <w:sz w:val="22"/>
                <w:szCs w:val="22"/>
              </w:rPr>
              <w:t>billeddiagnostik</w:t>
            </w:r>
          </w:p>
        </w:tc>
        <w:tc>
          <w:tcPr>
            <w:tcW w:w="2127" w:type="dxa"/>
          </w:tcPr>
          <w:p w14:paraId="66874B31" w14:textId="77777777" w:rsidR="00F61E6E" w:rsidRPr="00F21719" w:rsidRDefault="00F61E6E" w:rsidP="00F21719">
            <w:pPr>
              <w:widowControl w:val="0"/>
              <w:autoSpaceDE w:val="0"/>
              <w:autoSpaceDN w:val="0"/>
              <w:spacing w:line="253" w:lineRule="exact"/>
              <w:ind w:left="274"/>
              <w:jc w:val="center"/>
              <w:rPr>
                <w:sz w:val="22"/>
                <w:szCs w:val="22"/>
              </w:rPr>
            </w:pPr>
            <w:r w:rsidRPr="00F21719">
              <w:rPr>
                <w:sz w:val="22"/>
                <w:szCs w:val="22"/>
              </w:rPr>
              <w:t>128</w:t>
            </w:r>
          </w:p>
          <w:p w14:paraId="6F5C96B3" w14:textId="7C058FA4" w:rsidR="00F61E6E" w:rsidRPr="00F21719" w:rsidRDefault="00F61E6E" w:rsidP="00F21719">
            <w:pPr>
              <w:widowControl w:val="0"/>
              <w:autoSpaceDE w:val="0"/>
              <w:autoSpaceDN w:val="0"/>
              <w:ind w:left="273"/>
              <w:jc w:val="center"/>
              <w:rPr>
                <w:sz w:val="22"/>
                <w:szCs w:val="22"/>
              </w:rPr>
            </w:pPr>
            <w:r w:rsidRPr="00F21719">
              <w:rPr>
                <w:sz w:val="22"/>
                <w:szCs w:val="22"/>
              </w:rPr>
              <w:t>(38,2</w:t>
            </w:r>
            <w:r w:rsidR="00054680">
              <w:rPr>
                <w:spacing w:val="-2"/>
                <w:sz w:val="22"/>
                <w:szCs w:val="22"/>
              </w:rPr>
              <w:t xml:space="preserve"> %</w:t>
            </w:r>
            <w:r w:rsidRPr="00F21719">
              <w:rPr>
                <w:sz w:val="22"/>
                <w:szCs w:val="22"/>
              </w:rPr>
              <w:t>,</w:t>
            </w:r>
            <w:r w:rsidRPr="00F21719">
              <w:rPr>
                <w:spacing w:val="-1"/>
                <w:sz w:val="22"/>
                <w:szCs w:val="22"/>
              </w:rPr>
              <w:t xml:space="preserve"> </w:t>
            </w:r>
            <w:r w:rsidRPr="00F21719">
              <w:rPr>
                <w:sz w:val="22"/>
                <w:szCs w:val="22"/>
              </w:rPr>
              <w:t>95</w:t>
            </w:r>
            <w:r w:rsidR="00054680">
              <w:rPr>
                <w:spacing w:val="-2"/>
                <w:sz w:val="22"/>
                <w:szCs w:val="22"/>
              </w:rPr>
              <w:t xml:space="preserve"> %</w:t>
            </w:r>
            <w:r w:rsidRPr="00F21719">
              <w:rPr>
                <w:spacing w:val="-2"/>
                <w:sz w:val="22"/>
                <w:szCs w:val="22"/>
              </w:rPr>
              <w:t xml:space="preserve"> </w:t>
            </w:r>
            <w:r w:rsidRPr="00F21719">
              <w:rPr>
                <w:sz w:val="22"/>
                <w:szCs w:val="22"/>
              </w:rPr>
              <w:t>CI</w:t>
            </w:r>
          </w:p>
          <w:p w14:paraId="4E0E538D" w14:textId="16C33D2B" w:rsidR="00F61E6E" w:rsidRPr="00F21719" w:rsidRDefault="00F61E6E" w:rsidP="00F21719">
            <w:pPr>
              <w:widowControl w:val="0"/>
              <w:autoSpaceDE w:val="0"/>
              <w:autoSpaceDN w:val="0"/>
              <w:ind w:left="273"/>
              <w:jc w:val="center"/>
              <w:rPr>
                <w:sz w:val="22"/>
                <w:szCs w:val="22"/>
              </w:rPr>
            </w:pPr>
            <w:r w:rsidRPr="00F21719">
              <w:rPr>
                <w:sz w:val="22"/>
                <w:szCs w:val="22"/>
              </w:rPr>
              <w:t>33,0</w:t>
            </w:r>
            <w:r w:rsidR="00054680">
              <w:rPr>
                <w:spacing w:val="-2"/>
                <w:sz w:val="22"/>
                <w:szCs w:val="22"/>
              </w:rPr>
              <w:t xml:space="preserve"> %</w:t>
            </w:r>
            <w:r w:rsidRPr="00F21719">
              <w:rPr>
                <w:spacing w:val="-2"/>
                <w:sz w:val="22"/>
                <w:szCs w:val="22"/>
              </w:rPr>
              <w:t> ‒ </w:t>
            </w:r>
            <w:r w:rsidRPr="00F21719">
              <w:rPr>
                <w:sz w:val="22"/>
                <w:szCs w:val="22"/>
              </w:rPr>
              <w:t>43,5</w:t>
            </w:r>
            <w:r w:rsidR="00054680">
              <w:rPr>
                <w:spacing w:val="-2"/>
                <w:sz w:val="22"/>
                <w:szCs w:val="22"/>
              </w:rPr>
              <w:t xml:space="preserve"> %</w:t>
            </w:r>
            <w:r w:rsidRPr="00F21719">
              <w:rPr>
                <w:sz w:val="22"/>
                <w:szCs w:val="22"/>
              </w:rPr>
              <w:t>)</w:t>
            </w:r>
          </w:p>
        </w:tc>
        <w:tc>
          <w:tcPr>
            <w:tcW w:w="2127" w:type="dxa"/>
          </w:tcPr>
          <w:p w14:paraId="16A83240" w14:textId="77777777" w:rsidR="00F61E6E" w:rsidRPr="00F21719" w:rsidRDefault="00F61E6E" w:rsidP="00F21719">
            <w:pPr>
              <w:widowControl w:val="0"/>
              <w:autoSpaceDE w:val="0"/>
              <w:autoSpaceDN w:val="0"/>
              <w:spacing w:line="253" w:lineRule="exact"/>
              <w:ind w:left="274"/>
              <w:jc w:val="center"/>
              <w:rPr>
                <w:sz w:val="22"/>
                <w:szCs w:val="22"/>
              </w:rPr>
            </w:pPr>
            <w:r w:rsidRPr="00F21719">
              <w:rPr>
                <w:sz w:val="22"/>
                <w:szCs w:val="22"/>
              </w:rPr>
              <w:t>43</w:t>
            </w:r>
          </w:p>
          <w:p w14:paraId="4D9C758D" w14:textId="6DDEEA91" w:rsidR="00F61E6E" w:rsidRPr="00F21719" w:rsidRDefault="00F61E6E" w:rsidP="00F21719">
            <w:pPr>
              <w:widowControl w:val="0"/>
              <w:autoSpaceDE w:val="0"/>
              <w:autoSpaceDN w:val="0"/>
              <w:ind w:left="274"/>
              <w:jc w:val="center"/>
              <w:rPr>
                <w:sz w:val="22"/>
                <w:szCs w:val="22"/>
              </w:rPr>
            </w:pPr>
            <w:r w:rsidRPr="00F21719">
              <w:rPr>
                <w:sz w:val="22"/>
                <w:szCs w:val="22"/>
              </w:rPr>
              <w:t>(26,1</w:t>
            </w:r>
            <w:r w:rsidR="00054680">
              <w:rPr>
                <w:spacing w:val="-1"/>
                <w:sz w:val="22"/>
                <w:szCs w:val="22"/>
              </w:rPr>
              <w:t xml:space="preserve"> %</w:t>
            </w:r>
            <w:r w:rsidRPr="00F21719">
              <w:rPr>
                <w:sz w:val="22"/>
                <w:szCs w:val="22"/>
              </w:rPr>
              <w:t>,</w:t>
            </w:r>
            <w:r w:rsidRPr="00F21719">
              <w:rPr>
                <w:spacing w:val="-1"/>
                <w:sz w:val="22"/>
                <w:szCs w:val="22"/>
              </w:rPr>
              <w:t xml:space="preserve"> </w:t>
            </w:r>
            <w:r w:rsidRPr="00F21719">
              <w:rPr>
                <w:sz w:val="22"/>
                <w:szCs w:val="22"/>
              </w:rPr>
              <w:t>95</w:t>
            </w:r>
            <w:r w:rsidR="00054680">
              <w:rPr>
                <w:spacing w:val="-1"/>
                <w:sz w:val="22"/>
                <w:szCs w:val="22"/>
              </w:rPr>
              <w:t xml:space="preserve"> %</w:t>
            </w:r>
            <w:r w:rsidRPr="00F21719">
              <w:rPr>
                <w:spacing w:val="-2"/>
                <w:sz w:val="22"/>
                <w:szCs w:val="22"/>
              </w:rPr>
              <w:t xml:space="preserve"> </w:t>
            </w:r>
            <w:r w:rsidRPr="00F21719">
              <w:rPr>
                <w:sz w:val="22"/>
                <w:szCs w:val="22"/>
              </w:rPr>
              <w:t>CI</w:t>
            </w:r>
          </w:p>
          <w:p w14:paraId="065673D3" w14:textId="757583E4" w:rsidR="00F61E6E" w:rsidRPr="00F21719" w:rsidRDefault="00F61E6E" w:rsidP="00F21719">
            <w:pPr>
              <w:widowControl w:val="0"/>
              <w:autoSpaceDE w:val="0"/>
              <w:autoSpaceDN w:val="0"/>
              <w:ind w:left="272"/>
              <w:jc w:val="center"/>
              <w:rPr>
                <w:sz w:val="22"/>
                <w:szCs w:val="22"/>
              </w:rPr>
            </w:pPr>
            <w:r w:rsidRPr="00F21719">
              <w:rPr>
                <w:sz w:val="22"/>
                <w:szCs w:val="22"/>
              </w:rPr>
              <w:t>19,8</w:t>
            </w:r>
            <w:r w:rsidR="00054680">
              <w:rPr>
                <w:spacing w:val="-1"/>
                <w:sz w:val="22"/>
                <w:szCs w:val="22"/>
              </w:rPr>
              <w:t xml:space="preserve"> %</w:t>
            </w:r>
            <w:r w:rsidRPr="00F21719">
              <w:rPr>
                <w:spacing w:val="-2"/>
                <w:sz w:val="22"/>
                <w:szCs w:val="22"/>
              </w:rPr>
              <w:t> ‒ </w:t>
            </w:r>
            <w:r w:rsidRPr="00F21719">
              <w:rPr>
                <w:sz w:val="22"/>
                <w:szCs w:val="22"/>
              </w:rPr>
              <w:t>33,0</w:t>
            </w:r>
            <w:r w:rsidR="00054680">
              <w:rPr>
                <w:sz w:val="22"/>
                <w:szCs w:val="22"/>
              </w:rPr>
              <w:t xml:space="preserve"> %</w:t>
            </w:r>
            <w:r w:rsidRPr="00F21719">
              <w:rPr>
                <w:sz w:val="22"/>
                <w:szCs w:val="22"/>
              </w:rPr>
              <w:t>)</w:t>
            </w:r>
          </w:p>
        </w:tc>
      </w:tr>
      <w:tr w:rsidR="00F61E6E" w:rsidRPr="00F21719" w14:paraId="28408C32" w14:textId="77777777" w:rsidTr="00B24633">
        <w:trPr>
          <w:trHeight w:val="972"/>
        </w:trPr>
        <w:tc>
          <w:tcPr>
            <w:tcW w:w="5212" w:type="dxa"/>
          </w:tcPr>
          <w:p w14:paraId="27024577" w14:textId="77777777" w:rsidR="00F61E6E" w:rsidRPr="00F21719" w:rsidRDefault="00F61E6E" w:rsidP="00B24633">
            <w:pPr>
              <w:widowControl w:val="0"/>
              <w:autoSpaceDE w:val="0"/>
              <w:autoSpaceDN w:val="0"/>
              <w:ind w:left="107"/>
              <w:rPr>
                <w:sz w:val="22"/>
                <w:szCs w:val="22"/>
              </w:rPr>
            </w:pPr>
            <w:r w:rsidRPr="00F21719">
              <w:rPr>
                <w:sz w:val="22"/>
                <w:szCs w:val="22"/>
              </w:rPr>
              <w:t>Sammensat: Symptomatisk recidiverende VTE + større</w:t>
            </w:r>
            <w:r w:rsidRPr="00F21719">
              <w:rPr>
                <w:spacing w:val="-53"/>
                <w:sz w:val="22"/>
                <w:szCs w:val="22"/>
              </w:rPr>
              <w:t xml:space="preserve"> </w:t>
            </w:r>
            <w:r w:rsidRPr="00F21719">
              <w:rPr>
                <w:sz w:val="22"/>
                <w:szCs w:val="22"/>
              </w:rPr>
              <w:t>blødning</w:t>
            </w:r>
            <w:r w:rsidRPr="00F21719">
              <w:rPr>
                <w:spacing w:val="-1"/>
                <w:sz w:val="22"/>
                <w:szCs w:val="22"/>
              </w:rPr>
              <w:t xml:space="preserve"> </w:t>
            </w:r>
            <w:r w:rsidRPr="00F21719">
              <w:rPr>
                <w:sz w:val="22"/>
                <w:szCs w:val="22"/>
              </w:rPr>
              <w:t>(netto klinisk</w:t>
            </w:r>
            <w:r w:rsidRPr="00F21719">
              <w:rPr>
                <w:spacing w:val="-2"/>
                <w:sz w:val="22"/>
                <w:szCs w:val="22"/>
              </w:rPr>
              <w:t xml:space="preserve"> </w:t>
            </w:r>
            <w:r w:rsidRPr="00F21719">
              <w:rPr>
                <w:sz w:val="22"/>
                <w:szCs w:val="22"/>
              </w:rPr>
              <w:t>benefit)</w:t>
            </w:r>
          </w:p>
        </w:tc>
        <w:tc>
          <w:tcPr>
            <w:tcW w:w="2127" w:type="dxa"/>
          </w:tcPr>
          <w:p w14:paraId="1D2FB19C" w14:textId="77777777" w:rsidR="00F61E6E" w:rsidRPr="00F21719" w:rsidRDefault="00F61E6E" w:rsidP="00F21719">
            <w:pPr>
              <w:widowControl w:val="0"/>
              <w:autoSpaceDE w:val="0"/>
              <w:autoSpaceDN w:val="0"/>
              <w:spacing w:line="253" w:lineRule="exact"/>
              <w:ind w:left="5"/>
              <w:jc w:val="center"/>
              <w:rPr>
                <w:sz w:val="22"/>
                <w:szCs w:val="22"/>
              </w:rPr>
            </w:pPr>
            <w:r w:rsidRPr="00F21719">
              <w:rPr>
                <w:w w:val="99"/>
                <w:sz w:val="22"/>
                <w:szCs w:val="22"/>
              </w:rPr>
              <w:t>4</w:t>
            </w:r>
          </w:p>
          <w:p w14:paraId="49BD7D2C" w14:textId="49B47ECA" w:rsidR="00F61E6E" w:rsidRPr="00F21719" w:rsidRDefault="00F61E6E" w:rsidP="00F21719">
            <w:pPr>
              <w:widowControl w:val="0"/>
              <w:autoSpaceDE w:val="0"/>
              <w:autoSpaceDN w:val="0"/>
              <w:ind w:left="274"/>
              <w:jc w:val="center"/>
              <w:rPr>
                <w:sz w:val="22"/>
                <w:szCs w:val="22"/>
              </w:rPr>
            </w:pPr>
            <w:r w:rsidRPr="00F21719">
              <w:rPr>
                <w:sz w:val="22"/>
                <w:szCs w:val="22"/>
              </w:rPr>
              <w:t>(1,2</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p w14:paraId="0577D01D" w14:textId="29E13FE2" w:rsidR="00F61E6E" w:rsidRPr="00F21719" w:rsidRDefault="00F61E6E" w:rsidP="00F21719">
            <w:pPr>
              <w:widowControl w:val="0"/>
              <w:autoSpaceDE w:val="0"/>
              <w:autoSpaceDN w:val="0"/>
              <w:ind w:left="274"/>
              <w:jc w:val="center"/>
              <w:rPr>
                <w:sz w:val="22"/>
                <w:szCs w:val="22"/>
              </w:rPr>
            </w:pPr>
            <w:r w:rsidRPr="00F21719">
              <w:rPr>
                <w:sz w:val="22"/>
                <w:szCs w:val="22"/>
              </w:rPr>
              <w:t>0,4</w:t>
            </w:r>
            <w:r w:rsidR="00054680">
              <w:rPr>
                <w:spacing w:val="-1"/>
                <w:sz w:val="22"/>
                <w:szCs w:val="22"/>
              </w:rPr>
              <w:t xml:space="preserve"> %</w:t>
            </w:r>
            <w:r w:rsidRPr="00F21719">
              <w:rPr>
                <w:spacing w:val="-1"/>
                <w:sz w:val="22"/>
                <w:szCs w:val="22"/>
              </w:rPr>
              <w:t> ‒ </w:t>
            </w:r>
            <w:r w:rsidRPr="00F21719">
              <w:rPr>
                <w:sz w:val="22"/>
                <w:szCs w:val="22"/>
              </w:rPr>
              <w:t>3,0</w:t>
            </w:r>
            <w:r w:rsidR="00054680">
              <w:rPr>
                <w:spacing w:val="-1"/>
                <w:sz w:val="22"/>
                <w:szCs w:val="22"/>
              </w:rPr>
              <w:t xml:space="preserve"> %</w:t>
            </w:r>
            <w:r w:rsidRPr="00F21719">
              <w:rPr>
                <w:sz w:val="22"/>
                <w:szCs w:val="22"/>
              </w:rPr>
              <w:t>)</w:t>
            </w:r>
          </w:p>
        </w:tc>
        <w:tc>
          <w:tcPr>
            <w:tcW w:w="2127" w:type="dxa"/>
          </w:tcPr>
          <w:p w14:paraId="607794D1" w14:textId="77777777" w:rsidR="00F61E6E" w:rsidRPr="00F21719" w:rsidRDefault="00F61E6E" w:rsidP="00F21719">
            <w:pPr>
              <w:widowControl w:val="0"/>
              <w:autoSpaceDE w:val="0"/>
              <w:autoSpaceDN w:val="0"/>
              <w:spacing w:line="253" w:lineRule="exact"/>
              <w:ind w:left="6"/>
              <w:jc w:val="center"/>
              <w:rPr>
                <w:sz w:val="22"/>
                <w:szCs w:val="22"/>
              </w:rPr>
            </w:pPr>
            <w:r w:rsidRPr="00F21719">
              <w:rPr>
                <w:w w:val="99"/>
                <w:sz w:val="22"/>
                <w:szCs w:val="22"/>
              </w:rPr>
              <w:t>7</w:t>
            </w:r>
          </w:p>
          <w:p w14:paraId="6694FD2D" w14:textId="608C021F" w:rsidR="00F61E6E" w:rsidRPr="00F21719" w:rsidRDefault="00F61E6E" w:rsidP="00F21719">
            <w:pPr>
              <w:widowControl w:val="0"/>
              <w:autoSpaceDE w:val="0"/>
              <w:autoSpaceDN w:val="0"/>
              <w:ind w:left="273"/>
              <w:jc w:val="center"/>
              <w:rPr>
                <w:sz w:val="22"/>
                <w:szCs w:val="22"/>
              </w:rPr>
            </w:pPr>
            <w:r w:rsidRPr="00F21719">
              <w:rPr>
                <w:sz w:val="22"/>
                <w:szCs w:val="22"/>
              </w:rPr>
              <w:t>(4,2</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p w14:paraId="7CC18CB9" w14:textId="7A12894A" w:rsidR="00F61E6E" w:rsidRPr="00F21719" w:rsidRDefault="00F61E6E" w:rsidP="00F21719">
            <w:pPr>
              <w:widowControl w:val="0"/>
              <w:autoSpaceDE w:val="0"/>
              <w:autoSpaceDN w:val="0"/>
              <w:ind w:left="273"/>
              <w:jc w:val="center"/>
              <w:rPr>
                <w:sz w:val="22"/>
                <w:szCs w:val="22"/>
              </w:rPr>
            </w:pPr>
            <w:r w:rsidRPr="00F21719">
              <w:rPr>
                <w:sz w:val="22"/>
                <w:szCs w:val="22"/>
              </w:rPr>
              <w:t>2,0</w:t>
            </w:r>
            <w:r w:rsidR="00054680">
              <w:rPr>
                <w:spacing w:val="-1"/>
                <w:sz w:val="22"/>
                <w:szCs w:val="22"/>
              </w:rPr>
              <w:t xml:space="preserve"> %</w:t>
            </w:r>
            <w:r w:rsidRPr="00F21719">
              <w:rPr>
                <w:spacing w:val="-1"/>
                <w:sz w:val="22"/>
                <w:szCs w:val="22"/>
              </w:rPr>
              <w:t> ‒ </w:t>
            </w:r>
            <w:r w:rsidRPr="00F21719">
              <w:rPr>
                <w:sz w:val="22"/>
                <w:szCs w:val="22"/>
              </w:rPr>
              <w:t>8,4</w:t>
            </w:r>
            <w:r w:rsidR="00054680">
              <w:rPr>
                <w:spacing w:val="-1"/>
                <w:sz w:val="22"/>
                <w:szCs w:val="22"/>
              </w:rPr>
              <w:t xml:space="preserve"> %</w:t>
            </w:r>
            <w:r w:rsidRPr="00F21719">
              <w:rPr>
                <w:sz w:val="22"/>
                <w:szCs w:val="22"/>
              </w:rPr>
              <w:t>)</w:t>
            </w:r>
          </w:p>
        </w:tc>
      </w:tr>
      <w:tr w:rsidR="00F61E6E" w:rsidRPr="00F21719" w14:paraId="309DAA12" w14:textId="77777777" w:rsidTr="00B24633">
        <w:trPr>
          <w:trHeight w:val="844"/>
        </w:trPr>
        <w:tc>
          <w:tcPr>
            <w:tcW w:w="5212" w:type="dxa"/>
          </w:tcPr>
          <w:p w14:paraId="4F4F1EB9" w14:textId="77777777" w:rsidR="00F61E6E" w:rsidRPr="00F21719" w:rsidRDefault="00F61E6E" w:rsidP="00B24633">
            <w:pPr>
              <w:widowControl w:val="0"/>
              <w:autoSpaceDE w:val="0"/>
              <w:autoSpaceDN w:val="0"/>
              <w:spacing w:line="253" w:lineRule="exact"/>
              <w:ind w:left="107"/>
              <w:rPr>
                <w:sz w:val="22"/>
                <w:szCs w:val="22"/>
              </w:rPr>
            </w:pPr>
            <w:r w:rsidRPr="00F21719">
              <w:rPr>
                <w:sz w:val="22"/>
                <w:szCs w:val="22"/>
              </w:rPr>
              <w:t>Dødelig</w:t>
            </w:r>
            <w:r w:rsidRPr="00F21719">
              <w:rPr>
                <w:spacing w:val="-3"/>
                <w:sz w:val="22"/>
                <w:szCs w:val="22"/>
              </w:rPr>
              <w:t xml:space="preserve"> </w:t>
            </w:r>
            <w:r w:rsidRPr="00F21719">
              <w:rPr>
                <w:sz w:val="22"/>
                <w:szCs w:val="22"/>
              </w:rPr>
              <w:t>eller</w:t>
            </w:r>
            <w:r w:rsidRPr="00F21719">
              <w:rPr>
                <w:spacing w:val="-2"/>
                <w:sz w:val="22"/>
                <w:szCs w:val="22"/>
              </w:rPr>
              <w:t xml:space="preserve"> </w:t>
            </w:r>
            <w:r w:rsidRPr="00F21719">
              <w:rPr>
                <w:sz w:val="22"/>
                <w:szCs w:val="22"/>
              </w:rPr>
              <w:t>ikke-dødelig</w:t>
            </w:r>
            <w:r w:rsidRPr="00F21719">
              <w:rPr>
                <w:spacing w:val="-4"/>
                <w:sz w:val="22"/>
                <w:szCs w:val="22"/>
              </w:rPr>
              <w:t xml:space="preserve"> </w:t>
            </w:r>
            <w:r w:rsidRPr="00F21719">
              <w:rPr>
                <w:sz w:val="22"/>
                <w:szCs w:val="22"/>
              </w:rPr>
              <w:t>lungeemboli</w:t>
            </w:r>
          </w:p>
        </w:tc>
        <w:tc>
          <w:tcPr>
            <w:tcW w:w="2127" w:type="dxa"/>
          </w:tcPr>
          <w:p w14:paraId="295A80C4" w14:textId="77777777" w:rsidR="00F61E6E" w:rsidRPr="00F21719" w:rsidRDefault="00F61E6E" w:rsidP="00F21719">
            <w:pPr>
              <w:widowControl w:val="0"/>
              <w:autoSpaceDE w:val="0"/>
              <w:autoSpaceDN w:val="0"/>
              <w:spacing w:line="252" w:lineRule="exact"/>
              <w:ind w:left="5"/>
              <w:jc w:val="center"/>
              <w:rPr>
                <w:sz w:val="22"/>
                <w:szCs w:val="22"/>
              </w:rPr>
            </w:pPr>
            <w:r w:rsidRPr="00F21719">
              <w:rPr>
                <w:w w:val="99"/>
                <w:sz w:val="22"/>
                <w:szCs w:val="22"/>
              </w:rPr>
              <w:t>1</w:t>
            </w:r>
          </w:p>
          <w:p w14:paraId="100AA5B7" w14:textId="2434E5F1" w:rsidR="00F61E6E" w:rsidRPr="00F21719" w:rsidRDefault="00F61E6E" w:rsidP="00F21719">
            <w:pPr>
              <w:widowControl w:val="0"/>
              <w:autoSpaceDE w:val="0"/>
              <w:autoSpaceDN w:val="0"/>
              <w:spacing w:line="252" w:lineRule="exact"/>
              <w:ind w:left="274"/>
              <w:jc w:val="center"/>
              <w:rPr>
                <w:sz w:val="22"/>
                <w:szCs w:val="22"/>
              </w:rPr>
            </w:pPr>
            <w:r w:rsidRPr="00F21719">
              <w:rPr>
                <w:sz w:val="22"/>
                <w:szCs w:val="22"/>
              </w:rPr>
              <w:t>(0,3</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p w14:paraId="03840E0A" w14:textId="21EB8DFB" w:rsidR="00F61E6E" w:rsidRPr="00F21719" w:rsidRDefault="00F61E6E" w:rsidP="00F21719">
            <w:pPr>
              <w:widowControl w:val="0"/>
              <w:autoSpaceDE w:val="0"/>
              <w:autoSpaceDN w:val="0"/>
              <w:ind w:left="274"/>
              <w:jc w:val="center"/>
              <w:rPr>
                <w:sz w:val="22"/>
                <w:szCs w:val="22"/>
              </w:rPr>
            </w:pPr>
            <w:r w:rsidRPr="00F21719">
              <w:rPr>
                <w:sz w:val="22"/>
                <w:szCs w:val="22"/>
              </w:rPr>
              <w:t>0,0</w:t>
            </w:r>
            <w:r w:rsidR="00054680">
              <w:rPr>
                <w:spacing w:val="-1"/>
                <w:sz w:val="22"/>
                <w:szCs w:val="22"/>
              </w:rPr>
              <w:t xml:space="preserve"> %</w:t>
            </w:r>
            <w:r w:rsidRPr="00F21719">
              <w:rPr>
                <w:spacing w:val="-1"/>
                <w:sz w:val="22"/>
                <w:szCs w:val="22"/>
              </w:rPr>
              <w:t> ‒ </w:t>
            </w:r>
            <w:r w:rsidRPr="00F21719">
              <w:rPr>
                <w:sz w:val="22"/>
                <w:szCs w:val="22"/>
              </w:rPr>
              <w:t>1,6</w:t>
            </w:r>
            <w:r w:rsidR="00054680">
              <w:rPr>
                <w:spacing w:val="-1"/>
                <w:sz w:val="22"/>
                <w:szCs w:val="22"/>
              </w:rPr>
              <w:t xml:space="preserve"> %</w:t>
            </w:r>
            <w:r w:rsidRPr="00F21719">
              <w:rPr>
                <w:sz w:val="22"/>
                <w:szCs w:val="22"/>
              </w:rPr>
              <w:t>)</w:t>
            </w:r>
          </w:p>
        </w:tc>
        <w:tc>
          <w:tcPr>
            <w:tcW w:w="2127" w:type="dxa"/>
          </w:tcPr>
          <w:p w14:paraId="7C1B3DB7" w14:textId="77777777" w:rsidR="00F61E6E" w:rsidRPr="00F21719" w:rsidRDefault="00F61E6E" w:rsidP="00F21719">
            <w:pPr>
              <w:widowControl w:val="0"/>
              <w:autoSpaceDE w:val="0"/>
              <w:autoSpaceDN w:val="0"/>
              <w:spacing w:line="252" w:lineRule="exact"/>
              <w:ind w:left="6"/>
              <w:jc w:val="center"/>
              <w:rPr>
                <w:sz w:val="22"/>
                <w:szCs w:val="22"/>
              </w:rPr>
            </w:pPr>
            <w:r w:rsidRPr="00F21719">
              <w:rPr>
                <w:w w:val="99"/>
                <w:sz w:val="22"/>
                <w:szCs w:val="22"/>
              </w:rPr>
              <w:t>1</w:t>
            </w:r>
          </w:p>
          <w:p w14:paraId="3C1B9C80" w14:textId="6A2AE7C0" w:rsidR="00F61E6E" w:rsidRPr="00F21719" w:rsidRDefault="00F61E6E" w:rsidP="00F21719">
            <w:pPr>
              <w:widowControl w:val="0"/>
              <w:autoSpaceDE w:val="0"/>
              <w:autoSpaceDN w:val="0"/>
              <w:spacing w:line="252" w:lineRule="exact"/>
              <w:ind w:left="273"/>
              <w:jc w:val="center"/>
              <w:rPr>
                <w:sz w:val="22"/>
                <w:szCs w:val="22"/>
              </w:rPr>
            </w:pPr>
            <w:r w:rsidRPr="00F21719">
              <w:rPr>
                <w:sz w:val="22"/>
                <w:szCs w:val="22"/>
              </w:rPr>
              <w:t>(0,6</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p w14:paraId="0A4FC0A2" w14:textId="2CBA74CF" w:rsidR="00F61E6E" w:rsidRPr="00F21719" w:rsidRDefault="00F61E6E" w:rsidP="00F21719">
            <w:pPr>
              <w:widowControl w:val="0"/>
              <w:autoSpaceDE w:val="0"/>
              <w:autoSpaceDN w:val="0"/>
              <w:ind w:left="273"/>
              <w:jc w:val="center"/>
              <w:rPr>
                <w:sz w:val="22"/>
                <w:szCs w:val="22"/>
              </w:rPr>
            </w:pPr>
            <w:r w:rsidRPr="00F21719">
              <w:rPr>
                <w:sz w:val="22"/>
                <w:szCs w:val="22"/>
              </w:rPr>
              <w:t>0,0</w:t>
            </w:r>
            <w:r w:rsidR="00054680">
              <w:rPr>
                <w:spacing w:val="-1"/>
                <w:sz w:val="22"/>
                <w:szCs w:val="22"/>
              </w:rPr>
              <w:t xml:space="preserve"> %</w:t>
            </w:r>
            <w:r w:rsidRPr="00F21719">
              <w:rPr>
                <w:spacing w:val="-1"/>
                <w:sz w:val="22"/>
                <w:szCs w:val="22"/>
              </w:rPr>
              <w:t> ‒ </w:t>
            </w:r>
            <w:r w:rsidRPr="00F21719">
              <w:rPr>
                <w:sz w:val="22"/>
                <w:szCs w:val="22"/>
              </w:rPr>
              <w:t>3,1</w:t>
            </w:r>
            <w:r w:rsidR="00054680">
              <w:rPr>
                <w:spacing w:val="-1"/>
                <w:sz w:val="22"/>
                <w:szCs w:val="22"/>
              </w:rPr>
              <w:t xml:space="preserve"> %</w:t>
            </w:r>
            <w:r w:rsidRPr="00F21719">
              <w:rPr>
                <w:sz w:val="22"/>
                <w:szCs w:val="22"/>
              </w:rPr>
              <w:t>)</w:t>
            </w:r>
          </w:p>
        </w:tc>
      </w:tr>
    </w:tbl>
    <w:p w14:paraId="2B923641" w14:textId="77777777" w:rsidR="00F61E6E" w:rsidRPr="00F21719" w:rsidRDefault="00F61E6E" w:rsidP="00B24633">
      <w:pPr>
        <w:tabs>
          <w:tab w:val="left" w:pos="851"/>
          <w:tab w:val="left" w:pos="1560"/>
        </w:tabs>
        <w:ind w:left="851"/>
        <w:rPr>
          <w:sz w:val="22"/>
          <w:szCs w:val="22"/>
        </w:rPr>
      </w:pPr>
      <w:r w:rsidRPr="00F21719">
        <w:rPr>
          <w:sz w:val="22"/>
          <w:szCs w:val="22"/>
        </w:rPr>
        <w:lastRenderedPageBreak/>
        <w:t>*FAS = fuldstændigt analysesæt, alle børn, der blev randomiseret</w:t>
      </w:r>
    </w:p>
    <w:p w14:paraId="23381A8E" w14:textId="77777777" w:rsidR="00F61E6E" w:rsidRPr="00B24633" w:rsidRDefault="00F61E6E" w:rsidP="00B24633">
      <w:pPr>
        <w:tabs>
          <w:tab w:val="left" w:pos="851"/>
        </w:tabs>
        <w:ind w:left="851"/>
        <w:rPr>
          <w:sz w:val="24"/>
          <w:szCs w:val="24"/>
        </w:rPr>
      </w:pPr>
    </w:p>
    <w:p w14:paraId="3A5F833E" w14:textId="360EDAF4" w:rsidR="00F61E6E" w:rsidRDefault="00F61E6E" w:rsidP="00B24633">
      <w:pPr>
        <w:ind w:left="851"/>
        <w:rPr>
          <w:b/>
          <w:sz w:val="24"/>
          <w:szCs w:val="24"/>
        </w:rPr>
      </w:pPr>
      <w:r w:rsidRPr="00B24633">
        <w:rPr>
          <w:b/>
          <w:sz w:val="24"/>
          <w:szCs w:val="24"/>
        </w:rPr>
        <w:t>Tabel 12: Sikkerhedsresultater ved slutningen af den primære behandlingsperiode</w:t>
      </w:r>
    </w:p>
    <w:p w14:paraId="72F29403" w14:textId="77777777" w:rsidR="00F21719" w:rsidRPr="00B24633" w:rsidRDefault="00F21719" w:rsidP="00B24633">
      <w:pPr>
        <w:ind w:left="851"/>
        <w:rPr>
          <w:b/>
          <w:sz w:val="24"/>
          <w:szCs w:val="24"/>
        </w:rPr>
      </w:pPr>
    </w:p>
    <w:tbl>
      <w:tblPr>
        <w:tblW w:w="8922" w:type="dxa"/>
        <w:tblInd w:w="856" w:type="dxa"/>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CellMar>
          <w:left w:w="0" w:type="dxa"/>
          <w:right w:w="0" w:type="dxa"/>
        </w:tblCellMar>
        <w:tblLook w:val="01E0" w:firstRow="1" w:lastRow="1" w:firstColumn="1" w:lastColumn="1" w:noHBand="0" w:noVBand="0"/>
      </w:tblPr>
      <w:tblGrid>
        <w:gridCol w:w="4668"/>
        <w:gridCol w:w="2127"/>
        <w:gridCol w:w="2127"/>
      </w:tblGrid>
      <w:tr w:rsidR="00F61E6E" w:rsidRPr="00F21719" w14:paraId="245C2CBC" w14:textId="77777777" w:rsidTr="00F21719">
        <w:trPr>
          <w:trHeight w:val="506"/>
        </w:trPr>
        <w:tc>
          <w:tcPr>
            <w:tcW w:w="4668" w:type="dxa"/>
          </w:tcPr>
          <w:p w14:paraId="7D3AAA33" w14:textId="77777777" w:rsidR="00F61E6E" w:rsidRPr="00F21719" w:rsidRDefault="00F61E6E" w:rsidP="00B24633">
            <w:pPr>
              <w:keepNext/>
              <w:widowControl w:val="0"/>
              <w:autoSpaceDE w:val="0"/>
              <w:autoSpaceDN w:val="0"/>
              <w:rPr>
                <w:sz w:val="22"/>
                <w:szCs w:val="22"/>
              </w:rPr>
            </w:pPr>
          </w:p>
        </w:tc>
        <w:tc>
          <w:tcPr>
            <w:tcW w:w="2127" w:type="dxa"/>
          </w:tcPr>
          <w:p w14:paraId="4EA06E12" w14:textId="77777777" w:rsidR="00F61E6E" w:rsidRPr="00F21719" w:rsidRDefault="00F61E6E" w:rsidP="00F21719">
            <w:pPr>
              <w:keepNext/>
              <w:widowControl w:val="0"/>
              <w:autoSpaceDE w:val="0"/>
              <w:autoSpaceDN w:val="0"/>
              <w:spacing w:line="254" w:lineRule="exact"/>
              <w:ind w:left="249" w:hanging="249"/>
              <w:jc w:val="center"/>
              <w:rPr>
                <w:b/>
                <w:spacing w:val="-52"/>
                <w:sz w:val="22"/>
                <w:szCs w:val="22"/>
              </w:rPr>
            </w:pPr>
            <w:r w:rsidRPr="00F21719">
              <w:rPr>
                <w:b/>
                <w:sz w:val="22"/>
                <w:szCs w:val="22"/>
              </w:rPr>
              <w:t>Rivaroxaban</w:t>
            </w:r>
          </w:p>
          <w:p w14:paraId="7BAB9901" w14:textId="7824F37A" w:rsidR="00F61E6E" w:rsidRPr="00F21719" w:rsidRDefault="00F61E6E" w:rsidP="00F21719">
            <w:pPr>
              <w:keepNext/>
              <w:widowControl w:val="0"/>
              <w:autoSpaceDE w:val="0"/>
              <w:autoSpaceDN w:val="0"/>
              <w:spacing w:line="254" w:lineRule="exact"/>
              <w:ind w:left="249" w:hanging="249"/>
              <w:jc w:val="center"/>
              <w:rPr>
                <w:b/>
                <w:sz w:val="22"/>
                <w:szCs w:val="22"/>
              </w:rPr>
            </w:pPr>
            <w:r w:rsidRPr="00F21719">
              <w:rPr>
                <w:b/>
                <w:sz w:val="22"/>
                <w:szCs w:val="22"/>
              </w:rPr>
              <w:t>N</w:t>
            </w:r>
            <w:r w:rsidR="00213042">
              <w:rPr>
                <w:b/>
                <w:sz w:val="22"/>
                <w:szCs w:val="22"/>
              </w:rPr>
              <w:t xml:space="preserve"> </w:t>
            </w:r>
            <w:r w:rsidRPr="00F21719">
              <w:rPr>
                <w:b/>
                <w:sz w:val="22"/>
                <w:szCs w:val="22"/>
              </w:rPr>
              <w:t>=</w:t>
            </w:r>
            <w:r w:rsidR="00213042">
              <w:rPr>
                <w:b/>
                <w:sz w:val="22"/>
                <w:szCs w:val="22"/>
              </w:rPr>
              <w:t xml:space="preserve"> </w:t>
            </w:r>
            <w:r w:rsidRPr="00F21719">
              <w:rPr>
                <w:b/>
                <w:sz w:val="22"/>
                <w:szCs w:val="22"/>
              </w:rPr>
              <w:t>329*</w:t>
            </w:r>
          </w:p>
        </w:tc>
        <w:tc>
          <w:tcPr>
            <w:tcW w:w="2127" w:type="dxa"/>
          </w:tcPr>
          <w:p w14:paraId="0119ADDC" w14:textId="77777777" w:rsidR="00F61E6E" w:rsidRPr="00F21719" w:rsidRDefault="00F61E6E" w:rsidP="00F21719">
            <w:pPr>
              <w:keepNext/>
              <w:widowControl w:val="0"/>
              <w:autoSpaceDE w:val="0"/>
              <w:autoSpaceDN w:val="0"/>
              <w:spacing w:line="254" w:lineRule="exact"/>
              <w:ind w:left="231" w:hanging="231"/>
              <w:jc w:val="center"/>
              <w:rPr>
                <w:b/>
                <w:spacing w:val="-52"/>
                <w:sz w:val="22"/>
                <w:szCs w:val="22"/>
              </w:rPr>
            </w:pPr>
            <w:r w:rsidRPr="00F21719">
              <w:rPr>
                <w:b/>
                <w:sz w:val="22"/>
                <w:szCs w:val="22"/>
              </w:rPr>
              <w:t>Komparator</w:t>
            </w:r>
          </w:p>
          <w:p w14:paraId="512F7303" w14:textId="03139F61" w:rsidR="00F61E6E" w:rsidRPr="00F21719" w:rsidRDefault="00F61E6E" w:rsidP="00F21719">
            <w:pPr>
              <w:keepNext/>
              <w:widowControl w:val="0"/>
              <w:autoSpaceDE w:val="0"/>
              <w:autoSpaceDN w:val="0"/>
              <w:spacing w:line="254" w:lineRule="exact"/>
              <w:ind w:left="231" w:hanging="231"/>
              <w:jc w:val="center"/>
              <w:rPr>
                <w:b/>
                <w:sz w:val="22"/>
                <w:szCs w:val="22"/>
              </w:rPr>
            </w:pPr>
            <w:r w:rsidRPr="00F21719">
              <w:rPr>
                <w:b/>
                <w:sz w:val="22"/>
                <w:szCs w:val="22"/>
              </w:rPr>
              <w:t>N</w:t>
            </w:r>
            <w:r w:rsidR="00213042">
              <w:rPr>
                <w:b/>
                <w:sz w:val="22"/>
                <w:szCs w:val="22"/>
              </w:rPr>
              <w:t xml:space="preserve"> </w:t>
            </w:r>
            <w:r w:rsidRPr="00F21719">
              <w:rPr>
                <w:b/>
                <w:sz w:val="22"/>
                <w:szCs w:val="22"/>
              </w:rPr>
              <w:t>=</w:t>
            </w:r>
            <w:r w:rsidR="00213042">
              <w:rPr>
                <w:b/>
                <w:sz w:val="22"/>
                <w:szCs w:val="22"/>
              </w:rPr>
              <w:t xml:space="preserve"> </w:t>
            </w:r>
            <w:r w:rsidRPr="00F21719">
              <w:rPr>
                <w:b/>
                <w:sz w:val="22"/>
                <w:szCs w:val="22"/>
              </w:rPr>
              <w:t>162*</w:t>
            </w:r>
          </w:p>
        </w:tc>
      </w:tr>
      <w:tr w:rsidR="00F61E6E" w:rsidRPr="00F21719" w14:paraId="2ADA9C1C" w14:textId="77777777" w:rsidTr="00F21719">
        <w:trPr>
          <w:trHeight w:val="255"/>
        </w:trPr>
        <w:tc>
          <w:tcPr>
            <w:tcW w:w="4668" w:type="dxa"/>
            <w:tcBorders>
              <w:bottom w:val="nil"/>
            </w:tcBorders>
          </w:tcPr>
          <w:p w14:paraId="7F2CE3C9" w14:textId="77777777" w:rsidR="00F61E6E" w:rsidRPr="00F21719" w:rsidRDefault="00F61E6E" w:rsidP="00B24633">
            <w:pPr>
              <w:widowControl w:val="0"/>
              <w:autoSpaceDE w:val="0"/>
              <w:autoSpaceDN w:val="0"/>
              <w:spacing w:line="236" w:lineRule="exact"/>
              <w:ind w:left="107"/>
              <w:rPr>
                <w:sz w:val="22"/>
                <w:szCs w:val="22"/>
              </w:rPr>
            </w:pPr>
            <w:r w:rsidRPr="00F21719">
              <w:rPr>
                <w:sz w:val="22"/>
                <w:szCs w:val="22"/>
              </w:rPr>
              <w:t>Sammensat:</w:t>
            </w:r>
            <w:r w:rsidRPr="00F21719">
              <w:rPr>
                <w:spacing w:val="-2"/>
                <w:sz w:val="22"/>
                <w:szCs w:val="22"/>
              </w:rPr>
              <w:t xml:space="preserve"> </w:t>
            </w:r>
            <w:r w:rsidRPr="00F21719">
              <w:rPr>
                <w:sz w:val="22"/>
                <w:szCs w:val="22"/>
              </w:rPr>
              <w:t>Større</w:t>
            </w:r>
            <w:r w:rsidRPr="00F21719">
              <w:rPr>
                <w:spacing w:val="-3"/>
                <w:sz w:val="22"/>
                <w:szCs w:val="22"/>
              </w:rPr>
              <w:t xml:space="preserve"> </w:t>
            </w:r>
            <w:r w:rsidRPr="00F21719">
              <w:rPr>
                <w:sz w:val="22"/>
                <w:szCs w:val="22"/>
              </w:rPr>
              <w:t>blødning</w:t>
            </w:r>
            <w:r w:rsidRPr="00F21719">
              <w:rPr>
                <w:spacing w:val="-2"/>
                <w:sz w:val="22"/>
                <w:szCs w:val="22"/>
              </w:rPr>
              <w:t xml:space="preserve"> </w:t>
            </w:r>
            <w:r w:rsidRPr="00F21719">
              <w:rPr>
                <w:sz w:val="22"/>
                <w:szCs w:val="22"/>
              </w:rPr>
              <w:t>+</w:t>
            </w:r>
            <w:r w:rsidRPr="00F21719">
              <w:rPr>
                <w:spacing w:val="-3"/>
                <w:sz w:val="22"/>
                <w:szCs w:val="22"/>
              </w:rPr>
              <w:t xml:space="preserve"> </w:t>
            </w:r>
            <w:r w:rsidRPr="00F21719">
              <w:rPr>
                <w:sz w:val="22"/>
                <w:szCs w:val="22"/>
              </w:rPr>
              <w:t>CRNMB</w:t>
            </w:r>
            <w:r w:rsidRPr="00F21719">
              <w:rPr>
                <w:spacing w:val="-2"/>
                <w:sz w:val="22"/>
                <w:szCs w:val="22"/>
              </w:rPr>
              <w:t xml:space="preserve"> </w:t>
            </w:r>
            <w:r w:rsidRPr="00F21719">
              <w:rPr>
                <w:sz w:val="22"/>
                <w:szCs w:val="22"/>
              </w:rPr>
              <w:t>(primært</w:t>
            </w:r>
          </w:p>
        </w:tc>
        <w:tc>
          <w:tcPr>
            <w:tcW w:w="2127" w:type="dxa"/>
            <w:tcBorders>
              <w:bottom w:val="nil"/>
            </w:tcBorders>
          </w:tcPr>
          <w:p w14:paraId="782B9EC3" w14:textId="77777777" w:rsidR="00F61E6E" w:rsidRPr="00F21719" w:rsidRDefault="00F61E6E" w:rsidP="00B24633">
            <w:pPr>
              <w:widowControl w:val="0"/>
              <w:autoSpaceDE w:val="0"/>
              <w:autoSpaceDN w:val="0"/>
              <w:spacing w:line="236" w:lineRule="exact"/>
              <w:ind w:left="274"/>
              <w:jc w:val="center"/>
              <w:rPr>
                <w:sz w:val="22"/>
                <w:szCs w:val="22"/>
              </w:rPr>
            </w:pPr>
            <w:r w:rsidRPr="00F21719">
              <w:rPr>
                <w:sz w:val="22"/>
                <w:szCs w:val="22"/>
              </w:rPr>
              <w:t>10</w:t>
            </w:r>
          </w:p>
        </w:tc>
        <w:tc>
          <w:tcPr>
            <w:tcW w:w="2127" w:type="dxa"/>
            <w:tcBorders>
              <w:bottom w:val="nil"/>
            </w:tcBorders>
          </w:tcPr>
          <w:p w14:paraId="3C768BB6" w14:textId="77777777" w:rsidR="00F61E6E" w:rsidRPr="00F21719" w:rsidRDefault="00F61E6E" w:rsidP="00B24633">
            <w:pPr>
              <w:widowControl w:val="0"/>
              <w:autoSpaceDE w:val="0"/>
              <w:autoSpaceDN w:val="0"/>
              <w:spacing w:line="236" w:lineRule="exact"/>
              <w:ind w:left="6"/>
              <w:jc w:val="center"/>
              <w:rPr>
                <w:sz w:val="22"/>
                <w:szCs w:val="22"/>
              </w:rPr>
            </w:pPr>
            <w:r w:rsidRPr="00F21719">
              <w:rPr>
                <w:w w:val="99"/>
                <w:sz w:val="22"/>
                <w:szCs w:val="22"/>
              </w:rPr>
              <w:t>3</w:t>
            </w:r>
          </w:p>
        </w:tc>
      </w:tr>
      <w:tr w:rsidR="00F61E6E" w:rsidRPr="00F21719" w14:paraId="6804AFB2" w14:textId="77777777" w:rsidTr="00F21719">
        <w:trPr>
          <w:trHeight w:val="253"/>
        </w:trPr>
        <w:tc>
          <w:tcPr>
            <w:tcW w:w="4668" w:type="dxa"/>
            <w:tcBorders>
              <w:top w:val="nil"/>
              <w:bottom w:val="nil"/>
            </w:tcBorders>
          </w:tcPr>
          <w:p w14:paraId="1FA3B398" w14:textId="77777777" w:rsidR="00F61E6E" w:rsidRPr="00F21719" w:rsidRDefault="00F61E6E" w:rsidP="00B24633">
            <w:pPr>
              <w:widowControl w:val="0"/>
              <w:autoSpaceDE w:val="0"/>
              <w:autoSpaceDN w:val="0"/>
              <w:spacing w:line="233" w:lineRule="exact"/>
              <w:ind w:left="107"/>
              <w:rPr>
                <w:sz w:val="22"/>
                <w:szCs w:val="22"/>
              </w:rPr>
            </w:pPr>
            <w:r w:rsidRPr="00F21719">
              <w:rPr>
                <w:sz w:val="22"/>
                <w:szCs w:val="22"/>
              </w:rPr>
              <w:t>sikkerhedsudfald)</w:t>
            </w:r>
          </w:p>
        </w:tc>
        <w:tc>
          <w:tcPr>
            <w:tcW w:w="2127" w:type="dxa"/>
            <w:tcBorders>
              <w:top w:val="nil"/>
              <w:bottom w:val="nil"/>
            </w:tcBorders>
          </w:tcPr>
          <w:p w14:paraId="662D8464" w14:textId="16D97CCF" w:rsidR="00F61E6E" w:rsidRPr="00F21719" w:rsidRDefault="00F61E6E" w:rsidP="00B24633">
            <w:pPr>
              <w:widowControl w:val="0"/>
              <w:autoSpaceDE w:val="0"/>
              <w:autoSpaceDN w:val="0"/>
              <w:spacing w:line="233" w:lineRule="exact"/>
              <w:ind w:left="274"/>
              <w:jc w:val="center"/>
              <w:rPr>
                <w:sz w:val="22"/>
                <w:szCs w:val="22"/>
              </w:rPr>
            </w:pPr>
            <w:r w:rsidRPr="00F21719">
              <w:rPr>
                <w:sz w:val="22"/>
                <w:szCs w:val="22"/>
              </w:rPr>
              <w:t>(3,0</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tc>
        <w:tc>
          <w:tcPr>
            <w:tcW w:w="2127" w:type="dxa"/>
            <w:tcBorders>
              <w:top w:val="nil"/>
              <w:bottom w:val="nil"/>
            </w:tcBorders>
          </w:tcPr>
          <w:p w14:paraId="7B3CD6AD" w14:textId="4946E788" w:rsidR="00F61E6E" w:rsidRPr="00F21719" w:rsidRDefault="00F61E6E" w:rsidP="00B24633">
            <w:pPr>
              <w:widowControl w:val="0"/>
              <w:autoSpaceDE w:val="0"/>
              <w:autoSpaceDN w:val="0"/>
              <w:spacing w:line="233" w:lineRule="exact"/>
              <w:ind w:left="273"/>
              <w:jc w:val="center"/>
              <w:rPr>
                <w:sz w:val="22"/>
                <w:szCs w:val="22"/>
              </w:rPr>
            </w:pPr>
            <w:r w:rsidRPr="00F21719">
              <w:rPr>
                <w:sz w:val="22"/>
                <w:szCs w:val="22"/>
              </w:rPr>
              <w:t>(1,9</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tc>
      </w:tr>
      <w:tr w:rsidR="00F61E6E" w:rsidRPr="00F21719" w14:paraId="2B56A865" w14:textId="77777777" w:rsidTr="00F21719">
        <w:trPr>
          <w:trHeight w:val="248"/>
        </w:trPr>
        <w:tc>
          <w:tcPr>
            <w:tcW w:w="4668" w:type="dxa"/>
            <w:tcBorders>
              <w:top w:val="nil"/>
            </w:tcBorders>
          </w:tcPr>
          <w:p w14:paraId="16D51B74" w14:textId="77777777" w:rsidR="00F61E6E" w:rsidRPr="00F21719" w:rsidRDefault="00F61E6E" w:rsidP="00B24633">
            <w:pPr>
              <w:widowControl w:val="0"/>
              <w:autoSpaceDE w:val="0"/>
              <w:autoSpaceDN w:val="0"/>
              <w:rPr>
                <w:sz w:val="22"/>
                <w:szCs w:val="22"/>
              </w:rPr>
            </w:pPr>
          </w:p>
        </w:tc>
        <w:tc>
          <w:tcPr>
            <w:tcW w:w="2127" w:type="dxa"/>
            <w:tcBorders>
              <w:top w:val="nil"/>
            </w:tcBorders>
          </w:tcPr>
          <w:p w14:paraId="088AF82D" w14:textId="1D6036E8" w:rsidR="00F61E6E" w:rsidRPr="00F21719" w:rsidRDefault="00F61E6E" w:rsidP="00B24633">
            <w:pPr>
              <w:widowControl w:val="0"/>
              <w:autoSpaceDE w:val="0"/>
              <w:autoSpaceDN w:val="0"/>
              <w:spacing w:line="228" w:lineRule="exact"/>
              <w:ind w:left="274"/>
              <w:jc w:val="center"/>
              <w:rPr>
                <w:sz w:val="22"/>
                <w:szCs w:val="22"/>
              </w:rPr>
            </w:pPr>
            <w:r w:rsidRPr="00F21719">
              <w:rPr>
                <w:sz w:val="22"/>
                <w:szCs w:val="22"/>
              </w:rPr>
              <w:t>1,6</w:t>
            </w:r>
            <w:r w:rsidR="00054680">
              <w:rPr>
                <w:spacing w:val="-1"/>
                <w:sz w:val="22"/>
                <w:szCs w:val="22"/>
              </w:rPr>
              <w:t xml:space="preserve"> %</w:t>
            </w:r>
            <w:r w:rsidRPr="00F21719">
              <w:rPr>
                <w:spacing w:val="-1"/>
                <w:sz w:val="22"/>
                <w:szCs w:val="22"/>
              </w:rPr>
              <w:t> ‒ </w:t>
            </w:r>
            <w:r w:rsidRPr="00F21719">
              <w:rPr>
                <w:sz w:val="22"/>
                <w:szCs w:val="22"/>
              </w:rPr>
              <w:t>5,5</w:t>
            </w:r>
            <w:r w:rsidR="00054680">
              <w:rPr>
                <w:spacing w:val="-1"/>
                <w:sz w:val="22"/>
                <w:szCs w:val="22"/>
              </w:rPr>
              <w:t xml:space="preserve"> %</w:t>
            </w:r>
            <w:r w:rsidRPr="00F21719">
              <w:rPr>
                <w:sz w:val="22"/>
                <w:szCs w:val="22"/>
              </w:rPr>
              <w:t>)</w:t>
            </w:r>
          </w:p>
        </w:tc>
        <w:tc>
          <w:tcPr>
            <w:tcW w:w="2127" w:type="dxa"/>
            <w:tcBorders>
              <w:top w:val="nil"/>
            </w:tcBorders>
          </w:tcPr>
          <w:p w14:paraId="565F9151" w14:textId="4D4DF13D" w:rsidR="00F61E6E" w:rsidRPr="00F21719" w:rsidRDefault="00F61E6E" w:rsidP="00B24633">
            <w:pPr>
              <w:widowControl w:val="0"/>
              <w:autoSpaceDE w:val="0"/>
              <w:autoSpaceDN w:val="0"/>
              <w:spacing w:line="228" w:lineRule="exact"/>
              <w:ind w:left="273"/>
              <w:jc w:val="center"/>
              <w:rPr>
                <w:sz w:val="22"/>
                <w:szCs w:val="22"/>
              </w:rPr>
            </w:pPr>
            <w:r w:rsidRPr="00F21719">
              <w:rPr>
                <w:sz w:val="22"/>
                <w:szCs w:val="22"/>
              </w:rPr>
              <w:t>0,5</w:t>
            </w:r>
            <w:r w:rsidR="00054680">
              <w:rPr>
                <w:spacing w:val="-1"/>
                <w:sz w:val="22"/>
                <w:szCs w:val="22"/>
              </w:rPr>
              <w:t xml:space="preserve"> %</w:t>
            </w:r>
            <w:r w:rsidRPr="00F21719">
              <w:rPr>
                <w:spacing w:val="-1"/>
                <w:sz w:val="22"/>
                <w:szCs w:val="22"/>
              </w:rPr>
              <w:t> ‒ </w:t>
            </w:r>
            <w:r w:rsidRPr="00F21719">
              <w:rPr>
                <w:sz w:val="22"/>
                <w:szCs w:val="22"/>
              </w:rPr>
              <w:t>5,3</w:t>
            </w:r>
            <w:r w:rsidR="00054680">
              <w:rPr>
                <w:spacing w:val="-1"/>
                <w:sz w:val="22"/>
                <w:szCs w:val="22"/>
              </w:rPr>
              <w:t xml:space="preserve"> %</w:t>
            </w:r>
            <w:r w:rsidRPr="00F21719">
              <w:rPr>
                <w:sz w:val="22"/>
                <w:szCs w:val="22"/>
              </w:rPr>
              <w:t>)</w:t>
            </w:r>
          </w:p>
        </w:tc>
      </w:tr>
      <w:tr w:rsidR="00F61E6E" w:rsidRPr="00F21719" w14:paraId="0561A411" w14:textId="77777777" w:rsidTr="00F21719">
        <w:trPr>
          <w:trHeight w:val="256"/>
        </w:trPr>
        <w:tc>
          <w:tcPr>
            <w:tcW w:w="4668" w:type="dxa"/>
            <w:tcBorders>
              <w:bottom w:val="nil"/>
            </w:tcBorders>
          </w:tcPr>
          <w:p w14:paraId="3686E79C" w14:textId="77777777" w:rsidR="00F61E6E" w:rsidRPr="00F21719" w:rsidRDefault="00F61E6E" w:rsidP="00B24633">
            <w:pPr>
              <w:widowControl w:val="0"/>
              <w:autoSpaceDE w:val="0"/>
              <w:autoSpaceDN w:val="0"/>
              <w:spacing w:line="237" w:lineRule="exact"/>
              <w:ind w:left="107"/>
              <w:rPr>
                <w:sz w:val="22"/>
                <w:szCs w:val="22"/>
              </w:rPr>
            </w:pPr>
            <w:r w:rsidRPr="00F21719">
              <w:rPr>
                <w:sz w:val="22"/>
                <w:szCs w:val="22"/>
              </w:rPr>
              <w:t>Større</w:t>
            </w:r>
            <w:r w:rsidRPr="00F21719">
              <w:rPr>
                <w:spacing w:val="-3"/>
                <w:sz w:val="22"/>
                <w:szCs w:val="22"/>
              </w:rPr>
              <w:t xml:space="preserve"> </w:t>
            </w:r>
            <w:r w:rsidRPr="00F21719">
              <w:rPr>
                <w:sz w:val="22"/>
                <w:szCs w:val="22"/>
              </w:rPr>
              <w:t>blødning</w:t>
            </w:r>
          </w:p>
        </w:tc>
        <w:tc>
          <w:tcPr>
            <w:tcW w:w="2127" w:type="dxa"/>
            <w:tcBorders>
              <w:bottom w:val="nil"/>
            </w:tcBorders>
          </w:tcPr>
          <w:p w14:paraId="707018FF" w14:textId="77777777" w:rsidR="00F61E6E" w:rsidRPr="00F21719" w:rsidRDefault="00F61E6E" w:rsidP="00B24633">
            <w:pPr>
              <w:widowControl w:val="0"/>
              <w:autoSpaceDE w:val="0"/>
              <w:autoSpaceDN w:val="0"/>
              <w:spacing w:line="237" w:lineRule="exact"/>
              <w:ind w:left="5"/>
              <w:jc w:val="center"/>
              <w:rPr>
                <w:sz w:val="22"/>
                <w:szCs w:val="22"/>
              </w:rPr>
            </w:pPr>
            <w:r w:rsidRPr="00F21719">
              <w:rPr>
                <w:w w:val="99"/>
                <w:sz w:val="22"/>
                <w:szCs w:val="22"/>
              </w:rPr>
              <w:t>0</w:t>
            </w:r>
          </w:p>
        </w:tc>
        <w:tc>
          <w:tcPr>
            <w:tcW w:w="2127" w:type="dxa"/>
            <w:tcBorders>
              <w:bottom w:val="nil"/>
            </w:tcBorders>
          </w:tcPr>
          <w:p w14:paraId="177BD9DD" w14:textId="77777777" w:rsidR="00F61E6E" w:rsidRPr="00F21719" w:rsidRDefault="00F61E6E" w:rsidP="00B24633">
            <w:pPr>
              <w:widowControl w:val="0"/>
              <w:autoSpaceDE w:val="0"/>
              <w:autoSpaceDN w:val="0"/>
              <w:spacing w:line="237" w:lineRule="exact"/>
              <w:ind w:left="6"/>
              <w:jc w:val="center"/>
              <w:rPr>
                <w:sz w:val="22"/>
                <w:szCs w:val="22"/>
              </w:rPr>
            </w:pPr>
            <w:r w:rsidRPr="00F21719">
              <w:rPr>
                <w:w w:val="99"/>
                <w:sz w:val="22"/>
                <w:szCs w:val="22"/>
              </w:rPr>
              <w:t>2</w:t>
            </w:r>
          </w:p>
        </w:tc>
      </w:tr>
      <w:tr w:rsidR="00F61E6E" w:rsidRPr="00F21719" w14:paraId="62679F9D" w14:textId="77777777" w:rsidTr="00F21719">
        <w:trPr>
          <w:trHeight w:val="252"/>
        </w:trPr>
        <w:tc>
          <w:tcPr>
            <w:tcW w:w="4668" w:type="dxa"/>
            <w:tcBorders>
              <w:top w:val="nil"/>
              <w:bottom w:val="nil"/>
            </w:tcBorders>
          </w:tcPr>
          <w:p w14:paraId="0DDFDD2C" w14:textId="77777777" w:rsidR="00F61E6E" w:rsidRPr="00F21719" w:rsidRDefault="00F61E6E" w:rsidP="00B24633">
            <w:pPr>
              <w:widowControl w:val="0"/>
              <w:autoSpaceDE w:val="0"/>
              <w:autoSpaceDN w:val="0"/>
              <w:rPr>
                <w:sz w:val="22"/>
                <w:szCs w:val="22"/>
              </w:rPr>
            </w:pPr>
          </w:p>
        </w:tc>
        <w:tc>
          <w:tcPr>
            <w:tcW w:w="2127" w:type="dxa"/>
            <w:tcBorders>
              <w:top w:val="nil"/>
              <w:bottom w:val="nil"/>
            </w:tcBorders>
          </w:tcPr>
          <w:p w14:paraId="60348EEA" w14:textId="3AA1CE29" w:rsidR="00F61E6E" w:rsidRPr="00F21719" w:rsidRDefault="00F61E6E" w:rsidP="00B24633">
            <w:pPr>
              <w:widowControl w:val="0"/>
              <w:autoSpaceDE w:val="0"/>
              <w:autoSpaceDN w:val="0"/>
              <w:spacing w:line="233" w:lineRule="exact"/>
              <w:ind w:left="274"/>
              <w:jc w:val="center"/>
              <w:rPr>
                <w:sz w:val="22"/>
                <w:szCs w:val="22"/>
              </w:rPr>
            </w:pPr>
            <w:r w:rsidRPr="00F21719">
              <w:rPr>
                <w:sz w:val="22"/>
                <w:szCs w:val="22"/>
              </w:rPr>
              <w:t>(0,0</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tc>
        <w:tc>
          <w:tcPr>
            <w:tcW w:w="2127" w:type="dxa"/>
            <w:tcBorders>
              <w:top w:val="nil"/>
              <w:bottom w:val="nil"/>
            </w:tcBorders>
          </w:tcPr>
          <w:p w14:paraId="5B5B8E1C" w14:textId="4046654D" w:rsidR="00F61E6E" w:rsidRPr="00F21719" w:rsidRDefault="00F61E6E" w:rsidP="00B24633">
            <w:pPr>
              <w:widowControl w:val="0"/>
              <w:autoSpaceDE w:val="0"/>
              <w:autoSpaceDN w:val="0"/>
              <w:spacing w:line="233" w:lineRule="exact"/>
              <w:ind w:left="273"/>
              <w:jc w:val="center"/>
              <w:rPr>
                <w:sz w:val="22"/>
                <w:szCs w:val="22"/>
              </w:rPr>
            </w:pPr>
            <w:r w:rsidRPr="00F21719">
              <w:rPr>
                <w:sz w:val="22"/>
                <w:szCs w:val="22"/>
              </w:rPr>
              <w:t>(1,2</w:t>
            </w:r>
            <w:r w:rsidR="00054680">
              <w:rPr>
                <w:spacing w:val="-1"/>
                <w:sz w:val="22"/>
                <w:szCs w:val="22"/>
              </w:rPr>
              <w:t xml:space="preserve"> %</w:t>
            </w:r>
            <w:r w:rsidRPr="00F21719">
              <w:rPr>
                <w:sz w:val="22"/>
                <w:szCs w:val="22"/>
              </w:rPr>
              <w:t>, 95</w:t>
            </w:r>
            <w:r w:rsidR="00054680">
              <w:rPr>
                <w:spacing w:val="-1"/>
                <w:sz w:val="22"/>
                <w:szCs w:val="22"/>
              </w:rPr>
              <w:t xml:space="preserve"> %</w:t>
            </w:r>
            <w:r w:rsidRPr="00F21719">
              <w:rPr>
                <w:spacing w:val="-2"/>
                <w:sz w:val="22"/>
                <w:szCs w:val="22"/>
              </w:rPr>
              <w:t xml:space="preserve"> </w:t>
            </w:r>
            <w:r w:rsidRPr="00F21719">
              <w:rPr>
                <w:sz w:val="22"/>
                <w:szCs w:val="22"/>
              </w:rPr>
              <w:t>CI</w:t>
            </w:r>
          </w:p>
        </w:tc>
      </w:tr>
      <w:tr w:rsidR="00F61E6E" w:rsidRPr="00F21719" w14:paraId="5EE3DC56" w14:textId="77777777" w:rsidTr="00F21719">
        <w:trPr>
          <w:trHeight w:val="248"/>
        </w:trPr>
        <w:tc>
          <w:tcPr>
            <w:tcW w:w="4668" w:type="dxa"/>
            <w:tcBorders>
              <w:top w:val="nil"/>
            </w:tcBorders>
          </w:tcPr>
          <w:p w14:paraId="3C6322E7" w14:textId="77777777" w:rsidR="00F61E6E" w:rsidRPr="00F21719" w:rsidRDefault="00F61E6E" w:rsidP="00B24633">
            <w:pPr>
              <w:widowControl w:val="0"/>
              <w:autoSpaceDE w:val="0"/>
              <w:autoSpaceDN w:val="0"/>
              <w:rPr>
                <w:sz w:val="22"/>
                <w:szCs w:val="22"/>
              </w:rPr>
            </w:pPr>
          </w:p>
        </w:tc>
        <w:tc>
          <w:tcPr>
            <w:tcW w:w="2127" w:type="dxa"/>
            <w:tcBorders>
              <w:top w:val="nil"/>
            </w:tcBorders>
          </w:tcPr>
          <w:p w14:paraId="423EBBBA" w14:textId="3A91C9BA" w:rsidR="00F61E6E" w:rsidRPr="00F21719" w:rsidRDefault="00F61E6E" w:rsidP="00B24633">
            <w:pPr>
              <w:widowControl w:val="0"/>
              <w:autoSpaceDE w:val="0"/>
              <w:autoSpaceDN w:val="0"/>
              <w:spacing w:line="228" w:lineRule="exact"/>
              <w:ind w:left="274"/>
              <w:jc w:val="center"/>
              <w:rPr>
                <w:sz w:val="22"/>
                <w:szCs w:val="22"/>
              </w:rPr>
            </w:pPr>
            <w:r w:rsidRPr="00F21719">
              <w:rPr>
                <w:sz w:val="22"/>
                <w:szCs w:val="22"/>
              </w:rPr>
              <w:t>0,0</w:t>
            </w:r>
            <w:r w:rsidR="00054680">
              <w:rPr>
                <w:spacing w:val="-1"/>
                <w:sz w:val="22"/>
                <w:szCs w:val="22"/>
              </w:rPr>
              <w:t xml:space="preserve"> %</w:t>
            </w:r>
            <w:r w:rsidRPr="00F21719">
              <w:rPr>
                <w:spacing w:val="-1"/>
                <w:sz w:val="22"/>
                <w:szCs w:val="22"/>
              </w:rPr>
              <w:t> ‒ </w:t>
            </w:r>
            <w:r w:rsidRPr="00F21719">
              <w:rPr>
                <w:sz w:val="22"/>
                <w:szCs w:val="22"/>
              </w:rPr>
              <w:t>1,1</w:t>
            </w:r>
            <w:r w:rsidR="00054680">
              <w:rPr>
                <w:spacing w:val="-1"/>
                <w:sz w:val="22"/>
                <w:szCs w:val="22"/>
              </w:rPr>
              <w:t xml:space="preserve"> %</w:t>
            </w:r>
            <w:r w:rsidRPr="00F21719">
              <w:rPr>
                <w:sz w:val="22"/>
                <w:szCs w:val="22"/>
              </w:rPr>
              <w:t>)</w:t>
            </w:r>
          </w:p>
        </w:tc>
        <w:tc>
          <w:tcPr>
            <w:tcW w:w="2127" w:type="dxa"/>
            <w:tcBorders>
              <w:top w:val="nil"/>
            </w:tcBorders>
          </w:tcPr>
          <w:p w14:paraId="7BB4B72B" w14:textId="623AF93C" w:rsidR="00F61E6E" w:rsidRPr="00F21719" w:rsidRDefault="00F61E6E" w:rsidP="00B24633">
            <w:pPr>
              <w:widowControl w:val="0"/>
              <w:autoSpaceDE w:val="0"/>
              <w:autoSpaceDN w:val="0"/>
              <w:spacing w:line="228" w:lineRule="exact"/>
              <w:ind w:left="273"/>
              <w:jc w:val="center"/>
              <w:rPr>
                <w:sz w:val="22"/>
                <w:szCs w:val="22"/>
              </w:rPr>
            </w:pPr>
            <w:r w:rsidRPr="00F21719">
              <w:rPr>
                <w:sz w:val="22"/>
                <w:szCs w:val="22"/>
              </w:rPr>
              <w:t>0,2</w:t>
            </w:r>
            <w:r w:rsidR="00054680">
              <w:rPr>
                <w:spacing w:val="-1"/>
                <w:sz w:val="22"/>
                <w:szCs w:val="22"/>
              </w:rPr>
              <w:t xml:space="preserve"> %</w:t>
            </w:r>
            <w:r w:rsidRPr="00F21719">
              <w:rPr>
                <w:spacing w:val="-1"/>
                <w:sz w:val="22"/>
                <w:szCs w:val="22"/>
              </w:rPr>
              <w:t> ‒ </w:t>
            </w:r>
            <w:r w:rsidRPr="00F21719">
              <w:rPr>
                <w:sz w:val="22"/>
                <w:szCs w:val="22"/>
              </w:rPr>
              <w:t>4,3</w:t>
            </w:r>
            <w:r w:rsidR="00054680">
              <w:rPr>
                <w:spacing w:val="-1"/>
                <w:sz w:val="22"/>
                <w:szCs w:val="22"/>
              </w:rPr>
              <w:t xml:space="preserve"> %</w:t>
            </w:r>
            <w:r w:rsidRPr="00F21719">
              <w:rPr>
                <w:sz w:val="22"/>
                <w:szCs w:val="22"/>
              </w:rPr>
              <w:t>)</w:t>
            </w:r>
          </w:p>
        </w:tc>
      </w:tr>
      <w:tr w:rsidR="00F61E6E" w:rsidRPr="00F21719" w14:paraId="69A4C6FB" w14:textId="77777777" w:rsidTr="00F21719">
        <w:trPr>
          <w:trHeight w:val="253"/>
        </w:trPr>
        <w:tc>
          <w:tcPr>
            <w:tcW w:w="4668" w:type="dxa"/>
          </w:tcPr>
          <w:p w14:paraId="6688C8D9" w14:textId="77777777" w:rsidR="00F61E6E" w:rsidRPr="00F21719" w:rsidRDefault="00F61E6E" w:rsidP="00B24633">
            <w:pPr>
              <w:widowControl w:val="0"/>
              <w:autoSpaceDE w:val="0"/>
              <w:autoSpaceDN w:val="0"/>
              <w:spacing w:line="234" w:lineRule="exact"/>
              <w:ind w:left="107"/>
              <w:rPr>
                <w:sz w:val="22"/>
                <w:szCs w:val="22"/>
              </w:rPr>
            </w:pPr>
            <w:r w:rsidRPr="00F21719">
              <w:rPr>
                <w:sz w:val="22"/>
                <w:szCs w:val="22"/>
              </w:rPr>
              <w:t>Behandlingsrelaterede</w:t>
            </w:r>
            <w:r w:rsidRPr="00F21719">
              <w:rPr>
                <w:spacing w:val="-4"/>
                <w:sz w:val="22"/>
                <w:szCs w:val="22"/>
              </w:rPr>
              <w:t xml:space="preserve"> </w:t>
            </w:r>
            <w:r w:rsidRPr="00F21719">
              <w:rPr>
                <w:sz w:val="22"/>
                <w:szCs w:val="22"/>
              </w:rPr>
              <w:t>blødninger</w:t>
            </w:r>
          </w:p>
        </w:tc>
        <w:tc>
          <w:tcPr>
            <w:tcW w:w="2127" w:type="dxa"/>
          </w:tcPr>
          <w:p w14:paraId="288E2578" w14:textId="23E6DAF2" w:rsidR="00F61E6E" w:rsidRPr="00F21719" w:rsidRDefault="00F61E6E" w:rsidP="00B24633">
            <w:pPr>
              <w:widowControl w:val="0"/>
              <w:autoSpaceDE w:val="0"/>
              <w:autoSpaceDN w:val="0"/>
              <w:spacing w:line="234" w:lineRule="exact"/>
              <w:ind w:left="274"/>
              <w:jc w:val="center"/>
              <w:rPr>
                <w:sz w:val="22"/>
                <w:szCs w:val="22"/>
              </w:rPr>
            </w:pPr>
            <w:r w:rsidRPr="00F21719">
              <w:rPr>
                <w:sz w:val="22"/>
                <w:szCs w:val="22"/>
              </w:rPr>
              <w:t>119</w:t>
            </w:r>
            <w:r w:rsidRPr="00F21719">
              <w:rPr>
                <w:spacing w:val="-1"/>
                <w:sz w:val="22"/>
                <w:szCs w:val="22"/>
              </w:rPr>
              <w:t xml:space="preserve"> </w:t>
            </w:r>
            <w:r w:rsidRPr="00F21719">
              <w:rPr>
                <w:sz w:val="22"/>
                <w:szCs w:val="22"/>
              </w:rPr>
              <w:t>(36,2</w:t>
            </w:r>
            <w:r w:rsidR="00054680">
              <w:rPr>
                <w:spacing w:val="-1"/>
                <w:sz w:val="22"/>
                <w:szCs w:val="22"/>
              </w:rPr>
              <w:t xml:space="preserve"> %</w:t>
            </w:r>
            <w:r w:rsidRPr="00F21719">
              <w:rPr>
                <w:sz w:val="22"/>
                <w:szCs w:val="22"/>
              </w:rPr>
              <w:t>)</w:t>
            </w:r>
          </w:p>
        </w:tc>
        <w:tc>
          <w:tcPr>
            <w:tcW w:w="2127" w:type="dxa"/>
          </w:tcPr>
          <w:p w14:paraId="70403100" w14:textId="086074DF" w:rsidR="00F61E6E" w:rsidRPr="00F21719" w:rsidRDefault="00F61E6E" w:rsidP="00B24633">
            <w:pPr>
              <w:widowControl w:val="0"/>
              <w:autoSpaceDE w:val="0"/>
              <w:autoSpaceDN w:val="0"/>
              <w:spacing w:line="234" w:lineRule="exact"/>
              <w:ind w:left="273"/>
              <w:jc w:val="center"/>
              <w:rPr>
                <w:sz w:val="22"/>
                <w:szCs w:val="22"/>
              </w:rPr>
            </w:pPr>
            <w:r w:rsidRPr="00F21719">
              <w:rPr>
                <w:sz w:val="22"/>
                <w:szCs w:val="22"/>
              </w:rPr>
              <w:t>45</w:t>
            </w:r>
            <w:r w:rsidRPr="00F21719">
              <w:rPr>
                <w:spacing w:val="-1"/>
                <w:sz w:val="22"/>
                <w:szCs w:val="22"/>
              </w:rPr>
              <w:t xml:space="preserve"> </w:t>
            </w:r>
            <w:r w:rsidRPr="00F21719">
              <w:rPr>
                <w:sz w:val="22"/>
                <w:szCs w:val="22"/>
              </w:rPr>
              <w:t>(27,8</w:t>
            </w:r>
            <w:r w:rsidR="00054680">
              <w:rPr>
                <w:spacing w:val="-1"/>
                <w:sz w:val="22"/>
                <w:szCs w:val="22"/>
              </w:rPr>
              <w:t xml:space="preserve"> %</w:t>
            </w:r>
            <w:r w:rsidRPr="00F21719">
              <w:rPr>
                <w:sz w:val="22"/>
                <w:szCs w:val="22"/>
              </w:rPr>
              <w:t>)</w:t>
            </w:r>
          </w:p>
        </w:tc>
      </w:tr>
    </w:tbl>
    <w:p w14:paraId="7172804B" w14:textId="77777777" w:rsidR="00F61E6E" w:rsidRPr="00F21719" w:rsidRDefault="00F61E6E" w:rsidP="00B24633">
      <w:pPr>
        <w:tabs>
          <w:tab w:val="left" w:pos="851"/>
          <w:tab w:val="left" w:pos="1560"/>
        </w:tabs>
        <w:ind w:left="851"/>
        <w:rPr>
          <w:sz w:val="22"/>
          <w:szCs w:val="22"/>
        </w:rPr>
      </w:pPr>
      <w:r w:rsidRPr="00F21719">
        <w:rPr>
          <w:sz w:val="22"/>
          <w:szCs w:val="22"/>
        </w:rPr>
        <w:t>*SAF= sikkerhedsanalysesæt, alle børn, der blev randomiseret, og fik mindst 1 dosis af studielægemidlet</w:t>
      </w:r>
    </w:p>
    <w:p w14:paraId="50B0B9C7" w14:textId="77777777" w:rsidR="00F61E6E" w:rsidRPr="00B24633" w:rsidRDefault="00F61E6E" w:rsidP="00B24633">
      <w:pPr>
        <w:tabs>
          <w:tab w:val="left" w:pos="851"/>
          <w:tab w:val="left" w:pos="1560"/>
        </w:tabs>
        <w:ind w:left="851"/>
        <w:rPr>
          <w:sz w:val="24"/>
          <w:szCs w:val="24"/>
        </w:rPr>
      </w:pPr>
    </w:p>
    <w:p w14:paraId="26D3DCF0" w14:textId="77777777" w:rsidR="00F61E6E" w:rsidRPr="00B24633" w:rsidRDefault="00F61E6E" w:rsidP="00B24633">
      <w:pPr>
        <w:tabs>
          <w:tab w:val="left" w:pos="851"/>
        </w:tabs>
        <w:ind w:left="851"/>
        <w:rPr>
          <w:sz w:val="24"/>
          <w:szCs w:val="24"/>
        </w:rPr>
      </w:pPr>
      <w:r w:rsidRPr="00B24633">
        <w:rPr>
          <w:sz w:val="24"/>
          <w:szCs w:val="24"/>
        </w:rPr>
        <w:t>Virknings- og sikkerhedsprofilen for rivaroxaban var stort set sammenlignelig mellem den pædiatriske VTE-population og den voksne DVT/PE-population. Dog var andelen af patienter med blødning højere hos den pædiatriske VTE-population sammenlignet med den voksne DVT/PE-population.</w:t>
      </w:r>
    </w:p>
    <w:p w14:paraId="28CFAE44" w14:textId="77777777" w:rsidR="00F61E6E" w:rsidRPr="00B24633" w:rsidRDefault="00F61E6E" w:rsidP="00B24633">
      <w:pPr>
        <w:tabs>
          <w:tab w:val="left" w:pos="851"/>
        </w:tabs>
        <w:ind w:left="851"/>
        <w:rPr>
          <w:sz w:val="24"/>
          <w:szCs w:val="24"/>
        </w:rPr>
      </w:pPr>
    </w:p>
    <w:p w14:paraId="425D40B1" w14:textId="77777777" w:rsidR="00F61E6E" w:rsidRPr="00B24633" w:rsidRDefault="00F61E6E" w:rsidP="00B24633">
      <w:pPr>
        <w:tabs>
          <w:tab w:val="left" w:pos="851"/>
        </w:tabs>
        <w:ind w:left="851"/>
        <w:rPr>
          <w:sz w:val="24"/>
          <w:szCs w:val="24"/>
          <w:u w:val="single"/>
        </w:rPr>
      </w:pPr>
      <w:r w:rsidRPr="00B24633">
        <w:rPr>
          <w:sz w:val="24"/>
          <w:szCs w:val="24"/>
          <w:u w:val="single"/>
        </w:rPr>
        <w:t>Højrisikopatienter med tredobbelt positiv antifosfolipidsyndrom</w:t>
      </w:r>
    </w:p>
    <w:p w14:paraId="0E87A5EA" w14:textId="77777777" w:rsidR="00F61E6E" w:rsidRPr="00B24633" w:rsidRDefault="00F61E6E" w:rsidP="00B24633">
      <w:pPr>
        <w:tabs>
          <w:tab w:val="left" w:pos="851"/>
        </w:tabs>
        <w:ind w:left="851"/>
        <w:rPr>
          <w:sz w:val="24"/>
          <w:szCs w:val="24"/>
        </w:rPr>
      </w:pPr>
    </w:p>
    <w:p w14:paraId="04F4ACCC" w14:textId="61FC21E5" w:rsidR="00F61E6E" w:rsidRPr="00B24633" w:rsidRDefault="00F61E6E" w:rsidP="00B24633">
      <w:pPr>
        <w:tabs>
          <w:tab w:val="left" w:pos="851"/>
        </w:tabs>
        <w:ind w:left="851"/>
        <w:rPr>
          <w:sz w:val="24"/>
          <w:szCs w:val="24"/>
        </w:rPr>
      </w:pPr>
      <w:r w:rsidRPr="00B24633">
        <w:rPr>
          <w:sz w:val="24"/>
          <w:szCs w:val="24"/>
        </w:rPr>
        <w:t>I et åbent, investigator-sponseret, randomiseret multicenterstudie med blindet bedømmelse af endepunkter blev rivaroxaban sammenlignet med warfarin hos patienter med tidligere trombose, der var diagnosticerede med antifosfolipidsyndrom, og som havde høj risiko for tromboemboliske hændelser (positive for alle 3 antifosfolipidtest: lupus antikoagulans, antikardiolipin-antistoffer og anti-beta 2-glykoprotein I-antistoffer). Efter inklusion af 120 patienter, blev studiet standset før tid, fordi patienterne i rivaroxaban-gruppen oplevede for mange hændelser. Den gennemsnitlige opfølgningsperiode var på 569 dage. 59 patienter var randomiseret til rivaroxaban 20 mg (15 mg for patienter med en kreatininclearance (CrCl) på &lt; 50 ml/min), og 61 patienter var randomiseret til warfarin (INR 2,0 – 3,0). Der sås tromboemboliske hændelser hos 12</w:t>
      </w:r>
      <w:r w:rsidR="00054680">
        <w:rPr>
          <w:sz w:val="24"/>
          <w:szCs w:val="24"/>
        </w:rPr>
        <w:t xml:space="preserve"> %</w:t>
      </w:r>
      <w:r w:rsidRPr="00B24633">
        <w:rPr>
          <w:sz w:val="24"/>
          <w:szCs w:val="24"/>
        </w:rPr>
        <w:t xml:space="preserve"> af de patienter, der var randomiseret til rivaroxaban (4 iskæmiske slagtilfælde og 3 myokardieinfarkter). Der sås ingen hændelser hos de patienter, der var randomiseret til warfarin. Der sås større blødning hos 4 patienter (7</w:t>
      </w:r>
      <w:r w:rsidR="00054680">
        <w:rPr>
          <w:sz w:val="24"/>
          <w:szCs w:val="24"/>
        </w:rPr>
        <w:t xml:space="preserve"> %</w:t>
      </w:r>
      <w:r w:rsidRPr="00B24633">
        <w:rPr>
          <w:sz w:val="24"/>
          <w:szCs w:val="24"/>
        </w:rPr>
        <w:t>) i rivaroxaban-gruppen og hos 2 patienter (3</w:t>
      </w:r>
      <w:r w:rsidR="00054680">
        <w:rPr>
          <w:sz w:val="24"/>
          <w:szCs w:val="24"/>
        </w:rPr>
        <w:t xml:space="preserve"> %</w:t>
      </w:r>
      <w:r w:rsidRPr="00B24633">
        <w:rPr>
          <w:sz w:val="24"/>
          <w:szCs w:val="24"/>
        </w:rPr>
        <w:t>) i warfarin-gruppen.</w:t>
      </w:r>
    </w:p>
    <w:p w14:paraId="3995B6B9" w14:textId="77777777" w:rsidR="00F61E6E" w:rsidRPr="00B24633" w:rsidRDefault="00F61E6E" w:rsidP="00B24633">
      <w:pPr>
        <w:tabs>
          <w:tab w:val="left" w:pos="851"/>
        </w:tabs>
        <w:ind w:left="851"/>
        <w:rPr>
          <w:sz w:val="24"/>
          <w:szCs w:val="24"/>
        </w:rPr>
      </w:pPr>
    </w:p>
    <w:p w14:paraId="3F8F9BEB" w14:textId="77777777" w:rsidR="00F61E6E" w:rsidRPr="00B24633" w:rsidRDefault="00F61E6E" w:rsidP="00B24633">
      <w:pPr>
        <w:tabs>
          <w:tab w:val="left" w:pos="851"/>
        </w:tabs>
        <w:ind w:left="851"/>
        <w:rPr>
          <w:sz w:val="24"/>
          <w:szCs w:val="24"/>
          <w:u w:val="single"/>
        </w:rPr>
      </w:pPr>
      <w:r w:rsidRPr="00B24633">
        <w:rPr>
          <w:sz w:val="24"/>
          <w:szCs w:val="24"/>
          <w:u w:val="single"/>
        </w:rPr>
        <w:t>Pædiatrisk population</w:t>
      </w:r>
    </w:p>
    <w:p w14:paraId="035D4F81" w14:textId="77777777" w:rsidR="00F61E6E" w:rsidRPr="00B24633" w:rsidRDefault="00F61E6E" w:rsidP="00B24633">
      <w:pPr>
        <w:tabs>
          <w:tab w:val="left" w:pos="851"/>
        </w:tabs>
        <w:ind w:left="851"/>
        <w:rPr>
          <w:sz w:val="24"/>
          <w:szCs w:val="24"/>
        </w:rPr>
      </w:pPr>
    </w:p>
    <w:p w14:paraId="2DBFC621" w14:textId="4F84E779" w:rsidR="00F61E6E" w:rsidRPr="00B24633" w:rsidRDefault="00F61E6E" w:rsidP="00B24633">
      <w:pPr>
        <w:tabs>
          <w:tab w:val="left" w:pos="851"/>
        </w:tabs>
        <w:ind w:left="851"/>
        <w:rPr>
          <w:sz w:val="24"/>
          <w:szCs w:val="24"/>
        </w:rPr>
      </w:pPr>
      <w:r w:rsidRPr="00B24633">
        <w:rPr>
          <w:sz w:val="24"/>
          <w:szCs w:val="24"/>
        </w:rPr>
        <w:t xml:space="preserve">Det Europæiske Lægemiddelagentur har dispenseret fra kravet om at fremlægge resultaterne af studier med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i alle undergrupper af den pædiatriske population ved forebyggelse af tromboemboliske hændelser (se pkt. 4.2 for oplysninger om pædiatrisk anvendelse).</w:t>
      </w:r>
    </w:p>
    <w:p w14:paraId="30D405E8" w14:textId="77777777" w:rsidR="009260DE" w:rsidRPr="00B24633" w:rsidRDefault="009260DE" w:rsidP="00B24633">
      <w:pPr>
        <w:tabs>
          <w:tab w:val="left" w:pos="851"/>
        </w:tabs>
        <w:ind w:left="851"/>
        <w:rPr>
          <w:sz w:val="24"/>
          <w:szCs w:val="24"/>
        </w:rPr>
      </w:pPr>
    </w:p>
    <w:p w14:paraId="50F3750A" w14:textId="77777777" w:rsidR="009260DE" w:rsidRPr="00B24633" w:rsidRDefault="009260DE" w:rsidP="00B24633">
      <w:pPr>
        <w:tabs>
          <w:tab w:val="left" w:pos="851"/>
        </w:tabs>
        <w:ind w:left="851" w:hanging="851"/>
        <w:rPr>
          <w:b/>
          <w:sz w:val="24"/>
          <w:szCs w:val="24"/>
        </w:rPr>
      </w:pPr>
      <w:r w:rsidRPr="00B24633">
        <w:rPr>
          <w:b/>
          <w:sz w:val="24"/>
          <w:szCs w:val="24"/>
        </w:rPr>
        <w:t>5.2</w:t>
      </w:r>
      <w:r w:rsidRPr="00B24633">
        <w:rPr>
          <w:b/>
          <w:sz w:val="24"/>
          <w:szCs w:val="24"/>
        </w:rPr>
        <w:tab/>
        <w:t>Farmakokinetiske egenskaber</w:t>
      </w:r>
    </w:p>
    <w:p w14:paraId="3AF27A38" w14:textId="77777777" w:rsidR="00AF570B" w:rsidRPr="00B24633" w:rsidRDefault="00AF570B" w:rsidP="00B24633">
      <w:pPr>
        <w:tabs>
          <w:tab w:val="left" w:pos="851"/>
        </w:tabs>
        <w:ind w:left="851"/>
        <w:rPr>
          <w:sz w:val="24"/>
          <w:szCs w:val="24"/>
          <w:u w:val="single"/>
        </w:rPr>
      </w:pPr>
    </w:p>
    <w:p w14:paraId="538AEAA8" w14:textId="51C984A4" w:rsidR="00F61E6E" w:rsidRPr="00B24633" w:rsidRDefault="00F61E6E" w:rsidP="00B24633">
      <w:pPr>
        <w:tabs>
          <w:tab w:val="left" w:pos="851"/>
        </w:tabs>
        <w:ind w:left="851"/>
        <w:rPr>
          <w:sz w:val="24"/>
          <w:szCs w:val="24"/>
          <w:u w:val="single"/>
        </w:rPr>
      </w:pPr>
      <w:r w:rsidRPr="00B24633">
        <w:rPr>
          <w:sz w:val="24"/>
          <w:szCs w:val="24"/>
          <w:u w:val="single"/>
        </w:rPr>
        <w:t>Absorption</w:t>
      </w:r>
    </w:p>
    <w:p w14:paraId="135922A6" w14:textId="77777777" w:rsidR="00F61E6E" w:rsidRPr="00B24633" w:rsidRDefault="00F61E6E" w:rsidP="00B24633">
      <w:pPr>
        <w:tabs>
          <w:tab w:val="left" w:pos="851"/>
        </w:tabs>
        <w:ind w:left="851"/>
        <w:rPr>
          <w:sz w:val="24"/>
          <w:szCs w:val="24"/>
        </w:rPr>
      </w:pPr>
    </w:p>
    <w:p w14:paraId="5D92F832" w14:textId="77777777" w:rsidR="00F61E6E" w:rsidRPr="00B24633" w:rsidRDefault="00F61E6E" w:rsidP="00B24633">
      <w:pPr>
        <w:tabs>
          <w:tab w:val="left" w:pos="851"/>
        </w:tabs>
        <w:ind w:left="851"/>
        <w:rPr>
          <w:sz w:val="24"/>
          <w:szCs w:val="24"/>
        </w:rPr>
      </w:pPr>
      <w:r w:rsidRPr="00B24633">
        <w:rPr>
          <w:sz w:val="24"/>
          <w:szCs w:val="24"/>
        </w:rPr>
        <w:t>De følgende oplysninger er baseret på data er indhentet fra voksne.</w:t>
      </w:r>
    </w:p>
    <w:p w14:paraId="6A487159" w14:textId="77777777" w:rsidR="00F61E6E" w:rsidRPr="00B24633" w:rsidRDefault="00F61E6E" w:rsidP="00B24633">
      <w:pPr>
        <w:tabs>
          <w:tab w:val="left" w:pos="851"/>
        </w:tabs>
        <w:ind w:left="851"/>
        <w:rPr>
          <w:sz w:val="24"/>
          <w:szCs w:val="24"/>
        </w:rPr>
      </w:pPr>
      <w:r w:rsidRPr="00B24633">
        <w:rPr>
          <w:sz w:val="24"/>
          <w:szCs w:val="24"/>
        </w:rPr>
        <w:t>Rivaroxaban absorberes hurtigt, og den maksimale koncentration (C</w:t>
      </w:r>
      <w:r w:rsidRPr="00EC010C">
        <w:rPr>
          <w:sz w:val="24"/>
          <w:szCs w:val="24"/>
          <w:vertAlign w:val="subscript"/>
        </w:rPr>
        <w:t>max</w:t>
      </w:r>
      <w:r w:rsidRPr="00B24633">
        <w:rPr>
          <w:sz w:val="24"/>
          <w:szCs w:val="24"/>
        </w:rPr>
        <w:t>) opnås 2 ‒ 4 timer efter tabletindtagelsen.</w:t>
      </w:r>
    </w:p>
    <w:p w14:paraId="783165B4" w14:textId="2E4D07EC" w:rsidR="00F61E6E" w:rsidRPr="00B24633" w:rsidRDefault="00F61E6E" w:rsidP="00B24633">
      <w:pPr>
        <w:tabs>
          <w:tab w:val="left" w:pos="851"/>
        </w:tabs>
        <w:ind w:left="851"/>
        <w:rPr>
          <w:sz w:val="24"/>
          <w:szCs w:val="24"/>
        </w:rPr>
      </w:pPr>
      <w:r w:rsidRPr="00B24633">
        <w:rPr>
          <w:sz w:val="24"/>
          <w:szCs w:val="24"/>
        </w:rPr>
        <w:lastRenderedPageBreak/>
        <w:t>Den orale absorption af rivaroxaban er næsten fuldstændig, og den orale biotilgængelighed er høj (80 ‒ 100</w:t>
      </w:r>
      <w:r w:rsidR="00054680">
        <w:rPr>
          <w:sz w:val="24"/>
          <w:szCs w:val="24"/>
        </w:rPr>
        <w:t xml:space="preserve"> %</w:t>
      </w:r>
      <w:r w:rsidRPr="00B24633">
        <w:rPr>
          <w:sz w:val="24"/>
          <w:szCs w:val="24"/>
        </w:rPr>
        <w:t>) for 2,5 mg- og 10 mg-tabletten uafhængigt af fastende tilstand eller fødeindtagelse. Indtagelse af mad påvirker ikke rivaroxabans AUC eller C</w:t>
      </w:r>
      <w:r w:rsidRPr="00EC010C">
        <w:rPr>
          <w:sz w:val="24"/>
          <w:szCs w:val="24"/>
          <w:vertAlign w:val="subscript"/>
        </w:rPr>
        <w:t>max</w:t>
      </w:r>
      <w:r w:rsidRPr="00B24633">
        <w:rPr>
          <w:sz w:val="24"/>
          <w:szCs w:val="24"/>
        </w:rPr>
        <w:t xml:space="preserve"> efter en 2,5 mg- og 10 mg-dosis. </w:t>
      </w:r>
    </w:p>
    <w:p w14:paraId="1A17ACB2" w14:textId="77777777" w:rsidR="00F61E6E" w:rsidRPr="00B24633" w:rsidRDefault="00F61E6E" w:rsidP="00B24633">
      <w:pPr>
        <w:tabs>
          <w:tab w:val="left" w:pos="851"/>
        </w:tabs>
        <w:ind w:left="851"/>
        <w:rPr>
          <w:sz w:val="24"/>
          <w:szCs w:val="24"/>
        </w:rPr>
      </w:pPr>
    </w:p>
    <w:p w14:paraId="1948D759" w14:textId="32E14D0B" w:rsidR="00F61E6E" w:rsidRPr="00B24633" w:rsidRDefault="00F61E6E" w:rsidP="00B24633">
      <w:pPr>
        <w:tabs>
          <w:tab w:val="left" w:pos="851"/>
        </w:tabs>
        <w:ind w:left="851"/>
        <w:rPr>
          <w:sz w:val="24"/>
          <w:szCs w:val="24"/>
        </w:rPr>
      </w:pPr>
      <w:r w:rsidRPr="00B24633">
        <w:rPr>
          <w:sz w:val="24"/>
          <w:szCs w:val="24"/>
        </w:rPr>
        <w:t>Som følge af den begrænsede absorption konstateredes en oral biotilgængelighed på 66</w:t>
      </w:r>
      <w:r w:rsidR="00054680">
        <w:rPr>
          <w:sz w:val="24"/>
          <w:szCs w:val="24"/>
        </w:rPr>
        <w:t xml:space="preserve"> %</w:t>
      </w:r>
      <w:r w:rsidRPr="00B24633">
        <w:rPr>
          <w:sz w:val="24"/>
          <w:szCs w:val="24"/>
        </w:rPr>
        <w:t xml:space="preserve"> for 20 mg- tabletten under fastende betingelser. Når rivaroxaban 20 mg-tabletter tages sammen med mad, iagttages en forøgelse af middel-AUC på 39</w:t>
      </w:r>
      <w:r w:rsidR="00054680">
        <w:rPr>
          <w:sz w:val="24"/>
          <w:szCs w:val="24"/>
        </w:rPr>
        <w:t xml:space="preserve"> %</w:t>
      </w:r>
      <w:r w:rsidRPr="00B24633">
        <w:rPr>
          <w:sz w:val="24"/>
          <w:szCs w:val="24"/>
        </w:rPr>
        <w:t xml:space="preserve"> sammenlignet med tabletindtagelse under fastende betingelser, hvilket er et tegn på næsten fuldstændig absorption og stor oral biotilgængelighed. Rivaroxaban 15 mg- og 20 mg-tabletter skal tages sammen med mad (se pkt. 4.2).</w:t>
      </w:r>
    </w:p>
    <w:p w14:paraId="1A7A2B08" w14:textId="77777777" w:rsidR="00F61E6E" w:rsidRPr="00B24633" w:rsidRDefault="00F61E6E" w:rsidP="00B24633">
      <w:pPr>
        <w:tabs>
          <w:tab w:val="left" w:pos="851"/>
        </w:tabs>
        <w:ind w:left="851"/>
        <w:rPr>
          <w:sz w:val="24"/>
          <w:szCs w:val="24"/>
        </w:rPr>
      </w:pPr>
    </w:p>
    <w:p w14:paraId="5BD18023" w14:textId="77777777" w:rsidR="00F61E6E" w:rsidRPr="00B24633" w:rsidRDefault="00F61E6E" w:rsidP="00B24633">
      <w:pPr>
        <w:tabs>
          <w:tab w:val="left" w:pos="851"/>
        </w:tabs>
        <w:ind w:left="851"/>
        <w:rPr>
          <w:sz w:val="24"/>
          <w:szCs w:val="24"/>
        </w:rPr>
      </w:pPr>
      <w:r w:rsidRPr="00B24633">
        <w:rPr>
          <w:sz w:val="24"/>
          <w:szCs w:val="24"/>
        </w:rPr>
        <w:t>Rivaroxabans farmakokinetik er tilnærmelsesvis lineær op til omkring 15 mg én gang dagligt i fastende tilstand. Med samtidig fødeindtagelse udviste rivaroxaban 10 mg-, 15 mg- og 20 mg-tabletter proportionalitet med dosis. Ved højere doser rivaroxaban vises en opløsningsbegrænset absorption med faldende biotilgængelighed og faldende absorptionsfrekvens ved øget dosis.</w:t>
      </w:r>
    </w:p>
    <w:p w14:paraId="0F2D9B54" w14:textId="51B33F4B" w:rsidR="00F61E6E" w:rsidRPr="00B24633" w:rsidRDefault="00F61E6E" w:rsidP="00B24633">
      <w:pPr>
        <w:tabs>
          <w:tab w:val="left" w:pos="851"/>
        </w:tabs>
        <w:ind w:left="851"/>
        <w:rPr>
          <w:sz w:val="24"/>
          <w:szCs w:val="24"/>
        </w:rPr>
      </w:pPr>
      <w:r w:rsidRPr="00B24633">
        <w:rPr>
          <w:sz w:val="24"/>
          <w:szCs w:val="24"/>
        </w:rPr>
        <w:t>Variationen i rivaroxabans farmakokinetik er moderat med interindividuel variation (variationskoefficient) i intervallet 30 ‒ 40</w:t>
      </w:r>
      <w:r w:rsidR="00054680">
        <w:rPr>
          <w:sz w:val="24"/>
          <w:szCs w:val="24"/>
        </w:rPr>
        <w:t xml:space="preserve"> %</w:t>
      </w:r>
      <w:r w:rsidRPr="00B24633">
        <w:rPr>
          <w:sz w:val="24"/>
          <w:szCs w:val="24"/>
        </w:rPr>
        <w:t>.</w:t>
      </w:r>
    </w:p>
    <w:p w14:paraId="63ACAC79" w14:textId="54B223ED" w:rsidR="00F61E6E" w:rsidRPr="00B24633" w:rsidRDefault="00F61E6E" w:rsidP="00B24633">
      <w:pPr>
        <w:tabs>
          <w:tab w:val="left" w:pos="851"/>
        </w:tabs>
        <w:ind w:left="851"/>
        <w:rPr>
          <w:sz w:val="24"/>
          <w:szCs w:val="24"/>
        </w:rPr>
      </w:pPr>
      <w:r w:rsidRPr="00B24633">
        <w:rPr>
          <w:sz w:val="24"/>
          <w:szCs w:val="24"/>
        </w:rPr>
        <w:t>Absorptionen af rivaroxaban er afhængig af, hvor det frigøres i mave-tarm-kanalen. Der blev rapporteret en 29</w:t>
      </w:r>
      <w:r w:rsidR="00054680">
        <w:rPr>
          <w:sz w:val="24"/>
          <w:szCs w:val="24"/>
        </w:rPr>
        <w:t xml:space="preserve"> %</w:t>
      </w:r>
      <w:r w:rsidRPr="00B24633">
        <w:rPr>
          <w:sz w:val="24"/>
          <w:szCs w:val="24"/>
        </w:rPr>
        <w:t xml:space="preserve"> og 56</w:t>
      </w:r>
      <w:r w:rsidR="00054680">
        <w:rPr>
          <w:sz w:val="24"/>
          <w:szCs w:val="24"/>
        </w:rPr>
        <w:t xml:space="preserve"> %</w:t>
      </w:r>
      <w:r w:rsidRPr="00B24633">
        <w:rPr>
          <w:sz w:val="24"/>
          <w:szCs w:val="24"/>
        </w:rPr>
        <w:t xml:space="preserve"> reduktion i AUC og C</w:t>
      </w:r>
      <w:r w:rsidRPr="00B24633">
        <w:rPr>
          <w:sz w:val="24"/>
          <w:szCs w:val="24"/>
          <w:vertAlign w:val="subscript"/>
        </w:rPr>
        <w:t>max</w:t>
      </w:r>
      <w:r w:rsidRPr="00B24633">
        <w:rPr>
          <w:sz w:val="24"/>
          <w:szCs w:val="24"/>
        </w:rPr>
        <w:t>, sammenlignet med tabletten, når rivaroxaban-granulat frigøres i den proksimale tyndtarm. Eksponeringen reduceres yderligere, når rivaroxaban frigøres i den distale tyndtarm, eller ascenderende kolon. Derfor bør administration af rivaroxaban distalt for mavesækken undgås, da dette kan medføre reduceret absorption og relateret rivaroxaban-eksponering.</w:t>
      </w:r>
    </w:p>
    <w:p w14:paraId="72617851" w14:textId="77777777" w:rsidR="00F61E6E" w:rsidRPr="00B24633" w:rsidRDefault="00F61E6E" w:rsidP="00B24633">
      <w:pPr>
        <w:tabs>
          <w:tab w:val="left" w:pos="851"/>
        </w:tabs>
        <w:ind w:left="851"/>
        <w:rPr>
          <w:sz w:val="24"/>
          <w:szCs w:val="24"/>
        </w:rPr>
      </w:pPr>
      <w:r w:rsidRPr="00B24633">
        <w:rPr>
          <w:sz w:val="24"/>
          <w:szCs w:val="24"/>
        </w:rPr>
        <w:t>Biotilgængeligheden (AUC og C</w:t>
      </w:r>
      <w:r w:rsidRPr="00B24633">
        <w:rPr>
          <w:sz w:val="24"/>
          <w:szCs w:val="24"/>
          <w:vertAlign w:val="subscript"/>
        </w:rPr>
        <w:t>max</w:t>
      </w:r>
      <w:r w:rsidRPr="00B24633">
        <w:rPr>
          <w:sz w:val="24"/>
          <w:szCs w:val="24"/>
        </w:rPr>
        <w:t>) var sammenlignelig for 20 mg rivaroxaban administreret oralt som en knust tablet blandet i æblemos eller suspenderet i vand og administreret via en ventrikelsonde, efterfulgt af et flydende måltid, sammenlignet med en hel tablet. Ud fra den forudsigelige, dosisproportionale farmakokinetiske profil for rivaroxaban er det sandsynligt, at resultaterne for biotilgængelighed i dette studie også gælder for lavere rivaroxaban-doser.</w:t>
      </w:r>
    </w:p>
    <w:p w14:paraId="2051BDE1" w14:textId="77777777" w:rsidR="00F61E6E" w:rsidRPr="00B24633" w:rsidRDefault="00F61E6E" w:rsidP="00B24633">
      <w:pPr>
        <w:tabs>
          <w:tab w:val="left" w:pos="851"/>
        </w:tabs>
        <w:ind w:left="851"/>
        <w:rPr>
          <w:sz w:val="24"/>
          <w:szCs w:val="24"/>
        </w:rPr>
      </w:pPr>
    </w:p>
    <w:p w14:paraId="7AEE1D5A" w14:textId="77777777" w:rsidR="00F61E6E" w:rsidRPr="00B24633" w:rsidRDefault="00F61E6E" w:rsidP="00B24633">
      <w:pPr>
        <w:tabs>
          <w:tab w:val="left" w:pos="851"/>
        </w:tabs>
        <w:ind w:left="851"/>
        <w:rPr>
          <w:i/>
          <w:iCs/>
          <w:sz w:val="24"/>
          <w:szCs w:val="24"/>
        </w:rPr>
      </w:pPr>
      <w:r w:rsidRPr="00B24633">
        <w:rPr>
          <w:i/>
          <w:iCs/>
          <w:sz w:val="24"/>
          <w:szCs w:val="24"/>
        </w:rPr>
        <w:t>Pædiatrisk population</w:t>
      </w:r>
    </w:p>
    <w:p w14:paraId="1BE903E1" w14:textId="77777777" w:rsidR="00F61E6E" w:rsidRPr="00B24633" w:rsidRDefault="00F61E6E" w:rsidP="00B24633">
      <w:pPr>
        <w:tabs>
          <w:tab w:val="left" w:pos="851"/>
        </w:tabs>
        <w:ind w:left="851"/>
        <w:rPr>
          <w:sz w:val="24"/>
          <w:szCs w:val="24"/>
        </w:rPr>
      </w:pPr>
      <w:r w:rsidRPr="00B24633">
        <w:rPr>
          <w:sz w:val="24"/>
          <w:szCs w:val="24"/>
        </w:rPr>
        <w:t>Børn fik rivaroxaban-tablet eller oral suspension under eller kort tid efter de blev madet eller indtog mad, og med en typisk serveringsstørrelse af væske for at sikre en pålidelig dosering hos børn. Som for voksne absorberes rivaroxaban nemt hos børn efter oral administration af tablet eller granulat til oral suspension. Der blev ikke observeret nogen forskel i absorptionshastighed eller i absorptionsgraden mellem tabletten og formuleringen granulat til oral suspension. Der foreligger ingen farmakokinetiske data efter intravenøs administration hos børn, så den absolutte biotilgængelighed af rivaroxaban hos børn er ukendt. Der blev fundet en reduktion i relativ biotilgængelig for stigende doser (i mg/kg legemsvægt), hvilket tyder på absorptionsbegrænsninger for højere doser, selv når det tages sammen med mad.</w:t>
      </w:r>
    </w:p>
    <w:p w14:paraId="55467DB8" w14:textId="77777777" w:rsidR="00F61E6E" w:rsidRPr="00B24633" w:rsidRDefault="00F61E6E" w:rsidP="00B24633">
      <w:pPr>
        <w:tabs>
          <w:tab w:val="left" w:pos="851"/>
        </w:tabs>
        <w:ind w:left="851"/>
        <w:rPr>
          <w:sz w:val="24"/>
          <w:szCs w:val="24"/>
        </w:rPr>
      </w:pPr>
      <w:r w:rsidRPr="00B24633">
        <w:rPr>
          <w:sz w:val="24"/>
          <w:szCs w:val="24"/>
        </w:rPr>
        <w:t>Rivaroxaban 15 mg tabletter skal tages, når børnene mades eller indtager mad (se pkt. 4.2).</w:t>
      </w:r>
    </w:p>
    <w:p w14:paraId="0C51D16A" w14:textId="77777777" w:rsidR="00F61E6E" w:rsidRPr="00B24633" w:rsidRDefault="00F61E6E" w:rsidP="00B24633">
      <w:pPr>
        <w:tabs>
          <w:tab w:val="left" w:pos="851"/>
        </w:tabs>
        <w:ind w:left="851"/>
        <w:rPr>
          <w:sz w:val="24"/>
          <w:szCs w:val="24"/>
        </w:rPr>
      </w:pPr>
    </w:p>
    <w:p w14:paraId="39DB939E" w14:textId="77777777" w:rsidR="00F61E6E" w:rsidRPr="00B24633" w:rsidRDefault="00F61E6E" w:rsidP="00B24633">
      <w:pPr>
        <w:tabs>
          <w:tab w:val="left" w:pos="851"/>
        </w:tabs>
        <w:ind w:left="851"/>
        <w:rPr>
          <w:sz w:val="24"/>
          <w:szCs w:val="24"/>
          <w:u w:val="single"/>
        </w:rPr>
      </w:pPr>
      <w:r w:rsidRPr="00B24633">
        <w:rPr>
          <w:sz w:val="24"/>
          <w:szCs w:val="24"/>
          <w:u w:val="single"/>
        </w:rPr>
        <w:t>Fordeling</w:t>
      </w:r>
    </w:p>
    <w:p w14:paraId="37BAF282" w14:textId="4E66DD44" w:rsidR="00F61E6E" w:rsidRPr="00B24633" w:rsidRDefault="00F61E6E" w:rsidP="00B24633">
      <w:pPr>
        <w:tabs>
          <w:tab w:val="left" w:pos="851"/>
        </w:tabs>
        <w:ind w:left="851"/>
        <w:rPr>
          <w:sz w:val="24"/>
          <w:szCs w:val="24"/>
        </w:rPr>
      </w:pPr>
      <w:r w:rsidRPr="00B24633">
        <w:rPr>
          <w:sz w:val="24"/>
          <w:szCs w:val="24"/>
        </w:rPr>
        <w:t>Plasmaproteinbindingen hos voksne er høj og ligger omkring 92 ‒ 95</w:t>
      </w:r>
      <w:r w:rsidR="00054680">
        <w:rPr>
          <w:sz w:val="24"/>
          <w:szCs w:val="24"/>
        </w:rPr>
        <w:t xml:space="preserve"> %</w:t>
      </w:r>
      <w:r w:rsidRPr="00B24633">
        <w:rPr>
          <w:sz w:val="24"/>
          <w:szCs w:val="24"/>
        </w:rPr>
        <w:t>. Serumalbumin er hovedkomponenten i denne binding. Fordelingsvolumenet er moderat, idet V</w:t>
      </w:r>
      <w:r w:rsidRPr="00B24633">
        <w:rPr>
          <w:sz w:val="24"/>
          <w:szCs w:val="24"/>
          <w:vertAlign w:val="subscript"/>
        </w:rPr>
        <w:t>ss</w:t>
      </w:r>
      <w:r w:rsidRPr="00B24633">
        <w:rPr>
          <w:sz w:val="24"/>
          <w:szCs w:val="24"/>
        </w:rPr>
        <w:t xml:space="preserve"> er cirka 50 liter.</w:t>
      </w:r>
    </w:p>
    <w:p w14:paraId="19F64477" w14:textId="11D7AE20" w:rsidR="00E65BA3" w:rsidRDefault="00E65BA3">
      <w:pPr>
        <w:rPr>
          <w:sz w:val="24"/>
          <w:szCs w:val="24"/>
        </w:rPr>
      </w:pPr>
      <w:r>
        <w:rPr>
          <w:sz w:val="24"/>
          <w:szCs w:val="24"/>
        </w:rPr>
        <w:br w:type="page"/>
      </w:r>
    </w:p>
    <w:p w14:paraId="1A3FBC85" w14:textId="77777777" w:rsidR="00F61E6E" w:rsidRPr="00B24633" w:rsidRDefault="00F61E6E" w:rsidP="00B24633">
      <w:pPr>
        <w:tabs>
          <w:tab w:val="left" w:pos="851"/>
        </w:tabs>
        <w:ind w:left="851"/>
        <w:rPr>
          <w:sz w:val="24"/>
          <w:szCs w:val="24"/>
        </w:rPr>
      </w:pPr>
    </w:p>
    <w:p w14:paraId="7D3D7B91" w14:textId="77777777" w:rsidR="00DD383E" w:rsidRDefault="00DD383E" w:rsidP="00DD383E">
      <w:pPr>
        <w:tabs>
          <w:tab w:val="left" w:pos="851"/>
        </w:tabs>
        <w:ind w:left="851"/>
        <w:rPr>
          <w:i/>
          <w:iCs/>
          <w:sz w:val="24"/>
          <w:szCs w:val="24"/>
        </w:rPr>
      </w:pPr>
      <w:r>
        <w:rPr>
          <w:i/>
          <w:iCs/>
          <w:sz w:val="24"/>
          <w:szCs w:val="24"/>
        </w:rPr>
        <w:t>Pædiatrisk population</w:t>
      </w:r>
    </w:p>
    <w:p w14:paraId="3ABA6A1B" w14:textId="77777777" w:rsidR="00DD383E" w:rsidRDefault="00DD383E" w:rsidP="00DD383E">
      <w:pPr>
        <w:tabs>
          <w:tab w:val="left" w:pos="851"/>
        </w:tabs>
        <w:ind w:left="851"/>
        <w:rPr>
          <w:sz w:val="24"/>
          <w:szCs w:val="24"/>
        </w:rPr>
      </w:pPr>
      <w:r>
        <w:rPr>
          <w:i/>
          <w:iCs/>
          <w:sz w:val="24"/>
          <w:szCs w:val="24"/>
        </w:rPr>
        <w:t>In vitro</w:t>
      </w:r>
      <w:r>
        <w:rPr>
          <w:sz w:val="24"/>
          <w:szCs w:val="24"/>
        </w:rPr>
        <w:t>-data indikerer ikke relevante forskelle i rivaroxabans plasmaproteinbinding hos børn på tværs af forskellige aldersgrupper og sammenlignet med voksne. Der foreligger ingen farmakokinetiske data efter intravenøs administration af rivaroxaban til børn. V</w:t>
      </w:r>
      <w:r>
        <w:rPr>
          <w:sz w:val="24"/>
          <w:szCs w:val="24"/>
          <w:vertAlign w:val="subscript"/>
        </w:rPr>
        <w:t>ss</w:t>
      </w:r>
      <w:r>
        <w:rPr>
          <w:sz w:val="24"/>
          <w:szCs w:val="24"/>
        </w:rPr>
        <w:t>, estimeret via populationsfarmakokinetisk modellering hos børn (aldersinterval 0 til &lt; 18 år) efter oral administration af rivaroxaban afhænger af legemsvægten, og kan beskrives med en allometrisk funktion, med et gennemsnit på 113 l for en person med en legemsvægt på 82,8 kg.</w:t>
      </w:r>
    </w:p>
    <w:p w14:paraId="6DBB4D87" w14:textId="77777777" w:rsidR="00F61E6E" w:rsidRPr="00DD383E" w:rsidRDefault="00F61E6E" w:rsidP="00B24633">
      <w:pPr>
        <w:tabs>
          <w:tab w:val="left" w:pos="851"/>
        </w:tabs>
        <w:ind w:left="851"/>
        <w:rPr>
          <w:sz w:val="24"/>
          <w:szCs w:val="24"/>
        </w:rPr>
      </w:pPr>
    </w:p>
    <w:p w14:paraId="459A3525" w14:textId="77777777" w:rsidR="00F61E6E" w:rsidRPr="00B24633" w:rsidRDefault="00F61E6E" w:rsidP="00B24633">
      <w:pPr>
        <w:tabs>
          <w:tab w:val="left" w:pos="851"/>
        </w:tabs>
        <w:ind w:left="851"/>
        <w:rPr>
          <w:sz w:val="24"/>
          <w:szCs w:val="24"/>
          <w:u w:val="single"/>
        </w:rPr>
      </w:pPr>
      <w:r w:rsidRPr="00B24633">
        <w:rPr>
          <w:sz w:val="24"/>
          <w:szCs w:val="24"/>
          <w:u w:val="single"/>
        </w:rPr>
        <w:t>Biotransformation og elimination</w:t>
      </w:r>
    </w:p>
    <w:p w14:paraId="47F5A515" w14:textId="77777777" w:rsidR="00F61E6E" w:rsidRPr="00B24633" w:rsidRDefault="00F61E6E" w:rsidP="00B24633">
      <w:pPr>
        <w:tabs>
          <w:tab w:val="left" w:pos="851"/>
        </w:tabs>
        <w:ind w:left="851"/>
        <w:rPr>
          <w:sz w:val="24"/>
          <w:szCs w:val="24"/>
        </w:rPr>
      </w:pPr>
    </w:p>
    <w:p w14:paraId="35CAEBE6" w14:textId="77777777" w:rsidR="00F61E6E" w:rsidRPr="00B24633" w:rsidRDefault="00F61E6E" w:rsidP="00B24633">
      <w:pPr>
        <w:tabs>
          <w:tab w:val="left" w:pos="851"/>
        </w:tabs>
        <w:ind w:left="851"/>
        <w:rPr>
          <w:sz w:val="24"/>
          <w:szCs w:val="24"/>
        </w:rPr>
      </w:pPr>
      <w:r w:rsidRPr="00B24633">
        <w:rPr>
          <w:sz w:val="24"/>
          <w:szCs w:val="24"/>
        </w:rPr>
        <w:t>Hos voksne nedbrydes ca. 2/3 af den administrerede rivaroxabandosis ved metabolisering, hvoraf halvdelen udskilles med urinen og den anden halvdel med fæces. Den sidste tredjedel af den administrerede dosis udskilles uændret i urinen, fortrinsvis via aktiv renal sekretion.</w:t>
      </w:r>
    </w:p>
    <w:p w14:paraId="44C8A528" w14:textId="77777777" w:rsidR="00F61E6E" w:rsidRPr="00B24633" w:rsidRDefault="00F61E6E" w:rsidP="00B24633">
      <w:pPr>
        <w:tabs>
          <w:tab w:val="left" w:pos="851"/>
        </w:tabs>
        <w:ind w:left="851"/>
        <w:rPr>
          <w:sz w:val="24"/>
          <w:szCs w:val="24"/>
        </w:rPr>
      </w:pPr>
      <w:r w:rsidRPr="00B24633">
        <w:rPr>
          <w:sz w:val="24"/>
          <w:szCs w:val="24"/>
        </w:rPr>
        <w:t>Rivaroxaban metaboliseres via CYP3A4, CYP2J2 og CYP-uafhængige mekanismer. Biotransformationen finder hovedsageligt sted ved oxidativ nedbrydning af morfolindelen og hydrolyse af amidbindingerne. In vitro-undersøgelser har vist, at rivaroxaban er et substrat for transportproteinerne P-gp (P-glycoprotein) og Bcrp (brystcancer-resistensprotein).</w:t>
      </w:r>
    </w:p>
    <w:p w14:paraId="6074B7C3" w14:textId="77777777" w:rsidR="00F61E6E" w:rsidRPr="00B24633" w:rsidRDefault="00F61E6E" w:rsidP="00B24633">
      <w:pPr>
        <w:tabs>
          <w:tab w:val="left" w:pos="851"/>
        </w:tabs>
        <w:ind w:left="851"/>
        <w:rPr>
          <w:sz w:val="24"/>
          <w:szCs w:val="24"/>
        </w:rPr>
      </w:pPr>
      <w:r w:rsidRPr="00B24633">
        <w:rPr>
          <w:sz w:val="24"/>
          <w:szCs w:val="24"/>
        </w:rPr>
        <w:t>Uændret rivaroxaban er det vigtigste stof i humant plasma, idet der ikke forefindes nogen væsentlige eller aktive cirkulerende metabolitter. Rivaroxaban har en systemisk clearance på omkring 10 l/time, og kan således klassificeres som et lægemiddel med lav clearance. Efter administration af 1 mg intravenøst er halveringstiden for elimination ca. 4,5 timer. Efter oral administration begrænses eliminationen af absorptionshastigheden. Eliminationen af rivaroxaban fra plasma foregår med terminale halveringstider på 5 ‒ 9 timer hos unge voksne og 11 ‒ 13 timer hos ældre.</w:t>
      </w:r>
    </w:p>
    <w:p w14:paraId="78BA9192" w14:textId="77777777" w:rsidR="00F61E6E" w:rsidRPr="00B24633" w:rsidRDefault="00F61E6E" w:rsidP="00B24633">
      <w:pPr>
        <w:tabs>
          <w:tab w:val="left" w:pos="851"/>
        </w:tabs>
        <w:ind w:left="851"/>
        <w:rPr>
          <w:sz w:val="24"/>
          <w:szCs w:val="24"/>
        </w:rPr>
      </w:pPr>
    </w:p>
    <w:p w14:paraId="286F9729" w14:textId="77777777" w:rsidR="00F61E6E" w:rsidRPr="00B24633" w:rsidRDefault="00F61E6E" w:rsidP="00B24633">
      <w:pPr>
        <w:tabs>
          <w:tab w:val="left" w:pos="851"/>
        </w:tabs>
        <w:ind w:left="851"/>
        <w:rPr>
          <w:i/>
          <w:iCs/>
          <w:sz w:val="24"/>
          <w:szCs w:val="24"/>
        </w:rPr>
      </w:pPr>
      <w:r w:rsidRPr="00B24633">
        <w:rPr>
          <w:i/>
          <w:iCs/>
          <w:sz w:val="24"/>
          <w:szCs w:val="24"/>
        </w:rPr>
        <w:t>Pædiatrisk population</w:t>
      </w:r>
    </w:p>
    <w:p w14:paraId="5C06C2F4" w14:textId="77777777" w:rsidR="00F61E6E" w:rsidRPr="00B24633" w:rsidRDefault="00F61E6E" w:rsidP="00B24633">
      <w:pPr>
        <w:tabs>
          <w:tab w:val="left" w:pos="851"/>
        </w:tabs>
        <w:ind w:left="851"/>
        <w:rPr>
          <w:sz w:val="24"/>
          <w:szCs w:val="24"/>
        </w:rPr>
      </w:pPr>
      <w:r w:rsidRPr="00B24633">
        <w:rPr>
          <w:sz w:val="24"/>
          <w:szCs w:val="24"/>
        </w:rPr>
        <w:t>Der foreligger ingen metabolismedata specifikke for børn. Der foreligger ingen farmakokinetiske data efter intravenøs administration af rivaroxaban til børn. CL, estimeret via populationsfarmakokinetisk modellering hos børn (aldersinterval 0 til &lt; 18 år) efter oral administration af rivaroxaban afhænger af legemsvægten, og kan beskrives med en allometrisk funktion, med et gennemsnit på 8 l/t for en person med en legemsvægt på 82,8 kg. De geometriske gennemsnitsværdier for dispositionshalveringstider (t</w:t>
      </w:r>
      <w:r w:rsidRPr="00B24633">
        <w:rPr>
          <w:sz w:val="24"/>
          <w:szCs w:val="24"/>
          <w:vertAlign w:val="subscript"/>
        </w:rPr>
        <w:t>1/2</w:t>
      </w:r>
      <w:r w:rsidRPr="00B24633">
        <w:rPr>
          <w:sz w:val="24"/>
          <w:szCs w:val="24"/>
        </w:rPr>
        <w:t>), estimeret via populationsfarmakokinetisk modellering, falder med yngre alder, og var i intervallet fra 4,2 t hos unge til ca. 3 t hos børn i alderen 2-12 år, ned til 1,9 og 1,6 t hos børn i alderen hhv. 0,5 år ‒ under 2 år og under 0,5 år.</w:t>
      </w:r>
    </w:p>
    <w:p w14:paraId="0A71FA4A" w14:textId="77777777" w:rsidR="00F61E6E" w:rsidRPr="00B24633" w:rsidRDefault="00F61E6E" w:rsidP="00B24633">
      <w:pPr>
        <w:tabs>
          <w:tab w:val="left" w:pos="851"/>
        </w:tabs>
        <w:ind w:left="851"/>
        <w:rPr>
          <w:sz w:val="24"/>
          <w:szCs w:val="24"/>
        </w:rPr>
      </w:pPr>
    </w:p>
    <w:p w14:paraId="519B8EB9" w14:textId="77777777" w:rsidR="00F61E6E" w:rsidRPr="00B24633" w:rsidRDefault="00F61E6E" w:rsidP="00B24633">
      <w:pPr>
        <w:tabs>
          <w:tab w:val="left" w:pos="851"/>
        </w:tabs>
        <w:ind w:left="851"/>
        <w:rPr>
          <w:sz w:val="24"/>
          <w:szCs w:val="24"/>
          <w:u w:val="single"/>
        </w:rPr>
      </w:pPr>
      <w:r w:rsidRPr="00B24633">
        <w:rPr>
          <w:sz w:val="24"/>
          <w:szCs w:val="24"/>
          <w:u w:val="single"/>
        </w:rPr>
        <w:t>Særlige populationer</w:t>
      </w:r>
    </w:p>
    <w:p w14:paraId="57BF1EA1" w14:textId="77777777" w:rsidR="00F61E6E" w:rsidRPr="00B24633" w:rsidRDefault="00F61E6E" w:rsidP="00B24633">
      <w:pPr>
        <w:tabs>
          <w:tab w:val="left" w:pos="851"/>
        </w:tabs>
        <w:ind w:left="851"/>
        <w:rPr>
          <w:i/>
          <w:iCs/>
          <w:sz w:val="24"/>
          <w:szCs w:val="24"/>
        </w:rPr>
      </w:pPr>
    </w:p>
    <w:p w14:paraId="5A06F502" w14:textId="77777777" w:rsidR="00F61E6E" w:rsidRPr="00B24633" w:rsidRDefault="00F61E6E" w:rsidP="00B24633">
      <w:pPr>
        <w:tabs>
          <w:tab w:val="left" w:pos="851"/>
        </w:tabs>
        <w:ind w:left="851"/>
        <w:rPr>
          <w:i/>
          <w:iCs/>
          <w:sz w:val="24"/>
          <w:szCs w:val="24"/>
        </w:rPr>
      </w:pPr>
      <w:r w:rsidRPr="00B24633">
        <w:rPr>
          <w:i/>
          <w:iCs/>
          <w:sz w:val="24"/>
          <w:szCs w:val="24"/>
        </w:rPr>
        <w:t>Køn</w:t>
      </w:r>
    </w:p>
    <w:p w14:paraId="57F2247E" w14:textId="77777777" w:rsidR="00F61E6E" w:rsidRPr="00B24633" w:rsidRDefault="00F61E6E" w:rsidP="00B24633">
      <w:pPr>
        <w:tabs>
          <w:tab w:val="left" w:pos="851"/>
        </w:tabs>
        <w:ind w:left="851"/>
        <w:rPr>
          <w:sz w:val="24"/>
          <w:szCs w:val="24"/>
        </w:rPr>
      </w:pPr>
      <w:r w:rsidRPr="00B24633">
        <w:rPr>
          <w:sz w:val="24"/>
          <w:szCs w:val="24"/>
        </w:rPr>
        <w:t>Hos voksne var der ingen klinisk relevante forskelle mellem mænd og kvinder, hvad angår farmakokinetik og farmakodynamik. En eksplorativ analyse afdækkede ikke relevante forskelle i</w:t>
      </w:r>
      <w:r w:rsidRPr="00B24633">
        <w:rPr>
          <w:spacing w:val="-52"/>
          <w:sz w:val="24"/>
          <w:szCs w:val="24"/>
        </w:rPr>
        <w:t xml:space="preserve"> </w:t>
      </w:r>
      <w:r w:rsidRPr="00B24633">
        <w:rPr>
          <w:sz w:val="24"/>
          <w:szCs w:val="24"/>
        </w:rPr>
        <w:t>rivaroxaban-eksponeringen</w:t>
      </w:r>
      <w:r w:rsidRPr="00B24633">
        <w:rPr>
          <w:spacing w:val="-2"/>
          <w:sz w:val="24"/>
          <w:szCs w:val="24"/>
        </w:rPr>
        <w:t xml:space="preserve"> </w:t>
      </w:r>
      <w:r w:rsidRPr="00B24633">
        <w:rPr>
          <w:sz w:val="24"/>
          <w:szCs w:val="24"/>
        </w:rPr>
        <w:t>mellem</w:t>
      </w:r>
      <w:r w:rsidRPr="00B24633">
        <w:rPr>
          <w:spacing w:val="-1"/>
          <w:sz w:val="24"/>
          <w:szCs w:val="24"/>
        </w:rPr>
        <w:t xml:space="preserve"> </w:t>
      </w:r>
      <w:r w:rsidRPr="00B24633">
        <w:rPr>
          <w:sz w:val="24"/>
          <w:szCs w:val="24"/>
        </w:rPr>
        <w:t>drenge</w:t>
      </w:r>
      <w:r w:rsidRPr="00B24633">
        <w:rPr>
          <w:spacing w:val="-1"/>
          <w:sz w:val="24"/>
          <w:szCs w:val="24"/>
        </w:rPr>
        <w:t xml:space="preserve"> </w:t>
      </w:r>
      <w:r w:rsidRPr="00B24633">
        <w:rPr>
          <w:sz w:val="24"/>
          <w:szCs w:val="24"/>
        </w:rPr>
        <w:t>og</w:t>
      </w:r>
      <w:r w:rsidRPr="00B24633">
        <w:rPr>
          <w:spacing w:val="-1"/>
          <w:sz w:val="24"/>
          <w:szCs w:val="24"/>
        </w:rPr>
        <w:t xml:space="preserve"> </w:t>
      </w:r>
      <w:r w:rsidRPr="00B24633">
        <w:rPr>
          <w:sz w:val="24"/>
          <w:szCs w:val="24"/>
        </w:rPr>
        <w:t>piger.</w:t>
      </w:r>
    </w:p>
    <w:p w14:paraId="7F6EDCA5" w14:textId="77777777" w:rsidR="00F61E6E" w:rsidRPr="00B24633" w:rsidRDefault="00F61E6E" w:rsidP="00B24633">
      <w:pPr>
        <w:tabs>
          <w:tab w:val="left" w:pos="851"/>
        </w:tabs>
        <w:ind w:left="851"/>
        <w:rPr>
          <w:sz w:val="24"/>
          <w:szCs w:val="24"/>
        </w:rPr>
      </w:pPr>
    </w:p>
    <w:p w14:paraId="5B13B534" w14:textId="77777777" w:rsidR="00F61E6E" w:rsidRPr="00B24633" w:rsidRDefault="00F61E6E" w:rsidP="00B24633">
      <w:pPr>
        <w:tabs>
          <w:tab w:val="left" w:pos="851"/>
        </w:tabs>
        <w:ind w:left="851"/>
        <w:rPr>
          <w:i/>
          <w:iCs/>
          <w:sz w:val="24"/>
          <w:szCs w:val="24"/>
        </w:rPr>
      </w:pPr>
      <w:r w:rsidRPr="00B24633">
        <w:rPr>
          <w:i/>
          <w:iCs/>
          <w:sz w:val="24"/>
          <w:szCs w:val="24"/>
        </w:rPr>
        <w:t>Ældre population</w:t>
      </w:r>
    </w:p>
    <w:p w14:paraId="1E1B711F" w14:textId="77777777" w:rsidR="00F61E6E" w:rsidRPr="00B24633" w:rsidRDefault="00F61E6E" w:rsidP="00B24633">
      <w:pPr>
        <w:tabs>
          <w:tab w:val="left" w:pos="851"/>
        </w:tabs>
        <w:ind w:left="851"/>
        <w:rPr>
          <w:sz w:val="24"/>
          <w:szCs w:val="24"/>
        </w:rPr>
      </w:pPr>
      <w:r w:rsidRPr="00B24633">
        <w:rPr>
          <w:sz w:val="24"/>
          <w:szCs w:val="24"/>
        </w:rPr>
        <w:t>Ældre patienter havde højere plasmakoncentrationer end yngre patienter, idet deres gennemsnitlige AUC-værdier var cirka 1,5 gange højere. Dette skyldtes hovedsageligt en reduceret (tilsyneladende) total og renal clearance. Der kræves ingen dosisjustering.</w:t>
      </w:r>
    </w:p>
    <w:p w14:paraId="1DCF74F3" w14:textId="77777777" w:rsidR="00F61E6E" w:rsidRPr="00B24633" w:rsidRDefault="00F61E6E" w:rsidP="00B24633">
      <w:pPr>
        <w:tabs>
          <w:tab w:val="left" w:pos="851"/>
        </w:tabs>
        <w:ind w:left="851"/>
        <w:rPr>
          <w:sz w:val="24"/>
          <w:szCs w:val="24"/>
        </w:rPr>
      </w:pPr>
    </w:p>
    <w:p w14:paraId="3AC65B14" w14:textId="77777777" w:rsidR="00F61E6E" w:rsidRPr="00B24633" w:rsidRDefault="00F61E6E" w:rsidP="00B24633">
      <w:pPr>
        <w:tabs>
          <w:tab w:val="left" w:pos="851"/>
        </w:tabs>
        <w:ind w:left="851"/>
        <w:rPr>
          <w:i/>
          <w:iCs/>
          <w:sz w:val="24"/>
          <w:szCs w:val="24"/>
        </w:rPr>
      </w:pPr>
      <w:r w:rsidRPr="00B24633">
        <w:rPr>
          <w:i/>
          <w:iCs/>
          <w:sz w:val="24"/>
          <w:szCs w:val="24"/>
        </w:rPr>
        <w:t>Forskellige vægtkategorier</w:t>
      </w:r>
    </w:p>
    <w:p w14:paraId="66A0EF12" w14:textId="43896EE8" w:rsidR="00F61E6E" w:rsidRPr="00B24633" w:rsidRDefault="00F61E6E" w:rsidP="00B24633">
      <w:pPr>
        <w:tabs>
          <w:tab w:val="left" w:pos="851"/>
        </w:tabs>
        <w:ind w:left="851"/>
        <w:rPr>
          <w:sz w:val="24"/>
          <w:szCs w:val="24"/>
        </w:rPr>
      </w:pPr>
      <w:r w:rsidRPr="00B24633">
        <w:rPr>
          <w:sz w:val="24"/>
          <w:szCs w:val="24"/>
        </w:rPr>
        <w:t>Hos voksne havde ekstrem legemsvægt (&lt; 50 kg eller &gt; 120 kg) kun ringe indvirkning på rivaroxabans plasmakoncentrationer (under 25</w:t>
      </w:r>
      <w:r w:rsidR="00054680">
        <w:rPr>
          <w:sz w:val="24"/>
          <w:szCs w:val="24"/>
        </w:rPr>
        <w:t xml:space="preserve"> %</w:t>
      </w:r>
      <w:r w:rsidRPr="00B24633">
        <w:rPr>
          <w:sz w:val="24"/>
          <w:szCs w:val="24"/>
        </w:rPr>
        <w:t>). Der kræves ingen dosisjustering.</w:t>
      </w:r>
    </w:p>
    <w:p w14:paraId="47007974" w14:textId="77777777" w:rsidR="00F61E6E" w:rsidRPr="00B24633" w:rsidRDefault="00F61E6E" w:rsidP="00B24633">
      <w:pPr>
        <w:tabs>
          <w:tab w:val="left" w:pos="851"/>
        </w:tabs>
        <w:ind w:left="851"/>
        <w:rPr>
          <w:sz w:val="24"/>
          <w:szCs w:val="24"/>
        </w:rPr>
      </w:pPr>
      <w:r w:rsidRPr="00B24633">
        <w:rPr>
          <w:sz w:val="24"/>
          <w:szCs w:val="24"/>
        </w:rPr>
        <w:t>Hos børn doseres rivaroxaban baseret på legemsvægt. En eksplorativ analyse hos børn afdækkede ikke en relevant påvirkning af undervægt eller overvægt på rivaroxaban-eksponeringen.</w:t>
      </w:r>
    </w:p>
    <w:p w14:paraId="784030E7" w14:textId="77777777" w:rsidR="00F61E6E" w:rsidRPr="00B24633" w:rsidRDefault="00F61E6E" w:rsidP="00B24633">
      <w:pPr>
        <w:tabs>
          <w:tab w:val="left" w:pos="851"/>
        </w:tabs>
        <w:ind w:left="851"/>
        <w:rPr>
          <w:sz w:val="24"/>
          <w:szCs w:val="24"/>
        </w:rPr>
      </w:pPr>
    </w:p>
    <w:p w14:paraId="51A0FEFC" w14:textId="77777777" w:rsidR="00F61E6E" w:rsidRPr="00B24633" w:rsidRDefault="00F61E6E" w:rsidP="00B24633">
      <w:pPr>
        <w:tabs>
          <w:tab w:val="left" w:pos="851"/>
        </w:tabs>
        <w:ind w:left="851"/>
        <w:rPr>
          <w:i/>
          <w:iCs/>
          <w:sz w:val="24"/>
          <w:szCs w:val="24"/>
        </w:rPr>
      </w:pPr>
      <w:r w:rsidRPr="00B24633">
        <w:rPr>
          <w:i/>
          <w:iCs/>
          <w:sz w:val="24"/>
          <w:szCs w:val="24"/>
        </w:rPr>
        <w:t>Interetniske forskelle</w:t>
      </w:r>
    </w:p>
    <w:p w14:paraId="2862E722" w14:textId="77777777" w:rsidR="00F61E6E" w:rsidRPr="00B24633" w:rsidRDefault="00F61E6E" w:rsidP="00B24633">
      <w:pPr>
        <w:tabs>
          <w:tab w:val="left" w:pos="851"/>
        </w:tabs>
        <w:ind w:left="851"/>
        <w:rPr>
          <w:sz w:val="24"/>
          <w:szCs w:val="24"/>
        </w:rPr>
      </w:pPr>
      <w:r w:rsidRPr="00B24633">
        <w:rPr>
          <w:sz w:val="24"/>
          <w:szCs w:val="24"/>
        </w:rPr>
        <w:t>Hos voksne blev der ikke observeret nogen klinisk relevante interetniske forskelle mellem kaukasiske (hvide), afroamerikanske, latinamerikanske, japanske og kinesiske patienter, hvad angår rivaroxabans farmakokinetik og farmakodynamik.</w:t>
      </w:r>
    </w:p>
    <w:p w14:paraId="7549D82B" w14:textId="77777777" w:rsidR="00F61E6E" w:rsidRPr="00B24633" w:rsidRDefault="00F61E6E" w:rsidP="00B24633">
      <w:pPr>
        <w:tabs>
          <w:tab w:val="left" w:pos="851"/>
        </w:tabs>
        <w:ind w:left="851"/>
        <w:rPr>
          <w:sz w:val="24"/>
          <w:szCs w:val="24"/>
        </w:rPr>
      </w:pPr>
      <w:r w:rsidRPr="00B24633">
        <w:rPr>
          <w:sz w:val="24"/>
          <w:szCs w:val="24"/>
        </w:rPr>
        <w:t>En eksplorativ analyse afdækkede ikke relevante interetniske forskelle i rivaroxaban-eksponering blandt japanske, kinesiske eller asiatiske børn uden for Japan og Kina, sammenlignet med den relevante samlede pædiatriske population.</w:t>
      </w:r>
    </w:p>
    <w:p w14:paraId="2CF6DB24" w14:textId="77777777" w:rsidR="00F61E6E" w:rsidRPr="00B24633" w:rsidRDefault="00F61E6E" w:rsidP="00B24633">
      <w:pPr>
        <w:tabs>
          <w:tab w:val="left" w:pos="851"/>
        </w:tabs>
        <w:ind w:left="851"/>
        <w:rPr>
          <w:sz w:val="24"/>
          <w:szCs w:val="24"/>
        </w:rPr>
      </w:pPr>
    </w:p>
    <w:p w14:paraId="1541AEC0" w14:textId="77777777" w:rsidR="00F61E6E" w:rsidRPr="00B24633" w:rsidRDefault="00F61E6E" w:rsidP="00B24633">
      <w:pPr>
        <w:tabs>
          <w:tab w:val="left" w:pos="851"/>
        </w:tabs>
        <w:ind w:left="851"/>
        <w:rPr>
          <w:i/>
          <w:iCs/>
          <w:sz w:val="24"/>
          <w:szCs w:val="24"/>
        </w:rPr>
      </w:pPr>
      <w:r w:rsidRPr="00B24633">
        <w:rPr>
          <w:i/>
          <w:iCs/>
          <w:sz w:val="24"/>
          <w:szCs w:val="24"/>
        </w:rPr>
        <w:t>Nedsat leverfunktion</w:t>
      </w:r>
    </w:p>
    <w:p w14:paraId="13D9B7D8" w14:textId="1A300B51" w:rsidR="00F61E6E" w:rsidRPr="00B24633" w:rsidRDefault="00F61E6E" w:rsidP="00B24633">
      <w:pPr>
        <w:tabs>
          <w:tab w:val="left" w:pos="851"/>
        </w:tabs>
        <w:ind w:left="851"/>
        <w:rPr>
          <w:sz w:val="24"/>
          <w:szCs w:val="24"/>
        </w:rPr>
      </w:pPr>
      <w:r w:rsidRPr="00B24633">
        <w:rPr>
          <w:sz w:val="24"/>
          <w:szCs w:val="24"/>
        </w:rPr>
        <w:t>Hos voksne cirrosepatienter med let nedsat leverfunktion (klassificeret som Child-Pugh-score A) sås der kun mindre ændringer i rivaroxabans farmakokinetik (gennemsnitlig stigning i AUC for rivaroxaban på 1,2 gange), hvilket næsten er sammenligneligt med den tilsvarende raske kontrolgruppe. Hos cirrosepatienter med moderat nedsat leverfunktion (klassificeret som Child-Pugh-score B) steg det gennemsnitlige AUC for rivaroxaban signifikant med 2,3 gange sammenlignet med raske frivillige. Ubunden AUC var øget med en faktor 2,6. Disse patienter havde også nedsat renal elimination af rivaroxaban i lighed med patienter med moderat nedsat nyrefunktion. Der foreligger ikke data om patienter med svært nedsat leverfunktion.</w:t>
      </w:r>
    </w:p>
    <w:p w14:paraId="226EA6DF" w14:textId="77777777" w:rsidR="00F61E6E" w:rsidRPr="00B24633" w:rsidRDefault="00F61E6E" w:rsidP="00B24633">
      <w:pPr>
        <w:tabs>
          <w:tab w:val="left" w:pos="851"/>
        </w:tabs>
        <w:ind w:left="851"/>
        <w:rPr>
          <w:sz w:val="24"/>
          <w:szCs w:val="24"/>
        </w:rPr>
      </w:pPr>
      <w:r w:rsidRPr="00B24633">
        <w:rPr>
          <w:sz w:val="24"/>
          <w:szCs w:val="24"/>
        </w:rPr>
        <w:t>Hæmningen af faktor Xa-aktiviteten steg med en faktor på 2,6 hos patienter med moderat nedsat leverfunktion sammenlignet med raske frivillige. PT-forlængelsen steg ligeledes med en faktor på 2,1. Patienter med moderat nedsat leverfunktion var mere følsomme over for rivaroxaban. Det resulterede i et stejlere PK/PD-forhold mellem koncentration og PT.</w:t>
      </w:r>
    </w:p>
    <w:p w14:paraId="0A0484D8" w14:textId="141B4211" w:rsidR="00F61E6E" w:rsidRPr="00B24633" w:rsidRDefault="00F61E6E" w:rsidP="00B24633">
      <w:pPr>
        <w:tabs>
          <w:tab w:val="left" w:pos="851"/>
        </w:tabs>
        <w:ind w:left="851"/>
        <w:rPr>
          <w:sz w:val="24"/>
          <w:szCs w:val="24"/>
        </w:rPr>
      </w:pPr>
      <w:r w:rsidRPr="00B24633">
        <w:rPr>
          <w:sz w:val="24"/>
          <w:szCs w:val="24"/>
        </w:rPr>
        <w:t>Rivaroxaban er kontraindiceret hos patienter med leversygdom, der er forbundet med koagulationsdefekt og en klinisk relevant blødningsrisiko, herunder cirrosepatienter med Child-Pugh B og C (se pkt. 4.3).</w:t>
      </w:r>
    </w:p>
    <w:p w14:paraId="6A68FF0C" w14:textId="77777777" w:rsidR="00F61E6E" w:rsidRPr="00B24633" w:rsidRDefault="00F61E6E" w:rsidP="00B24633">
      <w:pPr>
        <w:tabs>
          <w:tab w:val="left" w:pos="851"/>
        </w:tabs>
        <w:ind w:left="851"/>
        <w:rPr>
          <w:sz w:val="24"/>
          <w:szCs w:val="24"/>
        </w:rPr>
      </w:pPr>
      <w:r w:rsidRPr="00B24633">
        <w:rPr>
          <w:sz w:val="24"/>
          <w:szCs w:val="24"/>
        </w:rPr>
        <w:t>Der foreligger ingen kliniske data for børn med nedsat leverfunktion.</w:t>
      </w:r>
    </w:p>
    <w:p w14:paraId="590D727C" w14:textId="77777777" w:rsidR="00F61E6E" w:rsidRPr="00B24633" w:rsidRDefault="00F61E6E" w:rsidP="00B24633">
      <w:pPr>
        <w:tabs>
          <w:tab w:val="left" w:pos="851"/>
        </w:tabs>
        <w:ind w:left="851"/>
        <w:rPr>
          <w:sz w:val="24"/>
          <w:szCs w:val="24"/>
        </w:rPr>
      </w:pPr>
    </w:p>
    <w:p w14:paraId="73EDD3F0" w14:textId="77777777" w:rsidR="00F61E6E" w:rsidRPr="00B24633" w:rsidRDefault="00F61E6E" w:rsidP="00B24633">
      <w:pPr>
        <w:tabs>
          <w:tab w:val="left" w:pos="851"/>
        </w:tabs>
        <w:ind w:left="851"/>
        <w:rPr>
          <w:i/>
          <w:iCs/>
          <w:sz w:val="24"/>
          <w:szCs w:val="24"/>
        </w:rPr>
      </w:pPr>
      <w:r w:rsidRPr="00B24633">
        <w:rPr>
          <w:i/>
          <w:iCs/>
          <w:sz w:val="24"/>
          <w:szCs w:val="24"/>
        </w:rPr>
        <w:t>Nedsat nyrefunktion</w:t>
      </w:r>
    </w:p>
    <w:p w14:paraId="05E896AD" w14:textId="77777777" w:rsidR="00F61E6E" w:rsidRPr="00B24633" w:rsidRDefault="00F61E6E" w:rsidP="00B24633">
      <w:pPr>
        <w:tabs>
          <w:tab w:val="left" w:pos="851"/>
        </w:tabs>
        <w:ind w:left="851"/>
        <w:rPr>
          <w:sz w:val="24"/>
          <w:szCs w:val="24"/>
        </w:rPr>
      </w:pPr>
      <w:r w:rsidRPr="00B24633">
        <w:rPr>
          <w:sz w:val="24"/>
          <w:szCs w:val="24"/>
        </w:rPr>
        <w:t>Hos voksne sås en stigning i eksponeringen for rivaroxaban, der var korreleret med reduktionen i nyrefunktionen. Dette blev vurderet ved målinger af patienternes kreatininclearance. Hos personer med mild (kreatininclearance 50 ‒ 80 ml/min), moderat (kreatininclearance 30 ‒ 49 ml/min) og svær (kreatininclearance 15 ‒ 29 ml/min) nedsat nyrefunktion sås der en stigning i plasmakoncentrationerne af rivaroxaban (AUC) på henholdsvis 1,4, 1,5 og 1,6 gange. Tilsvarende stigninger i de farmakodynamiske effekter var mere udtalte. Hos personer med let, moderat og svært nedsat nyrefunktion var den samlede hæmning af faktor Xa-aktiviteten øget med en faktor på henholdsvis 1,5, 1,9 og 2,0 sammenlignet med raske frivillige. PT-forlængelsen steg ligeledes med en faktor på henholdsvis 1,3, 2,2 og 2,4. Der foreligger ingen data om patienter med kreatininclearance på &lt; 15 ml/min.</w:t>
      </w:r>
    </w:p>
    <w:p w14:paraId="46E92152" w14:textId="712A54CF" w:rsidR="00F61E6E" w:rsidRPr="00B24633" w:rsidRDefault="00F61E6E" w:rsidP="00B24633">
      <w:pPr>
        <w:tabs>
          <w:tab w:val="left" w:pos="851"/>
        </w:tabs>
        <w:ind w:left="851"/>
        <w:rPr>
          <w:sz w:val="24"/>
          <w:szCs w:val="24"/>
        </w:rPr>
      </w:pPr>
      <w:r w:rsidRPr="00B24633">
        <w:rPr>
          <w:sz w:val="24"/>
          <w:szCs w:val="24"/>
        </w:rPr>
        <w:t xml:space="preserve">På grund af rivaroxabans høje plasmaproteinbinding forventes det ikke, at lægemidlet er dialyserbart. Rivaroxaban </w:t>
      </w:r>
      <w:r w:rsidR="00B24633" w:rsidRPr="00B24633">
        <w:rPr>
          <w:sz w:val="24"/>
          <w:szCs w:val="24"/>
        </w:rPr>
        <w:t>"</w:t>
      </w:r>
      <w:r w:rsidRPr="00B24633">
        <w:rPr>
          <w:sz w:val="24"/>
          <w:szCs w:val="24"/>
        </w:rPr>
        <w:t>Orion</w:t>
      </w:r>
      <w:r w:rsidR="00B24633" w:rsidRPr="00B24633">
        <w:rPr>
          <w:sz w:val="24"/>
          <w:szCs w:val="24"/>
        </w:rPr>
        <w:t>"</w:t>
      </w:r>
      <w:r w:rsidRPr="00B24633">
        <w:rPr>
          <w:sz w:val="24"/>
          <w:szCs w:val="24"/>
        </w:rPr>
        <w:t xml:space="preserve"> bør ikke anvendes til patienter med en kreatininclearance på &lt; 15 ml/min. Rivaroxaban skal bruges med forsigtighed til patienter med en kreatininclearance på 15 ‒ 29 ml/min (se pkt. 4.4).</w:t>
      </w:r>
    </w:p>
    <w:p w14:paraId="78B022A6" w14:textId="77777777" w:rsidR="00F61E6E" w:rsidRPr="00B24633" w:rsidRDefault="00F61E6E" w:rsidP="00B24633">
      <w:pPr>
        <w:tabs>
          <w:tab w:val="left" w:pos="851"/>
        </w:tabs>
        <w:ind w:left="851"/>
        <w:rPr>
          <w:sz w:val="24"/>
          <w:szCs w:val="24"/>
        </w:rPr>
      </w:pPr>
      <w:r w:rsidRPr="00B24633">
        <w:rPr>
          <w:sz w:val="24"/>
          <w:szCs w:val="24"/>
        </w:rPr>
        <w:lastRenderedPageBreak/>
        <w:t>Der foreligger ingen kliniske data hos børn i alderen 1 år eller ældre med moderat eller svært nedsat nyrefunktion (glomerulær filtrationsrate &lt; 50 ml/min/1,73 m</w:t>
      </w:r>
      <w:r w:rsidRPr="00EC010C">
        <w:rPr>
          <w:sz w:val="24"/>
          <w:szCs w:val="24"/>
          <w:vertAlign w:val="superscript"/>
        </w:rPr>
        <w:t>2</w:t>
      </w:r>
      <w:r w:rsidRPr="00B24633">
        <w:rPr>
          <w:sz w:val="24"/>
          <w:szCs w:val="24"/>
        </w:rPr>
        <w:t>).</w:t>
      </w:r>
    </w:p>
    <w:p w14:paraId="5BA31C66" w14:textId="77777777" w:rsidR="00F61E6E" w:rsidRPr="00B24633" w:rsidRDefault="00F61E6E" w:rsidP="00B24633">
      <w:pPr>
        <w:tabs>
          <w:tab w:val="left" w:pos="851"/>
        </w:tabs>
        <w:ind w:left="851"/>
        <w:rPr>
          <w:sz w:val="24"/>
          <w:szCs w:val="24"/>
        </w:rPr>
      </w:pPr>
    </w:p>
    <w:p w14:paraId="3EC13368" w14:textId="77777777" w:rsidR="00F61E6E" w:rsidRPr="00B24633" w:rsidRDefault="00F61E6E" w:rsidP="00B24633">
      <w:pPr>
        <w:tabs>
          <w:tab w:val="left" w:pos="851"/>
        </w:tabs>
        <w:ind w:left="851"/>
        <w:rPr>
          <w:sz w:val="24"/>
          <w:szCs w:val="24"/>
          <w:u w:val="single"/>
        </w:rPr>
      </w:pPr>
      <w:r w:rsidRPr="00B24633">
        <w:rPr>
          <w:sz w:val="24"/>
          <w:szCs w:val="24"/>
          <w:u w:val="single"/>
        </w:rPr>
        <w:t>Farmakokinetiske data for patienter</w:t>
      </w:r>
    </w:p>
    <w:p w14:paraId="14DDFC18" w14:textId="77777777" w:rsidR="00F61E6E" w:rsidRPr="00B24633" w:rsidRDefault="00F61E6E" w:rsidP="00B24633">
      <w:pPr>
        <w:tabs>
          <w:tab w:val="left" w:pos="851"/>
        </w:tabs>
        <w:ind w:left="851"/>
        <w:rPr>
          <w:sz w:val="24"/>
          <w:szCs w:val="24"/>
          <w:u w:val="single"/>
        </w:rPr>
      </w:pPr>
    </w:p>
    <w:p w14:paraId="231CD9FF" w14:textId="1B14C4C4" w:rsidR="00F61E6E" w:rsidRPr="00B24633" w:rsidRDefault="00F61E6E" w:rsidP="00B24633">
      <w:pPr>
        <w:tabs>
          <w:tab w:val="left" w:pos="851"/>
        </w:tabs>
        <w:ind w:left="851"/>
        <w:rPr>
          <w:sz w:val="24"/>
          <w:szCs w:val="24"/>
        </w:rPr>
      </w:pPr>
      <w:r w:rsidRPr="00B24633">
        <w:rPr>
          <w:sz w:val="24"/>
          <w:szCs w:val="24"/>
        </w:rPr>
        <w:t>Hos patienter, der fik rivaroxaban 20 mg én gang dagligt til behandling af akut dyb venetrombose (DVT), var den geometriske middelkoncentration (90</w:t>
      </w:r>
      <w:r w:rsidR="00054680">
        <w:rPr>
          <w:sz w:val="24"/>
          <w:szCs w:val="24"/>
        </w:rPr>
        <w:t xml:space="preserve"> %</w:t>
      </w:r>
      <w:r w:rsidRPr="00B24633">
        <w:rPr>
          <w:sz w:val="24"/>
          <w:szCs w:val="24"/>
        </w:rPr>
        <w:t xml:space="preserve"> prediction-interval) 2 ‒ 4 timer og ca. 24 timer efter administration henholdsvis 215 (22 – 535) og 32 (6 – 239) mikrog/l, hvilket stort set svarer til maksimums- og minimumskoncentrationerne i doseringsintervallet.</w:t>
      </w:r>
    </w:p>
    <w:p w14:paraId="24E3C4BC" w14:textId="77777777" w:rsidR="00F61E6E" w:rsidRPr="00B24633" w:rsidRDefault="00F61E6E" w:rsidP="00B24633">
      <w:pPr>
        <w:tabs>
          <w:tab w:val="left" w:pos="851"/>
        </w:tabs>
        <w:ind w:left="851"/>
        <w:rPr>
          <w:sz w:val="24"/>
          <w:szCs w:val="24"/>
        </w:rPr>
      </w:pPr>
    </w:p>
    <w:p w14:paraId="50FF2382" w14:textId="0CFD88CC" w:rsidR="00F61E6E" w:rsidRPr="00B24633" w:rsidRDefault="00F61E6E" w:rsidP="00B24633">
      <w:pPr>
        <w:tabs>
          <w:tab w:val="left" w:pos="851"/>
        </w:tabs>
        <w:ind w:left="851"/>
        <w:rPr>
          <w:sz w:val="24"/>
          <w:szCs w:val="24"/>
        </w:rPr>
      </w:pPr>
      <w:r w:rsidRPr="00B24633">
        <w:rPr>
          <w:sz w:val="24"/>
          <w:szCs w:val="24"/>
        </w:rPr>
        <w:t>Hos pædiatriske patienter med akut VTE, der fik legemsvægtjusteret rivaroxaban, hvilket førte til en eksponering svarende til den hos voksne DVT-patienter, som fik en dosis på 20 mg én gang dagligt, er de geometriske gennemsnitskoncentrationer (90</w:t>
      </w:r>
      <w:r w:rsidR="00054680">
        <w:rPr>
          <w:sz w:val="24"/>
          <w:szCs w:val="24"/>
        </w:rPr>
        <w:t xml:space="preserve"> %</w:t>
      </w:r>
      <w:r w:rsidRPr="00B24633">
        <w:rPr>
          <w:sz w:val="24"/>
          <w:szCs w:val="24"/>
        </w:rPr>
        <w:t xml:space="preserve"> interval) ved prøvetagningsintervaller, der stort set repræsenterer maksimums- og minimumskoncentrationer i løbet af dosisintervallet, opsummeret i tabel 13.</w:t>
      </w:r>
    </w:p>
    <w:p w14:paraId="67020971" w14:textId="77777777" w:rsidR="00F61E6E" w:rsidRPr="00B24633" w:rsidRDefault="00F61E6E" w:rsidP="00B24633">
      <w:pPr>
        <w:tabs>
          <w:tab w:val="left" w:pos="851"/>
        </w:tabs>
        <w:ind w:left="851"/>
        <w:rPr>
          <w:sz w:val="24"/>
          <w:szCs w:val="24"/>
        </w:rPr>
      </w:pPr>
    </w:p>
    <w:p w14:paraId="54311E60" w14:textId="61D9192E" w:rsidR="00F61E6E" w:rsidRDefault="00F61E6E" w:rsidP="00B24633">
      <w:pPr>
        <w:rPr>
          <w:b/>
          <w:sz w:val="24"/>
          <w:szCs w:val="24"/>
        </w:rPr>
      </w:pPr>
      <w:r w:rsidRPr="00B24633">
        <w:rPr>
          <w:b/>
          <w:sz w:val="24"/>
          <w:szCs w:val="24"/>
        </w:rPr>
        <w:t>Tabel 13: Opsummerende statistik (geometrisk gennemsnit (90</w:t>
      </w:r>
      <w:r w:rsidR="00054680">
        <w:rPr>
          <w:b/>
          <w:sz w:val="24"/>
          <w:szCs w:val="24"/>
        </w:rPr>
        <w:t xml:space="preserve"> %</w:t>
      </w:r>
      <w:r w:rsidRPr="00B24633">
        <w:rPr>
          <w:b/>
          <w:sz w:val="24"/>
          <w:szCs w:val="24"/>
        </w:rPr>
        <w:t xml:space="preserve"> interval)) af rivaroxaban steady-state plasmakoncentrationer (mikrog/l) pr. doseringsprogram og alder</w:t>
      </w:r>
    </w:p>
    <w:p w14:paraId="60A7E874" w14:textId="77777777" w:rsidR="00E65BA3" w:rsidRPr="00B24633" w:rsidRDefault="00E65BA3" w:rsidP="00B24633">
      <w:pPr>
        <w:rPr>
          <w:b/>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363"/>
        <w:gridCol w:w="580"/>
        <w:gridCol w:w="1477"/>
        <w:gridCol w:w="545"/>
        <w:gridCol w:w="1566"/>
        <w:gridCol w:w="533"/>
        <w:gridCol w:w="1294"/>
        <w:gridCol w:w="535"/>
        <w:gridCol w:w="1735"/>
      </w:tblGrid>
      <w:tr w:rsidR="00F61E6E" w:rsidRPr="00EC010C" w14:paraId="19C7FD85" w14:textId="77777777" w:rsidTr="00AF570B">
        <w:trPr>
          <w:trHeight w:val="519"/>
        </w:trPr>
        <w:tc>
          <w:tcPr>
            <w:tcW w:w="708" w:type="pct"/>
          </w:tcPr>
          <w:p w14:paraId="7B67190C" w14:textId="77777777" w:rsidR="00F61E6E" w:rsidRPr="00EC010C" w:rsidRDefault="00F61E6E" w:rsidP="00B24633">
            <w:pPr>
              <w:keepNext/>
              <w:widowControl w:val="0"/>
              <w:autoSpaceDE w:val="0"/>
              <w:autoSpaceDN w:val="0"/>
              <w:spacing w:line="260" w:lineRule="exact"/>
              <w:ind w:left="107"/>
              <w:rPr>
                <w:b/>
                <w:sz w:val="22"/>
                <w:szCs w:val="22"/>
              </w:rPr>
            </w:pPr>
            <w:r w:rsidRPr="00EC010C">
              <w:rPr>
                <w:b/>
                <w:sz w:val="22"/>
                <w:szCs w:val="22"/>
              </w:rPr>
              <w:t>Tids-</w:t>
            </w:r>
            <w:r w:rsidRPr="00EC010C">
              <w:rPr>
                <w:b/>
                <w:spacing w:val="1"/>
                <w:sz w:val="22"/>
                <w:szCs w:val="22"/>
              </w:rPr>
              <w:t xml:space="preserve"> </w:t>
            </w:r>
            <w:r w:rsidRPr="00EC010C">
              <w:rPr>
                <w:b/>
                <w:sz w:val="22"/>
                <w:szCs w:val="22"/>
              </w:rPr>
              <w:t>intervaller</w:t>
            </w:r>
          </w:p>
        </w:tc>
        <w:tc>
          <w:tcPr>
            <w:tcW w:w="301" w:type="pct"/>
          </w:tcPr>
          <w:p w14:paraId="3D38C8D6" w14:textId="77777777" w:rsidR="00F61E6E" w:rsidRPr="00EC010C" w:rsidRDefault="00F61E6E" w:rsidP="00B24633">
            <w:pPr>
              <w:keepNext/>
              <w:widowControl w:val="0"/>
              <w:autoSpaceDE w:val="0"/>
              <w:autoSpaceDN w:val="0"/>
              <w:rPr>
                <w:sz w:val="22"/>
                <w:szCs w:val="22"/>
              </w:rPr>
            </w:pPr>
          </w:p>
        </w:tc>
        <w:tc>
          <w:tcPr>
            <w:tcW w:w="767" w:type="pct"/>
          </w:tcPr>
          <w:p w14:paraId="467D8DBD" w14:textId="77777777" w:rsidR="00F61E6E" w:rsidRPr="00EC010C" w:rsidRDefault="00F61E6E" w:rsidP="00B24633">
            <w:pPr>
              <w:keepNext/>
              <w:widowControl w:val="0"/>
              <w:autoSpaceDE w:val="0"/>
              <w:autoSpaceDN w:val="0"/>
              <w:rPr>
                <w:sz w:val="22"/>
                <w:szCs w:val="22"/>
              </w:rPr>
            </w:pPr>
          </w:p>
        </w:tc>
        <w:tc>
          <w:tcPr>
            <w:tcW w:w="283" w:type="pct"/>
          </w:tcPr>
          <w:p w14:paraId="59B356E3" w14:textId="77777777" w:rsidR="00F61E6E" w:rsidRPr="00EC010C" w:rsidRDefault="00F61E6E" w:rsidP="00B24633">
            <w:pPr>
              <w:keepNext/>
              <w:widowControl w:val="0"/>
              <w:autoSpaceDE w:val="0"/>
              <w:autoSpaceDN w:val="0"/>
              <w:rPr>
                <w:sz w:val="22"/>
                <w:szCs w:val="22"/>
              </w:rPr>
            </w:pPr>
          </w:p>
        </w:tc>
        <w:tc>
          <w:tcPr>
            <w:tcW w:w="813" w:type="pct"/>
          </w:tcPr>
          <w:p w14:paraId="50192A64" w14:textId="77777777" w:rsidR="00F61E6E" w:rsidRPr="00EC010C" w:rsidRDefault="00F61E6E" w:rsidP="00B24633">
            <w:pPr>
              <w:keepNext/>
              <w:widowControl w:val="0"/>
              <w:autoSpaceDE w:val="0"/>
              <w:autoSpaceDN w:val="0"/>
              <w:rPr>
                <w:sz w:val="22"/>
                <w:szCs w:val="22"/>
              </w:rPr>
            </w:pPr>
          </w:p>
        </w:tc>
        <w:tc>
          <w:tcPr>
            <w:tcW w:w="277" w:type="pct"/>
          </w:tcPr>
          <w:p w14:paraId="707C15B1" w14:textId="77777777" w:rsidR="00F61E6E" w:rsidRPr="00EC010C" w:rsidRDefault="00F61E6E" w:rsidP="00B24633">
            <w:pPr>
              <w:keepNext/>
              <w:widowControl w:val="0"/>
              <w:autoSpaceDE w:val="0"/>
              <w:autoSpaceDN w:val="0"/>
              <w:rPr>
                <w:sz w:val="22"/>
                <w:szCs w:val="22"/>
              </w:rPr>
            </w:pPr>
          </w:p>
        </w:tc>
        <w:tc>
          <w:tcPr>
            <w:tcW w:w="672" w:type="pct"/>
          </w:tcPr>
          <w:p w14:paraId="63591F8F" w14:textId="77777777" w:rsidR="00F61E6E" w:rsidRPr="00EC010C" w:rsidRDefault="00F61E6E" w:rsidP="00B24633">
            <w:pPr>
              <w:keepNext/>
              <w:widowControl w:val="0"/>
              <w:autoSpaceDE w:val="0"/>
              <w:autoSpaceDN w:val="0"/>
              <w:rPr>
                <w:sz w:val="22"/>
                <w:szCs w:val="22"/>
              </w:rPr>
            </w:pPr>
          </w:p>
        </w:tc>
        <w:tc>
          <w:tcPr>
            <w:tcW w:w="278" w:type="pct"/>
          </w:tcPr>
          <w:p w14:paraId="6D1C9F51" w14:textId="77777777" w:rsidR="00F61E6E" w:rsidRPr="00EC010C" w:rsidRDefault="00F61E6E" w:rsidP="00B24633">
            <w:pPr>
              <w:keepNext/>
              <w:widowControl w:val="0"/>
              <w:autoSpaceDE w:val="0"/>
              <w:autoSpaceDN w:val="0"/>
              <w:rPr>
                <w:sz w:val="22"/>
                <w:szCs w:val="22"/>
              </w:rPr>
            </w:pPr>
          </w:p>
        </w:tc>
        <w:tc>
          <w:tcPr>
            <w:tcW w:w="901" w:type="pct"/>
          </w:tcPr>
          <w:p w14:paraId="7E18D59E" w14:textId="77777777" w:rsidR="00F61E6E" w:rsidRPr="00EC010C" w:rsidRDefault="00F61E6E" w:rsidP="00B24633">
            <w:pPr>
              <w:keepNext/>
              <w:widowControl w:val="0"/>
              <w:autoSpaceDE w:val="0"/>
              <w:autoSpaceDN w:val="0"/>
              <w:rPr>
                <w:sz w:val="22"/>
                <w:szCs w:val="22"/>
              </w:rPr>
            </w:pPr>
          </w:p>
        </w:tc>
      </w:tr>
      <w:tr w:rsidR="00213042" w:rsidRPr="00EC010C" w14:paraId="4C32BD3B" w14:textId="77777777" w:rsidTr="00AF570B">
        <w:trPr>
          <w:trHeight w:val="259"/>
        </w:trPr>
        <w:tc>
          <w:tcPr>
            <w:tcW w:w="708" w:type="pct"/>
          </w:tcPr>
          <w:p w14:paraId="2855992E" w14:textId="77777777" w:rsidR="00213042" w:rsidRPr="00EC010C" w:rsidRDefault="00213042" w:rsidP="00213042">
            <w:pPr>
              <w:widowControl w:val="0"/>
              <w:autoSpaceDE w:val="0"/>
              <w:autoSpaceDN w:val="0"/>
              <w:spacing w:before="2" w:line="237" w:lineRule="exact"/>
              <w:ind w:left="107"/>
              <w:rPr>
                <w:b/>
                <w:sz w:val="22"/>
                <w:szCs w:val="22"/>
              </w:rPr>
            </w:pPr>
            <w:r w:rsidRPr="00EC010C">
              <w:rPr>
                <w:b/>
                <w:sz w:val="22"/>
                <w:szCs w:val="22"/>
              </w:rPr>
              <w:t>o.d.</w:t>
            </w:r>
          </w:p>
        </w:tc>
        <w:tc>
          <w:tcPr>
            <w:tcW w:w="301" w:type="pct"/>
          </w:tcPr>
          <w:p w14:paraId="76E24696" w14:textId="77777777" w:rsidR="00213042" w:rsidRPr="00EC010C" w:rsidRDefault="00213042" w:rsidP="00213042">
            <w:pPr>
              <w:widowControl w:val="0"/>
              <w:autoSpaceDE w:val="0"/>
              <w:autoSpaceDN w:val="0"/>
              <w:spacing w:before="2" w:line="237" w:lineRule="exact"/>
              <w:ind w:left="107"/>
              <w:rPr>
                <w:b/>
                <w:sz w:val="22"/>
                <w:szCs w:val="22"/>
              </w:rPr>
            </w:pPr>
            <w:r w:rsidRPr="00EC010C">
              <w:rPr>
                <w:b/>
                <w:w w:val="99"/>
                <w:sz w:val="22"/>
                <w:szCs w:val="22"/>
              </w:rPr>
              <w:t>N</w:t>
            </w:r>
          </w:p>
        </w:tc>
        <w:tc>
          <w:tcPr>
            <w:tcW w:w="767" w:type="pct"/>
          </w:tcPr>
          <w:p w14:paraId="61BAD044" w14:textId="2D4E647C" w:rsidR="00213042" w:rsidRPr="00EC010C" w:rsidRDefault="00213042" w:rsidP="00213042">
            <w:pPr>
              <w:widowControl w:val="0"/>
              <w:autoSpaceDE w:val="0"/>
              <w:autoSpaceDN w:val="0"/>
              <w:spacing w:before="2" w:line="237" w:lineRule="exact"/>
              <w:ind w:left="106"/>
              <w:rPr>
                <w:b/>
                <w:sz w:val="22"/>
                <w:szCs w:val="22"/>
              </w:rPr>
            </w:pPr>
            <w:r w:rsidRPr="00EC010C">
              <w:rPr>
                <w:b/>
                <w:sz w:val="22"/>
                <w:szCs w:val="22"/>
              </w:rPr>
              <w:t>12</w:t>
            </w:r>
            <w:r>
              <w:rPr>
                <w:b/>
                <w:sz w:val="22"/>
                <w:szCs w:val="22"/>
              </w:rPr>
              <w:t xml:space="preserve"> </w:t>
            </w:r>
            <w:r w:rsidRPr="00B24633">
              <w:rPr>
                <w:sz w:val="24"/>
                <w:szCs w:val="24"/>
              </w:rPr>
              <w:t>‒</w:t>
            </w:r>
            <w:r>
              <w:rPr>
                <w:sz w:val="24"/>
                <w:szCs w:val="24"/>
              </w:rPr>
              <w:t xml:space="preserve"> </w:t>
            </w:r>
            <w:r w:rsidRPr="00EC010C">
              <w:rPr>
                <w:b/>
                <w:sz w:val="22"/>
                <w:szCs w:val="22"/>
              </w:rPr>
              <w:t>&lt;</w:t>
            </w:r>
            <w:r w:rsidRPr="00EC010C">
              <w:rPr>
                <w:b/>
                <w:spacing w:val="-2"/>
                <w:sz w:val="22"/>
                <w:szCs w:val="22"/>
              </w:rPr>
              <w:t xml:space="preserve"> </w:t>
            </w:r>
            <w:r w:rsidRPr="00EC010C">
              <w:rPr>
                <w:b/>
                <w:sz w:val="22"/>
                <w:szCs w:val="22"/>
              </w:rPr>
              <w:t>18</w:t>
            </w:r>
            <w:r w:rsidRPr="00EC010C">
              <w:rPr>
                <w:b/>
                <w:spacing w:val="-1"/>
                <w:sz w:val="22"/>
                <w:szCs w:val="22"/>
              </w:rPr>
              <w:t> år</w:t>
            </w:r>
          </w:p>
        </w:tc>
        <w:tc>
          <w:tcPr>
            <w:tcW w:w="283" w:type="pct"/>
          </w:tcPr>
          <w:p w14:paraId="56D4B092" w14:textId="2A1860A3" w:rsidR="00213042" w:rsidRPr="00EC010C" w:rsidRDefault="00213042" w:rsidP="00213042">
            <w:pPr>
              <w:widowControl w:val="0"/>
              <w:autoSpaceDE w:val="0"/>
              <w:autoSpaceDN w:val="0"/>
              <w:spacing w:before="2" w:line="237" w:lineRule="exact"/>
              <w:ind w:left="106"/>
              <w:rPr>
                <w:b/>
                <w:sz w:val="22"/>
                <w:szCs w:val="22"/>
              </w:rPr>
            </w:pPr>
            <w:r w:rsidRPr="00EC010C">
              <w:rPr>
                <w:b/>
                <w:w w:val="99"/>
                <w:sz w:val="22"/>
                <w:szCs w:val="22"/>
              </w:rPr>
              <w:t>N</w:t>
            </w:r>
          </w:p>
        </w:tc>
        <w:tc>
          <w:tcPr>
            <w:tcW w:w="813" w:type="pct"/>
          </w:tcPr>
          <w:p w14:paraId="3886B226" w14:textId="27F6E600" w:rsidR="00213042" w:rsidRPr="00EC010C" w:rsidRDefault="00213042" w:rsidP="00213042">
            <w:pPr>
              <w:widowControl w:val="0"/>
              <w:autoSpaceDE w:val="0"/>
              <w:autoSpaceDN w:val="0"/>
              <w:spacing w:before="2" w:line="237" w:lineRule="exact"/>
              <w:ind w:left="108"/>
              <w:rPr>
                <w:b/>
                <w:sz w:val="22"/>
                <w:szCs w:val="22"/>
              </w:rPr>
            </w:pPr>
            <w:r w:rsidRPr="00EC010C">
              <w:rPr>
                <w:b/>
                <w:sz w:val="22"/>
                <w:szCs w:val="22"/>
              </w:rPr>
              <w:t>6</w:t>
            </w:r>
            <w:r>
              <w:rPr>
                <w:b/>
                <w:sz w:val="22"/>
                <w:szCs w:val="22"/>
              </w:rPr>
              <w:t xml:space="preserve"> </w:t>
            </w:r>
            <w:r w:rsidRPr="00B24633">
              <w:rPr>
                <w:sz w:val="24"/>
                <w:szCs w:val="24"/>
              </w:rPr>
              <w:t>‒</w:t>
            </w:r>
            <w:r>
              <w:rPr>
                <w:sz w:val="24"/>
                <w:szCs w:val="24"/>
              </w:rPr>
              <w:t xml:space="preserve"> </w:t>
            </w:r>
            <w:r w:rsidRPr="00EC010C">
              <w:rPr>
                <w:b/>
                <w:sz w:val="22"/>
                <w:szCs w:val="22"/>
              </w:rPr>
              <w:t>&lt;</w:t>
            </w:r>
            <w:r w:rsidRPr="00EC010C">
              <w:rPr>
                <w:b/>
                <w:spacing w:val="-2"/>
                <w:sz w:val="22"/>
                <w:szCs w:val="22"/>
              </w:rPr>
              <w:t xml:space="preserve"> </w:t>
            </w:r>
            <w:r w:rsidRPr="00EC010C">
              <w:rPr>
                <w:b/>
                <w:sz w:val="22"/>
                <w:szCs w:val="22"/>
              </w:rPr>
              <w:t>12 år</w:t>
            </w:r>
          </w:p>
        </w:tc>
        <w:tc>
          <w:tcPr>
            <w:tcW w:w="277" w:type="pct"/>
          </w:tcPr>
          <w:p w14:paraId="226D1EDE" w14:textId="77777777" w:rsidR="00213042" w:rsidRPr="00EC010C" w:rsidRDefault="00213042" w:rsidP="00213042">
            <w:pPr>
              <w:widowControl w:val="0"/>
              <w:autoSpaceDE w:val="0"/>
              <w:autoSpaceDN w:val="0"/>
              <w:rPr>
                <w:sz w:val="22"/>
                <w:szCs w:val="22"/>
              </w:rPr>
            </w:pPr>
          </w:p>
        </w:tc>
        <w:tc>
          <w:tcPr>
            <w:tcW w:w="672" w:type="pct"/>
          </w:tcPr>
          <w:p w14:paraId="4F45F3ED" w14:textId="77777777" w:rsidR="00213042" w:rsidRPr="00EC010C" w:rsidRDefault="00213042" w:rsidP="00213042">
            <w:pPr>
              <w:widowControl w:val="0"/>
              <w:autoSpaceDE w:val="0"/>
              <w:autoSpaceDN w:val="0"/>
              <w:rPr>
                <w:sz w:val="22"/>
                <w:szCs w:val="22"/>
              </w:rPr>
            </w:pPr>
          </w:p>
        </w:tc>
        <w:tc>
          <w:tcPr>
            <w:tcW w:w="278" w:type="pct"/>
          </w:tcPr>
          <w:p w14:paraId="49ABBDAA" w14:textId="77777777" w:rsidR="00213042" w:rsidRPr="00EC010C" w:rsidRDefault="00213042" w:rsidP="00213042">
            <w:pPr>
              <w:widowControl w:val="0"/>
              <w:autoSpaceDE w:val="0"/>
              <w:autoSpaceDN w:val="0"/>
              <w:rPr>
                <w:sz w:val="22"/>
                <w:szCs w:val="22"/>
              </w:rPr>
            </w:pPr>
          </w:p>
        </w:tc>
        <w:tc>
          <w:tcPr>
            <w:tcW w:w="901" w:type="pct"/>
          </w:tcPr>
          <w:p w14:paraId="5C97F22E" w14:textId="77777777" w:rsidR="00213042" w:rsidRPr="00EC010C" w:rsidRDefault="00213042" w:rsidP="00213042">
            <w:pPr>
              <w:widowControl w:val="0"/>
              <w:autoSpaceDE w:val="0"/>
              <w:autoSpaceDN w:val="0"/>
              <w:rPr>
                <w:sz w:val="22"/>
                <w:szCs w:val="22"/>
              </w:rPr>
            </w:pPr>
          </w:p>
        </w:tc>
      </w:tr>
      <w:tr w:rsidR="00F61E6E" w:rsidRPr="00EC010C" w14:paraId="019792A3" w14:textId="77777777" w:rsidTr="00AF570B">
        <w:trPr>
          <w:trHeight w:val="520"/>
        </w:trPr>
        <w:tc>
          <w:tcPr>
            <w:tcW w:w="708" w:type="pct"/>
          </w:tcPr>
          <w:p w14:paraId="51925733" w14:textId="77777777" w:rsidR="00F61E6E" w:rsidRPr="00EC010C" w:rsidRDefault="00F61E6E" w:rsidP="00B24633">
            <w:pPr>
              <w:widowControl w:val="0"/>
              <w:autoSpaceDE w:val="0"/>
              <w:autoSpaceDN w:val="0"/>
              <w:spacing w:before="3"/>
              <w:ind w:left="107"/>
              <w:rPr>
                <w:sz w:val="22"/>
                <w:szCs w:val="22"/>
              </w:rPr>
            </w:pPr>
            <w:r w:rsidRPr="00EC010C">
              <w:rPr>
                <w:sz w:val="22"/>
                <w:szCs w:val="22"/>
              </w:rPr>
              <w:t>2,5 – 4 t</w:t>
            </w:r>
            <w:r w:rsidRPr="00EC010C">
              <w:rPr>
                <w:spacing w:val="-1"/>
                <w:sz w:val="22"/>
                <w:szCs w:val="22"/>
              </w:rPr>
              <w:t xml:space="preserve"> </w:t>
            </w:r>
            <w:r w:rsidRPr="00EC010C">
              <w:rPr>
                <w:sz w:val="22"/>
                <w:szCs w:val="22"/>
              </w:rPr>
              <w:t>efter</w:t>
            </w:r>
          </w:p>
        </w:tc>
        <w:tc>
          <w:tcPr>
            <w:tcW w:w="301" w:type="pct"/>
          </w:tcPr>
          <w:p w14:paraId="76282667" w14:textId="77777777" w:rsidR="00F61E6E" w:rsidRPr="00EC010C" w:rsidRDefault="00F61E6E" w:rsidP="00B24633">
            <w:pPr>
              <w:widowControl w:val="0"/>
              <w:autoSpaceDE w:val="0"/>
              <w:autoSpaceDN w:val="0"/>
              <w:spacing w:before="3"/>
              <w:ind w:left="107"/>
              <w:rPr>
                <w:sz w:val="22"/>
                <w:szCs w:val="22"/>
              </w:rPr>
            </w:pPr>
            <w:r w:rsidRPr="00EC010C">
              <w:rPr>
                <w:sz w:val="22"/>
                <w:szCs w:val="22"/>
              </w:rPr>
              <w:t>171</w:t>
            </w:r>
          </w:p>
        </w:tc>
        <w:tc>
          <w:tcPr>
            <w:tcW w:w="767" w:type="pct"/>
          </w:tcPr>
          <w:p w14:paraId="7D562650" w14:textId="77777777" w:rsidR="00F61E6E" w:rsidRPr="00EC010C" w:rsidRDefault="00F61E6E" w:rsidP="00B24633">
            <w:pPr>
              <w:widowControl w:val="0"/>
              <w:autoSpaceDE w:val="0"/>
              <w:autoSpaceDN w:val="0"/>
              <w:spacing w:before="3"/>
              <w:ind w:left="106"/>
              <w:rPr>
                <w:sz w:val="22"/>
                <w:szCs w:val="22"/>
              </w:rPr>
            </w:pPr>
            <w:r w:rsidRPr="00EC010C">
              <w:rPr>
                <w:sz w:val="22"/>
                <w:szCs w:val="22"/>
              </w:rPr>
              <w:t>241,5</w:t>
            </w:r>
          </w:p>
          <w:p w14:paraId="6D08D6A7" w14:textId="77777777" w:rsidR="00F61E6E" w:rsidRPr="00EC010C" w:rsidRDefault="00F61E6E" w:rsidP="00B24633">
            <w:pPr>
              <w:widowControl w:val="0"/>
              <w:autoSpaceDE w:val="0"/>
              <w:autoSpaceDN w:val="0"/>
              <w:spacing w:before="7" w:line="237" w:lineRule="exact"/>
              <w:ind w:left="106"/>
              <w:rPr>
                <w:sz w:val="22"/>
                <w:szCs w:val="22"/>
              </w:rPr>
            </w:pPr>
            <w:r w:rsidRPr="00EC010C">
              <w:rPr>
                <w:sz w:val="22"/>
                <w:szCs w:val="22"/>
              </w:rPr>
              <w:t>(105-484)</w:t>
            </w:r>
          </w:p>
        </w:tc>
        <w:tc>
          <w:tcPr>
            <w:tcW w:w="283" w:type="pct"/>
          </w:tcPr>
          <w:p w14:paraId="071FADCC" w14:textId="77777777" w:rsidR="00F61E6E" w:rsidRPr="00EC010C" w:rsidRDefault="00F61E6E" w:rsidP="00B24633">
            <w:pPr>
              <w:widowControl w:val="0"/>
              <w:autoSpaceDE w:val="0"/>
              <w:autoSpaceDN w:val="0"/>
              <w:spacing w:before="3"/>
              <w:ind w:left="106"/>
              <w:rPr>
                <w:sz w:val="22"/>
                <w:szCs w:val="22"/>
              </w:rPr>
            </w:pPr>
            <w:r w:rsidRPr="00EC010C">
              <w:rPr>
                <w:sz w:val="22"/>
                <w:szCs w:val="22"/>
              </w:rPr>
              <w:t>24</w:t>
            </w:r>
          </w:p>
        </w:tc>
        <w:tc>
          <w:tcPr>
            <w:tcW w:w="813" w:type="pct"/>
          </w:tcPr>
          <w:p w14:paraId="655B1897" w14:textId="77777777" w:rsidR="00F61E6E" w:rsidRPr="00EC010C" w:rsidRDefault="00F61E6E" w:rsidP="00B24633">
            <w:pPr>
              <w:widowControl w:val="0"/>
              <w:autoSpaceDE w:val="0"/>
              <w:autoSpaceDN w:val="0"/>
              <w:spacing w:before="3"/>
              <w:ind w:left="108"/>
              <w:rPr>
                <w:sz w:val="22"/>
                <w:szCs w:val="22"/>
              </w:rPr>
            </w:pPr>
            <w:r w:rsidRPr="00EC010C">
              <w:rPr>
                <w:sz w:val="22"/>
                <w:szCs w:val="22"/>
              </w:rPr>
              <w:t>229,7</w:t>
            </w:r>
          </w:p>
          <w:p w14:paraId="72CB3C82" w14:textId="77777777" w:rsidR="00F61E6E" w:rsidRPr="00EC010C" w:rsidRDefault="00F61E6E" w:rsidP="00B24633">
            <w:pPr>
              <w:widowControl w:val="0"/>
              <w:autoSpaceDE w:val="0"/>
              <w:autoSpaceDN w:val="0"/>
              <w:spacing w:before="7" w:line="237" w:lineRule="exact"/>
              <w:ind w:left="108"/>
              <w:rPr>
                <w:sz w:val="22"/>
                <w:szCs w:val="22"/>
              </w:rPr>
            </w:pPr>
            <w:r w:rsidRPr="00EC010C">
              <w:rPr>
                <w:sz w:val="22"/>
                <w:szCs w:val="22"/>
              </w:rPr>
              <w:t>(91,5-777)</w:t>
            </w:r>
          </w:p>
        </w:tc>
        <w:tc>
          <w:tcPr>
            <w:tcW w:w="277" w:type="pct"/>
          </w:tcPr>
          <w:p w14:paraId="79DD3764" w14:textId="77777777" w:rsidR="00F61E6E" w:rsidRPr="00EC010C" w:rsidRDefault="00F61E6E" w:rsidP="00B24633">
            <w:pPr>
              <w:widowControl w:val="0"/>
              <w:autoSpaceDE w:val="0"/>
              <w:autoSpaceDN w:val="0"/>
              <w:rPr>
                <w:sz w:val="22"/>
                <w:szCs w:val="22"/>
              </w:rPr>
            </w:pPr>
          </w:p>
        </w:tc>
        <w:tc>
          <w:tcPr>
            <w:tcW w:w="672" w:type="pct"/>
          </w:tcPr>
          <w:p w14:paraId="36A2F462" w14:textId="77777777" w:rsidR="00F61E6E" w:rsidRPr="00EC010C" w:rsidRDefault="00F61E6E" w:rsidP="00B24633">
            <w:pPr>
              <w:widowControl w:val="0"/>
              <w:autoSpaceDE w:val="0"/>
              <w:autoSpaceDN w:val="0"/>
              <w:rPr>
                <w:sz w:val="22"/>
                <w:szCs w:val="22"/>
              </w:rPr>
            </w:pPr>
          </w:p>
        </w:tc>
        <w:tc>
          <w:tcPr>
            <w:tcW w:w="278" w:type="pct"/>
          </w:tcPr>
          <w:p w14:paraId="24863396" w14:textId="77777777" w:rsidR="00F61E6E" w:rsidRPr="00EC010C" w:rsidRDefault="00F61E6E" w:rsidP="00B24633">
            <w:pPr>
              <w:widowControl w:val="0"/>
              <w:autoSpaceDE w:val="0"/>
              <w:autoSpaceDN w:val="0"/>
              <w:rPr>
                <w:sz w:val="22"/>
                <w:szCs w:val="22"/>
              </w:rPr>
            </w:pPr>
          </w:p>
        </w:tc>
        <w:tc>
          <w:tcPr>
            <w:tcW w:w="901" w:type="pct"/>
          </w:tcPr>
          <w:p w14:paraId="4B75CF1E" w14:textId="77777777" w:rsidR="00F61E6E" w:rsidRPr="00EC010C" w:rsidRDefault="00F61E6E" w:rsidP="00B24633">
            <w:pPr>
              <w:widowControl w:val="0"/>
              <w:autoSpaceDE w:val="0"/>
              <w:autoSpaceDN w:val="0"/>
              <w:rPr>
                <w:sz w:val="22"/>
                <w:szCs w:val="22"/>
              </w:rPr>
            </w:pPr>
          </w:p>
        </w:tc>
      </w:tr>
      <w:tr w:rsidR="00F61E6E" w:rsidRPr="00EC010C" w14:paraId="5BA46E29" w14:textId="77777777" w:rsidTr="00AF570B">
        <w:trPr>
          <w:trHeight w:val="520"/>
        </w:trPr>
        <w:tc>
          <w:tcPr>
            <w:tcW w:w="708" w:type="pct"/>
          </w:tcPr>
          <w:p w14:paraId="2EE1176F" w14:textId="77777777" w:rsidR="00F61E6E" w:rsidRPr="00EC010C" w:rsidRDefault="00F61E6E" w:rsidP="00B24633">
            <w:pPr>
              <w:widowControl w:val="0"/>
              <w:autoSpaceDE w:val="0"/>
              <w:autoSpaceDN w:val="0"/>
              <w:spacing w:before="3"/>
              <w:ind w:left="107"/>
              <w:rPr>
                <w:sz w:val="22"/>
                <w:szCs w:val="22"/>
              </w:rPr>
            </w:pPr>
            <w:r w:rsidRPr="00EC010C">
              <w:rPr>
                <w:sz w:val="22"/>
                <w:szCs w:val="22"/>
              </w:rPr>
              <w:t>20 – 24 t</w:t>
            </w:r>
            <w:r w:rsidRPr="00EC010C">
              <w:rPr>
                <w:spacing w:val="-3"/>
                <w:sz w:val="22"/>
                <w:szCs w:val="22"/>
              </w:rPr>
              <w:t xml:space="preserve"> </w:t>
            </w:r>
            <w:r w:rsidRPr="00EC010C">
              <w:rPr>
                <w:sz w:val="22"/>
                <w:szCs w:val="22"/>
              </w:rPr>
              <w:t>efter</w:t>
            </w:r>
          </w:p>
        </w:tc>
        <w:tc>
          <w:tcPr>
            <w:tcW w:w="301" w:type="pct"/>
          </w:tcPr>
          <w:p w14:paraId="0C4CDB37" w14:textId="77777777" w:rsidR="00F61E6E" w:rsidRPr="00EC010C" w:rsidRDefault="00F61E6E" w:rsidP="00B24633">
            <w:pPr>
              <w:widowControl w:val="0"/>
              <w:autoSpaceDE w:val="0"/>
              <w:autoSpaceDN w:val="0"/>
              <w:spacing w:before="3"/>
              <w:ind w:left="107"/>
              <w:rPr>
                <w:sz w:val="22"/>
                <w:szCs w:val="22"/>
              </w:rPr>
            </w:pPr>
            <w:r w:rsidRPr="00EC010C">
              <w:rPr>
                <w:sz w:val="22"/>
                <w:szCs w:val="22"/>
              </w:rPr>
              <w:t>151</w:t>
            </w:r>
          </w:p>
        </w:tc>
        <w:tc>
          <w:tcPr>
            <w:tcW w:w="767" w:type="pct"/>
          </w:tcPr>
          <w:p w14:paraId="7B827C72" w14:textId="77777777" w:rsidR="00F61E6E" w:rsidRPr="00EC010C" w:rsidRDefault="00F61E6E" w:rsidP="00B24633">
            <w:pPr>
              <w:widowControl w:val="0"/>
              <w:autoSpaceDE w:val="0"/>
              <w:autoSpaceDN w:val="0"/>
              <w:spacing w:before="3"/>
              <w:ind w:left="106"/>
              <w:rPr>
                <w:sz w:val="22"/>
                <w:szCs w:val="22"/>
              </w:rPr>
            </w:pPr>
            <w:r w:rsidRPr="00EC010C">
              <w:rPr>
                <w:sz w:val="22"/>
                <w:szCs w:val="22"/>
              </w:rPr>
              <w:t>20,6</w:t>
            </w:r>
          </w:p>
          <w:p w14:paraId="57ED1118" w14:textId="77777777" w:rsidR="00F61E6E" w:rsidRPr="00EC010C" w:rsidRDefault="00F61E6E" w:rsidP="00B24633">
            <w:pPr>
              <w:widowControl w:val="0"/>
              <w:autoSpaceDE w:val="0"/>
              <w:autoSpaceDN w:val="0"/>
              <w:spacing w:before="7" w:line="237" w:lineRule="exact"/>
              <w:ind w:left="106"/>
              <w:rPr>
                <w:sz w:val="22"/>
                <w:szCs w:val="22"/>
              </w:rPr>
            </w:pPr>
            <w:r w:rsidRPr="00EC010C">
              <w:rPr>
                <w:sz w:val="22"/>
                <w:szCs w:val="22"/>
              </w:rPr>
              <w:t>(5,69-66,5)</w:t>
            </w:r>
          </w:p>
        </w:tc>
        <w:tc>
          <w:tcPr>
            <w:tcW w:w="283" w:type="pct"/>
          </w:tcPr>
          <w:p w14:paraId="3CB5A8B3" w14:textId="77777777" w:rsidR="00F61E6E" w:rsidRPr="00EC010C" w:rsidRDefault="00F61E6E" w:rsidP="00B24633">
            <w:pPr>
              <w:widowControl w:val="0"/>
              <w:autoSpaceDE w:val="0"/>
              <w:autoSpaceDN w:val="0"/>
              <w:spacing w:before="3"/>
              <w:ind w:left="106"/>
              <w:rPr>
                <w:sz w:val="22"/>
                <w:szCs w:val="22"/>
              </w:rPr>
            </w:pPr>
            <w:r w:rsidRPr="00EC010C">
              <w:rPr>
                <w:sz w:val="22"/>
                <w:szCs w:val="22"/>
              </w:rPr>
              <w:t>24</w:t>
            </w:r>
          </w:p>
        </w:tc>
        <w:tc>
          <w:tcPr>
            <w:tcW w:w="813" w:type="pct"/>
          </w:tcPr>
          <w:p w14:paraId="2015B2D8" w14:textId="77777777" w:rsidR="00F61E6E" w:rsidRPr="00EC010C" w:rsidRDefault="00F61E6E" w:rsidP="00B24633">
            <w:pPr>
              <w:widowControl w:val="0"/>
              <w:autoSpaceDE w:val="0"/>
              <w:autoSpaceDN w:val="0"/>
              <w:spacing w:before="3"/>
              <w:ind w:left="108"/>
              <w:rPr>
                <w:sz w:val="22"/>
                <w:szCs w:val="22"/>
              </w:rPr>
            </w:pPr>
            <w:r w:rsidRPr="00EC010C">
              <w:rPr>
                <w:sz w:val="22"/>
                <w:szCs w:val="22"/>
              </w:rPr>
              <w:t>15,9</w:t>
            </w:r>
          </w:p>
          <w:p w14:paraId="7B7ADDCF" w14:textId="77777777" w:rsidR="00F61E6E" w:rsidRPr="00EC010C" w:rsidRDefault="00F61E6E" w:rsidP="00B24633">
            <w:pPr>
              <w:widowControl w:val="0"/>
              <w:autoSpaceDE w:val="0"/>
              <w:autoSpaceDN w:val="0"/>
              <w:spacing w:before="7" w:line="237" w:lineRule="exact"/>
              <w:ind w:left="108"/>
              <w:rPr>
                <w:sz w:val="22"/>
                <w:szCs w:val="22"/>
              </w:rPr>
            </w:pPr>
            <w:r w:rsidRPr="00EC010C">
              <w:rPr>
                <w:sz w:val="22"/>
                <w:szCs w:val="22"/>
              </w:rPr>
              <w:t>(3,42-45,5)</w:t>
            </w:r>
          </w:p>
        </w:tc>
        <w:tc>
          <w:tcPr>
            <w:tcW w:w="277" w:type="pct"/>
          </w:tcPr>
          <w:p w14:paraId="339C4A22" w14:textId="77777777" w:rsidR="00F61E6E" w:rsidRPr="00EC010C" w:rsidRDefault="00F61E6E" w:rsidP="00B24633">
            <w:pPr>
              <w:widowControl w:val="0"/>
              <w:autoSpaceDE w:val="0"/>
              <w:autoSpaceDN w:val="0"/>
              <w:rPr>
                <w:sz w:val="22"/>
                <w:szCs w:val="22"/>
              </w:rPr>
            </w:pPr>
          </w:p>
        </w:tc>
        <w:tc>
          <w:tcPr>
            <w:tcW w:w="672" w:type="pct"/>
          </w:tcPr>
          <w:p w14:paraId="0DD4BE9D" w14:textId="77777777" w:rsidR="00F61E6E" w:rsidRPr="00EC010C" w:rsidRDefault="00F61E6E" w:rsidP="00B24633">
            <w:pPr>
              <w:widowControl w:val="0"/>
              <w:autoSpaceDE w:val="0"/>
              <w:autoSpaceDN w:val="0"/>
              <w:rPr>
                <w:sz w:val="22"/>
                <w:szCs w:val="22"/>
              </w:rPr>
            </w:pPr>
          </w:p>
        </w:tc>
        <w:tc>
          <w:tcPr>
            <w:tcW w:w="278" w:type="pct"/>
          </w:tcPr>
          <w:p w14:paraId="35A152B8" w14:textId="77777777" w:rsidR="00F61E6E" w:rsidRPr="00EC010C" w:rsidRDefault="00F61E6E" w:rsidP="00B24633">
            <w:pPr>
              <w:widowControl w:val="0"/>
              <w:autoSpaceDE w:val="0"/>
              <w:autoSpaceDN w:val="0"/>
              <w:rPr>
                <w:sz w:val="22"/>
                <w:szCs w:val="22"/>
              </w:rPr>
            </w:pPr>
          </w:p>
        </w:tc>
        <w:tc>
          <w:tcPr>
            <w:tcW w:w="901" w:type="pct"/>
          </w:tcPr>
          <w:p w14:paraId="08EF33D7" w14:textId="77777777" w:rsidR="00F61E6E" w:rsidRPr="00EC010C" w:rsidRDefault="00F61E6E" w:rsidP="00B24633">
            <w:pPr>
              <w:widowControl w:val="0"/>
              <w:autoSpaceDE w:val="0"/>
              <w:autoSpaceDN w:val="0"/>
              <w:rPr>
                <w:sz w:val="22"/>
                <w:szCs w:val="22"/>
              </w:rPr>
            </w:pPr>
          </w:p>
        </w:tc>
      </w:tr>
      <w:tr w:rsidR="00213042" w:rsidRPr="00EC010C" w14:paraId="151A95BD" w14:textId="77777777" w:rsidTr="00AF570B">
        <w:trPr>
          <w:trHeight w:val="260"/>
        </w:trPr>
        <w:tc>
          <w:tcPr>
            <w:tcW w:w="708" w:type="pct"/>
          </w:tcPr>
          <w:p w14:paraId="4E22F76E" w14:textId="77777777" w:rsidR="00213042" w:rsidRPr="00EC010C" w:rsidRDefault="00213042" w:rsidP="00213042">
            <w:pPr>
              <w:widowControl w:val="0"/>
              <w:autoSpaceDE w:val="0"/>
              <w:autoSpaceDN w:val="0"/>
              <w:spacing w:before="3" w:line="237" w:lineRule="exact"/>
              <w:ind w:left="107"/>
              <w:rPr>
                <w:b/>
                <w:sz w:val="22"/>
                <w:szCs w:val="22"/>
              </w:rPr>
            </w:pPr>
            <w:r w:rsidRPr="00EC010C">
              <w:rPr>
                <w:b/>
                <w:sz w:val="22"/>
                <w:szCs w:val="22"/>
              </w:rPr>
              <w:t>b.</w:t>
            </w:r>
            <w:proofErr w:type="gramStart"/>
            <w:r w:rsidRPr="00EC010C">
              <w:rPr>
                <w:b/>
                <w:sz w:val="22"/>
                <w:szCs w:val="22"/>
              </w:rPr>
              <w:t>i.d</w:t>
            </w:r>
            <w:proofErr w:type="gramEnd"/>
          </w:p>
        </w:tc>
        <w:tc>
          <w:tcPr>
            <w:tcW w:w="301" w:type="pct"/>
          </w:tcPr>
          <w:p w14:paraId="2E7B1D50" w14:textId="77777777" w:rsidR="00213042" w:rsidRPr="00EC010C" w:rsidRDefault="00213042" w:rsidP="00213042">
            <w:pPr>
              <w:widowControl w:val="0"/>
              <w:autoSpaceDE w:val="0"/>
              <w:autoSpaceDN w:val="0"/>
              <w:spacing w:before="3" w:line="237" w:lineRule="exact"/>
              <w:ind w:left="107"/>
              <w:rPr>
                <w:b/>
                <w:sz w:val="22"/>
                <w:szCs w:val="22"/>
              </w:rPr>
            </w:pPr>
            <w:r w:rsidRPr="00EC010C">
              <w:rPr>
                <w:b/>
                <w:w w:val="99"/>
                <w:sz w:val="22"/>
                <w:szCs w:val="22"/>
              </w:rPr>
              <w:t>N</w:t>
            </w:r>
          </w:p>
        </w:tc>
        <w:tc>
          <w:tcPr>
            <w:tcW w:w="767" w:type="pct"/>
          </w:tcPr>
          <w:p w14:paraId="4420648C" w14:textId="6651DF74" w:rsidR="00213042" w:rsidRPr="00EC010C" w:rsidRDefault="00213042" w:rsidP="00213042">
            <w:pPr>
              <w:widowControl w:val="0"/>
              <w:autoSpaceDE w:val="0"/>
              <w:autoSpaceDN w:val="0"/>
              <w:spacing w:before="3" w:line="237" w:lineRule="exact"/>
              <w:ind w:left="106"/>
              <w:rPr>
                <w:b/>
                <w:sz w:val="22"/>
                <w:szCs w:val="22"/>
              </w:rPr>
            </w:pPr>
            <w:r w:rsidRPr="00EC010C">
              <w:rPr>
                <w:b/>
                <w:sz w:val="22"/>
                <w:szCs w:val="22"/>
              </w:rPr>
              <w:t>6</w:t>
            </w:r>
            <w:r>
              <w:rPr>
                <w:b/>
                <w:sz w:val="22"/>
                <w:szCs w:val="22"/>
              </w:rPr>
              <w:t xml:space="preserve"> </w:t>
            </w:r>
            <w:r w:rsidRPr="00B24633">
              <w:rPr>
                <w:sz w:val="24"/>
                <w:szCs w:val="24"/>
              </w:rPr>
              <w:t>‒</w:t>
            </w:r>
            <w:r>
              <w:rPr>
                <w:sz w:val="24"/>
                <w:szCs w:val="24"/>
              </w:rPr>
              <w:t xml:space="preserve"> </w:t>
            </w:r>
            <w:r w:rsidRPr="00EC010C">
              <w:rPr>
                <w:b/>
                <w:sz w:val="22"/>
                <w:szCs w:val="22"/>
              </w:rPr>
              <w:t>&lt;</w:t>
            </w:r>
            <w:r w:rsidRPr="00EC010C">
              <w:rPr>
                <w:b/>
                <w:spacing w:val="-2"/>
                <w:sz w:val="22"/>
                <w:szCs w:val="22"/>
              </w:rPr>
              <w:t xml:space="preserve"> </w:t>
            </w:r>
            <w:r w:rsidRPr="00EC010C">
              <w:rPr>
                <w:b/>
                <w:sz w:val="22"/>
                <w:szCs w:val="22"/>
              </w:rPr>
              <w:t>12 år</w:t>
            </w:r>
          </w:p>
        </w:tc>
        <w:tc>
          <w:tcPr>
            <w:tcW w:w="283" w:type="pct"/>
          </w:tcPr>
          <w:p w14:paraId="29BE2A93" w14:textId="1DB23423" w:rsidR="00213042" w:rsidRPr="00EC010C" w:rsidRDefault="00213042" w:rsidP="00213042">
            <w:pPr>
              <w:widowControl w:val="0"/>
              <w:autoSpaceDE w:val="0"/>
              <w:autoSpaceDN w:val="0"/>
              <w:spacing w:before="3" w:line="237" w:lineRule="exact"/>
              <w:ind w:left="106"/>
              <w:rPr>
                <w:b/>
                <w:sz w:val="22"/>
                <w:szCs w:val="22"/>
              </w:rPr>
            </w:pPr>
            <w:r w:rsidRPr="00EC010C">
              <w:rPr>
                <w:b/>
                <w:w w:val="99"/>
                <w:sz w:val="22"/>
                <w:szCs w:val="22"/>
              </w:rPr>
              <w:t>N</w:t>
            </w:r>
          </w:p>
        </w:tc>
        <w:tc>
          <w:tcPr>
            <w:tcW w:w="813" w:type="pct"/>
          </w:tcPr>
          <w:p w14:paraId="7F740976" w14:textId="4C7FB1AC" w:rsidR="00213042" w:rsidRPr="00EC010C" w:rsidRDefault="00213042" w:rsidP="00213042">
            <w:pPr>
              <w:widowControl w:val="0"/>
              <w:autoSpaceDE w:val="0"/>
              <w:autoSpaceDN w:val="0"/>
              <w:spacing w:before="3" w:line="237" w:lineRule="exact"/>
              <w:ind w:left="108"/>
              <w:rPr>
                <w:b/>
                <w:sz w:val="22"/>
                <w:szCs w:val="22"/>
              </w:rPr>
            </w:pPr>
            <w:r w:rsidRPr="00EC010C">
              <w:rPr>
                <w:b/>
                <w:sz w:val="22"/>
                <w:szCs w:val="22"/>
              </w:rPr>
              <w:t>2</w:t>
            </w:r>
            <w:r>
              <w:rPr>
                <w:b/>
                <w:sz w:val="22"/>
                <w:szCs w:val="22"/>
              </w:rPr>
              <w:t xml:space="preserve"> </w:t>
            </w:r>
            <w:r w:rsidRPr="00B24633">
              <w:rPr>
                <w:sz w:val="24"/>
                <w:szCs w:val="24"/>
              </w:rPr>
              <w:t>‒</w:t>
            </w:r>
            <w:r>
              <w:rPr>
                <w:sz w:val="24"/>
                <w:szCs w:val="24"/>
              </w:rPr>
              <w:t xml:space="preserve"> </w:t>
            </w:r>
            <w:r w:rsidRPr="00EC010C">
              <w:rPr>
                <w:b/>
                <w:sz w:val="22"/>
                <w:szCs w:val="22"/>
              </w:rPr>
              <w:t>&lt;</w:t>
            </w:r>
            <w:r w:rsidRPr="00EC010C">
              <w:rPr>
                <w:b/>
                <w:spacing w:val="-2"/>
                <w:sz w:val="22"/>
                <w:szCs w:val="22"/>
              </w:rPr>
              <w:t xml:space="preserve"> </w:t>
            </w:r>
            <w:r w:rsidRPr="00EC010C">
              <w:rPr>
                <w:b/>
                <w:sz w:val="22"/>
                <w:szCs w:val="22"/>
              </w:rPr>
              <w:t>6 år</w:t>
            </w:r>
          </w:p>
        </w:tc>
        <w:tc>
          <w:tcPr>
            <w:tcW w:w="277" w:type="pct"/>
          </w:tcPr>
          <w:p w14:paraId="219BFFB0" w14:textId="1A8B06E9" w:rsidR="00213042" w:rsidRPr="00EC010C" w:rsidRDefault="00213042" w:rsidP="00213042">
            <w:pPr>
              <w:widowControl w:val="0"/>
              <w:autoSpaceDE w:val="0"/>
              <w:autoSpaceDN w:val="0"/>
              <w:spacing w:before="3" w:line="237" w:lineRule="exact"/>
              <w:ind w:left="108"/>
              <w:rPr>
                <w:b/>
                <w:sz w:val="22"/>
                <w:szCs w:val="22"/>
              </w:rPr>
            </w:pPr>
            <w:r w:rsidRPr="00EC010C">
              <w:rPr>
                <w:b/>
                <w:w w:val="99"/>
                <w:sz w:val="22"/>
                <w:szCs w:val="22"/>
              </w:rPr>
              <w:t>N</w:t>
            </w:r>
          </w:p>
        </w:tc>
        <w:tc>
          <w:tcPr>
            <w:tcW w:w="672" w:type="pct"/>
          </w:tcPr>
          <w:p w14:paraId="78ACB450" w14:textId="03F6F574" w:rsidR="00213042" w:rsidRPr="00EC010C" w:rsidRDefault="00213042" w:rsidP="00213042">
            <w:pPr>
              <w:widowControl w:val="0"/>
              <w:autoSpaceDE w:val="0"/>
              <w:autoSpaceDN w:val="0"/>
              <w:spacing w:before="3" w:line="237" w:lineRule="exact"/>
              <w:ind w:left="110"/>
              <w:rPr>
                <w:b/>
                <w:sz w:val="22"/>
                <w:szCs w:val="22"/>
              </w:rPr>
            </w:pPr>
            <w:r w:rsidRPr="00EC010C">
              <w:rPr>
                <w:b/>
                <w:sz w:val="22"/>
                <w:szCs w:val="22"/>
              </w:rPr>
              <w:t>0,5</w:t>
            </w:r>
            <w:r>
              <w:rPr>
                <w:b/>
                <w:sz w:val="22"/>
                <w:szCs w:val="22"/>
              </w:rPr>
              <w:t xml:space="preserve"> </w:t>
            </w:r>
            <w:r w:rsidRPr="00B24633">
              <w:rPr>
                <w:sz w:val="24"/>
                <w:szCs w:val="24"/>
              </w:rPr>
              <w:t>‒</w:t>
            </w:r>
            <w:r>
              <w:rPr>
                <w:sz w:val="24"/>
                <w:szCs w:val="24"/>
              </w:rPr>
              <w:t xml:space="preserve"> </w:t>
            </w:r>
            <w:r w:rsidRPr="00EC010C">
              <w:rPr>
                <w:b/>
                <w:sz w:val="22"/>
                <w:szCs w:val="22"/>
              </w:rPr>
              <w:t>&lt;</w:t>
            </w:r>
            <w:r w:rsidRPr="00EC010C">
              <w:rPr>
                <w:b/>
                <w:spacing w:val="-2"/>
                <w:sz w:val="22"/>
                <w:szCs w:val="22"/>
              </w:rPr>
              <w:t xml:space="preserve"> </w:t>
            </w:r>
            <w:r w:rsidRPr="00EC010C">
              <w:rPr>
                <w:b/>
                <w:sz w:val="22"/>
                <w:szCs w:val="22"/>
              </w:rPr>
              <w:t>2 år</w:t>
            </w:r>
          </w:p>
        </w:tc>
        <w:tc>
          <w:tcPr>
            <w:tcW w:w="278" w:type="pct"/>
          </w:tcPr>
          <w:p w14:paraId="148E55CE" w14:textId="77777777" w:rsidR="00213042" w:rsidRPr="00EC010C" w:rsidRDefault="00213042" w:rsidP="00213042">
            <w:pPr>
              <w:widowControl w:val="0"/>
              <w:autoSpaceDE w:val="0"/>
              <w:autoSpaceDN w:val="0"/>
              <w:rPr>
                <w:sz w:val="22"/>
                <w:szCs w:val="22"/>
              </w:rPr>
            </w:pPr>
          </w:p>
        </w:tc>
        <w:tc>
          <w:tcPr>
            <w:tcW w:w="901" w:type="pct"/>
          </w:tcPr>
          <w:p w14:paraId="337E7350" w14:textId="77777777" w:rsidR="00213042" w:rsidRPr="00EC010C" w:rsidRDefault="00213042" w:rsidP="00213042">
            <w:pPr>
              <w:widowControl w:val="0"/>
              <w:autoSpaceDE w:val="0"/>
              <w:autoSpaceDN w:val="0"/>
              <w:rPr>
                <w:sz w:val="22"/>
                <w:szCs w:val="22"/>
              </w:rPr>
            </w:pPr>
          </w:p>
        </w:tc>
      </w:tr>
      <w:tr w:rsidR="00F61E6E" w:rsidRPr="00EC010C" w14:paraId="7605423F" w14:textId="77777777" w:rsidTr="00AF570B">
        <w:trPr>
          <w:trHeight w:val="519"/>
        </w:trPr>
        <w:tc>
          <w:tcPr>
            <w:tcW w:w="708" w:type="pct"/>
          </w:tcPr>
          <w:p w14:paraId="37EF26B0" w14:textId="77777777" w:rsidR="00F61E6E" w:rsidRPr="00EC010C" w:rsidRDefault="00F61E6E" w:rsidP="00B24633">
            <w:pPr>
              <w:widowControl w:val="0"/>
              <w:autoSpaceDE w:val="0"/>
              <w:autoSpaceDN w:val="0"/>
              <w:spacing w:before="3"/>
              <w:ind w:left="107"/>
              <w:rPr>
                <w:sz w:val="22"/>
                <w:szCs w:val="22"/>
              </w:rPr>
            </w:pPr>
            <w:r w:rsidRPr="00EC010C">
              <w:rPr>
                <w:sz w:val="22"/>
                <w:szCs w:val="22"/>
              </w:rPr>
              <w:t>2,5 – 4 t</w:t>
            </w:r>
            <w:r w:rsidRPr="00EC010C">
              <w:rPr>
                <w:spacing w:val="-1"/>
                <w:sz w:val="22"/>
                <w:szCs w:val="22"/>
              </w:rPr>
              <w:t xml:space="preserve"> </w:t>
            </w:r>
            <w:r w:rsidRPr="00EC010C">
              <w:rPr>
                <w:sz w:val="22"/>
                <w:szCs w:val="22"/>
              </w:rPr>
              <w:t>efter</w:t>
            </w:r>
          </w:p>
        </w:tc>
        <w:tc>
          <w:tcPr>
            <w:tcW w:w="301" w:type="pct"/>
          </w:tcPr>
          <w:p w14:paraId="6CABFC29" w14:textId="77777777" w:rsidR="00F61E6E" w:rsidRPr="00EC010C" w:rsidRDefault="00F61E6E" w:rsidP="00B24633">
            <w:pPr>
              <w:widowControl w:val="0"/>
              <w:autoSpaceDE w:val="0"/>
              <w:autoSpaceDN w:val="0"/>
              <w:spacing w:before="3"/>
              <w:ind w:left="107"/>
              <w:rPr>
                <w:sz w:val="22"/>
                <w:szCs w:val="22"/>
              </w:rPr>
            </w:pPr>
            <w:r w:rsidRPr="00EC010C">
              <w:rPr>
                <w:sz w:val="22"/>
                <w:szCs w:val="22"/>
              </w:rPr>
              <w:t>36</w:t>
            </w:r>
          </w:p>
        </w:tc>
        <w:tc>
          <w:tcPr>
            <w:tcW w:w="767" w:type="pct"/>
          </w:tcPr>
          <w:p w14:paraId="1CF5A303" w14:textId="77777777" w:rsidR="00F61E6E" w:rsidRPr="00EC010C" w:rsidRDefault="00F61E6E" w:rsidP="00B24633">
            <w:pPr>
              <w:widowControl w:val="0"/>
              <w:autoSpaceDE w:val="0"/>
              <w:autoSpaceDN w:val="0"/>
              <w:spacing w:before="3"/>
              <w:ind w:left="106"/>
              <w:rPr>
                <w:sz w:val="22"/>
                <w:szCs w:val="22"/>
              </w:rPr>
            </w:pPr>
            <w:r w:rsidRPr="00EC010C">
              <w:rPr>
                <w:sz w:val="22"/>
                <w:szCs w:val="22"/>
              </w:rPr>
              <w:t>145,4</w:t>
            </w:r>
          </w:p>
          <w:p w14:paraId="167B7625" w14:textId="77777777" w:rsidR="00F61E6E" w:rsidRPr="00EC010C" w:rsidRDefault="00F61E6E" w:rsidP="00B24633">
            <w:pPr>
              <w:widowControl w:val="0"/>
              <w:autoSpaceDE w:val="0"/>
              <w:autoSpaceDN w:val="0"/>
              <w:spacing w:before="6" w:line="237" w:lineRule="exact"/>
              <w:ind w:left="106"/>
              <w:rPr>
                <w:sz w:val="22"/>
                <w:szCs w:val="22"/>
              </w:rPr>
            </w:pPr>
            <w:r w:rsidRPr="00EC010C">
              <w:rPr>
                <w:sz w:val="22"/>
                <w:szCs w:val="22"/>
              </w:rPr>
              <w:t>(46,0-343)</w:t>
            </w:r>
          </w:p>
        </w:tc>
        <w:tc>
          <w:tcPr>
            <w:tcW w:w="283" w:type="pct"/>
          </w:tcPr>
          <w:p w14:paraId="19702AEE" w14:textId="77777777" w:rsidR="00F61E6E" w:rsidRPr="00EC010C" w:rsidRDefault="00F61E6E" w:rsidP="00B24633">
            <w:pPr>
              <w:widowControl w:val="0"/>
              <w:autoSpaceDE w:val="0"/>
              <w:autoSpaceDN w:val="0"/>
              <w:spacing w:before="3"/>
              <w:ind w:left="106"/>
              <w:rPr>
                <w:sz w:val="22"/>
                <w:szCs w:val="22"/>
              </w:rPr>
            </w:pPr>
            <w:r w:rsidRPr="00EC010C">
              <w:rPr>
                <w:sz w:val="22"/>
                <w:szCs w:val="22"/>
              </w:rPr>
              <w:t>38</w:t>
            </w:r>
          </w:p>
        </w:tc>
        <w:tc>
          <w:tcPr>
            <w:tcW w:w="813" w:type="pct"/>
          </w:tcPr>
          <w:p w14:paraId="7F2BBCDB" w14:textId="77777777" w:rsidR="00F61E6E" w:rsidRPr="00EC010C" w:rsidRDefault="00F61E6E" w:rsidP="00B24633">
            <w:pPr>
              <w:widowControl w:val="0"/>
              <w:autoSpaceDE w:val="0"/>
              <w:autoSpaceDN w:val="0"/>
              <w:spacing w:before="3"/>
              <w:ind w:left="108"/>
              <w:rPr>
                <w:sz w:val="22"/>
                <w:szCs w:val="22"/>
              </w:rPr>
            </w:pPr>
            <w:r w:rsidRPr="00EC010C">
              <w:rPr>
                <w:sz w:val="22"/>
                <w:szCs w:val="22"/>
              </w:rPr>
              <w:t>171,8</w:t>
            </w:r>
          </w:p>
          <w:p w14:paraId="4BF919F0" w14:textId="77777777" w:rsidR="00F61E6E" w:rsidRPr="00EC010C" w:rsidRDefault="00F61E6E" w:rsidP="00B24633">
            <w:pPr>
              <w:widowControl w:val="0"/>
              <w:autoSpaceDE w:val="0"/>
              <w:autoSpaceDN w:val="0"/>
              <w:spacing w:before="6" w:line="237" w:lineRule="exact"/>
              <w:ind w:left="108"/>
              <w:rPr>
                <w:sz w:val="22"/>
                <w:szCs w:val="22"/>
              </w:rPr>
            </w:pPr>
            <w:r w:rsidRPr="00EC010C">
              <w:rPr>
                <w:sz w:val="22"/>
                <w:szCs w:val="22"/>
              </w:rPr>
              <w:t>(70,7-438)</w:t>
            </w:r>
          </w:p>
        </w:tc>
        <w:tc>
          <w:tcPr>
            <w:tcW w:w="277" w:type="pct"/>
          </w:tcPr>
          <w:p w14:paraId="2E64FA1C" w14:textId="77777777" w:rsidR="00F61E6E" w:rsidRPr="00EC010C" w:rsidRDefault="00F61E6E" w:rsidP="00B24633">
            <w:pPr>
              <w:widowControl w:val="0"/>
              <w:autoSpaceDE w:val="0"/>
              <w:autoSpaceDN w:val="0"/>
              <w:spacing w:before="3"/>
              <w:ind w:left="108"/>
              <w:rPr>
                <w:sz w:val="22"/>
                <w:szCs w:val="22"/>
              </w:rPr>
            </w:pPr>
            <w:r w:rsidRPr="00EC010C">
              <w:rPr>
                <w:w w:val="99"/>
                <w:sz w:val="22"/>
                <w:szCs w:val="22"/>
              </w:rPr>
              <w:t>2</w:t>
            </w:r>
          </w:p>
        </w:tc>
        <w:tc>
          <w:tcPr>
            <w:tcW w:w="672" w:type="pct"/>
          </w:tcPr>
          <w:p w14:paraId="72DBC98D" w14:textId="77777777" w:rsidR="00F61E6E" w:rsidRPr="00EC010C" w:rsidRDefault="00F61E6E" w:rsidP="00B24633">
            <w:pPr>
              <w:widowControl w:val="0"/>
              <w:autoSpaceDE w:val="0"/>
              <w:autoSpaceDN w:val="0"/>
              <w:spacing w:before="3"/>
              <w:ind w:left="110"/>
              <w:rPr>
                <w:sz w:val="22"/>
                <w:szCs w:val="22"/>
              </w:rPr>
            </w:pPr>
            <w:r w:rsidRPr="00EC010C">
              <w:rPr>
                <w:sz w:val="22"/>
                <w:szCs w:val="22"/>
              </w:rPr>
              <w:t>n.c.</w:t>
            </w:r>
          </w:p>
        </w:tc>
        <w:tc>
          <w:tcPr>
            <w:tcW w:w="278" w:type="pct"/>
          </w:tcPr>
          <w:p w14:paraId="74D02E11" w14:textId="77777777" w:rsidR="00F61E6E" w:rsidRPr="00EC010C" w:rsidRDefault="00F61E6E" w:rsidP="00B24633">
            <w:pPr>
              <w:widowControl w:val="0"/>
              <w:autoSpaceDE w:val="0"/>
              <w:autoSpaceDN w:val="0"/>
              <w:rPr>
                <w:sz w:val="22"/>
                <w:szCs w:val="22"/>
              </w:rPr>
            </w:pPr>
          </w:p>
        </w:tc>
        <w:tc>
          <w:tcPr>
            <w:tcW w:w="901" w:type="pct"/>
          </w:tcPr>
          <w:p w14:paraId="71842827" w14:textId="77777777" w:rsidR="00F61E6E" w:rsidRPr="00EC010C" w:rsidRDefault="00F61E6E" w:rsidP="00B24633">
            <w:pPr>
              <w:widowControl w:val="0"/>
              <w:autoSpaceDE w:val="0"/>
              <w:autoSpaceDN w:val="0"/>
              <w:rPr>
                <w:sz w:val="22"/>
                <w:szCs w:val="22"/>
              </w:rPr>
            </w:pPr>
          </w:p>
        </w:tc>
      </w:tr>
      <w:tr w:rsidR="00F61E6E" w:rsidRPr="00EC010C" w14:paraId="0F9725B9" w14:textId="77777777" w:rsidTr="00AF570B">
        <w:trPr>
          <w:trHeight w:val="520"/>
        </w:trPr>
        <w:tc>
          <w:tcPr>
            <w:tcW w:w="708" w:type="pct"/>
          </w:tcPr>
          <w:p w14:paraId="42CB623F" w14:textId="77777777" w:rsidR="00F61E6E" w:rsidRPr="00EC010C" w:rsidRDefault="00F61E6E" w:rsidP="00B24633">
            <w:pPr>
              <w:widowControl w:val="0"/>
              <w:autoSpaceDE w:val="0"/>
              <w:autoSpaceDN w:val="0"/>
              <w:spacing w:before="3"/>
              <w:ind w:left="107"/>
              <w:rPr>
                <w:sz w:val="22"/>
                <w:szCs w:val="22"/>
              </w:rPr>
            </w:pPr>
            <w:r w:rsidRPr="00EC010C">
              <w:rPr>
                <w:sz w:val="22"/>
                <w:szCs w:val="22"/>
              </w:rPr>
              <w:t>10 – 16 t</w:t>
            </w:r>
            <w:r w:rsidRPr="00EC010C">
              <w:rPr>
                <w:spacing w:val="-3"/>
                <w:sz w:val="22"/>
                <w:szCs w:val="22"/>
              </w:rPr>
              <w:t xml:space="preserve"> </w:t>
            </w:r>
            <w:r w:rsidRPr="00EC010C">
              <w:rPr>
                <w:sz w:val="22"/>
                <w:szCs w:val="22"/>
              </w:rPr>
              <w:t>efter</w:t>
            </w:r>
          </w:p>
        </w:tc>
        <w:tc>
          <w:tcPr>
            <w:tcW w:w="301" w:type="pct"/>
          </w:tcPr>
          <w:p w14:paraId="0F84F25E" w14:textId="77777777" w:rsidR="00F61E6E" w:rsidRPr="00EC010C" w:rsidRDefault="00F61E6E" w:rsidP="00B24633">
            <w:pPr>
              <w:widowControl w:val="0"/>
              <w:autoSpaceDE w:val="0"/>
              <w:autoSpaceDN w:val="0"/>
              <w:spacing w:before="3"/>
              <w:ind w:left="107"/>
              <w:rPr>
                <w:sz w:val="22"/>
                <w:szCs w:val="22"/>
              </w:rPr>
            </w:pPr>
            <w:r w:rsidRPr="00EC010C">
              <w:rPr>
                <w:sz w:val="22"/>
                <w:szCs w:val="22"/>
              </w:rPr>
              <w:t>33</w:t>
            </w:r>
          </w:p>
        </w:tc>
        <w:tc>
          <w:tcPr>
            <w:tcW w:w="767" w:type="pct"/>
          </w:tcPr>
          <w:p w14:paraId="7A52ADB4" w14:textId="77777777" w:rsidR="00F61E6E" w:rsidRPr="00EC010C" w:rsidRDefault="00F61E6E" w:rsidP="00B24633">
            <w:pPr>
              <w:widowControl w:val="0"/>
              <w:autoSpaceDE w:val="0"/>
              <w:autoSpaceDN w:val="0"/>
              <w:spacing w:before="3"/>
              <w:ind w:left="106"/>
              <w:rPr>
                <w:sz w:val="22"/>
                <w:szCs w:val="22"/>
              </w:rPr>
            </w:pPr>
            <w:r w:rsidRPr="00EC010C">
              <w:rPr>
                <w:sz w:val="22"/>
                <w:szCs w:val="22"/>
              </w:rPr>
              <w:t>26,0</w:t>
            </w:r>
          </w:p>
          <w:p w14:paraId="50DEBD03" w14:textId="77777777" w:rsidR="00F61E6E" w:rsidRPr="00EC010C" w:rsidRDefault="00F61E6E" w:rsidP="00B24633">
            <w:pPr>
              <w:widowControl w:val="0"/>
              <w:autoSpaceDE w:val="0"/>
              <w:autoSpaceDN w:val="0"/>
              <w:spacing w:before="7" w:line="237" w:lineRule="exact"/>
              <w:ind w:left="106"/>
              <w:rPr>
                <w:sz w:val="22"/>
                <w:szCs w:val="22"/>
              </w:rPr>
            </w:pPr>
            <w:r w:rsidRPr="00EC010C">
              <w:rPr>
                <w:sz w:val="22"/>
                <w:szCs w:val="22"/>
              </w:rPr>
              <w:t>(7,99-94,9)</w:t>
            </w:r>
          </w:p>
        </w:tc>
        <w:tc>
          <w:tcPr>
            <w:tcW w:w="283" w:type="pct"/>
          </w:tcPr>
          <w:p w14:paraId="0C060837" w14:textId="77777777" w:rsidR="00F61E6E" w:rsidRPr="00EC010C" w:rsidRDefault="00F61E6E" w:rsidP="00B24633">
            <w:pPr>
              <w:widowControl w:val="0"/>
              <w:autoSpaceDE w:val="0"/>
              <w:autoSpaceDN w:val="0"/>
              <w:spacing w:before="3"/>
              <w:ind w:left="106"/>
              <w:rPr>
                <w:sz w:val="22"/>
                <w:szCs w:val="22"/>
              </w:rPr>
            </w:pPr>
            <w:r w:rsidRPr="00EC010C">
              <w:rPr>
                <w:sz w:val="22"/>
                <w:szCs w:val="22"/>
              </w:rPr>
              <w:t>37</w:t>
            </w:r>
          </w:p>
        </w:tc>
        <w:tc>
          <w:tcPr>
            <w:tcW w:w="813" w:type="pct"/>
          </w:tcPr>
          <w:p w14:paraId="5E75DD93" w14:textId="77777777" w:rsidR="00F61E6E" w:rsidRPr="00EC010C" w:rsidRDefault="00F61E6E" w:rsidP="00B24633">
            <w:pPr>
              <w:widowControl w:val="0"/>
              <w:autoSpaceDE w:val="0"/>
              <w:autoSpaceDN w:val="0"/>
              <w:spacing w:before="3"/>
              <w:ind w:left="108"/>
              <w:rPr>
                <w:sz w:val="22"/>
                <w:szCs w:val="22"/>
              </w:rPr>
            </w:pPr>
            <w:r w:rsidRPr="00EC010C">
              <w:rPr>
                <w:sz w:val="22"/>
                <w:szCs w:val="22"/>
              </w:rPr>
              <w:t>22,2</w:t>
            </w:r>
          </w:p>
          <w:p w14:paraId="6AC2480F" w14:textId="77777777" w:rsidR="00F61E6E" w:rsidRPr="00EC010C" w:rsidRDefault="00F61E6E" w:rsidP="00B24633">
            <w:pPr>
              <w:widowControl w:val="0"/>
              <w:autoSpaceDE w:val="0"/>
              <w:autoSpaceDN w:val="0"/>
              <w:spacing w:before="7" w:line="237" w:lineRule="exact"/>
              <w:ind w:left="108"/>
              <w:rPr>
                <w:sz w:val="22"/>
                <w:szCs w:val="22"/>
              </w:rPr>
            </w:pPr>
            <w:r w:rsidRPr="00EC010C">
              <w:rPr>
                <w:sz w:val="22"/>
                <w:szCs w:val="22"/>
              </w:rPr>
              <w:t>(0,25-127)</w:t>
            </w:r>
          </w:p>
        </w:tc>
        <w:tc>
          <w:tcPr>
            <w:tcW w:w="277" w:type="pct"/>
          </w:tcPr>
          <w:p w14:paraId="3A536AB9" w14:textId="77777777" w:rsidR="00F61E6E" w:rsidRPr="00EC010C" w:rsidRDefault="00F61E6E" w:rsidP="00B24633">
            <w:pPr>
              <w:widowControl w:val="0"/>
              <w:autoSpaceDE w:val="0"/>
              <w:autoSpaceDN w:val="0"/>
              <w:spacing w:before="3"/>
              <w:ind w:left="108"/>
              <w:rPr>
                <w:sz w:val="22"/>
                <w:szCs w:val="22"/>
              </w:rPr>
            </w:pPr>
            <w:r w:rsidRPr="00EC010C">
              <w:rPr>
                <w:w w:val="99"/>
                <w:sz w:val="22"/>
                <w:szCs w:val="22"/>
              </w:rPr>
              <w:t>3</w:t>
            </w:r>
          </w:p>
        </w:tc>
        <w:tc>
          <w:tcPr>
            <w:tcW w:w="672" w:type="pct"/>
          </w:tcPr>
          <w:p w14:paraId="2D321E0A" w14:textId="77777777" w:rsidR="00F61E6E" w:rsidRPr="00EC010C" w:rsidRDefault="00F61E6E" w:rsidP="00B24633">
            <w:pPr>
              <w:widowControl w:val="0"/>
              <w:autoSpaceDE w:val="0"/>
              <w:autoSpaceDN w:val="0"/>
              <w:spacing w:before="3"/>
              <w:ind w:left="110"/>
              <w:rPr>
                <w:sz w:val="22"/>
                <w:szCs w:val="22"/>
              </w:rPr>
            </w:pPr>
            <w:r w:rsidRPr="00EC010C">
              <w:rPr>
                <w:sz w:val="22"/>
                <w:szCs w:val="22"/>
              </w:rPr>
              <w:t>10,7</w:t>
            </w:r>
          </w:p>
          <w:p w14:paraId="76B72F82" w14:textId="77777777" w:rsidR="00F61E6E" w:rsidRPr="00EC010C" w:rsidRDefault="00F61E6E" w:rsidP="00B24633">
            <w:pPr>
              <w:widowControl w:val="0"/>
              <w:autoSpaceDE w:val="0"/>
              <w:autoSpaceDN w:val="0"/>
              <w:spacing w:before="7" w:line="237" w:lineRule="exact"/>
              <w:ind w:left="110"/>
              <w:rPr>
                <w:sz w:val="22"/>
                <w:szCs w:val="22"/>
              </w:rPr>
            </w:pPr>
            <w:r w:rsidRPr="00EC010C">
              <w:rPr>
                <w:spacing w:val="-1"/>
                <w:sz w:val="22"/>
                <w:szCs w:val="22"/>
              </w:rPr>
              <w:t>(n.c.</w:t>
            </w:r>
            <w:r w:rsidRPr="00EC010C">
              <w:rPr>
                <w:spacing w:val="-16"/>
                <w:sz w:val="22"/>
                <w:szCs w:val="22"/>
              </w:rPr>
              <w:t xml:space="preserve"> </w:t>
            </w:r>
            <w:r w:rsidRPr="00EC010C">
              <w:rPr>
                <w:sz w:val="22"/>
                <w:szCs w:val="22"/>
              </w:rPr>
              <w:t>n.c.)</w:t>
            </w:r>
          </w:p>
        </w:tc>
        <w:tc>
          <w:tcPr>
            <w:tcW w:w="278" w:type="pct"/>
          </w:tcPr>
          <w:p w14:paraId="6CA6922C" w14:textId="77777777" w:rsidR="00F61E6E" w:rsidRPr="00EC010C" w:rsidRDefault="00F61E6E" w:rsidP="00B24633">
            <w:pPr>
              <w:widowControl w:val="0"/>
              <w:autoSpaceDE w:val="0"/>
              <w:autoSpaceDN w:val="0"/>
              <w:rPr>
                <w:sz w:val="22"/>
                <w:szCs w:val="22"/>
              </w:rPr>
            </w:pPr>
          </w:p>
        </w:tc>
        <w:tc>
          <w:tcPr>
            <w:tcW w:w="901" w:type="pct"/>
          </w:tcPr>
          <w:p w14:paraId="4D429D3E" w14:textId="77777777" w:rsidR="00F61E6E" w:rsidRPr="00EC010C" w:rsidRDefault="00F61E6E" w:rsidP="00B24633">
            <w:pPr>
              <w:widowControl w:val="0"/>
              <w:autoSpaceDE w:val="0"/>
              <w:autoSpaceDN w:val="0"/>
              <w:rPr>
                <w:sz w:val="22"/>
                <w:szCs w:val="22"/>
              </w:rPr>
            </w:pPr>
          </w:p>
        </w:tc>
      </w:tr>
      <w:tr w:rsidR="00213042" w:rsidRPr="00EC010C" w14:paraId="10C8C64D" w14:textId="77777777" w:rsidTr="00AF570B">
        <w:trPr>
          <w:trHeight w:val="260"/>
        </w:trPr>
        <w:tc>
          <w:tcPr>
            <w:tcW w:w="708" w:type="pct"/>
          </w:tcPr>
          <w:p w14:paraId="348EE7A6" w14:textId="77777777" w:rsidR="00213042" w:rsidRPr="00EC010C" w:rsidRDefault="00213042" w:rsidP="00213042">
            <w:pPr>
              <w:widowControl w:val="0"/>
              <w:autoSpaceDE w:val="0"/>
              <w:autoSpaceDN w:val="0"/>
              <w:spacing w:before="3" w:line="237" w:lineRule="exact"/>
              <w:ind w:left="107"/>
              <w:rPr>
                <w:b/>
                <w:sz w:val="22"/>
                <w:szCs w:val="22"/>
              </w:rPr>
            </w:pPr>
            <w:r w:rsidRPr="00EC010C">
              <w:rPr>
                <w:b/>
                <w:sz w:val="22"/>
                <w:szCs w:val="22"/>
              </w:rPr>
              <w:t>t.i.d.</w:t>
            </w:r>
          </w:p>
        </w:tc>
        <w:tc>
          <w:tcPr>
            <w:tcW w:w="301" w:type="pct"/>
          </w:tcPr>
          <w:p w14:paraId="6959A30B" w14:textId="77777777" w:rsidR="00213042" w:rsidRPr="00EC010C" w:rsidRDefault="00213042" w:rsidP="00213042">
            <w:pPr>
              <w:widowControl w:val="0"/>
              <w:autoSpaceDE w:val="0"/>
              <w:autoSpaceDN w:val="0"/>
              <w:spacing w:before="3" w:line="237" w:lineRule="exact"/>
              <w:ind w:left="107"/>
              <w:rPr>
                <w:b/>
                <w:sz w:val="22"/>
                <w:szCs w:val="22"/>
              </w:rPr>
            </w:pPr>
            <w:r w:rsidRPr="00EC010C">
              <w:rPr>
                <w:b/>
                <w:w w:val="99"/>
                <w:sz w:val="22"/>
                <w:szCs w:val="22"/>
              </w:rPr>
              <w:t>N</w:t>
            </w:r>
          </w:p>
        </w:tc>
        <w:tc>
          <w:tcPr>
            <w:tcW w:w="767" w:type="pct"/>
          </w:tcPr>
          <w:p w14:paraId="2ED0D1BC" w14:textId="70ED1A10" w:rsidR="00213042" w:rsidRPr="00EC010C" w:rsidRDefault="00213042" w:rsidP="00213042">
            <w:pPr>
              <w:widowControl w:val="0"/>
              <w:autoSpaceDE w:val="0"/>
              <w:autoSpaceDN w:val="0"/>
              <w:spacing w:before="3" w:line="237" w:lineRule="exact"/>
              <w:ind w:left="106"/>
              <w:rPr>
                <w:b/>
                <w:sz w:val="22"/>
                <w:szCs w:val="22"/>
              </w:rPr>
            </w:pPr>
            <w:r w:rsidRPr="00EC010C">
              <w:rPr>
                <w:b/>
                <w:sz w:val="22"/>
                <w:szCs w:val="22"/>
              </w:rPr>
              <w:t>2</w:t>
            </w:r>
            <w:r>
              <w:rPr>
                <w:b/>
                <w:sz w:val="22"/>
                <w:szCs w:val="22"/>
              </w:rPr>
              <w:t xml:space="preserve"> </w:t>
            </w:r>
            <w:r w:rsidRPr="00B24633">
              <w:rPr>
                <w:sz w:val="24"/>
                <w:szCs w:val="24"/>
              </w:rPr>
              <w:t>‒</w:t>
            </w:r>
            <w:r>
              <w:rPr>
                <w:sz w:val="24"/>
                <w:szCs w:val="24"/>
              </w:rPr>
              <w:t xml:space="preserve"> </w:t>
            </w:r>
            <w:r w:rsidRPr="00EC010C">
              <w:rPr>
                <w:b/>
                <w:sz w:val="22"/>
                <w:szCs w:val="22"/>
              </w:rPr>
              <w:t>&lt;</w:t>
            </w:r>
            <w:r w:rsidRPr="00EC010C">
              <w:rPr>
                <w:b/>
                <w:spacing w:val="-2"/>
                <w:sz w:val="22"/>
                <w:szCs w:val="22"/>
              </w:rPr>
              <w:t> </w:t>
            </w:r>
            <w:r w:rsidRPr="00EC010C">
              <w:rPr>
                <w:b/>
                <w:sz w:val="22"/>
                <w:szCs w:val="22"/>
              </w:rPr>
              <w:t>6 år</w:t>
            </w:r>
          </w:p>
        </w:tc>
        <w:tc>
          <w:tcPr>
            <w:tcW w:w="283" w:type="pct"/>
          </w:tcPr>
          <w:p w14:paraId="1C0AF2FD" w14:textId="54A948AF" w:rsidR="00213042" w:rsidRPr="00EC010C" w:rsidRDefault="00213042" w:rsidP="00213042">
            <w:pPr>
              <w:widowControl w:val="0"/>
              <w:autoSpaceDE w:val="0"/>
              <w:autoSpaceDN w:val="0"/>
              <w:spacing w:before="3" w:line="237" w:lineRule="exact"/>
              <w:ind w:left="106"/>
              <w:rPr>
                <w:b/>
                <w:sz w:val="22"/>
                <w:szCs w:val="22"/>
              </w:rPr>
            </w:pPr>
            <w:r w:rsidRPr="00EC010C">
              <w:rPr>
                <w:b/>
                <w:w w:val="99"/>
                <w:sz w:val="22"/>
                <w:szCs w:val="22"/>
              </w:rPr>
              <w:t>N</w:t>
            </w:r>
          </w:p>
        </w:tc>
        <w:tc>
          <w:tcPr>
            <w:tcW w:w="813" w:type="pct"/>
          </w:tcPr>
          <w:p w14:paraId="6B1897A5" w14:textId="73B01AF5" w:rsidR="00213042" w:rsidRPr="00EC010C" w:rsidRDefault="00213042" w:rsidP="00213042">
            <w:pPr>
              <w:widowControl w:val="0"/>
              <w:autoSpaceDE w:val="0"/>
              <w:autoSpaceDN w:val="0"/>
              <w:spacing w:before="3" w:line="237" w:lineRule="exact"/>
              <w:ind w:left="108"/>
              <w:rPr>
                <w:b/>
                <w:sz w:val="22"/>
                <w:szCs w:val="22"/>
              </w:rPr>
            </w:pPr>
            <w:r w:rsidRPr="00EC010C">
              <w:rPr>
                <w:b/>
                <w:sz w:val="22"/>
                <w:szCs w:val="22"/>
              </w:rPr>
              <w:t>Fødsel</w:t>
            </w:r>
            <w:r w:rsidRPr="00EC010C">
              <w:rPr>
                <w:b/>
                <w:spacing w:val="-1"/>
                <w:sz w:val="22"/>
                <w:szCs w:val="22"/>
              </w:rPr>
              <w:t xml:space="preserve"> </w:t>
            </w:r>
            <w:r w:rsidRPr="00B24633">
              <w:rPr>
                <w:sz w:val="24"/>
                <w:szCs w:val="24"/>
              </w:rPr>
              <w:t>‒</w:t>
            </w:r>
            <w:r>
              <w:rPr>
                <w:sz w:val="24"/>
                <w:szCs w:val="24"/>
              </w:rPr>
              <w:t xml:space="preserve"> </w:t>
            </w:r>
            <w:r w:rsidRPr="00EC010C">
              <w:rPr>
                <w:b/>
                <w:sz w:val="22"/>
                <w:szCs w:val="22"/>
              </w:rPr>
              <w:t>&lt;</w:t>
            </w:r>
            <w:r w:rsidRPr="00EC010C">
              <w:rPr>
                <w:b/>
                <w:spacing w:val="-2"/>
                <w:sz w:val="22"/>
                <w:szCs w:val="22"/>
              </w:rPr>
              <w:t> </w:t>
            </w:r>
            <w:r w:rsidRPr="00EC010C">
              <w:rPr>
                <w:b/>
                <w:sz w:val="22"/>
                <w:szCs w:val="22"/>
              </w:rPr>
              <w:t>2</w:t>
            </w:r>
            <w:r w:rsidRPr="00EC010C">
              <w:rPr>
                <w:b/>
                <w:spacing w:val="-1"/>
                <w:sz w:val="22"/>
                <w:szCs w:val="22"/>
              </w:rPr>
              <w:t> år</w:t>
            </w:r>
          </w:p>
        </w:tc>
        <w:tc>
          <w:tcPr>
            <w:tcW w:w="277" w:type="pct"/>
          </w:tcPr>
          <w:p w14:paraId="297E7693" w14:textId="195D83AE" w:rsidR="00213042" w:rsidRPr="00EC010C" w:rsidRDefault="00213042" w:rsidP="00213042">
            <w:pPr>
              <w:widowControl w:val="0"/>
              <w:autoSpaceDE w:val="0"/>
              <w:autoSpaceDN w:val="0"/>
              <w:spacing w:before="3" w:line="237" w:lineRule="exact"/>
              <w:ind w:left="108"/>
              <w:rPr>
                <w:b/>
                <w:sz w:val="22"/>
                <w:szCs w:val="22"/>
              </w:rPr>
            </w:pPr>
            <w:r w:rsidRPr="00EC010C">
              <w:rPr>
                <w:b/>
                <w:w w:val="99"/>
                <w:sz w:val="22"/>
                <w:szCs w:val="22"/>
              </w:rPr>
              <w:t>N</w:t>
            </w:r>
          </w:p>
        </w:tc>
        <w:tc>
          <w:tcPr>
            <w:tcW w:w="672" w:type="pct"/>
          </w:tcPr>
          <w:p w14:paraId="7397B2F3" w14:textId="6BACD022" w:rsidR="00213042" w:rsidRPr="00EC010C" w:rsidRDefault="00213042" w:rsidP="00213042">
            <w:pPr>
              <w:widowControl w:val="0"/>
              <w:autoSpaceDE w:val="0"/>
              <w:autoSpaceDN w:val="0"/>
              <w:spacing w:before="3" w:line="237" w:lineRule="exact"/>
              <w:ind w:left="110"/>
              <w:rPr>
                <w:b/>
                <w:sz w:val="22"/>
                <w:szCs w:val="22"/>
              </w:rPr>
            </w:pPr>
            <w:r w:rsidRPr="00EC010C">
              <w:rPr>
                <w:b/>
                <w:sz w:val="22"/>
                <w:szCs w:val="22"/>
              </w:rPr>
              <w:t>0,5</w:t>
            </w:r>
            <w:r>
              <w:rPr>
                <w:b/>
                <w:sz w:val="22"/>
                <w:szCs w:val="22"/>
              </w:rPr>
              <w:t xml:space="preserve"> </w:t>
            </w:r>
            <w:r w:rsidRPr="00B24633">
              <w:rPr>
                <w:sz w:val="24"/>
                <w:szCs w:val="24"/>
              </w:rPr>
              <w:t>‒</w:t>
            </w:r>
            <w:r>
              <w:rPr>
                <w:sz w:val="24"/>
                <w:szCs w:val="24"/>
              </w:rPr>
              <w:t xml:space="preserve"> </w:t>
            </w:r>
            <w:r w:rsidRPr="00EC010C">
              <w:rPr>
                <w:b/>
                <w:sz w:val="22"/>
                <w:szCs w:val="22"/>
              </w:rPr>
              <w:t>&lt;</w:t>
            </w:r>
            <w:r w:rsidRPr="00EC010C">
              <w:rPr>
                <w:b/>
                <w:spacing w:val="-2"/>
                <w:sz w:val="22"/>
                <w:szCs w:val="22"/>
              </w:rPr>
              <w:t> </w:t>
            </w:r>
            <w:r w:rsidRPr="00EC010C">
              <w:rPr>
                <w:b/>
                <w:sz w:val="22"/>
                <w:szCs w:val="22"/>
              </w:rPr>
              <w:t>2 år</w:t>
            </w:r>
          </w:p>
        </w:tc>
        <w:tc>
          <w:tcPr>
            <w:tcW w:w="278" w:type="pct"/>
          </w:tcPr>
          <w:p w14:paraId="1DB91468" w14:textId="6C6AF09C" w:rsidR="00213042" w:rsidRPr="00EC010C" w:rsidRDefault="00213042" w:rsidP="00213042">
            <w:pPr>
              <w:widowControl w:val="0"/>
              <w:autoSpaceDE w:val="0"/>
              <w:autoSpaceDN w:val="0"/>
              <w:spacing w:before="3" w:line="237" w:lineRule="exact"/>
              <w:ind w:left="111"/>
              <w:rPr>
                <w:b/>
                <w:sz w:val="22"/>
                <w:szCs w:val="22"/>
              </w:rPr>
            </w:pPr>
            <w:r w:rsidRPr="00EC010C">
              <w:rPr>
                <w:b/>
                <w:w w:val="99"/>
                <w:sz w:val="22"/>
                <w:szCs w:val="22"/>
              </w:rPr>
              <w:t>N</w:t>
            </w:r>
          </w:p>
        </w:tc>
        <w:tc>
          <w:tcPr>
            <w:tcW w:w="901" w:type="pct"/>
          </w:tcPr>
          <w:p w14:paraId="6050A4A2" w14:textId="7E44F04B" w:rsidR="00213042" w:rsidRPr="00EC010C" w:rsidRDefault="00213042" w:rsidP="00213042">
            <w:pPr>
              <w:widowControl w:val="0"/>
              <w:autoSpaceDE w:val="0"/>
              <w:autoSpaceDN w:val="0"/>
              <w:spacing w:before="3" w:line="237" w:lineRule="exact"/>
              <w:ind w:left="112"/>
              <w:rPr>
                <w:b/>
                <w:sz w:val="22"/>
                <w:szCs w:val="22"/>
              </w:rPr>
            </w:pPr>
            <w:r w:rsidRPr="00EC010C">
              <w:rPr>
                <w:b/>
                <w:sz w:val="22"/>
                <w:szCs w:val="22"/>
              </w:rPr>
              <w:t>Fødsel</w:t>
            </w:r>
            <w:r w:rsidRPr="00EC010C">
              <w:rPr>
                <w:b/>
                <w:spacing w:val="-1"/>
                <w:sz w:val="22"/>
                <w:szCs w:val="22"/>
              </w:rPr>
              <w:t xml:space="preserve"> </w:t>
            </w:r>
            <w:r w:rsidRPr="00B24633">
              <w:rPr>
                <w:sz w:val="24"/>
                <w:szCs w:val="24"/>
              </w:rPr>
              <w:t>‒</w:t>
            </w:r>
            <w:r>
              <w:rPr>
                <w:sz w:val="24"/>
                <w:szCs w:val="24"/>
              </w:rPr>
              <w:t xml:space="preserve"> </w:t>
            </w:r>
            <w:r w:rsidRPr="00EC010C">
              <w:rPr>
                <w:b/>
                <w:sz w:val="22"/>
                <w:szCs w:val="22"/>
              </w:rPr>
              <w:t>&lt;</w:t>
            </w:r>
            <w:r w:rsidRPr="00EC010C">
              <w:rPr>
                <w:b/>
                <w:spacing w:val="-2"/>
                <w:sz w:val="22"/>
                <w:szCs w:val="22"/>
              </w:rPr>
              <w:t> </w:t>
            </w:r>
            <w:r w:rsidRPr="00EC010C">
              <w:rPr>
                <w:b/>
                <w:sz w:val="22"/>
                <w:szCs w:val="22"/>
              </w:rPr>
              <w:t>0,5</w:t>
            </w:r>
            <w:r w:rsidRPr="00EC010C">
              <w:rPr>
                <w:b/>
                <w:spacing w:val="-1"/>
                <w:sz w:val="22"/>
                <w:szCs w:val="22"/>
              </w:rPr>
              <w:t> år</w:t>
            </w:r>
          </w:p>
        </w:tc>
      </w:tr>
      <w:tr w:rsidR="00F61E6E" w:rsidRPr="00EC010C" w14:paraId="293D4394" w14:textId="77777777" w:rsidTr="00AF570B">
        <w:trPr>
          <w:trHeight w:val="520"/>
        </w:trPr>
        <w:tc>
          <w:tcPr>
            <w:tcW w:w="708" w:type="pct"/>
          </w:tcPr>
          <w:p w14:paraId="016C3D96" w14:textId="77777777" w:rsidR="00F61E6E" w:rsidRPr="00EC010C" w:rsidRDefault="00F61E6E" w:rsidP="00B24633">
            <w:pPr>
              <w:widowControl w:val="0"/>
              <w:autoSpaceDE w:val="0"/>
              <w:autoSpaceDN w:val="0"/>
              <w:spacing w:before="3"/>
              <w:ind w:left="107"/>
              <w:rPr>
                <w:sz w:val="22"/>
                <w:szCs w:val="22"/>
              </w:rPr>
            </w:pPr>
            <w:r w:rsidRPr="00EC010C">
              <w:rPr>
                <w:sz w:val="22"/>
                <w:szCs w:val="22"/>
              </w:rPr>
              <w:t>0,5 – 3 t</w:t>
            </w:r>
            <w:r w:rsidRPr="00EC010C">
              <w:rPr>
                <w:spacing w:val="-1"/>
                <w:sz w:val="22"/>
                <w:szCs w:val="22"/>
              </w:rPr>
              <w:t xml:space="preserve"> </w:t>
            </w:r>
            <w:r w:rsidRPr="00EC010C">
              <w:rPr>
                <w:sz w:val="22"/>
                <w:szCs w:val="22"/>
              </w:rPr>
              <w:t>efter</w:t>
            </w:r>
          </w:p>
        </w:tc>
        <w:tc>
          <w:tcPr>
            <w:tcW w:w="301" w:type="pct"/>
          </w:tcPr>
          <w:p w14:paraId="30834D27" w14:textId="77777777" w:rsidR="00F61E6E" w:rsidRPr="00EC010C" w:rsidRDefault="00F61E6E" w:rsidP="00B24633">
            <w:pPr>
              <w:widowControl w:val="0"/>
              <w:autoSpaceDE w:val="0"/>
              <w:autoSpaceDN w:val="0"/>
              <w:spacing w:before="3"/>
              <w:ind w:left="107"/>
              <w:rPr>
                <w:sz w:val="22"/>
                <w:szCs w:val="22"/>
              </w:rPr>
            </w:pPr>
            <w:r w:rsidRPr="00EC010C">
              <w:rPr>
                <w:w w:val="99"/>
                <w:sz w:val="22"/>
                <w:szCs w:val="22"/>
              </w:rPr>
              <w:t>5</w:t>
            </w:r>
          </w:p>
        </w:tc>
        <w:tc>
          <w:tcPr>
            <w:tcW w:w="767" w:type="pct"/>
          </w:tcPr>
          <w:p w14:paraId="3833AAB6" w14:textId="77777777" w:rsidR="00F61E6E" w:rsidRPr="00EC010C" w:rsidRDefault="00F61E6E" w:rsidP="00B24633">
            <w:pPr>
              <w:widowControl w:val="0"/>
              <w:autoSpaceDE w:val="0"/>
              <w:autoSpaceDN w:val="0"/>
              <w:spacing w:before="3"/>
              <w:ind w:left="106"/>
              <w:rPr>
                <w:sz w:val="22"/>
                <w:szCs w:val="22"/>
              </w:rPr>
            </w:pPr>
            <w:r w:rsidRPr="00EC010C">
              <w:rPr>
                <w:sz w:val="22"/>
                <w:szCs w:val="22"/>
              </w:rPr>
              <w:t>164,7</w:t>
            </w:r>
          </w:p>
          <w:p w14:paraId="3128C96B" w14:textId="77777777" w:rsidR="00F61E6E" w:rsidRPr="00EC010C" w:rsidRDefault="00F61E6E" w:rsidP="00B24633">
            <w:pPr>
              <w:widowControl w:val="0"/>
              <w:autoSpaceDE w:val="0"/>
              <w:autoSpaceDN w:val="0"/>
              <w:spacing w:before="7" w:line="237" w:lineRule="exact"/>
              <w:ind w:left="106"/>
              <w:rPr>
                <w:sz w:val="22"/>
                <w:szCs w:val="22"/>
              </w:rPr>
            </w:pPr>
            <w:r w:rsidRPr="00EC010C">
              <w:rPr>
                <w:sz w:val="22"/>
                <w:szCs w:val="22"/>
              </w:rPr>
              <w:t>(108-283)</w:t>
            </w:r>
          </w:p>
        </w:tc>
        <w:tc>
          <w:tcPr>
            <w:tcW w:w="283" w:type="pct"/>
          </w:tcPr>
          <w:p w14:paraId="04C3DFFF" w14:textId="77777777" w:rsidR="00F61E6E" w:rsidRPr="00EC010C" w:rsidRDefault="00F61E6E" w:rsidP="00B24633">
            <w:pPr>
              <w:widowControl w:val="0"/>
              <w:autoSpaceDE w:val="0"/>
              <w:autoSpaceDN w:val="0"/>
              <w:spacing w:before="3"/>
              <w:ind w:left="106"/>
              <w:rPr>
                <w:sz w:val="22"/>
                <w:szCs w:val="22"/>
              </w:rPr>
            </w:pPr>
            <w:r w:rsidRPr="00EC010C">
              <w:rPr>
                <w:sz w:val="22"/>
                <w:szCs w:val="22"/>
              </w:rPr>
              <w:t>25</w:t>
            </w:r>
          </w:p>
        </w:tc>
        <w:tc>
          <w:tcPr>
            <w:tcW w:w="813" w:type="pct"/>
          </w:tcPr>
          <w:p w14:paraId="6974F01B" w14:textId="77777777" w:rsidR="00F61E6E" w:rsidRPr="00EC010C" w:rsidRDefault="00F61E6E" w:rsidP="00B24633">
            <w:pPr>
              <w:widowControl w:val="0"/>
              <w:autoSpaceDE w:val="0"/>
              <w:autoSpaceDN w:val="0"/>
              <w:spacing w:before="3"/>
              <w:ind w:left="108"/>
              <w:rPr>
                <w:sz w:val="22"/>
                <w:szCs w:val="22"/>
              </w:rPr>
            </w:pPr>
            <w:r w:rsidRPr="00EC010C">
              <w:rPr>
                <w:sz w:val="22"/>
                <w:szCs w:val="22"/>
              </w:rPr>
              <w:t>111,2</w:t>
            </w:r>
          </w:p>
          <w:p w14:paraId="462C3E09" w14:textId="77777777" w:rsidR="00F61E6E" w:rsidRPr="00EC010C" w:rsidRDefault="00F61E6E" w:rsidP="00B24633">
            <w:pPr>
              <w:widowControl w:val="0"/>
              <w:autoSpaceDE w:val="0"/>
              <w:autoSpaceDN w:val="0"/>
              <w:spacing w:before="7" w:line="237" w:lineRule="exact"/>
              <w:ind w:left="108"/>
              <w:rPr>
                <w:sz w:val="22"/>
                <w:szCs w:val="22"/>
              </w:rPr>
            </w:pPr>
            <w:r w:rsidRPr="00EC010C">
              <w:rPr>
                <w:sz w:val="22"/>
                <w:szCs w:val="22"/>
              </w:rPr>
              <w:t>(22,9-320)</w:t>
            </w:r>
          </w:p>
        </w:tc>
        <w:tc>
          <w:tcPr>
            <w:tcW w:w="277" w:type="pct"/>
          </w:tcPr>
          <w:p w14:paraId="2A54AD46" w14:textId="77777777" w:rsidR="00F61E6E" w:rsidRPr="00EC010C" w:rsidRDefault="00F61E6E" w:rsidP="00B24633">
            <w:pPr>
              <w:widowControl w:val="0"/>
              <w:autoSpaceDE w:val="0"/>
              <w:autoSpaceDN w:val="0"/>
              <w:spacing w:before="3"/>
              <w:ind w:left="108"/>
              <w:rPr>
                <w:sz w:val="22"/>
                <w:szCs w:val="22"/>
              </w:rPr>
            </w:pPr>
            <w:r w:rsidRPr="00EC010C">
              <w:rPr>
                <w:sz w:val="22"/>
                <w:szCs w:val="22"/>
              </w:rPr>
              <w:t>13</w:t>
            </w:r>
          </w:p>
        </w:tc>
        <w:tc>
          <w:tcPr>
            <w:tcW w:w="672" w:type="pct"/>
          </w:tcPr>
          <w:p w14:paraId="0D880D48" w14:textId="77777777" w:rsidR="00F61E6E" w:rsidRPr="00EC010C" w:rsidRDefault="00F61E6E" w:rsidP="00B24633">
            <w:pPr>
              <w:widowControl w:val="0"/>
              <w:autoSpaceDE w:val="0"/>
              <w:autoSpaceDN w:val="0"/>
              <w:spacing w:before="3"/>
              <w:ind w:left="110"/>
              <w:rPr>
                <w:sz w:val="22"/>
                <w:szCs w:val="22"/>
              </w:rPr>
            </w:pPr>
            <w:r w:rsidRPr="00EC010C">
              <w:rPr>
                <w:sz w:val="22"/>
                <w:szCs w:val="22"/>
              </w:rPr>
              <w:t>114,3</w:t>
            </w:r>
          </w:p>
          <w:p w14:paraId="37723522" w14:textId="77777777" w:rsidR="00F61E6E" w:rsidRPr="00EC010C" w:rsidRDefault="00F61E6E" w:rsidP="00B24633">
            <w:pPr>
              <w:widowControl w:val="0"/>
              <w:autoSpaceDE w:val="0"/>
              <w:autoSpaceDN w:val="0"/>
              <w:spacing w:before="7" w:line="237" w:lineRule="exact"/>
              <w:ind w:left="110"/>
              <w:rPr>
                <w:sz w:val="22"/>
                <w:szCs w:val="22"/>
              </w:rPr>
            </w:pPr>
            <w:r w:rsidRPr="00EC010C">
              <w:rPr>
                <w:sz w:val="22"/>
                <w:szCs w:val="22"/>
              </w:rPr>
              <w:t>(22,9-346)</w:t>
            </w:r>
          </w:p>
        </w:tc>
        <w:tc>
          <w:tcPr>
            <w:tcW w:w="278" w:type="pct"/>
          </w:tcPr>
          <w:p w14:paraId="336D391C" w14:textId="77777777" w:rsidR="00F61E6E" w:rsidRPr="00EC010C" w:rsidRDefault="00F61E6E" w:rsidP="00B24633">
            <w:pPr>
              <w:widowControl w:val="0"/>
              <w:autoSpaceDE w:val="0"/>
              <w:autoSpaceDN w:val="0"/>
              <w:spacing w:before="3"/>
              <w:ind w:left="111"/>
              <w:rPr>
                <w:sz w:val="22"/>
                <w:szCs w:val="22"/>
              </w:rPr>
            </w:pPr>
            <w:r w:rsidRPr="00EC010C">
              <w:rPr>
                <w:sz w:val="22"/>
                <w:szCs w:val="22"/>
              </w:rPr>
              <w:t>12</w:t>
            </w:r>
          </w:p>
        </w:tc>
        <w:tc>
          <w:tcPr>
            <w:tcW w:w="901" w:type="pct"/>
          </w:tcPr>
          <w:p w14:paraId="0034C643" w14:textId="77777777" w:rsidR="00F61E6E" w:rsidRPr="00EC010C" w:rsidRDefault="00F61E6E" w:rsidP="00B24633">
            <w:pPr>
              <w:widowControl w:val="0"/>
              <w:autoSpaceDE w:val="0"/>
              <w:autoSpaceDN w:val="0"/>
              <w:spacing w:before="3"/>
              <w:ind w:left="112"/>
              <w:rPr>
                <w:sz w:val="22"/>
                <w:szCs w:val="22"/>
              </w:rPr>
            </w:pPr>
            <w:r w:rsidRPr="00EC010C">
              <w:rPr>
                <w:sz w:val="22"/>
                <w:szCs w:val="22"/>
              </w:rPr>
              <w:t>108,0</w:t>
            </w:r>
          </w:p>
          <w:p w14:paraId="03A698B6" w14:textId="77777777" w:rsidR="00F61E6E" w:rsidRPr="00EC010C" w:rsidRDefault="00F61E6E" w:rsidP="00B24633">
            <w:pPr>
              <w:widowControl w:val="0"/>
              <w:autoSpaceDE w:val="0"/>
              <w:autoSpaceDN w:val="0"/>
              <w:spacing w:before="7" w:line="237" w:lineRule="exact"/>
              <w:ind w:left="112"/>
              <w:rPr>
                <w:sz w:val="22"/>
                <w:szCs w:val="22"/>
              </w:rPr>
            </w:pPr>
            <w:r w:rsidRPr="00EC010C">
              <w:rPr>
                <w:sz w:val="22"/>
                <w:szCs w:val="22"/>
              </w:rPr>
              <w:t>(19,2-320)</w:t>
            </w:r>
          </w:p>
        </w:tc>
      </w:tr>
      <w:tr w:rsidR="00F61E6E" w:rsidRPr="00EC010C" w14:paraId="6470CD57" w14:textId="77777777" w:rsidTr="00AF570B">
        <w:trPr>
          <w:trHeight w:val="520"/>
        </w:trPr>
        <w:tc>
          <w:tcPr>
            <w:tcW w:w="708" w:type="pct"/>
          </w:tcPr>
          <w:p w14:paraId="2E56553A" w14:textId="77777777" w:rsidR="00F61E6E" w:rsidRPr="00EC010C" w:rsidRDefault="00F61E6E" w:rsidP="00B24633">
            <w:pPr>
              <w:widowControl w:val="0"/>
              <w:autoSpaceDE w:val="0"/>
              <w:autoSpaceDN w:val="0"/>
              <w:spacing w:before="3"/>
              <w:ind w:left="107"/>
              <w:rPr>
                <w:sz w:val="22"/>
                <w:szCs w:val="22"/>
              </w:rPr>
            </w:pPr>
            <w:r w:rsidRPr="00EC010C">
              <w:rPr>
                <w:sz w:val="22"/>
                <w:szCs w:val="22"/>
              </w:rPr>
              <w:t>7 – 8 t</w:t>
            </w:r>
            <w:r w:rsidRPr="00EC010C">
              <w:rPr>
                <w:spacing w:val="-1"/>
                <w:sz w:val="22"/>
                <w:szCs w:val="22"/>
              </w:rPr>
              <w:t xml:space="preserve"> </w:t>
            </w:r>
            <w:r w:rsidRPr="00EC010C">
              <w:rPr>
                <w:sz w:val="22"/>
                <w:szCs w:val="22"/>
              </w:rPr>
              <w:t>efter</w:t>
            </w:r>
          </w:p>
        </w:tc>
        <w:tc>
          <w:tcPr>
            <w:tcW w:w="301" w:type="pct"/>
          </w:tcPr>
          <w:p w14:paraId="4110582A" w14:textId="77777777" w:rsidR="00F61E6E" w:rsidRPr="00EC010C" w:rsidRDefault="00F61E6E" w:rsidP="00B24633">
            <w:pPr>
              <w:widowControl w:val="0"/>
              <w:autoSpaceDE w:val="0"/>
              <w:autoSpaceDN w:val="0"/>
              <w:spacing w:before="3"/>
              <w:ind w:left="107"/>
              <w:rPr>
                <w:sz w:val="22"/>
                <w:szCs w:val="22"/>
              </w:rPr>
            </w:pPr>
            <w:r w:rsidRPr="00EC010C">
              <w:rPr>
                <w:w w:val="99"/>
                <w:sz w:val="22"/>
                <w:szCs w:val="22"/>
              </w:rPr>
              <w:t>5</w:t>
            </w:r>
          </w:p>
        </w:tc>
        <w:tc>
          <w:tcPr>
            <w:tcW w:w="767" w:type="pct"/>
          </w:tcPr>
          <w:p w14:paraId="2B132D65" w14:textId="77777777" w:rsidR="00F61E6E" w:rsidRPr="00EC010C" w:rsidRDefault="00F61E6E" w:rsidP="00B24633">
            <w:pPr>
              <w:widowControl w:val="0"/>
              <w:autoSpaceDE w:val="0"/>
              <w:autoSpaceDN w:val="0"/>
              <w:spacing w:before="3"/>
              <w:ind w:left="106"/>
              <w:rPr>
                <w:sz w:val="22"/>
                <w:szCs w:val="22"/>
              </w:rPr>
            </w:pPr>
            <w:r w:rsidRPr="00EC010C">
              <w:rPr>
                <w:sz w:val="22"/>
                <w:szCs w:val="22"/>
              </w:rPr>
              <w:t>33,2</w:t>
            </w:r>
          </w:p>
          <w:p w14:paraId="19C14DAA" w14:textId="77777777" w:rsidR="00F61E6E" w:rsidRPr="00EC010C" w:rsidRDefault="00F61E6E" w:rsidP="00B24633">
            <w:pPr>
              <w:widowControl w:val="0"/>
              <w:autoSpaceDE w:val="0"/>
              <w:autoSpaceDN w:val="0"/>
              <w:spacing w:before="6" w:line="238" w:lineRule="exact"/>
              <w:ind w:left="106"/>
              <w:rPr>
                <w:sz w:val="22"/>
                <w:szCs w:val="22"/>
              </w:rPr>
            </w:pPr>
            <w:r w:rsidRPr="00EC010C">
              <w:rPr>
                <w:sz w:val="22"/>
                <w:szCs w:val="22"/>
              </w:rPr>
              <w:t>(18,7-99,7)</w:t>
            </w:r>
          </w:p>
        </w:tc>
        <w:tc>
          <w:tcPr>
            <w:tcW w:w="283" w:type="pct"/>
          </w:tcPr>
          <w:p w14:paraId="27CD41A9" w14:textId="77777777" w:rsidR="00F61E6E" w:rsidRPr="00EC010C" w:rsidRDefault="00F61E6E" w:rsidP="00B24633">
            <w:pPr>
              <w:widowControl w:val="0"/>
              <w:autoSpaceDE w:val="0"/>
              <w:autoSpaceDN w:val="0"/>
              <w:spacing w:before="3"/>
              <w:ind w:left="106"/>
              <w:rPr>
                <w:sz w:val="22"/>
                <w:szCs w:val="22"/>
              </w:rPr>
            </w:pPr>
            <w:r w:rsidRPr="00EC010C">
              <w:rPr>
                <w:sz w:val="22"/>
                <w:szCs w:val="22"/>
              </w:rPr>
              <w:t>23</w:t>
            </w:r>
          </w:p>
        </w:tc>
        <w:tc>
          <w:tcPr>
            <w:tcW w:w="813" w:type="pct"/>
          </w:tcPr>
          <w:p w14:paraId="085CAE24" w14:textId="77777777" w:rsidR="00F61E6E" w:rsidRPr="00EC010C" w:rsidRDefault="00F61E6E" w:rsidP="00B24633">
            <w:pPr>
              <w:widowControl w:val="0"/>
              <w:autoSpaceDE w:val="0"/>
              <w:autoSpaceDN w:val="0"/>
              <w:spacing w:before="3"/>
              <w:ind w:left="108"/>
              <w:rPr>
                <w:sz w:val="22"/>
                <w:szCs w:val="22"/>
              </w:rPr>
            </w:pPr>
            <w:r w:rsidRPr="00EC010C">
              <w:rPr>
                <w:sz w:val="22"/>
                <w:szCs w:val="22"/>
              </w:rPr>
              <w:t>18,7</w:t>
            </w:r>
          </w:p>
          <w:p w14:paraId="669141F7" w14:textId="77777777" w:rsidR="00F61E6E" w:rsidRPr="00EC010C" w:rsidRDefault="00F61E6E" w:rsidP="00B24633">
            <w:pPr>
              <w:widowControl w:val="0"/>
              <w:autoSpaceDE w:val="0"/>
              <w:autoSpaceDN w:val="0"/>
              <w:spacing w:before="6" w:line="238" w:lineRule="exact"/>
              <w:ind w:left="108"/>
              <w:rPr>
                <w:sz w:val="22"/>
                <w:szCs w:val="22"/>
              </w:rPr>
            </w:pPr>
            <w:r w:rsidRPr="00EC010C">
              <w:rPr>
                <w:sz w:val="22"/>
                <w:szCs w:val="22"/>
              </w:rPr>
              <w:t>(10,1-36,5)</w:t>
            </w:r>
          </w:p>
        </w:tc>
        <w:tc>
          <w:tcPr>
            <w:tcW w:w="277" w:type="pct"/>
          </w:tcPr>
          <w:p w14:paraId="6D9C84FB" w14:textId="77777777" w:rsidR="00F61E6E" w:rsidRPr="00EC010C" w:rsidRDefault="00F61E6E" w:rsidP="00B24633">
            <w:pPr>
              <w:widowControl w:val="0"/>
              <w:autoSpaceDE w:val="0"/>
              <w:autoSpaceDN w:val="0"/>
              <w:spacing w:before="3"/>
              <w:ind w:left="108"/>
              <w:rPr>
                <w:sz w:val="22"/>
                <w:szCs w:val="22"/>
              </w:rPr>
            </w:pPr>
            <w:r w:rsidRPr="00EC010C">
              <w:rPr>
                <w:sz w:val="22"/>
                <w:szCs w:val="22"/>
              </w:rPr>
              <w:t>12</w:t>
            </w:r>
          </w:p>
        </w:tc>
        <w:tc>
          <w:tcPr>
            <w:tcW w:w="672" w:type="pct"/>
          </w:tcPr>
          <w:p w14:paraId="28A692BD" w14:textId="77777777" w:rsidR="00F61E6E" w:rsidRPr="00EC010C" w:rsidRDefault="00F61E6E" w:rsidP="00B24633">
            <w:pPr>
              <w:widowControl w:val="0"/>
              <w:autoSpaceDE w:val="0"/>
              <w:autoSpaceDN w:val="0"/>
              <w:spacing w:before="3"/>
              <w:ind w:left="110"/>
              <w:rPr>
                <w:sz w:val="22"/>
                <w:szCs w:val="22"/>
              </w:rPr>
            </w:pPr>
            <w:r w:rsidRPr="00EC010C">
              <w:rPr>
                <w:sz w:val="22"/>
                <w:szCs w:val="22"/>
              </w:rPr>
              <w:t>21,4</w:t>
            </w:r>
          </w:p>
          <w:p w14:paraId="19581263" w14:textId="77777777" w:rsidR="00F61E6E" w:rsidRPr="00EC010C" w:rsidRDefault="00F61E6E" w:rsidP="00B24633">
            <w:pPr>
              <w:widowControl w:val="0"/>
              <w:autoSpaceDE w:val="0"/>
              <w:autoSpaceDN w:val="0"/>
              <w:spacing w:before="6" w:line="238" w:lineRule="exact"/>
              <w:ind w:left="110"/>
              <w:rPr>
                <w:sz w:val="22"/>
                <w:szCs w:val="22"/>
              </w:rPr>
            </w:pPr>
            <w:r w:rsidRPr="00EC010C">
              <w:rPr>
                <w:sz w:val="22"/>
                <w:szCs w:val="22"/>
              </w:rPr>
              <w:t>(10,5-65,6)</w:t>
            </w:r>
          </w:p>
        </w:tc>
        <w:tc>
          <w:tcPr>
            <w:tcW w:w="278" w:type="pct"/>
          </w:tcPr>
          <w:p w14:paraId="62C61C81" w14:textId="77777777" w:rsidR="00F61E6E" w:rsidRPr="00EC010C" w:rsidRDefault="00F61E6E" w:rsidP="00B24633">
            <w:pPr>
              <w:widowControl w:val="0"/>
              <w:autoSpaceDE w:val="0"/>
              <w:autoSpaceDN w:val="0"/>
              <w:spacing w:before="3"/>
              <w:ind w:left="111"/>
              <w:rPr>
                <w:sz w:val="22"/>
                <w:szCs w:val="22"/>
              </w:rPr>
            </w:pPr>
            <w:r w:rsidRPr="00EC010C">
              <w:rPr>
                <w:sz w:val="22"/>
                <w:szCs w:val="22"/>
              </w:rPr>
              <w:t>11</w:t>
            </w:r>
          </w:p>
        </w:tc>
        <w:tc>
          <w:tcPr>
            <w:tcW w:w="901" w:type="pct"/>
          </w:tcPr>
          <w:p w14:paraId="65407812" w14:textId="77777777" w:rsidR="00F61E6E" w:rsidRPr="00EC010C" w:rsidRDefault="00F61E6E" w:rsidP="00B24633">
            <w:pPr>
              <w:widowControl w:val="0"/>
              <w:autoSpaceDE w:val="0"/>
              <w:autoSpaceDN w:val="0"/>
              <w:spacing w:before="3"/>
              <w:ind w:left="112"/>
              <w:rPr>
                <w:sz w:val="22"/>
                <w:szCs w:val="22"/>
              </w:rPr>
            </w:pPr>
            <w:r w:rsidRPr="00EC010C">
              <w:rPr>
                <w:sz w:val="22"/>
                <w:szCs w:val="22"/>
              </w:rPr>
              <w:t>16,1</w:t>
            </w:r>
          </w:p>
          <w:p w14:paraId="754B4A5D" w14:textId="77777777" w:rsidR="00F61E6E" w:rsidRPr="00EC010C" w:rsidRDefault="00F61E6E" w:rsidP="00B24633">
            <w:pPr>
              <w:widowControl w:val="0"/>
              <w:autoSpaceDE w:val="0"/>
              <w:autoSpaceDN w:val="0"/>
              <w:spacing w:before="6" w:line="238" w:lineRule="exact"/>
              <w:ind w:left="112"/>
              <w:rPr>
                <w:sz w:val="22"/>
                <w:szCs w:val="22"/>
              </w:rPr>
            </w:pPr>
            <w:r w:rsidRPr="00EC010C">
              <w:rPr>
                <w:sz w:val="22"/>
                <w:szCs w:val="22"/>
              </w:rPr>
              <w:t>(1,03-33,6)</w:t>
            </w:r>
          </w:p>
        </w:tc>
      </w:tr>
    </w:tbl>
    <w:p w14:paraId="568270AD" w14:textId="77777777" w:rsidR="00F61E6E" w:rsidRPr="00EC010C" w:rsidRDefault="00F61E6E" w:rsidP="00B24633">
      <w:pPr>
        <w:widowControl w:val="0"/>
        <w:autoSpaceDE w:val="0"/>
        <w:autoSpaceDN w:val="0"/>
        <w:ind w:left="858"/>
        <w:rPr>
          <w:sz w:val="22"/>
          <w:szCs w:val="22"/>
        </w:rPr>
      </w:pPr>
      <w:r w:rsidRPr="00EC010C">
        <w:rPr>
          <w:sz w:val="22"/>
          <w:szCs w:val="22"/>
        </w:rPr>
        <w:t>o.d.</w:t>
      </w:r>
      <w:r w:rsidRPr="00EC010C">
        <w:rPr>
          <w:spacing w:val="-2"/>
          <w:sz w:val="22"/>
          <w:szCs w:val="22"/>
        </w:rPr>
        <w:t> = </w:t>
      </w:r>
      <w:r w:rsidRPr="00EC010C">
        <w:rPr>
          <w:sz w:val="22"/>
          <w:szCs w:val="22"/>
        </w:rPr>
        <w:t>én</w:t>
      </w:r>
      <w:r w:rsidRPr="00EC010C">
        <w:rPr>
          <w:spacing w:val="-2"/>
          <w:sz w:val="22"/>
          <w:szCs w:val="22"/>
        </w:rPr>
        <w:t> </w:t>
      </w:r>
      <w:r w:rsidRPr="00EC010C">
        <w:rPr>
          <w:sz w:val="22"/>
          <w:szCs w:val="22"/>
        </w:rPr>
        <w:t>gang</w:t>
      </w:r>
      <w:r w:rsidRPr="00EC010C">
        <w:rPr>
          <w:spacing w:val="-1"/>
          <w:sz w:val="22"/>
          <w:szCs w:val="22"/>
        </w:rPr>
        <w:t xml:space="preserve"> </w:t>
      </w:r>
      <w:r w:rsidRPr="00EC010C">
        <w:rPr>
          <w:sz w:val="22"/>
          <w:szCs w:val="22"/>
        </w:rPr>
        <w:t>dagligt,</w:t>
      </w:r>
      <w:r w:rsidRPr="00EC010C">
        <w:rPr>
          <w:spacing w:val="-2"/>
          <w:sz w:val="22"/>
          <w:szCs w:val="22"/>
        </w:rPr>
        <w:t xml:space="preserve"> </w:t>
      </w:r>
      <w:r w:rsidRPr="00EC010C">
        <w:rPr>
          <w:sz w:val="22"/>
          <w:szCs w:val="22"/>
        </w:rPr>
        <w:t>b.i.d.</w:t>
      </w:r>
      <w:r w:rsidRPr="00EC010C">
        <w:rPr>
          <w:spacing w:val="-2"/>
          <w:sz w:val="22"/>
          <w:szCs w:val="22"/>
        </w:rPr>
        <w:t> = </w:t>
      </w:r>
      <w:r w:rsidRPr="00EC010C">
        <w:rPr>
          <w:sz w:val="22"/>
          <w:szCs w:val="22"/>
        </w:rPr>
        <w:t>to</w:t>
      </w:r>
      <w:r w:rsidRPr="00EC010C">
        <w:rPr>
          <w:spacing w:val="-2"/>
          <w:sz w:val="22"/>
          <w:szCs w:val="22"/>
        </w:rPr>
        <w:t> </w:t>
      </w:r>
      <w:r w:rsidRPr="00EC010C">
        <w:rPr>
          <w:sz w:val="22"/>
          <w:szCs w:val="22"/>
        </w:rPr>
        <w:t>gange</w:t>
      </w:r>
      <w:r w:rsidRPr="00EC010C">
        <w:rPr>
          <w:spacing w:val="-3"/>
          <w:sz w:val="22"/>
          <w:szCs w:val="22"/>
        </w:rPr>
        <w:t xml:space="preserve"> </w:t>
      </w:r>
      <w:r w:rsidRPr="00EC010C">
        <w:rPr>
          <w:sz w:val="22"/>
          <w:szCs w:val="22"/>
        </w:rPr>
        <w:t>dagligt,</w:t>
      </w:r>
      <w:r w:rsidRPr="00EC010C">
        <w:rPr>
          <w:spacing w:val="-2"/>
          <w:sz w:val="22"/>
          <w:szCs w:val="22"/>
        </w:rPr>
        <w:t xml:space="preserve"> </w:t>
      </w:r>
      <w:r w:rsidRPr="00EC010C">
        <w:rPr>
          <w:sz w:val="22"/>
          <w:szCs w:val="22"/>
        </w:rPr>
        <w:t>t.i.d.</w:t>
      </w:r>
      <w:r w:rsidRPr="00EC010C">
        <w:rPr>
          <w:spacing w:val="-2"/>
          <w:sz w:val="22"/>
          <w:szCs w:val="22"/>
        </w:rPr>
        <w:t xml:space="preserve"> </w:t>
      </w:r>
      <w:r w:rsidRPr="00EC010C">
        <w:rPr>
          <w:sz w:val="22"/>
          <w:szCs w:val="22"/>
        </w:rPr>
        <w:t>tre</w:t>
      </w:r>
      <w:r w:rsidRPr="00EC010C">
        <w:rPr>
          <w:spacing w:val="-3"/>
          <w:sz w:val="22"/>
          <w:szCs w:val="22"/>
        </w:rPr>
        <w:t> </w:t>
      </w:r>
      <w:r w:rsidRPr="00EC010C">
        <w:rPr>
          <w:sz w:val="22"/>
          <w:szCs w:val="22"/>
        </w:rPr>
        <w:t>gange</w:t>
      </w:r>
      <w:r w:rsidRPr="00EC010C">
        <w:rPr>
          <w:spacing w:val="-3"/>
          <w:sz w:val="22"/>
          <w:szCs w:val="22"/>
        </w:rPr>
        <w:t xml:space="preserve"> </w:t>
      </w:r>
      <w:r w:rsidRPr="00EC010C">
        <w:rPr>
          <w:sz w:val="22"/>
          <w:szCs w:val="22"/>
        </w:rPr>
        <w:t>dagligt,</w:t>
      </w:r>
      <w:r w:rsidRPr="00EC010C">
        <w:rPr>
          <w:spacing w:val="-1"/>
          <w:sz w:val="22"/>
          <w:szCs w:val="22"/>
        </w:rPr>
        <w:t xml:space="preserve"> </w:t>
      </w:r>
      <w:r w:rsidRPr="00EC010C">
        <w:rPr>
          <w:sz w:val="22"/>
          <w:szCs w:val="22"/>
        </w:rPr>
        <w:t>n.c.</w:t>
      </w:r>
      <w:r w:rsidRPr="00EC010C">
        <w:rPr>
          <w:spacing w:val="-2"/>
          <w:sz w:val="22"/>
          <w:szCs w:val="22"/>
        </w:rPr>
        <w:t> = </w:t>
      </w:r>
      <w:r w:rsidRPr="00EC010C">
        <w:rPr>
          <w:sz w:val="22"/>
          <w:szCs w:val="22"/>
        </w:rPr>
        <w:t>ikke</w:t>
      </w:r>
      <w:r w:rsidRPr="00EC010C">
        <w:rPr>
          <w:spacing w:val="-3"/>
          <w:sz w:val="22"/>
          <w:szCs w:val="22"/>
        </w:rPr>
        <w:t xml:space="preserve"> </w:t>
      </w:r>
      <w:r w:rsidRPr="00EC010C">
        <w:rPr>
          <w:sz w:val="22"/>
          <w:szCs w:val="22"/>
        </w:rPr>
        <w:t>beregnet</w:t>
      </w:r>
    </w:p>
    <w:p w14:paraId="6529702A" w14:textId="77777777" w:rsidR="00F61E6E" w:rsidRPr="00EC010C" w:rsidRDefault="00F61E6E" w:rsidP="00B24633">
      <w:pPr>
        <w:widowControl w:val="0"/>
        <w:autoSpaceDE w:val="0"/>
        <w:autoSpaceDN w:val="0"/>
        <w:ind w:left="858"/>
        <w:rPr>
          <w:sz w:val="22"/>
          <w:szCs w:val="22"/>
        </w:rPr>
      </w:pPr>
      <w:r w:rsidRPr="00EC010C">
        <w:rPr>
          <w:sz w:val="22"/>
          <w:szCs w:val="22"/>
        </w:rPr>
        <w:t>Værdier under den nedre kvantificeringsgrænse (</w:t>
      </w:r>
      <w:r w:rsidRPr="00EC010C">
        <w:rPr>
          <w:i/>
          <w:sz w:val="22"/>
          <w:szCs w:val="22"/>
        </w:rPr>
        <w:t>lower limit of quantification</w:t>
      </w:r>
      <w:r w:rsidRPr="00EC010C">
        <w:rPr>
          <w:sz w:val="22"/>
          <w:szCs w:val="22"/>
        </w:rPr>
        <w:t>, LLOQ) blev substitueret</w:t>
      </w:r>
      <w:r w:rsidRPr="00EC010C">
        <w:rPr>
          <w:spacing w:val="-52"/>
          <w:sz w:val="22"/>
          <w:szCs w:val="22"/>
        </w:rPr>
        <w:t xml:space="preserve"> </w:t>
      </w:r>
      <w:r w:rsidRPr="00EC010C">
        <w:rPr>
          <w:sz w:val="22"/>
          <w:szCs w:val="22"/>
        </w:rPr>
        <w:t>med</w:t>
      </w:r>
      <w:r w:rsidRPr="00EC010C">
        <w:rPr>
          <w:spacing w:val="-1"/>
          <w:sz w:val="22"/>
          <w:szCs w:val="22"/>
        </w:rPr>
        <w:t xml:space="preserve"> </w:t>
      </w:r>
      <w:r w:rsidRPr="00EC010C">
        <w:rPr>
          <w:sz w:val="22"/>
          <w:szCs w:val="22"/>
        </w:rPr>
        <w:t>1/2 LLOQ</w:t>
      </w:r>
      <w:r w:rsidRPr="00EC010C">
        <w:rPr>
          <w:spacing w:val="-1"/>
          <w:sz w:val="22"/>
          <w:szCs w:val="22"/>
        </w:rPr>
        <w:t xml:space="preserve"> </w:t>
      </w:r>
      <w:r w:rsidRPr="00EC010C">
        <w:rPr>
          <w:sz w:val="22"/>
          <w:szCs w:val="22"/>
        </w:rPr>
        <w:t>for statistiske</w:t>
      </w:r>
      <w:r w:rsidRPr="00EC010C">
        <w:rPr>
          <w:spacing w:val="-1"/>
          <w:sz w:val="22"/>
          <w:szCs w:val="22"/>
        </w:rPr>
        <w:t xml:space="preserve"> </w:t>
      </w:r>
      <w:r w:rsidRPr="00EC010C">
        <w:rPr>
          <w:sz w:val="22"/>
          <w:szCs w:val="22"/>
        </w:rPr>
        <w:t>beregninger</w:t>
      </w:r>
      <w:r w:rsidRPr="00EC010C">
        <w:rPr>
          <w:spacing w:val="-1"/>
          <w:sz w:val="22"/>
          <w:szCs w:val="22"/>
        </w:rPr>
        <w:t xml:space="preserve"> </w:t>
      </w:r>
      <w:r w:rsidRPr="00EC010C">
        <w:rPr>
          <w:sz w:val="22"/>
          <w:szCs w:val="22"/>
        </w:rPr>
        <w:t>(LLOQ = 0,5</w:t>
      </w:r>
      <w:r w:rsidRPr="00EC010C">
        <w:rPr>
          <w:spacing w:val="-1"/>
          <w:sz w:val="22"/>
          <w:szCs w:val="22"/>
        </w:rPr>
        <w:t xml:space="preserve"> </w:t>
      </w:r>
      <w:r w:rsidRPr="00EC010C">
        <w:rPr>
          <w:sz w:val="22"/>
          <w:szCs w:val="22"/>
        </w:rPr>
        <w:t>mikrog/l).</w:t>
      </w:r>
    </w:p>
    <w:p w14:paraId="01C0FADD" w14:textId="77777777" w:rsidR="00F61E6E" w:rsidRPr="00B24633" w:rsidRDefault="00F61E6E" w:rsidP="00B24633">
      <w:pPr>
        <w:tabs>
          <w:tab w:val="left" w:pos="851"/>
        </w:tabs>
        <w:ind w:left="851"/>
        <w:rPr>
          <w:sz w:val="24"/>
          <w:szCs w:val="24"/>
        </w:rPr>
      </w:pPr>
    </w:p>
    <w:p w14:paraId="6364B092" w14:textId="77777777" w:rsidR="00F61E6E" w:rsidRPr="00B24633" w:rsidRDefault="00F61E6E" w:rsidP="00B24633">
      <w:pPr>
        <w:tabs>
          <w:tab w:val="left" w:pos="851"/>
        </w:tabs>
        <w:ind w:left="851"/>
        <w:rPr>
          <w:sz w:val="24"/>
          <w:szCs w:val="24"/>
          <w:u w:val="single"/>
        </w:rPr>
      </w:pPr>
      <w:r w:rsidRPr="00B24633">
        <w:rPr>
          <w:sz w:val="24"/>
          <w:szCs w:val="24"/>
          <w:u w:val="single"/>
        </w:rPr>
        <w:t>Farmakokinetiske/farmakodynamiske forhold</w:t>
      </w:r>
    </w:p>
    <w:p w14:paraId="28D6CB67" w14:textId="77777777" w:rsidR="00F61E6E" w:rsidRPr="00B24633" w:rsidRDefault="00F61E6E" w:rsidP="00B24633">
      <w:pPr>
        <w:tabs>
          <w:tab w:val="left" w:pos="851"/>
        </w:tabs>
        <w:ind w:left="851"/>
        <w:rPr>
          <w:sz w:val="24"/>
          <w:szCs w:val="24"/>
          <w:u w:val="single"/>
        </w:rPr>
      </w:pPr>
    </w:p>
    <w:p w14:paraId="3C39D161" w14:textId="248D95D1" w:rsidR="00EC010C" w:rsidRDefault="00F61E6E" w:rsidP="00E65BA3">
      <w:pPr>
        <w:tabs>
          <w:tab w:val="left" w:pos="851"/>
        </w:tabs>
        <w:ind w:left="851"/>
        <w:rPr>
          <w:sz w:val="24"/>
          <w:szCs w:val="24"/>
        </w:rPr>
      </w:pPr>
      <w:r w:rsidRPr="00B24633">
        <w:rPr>
          <w:sz w:val="24"/>
          <w:szCs w:val="24"/>
        </w:rPr>
        <w:t>Det farmakokinetiske/farmakodynamiske forhold (PK/PD) mellem rivaroxabans plasmakoncentrationer og forskellige PD-endepunkter (faktor Xa-hæmning, PT, aPTT, Heptest) er blevet evalueret efter indgivelse i et bredt dosisinterval (5 ‒ 30 mg to gange dagligt). Forholdet mellem koncentrationen af rivaroxaban og faktor Xa-aktiviteten blev bedst beskrevet af en Emax-model. Den lineære interceptmodel beskrev generelt data bedre for PT. Hældningen varierede betydeligt afhængig af de forskellige anvendte PT-reagenser. Når der blev anvendt Neoplastin PT, var baseline PT omkring 13s og hældningen var omkring 3 ‒ 4 s</w:t>
      </w:r>
      <w:proofErr w:type="gramStart"/>
      <w:r w:rsidRPr="00B24633">
        <w:rPr>
          <w:sz w:val="24"/>
          <w:szCs w:val="24"/>
        </w:rPr>
        <w:t>/(</w:t>
      </w:r>
      <w:proofErr w:type="gramEnd"/>
      <w:r w:rsidRPr="00B24633">
        <w:rPr>
          <w:sz w:val="24"/>
          <w:szCs w:val="24"/>
        </w:rPr>
        <w:t>100 mikrog/l). Resultaterne af PK/PD-analyserne i fase II og III var konsistente med de data, der blev fundet hos raske forsøgspersoner.</w:t>
      </w:r>
      <w:r w:rsidR="00EC010C">
        <w:rPr>
          <w:sz w:val="24"/>
          <w:szCs w:val="24"/>
        </w:rPr>
        <w:br w:type="page"/>
      </w:r>
    </w:p>
    <w:p w14:paraId="6D24B29A" w14:textId="77777777" w:rsidR="00F61E6E" w:rsidRPr="00B24633" w:rsidRDefault="00F61E6E" w:rsidP="00B24633">
      <w:pPr>
        <w:tabs>
          <w:tab w:val="left" w:pos="851"/>
        </w:tabs>
        <w:ind w:left="851"/>
        <w:rPr>
          <w:sz w:val="24"/>
          <w:szCs w:val="24"/>
        </w:rPr>
      </w:pPr>
    </w:p>
    <w:p w14:paraId="11224E6F" w14:textId="77777777" w:rsidR="00F61E6E" w:rsidRPr="00B24633" w:rsidRDefault="00F61E6E" w:rsidP="00B24633">
      <w:pPr>
        <w:tabs>
          <w:tab w:val="left" w:pos="851"/>
        </w:tabs>
        <w:ind w:left="851"/>
        <w:rPr>
          <w:sz w:val="24"/>
          <w:szCs w:val="24"/>
          <w:u w:val="single"/>
        </w:rPr>
      </w:pPr>
      <w:r w:rsidRPr="00B24633">
        <w:rPr>
          <w:sz w:val="24"/>
          <w:szCs w:val="24"/>
          <w:u w:val="single"/>
        </w:rPr>
        <w:t>Pædiatrisk population</w:t>
      </w:r>
    </w:p>
    <w:p w14:paraId="6C27A3C8" w14:textId="77777777" w:rsidR="00F61E6E" w:rsidRPr="00B24633" w:rsidRDefault="00F61E6E" w:rsidP="00B24633">
      <w:pPr>
        <w:tabs>
          <w:tab w:val="left" w:pos="851"/>
        </w:tabs>
        <w:ind w:left="851"/>
        <w:rPr>
          <w:sz w:val="24"/>
          <w:szCs w:val="24"/>
          <w:u w:val="single"/>
        </w:rPr>
      </w:pPr>
    </w:p>
    <w:p w14:paraId="47C316FB" w14:textId="77777777" w:rsidR="00F61E6E" w:rsidRPr="00B24633" w:rsidRDefault="00F61E6E" w:rsidP="00B24633">
      <w:pPr>
        <w:tabs>
          <w:tab w:val="left" w:pos="851"/>
        </w:tabs>
        <w:ind w:left="851"/>
        <w:rPr>
          <w:sz w:val="24"/>
          <w:szCs w:val="24"/>
        </w:rPr>
      </w:pPr>
      <w:r w:rsidRPr="00B24633">
        <w:rPr>
          <w:sz w:val="24"/>
          <w:szCs w:val="24"/>
        </w:rPr>
        <w:t>Sikkerhed og virkning for indikationen</w:t>
      </w:r>
      <w:r w:rsidRPr="00B24633">
        <w:rPr>
          <w:spacing w:val="-3"/>
          <w:sz w:val="24"/>
          <w:szCs w:val="24"/>
        </w:rPr>
        <w:t xml:space="preserve"> </w:t>
      </w:r>
      <w:r w:rsidRPr="00B24633">
        <w:rPr>
          <w:sz w:val="24"/>
          <w:szCs w:val="24"/>
        </w:rPr>
        <w:t>forebyggelse</w:t>
      </w:r>
      <w:r w:rsidRPr="00B24633">
        <w:rPr>
          <w:spacing w:val="-4"/>
          <w:sz w:val="24"/>
          <w:szCs w:val="24"/>
        </w:rPr>
        <w:t xml:space="preserve"> </w:t>
      </w:r>
      <w:r w:rsidRPr="00B24633">
        <w:rPr>
          <w:sz w:val="24"/>
          <w:szCs w:val="24"/>
        </w:rPr>
        <w:t>af</w:t>
      </w:r>
      <w:r w:rsidRPr="00B24633">
        <w:rPr>
          <w:spacing w:val="-3"/>
          <w:sz w:val="24"/>
          <w:szCs w:val="24"/>
        </w:rPr>
        <w:t xml:space="preserve"> </w:t>
      </w:r>
      <w:r w:rsidRPr="00B24633">
        <w:rPr>
          <w:sz w:val="24"/>
          <w:szCs w:val="24"/>
        </w:rPr>
        <w:t>apopleksi</w:t>
      </w:r>
      <w:r w:rsidRPr="00B24633">
        <w:rPr>
          <w:spacing w:val="-3"/>
          <w:sz w:val="24"/>
          <w:szCs w:val="24"/>
        </w:rPr>
        <w:t xml:space="preserve"> </w:t>
      </w:r>
      <w:r w:rsidRPr="00B24633">
        <w:rPr>
          <w:sz w:val="24"/>
          <w:szCs w:val="24"/>
        </w:rPr>
        <w:t>og systemisk</w:t>
      </w:r>
      <w:r w:rsidRPr="00B24633">
        <w:rPr>
          <w:spacing w:val="-3"/>
          <w:sz w:val="24"/>
          <w:szCs w:val="24"/>
        </w:rPr>
        <w:t xml:space="preserve"> </w:t>
      </w:r>
      <w:r w:rsidRPr="00B24633">
        <w:rPr>
          <w:sz w:val="24"/>
          <w:szCs w:val="24"/>
        </w:rPr>
        <w:t>emboli</w:t>
      </w:r>
      <w:r w:rsidRPr="00B24633">
        <w:rPr>
          <w:spacing w:val="-3"/>
          <w:sz w:val="24"/>
          <w:szCs w:val="24"/>
        </w:rPr>
        <w:t xml:space="preserve"> </w:t>
      </w:r>
      <w:r w:rsidRPr="00B24633">
        <w:rPr>
          <w:sz w:val="24"/>
          <w:szCs w:val="24"/>
        </w:rPr>
        <w:t>hos</w:t>
      </w:r>
      <w:r w:rsidRPr="00B24633">
        <w:rPr>
          <w:spacing w:val="-4"/>
          <w:sz w:val="24"/>
          <w:szCs w:val="24"/>
        </w:rPr>
        <w:t xml:space="preserve"> </w:t>
      </w:r>
      <w:r w:rsidRPr="00B24633">
        <w:rPr>
          <w:sz w:val="24"/>
          <w:szCs w:val="24"/>
        </w:rPr>
        <w:t>patienter med ikke-valvulær atrieflimren hos børn og unge op til 18 år er ikke klarlagt.</w:t>
      </w:r>
    </w:p>
    <w:p w14:paraId="2255879B" w14:textId="77777777" w:rsidR="00F61E6E" w:rsidRPr="00B24633" w:rsidRDefault="00F61E6E" w:rsidP="00B24633">
      <w:pPr>
        <w:tabs>
          <w:tab w:val="left" w:pos="851"/>
        </w:tabs>
        <w:ind w:left="851"/>
        <w:rPr>
          <w:sz w:val="24"/>
          <w:szCs w:val="24"/>
        </w:rPr>
      </w:pPr>
    </w:p>
    <w:p w14:paraId="28D85F3A" w14:textId="77777777" w:rsidR="009260DE" w:rsidRPr="00B24633" w:rsidRDefault="009260DE" w:rsidP="00B24633">
      <w:pPr>
        <w:tabs>
          <w:tab w:val="left" w:pos="851"/>
        </w:tabs>
        <w:ind w:left="851" w:hanging="851"/>
        <w:rPr>
          <w:b/>
          <w:sz w:val="24"/>
          <w:szCs w:val="24"/>
        </w:rPr>
      </w:pPr>
      <w:r w:rsidRPr="00B24633">
        <w:rPr>
          <w:b/>
          <w:sz w:val="24"/>
          <w:szCs w:val="24"/>
        </w:rPr>
        <w:t>5.3</w:t>
      </w:r>
      <w:r w:rsidRPr="00B24633">
        <w:rPr>
          <w:b/>
          <w:sz w:val="24"/>
          <w:szCs w:val="24"/>
        </w:rPr>
        <w:tab/>
      </w:r>
      <w:r w:rsidR="00BD7931" w:rsidRPr="00B24633">
        <w:rPr>
          <w:b/>
          <w:sz w:val="24"/>
          <w:szCs w:val="24"/>
        </w:rPr>
        <w:t>Non-</w:t>
      </w:r>
      <w:r w:rsidRPr="00B24633">
        <w:rPr>
          <w:b/>
          <w:sz w:val="24"/>
          <w:szCs w:val="24"/>
        </w:rPr>
        <w:t>kliniske sikkerhedsdata</w:t>
      </w:r>
    </w:p>
    <w:p w14:paraId="0E041E83" w14:textId="6F9AA5E4" w:rsidR="00F61E6E" w:rsidRPr="00B24633" w:rsidRDefault="00825675" w:rsidP="00B24633">
      <w:pPr>
        <w:tabs>
          <w:tab w:val="left" w:pos="851"/>
        </w:tabs>
        <w:ind w:left="851"/>
        <w:rPr>
          <w:sz w:val="24"/>
          <w:szCs w:val="24"/>
        </w:rPr>
      </w:pPr>
      <w:r>
        <w:rPr>
          <w:sz w:val="24"/>
          <w:szCs w:val="24"/>
        </w:rPr>
        <w:t>Non-</w:t>
      </w:r>
      <w:r w:rsidR="00F61E6E" w:rsidRPr="00B24633">
        <w:rPr>
          <w:sz w:val="24"/>
          <w:szCs w:val="24"/>
        </w:rPr>
        <w:t>kliniske data viser ingen speciel risiko for mennesker vurderet ud fra konventionelle studier af sikkerhedsfarmakologis, toksicitet efter en enkeltdosis, fototoksicitet, genotoksicitet, karcinogenicitet og juvenil toksicitet.</w:t>
      </w:r>
    </w:p>
    <w:p w14:paraId="4F1335D2" w14:textId="77777777" w:rsidR="00F61E6E" w:rsidRPr="00B24633" w:rsidRDefault="00F61E6E" w:rsidP="00B24633">
      <w:pPr>
        <w:tabs>
          <w:tab w:val="left" w:pos="851"/>
        </w:tabs>
        <w:ind w:left="851"/>
        <w:rPr>
          <w:sz w:val="24"/>
          <w:szCs w:val="24"/>
        </w:rPr>
      </w:pPr>
    </w:p>
    <w:p w14:paraId="2F0495E7" w14:textId="77777777" w:rsidR="00F61E6E" w:rsidRPr="00B24633" w:rsidRDefault="00F61E6E" w:rsidP="00B24633">
      <w:pPr>
        <w:tabs>
          <w:tab w:val="left" w:pos="851"/>
        </w:tabs>
        <w:ind w:left="851"/>
        <w:rPr>
          <w:sz w:val="24"/>
          <w:szCs w:val="24"/>
        </w:rPr>
      </w:pPr>
      <w:r w:rsidRPr="00B24633">
        <w:rPr>
          <w:sz w:val="24"/>
          <w:szCs w:val="24"/>
        </w:rPr>
        <w:t>De effekter, der blev observeret ved toksicitetsstudier ved multiple doser, skyldtes hovedsageligt rivaroxabans unormalt høje farmakodynamiske aktivitet. Hos rotter ansås de øgede IgG- og IgA- plasmaniveauer for at være klinisk relevante eksponeringsniveauer.</w:t>
      </w:r>
    </w:p>
    <w:p w14:paraId="5DF785E0" w14:textId="77777777" w:rsidR="00F61E6E" w:rsidRPr="00B24633" w:rsidRDefault="00F61E6E" w:rsidP="00B24633">
      <w:pPr>
        <w:tabs>
          <w:tab w:val="left" w:pos="851"/>
        </w:tabs>
        <w:ind w:left="851"/>
        <w:rPr>
          <w:sz w:val="24"/>
          <w:szCs w:val="24"/>
        </w:rPr>
      </w:pPr>
    </w:p>
    <w:p w14:paraId="7BD7BCBC" w14:textId="77777777" w:rsidR="00F61E6E" w:rsidRPr="00B24633" w:rsidRDefault="00F61E6E" w:rsidP="00B24633">
      <w:pPr>
        <w:tabs>
          <w:tab w:val="left" w:pos="851"/>
        </w:tabs>
        <w:ind w:left="851"/>
        <w:rPr>
          <w:sz w:val="24"/>
          <w:szCs w:val="24"/>
        </w:rPr>
      </w:pPr>
      <w:r w:rsidRPr="00B24633">
        <w:rPr>
          <w:sz w:val="24"/>
          <w:szCs w:val="24"/>
        </w:rPr>
        <w:t>Der sås ingen virkning på fertiliteten hos han- eller hunrotter. Dyrestudier har vist reproduktionstoksicitet, der er relateret til rivaroxabans farmakologiske virkningsmekanisme (f.eks. blødningskomplikationer). Embryo-føtal-toksicitet (post-implantationstab, forsinket/progressiv knogledannelse, hepatiske multiple svagt farvede pletter) og et øget antal tilfælde af almindelige misdannelser samt ændringer i placenta blev set ved klinisk relevante plasmakoncentrationer. I et præ- og postnatalt studie i rotter blev der set nedsat levedygtighed hos afkommet ved doser, der var toksiske for moderdyrene.</w:t>
      </w:r>
    </w:p>
    <w:p w14:paraId="1E707AC0" w14:textId="77777777" w:rsidR="00F61E6E" w:rsidRPr="00B24633" w:rsidRDefault="00F61E6E" w:rsidP="00B24633">
      <w:pPr>
        <w:tabs>
          <w:tab w:val="left" w:pos="851"/>
        </w:tabs>
        <w:ind w:left="851"/>
        <w:rPr>
          <w:sz w:val="24"/>
          <w:szCs w:val="24"/>
        </w:rPr>
      </w:pPr>
    </w:p>
    <w:p w14:paraId="5C21D45E" w14:textId="77777777" w:rsidR="00F61E6E" w:rsidRPr="00B24633" w:rsidRDefault="00F61E6E" w:rsidP="00B24633">
      <w:pPr>
        <w:tabs>
          <w:tab w:val="left" w:pos="851"/>
        </w:tabs>
        <w:ind w:left="851"/>
        <w:rPr>
          <w:sz w:val="24"/>
          <w:szCs w:val="24"/>
        </w:rPr>
      </w:pPr>
      <w:r w:rsidRPr="00B24633">
        <w:rPr>
          <w:sz w:val="24"/>
          <w:szCs w:val="24"/>
        </w:rPr>
        <w:t>Rivaroxaban blev testet hos ungrotter med en varighed af behandlingen på op til 3 måneder, startende på postnatal dag 4, der viser en stigning i peri-insular blødning, som ikke er dosisrelateret. Der blev ikke observeret evidens for organspecifik toksicitet.</w:t>
      </w:r>
    </w:p>
    <w:p w14:paraId="51F53E50" w14:textId="77777777" w:rsidR="009260DE" w:rsidRPr="00B24633" w:rsidRDefault="009260DE" w:rsidP="00B24633">
      <w:pPr>
        <w:tabs>
          <w:tab w:val="left" w:pos="851"/>
        </w:tabs>
        <w:ind w:left="851"/>
        <w:rPr>
          <w:sz w:val="24"/>
          <w:szCs w:val="24"/>
        </w:rPr>
      </w:pPr>
    </w:p>
    <w:p w14:paraId="48645E7A" w14:textId="77777777" w:rsidR="009260DE" w:rsidRPr="00B24633" w:rsidRDefault="009260DE" w:rsidP="00B24633">
      <w:pPr>
        <w:tabs>
          <w:tab w:val="left" w:pos="851"/>
        </w:tabs>
        <w:ind w:left="851"/>
        <w:rPr>
          <w:sz w:val="24"/>
          <w:szCs w:val="24"/>
        </w:rPr>
      </w:pPr>
    </w:p>
    <w:p w14:paraId="4D8938E0" w14:textId="77777777" w:rsidR="009260DE" w:rsidRPr="00B24633" w:rsidRDefault="009260DE" w:rsidP="00B24633">
      <w:pPr>
        <w:tabs>
          <w:tab w:val="left" w:pos="851"/>
        </w:tabs>
        <w:ind w:left="851" w:hanging="851"/>
        <w:rPr>
          <w:b/>
          <w:sz w:val="24"/>
          <w:szCs w:val="24"/>
        </w:rPr>
      </w:pPr>
      <w:r w:rsidRPr="00B24633">
        <w:rPr>
          <w:b/>
          <w:sz w:val="24"/>
          <w:szCs w:val="24"/>
        </w:rPr>
        <w:t>6.</w:t>
      </w:r>
      <w:r w:rsidRPr="00B24633">
        <w:rPr>
          <w:b/>
          <w:sz w:val="24"/>
          <w:szCs w:val="24"/>
        </w:rPr>
        <w:tab/>
        <w:t>FARMACEUTISKE OPLYSNINGER</w:t>
      </w:r>
    </w:p>
    <w:p w14:paraId="2457B8F3" w14:textId="77777777" w:rsidR="009260DE" w:rsidRPr="00B24633" w:rsidRDefault="009260DE" w:rsidP="00B24633">
      <w:pPr>
        <w:tabs>
          <w:tab w:val="left" w:pos="851"/>
        </w:tabs>
        <w:ind w:left="851"/>
        <w:rPr>
          <w:sz w:val="24"/>
          <w:szCs w:val="24"/>
        </w:rPr>
      </w:pPr>
    </w:p>
    <w:p w14:paraId="545F185E" w14:textId="77777777" w:rsidR="009260DE" w:rsidRPr="00B24633" w:rsidRDefault="009260DE" w:rsidP="00B24633">
      <w:pPr>
        <w:tabs>
          <w:tab w:val="left" w:pos="851"/>
        </w:tabs>
        <w:ind w:left="851" w:hanging="851"/>
        <w:rPr>
          <w:b/>
          <w:sz w:val="24"/>
          <w:szCs w:val="24"/>
        </w:rPr>
      </w:pPr>
      <w:r w:rsidRPr="00B24633">
        <w:rPr>
          <w:b/>
          <w:sz w:val="24"/>
          <w:szCs w:val="24"/>
        </w:rPr>
        <w:t>6.1</w:t>
      </w:r>
      <w:r w:rsidRPr="00B24633">
        <w:rPr>
          <w:b/>
          <w:sz w:val="24"/>
          <w:szCs w:val="24"/>
        </w:rPr>
        <w:tab/>
        <w:t>Hjælpestoffer</w:t>
      </w:r>
    </w:p>
    <w:p w14:paraId="6AEEF2B1" w14:textId="77777777" w:rsidR="00AF570B" w:rsidRPr="00B24633" w:rsidRDefault="00AF570B" w:rsidP="00B24633">
      <w:pPr>
        <w:tabs>
          <w:tab w:val="left" w:pos="851"/>
        </w:tabs>
        <w:ind w:left="851"/>
        <w:rPr>
          <w:sz w:val="24"/>
          <w:szCs w:val="24"/>
          <w:u w:val="single"/>
        </w:rPr>
      </w:pPr>
    </w:p>
    <w:p w14:paraId="3B0144BD" w14:textId="03478CBD" w:rsidR="00F61E6E" w:rsidRPr="00B24633" w:rsidRDefault="00F61E6E" w:rsidP="00B24633">
      <w:pPr>
        <w:tabs>
          <w:tab w:val="left" w:pos="851"/>
        </w:tabs>
        <w:ind w:left="851"/>
        <w:rPr>
          <w:sz w:val="24"/>
          <w:szCs w:val="24"/>
          <w:u w:val="single"/>
        </w:rPr>
      </w:pPr>
      <w:r w:rsidRPr="00B24633">
        <w:rPr>
          <w:sz w:val="24"/>
          <w:szCs w:val="24"/>
          <w:u w:val="single"/>
        </w:rPr>
        <w:t>Tabletkerne:</w:t>
      </w:r>
    </w:p>
    <w:p w14:paraId="3AB6D423" w14:textId="77777777" w:rsidR="00F61E6E" w:rsidRPr="00B24633" w:rsidRDefault="00F61E6E" w:rsidP="00B24633">
      <w:pPr>
        <w:tabs>
          <w:tab w:val="left" w:pos="851"/>
        </w:tabs>
        <w:ind w:left="851"/>
        <w:rPr>
          <w:sz w:val="24"/>
          <w:szCs w:val="24"/>
        </w:rPr>
      </w:pPr>
      <w:r w:rsidRPr="00B24633">
        <w:rPr>
          <w:sz w:val="24"/>
          <w:szCs w:val="24"/>
        </w:rPr>
        <w:t>Cellulose, mikrokrystallinsk</w:t>
      </w:r>
    </w:p>
    <w:p w14:paraId="12F51584" w14:textId="77777777" w:rsidR="00F61E6E" w:rsidRPr="00B24633" w:rsidRDefault="00F61E6E" w:rsidP="00B24633">
      <w:pPr>
        <w:tabs>
          <w:tab w:val="left" w:pos="851"/>
        </w:tabs>
        <w:ind w:left="851"/>
        <w:rPr>
          <w:sz w:val="24"/>
          <w:szCs w:val="24"/>
        </w:rPr>
      </w:pPr>
      <w:r w:rsidRPr="00B24633">
        <w:rPr>
          <w:sz w:val="24"/>
          <w:szCs w:val="24"/>
        </w:rPr>
        <w:t>Lactosemonohydrat</w:t>
      </w:r>
    </w:p>
    <w:p w14:paraId="5F47116A" w14:textId="77777777" w:rsidR="00F61E6E" w:rsidRPr="00B24633" w:rsidRDefault="00F61E6E" w:rsidP="00B24633">
      <w:pPr>
        <w:tabs>
          <w:tab w:val="left" w:pos="851"/>
        </w:tabs>
        <w:ind w:left="851"/>
        <w:rPr>
          <w:sz w:val="24"/>
          <w:szCs w:val="24"/>
        </w:rPr>
      </w:pPr>
      <w:r w:rsidRPr="00B24633">
        <w:rPr>
          <w:sz w:val="24"/>
          <w:szCs w:val="24"/>
        </w:rPr>
        <w:t xml:space="preserve">Natriumlaurilsulfat </w:t>
      </w:r>
    </w:p>
    <w:p w14:paraId="4473ECA5" w14:textId="77777777" w:rsidR="00F61E6E" w:rsidRPr="00B24633" w:rsidRDefault="00F61E6E" w:rsidP="00B24633">
      <w:pPr>
        <w:tabs>
          <w:tab w:val="left" w:pos="851"/>
        </w:tabs>
        <w:ind w:left="851"/>
        <w:rPr>
          <w:sz w:val="24"/>
          <w:szCs w:val="24"/>
        </w:rPr>
      </w:pPr>
      <w:r w:rsidRPr="00B24633">
        <w:rPr>
          <w:sz w:val="24"/>
          <w:szCs w:val="24"/>
        </w:rPr>
        <w:t>Hypromellose</w:t>
      </w:r>
    </w:p>
    <w:p w14:paraId="2E4A4751" w14:textId="77777777" w:rsidR="00F61E6E" w:rsidRPr="00E65BA3" w:rsidRDefault="00F61E6E" w:rsidP="00B24633">
      <w:pPr>
        <w:tabs>
          <w:tab w:val="left" w:pos="851"/>
        </w:tabs>
        <w:ind w:left="851"/>
        <w:rPr>
          <w:sz w:val="24"/>
          <w:szCs w:val="24"/>
          <w:lang w:val="en-US"/>
        </w:rPr>
      </w:pPr>
      <w:r w:rsidRPr="00E65BA3">
        <w:rPr>
          <w:sz w:val="24"/>
          <w:szCs w:val="24"/>
          <w:lang w:val="en-US"/>
        </w:rPr>
        <w:t xml:space="preserve">Croscarmellosenatrim </w:t>
      </w:r>
    </w:p>
    <w:p w14:paraId="729EABF0" w14:textId="77777777" w:rsidR="00F61E6E" w:rsidRPr="00E65BA3" w:rsidRDefault="00F61E6E" w:rsidP="00B24633">
      <w:pPr>
        <w:tabs>
          <w:tab w:val="left" w:pos="851"/>
        </w:tabs>
        <w:ind w:left="851"/>
        <w:rPr>
          <w:sz w:val="24"/>
          <w:szCs w:val="24"/>
          <w:lang w:val="en-US"/>
        </w:rPr>
      </w:pPr>
      <w:r w:rsidRPr="00E65BA3">
        <w:rPr>
          <w:sz w:val="24"/>
          <w:szCs w:val="24"/>
          <w:lang w:val="en-US"/>
        </w:rPr>
        <w:t>Magnesiumstearat</w:t>
      </w:r>
    </w:p>
    <w:p w14:paraId="4C371B42" w14:textId="6BE16DCE" w:rsidR="00F61E6E" w:rsidRPr="00E65BA3" w:rsidRDefault="00F61E6E" w:rsidP="00B24633">
      <w:pPr>
        <w:tabs>
          <w:tab w:val="left" w:pos="851"/>
        </w:tabs>
        <w:ind w:left="851"/>
        <w:rPr>
          <w:sz w:val="24"/>
          <w:szCs w:val="24"/>
          <w:lang w:val="en-US"/>
        </w:rPr>
      </w:pPr>
    </w:p>
    <w:p w14:paraId="791DA397" w14:textId="77777777" w:rsidR="00F61E6E" w:rsidRPr="00E65BA3" w:rsidRDefault="00F61E6E" w:rsidP="00B24633">
      <w:pPr>
        <w:tabs>
          <w:tab w:val="left" w:pos="851"/>
        </w:tabs>
        <w:ind w:left="851"/>
        <w:rPr>
          <w:sz w:val="24"/>
          <w:szCs w:val="24"/>
          <w:lang w:val="en-US"/>
        </w:rPr>
      </w:pPr>
      <w:r w:rsidRPr="00E65BA3">
        <w:rPr>
          <w:sz w:val="24"/>
          <w:szCs w:val="24"/>
          <w:u w:val="single"/>
          <w:lang w:val="en-US"/>
        </w:rPr>
        <w:t>Filmovertræk</w:t>
      </w:r>
      <w:r w:rsidRPr="00E65BA3">
        <w:rPr>
          <w:sz w:val="24"/>
          <w:szCs w:val="24"/>
          <w:lang w:val="en-US"/>
        </w:rPr>
        <w:t xml:space="preserve">: </w:t>
      </w:r>
    </w:p>
    <w:p w14:paraId="0119D849" w14:textId="77777777" w:rsidR="00F61E6E" w:rsidRPr="00E65BA3" w:rsidRDefault="00F61E6E" w:rsidP="00B24633">
      <w:pPr>
        <w:tabs>
          <w:tab w:val="left" w:pos="851"/>
        </w:tabs>
        <w:ind w:left="851"/>
        <w:rPr>
          <w:sz w:val="24"/>
          <w:szCs w:val="24"/>
          <w:lang w:val="en-US"/>
        </w:rPr>
      </w:pPr>
    </w:p>
    <w:p w14:paraId="578B28E2" w14:textId="77777777" w:rsidR="00F61E6E" w:rsidRPr="00E65BA3" w:rsidRDefault="00F61E6E" w:rsidP="00B24633">
      <w:pPr>
        <w:tabs>
          <w:tab w:val="left" w:pos="851"/>
        </w:tabs>
        <w:ind w:left="851"/>
        <w:rPr>
          <w:sz w:val="24"/>
          <w:szCs w:val="24"/>
          <w:lang w:val="en-US"/>
        </w:rPr>
      </w:pPr>
      <w:r w:rsidRPr="00E65BA3">
        <w:rPr>
          <w:sz w:val="24"/>
          <w:szCs w:val="24"/>
          <w:lang w:val="en-US"/>
        </w:rPr>
        <w:t xml:space="preserve">Hypromellose </w:t>
      </w:r>
    </w:p>
    <w:p w14:paraId="10AC4112" w14:textId="77777777" w:rsidR="00F61E6E" w:rsidRPr="00E65BA3" w:rsidRDefault="00F61E6E" w:rsidP="00B24633">
      <w:pPr>
        <w:tabs>
          <w:tab w:val="left" w:pos="851"/>
        </w:tabs>
        <w:ind w:left="851"/>
        <w:rPr>
          <w:sz w:val="24"/>
          <w:szCs w:val="24"/>
          <w:lang w:val="en-US"/>
        </w:rPr>
      </w:pPr>
      <w:r w:rsidRPr="00E65BA3">
        <w:rPr>
          <w:sz w:val="24"/>
          <w:szCs w:val="24"/>
          <w:lang w:val="en-US"/>
        </w:rPr>
        <w:t>Titandioxid (E171)</w:t>
      </w:r>
    </w:p>
    <w:p w14:paraId="3B48FBBF" w14:textId="77777777" w:rsidR="00F61E6E" w:rsidRPr="00B24633" w:rsidRDefault="00F61E6E" w:rsidP="00B24633">
      <w:pPr>
        <w:tabs>
          <w:tab w:val="left" w:pos="851"/>
        </w:tabs>
        <w:ind w:left="851"/>
        <w:rPr>
          <w:sz w:val="24"/>
          <w:szCs w:val="24"/>
        </w:rPr>
      </w:pPr>
      <w:r w:rsidRPr="00B24633">
        <w:rPr>
          <w:sz w:val="24"/>
          <w:szCs w:val="24"/>
        </w:rPr>
        <w:t>Macrogol</w:t>
      </w:r>
    </w:p>
    <w:p w14:paraId="79EEAEAB" w14:textId="77777777" w:rsidR="00F61E6E" w:rsidRPr="00B24633" w:rsidRDefault="00F61E6E" w:rsidP="00B24633">
      <w:pPr>
        <w:tabs>
          <w:tab w:val="left" w:pos="851"/>
        </w:tabs>
        <w:ind w:left="851"/>
        <w:rPr>
          <w:sz w:val="24"/>
          <w:szCs w:val="24"/>
        </w:rPr>
      </w:pPr>
      <w:r w:rsidRPr="00B24633">
        <w:rPr>
          <w:sz w:val="24"/>
          <w:szCs w:val="24"/>
        </w:rPr>
        <w:t>Rød jernoxid</w:t>
      </w:r>
    </w:p>
    <w:p w14:paraId="52E517E5" w14:textId="77777777" w:rsidR="009260DE" w:rsidRPr="00B24633" w:rsidRDefault="009260DE" w:rsidP="00B24633">
      <w:pPr>
        <w:tabs>
          <w:tab w:val="left" w:pos="851"/>
        </w:tabs>
        <w:ind w:left="851"/>
        <w:rPr>
          <w:sz w:val="24"/>
          <w:szCs w:val="24"/>
        </w:rPr>
      </w:pPr>
    </w:p>
    <w:p w14:paraId="39D28E0C" w14:textId="77777777" w:rsidR="009260DE" w:rsidRPr="00B24633" w:rsidRDefault="009260DE" w:rsidP="00B24633">
      <w:pPr>
        <w:tabs>
          <w:tab w:val="left" w:pos="851"/>
        </w:tabs>
        <w:ind w:left="851" w:hanging="851"/>
        <w:rPr>
          <w:b/>
          <w:sz w:val="24"/>
          <w:szCs w:val="24"/>
        </w:rPr>
      </w:pPr>
      <w:r w:rsidRPr="00B24633">
        <w:rPr>
          <w:b/>
          <w:sz w:val="24"/>
          <w:szCs w:val="24"/>
        </w:rPr>
        <w:t>6.2</w:t>
      </w:r>
      <w:r w:rsidRPr="00B24633">
        <w:rPr>
          <w:b/>
          <w:sz w:val="24"/>
          <w:szCs w:val="24"/>
        </w:rPr>
        <w:tab/>
        <w:t>Uforligeligheder</w:t>
      </w:r>
    </w:p>
    <w:p w14:paraId="26B4C62C" w14:textId="77777777" w:rsidR="00F61E6E" w:rsidRPr="00B24633" w:rsidRDefault="00F61E6E" w:rsidP="00B24633">
      <w:pPr>
        <w:tabs>
          <w:tab w:val="left" w:pos="851"/>
        </w:tabs>
        <w:ind w:left="851"/>
        <w:rPr>
          <w:sz w:val="24"/>
          <w:szCs w:val="24"/>
        </w:rPr>
      </w:pPr>
      <w:r w:rsidRPr="00B24633">
        <w:rPr>
          <w:sz w:val="24"/>
          <w:szCs w:val="24"/>
        </w:rPr>
        <w:t>Ikke relevant</w:t>
      </w:r>
    </w:p>
    <w:p w14:paraId="6879F374" w14:textId="77777777" w:rsidR="009260DE" w:rsidRPr="00B24633" w:rsidRDefault="009260DE" w:rsidP="00B24633">
      <w:pPr>
        <w:tabs>
          <w:tab w:val="left" w:pos="851"/>
        </w:tabs>
        <w:ind w:left="851"/>
        <w:rPr>
          <w:sz w:val="24"/>
          <w:szCs w:val="24"/>
        </w:rPr>
      </w:pPr>
    </w:p>
    <w:p w14:paraId="297D9F74" w14:textId="77777777" w:rsidR="009260DE" w:rsidRPr="00B24633" w:rsidRDefault="009260DE" w:rsidP="00B24633">
      <w:pPr>
        <w:tabs>
          <w:tab w:val="left" w:pos="851"/>
        </w:tabs>
        <w:ind w:left="851" w:hanging="851"/>
        <w:rPr>
          <w:b/>
          <w:sz w:val="24"/>
          <w:szCs w:val="24"/>
        </w:rPr>
      </w:pPr>
      <w:r w:rsidRPr="00B24633">
        <w:rPr>
          <w:b/>
          <w:sz w:val="24"/>
          <w:szCs w:val="24"/>
        </w:rPr>
        <w:lastRenderedPageBreak/>
        <w:t>6.3</w:t>
      </w:r>
      <w:r w:rsidRPr="00B24633">
        <w:rPr>
          <w:b/>
          <w:sz w:val="24"/>
          <w:szCs w:val="24"/>
        </w:rPr>
        <w:tab/>
        <w:t>Opbevaringstid</w:t>
      </w:r>
    </w:p>
    <w:p w14:paraId="5077F6FA" w14:textId="423E7232" w:rsidR="00F61E6E" w:rsidRPr="00B24633" w:rsidRDefault="00F61E6E" w:rsidP="00B24633">
      <w:pPr>
        <w:tabs>
          <w:tab w:val="left" w:pos="851"/>
        </w:tabs>
        <w:ind w:left="851"/>
        <w:rPr>
          <w:sz w:val="24"/>
          <w:szCs w:val="24"/>
        </w:rPr>
      </w:pPr>
      <w:r w:rsidRPr="00B24633">
        <w:rPr>
          <w:sz w:val="24"/>
          <w:szCs w:val="24"/>
        </w:rPr>
        <w:t>3 år</w:t>
      </w:r>
    </w:p>
    <w:p w14:paraId="63DDE166" w14:textId="77777777" w:rsidR="009260DE" w:rsidRPr="00B24633" w:rsidRDefault="009260DE" w:rsidP="00B24633">
      <w:pPr>
        <w:tabs>
          <w:tab w:val="left" w:pos="851"/>
        </w:tabs>
        <w:ind w:left="851"/>
        <w:rPr>
          <w:sz w:val="24"/>
          <w:szCs w:val="24"/>
        </w:rPr>
      </w:pPr>
    </w:p>
    <w:p w14:paraId="521CEF8E" w14:textId="77777777" w:rsidR="009260DE" w:rsidRPr="00B24633" w:rsidRDefault="009260DE" w:rsidP="00B24633">
      <w:pPr>
        <w:tabs>
          <w:tab w:val="left" w:pos="851"/>
        </w:tabs>
        <w:ind w:left="851" w:hanging="851"/>
        <w:rPr>
          <w:b/>
          <w:sz w:val="24"/>
          <w:szCs w:val="24"/>
        </w:rPr>
      </w:pPr>
      <w:r w:rsidRPr="00B24633">
        <w:rPr>
          <w:b/>
          <w:sz w:val="24"/>
          <w:szCs w:val="24"/>
        </w:rPr>
        <w:t>6.4</w:t>
      </w:r>
      <w:r w:rsidRPr="00B24633">
        <w:rPr>
          <w:b/>
          <w:sz w:val="24"/>
          <w:szCs w:val="24"/>
        </w:rPr>
        <w:tab/>
        <w:t>Særlige opbevaringsforhold</w:t>
      </w:r>
    </w:p>
    <w:p w14:paraId="0CF98AB4" w14:textId="77777777" w:rsidR="00F61E6E" w:rsidRPr="00B24633" w:rsidRDefault="00F61E6E" w:rsidP="00B24633">
      <w:pPr>
        <w:tabs>
          <w:tab w:val="left" w:pos="851"/>
        </w:tabs>
        <w:ind w:left="851"/>
        <w:rPr>
          <w:sz w:val="24"/>
          <w:szCs w:val="24"/>
        </w:rPr>
      </w:pPr>
      <w:r w:rsidRPr="00B24633">
        <w:rPr>
          <w:sz w:val="24"/>
          <w:szCs w:val="24"/>
        </w:rPr>
        <w:t>Dette lægemiddel kræver ingen særlige forholdsregler vedrørende opbevaringen.</w:t>
      </w:r>
    </w:p>
    <w:p w14:paraId="2C23DBD3" w14:textId="77777777" w:rsidR="009260DE" w:rsidRPr="00B24633" w:rsidRDefault="009260DE" w:rsidP="00B24633">
      <w:pPr>
        <w:tabs>
          <w:tab w:val="left" w:pos="851"/>
        </w:tabs>
        <w:ind w:left="851"/>
        <w:rPr>
          <w:sz w:val="24"/>
          <w:szCs w:val="24"/>
        </w:rPr>
      </w:pPr>
    </w:p>
    <w:p w14:paraId="76B4FD73" w14:textId="77777777" w:rsidR="009260DE" w:rsidRPr="00B24633" w:rsidRDefault="009260DE" w:rsidP="00B24633">
      <w:pPr>
        <w:tabs>
          <w:tab w:val="left" w:pos="851"/>
        </w:tabs>
        <w:ind w:left="851" w:hanging="851"/>
        <w:rPr>
          <w:b/>
          <w:sz w:val="24"/>
          <w:szCs w:val="24"/>
        </w:rPr>
      </w:pPr>
      <w:r w:rsidRPr="00B24633">
        <w:rPr>
          <w:b/>
          <w:sz w:val="24"/>
          <w:szCs w:val="24"/>
        </w:rPr>
        <w:t>6.5</w:t>
      </w:r>
      <w:r w:rsidRPr="00B24633">
        <w:rPr>
          <w:b/>
          <w:sz w:val="24"/>
          <w:szCs w:val="24"/>
        </w:rPr>
        <w:tab/>
        <w:t>Emballagetype og pakningsstørrelser</w:t>
      </w:r>
    </w:p>
    <w:p w14:paraId="04E050E5" w14:textId="77777777" w:rsidR="00F61E6E" w:rsidRPr="00B24633" w:rsidRDefault="00F61E6E" w:rsidP="00B24633">
      <w:pPr>
        <w:tabs>
          <w:tab w:val="left" w:pos="851"/>
        </w:tabs>
        <w:ind w:left="851"/>
        <w:rPr>
          <w:sz w:val="24"/>
          <w:szCs w:val="24"/>
        </w:rPr>
      </w:pPr>
      <w:r w:rsidRPr="00B24633">
        <w:rPr>
          <w:sz w:val="24"/>
          <w:szCs w:val="24"/>
        </w:rPr>
        <w:t>Æsker indeholdende 10, 14, 28, 30, 42, 98 eller 100 filmovertrukne tabletter i transparente PVC/PVDC aluminiumsfolieblistre.</w:t>
      </w:r>
    </w:p>
    <w:p w14:paraId="2C8C2035" w14:textId="77777777" w:rsidR="00F61E6E" w:rsidRPr="00B24633" w:rsidRDefault="00F61E6E" w:rsidP="00B24633">
      <w:pPr>
        <w:tabs>
          <w:tab w:val="left" w:pos="851"/>
        </w:tabs>
        <w:ind w:left="851"/>
        <w:rPr>
          <w:sz w:val="24"/>
          <w:szCs w:val="24"/>
        </w:rPr>
      </w:pPr>
    </w:p>
    <w:p w14:paraId="16BC61E1" w14:textId="77777777" w:rsidR="00F61E6E" w:rsidRPr="00B24633" w:rsidRDefault="00F61E6E" w:rsidP="00B24633">
      <w:pPr>
        <w:tabs>
          <w:tab w:val="left" w:pos="851"/>
        </w:tabs>
        <w:ind w:left="851"/>
        <w:rPr>
          <w:sz w:val="24"/>
          <w:szCs w:val="24"/>
        </w:rPr>
      </w:pPr>
      <w:r w:rsidRPr="00B24633">
        <w:rPr>
          <w:sz w:val="24"/>
          <w:szCs w:val="24"/>
        </w:rPr>
        <w:t>Ikke alle pakningsstørrelser er nødvendigvis markedsført.</w:t>
      </w:r>
    </w:p>
    <w:p w14:paraId="04A60775" w14:textId="77777777" w:rsidR="009260DE" w:rsidRPr="00B24633" w:rsidRDefault="009260DE" w:rsidP="00B24633">
      <w:pPr>
        <w:tabs>
          <w:tab w:val="left" w:pos="851"/>
        </w:tabs>
        <w:ind w:left="851"/>
        <w:rPr>
          <w:sz w:val="24"/>
          <w:szCs w:val="24"/>
        </w:rPr>
      </w:pPr>
    </w:p>
    <w:p w14:paraId="7078D5E3" w14:textId="77777777" w:rsidR="009260DE" w:rsidRPr="00B24633" w:rsidRDefault="009260DE" w:rsidP="00B24633">
      <w:pPr>
        <w:tabs>
          <w:tab w:val="left" w:pos="851"/>
        </w:tabs>
        <w:ind w:left="851" w:hanging="851"/>
        <w:rPr>
          <w:b/>
          <w:sz w:val="24"/>
          <w:szCs w:val="24"/>
        </w:rPr>
      </w:pPr>
      <w:r w:rsidRPr="00B24633">
        <w:rPr>
          <w:b/>
          <w:sz w:val="24"/>
          <w:szCs w:val="24"/>
        </w:rPr>
        <w:t>6.6</w:t>
      </w:r>
      <w:r w:rsidRPr="00B24633">
        <w:rPr>
          <w:b/>
          <w:sz w:val="24"/>
          <w:szCs w:val="24"/>
        </w:rPr>
        <w:tab/>
        <w:t xml:space="preserve">Regler for </w:t>
      </w:r>
      <w:r w:rsidR="00BD7931" w:rsidRPr="00B24633">
        <w:rPr>
          <w:b/>
          <w:sz w:val="24"/>
          <w:szCs w:val="24"/>
        </w:rPr>
        <w:t>bortskaffelse</w:t>
      </w:r>
      <w:r w:rsidRPr="00B24633">
        <w:rPr>
          <w:b/>
          <w:sz w:val="24"/>
          <w:szCs w:val="24"/>
        </w:rPr>
        <w:t xml:space="preserve"> og anden håndtering</w:t>
      </w:r>
    </w:p>
    <w:p w14:paraId="346DF11F" w14:textId="77777777" w:rsidR="00F61E6E" w:rsidRPr="00B24633" w:rsidRDefault="00F61E6E" w:rsidP="00B24633">
      <w:pPr>
        <w:tabs>
          <w:tab w:val="left" w:pos="851"/>
        </w:tabs>
        <w:ind w:left="851"/>
        <w:rPr>
          <w:sz w:val="24"/>
          <w:szCs w:val="24"/>
        </w:rPr>
      </w:pPr>
      <w:r w:rsidRPr="00B24633">
        <w:rPr>
          <w:sz w:val="24"/>
          <w:szCs w:val="24"/>
        </w:rPr>
        <w:t xml:space="preserve">Ikke anvendt lægemiddel samt affald heraf skal bortskaffes i henhold til lokale retningslinjer. </w:t>
      </w:r>
    </w:p>
    <w:p w14:paraId="78C8134A" w14:textId="77777777" w:rsidR="00F61E6E" w:rsidRPr="00B24633" w:rsidRDefault="00F61E6E" w:rsidP="00B24633">
      <w:pPr>
        <w:tabs>
          <w:tab w:val="left" w:pos="851"/>
        </w:tabs>
        <w:ind w:left="851"/>
        <w:rPr>
          <w:sz w:val="24"/>
          <w:szCs w:val="24"/>
        </w:rPr>
      </w:pPr>
    </w:p>
    <w:p w14:paraId="2E9906B4" w14:textId="77777777" w:rsidR="00F61E6E" w:rsidRPr="00B24633" w:rsidRDefault="00F61E6E" w:rsidP="00B24633">
      <w:pPr>
        <w:tabs>
          <w:tab w:val="left" w:pos="851"/>
        </w:tabs>
        <w:ind w:left="851"/>
        <w:rPr>
          <w:sz w:val="24"/>
          <w:szCs w:val="24"/>
          <w:u w:val="single"/>
        </w:rPr>
      </w:pPr>
      <w:r w:rsidRPr="00B24633">
        <w:rPr>
          <w:sz w:val="24"/>
          <w:szCs w:val="24"/>
          <w:u w:val="single"/>
        </w:rPr>
        <w:t>Knusning af tabletter</w:t>
      </w:r>
    </w:p>
    <w:p w14:paraId="3FA2F4F1" w14:textId="77777777" w:rsidR="00F61E6E" w:rsidRPr="00B24633" w:rsidRDefault="00F61E6E" w:rsidP="00B24633">
      <w:pPr>
        <w:tabs>
          <w:tab w:val="left" w:pos="851"/>
        </w:tabs>
        <w:ind w:left="851"/>
        <w:rPr>
          <w:sz w:val="24"/>
          <w:szCs w:val="24"/>
        </w:rPr>
      </w:pPr>
      <w:r w:rsidRPr="00B24633">
        <w:rPr>
          <w:sz w:val="24"/>
          <w:szCs w:val="24"/>
        </w:rPr>
        <w:t>Rivaroxaban-tabletterne kan knuses og suspenderes i 50 ml vand og administreres via en nasogastrisk sonde eller anden ernæringssonde til ventriklen, efter korrekt placering af sonden i ventriklen er blevet bekræftet. Derefter skal sonden skylles med vand. Da absorption af rivaroxaban afhænger af frigivelsesstedet for det aktive stof, bør administration af rivaroxaban distalt for mavesækken undgås, da det kan føre til en nedsat absorption og dermed en nedsat eksponering for det aktive stof. Efter</w:t>
      </w:r>
      <w:r w:rsidRPr="00B24633">
        <w:rPr>
          <w:spacing w:val="1"/>
          <w:sz w:val="24"/>
          <w:szCs w:val="24"/>
        </w:rPr>
        <w:t xml:space="preserve"> </w:t>
      </w:r>
      <w:r w:rsidRPr="00B24633">
        <w:rPr>
          <w:sz w:val="24"/>
          <w:szCs w:val="24"/>
        </w:rPr>
        <w:t>administration af en knust tablet med rivaroxaban 15 mg eller 20 mg, skal dosis straks følges af enteral ernæring.</w:t>
      </w:r>
    </w:p>
    <w:p w14:paraId="64916743" w14:textId="77777777" w:rsidR="009260DE" w:rsidRPr="00B24633" w:rsidRDefault="009260DE" w:rsidP="00B24633">
      <w:pPr>
        <w:tabs>
          <w:tab w:val="left" w:pos="851"/>
        </w:tabs>
        <w:ind w:left="851"/>
        <w:rPr>
          <w:sz w:val="24"/>
          <w:szCs w:val="24"/>
        </w:rPr>
      </w:pPr>
    </w:p>
    <w:p w14:paraId="39336EB9" w14:textId="77777777" w:rsidR="009260DE" w:rsidRPr="00B24633" w:rsidRDefault="009260DE" w:rsidP="00B24633">
      <w:pPr>
        <w:tabs>
          <w:tab w:val="left" w:pos="851"/>
        </w:tabs>
        <w:ind w:left="851" w:hanging="851"/>
        <w:rPr>
          <w:b/>
          <w:sz w:val="24"/>
          <w:szCs w:val="24"/>
        </w:rPr>
      </w:pPr>
      <w:r w:rsidRPr="00B24633">
        <w:rPr>
          <w:b/>
          <w:sz w:val="24"/>
          <w:szCs w:val="24"/>
        </w:rPr>
        <w:t>7.</w:t>
      </w:r>
      <w:r w:rsidRPr="00B24633">
        <w:rPr>
          <w:b/>
          <w:sz w:val="24"/>
          <w:szCs w:val="24"/>
        </w:rPr>
        <w:tab/>
        <w:t>INDEHAVER AF MARKEDSFØRINGSTILLADELSEN</w:t>
      </w:r>
    </w:p>
    <w:p w14:paraId="5321906F" w14:textId="77777777" w:rsidR="00F61E6E" w:rsidRPr="00B24633" w:rsidRDefault="00F61E6E" w:rsidP="00B24633">
      <w:pPr>
        <w:tabs>
          <w:tab w:val="left" w:pos="851"/>
        </w:tabs>
        <w:ind w:left="851"/>
        <w:rPr>
          <w:sz w:val="24"/>
          <w:szCs w:val="24"/>
        </w:rPr>
      </w:pPr>
      <w:r w:rsidRPr="00B24633">
        <w:rPr>
          <w:sz w:val="24"/>
          <w:szCs w:val="24"/>
        </w:rPr>
        <w:t>Orion Corporation</w:t>
      </w:r>
    </w:p>
    <w:p w14:paraId="49AECB31" w14:textId="77777777" w:rsidR="00F61E6E" w:rsidRPr="00B24633" w:rsidRDefault="00F61E6E" w:rsidP="00B24633">
      <w:pPr>
        <w:tabs>
          <w:tab w:val="left" w:pos="851"/>
        </w:tabs>
        <w:ind w:left="851"/>
        <w:rPr>
          <w:sz w:val="24"/>
          <w:szCs w:val="24"/>
        </w:rPr>
      </w:pPr>
      <w:r w:rsidRPr="00B24633">
        <w:rPr>
          <w:sz w:val="24"/>
          <w:szCs w:val="24"/>
        </w:rPr>
        <w:t>Orionintie 1</w:t>
      </w:r>
    </w:p>
    <w:p w14:paraId="51B5E613" w14:textId="77777777" w:rsidR="00F61E6E" w:rsidRPr="00E65BA3" w:rsidRDefault="00F61E6E" w:rsidP="00B24633">
      <w:pPr>
        <w:tabs>
          <w:tab w:val="left" w:pos="851"/>
        </w:tabs>
        <w:ind w:left="851"/>
        <w:rPr>
          <w:sz w:val="24"/>
          <w:szCs w:val="24"/>
          <w:lang w:val="en-US"/>
        </w:rPr>
      </w:pPr>
      <w:r w:rsidRPr="00E65BA3">
        <w:rPr>
          <w:sz w:val="24"/>
          <w:szCs w:val="24"/>
          <w:lang w:val="en-US"/>
        </w:rPr>
        <w:t>FI-02200 Espoo</w:t>
      </w:r>
    </w:p>
    <w:p w14:paraId="4A48477C" w14:textId="77777777" w:rsidR="00F61E6E" w:rsidRPr="00E65BA3" w:rsidRDefault="00F61E6E" w:rsidP="00B24633">
      <w:pPr>
        <w:tabs>
          <w:tab w:val="left" w:pos="851"/>
        </w:tabs>
        <w:ind w:left="851"/>
        <w:rPr>
          <w:sz w:val="24"/>
          <w:szCs w:val="24"/>
          <w:lang w:val="en-US"/>
        </w:rPr>
      </w:pPr>
      <w:r w:rsidRPr="00E65BA3">
        <w:rPr>
          <w:sz w:val="24"/>
          <w:szCs w:val="24"/>
          <w:lang w:val="en-US"/>
        </w:rPr>
        <w:t>Finland</w:t>
      </w:r>
    </w:p>
    <w:p w14:paraId="51EB3F0E" w14:textId="77777777" w:rsidR="00F61E6E" w:rsidRPr="00E65BA3" w:rsidRDefault="00F61E6E" w:rsidP="00B24633">
      <w:pPr>
        <w:tabs>
          <w:tab w:val="left" w:pos="851"/>
        </w:tabs>
        <w:ind w:left="851"/>
        <w:rPr>
          <w:sz w:val="24"/>
          <w:szCs w:val="24"/>
          <w:lang w:val="en-US"/>
        </w:rPr>
      </w:pPr>
    </w:p>
    <w:p w14:paraId="48DEE237" w14:textId="77777777" w:rsidR="00F61E6E" w:rsidRPr="00E65BA3" w:rsidRDefault="00F61E6E" w:rsidP="00B24633">
      <w:pPr>
        <w:tabs>
          <w:tab w:val="left" w:pos="851"/>
        </w:tabs>
        <w:ind w:left="851"/>
        <w:rPr>
          <w:b/>
          <w:bCs/>
          <w:sz w:val="24"/>
          <w:szCs w:val="24"/>
          <w:lang w:val="en-US"/>
        </w:rPr>
      </w:pPr>
      <w:r w:rsidRPr="00E65BA3">
        <w:rPr>
          <w:b/>
          <w:bCs/>
          <w:sz w:val="24"/>
          <w:szCs w:val="24"/>
          <w:lang w:val="en-US"/>
        </w:rPr>
        <w:t>Repræsentant</w:t>
      </w:r>
    </w:p>
    <w:p w14:paraId="29992190" w14:textId="77777777" w:rsidR="00F61E6E" w:rsidRPr="00E65BA3" w:rsidRDefault="00F61E6E" w:rsidP="00B24633">
      <w:pPr>
        <w:tabs>
          <w:tab w:val="left" w:pos="851"/>
        </w:tabs>
        <w:ind w:left="851"/>
        <w:rPr>
          <w:bCs/>
          <w:sz w:val="24"/>
          <w:szCs w:val="24"/>
          <w:lang w:val="en-US"/>
        </w:rPr>
      </w:pPr>
      <w:r w:rsidRPr="00E65BA3">
        <w:rPr>
          <w:bCs/>
          <w:sz w:val="24"/>
          <w:szCs w:val="24"/>
          <w:lang w:val="en-US"/>
        </w:rPr>
        <w:t>Orion Pharma A/S</w:t>
      </w:r>
    </w:p>
    <w:p w14:paraId="72A95306" w14:textId="77777777" w:rsidR="00F61E6E" w:rsidRPr="00B24633" w:rsidRDefault="00F61E6E" w:rsidP="00B24633">
      <w:pPr>
        <w:tabs>
          <w:tab w:val="left" w:pos="851"/>
        </w:tabs>
        <w:ind w:left="851"/>
        <w:rPr>
          <w:bCs/>
          <w:sz w:val="24"/>
          <w:szCs w:val="24"/>
        </w:rPr>
      </w:pPr>
      <w:r w:rsidRPr="00B24633">
        <w:rPr>
          <w:bCs/>
          <w:sz w:val="24"/>
          <w:szCs w:val="24"/>
        </w:rPr>
        <w:t>Ørestads Boulevard 73</w:t>
      </w:r>
    </w:p>
    <w:p w14:paraId="64E2F27B" w14:textId="77777777" w:rsidR="00F61E6E" w:rsidRPr="00B24633" w:rsidRDefault="00F61E6E" w:rsidP="00B24633">
      <w:pPr>
        <w:tabs>
          <w:tab w:val="left" w:pos="851"/>
        </w:tabs>
        <w:ind w:left="851"/>
        <w:rPr>
          <w:sz w:val="24"/>
          <w:szCs w:val="24"/>
        </w:rPr>
      </w:pPr>
      <w:r w:rsidRPr="00B24633">
        <w:rPr>
          <w:bCs/>
          <w:sz w:val="24"/>
          <w:szCs w:val="24"/>
        </w:rPr>
        <w:t>2300 København S</w:t>
      </w:r>
    </w:p>
    <w:p w14:paraId="0F74F213" w14:textId="77777777" w:rsidR="00641C65" w:rsidRPr="00B24633" w:rsidRDefault="00641C65" w:rsidP="00B24633">
      <w:pPr>
        <w:tabs>
          <w:tab w:val="left" w:pos="851"/>
        </w:tabs>
        <w:ind w:left="851"/>
        <w:rPr>
          <w:sz w:val="24"/>
          <w:szCs w:val="24"/>
        </w:rPr>
      </w:pPr>
    </w:p>
    <w:p w14:paraId="14778EA8" w14:textId="77777777" w:rsidR="009260DE" w:rsidRPr="00B24633" w:rsidRDefault="009260DE" w:rsidP="00B24633">
      <w:pPr>
        <w:tabs>
          <w:tab w:val="left" w:pos="851"/>
        </w:tabs>
        <w:ind w:left="851" w:hanging="851"/>
        <w:rPr>
          <w:b/>
          <w:sz w:val="24"/>
          <w:szCs w:val="24"/>
        </w:rPr>
      </w:pPr>
      <w:r w:rsidRPr="00B24633">
        <w:rPr>
          <w:b/>
          <w:sz w:val="24"/>
          <w:szCs w:val="24"/>
        </w:rPr>
        <w:t>8.</w:t>
      </w:r>
      <w:r w:rsidRPr="00B24633">
        <w:rPr>
          <w:b/>
          <w:sz w:val="24"/>
          <w:szCs w:val="24"/>
        </w:rPr>
        <w:tab/>
        <w:t>MARKEDSFØRINGSTILLADELSESNUMMER (</w:t>
      </w:r>
      <w:r w:rsidR="00BF6243" w:rsidRPr="00B24633">
        <w:rPr>
          <w:b/>
          <w:sz w:val="24"/>
          <w:szCs w:val="24"/>
        </w:rPr>
        <w:t>-</w:t>
      </w:r>
      <w:r w:rsidRPr="00B24633">
        <w:rPr>
          <w:b/>
          <w:sz w:val="24"/>
          <w:szCs w:val="24"/>
        </w:rPr>
        <w:t>NUMRE)</w:t>
      </w:r>
    </w:p>
    <w:p w14:paraId="49A88F02" w14:textId="0391820B" w:rsidR="009260DE" w:rsidRPr="00B24633" w:rsidRDefault="00D219CC" w:rsidP="00B24633">
      <w:pPr>
        <w:tabs>
          <w:tab w:val="left" w:pos="851"/>
        </w:tabs>
        <w:ind w:left="851"/>
        <w:rPr>
          <w:sz w:val="24"/>
          <w:szCs w:val="24"/>
        </w:rPr>
      </w:pPr>
      <w:r w:rsidRPr="00B24633">
        <w:rPr>
          <w:sz w:val="24"/>
          <w:szCs w:val="24"/>
        </w:rPr>
        <w:t>15 mg:</w:t>
      </w:r>
      <w:r w:rsidR="00704C2A" w:rsidRPr="00B24633">
        <w:rPr>
          <w:sz w:val="24"/>
          <w:szCs w:val="24"/>
        </w:rPr>
        <w:t xml:space="preserve"> 65616</w:t>
      </w:r>
    </w:p>
    <w:p w14:paraId="239B3761" w14:textId="4970D2DE" w:rsidR="00D219CC" w:rsidRPr="00B24633" w:rsidRDefault="00D219CC" w:rsidP="00B24633">
      <w:pPr>
        <w:tabs>
          <w:tab w:val="left" w:pos="851"/>
        </w:tabs>
        <w:ind w:left="851"/>
        <w:rPr>
          <w:sz w:val="24"/>
          <w:szCs w:val="24"/>
        </w:rPr>
      </w:pPr>
      <w:r w:rsidRPr="00B24633">
        <w:rPr>
          <w:sz w:val="24"/>
          <w:szCs w:val="24"/>
        </w:rPr>
        <w:t>20 mg:</w:t>
      </w:r>
      <w:r w:rsidR="00704C2A" w:rsidRPr="00B24633">
        <w:rPr>
          <w:sz w:val="24"/>
          <w:szCs w:val="24"/>
        </w:rPr>
        <w:t xml:space="preserve"> 65617</w:t>
      </w:r>
    </w:p>
    <w:p w14:paraId="6283209B" w14:textId="77777777" w:rsidR="009260DE" w:rsidRPr="00B24633" w:rsidRDefault="009260DE" w:rsidP="00B24633">
      <w:pPr>
        <w:tabs>
          <w:tab w:val="left" w:pos="851"/>
        </w:tabs>
        <w:ind w:left="851"/>
        <w:jc w:val="both"/>
        <w:rPr>
          <w:sz w:val="24"/>
          <w:szCs w:val="24"/>
        </w:rPr>
      </w:pPr>
    </w:p>
    <w:p w14:paraId="5B86D531" w14:textId="77777777" w:rsidR="009260DE" w:rsidRPr="00B24633" w:rsidRDefault="009260DE" w:rsidP="00B24633">
      <w:pPr>
        <w:tabs>
          <w:tab w:val="left" w:pos="851"/>
        </w:tabs>
        <w:ind w:left="851" w:hanging="851"/>
        <w:rPr>
          <w:b/>
          <w:sz w:val="24"/>
          <w:szCs w:val="24"/>
        </w:rPr>
      </w:pPr>
      <w:r w:rsidRPr="00B24633">
        <w:rPr>
          <w:b/>
          <w:sz w:val="24"/>
          <w:szCs w:val="24"/>
        </w:rPr>
        <w:t>9.</w:t>
      </w:r>
      <w:r w:rsidRPr="00B24633">
        <w:rPr>
          <w:b/>
          <w:sz w:val="24"/>
          <w:szCs w:val="24"/>
        </w:rPr>
        <w:tab/>
        <w:t>DATO FOR FØRSTE MARKEDSFØRINGSTILLADELSE</w:t>
      </w:r>
    </w:p>
    <w:p w14:paraId="5EAD8E71" w14:textId="677AFACF" w:rsidR="009260DE" w:rsidRPr="00B24633" w:rsidRDefault="007F055A" w:rsidP="00B24633">
      <w:pPr>
        <w:tabs>
          <w:tab w:val="left" w:pos="851"/>
        </w:tabs>
        <w:ind w:left="851"/>
        <w:rPr>
          <w:sz w:val="24"/>
          <w:szCs w:val="24"/>
        </w:rPr>
      </w:pPr>
      <w:r>
        <w:rPr>
          <w:sz w:val="24"/>
          <w:szCs w:val="24"/>
        </w:rPr>
        <w:t>25. maj 2023</w:t>
      </w:r>
    </w:p>
    <w:p w14:paraId="433E767E" w14:textId="77777777" w:rsidR="009260DE" w:rsidRPr="00B24633" w:rsidRDefault="009260DE" w:rsidP="00B24633">
      <w:pPr>
        <w:tabs>
          <w:tab w:val="left" w:pos="851"/>
        </w:tabs>
        <w:ind w:left="851"/>
        <w:rPr>
          <w:sz w:val="24"/>
          <w:szCs w:val="24"/>
        </w:rPr>
      </w:pPr>
    </w:p>
    <w:p w14:paraId="4E5499C3" w14:textId="77777777" w:rsidR="009260DE" w:rsidRPr="00B24633" w:rsidRDefault="009260DE" w:rsidP="00B24633">
      <w:pPr>
        <w:tabs>
          <w:tab w:val="left" w:pos="851"/>
        </w:tabs>
        <w:ind w:left="851" w:hanging="851"/>
        <w:rPr>
          <w:b/>
          <w:sz w:val="24"/>
          <w:szCs w:val="24"/>
        </w:rPr>
      </w:pPr>
      <w:r w:rsidRPr="00B24633">
        <w:rPr>
          <w:b/>
          <w:sz w:val="24"/>
          <w:szCs w:val="24"/>
        </w:rPr>
        <w:t>10.</w:t>
      </w:r>
      <w:r w:rsidRPr="00B24633">
        <w:rPr>
          <w:b/>
          <w:sz w:val="24"/>
          <w:szCs w:val="24"/>
        </w:rPr>
        <w:tab/>
        <w:t>DATO FOR ÆNDRING AF TEKSTEN</w:t>
      </w:r>
    </w:p>
    <w:p w14:paraId="1E9BAD73" w14:textId="3F75574F" w:rsidR="009260DE" w:rsidRPr="00B24633" w:rsidRDefault="00236844" w:rsidP="00B24633">
      <w:pPr>
        <w:tabs>
          <w:tab w:val="left" w:pos="851"/>
        </w:tabs>
        <w:ind w:left="851"/>
        <w:rPr>
          <w:sz w:val="24"/>
          <w:szCs w:val="24"/>
        </w:rPr>
      </w:pPr>
      <w:r>
        <w:rPr>
          <w:sz w:val="24"/>
          <w:szCs w:val="24"/>
        </w:rPr>
        <w:t>2</w:t>
      </w:r>
      <w:r w:rsidR="00F82C99">
        <w:rPr>
          <w:sz w:val="24"/>
          <w:szCs w:val="24"/>
        </w:rPr>
        <w:t>3</w:t>
      </w:r>
      <w:bookmarkStart w:id="9" w:name="_GoBack"/>
      <w:bookmarkEnd w:id="9"/>
      <w:r>
        <w:rPr>
          <w:sz w:val="24"/>
          <w:szCs w:val="24"/>
        </w:rPr>
        <w:t>. april 2025</w:t>
      </w:r>
    </w:p>
    <w:sectPr w:rsidR="009260DE" w:rsidRPr="00B24633"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5D1946" w14:textId="77777777" w:rsidR="00430E67" w:rsidRDefault="00430E67">
      <w:r>
        <w:separator/>
      </w:r>
    </w:p>
  </w:endnote>
  <w:endnote w:type="continuationSeparator" w:id="0">
    <w:p w14:paraId="45B68B05" w14:textId="77777777" w:rsidR="00430E67" w:rsidRDefault="00430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8284EE" w14:textId="77777777" w:rsidR="00430E67" w:rsidRDefault="00430E67">
    <w:pPr>
      <w:pStyle w:val="Sidefod"/>
      <w:pBdr>
        <w:bottom w:val="single" w:sz="6" w:space="1" w:color="auto"/>
      </w:pBdr>
    </w:pPr>
  </w:p>
  <w:p w14:paraId="323270CF" w14:textId="77777777" w:rsidR="00430E67" w:rsidRDefault="00430E67" w:rsidP="00C42586">
    <w:pPr>
      <w:pStyle w:val="Sidefod"/>
      <w:tabs>
        <w:tab w:val="clear" w:pos="4819"/>
        <w:tab w:val="left" w:pos="8505"/>
      </w:tabs>
      <w:rPr>
        <w:i/>
        <w:sz w:val="18"/>
        <w:szCs w:val="18"/>
      </w:rPr>
    </w:pPr>
  </w:p>
  <w:p w14:paraId="541E8094" w14:textId="5C72292A" w:rsidR="00430E67" w:rsidRPr="00B373D7" w:rsidRDefault="00430E67"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Rivaroxaban Orion, filmovertrukne tabletter 15 mg og 20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C81108" w14:textId="77777777" w:rsidR="00430E67" w:rsidRDefault="00430E67">
      <w:r>
        <w:separator/>
      </w:r>
    </w:p>
  </w:footnote>
  <w:footnote w:type="continuationSeparator" w:id="0">
    <w:p w14:paraId="0D7F7A17" w14:textId="77777777" w:rsidR="00430E67" w:rsidRDefault="00430E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35073"/>
    <w:multiLevelType w:val="hybridMultilevel"/>
    <w:tmpl w:val="453200D6"/>
    <w:lvl w:ilvl="0" w:tplc="0406000F">
      <w:start w:val="1"/>
      <w:numFmt w:val="decimal"/>
      <w:lvlText w:val="%1."/>
      <w:lvlJc w:val="left"/>
      <w:pPr>
        <w:tabs>
          <w:tab w:val="num" w:pos="572"/>
        </w:tabs>
        <w:ind w:left="572" w:hanging="360"/>
      </w:pPr>
    </w:lvl>
    <w:lvl w:ilvl="1" w:tplc="04060019" w:tentative="1">
      <w:start w:val="1"/>
      <w:numFmt w:val="lowerLetter"/>
      <w:lvlText w:val="%2."/>
      <w:lvlJc w:val="left"/>
      <w:pPr>
        <w:tabs>
          <w:tab w:val="num" w:pos="1292"/>
        </w:tabs>
        <w:ind w:left="1292" w:hanging="360"/>
      </w:pPr>
    </w:lvl>
    <w:lvl w:ilvl="2" w:tplc="0406001B" w:tentative="1">
      <w:start w:val="1"/>
      <w:numFmt w:val="lowerRoman"/>
      <w:lvlText w:val="%3."/>
      <w:lvlJc w:val="right"/>
      <w:pPr>
        <w:tabs>
          <w:tab w:val="num" w:pos="2012"/>
        </w:tabs>
        <w:ind w:left="2012" w:hanging="180"/>
      </w:pPr>
    </w:lvl>
    <w:lvl w:ilvl="3" w:tplc="0406000F" w:tentative="1">
      <w:start w:val="1"/>
      <w:numFmt w:val="decimal"/>
      <w:lvlText w:val="%4."/>
      <w:lvlJc w:val="left"/>
      <w:pPr>
        <w:tabs>
          <w:tab w:val="num" w:pos="2732"/>
        </w:tabs>
        <w:ind w:left="2732" w:hanging="360"/>
      </w:pPr>
    </w:lvl>
    <w:lvl w:ilvl="4" w:tplc="04060019" w:tentative="1">
      <w:start w:val="1"/>
      <w:numFmt w:val="lowerLetter"/>
      <w:lvlText w:val="%5."/>
      <w:lvlJc w:val="left"/>
      <w:pPr>
        <w:tabs>
          <w:tab w:val="num" w:pos="3452"/>
        </w:tabs>
        <w:ind w:left="3452" w:hanging="360"/>
      </w:pPr>
    </w:lvl>
    <w:lvl w:ilvl="5" w:tplc="0406001B" w:tentative="1">
      <w:start w:val="1"/>
      <w:numFmt w:val="lowerRoman"/>
      <w:lvlText w:val="%6."/>
      <w:lvlJc w:val="right"/>
      <w:pPr>
        <w:tabs>
          <w:tab w:val="num" w:pos="4172"/>
        </w:tabs>
        <w:ind w:left="4172" w:hanging="180"/>
      </w:pPr>
    </w:lvl>
    <w:lvl w:ilvl="6" w:tplc="0406000F" w:tentative="1">
      <w:start w:val="1"/>
      <w:numFmt w:val="decimal"/>
      <w:lvlText w:val="%7."/>
      <w:lvlJc w:val="left"/>
      <w:pPr>
        <w:tabs>
          <w:tab w:val="num" w:pos="4892"/>
        </w:tabs>
        <w:ind w:left="4892" w:hanging="360"/>
      </w:pPr>
    </w:lvl>
    <w:lvl w:ilvl="7" w:tplc="04060019" w:tentative="1">
      <w:start w:val="1"/>
      <w:numFmt w:val="lowerLetter"/>
      <w:lvlText w:val="%8."/>
      <w:lvlJc w:val="left"/>
      <w:pPr>
        <w:tabs>
          <w:tab w:val="num" w:pos="5612"/>
        </w:tabs>
        <w:ind w:left="5612" w:hanging="360"/>
      </w:pPr>
    </w:lvl>
    <w:lvl w:ilvl="8" w:tplc="0406001B" w:tentative="1">
      <w:start w:val="1"/>
      <w:numFmt w:val="lowerRoman"/>
      <w:lvlText w:val="%9."/>
      <w:lvlJc w:val="right"/>
      <w:pPr>
        <w:tabs>
          <w:tab w:val="num" w:pos="6332"/>
        </w:tabs>
        <w:ind w:left="6332" w:hanging="180"/>
      </w:pPr>
    </w:lvl>
  </w:abstractNum>
  <w:abstractNum w:abstractNumId="1" w15:restartNumberingAfterBreak="0">
    <w:nsid w:val="07AE580F"/>
    <w:multiLevelType w:val="hybridMultilevel"/>
    <w:tmpl w:val="0BFAAFB2"/>
    <w:lvl w:ilvl="0" w:tplc="FFFFFFFF">
      <w:start w:val="1"/>
      <w:numFmt w:val="bullet"/>
      <w:lvlText w:val="-"/>
      <w:lvlJc w:val="left"/>
      <w:pPr>
        <w:ind w:left="861" w:hanging="360"/>
      </w:pPr>
    </w:lvl>
    <w:lvl w:ilvl="1" w:tplc="04090003" w:tentative="1">
      <w:start w:val="1"/>
      <w:numFmt w:val="bullet"/>
      <w:lvlText w:val="o"/>
      <w:lvlJc w:val="left"/>
      <w:pPr>
        <w:ind w:left="1581" w:hanging="360"/>
      </w:pPr>
      <w:rPr>
        <w:rFonts w:ascii="Courier New" w:hAnsi="Courier New" w:cs="Courier New" w:hint="default"/>
      </w:rPr>
    </w:lvl>
    <w:lvl w:ilvl="2" w:tplc="04090005" w:tentative="1">
      <w:start w:val="1"/>
      <w:numFmt w:val="bullet"/>
      <w:lvlText w:val=""/>
      <w:lvlJc w:val="left"/>
      <w:pPr>
        <w:ind w:left="2301" w:hanging="360"/>
      </w:pPr>
      <w:rPr>
        <w:rFonts w:ascii="Wingdings" w:hAnsi="Wingdings" w:hint="default"/>
      </w:rPr>
    </w:lvl>
    <w:lvl w:ilvl="3" w:tplc="04090001" w:tentative="1">
      <w:start w:val="1"/>
      <w:numFmt w:val="bullet"/>
      <w:lvlText w:val=""/>
      <w:lvlJc w:val="left"/>
      <w:pPr>
        <w:ind w:left="3021" w:hanging="360"/>
      </w:pPr>
      <w:rPr>
        <w:rFonts w:ascii="Symbol" w:hAnsi="Symbol" w:hint="default"/>
      </w:rPr>
    </w:lvl>
    <w:lvl w:ilvl="4" w:tplc="04090003" w:tentative="1">
      <w:start w:val="1"/>
      <w:numFmt w:val="bullet"/>
      <w:lvlText w:val="o"/>
      <w:lvlJc w:val="left"/>
      <w:pPr>
        <w:ind w:left="3741" w:hanging="360"/>
      </w:pPr>
      <w:rPr>
        <w:rFonts w:ascii="Courier New" w:hAnsi="Courier New" w:cs="Courier New" w:hint="default"/>
      </w:rPr>
    </w:lvl>
    <w:lvl w:ilvl="5" w:tplc="04090005" w:tentative="1">
      <w:start w:val="1"/>
      <w:numFmt w:val="bullet"/>
      <w:lvlText w:val=""/>
      <w:lvlJc w:val="left"/>
      <w:pPr>
        <w:ind w:left="4461" w:hanging="360"/>
      </w:pPr>
      <w:rPr>
        <w:rFonts w:ascii="Wingdings" w:hAnsi="Wingdings" w:hint="default"/>
      </w:rPr>
    </w:lvl>
    <w:lvl w:ilvl="6" w:tplc="04090001" w:tentative="1">
      <w:start w:val="1"/>
      <w:numFmt w:val="bullet"/>
      <w:lvlText w:val=""/>
      <w:lvlJc w:val="left"/>
      <w:pPr>
        <w:ind w:left="5181" w:hanging="360"/>
      </w:pPr>
      <w:rPr>
        <w:rFonts w:ascii="Symbol" w:hAnsi="Symbol" w:hint="default"/>
      </w:rPr>
    </w:lvl>
    <w:lvl w:ilvl="7" w:tplc="04090003" w:tentative="1">
      <w:start w:val="1"/>
      <w:numFmt w:val="bullet"/>
      <w:lvlText w:val="o"/>
      <w:lvlJc w:val="left"/>
      <w:pPr>
        <w:ind w:left="5901" w:hanging="360"/>
      </w:pPr>
      <w:rPr>
        <w:rFonts w:ascii="Courier New" w:hAnsi="Courier New" w:cs="Courier New" w:hint="default"/>
      </w:rPr>
    </w:lvl>
    <w:lvl w:ilvl="8" w:tplc="04090005" w:tentative="1">
      <w:start w:val="1"/>
      <w:numFmt w:val="bullet"/>
      <w:lvlText w:val=""/>
      <w:lvlJc w:val="left"/>
      <w:pPr>
        <w:ind w:left="6621" w:hanging="360"/>
      </w:pPr>
      <w:rPr>
        <w:rFonts w:ascii="Wingdings" w:hAnsi="Wingdings" w:hint="default"/>
      </w:rPr>
    </w:lvl>
  </w:abstractNum>
  <w:abstractNum w:abstractNumId="2" w15:restartNumberingAfterBreak="0">
    <w:nsid w:val="11023AE4"/>
    <w:multiLevelType w:val="hybridMultilevel"/>
    <w:tmpl w:val="F4B0CBDC"/>
    <w:lvl w:ilvl="0" w:tplc="569287E2">
      <w:numFmt w:val="bullet"/>
      <w:lvlText w:val="-"/>
      <w:lvlJc w:val="left"/>
      <w:pPr>
        <w:ind w:left="1419" w:hanging="562"/>
      </w:pPr>
      <w:rPr>
        <w:rFonts w:ascii="Times New Roman" w:eastAsia="Times New Roman" w:hAnsi="Times New Roman" w:cs="Times New Roman" w:hint="default"/>
        <w:w w:val="99"/>
        <w:sz w:val="22"/>
        <w:szCs w:val="22"/>
      </w:rPr>
    </w:lvl>
    <w:lvl w:ilvl="1" w:tplc="80FCAF3C">
      <w:numFmt w:val="bullet"/>
      <w:lvlText w:val="•"/>
      <w:lvlJc w:val="left"/>
      <w:pPr>
        <w:ind w:left="2358" w:hanging="562"/>
      </w:pPr>
      <w:rPr>
        <w:rFonts w:hint="default"/>
      </w:rPr>
    </w:lvl>
    <w:lvl w:ilvl="2" w:tplc="41A4969C">
      <w:numFmt w:val="bullet"/>
      <w:lvlText w:val="•"/>
      <w:lvlJc w:val="left"/>
      <w:pPr>
        <w:ind w:left="3297" w:hanging="562"/>
      </w:pPr>
      <w:rPr>
        <w:rFonts w:hint="default"/>
      </w:rPr>
    </w:lvl>
    <w:lvl w:ilvl="3" w:tplc="5B846670">
      <w:numFmt w:val="bullet"/>
      <w:lvlText w:val="•"/>
      <w:lvlJc w:val="left"/>
      <w:pPr>
        <w:ind w:left="4236" w:hanging="562"/>
      </w:pPr>
      <w:rPr>
        <w:rFonts w:hint="default"/>
      </w:rPr>
    </w:lvl>
    <w:lvl w:ilvl="4" w:tplc="56C8A34A">
      <w:numFmt w:val="bullet"/>
      <w:lvlText w:val="•"/>
      <w:lvlJc w:val="left"/>
      <w:pPr>
        <w:ind w:left="5175" w:hanging="562"/>
      </w:pPr>
      <w:rPr>
        <w:rFonts w:hint="default"/>
      </w:rPr>
    </w:lvl>
    <w:lvl w:ilvl="5" w:tplc="F5DC8D4A">
      <w:numFmt w:val="bullet"/>
      <w:lvlText w:val="•"/>
      <w:lvlJc w:val="left"/>
      <w:pPr>
        <w:ind w:left="6113" w:hanging="562"/>
      </w:pPr>
      <w:rPr>
        <w:rFonts w:hint="default"/>
      </w:rPr>
    </w:lvl>
    <w:lvl w:ilvl="6" w:tplc="DD04725A">
      <w:numFmt w:val="bullet"/>
      <w:lvlText w:val="•"/>
      <w:lvlJc w:val="left"/>
      <w:pPr>
        <w:ind w:left="7052" w:hanging="562"/>
      </w:pPr>
      <w:rPr>
        <w:rFonts w:hint="default"/>
      </w:rPr>
    </w:lvl>
    <w:lvl w:ilvl="7" w:tplc="438A5076">
      <w:numFmt w:val="bullet"/>
      <w:lvlText w:val="•"/>
      <w:lvlJc w:val="left"/>
      <w:pPr>
        <w:ind w:left="7991" w:hanging="562"/>
      </w:pPr>
      <w:rPr>
        <w:rFonts w:hint="default"/>
      </w:rPr>
    </w:lvl>
    <w:lvl w:ilvl="8" w:tplc="3BE42552">
      <w:numFmt w:val="bullet"/>
      <w:lvlText w:val="•"/>
      <w:lvlJc w:val="left"/>
      <w:pPr>
        <w:ind w:left="8930" w:hanging="562"/>
      </w:pPr>
      <w:rPr>
        <w:rFonts w:hint="default"/>
      </w:rPr>
    </w:lvl>
  </w:abstractNum>
  <w:abstractNum w:abstractNumId="3" w15:restartNumberingAfterBreak="0">
    <w:nsid w:val="11300D05"/>
    <w:multiLevelType w:val="multilevel"/>
    <w:tmpl w:val="47D2992E"/>
    <w:lvl w:ilvl="0">
      <w:start w:val="1"/>
      <w:numFmt w:val="decimal"/>
      <w:lvlText w:val="%1."/>
      <w:lvlJc w:val="left"/>
      <w:pPr>
        <w:ind w:left="1425" w:hanging="568"/>
      </w:pPr>
      <w:rPr>
        <w:rFonts w:ascii="Times New Roman" w:eastAsia="Times New Roman" w:hAnsi="Times New Roman" w:cs="Times New Roman" w:hint="default"/>
        <w:b/>
        <w:bCs/>
        <w:w w:val="99"/>
        <w:sz w:val="22"/>
        <w:szCs w:val="22"/>
      </w:rPr>
    </w:lvl>
    <w:lvl w:ilvl="1">
      <w:start w:val="1"/>
      <w:numFmt w:val="decimal"/>
      <w:lvlText w:val="%1.%2"/>
      <w:lvlJc w:val="left"/>
      <w:pPr>
        <w:ind w:left="1424" w:hanging="568"/>
      </w:pPr>
      <w:rPr>
        <w:rFonts w:ascii="Times New Roman" w:eastAsia="Times New Roman" w:hAnsi="Times New Roman" w:cs="Times New Roman" w:hint="default"/>
        <w:b/>
        <w:bCs/>
        <w:w w:val="99"/>
        <w:sz w:val="22"/>
        <w:szCs w:val="22"/>
      </w:rPr>
    </w:lvl>
    <w:lvl w:ilvl="2">
      <w:start w:val="1"/>
      <w:numFmt w:val="lowerLetter"/>
      <w:lvlText w:val="%3)"/>
      <w:lvlJc w:val="left"/>
      <w:pPr>
        <w:ind w:left="1686" w:hanging="720"/>
      </w:pPr>
      <w:rPr>
        <w:rFonts w:ascii="Times New Roman" w:eastAsia="Times New Roman" w:hAnsi="Times New Roman" w:cs="Times New Roman" w:hint="default"/>
        <w:spacing w:val="-1"/>
        <w:w w:val="99"/>
        <w:sz w:val="22"/>
        <w:szCs w:val="22"/>
      </w:rPr>
    </w:lvl>
    <w:lvl w:ilvl="3">
      <w:numFmt w:val="bullet"/>
      <w:lvlText w:val="•"/>
      <w:lvlJc w:val="left"/>
      <w:pPr>
        <w:ind w:left="3708" w:hanging="720"/>
      </w:pPr>
      <w:rPr>
        <w:rFonts w:hint="default"/>
      </w:rPr>
    </w:lvl>
    <w:lvl w:ilvl="4">
      <w:numFmt w:val="bullet"/>
      <w:lvlText w:val="•"/>
      <w:lvlJc w:val="left"/>
      <w:pPr>
        <w:ind w:left="4722" w:hanging="720"/>
      </w:pPr>
      <w:rPr>
        <w:rFonts w:hint="default"/>
      </w:rPr>
    </w:lvl>
    <w:lvl w:ilvl="5">
      <w:numFmt w:val="bullet"/>
      <w:lvlText w:val="•"/>
      <w:lvlJc w:val="left"/>
      <w:pPr>
        <w:ind w:left="5736" w:hanging="720"/>
      </w:pPr>
      <w:rPr>
        <w:rFonts w:hint="default"/>
      </w:rPr>
    </w:lvl>
    <w:lvl w:ilvl="6">
      <w:numFmt w:val="bullet"/>
      <w:lvlText w:val="•"/>
      <w:lvlJc w:val="left"/>
      <w:pPr>
        <w:ind w:left="6750" w:hanging="720"/>
      </w:pPr>
      <w:rPr>
        <w:rFonts w:hint="default"/>
      </w:rPr>
    </w:lvl>
    <w:lvl w:ilvl="7">
      <w:numFmt w:val="bullet"/>
      <w:lvlText w:val="•"/>
      <w:lvlJc w:val="left"/>
      <w:pPr>
        <w:ind w:left="7765" w:hanging="720"/>
      </w:pPr>
      <w:rPr>
        <w:rFonts w:hint="default"/>
      </w:rPr>
    </w:lvl>
    <w:lvl w:ilvl="8">
      <w:numFmt w:val="bullet"/>
      <w:lvlText w:val="•"/>
      <w:lvlJc w:val="left"/>
      <w:pPr>
        <w:ind w:left="8779" w:hanging="720"/>
      </w:pPr>
      <w:rPr>
        <w:rFonts w:hint="default"/>
      </w:rPr>
    </w:lvl>
  </w:abstractNum>
  <w:abstractNum w:abstractNumId="4" w15:restartNumberingAfterBreak="0">
    <w:nsid w:val="14815CEF"/>
    <w:multiLevelType w:val="hybridMultilevel"/>
    <w:tmpl w:val="2D00A1C6"/>
    <w:lvl w:ilvl="0" w:tplc="C1AC710A">
      <w:numFmt w:val="bullet"/>
      <w:lvlText w:val="-"/>
      <w:lvlJc w:val="left"/>
      <w:pPr>
        <w:ind w:left="1425" w:hanging="568"/>
      </w:pPr>
      <w:rPr>
        <w:rFonts w:ascii="Arial" w:eastAsia="Arial" w:hAnsi="Arial" w:cs="Arial" w:hint="default"/>
        <w:w w:val="99"/>
        <w:sz w:val="22"/>
        <w:szCs w:val="22"/>
      </w:rPr>
    </w:lvl>
    <w:lvl w:ilvl="1" w:tplc="20FEFF5E">
      <w:numFmt w:val="bullet"/>
      <w:lvlText w:val="•"/>
      <w:lvlJc w:val="left"/>
      <w:pPr>
        <w:ind w:left="2358" w:hanging="568"/>
      </w:pPr>
      <w:rPr>
        <w:rFonts w:hint="default"/>
      </w:rPr>
    </w:lvl>
    <w:lvl w:ilvl="2" w:tplc="6F242030">
      <w:numFmt w:val="bullet"/>
      <w:lvlText w:val="•"/>
      <w:lvlJc w:val="left"/>
      <w:pPr>
        <w:ind w:left="3297" w:hanging="568"/>
      </w:pPr>
      <w:rPr>
        <w:rFonts w:hint="default"/>
      </w:rPr>
    </w:lvl>
    <w:lvl w:ilvl="3" w:tplc="29AACE52">
      <w:numFmt w:val="bullet"/>
      <w:lvlText w:val="•"/>
      <w:lvlJc w:val="left"/>
      <w:pPr>
        <w:ind w:left="4236" w:hanging="568"/>
      </w:pPr>
      <w:rPr>
        <w:rFonts w:hint="default"/>
      </w:rPr>
    </w:lvl>
    <w:lvl w:ilvl="4" w:tplc="DFCAF68C">
      <w:numFmt w:val="bullet"/>
      <w:lvlText w:val="•"/>
      <w:lvlJc w:val="left"/>
      <w:pPr>
        <w:ind w:left="5175" w:hanging="568"/>
      </w:pPr>
      <w:rPr>
        <w:rFonts w:hint="default"/>
      </w:rPr>
    </w:lvl>
    <w:lvl w:ilvl="5" w:tplc="14B85A48">
      <w:numFmt w:val="bullet"/>
      <w:lvlText w:val="•"/>
      <w:lvlJc w:val="left"/>
      <w:pPr>
        <w:ind w:left="6113" w:hanging="568"/>
      </w:pPr>
      <w:rPr>
        <w:rFonts w:hint="default"/>
      </w:rPr>
    </w:lvl>
    <w:lvl w:ilvl="6" w:tplc="073A9E30">
      <w:numFmt w:val="bullet"/>
      <w:lvlText w:val="•"/>
      <w:lvlJc w:val="left"/>
      <w:pPr>
        <w:ind w:left="7052" w:hanging="568"/>
      </w:pPr>
      <w:rPr>
        <w:rFonts w:hint="default"/>
      </w:rPr>
    </w:lvl>
    <w:lvl w:ilvl="7" w:tplc="0CA680A4">
      <w:numFmt w:val="bullet"/>
      <w:lvlText w:val="•"/>
      <w:lvlJc w:val="left"/>
      <w:pPr>
        <w:ind w:left="7991" w:hanging="568"/>
      </w:pPr>
      <w:rPr>
        <w:rFonts w:hint="default"/>
      </w:rPr>
    </w:lvl>
    <w:lvl w:ilvl="8" w:tplc="75FA6F58">
      <w:numFmt w:val="bullet"/>
      <w:lvlText w:val="•"/>
      <w:lvlJc w:val="left"/>
      <w:pPr>
        <w:ind w:left="8930" w:hanging="568"/>
      </w:pPr>
      <w:rPr>
        <w:rFonts w:hint="default"/>
      </w:rPr>
    </w:lvl>
  </w:abstractNum>
  <w:abstractNum w:abstractNumId="5"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248F43F8"/>
    <w:multiLevelType w:val="multilevel"/>
    <w:tmpl w:val="7D0A47EE"/>
    <w:lvl w:ilvl="0">
      <w:start w:val="8"/>
      <w:numFmt w:val="decimal"/>
      <w:lvlText w:val="%1."/>
      <w:lvlJc w:val="left"/>
      <w:pPr>
        <w:tabs>
          <w:tab w:val="num" w:pos="360"/>
        </w:tabs>
        <w:ind w:left="360" w:hanging="360"/>
      </w:pPr>
      <w:rPr>
        <w:rFonts w:hint="default"/>
        <w:b w:val="0"/>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24FA552F"/>
    <w:multiLevelType w:val="hybridMultilevel"/>
    <w:tmpl w:val="D20E1EE0"/>
    <w:lvl w:ilvl="0" w:tplc="F8349EA0">
      <w:start w:val="3"/>
      <w:numFmt w:val="bullet"/>
      <w:lvlText w:val="-"/>
      <w:lvlJc w:val="left"/>
      <w:pPr>
        <w:ind w:left="1211" w:hanging="360"/>
      </w:pPr>
      <w:rPr>
        <w:rFonts w:ascii="Times New Roman" w:eastAsia="Times New Roman" w:hAnsi="Times New Roman" w:cs="Times New Roman" w:hint="default"/>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8" w15:restartNumberingAfterBreak="0">
    <w:nsid w:val="287F5810"/>
    <w:multiLevelType w:val="hybridMultilevel"/>
    <w:tmpl w:val="43AA3986"/>
    <w:lvl w:ilvl="0" w:tplc="24EE207C">
      <w:numFmt w:val="bullet"/>
      <w:lvlText w:val="*"/>
      <w:lvlJc w:val="left"/>
      <w:pPr>
        <w:ind w:left="892" w:hanging="357"/>
      </w:pPr>
      <w:rPr>
        <w:rFonts w:ascii="Times New Roman" w:eastAsia="Times New Roman" w:hAnsi="Times New Roman" w:cs="Times New Roman" w:hint="default"/>
        <w:w w:val="99"/>
        <w:sz w:val="22"/>
        <w:szCs w:val="22"/>
      </w:rPr>
    </w:lvl>
    <w:lvl w:ilvl="1" w:tplc="92D0A906">
      <w:numFmt w:val="bullet"/>
      <w:lvlText w:val=""/>
      <w:lvlJc w:val="left"/>
      <w:pPr>
        <w:ind w:left="1425" w:hanging="568"/>
      </w:pPr>
      <w:rPr>
        <w:rFonts w:ascii="Symbol" w:eastAsia="Symbol" w:hAnsi="Symbol" w:cs="Symbol" w:hint="default"/>
        <w:w w:val="99"/>
        <w:sz w:val="22"/>
        <w:szCs w:val="22"/>
      </w:rPr>
    </w:lvl>
    <w:lvl w:ilvl="2" w:tplc="D5FEFCE8">
      <w:numFmt w:val="bullet"/>
      <w:lvlText w:val=""/>
      <w:lvlJc w:val="left"/>
      <w:pPr>
        <w:ind w:left="1578" w:hanging="360"/>
      </w:pPr>
      <w:rPr>
        <w:rFonts w:ascii="Symbol" w:eastAsia="Symbol" w:hAnsi="Symbol" w:cs="Symbol" w:hint="default"/>
        <w:w w:val="100"/>
        <w:sz w:val="20"/>
        <w:szCs w:val="20"/>
      </w:rPr>
    </w:lvl>
    <w:lvl w:ilvl="3" w:tplc="E416C414">
      <w:numFmt w:val="bullet"/>
      <w:lvlText w:val=""/>
      <w:lvlJc w:val="left"/>
      <w:pPr>
        <w:ind w:left="2276" w:hanging="360"/>
      </w:pPr>
      <w:rPr>
        <w:rFonts w:ascii="Symbol" w:eastAsia="Symbol" w:hAnsi="Symbol" w:cs="Symbol" w:hint="default"/>
        <w:w w:val="100"/>
        <w:sz w:val="20"/>
        <w:szCs w:val="20"/>
      </w:rPr>
    </w:lvl>
    <w:lvl w:ilvl="4" w:tplc="E05AA296">
      <w:numFmt w:val="bullet"/>
      <w:lvlText w:val="•"/>
      <w:lvlJc w:val="left"/>
      <w:pPr>
        <w:ind w:left="2280" w:hanging="360"/>
      </w:pPr>
      <w:rPr>
        <w:rFonts w:hint="default"/>
      </w:rPr>
    </w:lvl>
    <w:lvl w:ilvl="5" w:tplc="FB5235D0">
      <w:numFmt w:val="bullet"/>
      <w:lvlText w:val="•"/>
      <w:lvlJc w:val="left"/>
      <w:pPr>
        <w:ind w:left="2300" w:hanging="360"/>
      </w:pPr>
      <w:rPr>
        <w:rFonts w:hint="default"/>
      </w:rPr>
    </w:lvl>
    <w:lvl w:ilvl="6" w:tplc="D7B02C48">
      <w:numFmt w:val="bullet"/>
      <w:lvlText w:val="•"/>
      <w:lvlJc w:val="left"/>
      <w:pPr>
        <w:ind w:left="4001" w:hanging="360"/>
      </w:pPr>
      <w:rPr>
        <w:rFonts w:hint="default"/>
      </w:rPr>
    </w:lvl>
    <w:lvl w:ilvl="7" w:tplc="23667222">
      <w:numFmt w:val="bullet"/>
      <w:lvlText w:val="•"/>
      <w:lvlJc w:val="left"/>
      <w:pPr>
        <w:ind w:left="5703" w:hanging="360"/>
      </w:pPr>
      <w:rPr>
        <w:rFonts w:hint="default"/>
      </w:rPr>
    </w:lvl>
    <w:lvl w:ilvl="8" w:tplc="E0E2DCB4">
      <w:numFmt w:val="bullet"/>
      <w:lvlText w:val="•"/>
      <w:lvlJc w:val="left"/>
      <w:pPr>
        <w:ind w:left="7404" w:hanging="360"/>
      </w:pPr>
      <w:rPr>
        <w:rFonts w:hint="default"/>
      </w:rPr>
    </w:lvl>
  </w:abstractNum>
  <w:abstractNum w:abstractNumId="9" w15:restartNumberingAfterBreak="0">
    <w:nsid w:val="31D0383E"/>
    <w:multiLevelType w:val="hybridMultilevel"/>
    <w:tmpl w:val="D8FE1246"/>
    <w:lvl w:ilvl="0" w:tplc="FFFFFFFF">
      <w:start w:val="1"/>
      <w:numFmt w:val="bullet"/>
      <w:lvlText w:val="-"/>
      <w:lvlJc w:val="left"/>
      <w:pPr>
        <w:ind w:left="502" w:hanging="360"/>
      </w:pPr>
    </w:lvl>
    <w:lvl w:ilvl="1" w:tplc="04090003">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0"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12"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13" w15:restartNumberingAfterBreak="0">
    <w:nsid w:val="45CE2AD0"/>
    <w:multiLevelType w:val="hybridMultilevel"/>
    <w:tmpl w:val="37263560"/>
    <w:lvl w:ilvl="0" w:tplc="158A9B96">
      <w:start w:val="1"/>
      <w:numFmt w:val="lowerLetter"/>
      <w:lvlText w:val="%1)"/>
      <w:lvlJc w:val="left"/>
      <w:pPr>
        <w:ind w:left="1686" w:hanging="720"/>
      </w:pPr>
      <w:rPr>
        <w:rFonts w:ascii="Times New Roman" w:eastAsia="Times New Roman" w:hAnsi="Times New Roman" w:cs="Times New Roman" w:hint="default"/>
        <w:spacing w:val="-1"/>
        <w:w w:val="99"/>
        <w:sz w:val="22"/>
        <w:szCs w:val="22"/>
      </w:rPr>
    </w:lvl>
    <w:lvl w:ilvl="1" w:tplc="42784B36">
      <w:numFmt w:val="bullet"/>
      <w:lvlText w:val="•"/>
      <w:lvlJc w:val="left"/>
      <w:pPr>
        <w:ind w:left="2592" w:hanging="720"/>
      </w:pPr>
      <w:rPr>
        <w:rFonts w:hint="default"/>
      </w:rPr>
    </w:lvl>
    <w:lvl w:ilvl="2" w:tplc="D086517C">
      <w:numFmt w:val="bullet"/>
      <w:lvlText w:val="•"/>
      <w:lvlJc w:val="left"/>
      <w:pPr>
        <w:ind w:left="3505" w:hanging="720"/>
      </w:pPr>
      <w:rPr>
        <w:rFonts w:hint="default"/>
      </w:rPr>
    </w:lvl>
    <w:lvl w:ilvl="3" w:tplc="9A461930">
      <w:numFmt w:val="bullet"/>
      <w:lvlText w:val="•"/>
      <w:lvlJc w:val="left"/>
      <w:pPr>
        <w:ind w:left="4418" w:hanging="720"/>
      </w:pPr>
      <w:rPr>
        <w:rFonts w:hint="default"/>
      </w:rPr>
    </w:lvl>
    <w:lvl w:ilvl="4" w:tplc="A3A8D19C">
      <w:numFmt w:val="bullet"/>
      <w:lvlText w:val="•"/>
      <w:lvlJc w:val="left"/>
      <w:pPr>
        <w:ind w:left="5331" w:hanging="720"/>
      </w:pPr>
      <w:rPr>
        <w:rFonts w:hint="default"/>
      </w:rPr>
    </w:lvl>
    <w:lvl w:ilvl="5" w:tplc="D4CE5BDA">
      <w:numFmt w:val="bullet"/>
      <w:lvlText w:val="•"/>
      <w:lvlJc w:val="left"/>
      <w:pPr>
        <w:ind w:left="6243" w:hanging="720"/>
      </w:pPr>
      <w:rPr>
        <w:rFonts w:hint="default"/>
      </w:rPr>
    </w:lvl>
    <w:lvl w:ilvl="6" w:tplc="1D1C1DC2">
      <w:numFmt w:val="bullet"/>
      <w:lvlText w:val="•"/>
      <w:lvlJc w:val="left"/>
      <w:pPr>
        <w:ind w:left="7156" w:hanging="720"/>
      </w:pPr>
      <w:rPr>
        <w:rFonts w:hint="default"/>
      </w:rPr>
    </w:lvl>
    <w:lvl w:ilvl="7" w:tplc="FBFEF90A">
      <w:numFmt w:val="bullet"/>
      <w:lvlText w:val="•"/>
      <w:lvlJc w:val="left"/>
      <w:pPr>
        <w:ind w:left="8069" w:hanging="720"/>
      </w:pPr>
      <w:rPr>
        <w:rFonts w:hint="default"/>
      </w:rPr>
    </w:lvl>
    <w:lvl w:ilvl="8" w:tplc="888260AA">
      <w:numFmt w:val="bullet"/>
      <w:lvlText w:val="•"/>
      <w:lvlJc w:val="left"/>
      <w:pPr>
        <w:ind w:left="8982" w:hanging="720"/>
      </w:pPr>
      <w:rPr>
        <w:rFonts w:hint="default"/>
      </w:rPr>
    </w:lvl>
  </w:abstractNum>
  <w:abstractNum w:abstractNumId="14" w15:restartNumberingAfterBreak="0">
    <w:nsid w:val="4A3064B0"/>
    <w:multiLevelType w:val="hybridMultilevel"/>
    <w:tmpl w:val="171AA2E4"/>
    <w:lvl w:ilvl="0" w:tplc="04090019">
      <w:start w:val="1"/>
      <w:numFmt w:val="lowerLetter"/>
      <w:lvlText w:val="%1."/>
      <w:lvlJc w:val="left"/>
      <w:pPr>
        <w:ind w:left="1211" w:hanging="360"/>
      </w:p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15" w15:restartNumberingAfterBreak="0">
    <w:nsid w:val="4F790938"/>
    <w:multiLevelType w:val="hybridMultilevel"/>
    <w:tmpl w:val="BC62AC06"/>
    <w:lvl w:ilvl="0" w:tplc="12DE5036">
      <w:numFmt w:val="bullet"/>
      <w:lvlText w:val="-"/>
      <w:lvlJc w:val="left"/>
      <w:pPr>
        <w:ind w:left="720" w:hanging="360"/>
      </w:pPr>
      <w:rPr>
        <w:rFonts w:ascii="Times New Roman" w:eastAsia="Times New Roman" w:hAnsi="Times New Roman"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53372DD4"/>
    <w:multiLevelType w:val="hybridMultilevel"/>
    <w:tmpl w:val="B838B30C"/>
    <w:lvl w:ilvl="0" w:tplc="436C16C2">
      <w:start w:val="1"/>
      <w:numFmt w:val="lowerLetter"/>
      <w:lvlText w:val="%1)"/>
      <w:lvlJc w:val="left"/>
      <w:pPr>
        <w:ind w:left="1218" w:hanging="360"/>
      </w:pPr>
      <w:rPr>
        <w:rFonts w:ascii="Times New Roman" w:eastAsia="Times New Roman" w:hAnsi="Times New Roman" w:cs="Times New Roman" w:hint="default"/>
        <w:spacing w:val="-1"/>
        <w:w w:val="99"/>
        <w:sz w:val="22"/>
        <w:szCs w:val="22"/>
      </w:rPr>
    </w:lvl>
    <w:lvl w:ilvl="1" w:tplc="79F05520">
      <w:numFmt w:val="bullet"/>
      <w:lvlText w:val="•"/>
      <w:lvlJc w:val="left"/>
      <w:pPr>
        <w:ind w:left="2178" w:hanging="360"/>
      </w:pPr>
      <w:rPr>
        <w:rFonts w:hint="default"/>
      </w:rPr>
    </w:lvl>
    <w:lvl w:ilvl="2" w:tplc="1E424110">
      <w:numFmt w:val="bullet"/>
      <w:lvlText w:val="•"/>
      <w:lvlJc w:val="left"/>
      <w:pPr>
        <w:ind w:left="3137" w:hanging="360"/>
      </w:pPr>
      <w:rPr>
        <w:rFonts w:hint="default"/>
      </w:rPr>
    </w:lvl>
    <w:lvl w:ilvl="3" w:tplc="77903EE8">
      <w:numFmt w:val="bullet"/>
      <w:lvlText w:val="•"/>
      <w:lvlJc w:val="left"/>
      <w:pPr>
        <w:ind w:left="4096" w:hanging="360"/>
      </w:pPr>
      <w:rPr>
        <w:rFonts w:hint="default"/>
      </w:rPr>
    </w:lvl>
    <w:lvl w:ilvl="4" w:tplc="D1EE3196">
      <w:numFmt w:val="bullet"/>
      <w:lvlText w:val="•"/>
      <w:lvlJc w:val="left"/>
      <w:pPr>
        <w:ind w:left="5055" w:hanging="360"/>
      </w:pPr>
      <w:rPr>
        <w:rFonts w:hint="default"/>
      </w:rPr>
    </w:lvl>
    <w:lvl w:ilvl="5" w:tplc="B1441FC6">
      <w:numFmt w:val="bullet"/>
      <w:lvlText w:val="•"/>
      <w:lvlJc w:val="left"/>
      <w:pPr>
        <w:ind w:left="6013" w:hanging="360"/>
      </w:pPr>
      <w:rPr>
        <w:rFonts w:hint="default"/>
      </w:rPr>
    </w:lvl>
    <w:lvl w:ilvl="6" w:tplc="47A0579E">
      <w:numFmt w:val="bullet"/>
      <w:lvlText w:val="•"/>
      <w:lvlJc w:val="left"/>
      <w:pPr>
        <w:ind w:left="6972" w:hanging="360"/>
      </w:pPr>
      <w:rPr>
        <w:rFonts w:hint="default"/>
      </w:rPr>
    </w:lvl>
    <w:lvl w:ilvl="7" w:tplc="AAC60D3A">
      <w:numFmt w:val="bullet"/>
      <w:lvlText w:val="•"/>
      <w:lvlJc w:val="left"/>
      <w:pPr>
        <w:ind w:left="7931" w:hanging="360"/>
      </w:pPr>
      <w:rPr>
        <w:rFonts w:hint="default"/>
      </w:rPr>
    </w:lvl>
    <w:lvl w:ilvl="8" w:tplc="C8E6B8FA">
      <w:numFmt w:val="bullet"/>
      <w:lvlText w:val="•"/>
      <w:lvlJc w:val="left"/>
      <w:pPr>
        <w:ind w:left="8890" w:hanging="360"/>
      </w:pPr>
      <w:rPr>
        <w:rFonts w:hint="default"/>
      </w:rPr>
    </w:lvl>
  </w:abstractNum>
  <w:abstractNum w:abstractNumId="1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8" w15:restartNumberingAfterBreak="0">
    <w:nsid w:val="56C20D60"/>
    <w:multiLevelType w:val="hybridMultilevel"/>
    <w:tmpl w:val="AE0A4572"/>
    <w:lvl w:ilvl="0" w:tplc="B7F84A88">
      <w:numFmt w:val="bullet"/>
      <w:lvlText w:val="*"/>
      <w:lvlJc w:val="left"/>
      <w:pPr>
        <w:ind w:left="1021" w:hanging="721"/>
      </w:pPr>
      <w:rPr>
        <w:rFonts w:ascii="Times New Roman" w:eastAsia="Times New Roman" w:hAnsi="Times New Roman" w:cs="Times New Roman" w:hint="default"/>
        <w:w w:val="99"/>
        <w:sz w:val="22"/>
        <w:szCs w:val="22"/>
      </w:rPr>
    </w:lvl>
    <w:lvl w:ilvl="1" w:tplc="B1AA6B5A">
      <w:numFmt w:val="bullet"/>
      <w:lvlText w:val="•"/>
      <w:lvlJc w:val="left"/>
      <w:pPr>
        <w:ind w:left="1998" w:hanging="721"/>
      </w:pPr>
      <w:rPr>
        <w:rFonts w:hint="default"/>
      </w:rPr>
    </w:lvl>
    <w:lvl w:ilvl="2" w:tplc="BBD4305A">
      <w:numFmt w:val="bullet"/>
      <w:lvlText w:val="•"/>
      <w:lvlJc w:val="left"/>
      <w:pPr>
        <w:ind w:left="2977" w:hanging="721"/>
      </w:pPr>
      <w:rPr>
        <w:rFonts w:hint="default"/>
      </w:rPr>
    </w:lvl>
    <w:lvl w:ilvl="3" w:tplc="6066C148">
      <w:numFmt w:val="bullet"/>
      <w:lvlText w:val="•"/>
      <w:lvlJc w:val="left"/>
      <w:pPr>
        <w:ind w:left="3956" w:hanging="721"/>
      </w:pPr>
      <w:rPr>
        <w:rFonts w:hint="default"/>
      </w:rPr>
    </w:lvl>
    <w:lvl w:ilvl="4" w:tplc="818C75F4">
      <w:numFmt w:val="bullet"/>
      <w:lvlText w:val="•"/>
      <w:lvlJc w:val="left"/>
      <w:pPr>
        <w:ind w:left="4935" w:hanging="721"/>
      </w:pPr>
      <w:rPr>
        <w:rFonts w:hint="default"/>
      </w:rPr>
    </w:lvl>
    <w:lvl w:ilvl="5" w:tplc="84DA0FF2">
      <w:numFmt w:val="bullet"/>
      <w:lvlText w:val="•"/>
      <w:lvlJc w:val="left"/>
      <w:pPr>
        <w:ind w:left="5913" w:hanging="721"/>
      </w:pPr>
      <w:rPr>
        <w:rFonts w:hint="default"/>
      </w:rPr>
    </w:lvl>
    <w:lvl w:ilvl="6" w:tplc="0E3ED56A">
      <w:numFmt w:val="bullet"/>
      <w:lvlText w:val="•"/>
      <w:lvlJc w:val="left"/>
      <w:pPr>
        <w:ind w:left="6892" w:hanging="721"/>
      </w:pPr>
      <w:rPr>
        <w:rFonts w:hint="default"/>
      </w:rPr>
    </w:lvl>
    <w:lvl w:ilvl="7" w:tplc="D32603D6">
      <w:numFmt w:val="bullet"/>
      <w:lvlText w:val="•"/>
      <w:lvlJc w:val="left"/>
      <w:pPr>
        <w:ind w:left="7871" w:hanging="721"/>
      </w:pPr>
      <w:rPr>
        <w:rFonts w:hint="default"/>
      </w:rPr>
    </w:lvl>
    <w:lvl w:ilvl="8" w:tplc="9678F3F0">
      <w:numFmt w:val="bullet"/>
      <w:lvlText w:val="•"/>
      <w:lvlJc w:val="left"/>
      <w:pPr>
        <w:ind w:left="8850" w:hanging="721"/>
      </w:pPr>
      <w:rPr>
        <w:rFonts w:hint="default"/>
      </w:rPr>
    </w:lvl>
  </w:abstractNum>
  <w:abstractNum w:abstractNumId="19" w15:restartNumberingAfterBreak="0">
    <w:nsid w:val="56CC0716"/>
    <w:multiLevelType w:val="hybridMultilevel"/>
    <w:tmpl w:val="2F10C4D4"/>
    <w:lvl w:ilvl="0" w:tplc="71B0EBCA">
      <w:start w:val="1"/>
      <w:numFmt w:val="lowerLetter"/>
      <w:lvlText w:val="%1)"/>
      <w:lvlJc w:val="left"/>
      <w:pPr>
        <w:ind w:left="1748" w:hanging="783"/>
      </w:pPr>
      <w:rPr>
        <w:rFonts w:ascii="Times New Roman" w:eastAsia="Times New Roman" w:hAnsi="Times New Roman" w:cs="Times New Roman" w:hint="default"/>
        <w:spacing w:val="-1"/>
        <w:w w:val="99"/>
        <w:sz w:val="22"/>
        <w:szCs w:val="22"/>
      </w:rPr>
    </w:lvl>
    <w:lvl w:ilvl="1" w:tplc="58B0F22E">
      <w:numFmt w:val="bullet"/>
      <w:lvlText w:val="•"/>
      <w:lvlJc w:val="left"/>
      <w:pPr>
        <w:ind w:left="2646" w:hanging="783"/>
      </w:pPr>
      <w:rPr>
        <w:rFonts w:hint="default"/>
      </w:rPr>
    </w:lvl>
    <w:lvl w:ilvl="2" w:tplc="65446EE2">
      <w:numFmt w:val="bullet"/>
      <w:lvlText w:val="•"/>
      <w:lvlJc w:val="left"/>
      <w:pPr>
        <w:ind w:left="3553" w:hanging="783"/>
      </w:pPr>
      <w:rPr>
        <w:rFonts w:hint="default"/>
      </w:rPr>
    </w:lvl>
    <w:lvl w:ilvl="3" w:tplc="3B686602">
      <w:numFmt w:val="bullet"/>
      <w:lvlText w:val="•"/>
      <w:lvlJc w:val="left"/>
      <w:pPr>
        <w:ind w:left="4460" w:hanging="783"/>
      </w:pPr>
      <w:rPr>
        <w:rFonts w:hint="default"/>
      </w:rPr>
    </w:lvl>
    <w:lvl w:ilvl="4" w:tplc="D9A4FD16">
      <w:numFmt w:val="bullet"/>
      <w:lvlText w:val="•"/>
      <w:lvlJc w:val="left"/>
      <w:pPr>
        <w:ind w:left="5367" w:hanging="783"/>
      </w:pPr>
      <w:rPr>
        <w:rFonts w:hint="default"/>
      </w:rPr>
    </w:lvl>
    <w:lvl w:ilvl="5" w:tplc="E4E4A3D8">
      <w:numFmt w:val="bullet"/>
      <w:lvlText w:val="•"/>
      <w:lvlJc w:val="left"/>
      <w:pPr>
        <w:ind w:left="6273" w:hanging="783"/>
      </w:pPr>
      <w:rPr>
        <w:rFonts w:hint="default"/>
      </w:rPr>
    </w:lvl>
    <w:lvl w:ilvl="6" w:tplc="0CDCBEDE">
      <w:numFmt w:val="bullet"/>
      <w:lvlText w:val="•"/>
      <w:lvlJc w:val="left"/>
      <w:pPr>
        <w:ind w:left="7180" w:hanging="783"/>
      </w:pPr>
      <w:rPr>
        <w:rFonts w:hint="default"/>
      </w:rPr>
    </w:lvl>
    <w:lvl w:ilvl="7" w:tplc="E3084AFE">
      <w:numFmt w:val="bullet"/>
      <w:lvlText w:val="•"/>
      <w:lvlJc w:val="left"/>
      <w:pPr>
        <w:ind w:left="8087" w:hanging="783"/>
      </w:pPr>
      <w:rPr>
        <w:rFonts w:hint="default"/>
      </w:rPr>
    </w:lvl>
    <w:lvl w:ilvl="8" w:tplc="701C45DC">
      <w:numFmt w:val="bullet"/>
      <w:lvlText w:val="•"/>
      <w:lvlJc w:val="left"/>
      <w:pPr>
        <w:ind w:left="8994" w:hanging="783"/>
      </w:pPr>
      <w:rPr>
        <w:rFonts w:hint="default"/>
      </w:rPr>
    </w:lvl>
  </w:abstractNum>
  <w:abstractNum w:abstractNumId="20" w15:restartNumberingAfterBreak="0">
    <w:nsid w:val="574826E4"/>
    <w:multiLevelType w:val="hybridMultilevel"/>
    <w:tmpl w:val="86C00F10"/>
    <w:lvl w:ilvl="0" w:tplc="FFFFFFFF">
      <w:start w:val="1"/>
      <w:numFmt w:val="bullet"/>
      <w:lvlText w:val="-"/>
      <w:lvlJc w:val="left"/>
      <w:pPr>
        <w:ind w:left="720" w:hanging="360"/>
      </w:pPr>
    </w:lvl>
    <w:lvl w:ilvl="1" w:tplc="FFFFFFFF">
      <w:start w:val="1"/>
      <w:numFmt w:val="bullet"/>
      <w:lvlText w:val="-"/>
      <w:lvlJc w:val="left"/>
      <w:pPr>
        <w:ind w:left="1211"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B54DDD"/>
    <w:multiLevelType w:val="hybridMultilevel"/>
    <w:tmpl w:val="C9624ACE"/>
    <w:lvl w:ilvl="0" w:tplc="287205D2">
      <w:start w:val="1"/>
      <w:numFmt w:val="lowerLetter"/>
      <w:lvlText w:val="%1)"/>
      <w:lvlJc w:val="left"/>
      <w:pPr>
        <w:ind w:left="1686" w:hanging="687"/>
      </w:pPr>
      <w:rPr>
        <w:rFonts w:ascii="Times New Roman" w:eastAsia="Times New Roman" w:hAnsi="Times New Roman" w:cs="Times New Roman" w:hint="default"/>
        <w:spacing w:val="-1"/>
        <w:w w:val="99"/>
        <w:sz w:val="22"/>
        <w:szCs w:val="22"/>
      </w:rPr>
    </w:lvl>
    <w:lvl w:ilvl="1" w:tplc="AD540718">
      <w:numFmt w:val="bullet"/>
      <w:lvlText w:val="•"/>
      <w:lvlJc w:val="left"/>
      <w:pPr>
        <w:ind w:left="2592" w:hanging="687"/>
      </w:pPr>
      <w:rPr>
        <w:rFonts w:hint="default"/>
      </w:rPr>
    </w:lvl>
    <w:lvl w:ilvl="2" w:tplc="5F0229B0">
      <w:numFmt w:val="bullet"/>
      <w:lvlText w:val="•"/>
      <w:lvlJc w:val="left"/>
      <w:pPr>
        <w:ind w:left="3505" w:hanging="687"/>
      </w:pPr>
      <w:rPr>
        <w:rFonts w:hint="default"/>
      </w:rPr>
    </w:lvl>
    <w:lvl w:ilvl="3" w:tplc="AA9E0366">
      <w:numFmt w:val="bullet"/>
      <w:lvlText w:val="•"/>
      <w:lvlJc w:val="left"/>
      <w:pPr>
        <w:ind w:left="4418" w:hanging="687"/>
      </w:pPr>
      <w:rPr>
        <w:rFonts w:hint="default"/>
      </w:rPr>
    </w:lvl>
    <w:lvl w:ilvl="4" w:tplc="D49AABAA">
      <w:numFmt w:val="bullet"/>
      <w:lvlText w:val="•"/>
      <w:lvlJc w:val="left"/>
      <w:pPr>
        <w:ind w:left="5331" w:hanging="687"/>
      </w:pPr>
      <w:rPr>
        <w:rFonts w:hint="default"/>
      </w:rPr>
    </w:lvl>
    <w:lvl w:ilvl="5" w:tplc="1BAC0E8C">
      <w:numFmt w:val="bullet"/>
      <w:lvlText w:val="•"/>
      <w:lvlJc w:val="left"/>
      <w:pPr>
        <w:ind w:left="6243" w:hanging="687"/>
      </w:pPr>
      <w:rPr>
        <w:rFonts w:hint="default"/>
      </w:rPr>
    </w:lvl>
    <w:lvl w:ilvl="6" w:tplc="89BEBF46">
      <w:numFmt w:val="bullet"/>
      <w:lvlText w:val="•"/>
      <w:lvlJc w:val="left"/>
      <w:pPr>
        <w:ind w:left="7156" w:hanging="687"/>
      </w:pPr>
      <w:rPr>
        <w:rFonts w:hint="default"/>
      </w:rPr>
    </w:lvl>
    <w:lvl w:ilvl="7" w:tplc="9260D13A">
      <w:numFmt w:val="bullet"/>
      <w:lvlText w:val="•"/>
      <w:lvlJc w:val="left"/>
      <w:pPr>
        <w:ind w:left="8069" w:hanging="687"/>
      </w:pPr>
      <w:rPr>
        <w:rFonts w:hint="default"/>
      </w:rPr>
    </w:lvl>
    <w:lvl w:ilvl="8" w:tplc="3B5450B6">
      <w:numFmt w:val="bullet"/>
      <w:lvlText w:val="•"/>
      <w:lvlJc w:val="left"/>
      <w:pPr>
        <w:ind w:left="8982" w:hanging="687"/>
      </w:pPr>
      <w:rPr>
        <w:rFonts w:hint="default"/>
      </w:rPr>
    </w:lvl>
  </w:abstractNum>
  <w:abstractNum w:abstractNumId="22" w15:restartNumberingAfterBreak="0">
    <w:nsid w:val="613B6143"/>
    <w:multiLevelType w:val="hybridMultilevel"/>
    <w:tmpl w:val="29C608D4"/>
    <w:lvl w:ilvl="0" w:tplc="F1C8349C">
      <w:numFmt w:val="bullet"/>
      <w:lvlText w:val="-"/>
      <w:lvlJc w:val="left"/>
      <w:pPr>
        <w:ind w:left="1426" w:hanging="568"/>
      </w:pPr>
      <w:rPr>
        <w:rFonts w:hint="default"/>
        <w:w w:val="99"/>
      </w:rPr>
    </w:lvl>
    <w:lvl w:ilvl="1" w:tplc="C3BA33A4">
      <w:numFmt w:val="bullet"/>
      <w:lvlText w:val="•"/>
      <w:lvlJc w:val="left"/>
      <w:pPr>
        <w:ind w:left="2358" w:hanging="568"/>
      </w:pPr>
      <w:rPr>
        <w:rFonts w:hint="default"/>
      </w:rPr>
    </w:lvl>
    <w:lvl w:ilvl="2" w:tplc="AA98FAAC">
      <w:numFmt w:val="bullet"/>
      <w:lvlText w:val="•"/>
      <w:lvlJc w:val="left"/>
      <w:pPr>
        <w:ind w:left="3297" w:hanging="568"/>
      </w:pPr>
      <w:rPr>
        <w:rFonts w:hint="default"/>
      </w:rPr>
    </w:lvl>
    <w:lvl w:ilvl="3" w:tplc="1EF4C342">
      <w:numFmt w:val="bullet"/>
      <w:lvlText w:val="•"/>
      <w:lvlJc w:val="left"/>
      <w:pPr>
        <w:ind w:left="4236" w:hanging="568"/>
      </w:pPr>
      <w:rPr>
        <w:rFonts w:hint="default"/>
      </w:rPr>
    </w:lvl>
    <w:lvl w:ilvl="4" w:tplc="2DE62758">
      <w:numFmt w:val="bullet"/>
      <w:lvlText w:val="•"/>
      <w:lvlJc w:val="left"/>
      <w:pPr>
        <w:ind w:left="5175" w:hanging="568"/>
      </w:pPr>
      <w:rPr>
        <w:rFonts w:hint="default"/>
      </w:rPr>
    </w:lvl>
    <w:lvl w:ilvl="5" w:tplc="E7AC4F2C">
      <w:numFmt w:val="bullet"/>
      <w:lvlText w:val="•"/>
      <w:lvlJc w:val="left"/>
      <w:pPr>
        <w:ind w:left="6113" w:hanging="568"/>
      </w:pPr>
      <w:rPr>
        <w:rFonts w:hint="default"/>
      </w:rPr>
    </w:lvl>
    <w:lvl w:ilvl="6" w:tplc="A768B2A8">
      <w:numFmt w:val="bullet"/>
      <w:lvlText w:val="•"/>
      <w:lvlJc w:val="left"/>
      <w:pPr>
        <w:ind w:left="7052" w:hanging="568"/>
      </w:pPr>
      <w:rPr>
        <w:rFonts w:hint="default"/>
      </w:rPr>
    </w:lvl>
    <w:lvl w:ilvl="7" w:tplc="478655C4">
      <w:numFmt w:val="bullet"/>
      <w:lvlText w:val="•"/>
      <w:lvlJc w:val="left"/>
      <w:pPr>
        <w:ind w:left="7991" w:hanging="568"/>
      </w:pPr>
      <w:rPr>
        <w:rFonts w:hint="default"/>
      </w:rPr>
    </w:lvl>
    <w:lvl w:ilvl="8" w:tplc="DCAC4B0A">
      <w:numFmt w:val="bullet"/>
      <w:lvlText w:val="•"/>
      <w:lvlJc w:val="left"/>
      <w:pPr>
        <w:ind w:left="8930" w:hanging="568"/>
      </w:pPr>
      <w:rPr>
        <w:rFonts w:hint="default"/>
      </w:rPr>
    </w:lvl>
  </w:abstractNum>
  <w:abstractNum w:abstractNumId="23" w15:restartNumberingAfterBreak="0">
    <w:nsid w:val="696468CA"/>
    <w:multiLevelType w:val="hybridMultilevel"/>
    <w:tmpl w:val="B8145FDC"/>
    <w:lvl w:ilvl="0" w:tplc="CE66CB7A">
      <w:start w:val="1"/>
      <w:numFmt w:val="lowerLetter"/>
      <w:lvlText w:val="%1)"/>
      <w:lvlJc w:val="left"/>
      <w:pPr>
        <w:ind w:left="1578" w:hanging="720"/>
      </w:pPr>
      <w:rPr>
        <w:rFonts w:ascii="Times New Roman" w:eastAsia="Times New Roman" w:hAnsi="Times New Roman" w:cs="Times New Roman" w:hint="default"/>
        <w:spacing w:val="-1"/>
        <w:w w:val="99"/>
        <w:sz w:val="22"/>
        <w:szCs w:val="22"/>
      </w:rPr>
    </w:lvl>
    <w:lvl w:ilvl="1" w:tplc="C0809E94">
      <w:numFmt w:val="bullet"/>
      <w:lvlText w:val="•"/>
      <w:lvlJc w:val="left"/>
      <w:pPr>
        <w:ind w:left="2502" w:hanging="720"/>
      </w:pPr>
      <w:rPr>
        <w:rFonts w:hint="default"/>
      </w:rPr>
    </w:lvl>
    <w:lvl w:ilvl="2" w:tplc="32EC16CE">
      <w:numFmt w:val="bullet"/>
      <w:lvlText w:val="•"/>
      <w:lvlJc w:val="left"/>
      <w:pPr>
        <w:ind w:left="3425" w:hanging="720"/>
      </w:pPr>
      <w:rPr>
        <w:rFonts w:hint="default"/>
      </w:rPr>
    </w:lvl>
    <w:lvl w:ilvl="3" w:tplc="1EA27D0A">
      <w:numFmt w:val="bullet"/>
      <w:lvlText w:val="•"/>
      <w:lvlJc w:val="left"/>
      <w:pPr>
        <w:ind w:left="4348" w:hanging="720"/>
      </w:pPr>
      <w:rPr>
        <w:rFonts w:hint="default"/>
      </w:rPr>
    </w:lvl>
    <w:lvl w:ilvl="4" w:tplc="6874BEAE">
      <w:numFmt w:val="bullet"/>
      <w:lvlText w:val="•"/>
      <w:lvlJc w:val="left"/>
      <w:pPr>
        <w:ind w:left="5271" w:hanging="720"/>
      </w:pPr>
      <w:rPr>
        <w:rFonts w:hint="default"/>
      </w:rPr>
    </w:lvl>
    <w:lvl w:ilvl="5" w:tplc="C21E948E">
      <w:numFmt w:val="bullet"/>
      <w:lvlText w:val="•"/>
      <w:lvlJc w:val="left"/>
      <w:pPr>
        <w:ind w:left="6193" w:hanging="720"/>
      </w:pPr>
      <w:rPr>
        <w:rFonts w:hint="default"/>
      </w:rPr>
    </w:lvl>
    <w:lvl w:ilvl="6" w:tplc="945063CA">
      <w:numFmt w:val="bullet"/>
      <w:lvlText w:val="•"/>
      <w:lvlJc w:val="left"/>
      <w:pPr>
        <w:ind w:left="7116" w:hanging="720"/>
      </w:pPr>
      <w:rPr>
        <w:rFonts w:hint="default"/>
      </w:rPr>
    </w:lvl>
    <w:lvl w:ilvl="7" w:tplc="C27A5470">
      <w:numFmt w:val="bullet"/>
      <w:lvlText w:val="•"/>
      <w:lvlJc w:val="left"/>
      <w:pPr>
        <w:ind w:left="8039" w:hanging="720"/>
      </w:pPr>
      <w:rPr>
        <w:rFonts w:hint="default"/>
      </w:rPr>
    </w:lvl>
    <w:lvl w:ilvl="8" w:tplc="C23850E8">
      <w:numFmt w:val="bullet"/>
      <w:lvlText w:val="•"/>
      <w:lvlJc w:val="left"/>
      <w:pPr>
        <w:ind w:left="8962" w:hanging="720"/>
      </w:pPr>
      <w:rPr>
        <w:rFonts w:hint="default"/>
      </w:rPr>
    </w:lvl>
  </w:abstractNum>
  <w:abstractNum w:abstractNumId="24" w15:restartNumberingAfterBreak="0">
    <w:nsid w:val="6EFF6BDF"/>
    <w:multiLevelType w:val="hybridMultilevel"/>
    <w:tmpl w:val="49A0D018"/>
    <w:lvl w:ilvl="0" w:tplc="E63ADE2E">
      <w:numFmt w:val="bullet"/>
      <w:lvlText w:val="*"/>
      <w:lvlJc w:val="left"/>
      <w:pPr>
        <w:ind w:left="1572" w:hanging="721"/>
      </w:pPr>
      <w:rPr>
        <w:rFonts w:ascii="Times New Roman" w:eastAsia="Times New Roman" w:hAnsi="Times New Roman" w:cs="Times New Roman" w:hint="default"/>
        <w:w w:val="99"/>
        <w:sz w:val="22"/>
        <w:szCs w:val="22"/>
      </w:rPr>
    </w:lvl>
    <w:lvl w:ilvl="1" w:tplc="2E1E821A">
      <w:numFmt w:val="bullet"/>
      <w:lvlText w:val="•"/>
      <w:lvlJc w:val="left"/>
      <w:pPr>
        <w:ind w:left="2549" w:hanging="721"/>
      </w:pPr>
      <w:rPr>
        <w:rFonts w:hint="default"/>
      </w:rPr>
    </w:lvl>
    <w:lvl w:ilvl="2" w:tplc="C43CE2FE">
      <w:numFmt w:val="bullet"/>
      <w:lvlText w:val="•"/>
      <w:lvlJc w:val="left"/>
      <w:pPr>
        <w:ind w:left="3528" w:hanging="721"/>
      </w:pPr>
      <w:rPr>
        <w:rFonts w:hint="default"/>
      </w:rPr>
    </w:lvl>
    <w:lvl w:ilvl="3" w:tplc="EBC47654">
      <w:numFmt w:val="bullet"/>
      <w:lvlText w:val="•"/>
      <w:lvlJc w:val="left"/>
      <w:pPr>
        <w:ind w:left="4507" w:hanging="721"/>
      </w:pPr>
      <w:rPr>
        <w:rFonts w:hint="default"/>
      </w:rPr>
    </w:lvl>
    <w:lvl w:ilvl="4" w:tplc="FF62F92E">
      <w:numFmt w:val="bullet"/>
      <w:lvlText w:val="•"/>
      <w:lvlJc w:val="left"/>
      <w:pPr>
        <w:ind w:left="5486" w:hanging="721"/>
      </w:pPr>
      <w:rPr>
        <w:rFonts w:hint="default"/>
      </w:rPr>
    </w:lvl>
    <w:lvl w:ilvl="5" w:tplc="DF16E8DC">
      <w:numFmt w:val="bullet"/>
      <w:lvlText w:val="•"/>
      <w:lvlJc w:val="left"/>
      <w:pPr>
        <w:ind w:left="6464" w:hanging="721"/>
      </w:pPr>
      <w:rPr>
        <w:rFonts w:hint="default"/>
      </w:rPr>
    </w:lvl>
    <w:lvl w:ilvl="6" w:tplc="D1A430CE">
      <w:numFmt w:val="bullet"/>
      <w:lvlText w:val="•"/>
      <w:lvlJc w:val="left"/>
      <w:pPr>
        <w:ind w:left="7443" w:hanging="721"/>
      </w:pPr>
      <w:rPr>
        <w:rFonts w:hint="default"/>
      </w:rPr>
    </w:lvl>
    <w:lvl w:ilvl="7" w:tplc="B4686C32">
      <w:numFmt w:val="bullet"/>
      <w:lvlText w:val="•"/>
      <w:lvlJc w:val="left"/>
      <w:pPr>
        <w:ind w:left="8422" w:hanging="721"/>
      </w:pPr>
      <w:rPr>
        <w:rFonts w:hint="default"/>
      </w:rPr>
    </w:lvl>
    <w:lvl w:ilvl="8" w:tplc="288A8BEC">
      <w:numFmt w:val="bullet"/>
      <w:lvlText w:val="•"/>
      <w:lvlJc w:val="left"/>
      <w:pPr>
        <w:ind w:left="9401" w:hanging="721"/>
      </w:pPr>
      <w:rPr>
        <w:rFonts w:hint="default"/>
      </w:rPr>
    </w:lvl>
  </w:abstractNum>
  <w:abstractNum w:abstractNumId="25" w15:restartNumberingAfterBreak="0">
    <w:nsid w:val="70274FAB"/>
    <w:multiLevelType w:val="hybridMultilevel"/>
    <w:tmpl w:val="58900C9C"/>
    <w:lvl w:ilvl="0" w:tplc="41827004">
      <w:start w:val="1"/>
      <w:numFmt w:val="lowerLetter"/>
      <w:lvlText w:val="%1)"/>
      <w:lvlJc w:val="left"/>
      <w:pPr>
        <w:ind w:left="1686" w:hanging="687"/>
      </w:pPr>
      <w:rPr>
        <w:rFonts w:ascii="Times New Roman" w:eastAsia="Times New Roman" w:hAnsi="Times New Roman" w:cs="Times New Roman"/>
        <w:spacing w:val="-1"/>
        <w:w w:val="99"/>
        <w:sz w:val="22"/>
        <w:szCs w:val="22"/>
      </w:rPr>
    </w:lvl>
    <w:lvl w:ilvl="1" w:tplc="151A0B58">
      <w:numFmt w:val="bullet"/>
      <w:lvlText w:val="•"/>
      <w:lvlJc w:val="left"/>
      <w:pPr>
        <w:ind w:left="2592" w:hanging="687"/>
      </w:pPr>
      <w:rPr>
        <w:rFonts w:hint="default"/>
      </w:rPr>
    </w:lvl>
    <w:lvl w:ilvl="2" w:tplc="9EB89C6E">
      <w:numFmt w:val="bullet"/>
      <w:lvlText w:val="•"/>
      <w:lvlJc w:val="left"/>
      <w:pPr>
        <w:ind w:left="3505" w:hanging="687"/>
      </w:pPr>
      <w:rPr>
        <w:rFonts w:hint="default"/>
      </w:rPr>
    </w:lvl>
    <w:lvl w:ilvl="3" w:tplc="B6B48898">
      <w:numFmt w:val="bullet"/>
      <w:lvlText w:val="•"/>
      <w:lvlJc w:val="left"/>
      <w:pPr>
        <w:ind w:left="4418" w:hanging="687"/>
      </w:pPr>
      <w:rPr>
        <w:rFonts w:hint="default"/>
      </w:rPr>
    </w:lvl>
    <w:lvl w:ilvl="4" w:tplc="B338D798">
      <w:numFmt w:val="bullet"/>
      <w:lvlText w:val="•"/>
      <w:lvlJc w:val="left"/>
      <w:pPr>
        <w:ind w:left="5331" w:hanging="687"/>
      </w:pPr>
      <w:rPr>
        <w:rFonts w:hint="default"/>
      </w:rPr>
    </w:lvl>
    <w:lvl w:ilvl="5" w:tplc="6E46D428">
      <w:numFmt w:val="bullet"/>
      <w:lvlText w:val="•"/>
      <w:lvlJc w:val="left"/>
      <w:pPr>
        <w:ind w:left="6243" w:hanging="687"/>
      </w:pPr>
      <w:rPr>
        <w:rFonts w:hint="default"/>
      </w:rPr>
    </w:lvl>
    <w:lvl w:ilvl="6" w:tplc="B58EA048">
      <w:numFmt w:val="bullet"/>
      <w:lvlText w:val="•"/>
      <w:lvlJc w:val="left"/>
      <w:pPr>
        <w:ind w:left="7156" w:hanging="687"/>
      </w:pPr>
      <w:rPr>
        <w:rFonts w:hint="default"/>
      </w:rPr>
    </w:lvl>
    <w:lvl w:ilvl="7" w:tplc="638ED1EC">
      <w:numFmt w:val="bullet"/>
      <w:lvlText w:val="•"/>
      <w:lvlJc w:val="left"/>
      <w:pPr>
        <w:ind w:left="8069" w:hanging="687"/>
      </w:pPr>
      <w:rPr>
        <w:rFonts w:hint="default"/>
      </w:rPr>
    </w:lvl>
    <w:lvl w:ilvl="8" w:tplc="00B465D4">
      <w:numFmt w:val="bullet"/>
      <w:lvlText w:val="•"/>
      <w:lvlJc w:val="left"/>
      <w:pPr>
        <w:ind w:left="8982" w:hanging="687"/>
      </w:pPr>
      <w:rPr>
        <w:rFonts w:hint="default"/>
      </w:rPr>
    </w:lvl>
  </w:abstractNum>
  <w:abstractNum w:abstractNumId="26" w15:restartNumberingAfterBreak="0">
    <w:nsid w:val="749A041B"/>
    <w:multiLevelType w:val="hybridMultilevel"/>
    <w:tmpl w:val="8EA6DD2E"/>
    <w:lvl w:ilvl="0" w:tplc="5BE27016">
      <w:start w:val="1"/>
      <w:numFmt w:val="upperLetter"/>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27" w15:restartNumberingAfterBreak="0">
    <w:nsid w:val="7926062C"/>
    <w:multiLevelType w:val="hybridMultilevel"/>
    <w:tmpl w:val="0480F086"/>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D2B2106"/>
    <w:multiLevelType w:val="hybridMultilevel"/>
    <w:tmpl w:val="57502C02"/>
    <w:lvl w:ilvl="0" w:tplc="D738F62A">
      <w:start w:val="1"/>
      <w:numFmt w:val="lowerLetter"/>
      <w:lvlText w:val="%1)"/>
      <w:lvlJc w:val="left"/>
      <w:pPr>
        <w:ind w:left="1686" w:hanging="687"/>
      </w:pPr>
      <w:rPr>
        <w:rFonts w:ascii="Times New Roman" w:eastAsia="Times New Roman" w:hAnsi="Times New Roman" w:cs="Times New Roman" w:hint="default"/>
        <w:spacing w:val="-1"/>
        <w:w w:val="99"/>
        <w:sz w:val="22"/>
        <w:szCs w:val="22"/>
      </w:rPr>
    </w:lvl>
    <w:lvl w:ilvl="1" w:tplc="3EF0FBA2">
      <w:numFmt w:val="bullet"/>
      <w:lvlText w:val="•"/>
      <w:lvlJc w:val="left"/>
      <w:pPr>
        <w:ind w:left="2592" w:hanging="687"/>
      </w:pPr>
      <w:rPr>
        <w:rFonts w:hint="default"/>
      </w:rPr>
    </w:lvl>
    <w:lvl w:ilvl="2" w:tplc="2B3888B6">
      <w:numFmt w:val="bullet"/>
      <w:lvlText w:val="•"/>
      <w:lvlJc w:val="left"/>
      <w:pPr>
        <w:ind w:left="3505" w:hanging="687"/>
      </w:pPr>
      <w:rPr>
        <w:rFonts w:hint="default"/>
      </w:rPr>
    </w:lvl>
    <w:lvl w:ilvl="3" w:tplc="304ADFBE">
      <w:numFmt w:val="bullet"/>
      <w:lvlText w:val="•"/>
      <w:lvlJc w:val="left"/>
      <w:pPr>
        <w:ind w:left="4418" w:hanging="687"/>
      </w:pPr>
      <w:rPr>
        <w:rFonts w:hint="default"/>
      </w:rPr>
    </w:lvl>
    <w:lvl w:ilvl="4" w:tplc="FA32E91A">
      <w:numFmt w:val="bullet"/>
      <w:lvlText w:val="•"/>
      <w:lvlJc w:val="left"/>
      <w:pPr>
        <w:ind w:left="5331" w:hanging="687"/>
      </w:pPr>
      <w:rPr>
        <w:rFonts w:hint="default"/>
      </w:rPr>
    </w:lvl>
    <w:lvl w:ilvl="5" w:tplc="0A048FC0">
      <w:numFmt w:val="bullet"/>
      <w:lvlText w:val="•"/>
      <w:lvlJc w:val="left"/>
      <w:pPr>
        <w:ind w:left="6243" w:hanging="687"/>
      </w:pPr>
      <w:rPr>
        <w:rFonts w:hint="default"/>
      </w:rPr>
    </w:lvl>
    <w:lvl w:ilvl="6" w:tplc="48E85192">
      <w:numFmt w:val="bullet"/>
      <w:lvlText w:val="•"/>
      <w:lvlJc w:val="left"/>
      <w:pPr>
        <w:ind w:left="7156" w:hanging="687"/>
      </w:pPr>
      <w:rPr>
        <w:rFonts w:hint="default"/>
      </w:rPr>
    </w:lvl>
    <w:lvl w:ilvl="7" w:tplc="B456DE88">
      <w:numFmt w:val="bullet"/>
      <w:lvlText w:val="•"/>
      <w:lvlJc w:val="left"/>
      <w:pPr>
        <w:ind w:left="8069" w:hanging="687"/>
      </w:pPr>
      <w:rPr>
        <w:rFonts w:hint="default"/>
      </w:rPr>
    </w:lvl>
    <w:lvl w:ilvl="8" w:tplc="94B0951A">
      <w:numFmt w:val="bullet"/>
      <w:lvlText w:val="•"/>
      <w:lvlJc w:val="left"/>
      <w:pPr>
        <w:ind w:left="8982" w:hanging="687"/>
      </w:pPr>
      <w:rPr>
        <w:rFonts w:hint="default"/>
      </w:rPr>
    </w:lvl>
  </w:abstractNum>
  <w:num w:numId="1">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20"/>
  </w:num>
  <w:num w:numId="8">
    <w:abstractNumId w:val="9"/>
  </w:num>
  <w:num w:numId="9">
    <w:abstractNumId w:val="12"/>
  </w:num>
  <w:num w:numId="10">
    <w:abstractNumId w:val="11"/>
  </w:num>
  <w:num w:numId="11">
    <w:abstractNumId w:val="17"/>
  </w:num>
  <w:num w:numId="12">
    <w:abstractNumId w:val="10"/>
  </w:num>
  <w:num w:numId="13">
    <w:abstractNumId w:val="5"/>
  </w:num>
  <w:num w:numId="14">
    <w:abstractNumId w:val="6"/>
  </w:num>
  <w:num w:numId="15">
    <w:abstractNumId w:val="0"/>
  </w:num>
  <w:num w:numId="16">
    <w:abstractNumId w:val="7"/>
  </w:num>
  <w:num w:numId="17">
    <w:abstractNumId w:val="14"/>
  </w:num>
  <w:num w:numId="18">
    <w:abstractNumId w:val="15"/>
  </w:num>
  <w:num w:numId="19">
    <w:abstractNumId w:val="23"/>
  </w:num>
  <w:num w:numId="20">
    <w:abstractNumId w:val="16"/>
  </w:num>
  <w:num w:numId="21">
    <w:abstractNumId w:val="8"/>
  </w:num>
  <w:num w:numId="22">
    <w:abstractNumId w:val="28"/>
  </w:num>
  <w:num w:numId="23">
    <w:abstractNumId w:val="24"/>
  </w:num>
  <w:num w:numId="24">
    <w:abstractNumId w:val="25"/>
  </w:num>
  <w:num w:numId="25">
    <w:abstractNumId w:val="21"/>
  </w:num>
  <w:num w:numId="26">
    <w:abstractNumId w:val="1"/>
  </w:num>
  <w:num w:numId="27">
    <w:abstractNumId w:val="4"/>
  </w:num>
  <w:num w:numId="28">
    <w:abstractNumId w:val="22"/>
  </w:num>
  <w:num w:numId="29">
    <w:abstractNumId w:val="18"/>
  </w:num>
  <w:num w:numId="30">
    <w:abstractNumId w:val="3"/>
  </w:num>
  <w:num w:numId="31">
    <w:abstractNumId w:val="26"/>
  </w:num>
  <w:num w:numId="32">
    <w:abstractNumId w:val="13"/>
  </w:num>
  <w:num w:numId="33">
    <w:abstractNumId w:val="19"/>
  </w:num>
  <w:num w:numId="3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4DEF"/>
    <w:rsid w:val="000259B9"/>
    <w:rsid w:val="00041491"/>
    <w:rsid w:val="00050D16"/>
    <w:rsid w:val="00054680"/>
    <w:rsid w:val="000730CA"/>
    <w:rsid w:val="00074F2A"/>
    <w:rsid w:val="000A1CA8"/>
    <w:rsid w:val="000A466B"/>
    <w:rsid w:val="000B058C"/>
    <w:rsid w:val="000D68B0"/>
    <w:rsid w:val="000E4EE6"/>
    <w:rsid w:val="001454E2"/>
    <w:rsid w:val="00206CE8"/>
    <w:rsid w:val="00213042"/>
    <w:rsid w:val="0021526C"/>
    <w:rsid w:val="00236844"/>
    <w:rsid w:val="00283A2B"/>
    <w:rsid w:val="002B30AD"/>
    <w:rsid w:val="002C1EC0"/>
    <w:rsid w:val="002C2C01"/>
    <w:rsid w:val="003A29AE"/>
    <w:rsid w:val="003A32D7"/>
    <w:rsid w:val="003B4074"/>
    <w:rsid w:val="003C769A"/>
    <w:rsid w:val="003D3A90"/>
    <w:rsid w:val="003F1838"/>
    <w:rsid w:val="00430E67"/>
    <w:rsid w:val="0045746C"/>
    <w:rsid w:val="0049104B"/>
    <w:rsid w:val="004E3B12"/>
    <w:rsid w:val="00505B18"/>
    <w:rsid w:val="00532310"/>
    <w:rsid w:val="00561951"/>
    <w:rsid w:val="00565F0F"/>
    <w:rsid w:val="00594A86"/>
    <w:rsid w:val="00596D86"/>
    <w:rsid w:val="00637F5A"/>
    <w:rsid w:val="00641C65"/>
    <w:rsid w:val="006560B1"/>
    <w:rsid w:val="006756DD"/>
    <w:rsid w:val="00704C2A"/>
    <w:rsid w:val="0071241E"/>
    <w:rsid w:val="00737275"/>
    <w:rsid w:val="00740EEC"/>
    <w:rsid w:val="0078011A"/>
    <w:rsid w:val="00782AF4"/>
    <w:rsid w:val="00790EE7"/>
    <w:rsid w:val="007B6649"/>
    <w:rsid w:val="007F055A"/>
    <w:rsid w:val="00825675"/>
    <w:rsid w:val="0082576E"/>
    <w:rsid w:val="00891A57"/>
    <w:rsid w:val="00907F75"/>
    <w:rsid w:val="009260DE"/>
    <w:rsid w:val="0093258A"/>
    <w:rsid w:val="009C7BA3"/>
    <w:rsid w:val="009D1F5A"/>
    <w:rsid w:val="009F7087"/>
    <w:rsid w:val="00A10294"/>
    <w:rsid w:val="00AF570B"/>
    <w:rsid w:val="00B003BF"/>
    <w:rsid w:val="00B24633"/>
    <w:rsid w:val="00B373D7"/>
    <w:rsid w:val="00B55271"/>
    <w:rsid w:val="00B754D6"/>
    <w:rsid w:val="00BD7931"/>
    <w:rsid w:val="00BF6243"/>
    <w:rsid w:val="00C36276"/>
    <w:rsid w:val="00C42586"/>
    <w:rsid w:val="00C45F6B"/>
    <w:rsid w:val="00C60CCD"/>
    <w:rsid w:val="00C71EAA"/>
    <w:rsid w:val="00C84483"/>
    <w:rsid w:val="00C95551"/>
    <w:rsid w:val="00CB20D7"/>
    <w:rsid w:val="00D020B0"/>
    <w:rsid w:val="00D11748"/>
    <w:rsid w:val="00D219CC"/>
    <w:rsid w:val="00D237F6"/>
    <w:rsid w:val="00D34D98"/>
    <w:rsid w:val="00D366CF"/>
    <w:rsid w:val="00D93992"/>
    <w:rsid w:val="00D97E5C"/>
    <w:rsid w:val="00DD383E"/>
    <w:rsid w:val="00E108AA"/>
    <w:rsid w:val="00E3749A"/>
    <w:rsid w:val="00E65BA3"/>
    <w:rsid w:val="00E7437F"/>
    <w:rsid w:val="00E865B8"/>
    <w:rsid w:val="00EC010C"/>
    <w:rsid w:val="00EC0B9B"/>
    <w:rsid w:val="00ED5E9F"/>
    <w:rsid w:val="00F21719"/>
    <w:rsid w:val="00F61E6E"/>
    <w:rsid w:val="00F66D4F"/>
    <w:rsid w:val="00F82C99"/>
    <w:rsid w:val="00FB6D01"/>
    <w:rsid w:val="00FE4DEF"/>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D1BDA5"/>
  <w15:chartTrackingRefBased/>
  <w15:docId w15:val="{D4942CC3-1180-4CBC-92E6-BF430D840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2">
    <w:name w:val="heading 2"/>
    <w:basedOn w:val="Normal"/>
    <w:link w:val="Overskrift2Tegn"/>
    <w:uiPriority w:val="9"/>
    <w:unhideWhenUsed/>
    <w:qFormat/>
    <w:rsid w:val="00F61E6E"/>
    <w:pPr>
      <w:widowControl w:val="0"/>
      <w:autoSpaceDE w:val="0"/>
      <w:autoSpaceDN w:val="0"/>
      <w:ind w:left="109"/>
      <w:outlineLvl w:val="1"/>
    </w:pPr>
    <w:rPr>
      <w:b/>
      <w:bCs/>
      <w:sz w:val="22"/>
      <w:szCs w:val="22"/>
      <w:lang w:val="en-US"/>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uiPriority w:val="99"/>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link w:val="MarkeringsbobletekstTegn"/>
    <w:uiPriority w:val="99"/>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uiPriority w:val="99"/>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qFormat/>
    <w:rsid w:val="00F61E6E"/>
    <w:pPr>
      <w:widowControl w:val="0"/>
      <w:autoSpaceDE w:val="0"/>
      <w:autoSpaceDN w:val="0"/>
    </w:pPr>
    <w:rPr>
      <w:sz w:val="22"/>
      <w:szCs w:val="22"/>
      <w:lang w:val="en-US"/>
    </w:rPr>
  </w:style>
  <w:style w:type="character" w:customStyle="1" w:styleId="BrdtekstTegn">
    <w:name w:val="Brødtekst Tegn"/>
    <w:basedOn w:val="Standardskrifttypeiafsnit"/>
    <w:link w:val="Brdtekst"/>
    <w:uiPriority w:val="1"/>
    <w:rsid w:val="00F61E6E"/>
    <w:rPr>
      <w:sz w:val="22"/>
      <w:szCs w:val="22"/>
      <w:lang w:val="en-US" w:eastAsia="en-US"/>
    </w:rPr>
  </w:style>
  <w:style w:type="paragraph" w:customStyle="1" w:styleId="Default">
    <w:name w:val="Default"/>
    <w:rsid w:val="00F61E6E"/>
    <w:pPr>
      <w:autoSpaceDE w:val="0"/>
      <w:autoSpaceDN w:val="0"/>
      <w:adjustRightInd w:val="0"/>
    </w:pPr>
    <w:rPr>
      <w:color w:val="000000"/>
      <w:sz w:val="24"/>
      <w:szCs w:val="24"/>
      <w:lang w:val="en-US" w:eastAsia="en-US"/>
    </w:rPr>
  </w:style>
  <w:style w:type="character" w:styleId="Hyperlink">
    <w:name w:val="Hyperlink"/>
    <w:uiPriority w:val="99"/>
    <w:unhideWhenUsed/>
    <w:rsid w:val="00F61E6E"/>
    <w:rPr>
      <w:color w:val="0563C1"/>
      <w:u w:val="single"/>
    </w:rPr>
  </w:style>
  <w:style w:type="character" w:customStyle="1" w:styleId="Overskrift2Tegn">
    <w:name w:val="Overskrift 2 Tegn"/>
    <w:basedOn w:val="Standardskrifttypeiafsnit"/>
    <w:link w:val="Overskrift2"/>
    <w:uiPriority w:val="9"/>
    <w:rsid w:val="00F61E6E"/>
    <w:rPr>
      <w:b/>
      <w:bCs/>
      <w:sz w:val="22"/>
      <w:szCs w:val="22"/>
      <w:lang w:val="en-US" w:eastAsia="en-US"/>
    </w:rPr>
  </w:style>
  <w:style w:type="table" w:styleId="Tabel-Gitter">
    <w:name w:val="Table Grid"/>
    <w:basedOn w:val="Tabel-Normal"/>
    <w:rsid w:val="00F61E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lstomtale">
    <w:name w:val="Unresolved Mention"/>
    <w:uiPriority w:val="99"/>
    <w:semiHidden/>
    <w:unhideWhenUsed/>
    <w:rsid w:val="00F61E6E"/>
    <w:rPr>
      <w:color w:val="605E5C"/>
      <w:shd w:val="clear" w:color="auto" w:fill="E1DFDD"/>
    </w:rPr>
  </w:style>
  <w:style w:type="paragraph" w:styleId="Listeafsnit">
    <w:name w:val="List Paragraph"/>
    <w:basedOn w:val="Normal"/>
    <w:uiPriority w:val="1"/>
    <w:qFormat/>
    <w:rsid w:val="00F61E6E"/>
    <w:pPr>
      <w:ind w:left="720"/>
    </w:pPr>
    <w:rPr>
      <w:sz w:val="24"/>
      <w:lang w:eastAsia="da-DK"/>
    </w:rPr>
  </w:style>
  <w:style w:type="character" w:customStyle="1" w:styleId="MarkeringsbobletekstTegn">
    <w:name w:val="Markeringsbobletekst Tegn"/>
    <w:link w:val="Markeringsbobletekst"/>
    <w:uiPriority w:val="99"/>
    <w:semiHidden/>
    <w:rsid w:val="00F61E6E"/>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600837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egemiddelstyrelsen.dk/da/bivirkninger/bivirkninger-ved-medicin/meld-en-bivirkning/"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4</TotalTime>
  <Pages>38</Pages>
  <Words>14240</Words>
  <Characters>86871</Characters>
  <Application>Microsoft Office Word</Application>
  <DocSecurity>0</DocSecurity>
  <Lines>723</Lines>
  <Paragraphs>201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100910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 Daugaard Kristiansen</dc:creator>
  <cp:keywords/>
  <dc:description>2025010221 pkt. 5.2</dc:description>
  <cp:lastModifiedBy>Lea Daugaard Kristiansen</cp:lastModifiedBy>
  <cp:revision>4</cp:revision>
  <cp:lastPrinted>2012-08-22T08:53:00Z</cp:lastPrinted>
  <dcterms:created xsi:type="dcterms:W3CDTF">2025-04-08T11:33:00Z</dcterms:created>
  <dcterms:modified xsi:type="dcterms:W3CDTF">2025-04-23T12:17:00Z</dcterms:modified>
</cp:coreProperties>
</file>