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DC914" w14:textId="3A670C6E" w:rsidR="009260DE" w:rsidRPr="008E19A3" w:rsidRDefault="0021526C" w:rsidP="009260DE">
      <w:pPr>
        <w:rPr>
          <w:sz w:val="24"/>
          <w:szCs w:val="24"/>
        </w:rPr>
      </w:pPr>
      <w:r w:rsidRPr="008E19A3">
        <w:rPr>
          <w:noProof/>
          <w:sz w:val="24"/>
          <w:szCs w:val="24"/>
          <w:lang w:eastAsia="da-DK"/>
        </w:rPr>
        <w:drawing>
          <wp:anchor distT="0" distB="0" distL="114300" distR="114300" simplePos="0" relativeHeight="251658240" behindDoc="0" locked="0" layoutInCell="1" allowOverlap="1" wp14:anchorId="7C0D2F20" wp14:editId="20D5E6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E19A3">
        <w:rPr>
          <w:sz w:val="24"/>
          <w:szCs w:val="24"/>
        </w:rPr>
        <w:br w:type="textWrapping" w:clear="all"/>
      </w:r>
    </w:p>
    <w:p w14:paraId="30C358F3" w14:textId="28DF81F7" w:rsidR="009260DE" w:rsidRPr="008E19A3" w:rsidRDefault="009260DE" w:rsidP="009260DE">
      <w:pPr>
        <w:pStyle w:val="Titel"/>
        <w:tabs>
          <w:tab w:val="right" w:pos="9356"/>
        </w:tabs>
        <w:jc w:val="left"/>
        <w:rPr>
          <w:b w:val="0"/>
          <w:szCs w:val="24"/>
          <w:lang w:eastAsia="en-US"/>
        </w:rPr>
      </w:pPr>
      <w:r w:rsidRPr="008E19A3">
        <w:rPr>
          <w:b w:val="0"/>
          <w:szCs w:val="24"/>
          <w:lang w:eastAsia="en-US"/>
        </w:rPr>
        <w:tab/>
      </w:r>
      <w:r w:rsidR="002D2FE1">
        <w:rPr>
          <w:szCs w:val="24"/>
        </w:rPr>
        <w:t>30</w:t>
      </w:r>
      <w:r w:rsidR="00DB7D3C">
        <w:rPr>
          <w:szCs w:val="24"/>
        </w:rPr>
        <w:t xml:space="preserve">. </w:t>
      </w:r>
      <w:r w:rsidR="00A51B0E">
        <w:rPr>
          <w:szCs w:val="24"/>
        </w:rPr>
        <w:t>maj</w:t>
      </w:r>
      <w:r w:rsidR="00DB7D3C">
        <w:rPr>
          <w:szCs w:val="24"/>
        </w:rPr>
        <w:t xml:space="preserve"> 2024</w:t>
      </w:r>
    </w:p>
    <w:p w14:paraId="51383539" w14:textId="77777777" w:rsidR="009260DE" w:rsidRPr="008E19A3" w:rsidRDefault="009260DE" w:rsidP="009260DE">
      <w:pPr>
        <w:pStyle w:val="Titel"/>
        <w:tabs>
          <w:tab w:val="left" w:pos="8222"/>
        </w:tabs>
        <w:jc w:val="left"/>
        <w:rPr>
          <w:b w:val="0"/>
          <w:szCs w:val="24"/>
        </w:rPr>
      </w:pPr>
    </w:p>
    <w:p w14:paraId="745EA877" w14:textId="77777777" w:rsidR="009260DE" w:rsidRPr="008E19A3" w:rsidRDefault="009260DE" w:rsidP="009260DE">
      <w:pPr>
        <w:pStyle w:val="Titel"/>
        <w:jc w:val="left"/>
        <w:rPr>
          <w:b w:val="0"/>
          <w:szCs w:val="24"/>
        </w:rPr>
      </w:pPr>
    </w:p>
    <w:p w14:paraId="6E71D87C" w14:textId="77777777" w:rsidR="009260DE" w:rsidRPr="008E19A3" w:rsidRDefault="009260DE" w:rsidP="009260DE">
      <w:pPr>
        <w:pStyle w:val="Titel"/>
        <w:jc w:val="left"/>
        <w:rPr>
          <w:b w:val="0"/>
          <w:szCs w:val="24"/>
        </w:rPr>
      </w:pPr>
    </w:p>
    <w:p w14:paraId="208B059C" w14:textId="77777777" w:rsidR="009260DE" w:rsidRPr="008E19A3" w:rsidRDefault="009260DE" w:rsidP="009260DE">
      <w:pPr>
        <w:jc w:val="center"/>
        <w:rPr>
          <w:b/>
          <w:sz w:val="24"/>
          <w:szCs w:val="24"/>
        </w:rPr>
      </w:pPr>
      <w:r w:rsidRPr="008E19A3">
        <w:rPr>
          <w:b/>
          <w:sz w:val="24"/>
          <w:szCs w:val="24"/>
        </w:rPr>
        <w:t>PRODUKTRESUMÉ</w:t>
      </w:r>
    </w:p>
    <w:p w14:paraId="1062EF31" w14:textId="77777777" w:rsidR="009260DE" w:rsidRPr="008E19A3" w:rsidRDefault="009260DE" w:rsidP="009260DE">
      <w:pPr>
        <w:jc w:val="center"/>
        <w:rPr>
          <w:b/>
          <w:sz w:val="24"/>
          <w:szCs w:val="24"/>
        </w:rPr>
      </w:pPr>
    </w:p>
    <w:p w14:paraId="3E7EE326" w14:textId="77777777" w:rsidR="009260DE" w:rsidRPr="008E19A3" w:rsidRDefault="009260DE" w:rsidP="009260DE">
      <w:pPr>
        <w:jc w:val="center"/>
        <w:rPr>
          <w:b/>
          <w:sz w:val="24"/>
          <w:szCs w:val="24"/>
        </w:rPr>
      </w:pPr>
      <w:r w:rsidRPr="008E19A3">
        <w:rPr>
          <w:b/>
          <w:sz w:val="24"/>
          <w:szCs w:val="24"/>
        </w:rPr>
        <w:t>for</w:t>
      </w:r>
    </w:p>
    <w:p w14:paraId="24DCF310" w14:textId="77777777" w:rsidR="000B058C" w:rsidRPr="008E19A3" w:rsidRDefault="000B058C" w:rsidP="009260DE">
      <w:pPr>
        <w:jc w:val="center"/>
        <w:rPr>
          <w:b/>
          <w:sz w:val="24"/>
          <w:szCs w:val="24"/>
        </w:rPr>
      </w:pPr>
    </w:p>
    <w:p w14:paraId="4B656083" w14:textId="314A9C1B" w:rsidR="009260DE" w:rsidRPr="008E19A3" w:rsidRDefault="00892B5B" w:rsidP="009260DE">
      <w:pPr>
        <w:jc w:val="center"/>
        <w:rPr>
          <w:b/>
          <w:sz w:val="24"/>
          <w:szCs w:val="24"/>
        </w:rPr>
      </w:pPr>
      <w:r w:rsidRPr="008E19A3">
        <w:rPr>
          <w:b/>
          <w:sz w:val="24"/>
          <w:szCs w:val="24"/>
        </w:rPr>
        <w:t xml:space="preserve">Rivaroxaban </w:t>
      </w:r>
      <w:r w:rsidR="008E19A3" w:rsidRPr="008E19A3">
        <w:rPr>
          <w:b/>
          <w:sz w:val="24"/>
          <w:szCs w:val="24"/>
        </w:rPr>
        <w:t>"</w:t>
      </w:r>
      <w:r w:rsidRPr="008E19A3">
        <w:rPr>
          <w:b/>
          <w:sz w:val="24"/>
          <w:szCs w:val="24"/>
        </w:rPr>
        <w:t>Zentiva</w:t>
      </w:r>
      <w:r w:rsidR="008E19A3" w:rsidRPr="008E19A3">
        <w:rPr>
          <w:b/>
          <w:sz w:val="24"/>
          <w:szCs w:val="24"/>
        </w:rPr>
        <w:t>"</w:t>
      </w:r>
      <w:r w:rsidRPr="008E19A3">
        <w:rPr>
          <w:b/>
          <w:sz w:val="24"/>
          <w:szCs w:val="24"/>
        </w:rPr>
        <w:t>, hårde kapsler 10 mg</w:t>
      </w:r>
    </w:p>
    <w:p w14:paraId="0B34682C" w14:textId="77777777" w:rsidR="009260DE" w:rsidRPr="008E19A3" w:rsidRDefault="009260DE" w:rsidP="009260DE">
      <w:pPr>
        <w:jc w:val="both"/>
        <w:rPr>
          <w:sz w:val="24"/>
          <w:szCs w:val="24"/>
        </w:rPr>
      </w:pPr>
    </w:p>
    <w:p w14:paraId="748D06A5" w14:textId="77777777" w:rsidR="009260DE" w:rsidRPr="008E19A3" w:rsidRDefault="009260DE" w:rsidP="009260DE">
      <w:pPr>
        <w:jc w:val="both"/>
        <w:rPr>
          <w:sz w:val="24"/>
          <w:szCs w:val="24"/>
        </w:rPr>
      </w:pPr>
    </w:p>
    <w:p w14:paraId="6144DDA7" w14:textId="77777777" w:rsidR="009260DE" w:rsidRPr="008E19A3" w:rsidRDefault="009260DE" w:rsidP="009260DE">
      <w:pPr>
        <w:tabs>
          <w:tab w:val="left" w:pos="851"/>
        </w:tabs>
        <w:ind w:left="851" w:hanging="851"/>
        <w:rPr>
          <w:b/>
          <w:sz w:val="24"/>
          <w:szCs w:val="24"/>
        </w:rPr>
      </w:pPr>
      <w:r w:rsidRPr="008E19A3">
        <w:rPr>
          <w:b/>
          <w:sz w:val="24"/>
          <w:szCs w:val="24"/>
        </w:rPr>
        <w:t>0.</w:t>
      </w:r>
      <w:r w:rsidRPr="008E19A3">
        <w:rPr>
          <w:b/>
          <w:sz w:val="24"/>
          <w:szCs w:val="24"/>
        </w:rPr>
        <w:tab/>
        <w:t>D.SP.NR.</w:t>
      </w:r>
    </w:p>
    <w:p w14:paraId="29F8374C" w14:textId="6CAAF7B2" w:rsidR="009260DE" w:rsidRPr="008E19A3" w:rsidRDefault="00892B5B" w:rsidP="009260DE">
      <w:pPr>
        <w:tabs>
          <w:tab w:val="left" w:pos="851"/>
        </w:tabs>
        <w:ind w:left="851"/>
        <w:rPr>
          <w:sz w:val="24"/>
          <w:szCs w:val="24"/>
        </w:rPr>
      </w:pPr>
      <w:r w:rsidRPr="008E19A3">
        <w:rPr>
          <w:sz w:val="24"/>
          <w:szCs w:val="24"/>
        </w:rPr>
        <w:t>33546</w:t>
      </w:r>
    </w:p>
    <w:p w14:paraId="326E1A1B" w14:textId="77777777" w:rsidR="009260DE" w:rsidRPr="008E19A3" w:rsidRDefault="009260DE" w:rsidP="009260DE">
      <w:pPr>
        <w:tabs>
          <w:tab w:val="left" w:pos="851"/>
        </w:tabs>
        <w:ind w:left="851"/>
        <w:rPr>
          <w:sz w:val="24"/>
          <w:szCs w:val="24"/>
        </w:rPr>
      </w:pPr>
    </w:p>
    <w:p w14:paraId="44EC39D4" w14:textId="77777777" w:rsidR="009260DE" w:rsidRPr="008E19A3" w:rsidRDefault="009260DE" w:rsidP="009260DE">
      <w:pPr>
        <w:tabs>
          <w:tab w:val="left" w:pos="851"/>
        </w:tabs>
        <w:ind w:left="851" w:hanging="851"/>
        <w:rPr>
          <w:b/>
          <w:sz w:val="24"/>
          <w:szCs w:val="24"/>
        </w:rPr>
      </w:pPr>
      <w:r w:rsidRPr="008E19A3">
        <w:rPr>
          <w:b/>
          <w:sz w:val="24"/>
          <w:szCs w:val="24"/>
        </w:rPr>
        <w:t>1.</w:t>
      </w:r>
      <w:r w:rsidRPr="008E19A3">
        <w:rPr>
          <w:b/>
          <w:sz w:val="24"/>
          <w:szCs w:val="24"/>
        </w:rPr>
        <w:tab/>
        <w:t>LÆGEMIDLETS NAVN</w:t>
      </w:r>
    </w:p>
    <w:p w14:paraId="35734073" w14:textId="041C1F4B" w:rsidR="009260DE" w:rsidRPr="008E19A3" w:rsidRDefault="00892B5B" w:rsidP="009260DE">
      <w:pPr>
        <w:tabs>
          <w:tab w:val="left" w:pos="851"/>
        </w:tabs>
        <w:ind w:left="851"/>
        <w:rPr>
          <w:sz w:val="24"/>
          <w:szCs w:val="24"/>
        </w:rPr>
      </w:pPr>
      <w:r w:rsidRPr="008E19A3">
        <w:rPr>
          <w:sz w:val="24"/>
          <w:szCs w:val="24"/>
        </w:rPr>
        <w:t xml:space="preserve">Rivaroxaban </w:t>
      </w:r>
      <w:r w:rsidR="008E19A3" w:rsidRPr="008E19A3">
        <w:rPr>
          <w:sz w:val="24"/>
          <w:szCs w:val="24"/>
        </w:rPr>
        <w:t>"</w:t>
      </w:r>
      <w:r w:rsidRPr="008E19A3">
        <w:rPr>
          <w:sz w:val="24"/>
          <w:szCs w:val="24"/>
        </w:rPr>
        <w:t>Zentiva</w:t>
      </w:r>
      <w:r w:rsidR="008E19A3" w:rsidRPr="008E19A3">
        <w:rPr>
          <w:sz w:val="24"/>
          <w:szCs w:val="24"/>
        </w:rPr>
        <w:t>"</w:t>
      </w:r>
    </w:p>
    <w:p w14:paraId="217C4BBA" w14:textId="77777777" w:rsidR="009260DE" w:rsidRPr="008E19A3" w:rsidRDefault="009260DE" w:rsidP="009260DE">
      <w:pPr>
        <w:tabs>
          <w:tab w:val="left" w:pos="851"/>
        </w:tabs>
        <w:ind w:left="851"/>
        <w:rPr>
          <w:sz w:val="24"/>
          <w:szCs w:val="24"/>
        </w:rPr>
      </w:pPr>
    </w:p>
    <w:p w14:paraId="3871F124" w14:textId="77777777" w:rsidR="009260DE" w:rsidRPr="008E19A3" w:rsidRDefault="009260DE" w:rsidP="009260DE">
      <w:pPr>
        <w:tabs>
          <w:tab w:val="left" w:pos="851"/>
        </w:tabs>
        <w:ind w:left="851" w:hanging="851"/>
        <w:rPr>
          <w:b/>
          <w:sz w:val="24"/>
          <w:szCs w:val="24"/>
        </w:rPr>
      </w:pPr>
      <w:r w:rsidRPr="008E19A3">
        <w:rPr>
          <w:b/>
          <w:sz w:val="24"/>
          <w:szCs w:val="24"/>
        </w:rPr>
        <w:t>2.</w:t>
      </w:r>
      <w:r w:rsidRPr="008E19A3">
        <w:rPr>
          <w:b/>
          <w:sz w:val="24"/>
          <w:szCs w:val="24"/>
        </w:rPr>
        <w:tab/>
        <w:t>KVALITATIV OG KVANTITATIV SAMMENSÆTNING</w:t>
      </w:r>
    </w:p>
    <w:p w14:paraId="3901B490" w14:textId="77777777" w:rsidR="00C7249D" w:rsidRPr="008E19A3" w:rsidRDefault="00C7249D" w:rsidP="00C7249D">
      <w:pPr>
        <w:tabs>
          <w:tab w:val="left" w:pos="851"/>
        </w:tabs>
        <w:ind w:left="851"/>
        <w:rPr>
          <w:sz w:val="24"/>
          <w:szCs w:val="24"/>
        </w:rPr>
      </w:pPr>
      <w:r w:rsidRPr="008E19A3">
        <w:rPr>
          <w:sz w:val="24"/>
          <w:szCs w:val="24"/>
        </w:rPr>
        <w:t>Hver hård kapsel indeholder 10 mg rivaroxaban.</w:t>
      </w:r>
    </w:p>
    <w:p w14:paraId="496BE0C0" w14:textId="77777777" w:rsidR="00284FEB" w:rsidRPr="00DC79C4" w:rsidRDefault="00C7249D" w:rsidP="00284FEB">
      <w:pPr>
        <w:tabs>
          <w:tab w:val="left" w:pos="851"/>
        </w:tabs>
        <w:ind w:left="851"/>
        <w:rPr>
          <w:sz w:val="24"/>
          <w:szCs w:val="24"/>
        </w:rPr>
      </w:pPr>
      <w:r w:rsidRPr="008E19A3">
        <w:rPr>
          <w:sz w:val="24"/>
          <w:szCs w:val="24"/>
        </w:rPr>
        <w:br/>
      </w:r>
      <w:r w:rsidR="00284FEB" w:rsidRPr="00DC79C4">
        <w:rPr>
          <w:sz w:val="24"/>
          <w:szCs w:val="24"/>
          <w:u w:val="single"/>
        </w:rPr>
        <w:t>Hjælpestof, som behandleren skal være opmærksom på</w:t>
      </w:r>
    </w:p>
    <w:p w14:paraId="4A9A0C07" w14:textId="55CEBF86" w:rsidR="00284FEB" w:rsidRPr="00DC79C4" w:rsidRDefault="00284FEB" w:rsidP="00284FEB">
      <w:pPr>
        <w:tabs>
          <w:tab w:val="left" w:pos="851"/>
        </w:tabs>
        <w:ind w:left="851"/>
        <w:rPr>
          <w:sz w:val="24"/>
          <w:szCs w:val="24"/>
        </w:rPr>
      </w:pPr>
      <w:r w:rsidRPr="00DC79C4">
        <w:rPr>
          <w:sz w:val="24"/>
          <w:szCs w:val="24"/>
        </w:rPr>
        <w:t xml:space="preserve">Hver </w:t>
      </w:r>
      <w:r>
        <w:rPr>
          <w:sz w:val="24"/>
          <w:szCs w:val="24"/>
        </w:rPr>
        <w:t>hård kapsel</w:t>
      </w:r>
      <w:r w:rsidRPr="00DC79C4">
        <w:rPr>
          <w:sz w:val="24"/>
          <w:szCs w:val="24"/>
        </w:rPr>
        <w:t xml:space="preserve"> indeholder </w:t>
      </w:r>
      <w:r w:rsidRPr="00060811">
        <w:rPr>
          <w:sz w:val="24"/>
          <w:szCs w:val="24"/>
        </w:rPr>
        <w:t xml:space="preserve">lactosemonohydrat svarende til </w:t>
      </w:r>
      <w:r>
        <w:rPr>
          <w:sz w:val="24"/>
          <w:szCs w:val="24"/>
        </w:rPr>
        <w:t>108</w:t>
      </w:r>
      <w:r w:rsidRPr="00DC79C4">
        <w:rPr>
          <w:sz w:val="24"/>
          <w:szCs w:val="24"/>
        </w:rPr>
        <w:t xml:space="preserve"> mg lactose</w:t>
      </w:r>
      <w:r w:rsidR="002D2FE1">
        <w:rPr>
          <w:sz w:val="24"/>
          <w:szCs w:val="24"/>
        </w:rPr>
        <w:t>.</w:t>
      </w:r>
    </w:p>
    <w:p w14:paraId="40C25F48" w14:textId="77777777" w:rsidR="00284FEB" w:rsidRDefault="00284FEB" w:rsidP="00284FEB">
      <w:pPr>
        <w:tabs>
          <w:tab w:val="left" w:pos="851"/>
        </w:tabs>
        <w:ind w:left="851"/>
        <w:rPr>
          <w:sz w:val="24"/>
          <w:szCs w:val="24"/>
        </w:rPr>
      </w:pPr>
    </w:p>
    <w:p w14:paraId="6AC8F475" w14:textId="12CC4010" w:rsidR="00C7249D" w:rsidRPr="008E19A3" w:rsidRDefault="00C7249D" w:rsidP="00284FEB">
      <w:pPr>
        <w:tabs>
          <w:tab w:val="left" w:pos="851"/>
        </w:tabs>
        <w:ind w:left="851"/>
        <w:rPr>
          <w:sz w:val="24"/>
          <w:szCs w:val="24"/>
        </w:rPr>
      </w:pPr>
      <w:r w:rsidRPr="008E19A3">
        <w:rPr>
          <w:sz w:val="24"/>
          <w:szCs w:val="24"/>
        </w:rPr>
        <w:t>Alle hjælpestoffer er anført under pkt. 6.1.</w:t>
      </w:r>
    </w:p>
    <w:p w14:paraId="665EFCEB" w14:textId="77777777" w:rsidR="009260DE" w:rsidRPr="008E19A3" w:rsidRDefault="009260DE" w:rsidP="009260DE">
      <w:pPr>
        <w:tabs>
          <w:tab w:val="left" w:pos="851"/>
        </w:tabs>
        <w:ind w:left="851"/>
        <w:rPr>
          <w:sz w:val="24"/>
          <w:szCs w:val="24"/>
        </w:rPr>
      </w:pPr>
    </w:p>
    <w:p w14:paraId="6519B9FB" w14:textId="77777777" w:rsidR="009260DE" w:rsidRPr="008E19A3" w:rsidRDefault="009260DE" w:rsidP="009260DE">
      <w:pPr>
        <w:tabs>
          <w:tab w:val="left" w:pos="851"/>
        </w:tabs>
        <w:ind w:left="851" w:hanging="851"/>
        <w:rPr>
          <w:b/>
          <w:sz w:val="24"/>
          <w:szCs w:val="24"/>
        </w:rPr>
      </w:pPr>
      <w:r w:rsidRPr="008E19A3">
        <w:rPr>
          <w:b/>
          <w:sz w:val="24"/>
          <w:szCs w:val="24"/>
        </w:rPr>
        <w:t>3.</w:t>
      </w:r>
      <w:r w:rsidRPr="008E19A3">
        <w:rPr>
          <w:b/>
          <w:sz w:val="24"/>
          <w:szCs w:val="24"/>
        </w:rPr>
        <w:tab/>
        <w:t>LÆGEMIDDELFORM</w:t>
      </w:r>
    </w:p>
    <w:p w14:paraId="39482183" w14:textId="77C22ADF" w:rsidR="00C7249D" w:rsidRPr="008E19A3" w:rsidRDefault="00C7249D" w:rsidP="00C7249D">
      <w:pPr>
        <w:tabs>
          <w:tab w:val="left" w:pos="851"/>
        </w:tabs>
        <w:ind w:left="851"/>
        <w:rPr>
          <w:sz w:val="24"/>
          <w:szCs w:val="24"/>
        </w:rPr>
      </w:pPr>
      <w:r w:rsidRPr="008E19A3">
        <w:rPr>
          <w:sz w:val="24"/>
          <w:szCs w:val="24"/>
        </w:rPr>
        <w:t>Hård</w:t>
      </w:r>
      <w:r w:rsidR="008E19A3" w:rsidRPr="008E19A3">
        <w:rPr>
          <w:sz w:val="24"/>
          <w:szCs w:val="24"/>
        </w:rPr>
        <w:t>e</w:t>
      </w:r>
      <w:r w:rsidRPr="008E19A3">
        <w:rPr>
          <w:sz w:val="24"/>
          <w:szCs w:val="24"/>
        </w:rPr>
        <w:t xml:space="preserve"> kaps</w:t>
      </w:r>
      <w:r w:rsidR="008E19A3" w:rsidRPr="008E19A3">
        <w:rPr>
          <w:sz w:val="24"/>
          <w:szCs w:val="24"/>
        </w:rPr>
        <w:t>ler</w:t>
      </w:r>
    </w:p>
    <w:p w14:paraId="1F3A7F53" w14:textId="77777777" w:rsidR="00C7249D" w:rsidRPr="008E19A3" w:rsidRDefault="00C7249D" w:rsidP="00C7249D">
      <w:pPr>
        <w:tabs>
          <w:tab w:val="left" w:pos="851"/>
        </w:tabs>
        <w:ind w:left="851"/>
        <w:rPr>
          <w:sz w:val="24"/>
          <w:szCs w:val="24"/>
        </w:rPr>
      </w:pPr>
    </w:p>
    <w:p w14:paraId="48B47226" w14:textId="77777777" w:rsidR="00284FEB" w:rsidRDefault="00284FEB" w:rsidP="00284FEB">
      <w:pPr>
        <w:tabs>
          <w:tab w:val="left" w:pos="851"/>
        </w:tabs>
        <w:ind w:left="851"/>
        <w:rPr>
          <w:sz w:val="24"/>
          <w:szCs w:val="24"/>
        </w:rPr>
      </w:pPr>
      <w:r w:rsidRPr="00AD6452">
        <w:rPr>
          <w:sz w:val="24"/>
          <w:szCs w:val="24"/>
        </w:rPr>
        <w:t xml:space="preserve">Hvidt til </w:t>
      </w:r>
      <w:r>
        <w:rPr>
          <w:sz w:val="24"/>
          <w:szCs w:val="24"/>
        </w:rPr>
        <w:t>off-white</w:t>
      </w:r>
      <w:r w:rsidRPr="00AD6452">
        <w:rPr>
          <w:sz w:val="24"/>
          <w:szCs w:val="24"/>
        </w:rPr>
        <w:t xml:space="preserve"> pulver </w:t>
      </w:r>
      <w:r w:rsidRPr="0052287C">
        <w:rPr>
          <w:sz w:val="24"/>
          <w:szCs w:val="24"/>
        </w:rPr>
        <w:t xml:space="preserve">fyldt i en kapsel af størrelse "3" </w:t>
      </w:r>
      <w:r w:rsidRPr="00AD6452">
        <w:rPr>
          <w:sz w:val="24"/>
          <w:szCs w:val="24"/>
        </w:rPr>
        <w:t>(</w:t>
      </w:r>
      <w:r>
        <w:rPr>
          <w:sz w:val="24"/>
          <w:szCs w:val="24"/>
        </w:rPr>
        <w:t>ca. 16</w:t>
      </w:r>
      <w:r w:rsidRPr="00AD6452">
        <w:rPr>
          <w:sz w:val="24"/>
          <w:szCs w:val="24"/>
        </w:rPr>
        <w:t xml:space="preserve"> mm </w:t>
      </w:r>
      <w:r>
        <w:rPr>
          <w:sz w:val="24"/>
          <w:szCs w:val="24"/>
        </w:rPr>
        <w:t xml:space="preserve">i </w:t>
      </w:r>
      <w:r w:rsidRPr="00AD6452">
        <w:rPr>
          <w:sz w:val="24"/>
          <w:szCs w:val="24"/>
        </w:rPr>
        <w:t>længde</w:t>
      </w:r>
      <w:r>
        <w:rPr>
          <w:sz w:val="24"/>
          <w:szCs w:val="24"/>
        </w:rPr>
        <w:t>n</w:t>
      </w:r>
      <w:r w:rsidRPr="00AD6452">
        <w:rPr>
          <w:sz w:val="24"/>
          <w:szCs w:val="24"/>
        </w:rPr>
        <w:t>) med beige uigennemsigtig hætte og krop</w:t>
      </w:r>
      <w:r>
        <w:rPr>
          <w:sz w:val="24"/>
          <w:szCs w:val="24"/>
        </w:rPr>
        <w:t xml:space="preserve">. </w:t>
      </w:r>
    </w:p>
    <w:p w14:paraId="6079CB84" w14:textId="4D8BF1AC" w:rsidR="009260DE" w:rsidRDefault="009260DE" w:rsidP="009260DE">
      <w:pPr>
        <w:tabs>
          <w:tab w:val="left" w:pos="851"/>
        </w:tabs>
        <w:ind w:left="851"/>
        <w:rPr>
          <w:sz w:val="24"/>
          <w:szCs w:val="24"/>
        </w:rPr>
      </w:pPr>
    </w:p>
    <w:p w14:paraId="0CC33379" w14:textId="77777777" w:rsidR="00284FEB" w:rsidRPr="008E19A3" w:rsidRDefault="00284FEB" w:rsidP="009260DE">
      <w:pPr>
        <w:tabs>
          <w:tab w:val="left" w:pos="851"/>
        </w:tabs>
        <w:ind w:left="851"/>
        <w:rPr>
          <w:sz w:val="24"/>
          <w:szCs w:val="24"/>
        </w:rPr>
      </w:pPr>
    </w:p>
    <w:p w14:paraId="3B816F7B" w14:textId="77777777" w:rsidR="009260DE" w:rsidRPr="008E19A3" w:rsidRDefault="009260DE" w:rsidP="009260DE">
      <w:pPr>
        <w:tabs>
          <w:tab w:val="left" w:pos="851"/>
        </w:tabs>
        <w:ind w:left="851" w:hanging="851"/>
        <w:rPr>
          <w:b/>
          <w:sz w:val="24"/>
          <w:szCs w:val="24"/>
        </w:rPr>
      </w:pPr>
      <w:r w:rsidRPr="008E19A3">
        <w:rPr>
          <w:b/>
          <w:sz w:val="24"/>
          <w:szCs w:val="24"/>
        </w:rPr>
        <w:t>4.</w:t>
      </w:r>
      <w:r w:rsidRPr="008E19A3">
        <w:rPr>
          <w:b/>
          <w:sz w:val="24"/>
          <w:szCs w:val="24"/>
        </w:rPr>
        <w:tab/>
        <w:t>KLINISKE OPLYSNINGER</w:t>
      </w:r>
    </w:p>
    <w:p w14:paraId="6F9E8411" w14:textId="77777777" w:rsidR="009260DE" w:rsidRPr="008E19A3" w:rsidRDefault="009260DE" w:rsidP="009260DE">
      <w:pPr>
        <w:tabs>
          <w:tab w:val="left" w:pos="851"/>
        </w:tabs>
        <w:ind w:left="851"/>
        <w:rPr>
          <w:b/>
          <w:sz w:val="24"/>
          <w:szCs w:val="24"/>
        </w:rPr>
      </w:pPr>
    </w:p>
    <w:p w14:paraId="2F3D7DD5" w14:textId="77777777" w:rsidR="009260DE" w:rsidRPr="008E19A3" w:rsidRDefault="009260DE" w:rsidP="009260DE">
      <w:pPr>
        <w:tabs>
          <w:tab w:val="left" w:pos="851"/>
        </w:tabs>
        <w:ind w:left="851" w:hanging="851"/>
        <w:rPr>
          <w:b/>
          <w:sz w:val="24"/>
          <w:szCs w:val="24"/>
          <w:u w:val="single"/>
        </w:rPr>
      </w:pPr>
      <w:r w:rsidRPr="008E19A3">
        <w:rPr>
          <w:b/>
          <w:sz w:val="24"/>
          <w:szCs w:val="24"/>
        </w:rPr>
        <w:t>4.1</w:t>
      </w:r>
      <w:r w:rsidRPr="008E19A3">
        <w:rPr>
          <w:b/>
          <w:sz w:val="24"/>
          <w:szCs w:val="24"/>
        </w:rPr>
        <w:tab/>
        <w:t>Terapeutiske indikationer</w:t>
      </w:r>
    </w:p>
    <w:p w14:paraId="2273BE71" w14:textId="77777777" w:rsidR="00C7249D" w:rsidRPr="008E19A3" w:rsidRDefault="00C7249D" w:rsidP="00C7249D">
      <w:pPr>
        <w:tabs>
          <w:tab w:val="left" w:pos="851"/>
        </w:tabs>
        <w:ind w:left="851"/>
        <w:rPr>
          <w:sz w:val="24"/>
          <w:szCs w:val="24"/>
        </w:rPr>
      </w:pPr>
      <w:r w:rsidRPr="008E19A3">
        <w:rPr>
          <w:sz w:val="24"/>
          <w:szCs w:val="24"/>
        </w:rPr>
        <w:t>Forebyggelse af venøs tromboemboli (VTE) hos voksne patienter, som gennemgår planlagt hofteleds- eller knæledsalloplastik.</w:t>
      </w:r>
    </w:p>
    <w:p w14:paraId="4D5DAB86" w14:textId="77777777" w:rsidR="00C7249D" w:rsidRPr="008E19A3" w:rsidRDefault="00C7249D" w:rsidP="00C7249D">
      <w:pPr>
        <w:tabs>
          <w:tab w:val="left" w:pos="851"/>
        </w:tabs>
        <w:ind w:left="851"/>
        <w:rPr>
          <w:sz w:val="24"/>
          <w:szCs w:val="24"/>
        </w:rPr>
      </w:pPr>
    </w:p>
    <w:p w14:paraId="1D8A0F8B" w14:textId="77777777" w:rsidR="00C7249D" w:rsidRPr="008E19A3" w:rsidRDefault="00C7249D" w:rsidP="00C7249D">
      <w:pPr>
        <w:tabs>
          <w:tab w:val="left" w:pos="851"/>
        </w:tabs>
        <w:ind w:left="851"/>
        <w:rPr>
          <w:sz w:val="24"/>
          <w:szCs w:val="24"/>
        </w:rPr>
      </w:pPr>
      <w:r w:rsidRPr="008E19A3">
        <w:rPr>
          <w:sz w:val="24"/>
          <w:szCs w:val="24"/>
        </w:rPr>
        <w:t>Behandling af dyb venetrombose (DVT) og lungeemboli (LE) samt forebyggelse af recidiverende DVT og PE hos voksne (se pkt. 4.4 vedrørende hæmodynamisk ustabile patienter med lungeemboli).</w:t>
      </w:r>
    </w:p>
    <w:p w14:paraId="5CEDC59F" w14:textId="197A418C" w:rsidR="004553F4" w:rsidRDefault="004553F4">
      <w:pPr>
        <w:rPr>
          <w:sz w:val="24"/>
          <w:szCs w:val="24"/>
        </w:rPr>
      </w:pPr>
      <w:r>
        <w:rPr>
          <w:sz w:val="24"/>
          <w:szCs w:val="24"/>
        </w:rPr>
        <w:br w:type="page"/>
      </w:r>
    </w:p>
    <w:p w14:paraId="02314BF0" w14:textId="77777777" w:rsidR="009260DE" w:rsidRPr="008E19A3" w:rsidRDefault="009260DE" w:rsidP="009260DE">
      <w:pPr>
        <w:tabs>
          <w:tab w:val="left" w:pos="851"/>
        </w:tabs>
        <w:ind w:left="851"/>
        <w:rPr>
          <w:sz w:val="24"/>
          <w:szCs w:val="24"/>
        </w:rPr>
      </w:pPr>
    </w:p>
    <w:p w14:paraId="28C3487E" w14:textId="77777777" w:rsidR="009260DE" w:rsidRPr="008E19A3" w:rsidRDefault="009260DE" w:rsidP="009260DE">
      <w:pPr>
        <w:tabs>
          <w:tab w:val="left" w:pos="851"/>
        </w:tabs>
        <w:ind w:left="851" w:hanging="851"/>
        <w:rPr>
          <w:b/>
          <w:sz w:val="24"/>
          <w:szCs w:val="24"/>
        </w:rPr>
      </w:pPr>
      <w:r w:rsidRPr="008E19A3">
        <w:rPr>
          <w:b/>
          <w:sz w:val="24"/>
          <w:szCs w:val="24"/>
        </w:rPr>
        <w:t>4.2</w:t>
      </w:r>
      <w:r w:rsidRPr="008E19A3">
        <w:rPr>
          <w:b/>
          <w:sz w:val="24"/>
          <w:szCs w:val="24"/>
        </w:rPr>
        <w:tab/>
        <w:t xml:space="preserve">Dosering og </w:t>
      </w:r>
      <w:r w:rsidR="002C1EC0" w:rsidRPr="008E19A3">
        <w:rPr>
          <w:b/>
          <w:sz w:val="24"/>
          <w:szCs w:val="24"/>
        </w:rPr>
        <w:t>administration</w:t>
      </w:r>
    </w:p>
    <w:p w14:paraId="69124712" w14:textId="77777777" w:rsidR="008E19A3" w:rsidRPr="008E19A3" w:rsidRDefault="008E19A3" w:rsidP="00C7249D">
      <w:pPr>
        <w:ind w:left="851"/>
        <w:rPr>
          <w:bCs/>
          <w:sz w:val="24"/>
          <w:szCs w:val="24"/>
          <w:u w:val="single"/>
        </w:rPr>
      </w:pPr>
    </w:p>
    <w:p w14:paraId="219EA19D" w14:textId="465FECF5" w:rsidR="00C7249D" w:rsidRPr="008E19A3" w:rsidRDefault="00C7249D" w:rsidP="00C7249D">
      <w:pPr>
        <w:ind w:left="851"/>
        <w:rPr>
          <w:bCs/>
          <w:sz w:val="24"/>
          <w:szCs w:val="24"/>
          <w:u w:val="single"/>
        </w:rPr>
      </w:pPr>
      <w:r w:rsidRPr="008E19A3">
        <w:rPr>
          <w:bCs/>
          <w:sz w:val="24"/>
          <w:szCs w:val="24"/>
          <w:u w:val="single"/>
        </w:rPr>
        <w:t>Dosering</w:t>
      </w:r>
    </w:p>
    <w:p w14:paraId="5DAABC3B" w14:textId="77777777" w:rsidR="00C7249D" w:rsidRPr="008E19A3" w:rsidRDefault="00C7249D" w:rsidP="00C7249D">
      <w:pPr>
        <w:ind w:left="851"/>
        <w:rPr>
          <w:i/>
          <w:sz w:val="24"/>
          <w:szCs w:val="24"/>
        </w:rPr>
      </w:pPr>
      <w:r w:rsidRPr="008E19A3">
        <w:rPr>
          <w:i/>
          <w:sz w:val="24"/>
          <w:szCs w:val="24"/>
        </w:rPr>
        <w:t>Forebyggelse af VTE hos voksne patienter, der gennemgår planlagt hofteleds- eller knæledsalloplastik</w:t>
      </w:r>
    </w:p>
    <w:p w14:paraId="7A04061C" w14:textId="77777777" w:rsidR="00C7249D" w:rsidRPr="008E19A3" w:rsidRDefault="00C7249D" w:rsidP="00C7249D">
      <w:pPr>
        <w:ind w:left="851"/>
        <w:rPr>
          <w:sz w:val="24"/>
          <w:szCs w:val="24"/>
        </w:rPr>
      </w:pPr>
      <w:r w:rsidRPr="008E19A3">
        <w:rPr>
          <w:sz w:val="24"/>
          <w:szCs w:val="24"/>
        </w:rPr>
        <w:t>Den anbefalede dosis er 10 mg rivaroxaban indtaget oral en gang daglig. Første dosis skal tages 6 til 10 timer efter indgrebet, forudsat er der er opnået hæmostase.</w:t>
      </w:r>
    </w:p>
    <w:p w14:paraId="076B68D8" w14:textId="77777777" w:rsidR="00C7249D" w:rsidRPr="008E19A3" w:rsidRDefault="00C7249D" w:rsidP="00C7249D">
      <w:pPr>
        <w:ind w:left="851"/>
        <w:rPr>
          <w:sz w:val="24"/>
          <w:szCs w:val="24"/>
        </w:rPr>
      </w:pPr>
    </w:p>
    <w:p w14:paraId="3EA1E5EF" w14:textId="77777777" w:rsidR="00C7249D" w:rsidRPr="008E19A3" w:rsidRDefault="00C7249D" w:rsidP="00C7249D">
      <w:pPr>
        <w:ind w:left="851"/>
        <w:rPr>
          <w:sz w:val="24"/>
          <w:szCs w:val="24"/>
        </w:rPr>
      </w:pPr>
      <w:r w:rsidRPr="008E19A3">
        <w:rPr>
          <w:sz w:val="24"/>
          <w:szCs w:val="24"/>
        </w:rPr>
        <w:t>Behandlingens varighed afhænger af den enkelte patients risiko for at udvikle venøs tromboemboli, hvilket igen afhænger af, hvilken type ortopædkirurgiske indgreb, der er tale om.</w:t>
      </w:r>
    </w:p>
    <w:p w14:paraId="63FED5E4" w14:textId="77777777" w:rsidR="00C7249D" w:rsidRPr="008E19A3" w:rsidRDefault="00C7249D" w:rsidP="00C7249D">
      <w:pPr>
        <w:numPr>
          <w:ilvl w:val="1"/>
          <w:numId w:val="6"/>
        </w:numPr>
        <w:ind w:left="1134" w:hanging="283"/>
        <w:rPr>
          <w:sz w:val="24"/>
          <w:szCs w:val="24"/>
        </w:rPr>
      </w:pPr>
      <w:r w:rsidRPr="008E19A3">
        <w:rPr>
          <w:sz w:val="24"/>
          <w:szCs w:val="24"/>
        </w:rPr>
        <w:t>Hos patienter, der gennemgår et større hofteindgreb, anbefales en behandlingsvarighed på 5 uger.</w:t>
      </w:r>
    </w:p>
    <w:p w14:paraId="42608463" w14:textId="77777777" w:rsidR="00C7249D" w:rsidRPr="008E19A3" w:rsidRDefault="00C7249D" w:rsidP="00C7249D">
      <w:pPr>
        <w:numPr>
          <w:ilvl w:val="1"/>
          <w:numId w:val="6"/>
        </w:numPr>
        <w:ind w:left="1134" w:hanging="283"/>
        <w:rPr>
          <w:sz w:val="24"/>
          <w:szCs w:val="24"/>
        </w:rPr>
      </w:pPr>
      <w:r w:rsidRPr="008E19A3">
        <w:rPr>
          <w:sz w:val="24"/>
          <w:szCs w:val="24"/>
        </w:rPr>
        <w:t>Hos patienter, der gennemgår et større knæindgreb, anbefales en behandlingsvarighed på 2 uger.</w:t>
      </w:r>
    </w:p>
    <w:p w14:paraId="0BC3ADC6" w14:textId="77777777" w:rsidR="00C7249D" w:rsidRPr="008E19A3" w:rsidRDefault="00C7249D" w:rsidP="00C7249D">
      <w:pPr>
        <w:ind w:left="851"/>
        <w:rPr>
          <w:sz w:val="24"/>
          <w:szCs w:val="24"/>
        </w:rPr>
      </w:pPr>
    </w:p>
    <w:p w14:paraId="6CEE364E" w14:textId="0DCF2BA2" w:rsidR="00C7249D" w:rsidRPr="008E19A3" w:rsidRDefault="00C7249D" w:rsidP="00C7249D">
      <w:pPr>
        <w:ind w:left="851"/>
        <w:rPr>
          <w:sz w:val="24"/>
          <w:szCs w:val="24"/>
        </w:rPr>
      </w:pPr>
      <w:bookmarkStart w:id="0" w:name="_Hlk49507655"/>
      <w:r w:rsidRPr="008E19A3">
        <w:rPr>
          <w:sz w:val="24"/>
          <w:szCs w:val="24"/>
        </w:rPr>
        <w:t xml:space="preserve">Hvis patienten glemmer at tage en dosis af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skal han/hun tage denne dosis øjeblikkeligt, og fortsætte næste dag med den daglige dosis som før.</w:t>
      </w:r>
    </w:p>
    <w:bookmarkEnd w:id="0"/>
    <w:p w14:paraId="09A64314" w14:textId="77777777" w:rsidR="00C7249D" w:rsidRPr="008E19A3" w:rsidRDefault="00C7249D" w:rsidP="00C7249D">
      <w:pPr>
        <w:ind w:left="851"/>
        <w:rPr>
          <w:sz w:val="24"/>
          <w:szCs w:val="24"/>
        </w:rPr>
      </w:pPr>
    </w:p>
    <w:p w14:paraId="4A6809BE" w14:textId="77777777" w:rsidR="00C7249D" w:rsidRPr="008E19A3" w:rsidRDefault="00C7249D" w:rsidP="00C7249D">
      <w:pPr>
        <w:ind w:left="851"/>
        <w:rPr>
          <w:i/>
          <w:sz w:val="24"/>
          <w:szCs w:val="24"/>
        </w:rPr>
      </w:pPr>
      <w:r w:rsidRPr="008E19A3">
        <w:rPr>
          <w:i/>
          <w:sz w:val="24"/>
          <w:szCs w:val="24"/>
        </w:rPr>
        <w:t>Behandling af DVT, behandling af LE og forebyggelse af recidiverende DVT og PE</w:t>
      </w:r>
    </w:p>
    <w:p w14:paraId="144A8FB3" w14:textId="77777777" w:rsidR="00C7249D" w:rsidRPr="008E19A3" w:rsidRDefault="00C7249D" w:rsidP="00C7249D">
      <w:pPr>
        <w:ind w:left="851"/>
        <w:rPr>
          <w:sz w:val="24"/>
          <w:szCs w:val="24"/>
        </w:rPr>
      </w:pPr>
      <w:r w:rsidRPr="008E19A3">
        <w:rPr>
          <w:sz w:val="24"/>
          <w:szCs w:val="24"/>
        </w:rPr>
        <w:t>Anbefalet dosis for indledende behandling af akut DVT eller LE er 15 mg to gange daglig i de første tre uger og derefter fortsat behandling og forebyggelse af recidiverende DVT og LE med 20 mg en gang daglig.</w:t>
      </w:r>
    </w:p>
    <w:p w14:paraId="0B77790F" w14:textId="77777777" w:rsidR="00C7249D" w:rsidRPr="008E19A3" w:rsidRDefault="00C7249D" w:rsidP="00C7249D">
      <w:pPr>
        <w:ind w:left="851"/>
        <w:rPr>
          <w:sz w:val="24"/>
          <w:szCs w:val="24"/>
        </w:rPr>
      </w:pPr>
    </w:p>
    <w:p w14:paraId="016BDC51" w14:textId="77777777" w:rsidR="00C7249D" w:rsidRPr="008E19A3" w:rsidRDefault="00C7249D" w:rsidP="00C7249D">
      <w:pPr>
        <w:ind w:left="851"/>
        <w:rPr>
          <w:sz w:val="24"/>
          <w:szCs w:val="24"/>
        </w:rPr>
      </w:pPr>
      <w:r w:rsidRPr="008E19A3">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21EFB4D1" w14:textId="77777777" w:rsidR="00C7249D" w:rsidRPr="008E19A3" w:rsidRDefault="00C7249D" w:rsidP="00C7249D">
      <w:pPr>
        <w:ind w:left="851"/>
        <w:rPr>
          <w:sz w:val="24"/>
          <w:szCs w:val="24"/>
        </w:rPr>
      </w:pPr>
    </w:p>
    <w:p w14:paraId="03F881E9" w14:textId="0D77E638" w:rsidR="00C7249D" w:rsidRPr="008E19A3" w:rsidRDefault="00C7249D" w:rsidP="00C7249D">
      <w:pPr>
        <w:ind w:left="851"/>
        <w:rPr>
          <w:sz w:val="24"/>
          <w:szCs w:val="24"/>
        </w:rPr>
      </w:pPr>
      <w:r w:rsidRPr="008E19A3">
        <w:rPr>
          <w:sz w:val="24"/>
          <w:szCs w:val="24"/>
        </w:rPr>
        <w:t xml:space="preserve">Når forlænget forebyggelse af recidiverende DVT og LE er indiceret (efter mindst 6 måneders behandling af DVT eller LE), er den anbefalede dosis 10 mg en gang daglig. Hos de patienter, hvor risikoen for recidiverende DVT eller LE anses for at være høj, f.eks. patienter med komplicerende comorbiditeter, eller patienter med recidiverende DVT eller LE under udvidet forebyggelses behandling med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10 mg en gang daglig, bør en dosis med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20 mg en gang daglig overvejes.</w:t>
      </w:r>
    </w:p>
    <w:p w14:paraId="6F9C674D" w14:textId="77777777" w:rsidR="00C7249D" w:rsidRPr="008E19A3" w:rsidRDefault="00C7249D" w:rsidP="00C7249D">
      <w:pPr>
        <w:ind w:left="851"/>
        <w:rPr>
          <w:sz w:val="24"/>
          <w:szCs w:val="24"/>
        </w:rPr>
      </w:pPr>
    </w:p>
    <w:p w14:paraId="5E33D824" w14:textId="77777777" w:rsidR="00C7249D" w:rsidRPr="008E19A3" w:rsidRDefault="00C7249D" w:rsidP="00C7249D">
      <w:pPr>
        <w:ind w:left="851"/>
        <w:rPr>
          <w:sz w:val="24"/>
          <w:szCs w:val="24"/>
        </w:rPr>
      </w:pPr>
      <w:r w:rsidRPr="008E19A3">
        <w:rPr>
          <w:sz w:val="24"/>
          <w:szCs w:val="24"/>
        </w:rPr>
        <w:t>Behandlingens varighed og valg af dosis skal fastsættes individuelt efter omhyggelig afvejning af fordelen ved behandling mod risikoen for blødning (se pkt. 4.4).</w:t>
      </w:r>
    </w:p>
    <w:p w14:paraId="05F7B32D" w14:textId="77777777" w:rsidR="00C7249D" w:rsidRPr="008E19A3" w:rsidRDefault="00C7249D" w:rsidP="00C7249D">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74"/>
        <w:gridCol w:w="2474"/>
        <w:gridCol w:w="2238"/>
      </w:tblGrid>
      <w:tr w:rsidR="00C7249D" w:rsidRPr="008E19A3" w14:paraId="28CB8EFC" w14:textId="77777777" w:rsidTr="008E19A3">
        <w:trPr>
          <w:trHeight w:val="315"/>
        </w:trPr>
        <w:tc>
          <w:tcPr>
            <w:tcW w:w="1268" w:type="pct"/>
            <w:tcBorders>
              <w:top w:val="single" w:sz="4" w:space="0" w:color="000000"/>
              <w:left w:val="single" w:sz="4" w:space="0" w:color="000000"/>
              <w:bottom w:val="single" w:sz="4" w:space="0" w:color="000000"/>
              <w:right w:val="single" w:sz="4" w:space="0" w:color="000000"/>
            </w:tcBorders>
          </w:tcPr>
          <w:p w14:paraId="0AA16D83" w14:textId="77777777" w:rsidR="00C7249D" w:rsidRPr="008E19A3" w:rsidRDefault="00C7249D">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6DF2FBDA" w14:textId="77777777" w:rsidR="00C7249D" w:rsidRPr="008E19A3" w:rsidRDefault="00C7249D">
            <w:pPr>
              <w:ind w:left="-36"/>
              <w:rPr>
                <w:b/>
                <w:sz w:val="24"/>
                <w:szCs w:val="24"/>
              </w:rPr>
            </w:pPr>
            <w:r w:rsidRPr="008E19A3">
              <w:rPr>
                <w:b/>
                <w:sz w:val="24"/>
                <w:szCs w:val="24"/>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1DB4BC0E" w14:textId="77777777" w:rsidR="00C7249D" w:rsidRPr="008E19A3" w:rsidRDefault="00C7249D">
            <w:pPr>
              <w:ind w:left="3"/>
              <w:rPr>
                <w:b/>
                <w:sz w:val="24"/>
                <w:szCs w:val="24"/>
              </w:rPr>
            </w:pPr>
            <w:r w:rsidRPr="008E19A3">
              <w:rPr>
                <w:b/>
                <w:sz w:val="24"/>
                <w:szCs w:val="24"/>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399F2141" w14:textId="77777777" w:rsidR="00C7249D" w:rsidRPr="008E19A3" w:rsidRDefault="00C7249D">
            <w:pPr>
              <w:rPr>
                <w:b/>
                <w:sz w:val="24"/>
                <w:szCs w:val="24"/>
              </w:rPr>
            </w:pPr>
            <w:r w:rsidRPr="008E19A3">
              <w:rPr>
                <w:b/>
                <w:sz w:val="24"/>
                <w:szCs w:val="24"/>
              </w:rPr>
              <w:t>Total daglig dosis</w:t>
            </w:r>
          </w:p>
        </w:tc>
      </w:tr>
      <w:tr w:rsidR="00C7249D" w:rsidRPr="008E19A3" w14:paraId="58888039" w14:textId="77777777" w:rsidTr="008E19A3">
        <w:trPr>
          <w:trHeight w:val="574"/>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24392141" w14:textId="77777777" w:rsidR="00C7249D" w:rsidRPr="008E19A3" w:rsidRDefault="00C7249D">
            <w:pPr>
              <w:rPr>
                <w:sz w:val="24"/>
                <w:szCs w:val="24"/>
              </w:rPr>
            </w:pPr>
            <w:r w:rsidRPr="008E19A3">
              <w:rPr>
                <w:sz w:val="24"/>
                <w:szCs w:val="24"/>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3EBD8DEF" w14:textId="77777777" w:rsidR="00C7249D" w:rsidRPr="008E19A3" w:rsidRDefault="00C7249D">
            <w:pPr>
              <w:ind w:left="-36"/>
              <w:rPr>
                <w:sz w:val="24"/>
                <w:szCs w:val="24"/>
              </w:rPr>
            </w:pPr>
            <w:r w:rsidRPr="008E19A3">
              <w:rPr>
                <w:sz w:val="24"/>
                <w:szCs w:val="24"/>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08FAE311" w14:textId="77777777" w:rsidR="00C7249D" w:rsidRPr="008E19A3" w:rsidRDefault="00C7249D">
            <w:pPr>
              <w:ind w:left="3"/>
              <w:rPr>
                <w:sz w:val="24"/>
                <w:szCs w:val="24"/>
              </w:rPr>
            </w:pPr>
            <w:r w:rsidRPr="008E19A3">
              <w:rPr>
                <w:sz w:val="24"/>
                <w:szCs w:val="24"/>
              </w:rPr>
              <w:t>15 mg to gange daglig</w:t>
            </w:r>
          </w:p>
        </w:tc>
        <w:tc>
          <w:tcPr>
            <w:tcW w:w="1162" w:type="pct"/>
            <w:tcBorders>
              <w:top w:val="single" w:sz="4" w:space="0" w:color="000000"/>
              <w:left w:val="single" w:sz="4" w:space="0" w:color="000000"/>
              <w:bottom w:val="single" w:sz="4" w:space="0" w:color="000000"/>
              <w:right w:val="single" w:sz="4" w:space="0" w:color="000000"/>
            </w:tcBorders>
            <w:hideMark/>
          </w:tcPr>
          <w:p w14:paraId="1BE5C377" w14:textId="77777777" w:rsidR="00C7249D" w:rsidRPr="008E19A3" w:rsidRDefault="00C7249D">
            <w:pPr>
              <w:rPr>
                <w:sz w:val="24"/>
                <w:szCs w:val="24"/>
              </w:rPr>
            </w:pPr>
            <w:r w:rsidRPr="008E19A3">
              <w:rPr>
                <w:sz w:val="24"/>
                <w:szCs w:val="24"/>
              </w:rPr>
              <w:t>30 mg</w:t>
            </w:r>
          </w:p>
        </w:tc>
      </w:tr>
      <w:tr w:rsidR="00C7249D" w:rsidRPr="008E19A3" w14:paraId="394EA8B5" w14:textId="77777777" w:rsidTr="008E19A3">
        <w:trPr>
          <w:trHeight w:val="478"/>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07ABFC4D" w14:textId="77777777" w:rsidR="00C7249D" w:rsidRPr="008E19A3" w:rsidRDefault="00C7249D">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6BFAD788" w14:textId="77777777" w:rsidR="00C7249D" w:rsidRPr="008E19A3" w:rsidRDefault="00C7249D">
            <w:pPr>
              <w:ind w:left="-36"/>
              <w:rPr>
                <w:sz w:val="24"/>
                <w:szCs w:val="24"/>
              </w:rPr>
            </w:pPr>
            <w:r w:rsidRPr="008E19A3">
              <w:rPr>
                <w:sz w:val="24"/>
                <w:szCs w:val="24"/>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112B7A24" w14:textId="77777777" w:rsidR="00C7249D" w:rsidRPr="008E19A3" w:rsidRDefault="00C7249D">
            <w:pPr>
              <w:ind w:left="3"/>
              <w:rPr>
                <w:sz w:val="24"/>
                <w:szCs w:val="24"/>
              </w:rPr>
            </w:pPr>
            <w:r w:rsidRPr="008E19A3">
              <w:rPr>
                <w:sz w:val="24"/>
                <w:szCs w:val="24"/>
              </w:rPr>
              <w:t>20 mg en gang daglig</w:t>
            </w:r>
          </w:p>
        </w:tc>
        <w:tc>
          <w:tcPr>
            <w:tcW w:w="1162" w:type="pct"/>
            <w:tcBorders>
              <w:top w:val="single" w:sz="4" w:space="0" w:color="000000"/>
              <w:left w:val="single" w:sz="4" w:space="0" w:color="000000"/>
              <w:bottom w:val="single" w:sz="4" w:space="0" w:color="000000"/>
              <w:right w:val="single" w:sz="4" w:space="0" w:color="000000"/>
            </w:tcBorders>
            <w:hideMark/>
          </w:tcPr>
          <w:p w14:paraId="4BF962C3" w14:textId="77777777" w:rsidR="00C7249D" w:rsidRPr="008E19A3" w:rsidRDefault="00C7249D">
            <w:pPr>
              <w:rPr>
                <w:sz w:val="24"/>
                <w:szCs w:val="24"/>
              </w:rPr>
            </w:pPr>
            <w:r w:rsidRPr="008E19A3">
              <w:rPr>
                <w:sz w:val="24"/>
                <w:szCs w:val="24"/>
              </w:rPr>
              <w:t>20 mg</w:t>
            </w:r>
          </w:p>
        </w:tc>
      </w:tr>
      <w:tr w:rsidR="00C7249D" w:rsidRPr="008E19A3" w14:paraId="7F721C9F" w14:textId="77777777" w:rsidTr="008E19A3">
        <w:trPr>
          <w:trHeight w:val="813"/>
        </w:trPr>
        <w:tc>
          <w:tcPr>
            <w:tcW w:w="1268" w:type="pct"/>
            <w:tcBorders>
              <w:top w:val="single" w:sz="4" w:space="0" w:color="000000"/>
              <w:left w:val="single" w:sz="4" w:space="0" w:color="000000"/>
              <w:bottom w:val="single" w:sz="4" w:space="0" w:color="000000"/>
              <w:right w:val="single" w:sz="4" w:space="0" w:color="000000"/>
            </w:tcBorders>
            <w:hideMark/>
          </w:tcPr>
          <w:p w14:paraId="19AB07BD" w14:textId="77777777" w:rsidR="00C7249D" w:rsidRPr="008E19A3" w:rsidRDefault="00C7249D">
            <w:pPr>
              <w:rPr>
                <w:sz w:val="24"/>
                <w:szCs w:val="24"/>
              </w:rPr>
            </w:pPr>
            <w:r w:rsidRPr="008E19A3">
              <w:rPr>
                <w:sz w:val="24"/>
                <w:szCs w:val="24"/>
              </w:rPr>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5154AB49" w14:textId="77777777" w:rsidR="00C7249D" w:rsidRPr="008E19A3" w:rsidRDefault="00C7249D">
            <w:pPr>
              <w:ind w:left="-36"/>
              <w:rPr>
                <w:sz w:val="24"/>
                <w:szCs w:val="24"/>
              </w:rPr>
            </w:pPr>
            <w:r w:rsidRPr="008E19A3">
              <w:rPr>
                <w:sz w:val="24"/>
                <w:szCs w:val="24"/>
              </w:rPr>
              <w:t>Efter mindst</w:t>
            </w:r>
          </w:p>
          <w:p w14:paraId="383BF041" w14:textId="77777777" w:rsidR="00C7249D" w:rsidRPr="008E19A3" w:rsidRDefault="00C7249D">
            <w:pPr>
              <w:ind w:left="-36"/>
              <w:rPr>
                <w:sz w:val="24"/>
                <w:szCs w:val="24"/>
              </w:rPr>
            </w:pPr>
            <w:r w:rsidRPr="008E19A3">
              <w:rPr>
                <w:sz w:val="24"/>
                <w:szCs w:val="24"/>
              </w:rPr>
              <w:t>6 måneders behandling for DVT eller PE</w:t>
            </w:r>
          </w:p>
        </w:tc>
        <w:tc>
          <w:tcPr>
            <w:tcW w:w="1285" w:type="pct"/>
            <w:tcBorders>
              <w:top w:val="single" w:sz="4" w:space="0" w:color="000000"/>
              <w:left w:val="single" w:sz="4" w:space="0" w:color="000000"/>
              <w:bottom w:val="single" w:sz="4" w:space="0" w:color="000000"/>
              <w:right w:val="single" w:sz="4" w:space="0" w:color="000000"/>
            </w:tcBorders>
            <w:hideMark/>
          </w:tcPr>
          <w:p w14:paraId="6E7CB431" w14:textId="77777777" w:rsidR="00C7249D" w:rsidRPr="008E19A3" w:rsidRDefault="00C7249D">
            <w:pPr>
              <w:ind w:left="3"/>
              <w:rPr>
                <w:sz w:val="24"/>
                <w:szCs w:val="24"/>
              </w:rPr>
            </w:pPr>
            <w:r w:rsidRPr="008E19A3">
              <w:rPr>
                <w:sz w:val="24"/>
                <w:szCs w:val="24"/>
              </w:rPr>
              <w:t>10 mg en gang daglig eller 20 mg en gang daglig</w:t>
            </w:r>
          </w:p>
        </w:tc>
        <w:tc>
          <w:tcPr>
            <w:tcW w:w="1162" w:type="pct"/>
            <w:tcBorders>
              <w:top w:val="single" w:sz="4" w:space="0" w:color="000000"/>
              <w:left w:val="single" w:sz="4" w:space="0" w:color="000000"/>
              <w:bottom w:val="single" w:sz="4" w:space="0" w:color="000000"/>
              <w:right w:val="single" w:sz="4" w:space="0" w:color="000000"/>
            </w:tcBorders>
            <w:hideMark/>
          </w:tcPr>
          <w:p w14:paraId="4119C00D" w14:textId="77777777" w:rsidR="00C7249D" w:rsidRPr="008E19A3" w:rsidRDefault="00C7249D">
            <w:pPr>
              <w:rPr>
                <w:sz w:val="24"/>
                <w:szCs w:val="24"/>
              </w:rPr>
            </w:pPr>
            <w:r w:rsidRPr="008E19A3">
              <w:rPr>
                <w:sz w:val="24"/>
                <w:szCs w:val="24"/>
              </w:rPr>
              <w:t>10 mg</w:t>
            </w:r>
          </w:p>
          <w:p w14:paraId="13E97D21" w14:textId="77777777" w:rsidR="00C7249D" w:rsidRPr="008E19A3" w:rsidRDefault="00C7249D">
            <w:pPr>
              <w:rPr>
                <w:sz w:val="24"/>
                <w:szCs w:val="24"/>
              </w:rPr>
            </w:pPr>
            <w:r w:rsidRPr="008E19A3">
              <w:rPr>
                <w:sz w:val="24"/>
                <w:szCs w:val="24"/>
              </w:rPr>
              <w:t>eller 20 mg</w:t>
            </w:r>
          </w:p>
        </w:tc>
      </w:tr>
    </w:tbl>
    <w:p w14:paraId="57C10475" w14:textId="77777777" w:rsidR="00C7249D" w:rsidRPr="008E19A3" w:rsidRDefault="00C7249D" w:rsidP="00C7249D">
      <w:pPr>
        <w:ind w:left="851"/>
        <w:rPr>
          <w:sz w:val="24"/>
          <w:szCs w:val="24"/>
        </w:rPr>
      </w:pPr>
    </w:p>
    <w:p w14:paraId="22D4F0B8" w14:textId="2F79ECD0" w:rsidR="00C7249D" w:rsidRPr="008E19A3" w:rsidRDefault="00C7249D" w:rsidP="00C7249D">
      <w:pPr>
        <w:ind w:left="851"/>
        <w:rPr>
          <w:sz w:val="24"/>
          <w:szCs w:val="24"/>
        </w:rPr>
      </w:pPr>
      <w:r w:rsidRPr="008E19A3">
        <w:rPr>
          <w:sz w:val="24"/>
          <w:szCs w:val="24"/>
        </w:rPr>
        <w:lastRenderedPageBreak/>
        <w:t xml:space="preserve">Hvis en dosis overspringes under behandlingsfasen (dag 1 - 21) med 15 mg to gange daglig, skal patienten straks tage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for at sikre en dosis på 30 mg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per dag. I dette tilfælde er det i orden at tage to 15 mg-kaps</w:t>
      </w:r>
      <w:r w:rsidR="008E19A3" w:rsidRPr="008E19A3">
        <w:rPr>
          <w:sz w:val="24"/>
          <w:szCs w:val="24"/>
        </w:rPr>
        <w:t>l</w:t>
      </w:r>
      <w:r w:rsidRPr="008E19A3">
        <w:rPr>
          <w:sz w:val="24"/>
          <w:szCs w:val="24"/>
        </w:rPr>
        <w:t>er på en gang. Næste dag skal patienten fortsætte med den ordinerede dosering på 15 mg to gange daglig.</w:t>
      </w:r>
    </w:p>
    <w:p w14:paraId="5E23921E" w14:textId="77777777" w:rsidR="00C7249D" w:rsidRPr="008E19A3" w:rsidRDefault="00C7249D" w:rsidP="00C7249D">
      <w:pPr>
        <w:ind w:left="851"/>
        <w:rPr>
          <w:sz w:val="24"/>
          <w:szCs w:val="24"/>
        </w:rPr>
      </w:pPr>
    </w:p>
    <w:p w14:paraId="15A9697C" w14:textId="46E1312F" w:rsidR="00C7249D" w:rsidRPr="008E19A3" w:rsidRDefault="00C7249D" w:rsidP="00C7249D">
      <w:pPr>
        <w:ind w:left="851"/>
        <w:rPr>
          <w:sz w:val="24"/>
          <w:szCs w:val="24"/>
        </w:rPr>
      </w:pPr>
      <w:r w:rsidRPr="008E19A3">
        <w:rPr>
          <w:sz w:val="24"/>
          <w:szCs w:val="24"/>
        </w:rPr>
        <w:t xml:space="preserve">Hvis en dosis overspringes under behandlingsfasen med en kapsel en gang daglig, skal patienten straks tage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Næste dag skal patienten fortsætte med den ordinerede dosering på en kapsel en gang daglig. Patienten må ikke tage dobbelt dosis samme dag for et indhente en oversprunget dosis.</w:t>
      </w:r>
    </w:p>
    <w:p w14:paraId="1F4072B2" w14:textId="77777777" w:rsidR="00C7249D" w:rsidRPr="008E19A3" w:rsidRDefault="00C7249D" w:rsidP="00C7249D">
      <w:pPr>
        <w:ind w:left="851"/>
        <w:rPr>
          <w:sz w:val="24"/>
          <w:szCs w:val="24"/>
        </w:rPr>
      </w:pPr>
    </w:p>
    <w:p w14:paraId="067CD66F" w14:textId="3D89B923" w:rsidR="00C7249D" w:rsidRPr="008E19A3" w:rsidRDefault="00C7249D" w:rsidP="00C7249D">
      <w:pPr>
        <w:ind w:left="851"/>
        <w:rPr>
          <w:i/>
          <w:sz w:val="24"/>
          <w:szCs w:val="24"/>
        </w:rPr>
      </w:pPr>
      <w:r w:rsidRPr="008E19A3">
        <w:rPr>
          <w:i/>
          <w:sz w:val="24"/>
          <w:szCs w:val="24"/>
        </w:rPr>
        <w:t xml:space="preserve">Skift fra vitamin-K-antagonister (VKA) til Rivaroxaban </w:t>
      </w:r>
      <w:r w:rsidR="008E19A3" w:rsidRPr="008E19A3">
        <w:rPr>
          <w:i/>
          <w:sz w:val="24"/>
          <w:szCs w:val="24"/>
        </w:rPr>
        <w:t>"</w:t>
      </w:r>
      <w:r w:rsidRPr="008E19A3">
        <w:rPr>
          <w:i/>
          <w:sz w:val="24"/>
          <w:szCs w:val="24"/>
        </w:rPr>
        <w:t>Zentiva</w:t>
      </w:r>
      <w:r w:rsidR="008E19A3" w:rsidRPr="008E19A3">
        <w:rPr>
          <w:i/>
          <w:sz w:val="24"/>
          <w:szCs w:val="24"/>
        </w:rPr>
        <w:t>"</w:t>
      </w:r>
    </w:p>
    <w:p w14:paraId="7E3B0389" w14:textId="5FE8686F" w:rsidR="00C7249D" w:rsidRPr="008E19A3" w:rsidRDefault="00C7249D" w:rsidP="00C7249D">
      <w:pPr>
        <w:ind w:left="851"/>
        <w:rPr>
          <w:sz w:val="24"/>
          <w:szCs w:val="24"/>
        </w:rPr>
      </w:pPr>
      <w:r w:rsidRPr="008E19A3">
        <w:rPr>
          <w:sz w:val="24"/>
          <w:szCs w:val="24"/>
        </w:rPr>
        <w:t xml:space="preserve">For patienter, der behandles for DVT, LE og forebyggelse af recidiv, skal VKA-behandlingen seponeres, og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behandlingen indledes, så snart INR ≤</w:t>
      </w:r>
      <w:r w:rsidR="008E19A3" w:rsidRPr="008E19A3">
        <w:rPr>
          <w:sz w:val="24"/>
          <w:szCs w:val="24"/>
        </w:rPr>
        <w:t> </w:t>
      </w:r>
      <w:r w:rsidRPr="008E19A3">
        <w:rPr>
          <w:sz w:val="24"/>
          <w:szCs w:val="24"/>
        </w:rPr>
        <w:t>2,5.</w:t>
      </w:r>
    </w:p>
    <w:p w14:paraId="3903AD35" w14:textId="77777777" w:rsidR="00C7249D" w:rsidRPr="008E19A3" w:rsidRDefault="00C7249D" w:rsidP="00C7249D">
      <w:pPr>
        <w:ind w:left="851"/>
        <w:rPr>
          <w:sz w:val="24"/>
          <w:szCs w:val="24"/>
        </w:rPr>
      </w:pPr>
    </w:p>
    <w:p w14:paraId="5D18AFA1" w14:textId="7DD72FF5" w:rsidR="00C7249D" w:rsidRPr="008E19A3" w:rsidRDefault="00C7249D" w:rsidP="00C7249D">
      <w:pPr>
        <w:ind w:left="851"/>
        <w:rPr>
          <w:sz w:val="24"/>
          <w:szCs w:val="24"/>
        </w:rPr>
      </w:pPr>
      <w:r w:rsidRPr="008E19A3">
        <w:rPr>
          <w:sz w:val="24"/>
          <w:szCs w:val="24"/>
        </w:rPr>
        <w:t xml:space="preserve">Ved skift af patienter fra VKA til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kan der optræde en falsk stigning i International Normalized Ratio (INR)-værdien efter indtagelse af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INR er ikke et pålideligt mål for den antikoagulerende aktivitet af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og bør derfor ikke benyttes (se pkt. 4.5).</w:t>
      </w:r>
    </w:p>
    <w:p w14:paraId="1716AA7A" w14:textId="77777777" w:rsidR="00C7249D" w:rsidRPr="008E19A3" w:rsidRDefault="00C7249D" w:rsidP="00C7249D">
      <w:pPr>
        <w:ind w:left="851"/>
        <w:rPr>
          <w:sz w:val="24"/>
          <w:szCs w:val="24"/>
        </w:rPr>
      </w:pPr>
    </w:p>
    <w:p w14:paraId="5B96CEE1" w14:textId="3003172A" w:rsidR="00C7249D" w:rsidRPr="008E19A3" w:rsidRDefault="00C7249D" w:rsidP="00C7249D">
      <w:pPr>
        <w:ind w:left="851"/>
        <w:rPr>
          <w:i/>
          <w:sz w:val="24"/>
          <w:szCs w:val="24"/>
        </w:rPr>
      </w:pPr>
      <w:r w:rsidRPr="008E19A3">
        <w:rPr>
          <w:i/>
          <w:sz w:val="24"/>
          <w:szCs w:val="24"/>
        </w:rPr>
        <w:t xml:space="preserve">Skift fra Rivaroxaban </w:t>
      </w:r>
      <w:r w:rsidR="008E19A3" w:rsidRPr="008E19A3">
        <w:rPr>
          <w:i/>
          <w:sz w:val="24"/>
          <w:szCs w:val="24"/>
        </w:rPr>
        <w:t>"</w:t>
      </w:r>
      <w:r w:rsidRPr="008E19A3">
        <w:rPr>
          <w:i/>
          <w:sz w:val="24"/>
          <w:szCs w:val="24"/>
        </w:rPr>
        <w:t>Zentiva</w:t>
      </w:r>
      <w:r w:rsidR="008E19A3" w:rsidRPr="008E19A3">
        <w:rPr>
          <w:i/>
          <w:sz w:val="24"/>
          <w:szCs w:val="24"/>
        </w:rPr>
        <w:t>"</w:t>
      </w:r>
      <w:r w:rsidRPr="008E19A3">
        <w:rPr>
          <w:i/>
          <w:sz w:val="24"/>
          <w:szCs w:val="24"/>
        </w:rPr>
        <w:t xml:space="preserve"> til vitamin-K-antagonister (VKA)</w:t>
      </w:r>
    </w:p>
    <w:p w14:paraId="438B6F4C" w14:textId="1627EFC1" w:rsidR="00C7249D" w:rsidRPr="008E19A3" w:rsidRDefault="00C7249D" w:rsidP="00C7249D">
      <w:pPr>
        <w:ind w:left="851"/>
        <w:rPr>
          <w:sz w:val="24"/>
          <w:szCs w:val="24"/>
        </w:rPr>
      </w:pPr>
      <w:r w:rsidRPr="008E19A3">
        <w:rPr>
          <w:sz w:val="24"/>
          <w:szCs w:val="24"/>
        </w:rPr>
        <w:t xml:space="preserve">Der er risiko for utilstrækkelig antikoagulation under skiftet fra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til VKA. Tilstrækkelig, kontinuerlig antikoagulation skal sikres under skift fra et antikoagulans til et andet. Det skal bemærkes, at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kan medføre forhøjet INR.</w:t>
      </w:r>
    </w:p>
    <w:p w14:paraId="57397D1E" w14:textId="3BFB7E2C" w:rsidR="00C7249D" w:rsidRPr="008E19A3" w:rsidRDefault="00C7249D" w:rsidP="00C7249D">
      <w:pPr>
        <w:ind w:left="851"/>
        <w:rPr>
          <w:sz w:val="24"/>
          <w:szCs w:val="24"/>
        </w:rPr>
      </w:pPr>
      <w:r w:rsidRPr="008E19A3">
        <w:rPr>
          <w:sz w:val="24"/>
          <w:szCs w:val="24"/>
        </w:rPr>
        <w:t xml:space="preserve">Hos patienter, der skifter fra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og VKA, bør INR tidligst måles 24 timer efter den seneste dosis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men før den næste dosis. 24 timer efter seponering af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er det atter muligt at foretage pålidelige INR-målinger (se pkt. 4.5 og 5.2).</w:t>
      </w:r>
    </w:p>
    <w:p w14:paraId="5381BED0" w14:textId="77777777" w:rsidR="00C7249D" w:rsidRPr="008E19A3" w:rsidRDefault="00C7249D" w:rsidP="00C7249D">
      <w:pPr>
        <w:ind w:left="851"/>
        <w:rPr>
          <w:sz w:val="24"/>
          <w:szCs w:val="24"/>
        </w:rPr>
      </w:pPr>
    </w:p>
    <w:p w14:paraId="33822660" w14:textId="01F3C092" w:rsidR="00C7249D" w:rsidRPr="008E19A3" w:rsidRDefault="00C7249D" w:rsidP="00C7249D">
      <w:pPr>
        <w:ind w:left="851"/>
        <w:rPr>
          <w:i/>
          <w:sz w:val="24"/>
          <w:szCs w:val="24"/>
        </w:rPr>
      </w:pPr>
      <w:r w:rsidRPr="008E19A3">
        <w:rPr>
          <w:i/>
          <w:sz w:val="24"/>
          <w:szCs w:val="24"/>
        </w:rPr>
        <w:t xml:space="preserve">Skift fra parenterale antikoagulantia til Rivaroxaban </w:t>
      </w:r>
      <w:r w:rsidR="008E19A3" w:rsidRPr="008E19A3">
        <w:rPr>
          <w:i/>
          <w:sz w:val="24"/>
          <w:szCs w:val="24"/>
        </w:rPr>
        <w:t>"</w:t>
      </w:r>
      <w:r w:rsidRPr="008E19A3">
        <w:rPr>
          <w:i/>
          <w:sz w:val="24"/>
          <w:szCs w:val="24"/>
        </w:rPr>
        <w:t>Zentiva</w:t>
      </w:r>
      <w:r w:rsidR="008E19A3" w:rsidRPr="008E19A3">
        <w:rPr>
          <w:i/>
          <w:sz w:val="24"/>
          <w:szCs w:val="24"/>
        </w:rPr>
        <w:t>"</w:t>
      </w:r>
    </w:p>
    <w:p w14:paraId="23071189" w14:textId="347E6401" w:rsidR="00C7249D" w:rsidRPr="008E19A3" w:rsidRDefault="00C7249D" w:rsidP="00C7249D">
      <w:pPr>
        <w:ind w:left="851"/>
        <w:rPr>
          <w:sz w:val="24"/>
          <w:szCs w:val="24"/>
        </w:rPr>
      </w:pPr>
      <w:r w:rsidRPr="008E19A3">
        <w:rPr>
          <w:sz w:val="24"/>
          <w:szCs w:val="24"/>
        </w:rPr>
        <w:t xml:space="preserve">For patienter, der aktuelt tager et parenteralt antikoagulans, skal det parenterale antikoagulans seponeres og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startes op 0 til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61387462" w14:textId="77777777" w:rsidR="00C7249D" w:rsidRPr="008E19A3" w:rsidRDefault="00C7249D" w:rsidP="00C7249D">
      <w:pPr>
        <w:ind w:left="851"/>
        <w:rPr>
          <w:sz w:val="24"/>
          <w:szCs w:val="24"/>
        </w:rPr>
      </w:pPr>
    </w:p>
    <w:p w14:paraId="4DD5B59B" w14:textId="508C0FC5" w:rsidR="00C7249D" w:rsidRPr="008E19A3" w:rsidRDefault="00C7249D" w:rsidP="00C7249D">
      <w:pPr>
        <w:ind w:left="851"/>
        <w:rPr>
          <w:i/>
          <w:sz w:val="24"/>
          <w:szCs w:val="24"/>
        </w:rPr>
      </w:pPr>
      <w:r w:rsidRPr="008E19A3">
        <w:rPr>
          <w:i/>
          <w:sz w:val="24"/>
          <w:szCs w:val="24"/>
        </w:rPr>
        <w:t xml:space="preserve">Skift fra </w:t>
      </w:r>
      <w:r w:rsidRPr="008E19A3">
        <w:rPr>
          <w:i/>
          <w:iCs/>
          <w:sz w:val="24"/>
          <w:szCs w:val="24"/>
        </w:rPr>
        <w:t xml:space="preserve">Rivaroxaban </w:t>
      </w:r>
      <w:r w:rsidR="008E19A3" w:rsidRPr="008E19A3">
        <w:rPr>
          <w:i/>
          <w:iCs/>
          <w:sz w:val="24"/>
          <w:szCs w:val="24"/>
        </w:rPr>
        <w:t>"</w:t>
      </w:r>
      <w:r w:rsidRPr="008E19A3">
        <w:rPr>
          <w:i/>
          <w:iCs/>
          <w:sz w:val="24"/>
          <w:szCs w:val="24"/>
        </w:rPr>
        <w:t>Zentiva</w:t>
      </w:r>
      <w:r w:rsidR="008E19A3" w:rsidRPr="008E19A3">
        <w:rPr>
          <w:i/>
          <w:iCs/>
          <w:sz w:val="24"/>
          <w:szCs w:val="24"/>
        </w:rPr>
        <w:t>"</w:t>
      </w:r>
      <w:r w:rsidRPr="008E19A3">
        <w:rPr>
          <w:sz w:val="24"/>
          <w:szCs w:val="24"/>
        </w:rPr>
        <w:t xml:space="preserve"> </w:t>
      </w:r>
      <w:r w:rsidRPr="008E19A3">
        <w:rPr>
          <w:i/>
          <w:sz w:val="24"/>
          <w:szCs w:val="24"/>
        </w:rPr>
        <w:t>til parenterale antikoagulantia</w:t>
      </w:r>
    </w:p>
    <w:p w14:paraId="1AA4EBA1" w14:textId="40FDECAA" w:rsidR="00C7249D" w:rsidRPr="008E19A3" w:rsidRDefault="00C7249D" w:rsidP="00C7249D">
      <w:pPr>
        <w:ind w:left="851"/>
        <w:rPr>
          <w:sz w:val="24"/>
          <w:szCs w:val="24"/>
        </w:rPr>
      </w:pPr>
      <w:r w:rsidRPr="008E19A3">
        <w:rPr>
          <w:sz w:val="24"/>
          <w:szCs w:val="24"/>
        </w:rPr>
        <w:t xml:space="preserve">Første dosis af det parenterale antikoagulans administreres på tidspunktet for næste planlagte administration af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w:t>
      </w:r>
    </w:p>
    <w:p w14:paraId="43F03DAE" w14:textId="77777777" w:rsidR="00C7249D" w:rsidRPr="008E19A3" w:rsidRDefault="00C7249D" w:rsidP="00C7249D">
      <w:pPr>
        <w:ind w:left="851"/>
        <w:rPr>
          <w:sz w:val="24"/>
          <w:szCs w:val="24"/>
        </w:rPr>
      </w:pPr>
    </w:p>
    <w:p w14:paraId="727B0CE8" w14:textId="77777777" w:rsidR="00C7249D" w:rsidRPr="008E19A3" w:rsidRDefault="00C7249D" w:rsidP="00C7249D">
      <w:pPr>
        <w:ind w:left="851"/>
        <w:rPr>
          <w:i/>
          <w:sz w:val="24"/>
          <w:szCs w:val="24"/>
        </w:rPr>
      </w:pPr>
      <w:r w:rsidRPr="008E19A3">
        <w:rPr>
          <w:i/>
          <w:sz w:val="24"/>
          <w:szCs w:val="24"/>
          <w:u w:val="single"/>
        </w:rPr>
        <w:t>Særlige populationer</w:t>
      </w:r>
    </w:p>
    <w:p w14:paraId="75AB122B" w14:textId="77777777" w:rsidR="00C7249D" w:rsidRPr="008E19A3" w:rsidRDefault="00C7249D" w:rsidP="00C7249D">
      <w:pPr>
        <w:ind w:left="851"/>
        <w:rPr>
          <w:i/>
          <w:sz w:val="24"/>
          <w:szCs w:val="24"/>
        </w:rPr>
      </w:pPr>
      <w:r w:rsidRPr="008E19A3">
        <w:rPr>
          <w:i/>
          <w:sz w:val="24"/>
          <w:szCs w:val="24"/>
        </w:rPr>
        <w:t>Nedsat nyrefunktion</w:t>
      </w:r>
    </w:p>
    <w:p w14:paraId="3EE4FF6C" w14:textId="137FDD38" w:rsidR="00C7249D" w:rsidRPr="008E19A3" w:rsidRDefault="00C7249D" w:rsidP="00C7249D">
      <w:pPr>
        <w:ind w:left="851"/>
        <w:rPr>
          <w:sz w:val="24"/>
          <w:szCs w:val="24"/>
        </w:rPr>
      </w:pPr>
      <w:r w:rsidRPr="008E19A3">
        <w:rPr>
          <w:sz w:val="24"/>
          <w:szCs w:val="24"/>
        </w:rPr>
        <w:t xml:space="preserve">Der foreligger begrænsede kliniske data for patienter med svært nedsat nyrefunktion (kreatininclearance 15 - 29 mL/min), og disse data indikerer, at plasmakoncentrationerne af rivaroxaban stiger signifikant.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skal derfor anvendes med </w:t>
      </w:r>
      <w:r w:rsidRPr="008E19A3">
        <w:rPr>
          <w:sz w:val="24"/>
          <w:szCs w:val="24"/>
        </w:rPr>
        <w:lastRenderedPageBreak/>
        <w:t>forsigtighed hos disse patienter. Anvendelse til patienter med en kreatininclearance på &lt;15</w:t>
      </w:r>
      <w:r w:rsidR="008E19A3">
        <w:rPr>
          <w:sz w:val="24"/>
          <w:szCs w:val="24"/>
        </w:rPr>
        <w:t> </w:t>
      </w:r>
      <w:r w:rsidRPr="008E19A3">
        <w:rPr>
          <w:sz w:val="24"/>
          <w:szCs w:val="24"/>
        </w:rPr>
        <w:t>mL/min anbefales ikke (se pkt. 4.4 og 5.2).</w:t>
      </w:r>
    </w:p>
    <w:p w14:paraId="72279930" w14:textId="77777777" w:rsidR="00C7249D" w:rsidRPr="008E19A3" w:rsidRDefault="00C7249D" w:rsidP="00C7249D">
      <w:pPr>
        <w:ind w:left="851"/>
        <w:rPr>
          <w:sz w:val="24"/>
          <w:szCs w:val="24"/>
        </w:rPr>
      </w:pPr>
    </w:p>
    <w:p w14:paraId="742CC729" w14:textId="77777777" w:rsidR="00C7249D" w:rsidRPr="008E19A3" w:rsidRDefault="00C7249D" w:rsidP="00C7249D">
      <w:pPr>
        <w:pStyle w:val="Listeafsnit"/>
        <w:numPr>
          <w:ilvl w:val="0"/>
          <w:numId w:val="7"/>
        </w:numPr>
        <w:rPr>
          <w:sz w:val="24"/>
          <w:szCs w:val="24"/>
          <w:lang w:val="da-DK"/>
        </w:rPr>
      </w:pPr>
      <w:r w:rsidRPr="008E19A3">
        <w:rPr>
          <w:sz w:val="24"/>
          <w:szCs w:val="24"/>
          <w:lang w:val="da-DK"/>
        </w:rPr>
        <w:t>Til forebyggelse af VTE hos voksne patienter, der gennemgår planlagt hofteleds- eller knæledsalloplastik, kræves der ingen dosisjustering hos patienter med let nedsat nyrefunktion (kreatinclearance 50 - 80 mL/min) eller moderat nedsat nyrefunktion (kreatininclearance 30 - 49 mL/min) (se pkt. 5.2).</w:t>
      </w:r>
    </w:p>
    <w:p w14:paraId="74E1727E" w14:textId="77777777" w:rsidR="00C7249D" w:rsidRPr="008E19A3" w:rsidRDefault="00C7249D" w:rsidP="00C7249D">
      <w:pPr>
        <w:pStyle w:val="Listeafsnit"/>
        <w:ind w:left="1211" w:firstLine="0"/>
        <w:rPr>
          <w:sz w:val="24"/>
          <w:szCs w:val="24"/>
          <w:lang w:val="da-DK"/>
        </w:rPr>
      </w:pPr>
    </w:p>
    <w:p w14:paraId="07F23CB2" w14:textId="77777777" w:rsidR="00C7249D" w:rsidRPr="008E19A3" w:rsidRDefault="00C7249D" w:rsidP="00C7249D">
      <w:pPr>
        <w:pStyle w:val="Listeafsnit"/>
        <w:numPr>
          <w:ilvl w:val="0"/>
          <w:numId w:val="7"/>
        </w:numPr>
        <w:rPr>
          <w:sz w:val="24"/>
          <w:szCs w:val="24"/>
          <w:lang w:val="da-DK"/>
        </w:rPr>
      </w:pPr>
      <w:r w:rsidRPr="008E19A3">
        <w:rPr>
          <w:sz w:val="24"/>
          <w:szCs w:val="24"/>
          <w:lang w:val="da-DK"/>
        </w:rPr>
        <w:t>Til behandling af DVT, behandling af LE og forebyggelse af recidiverende DVT og LE, kræves der ingen dosisjustering af den anbefalede dosis hos patienter med let nedsat nyrefunktion (kreatinclearance 50 - 80 mL/min) (se pkt. 5.2).</w:t>
      </w:r>
      <w:r w:rsidRPr="008E19A3">
        <w:rPr>
          <w:sz w:val="24"/>
          <w:szCs w:val="24"/>
          <w:lang w:val="da-DK"/>
        </w:rPr>
        <w:br/>
        <w:t>Hos patienter med moderat nedsat nyrefunktion (kreatininclearance 30 - 49 mL/min) eller svært nedsat nyrefunktion (kreatininclearance 15 - 29 mL/min): Patienten skal behandles med 15 mg to gange daglig i de første tre uger. Derefter, når den anbefalede dosis er 20 mg en gang daglig, bør en dosisreduktion fra 20 mg en gang daglig til 15 mg en gang daglig overvejes, hvis det vurderes, at patientens risiko for blødning vejer tungere end risikoen for recidiverende LE og DVT. Anbefalingen af brug af 15 mg er baseret på farmakokinetisk modellering og er ikke undersøgt klinisk (se pkt. 4.4, 5.1 og 5.2).</w:t>
      </w:r>
    </w:p>
    <w:p w14:paraId="730F21F2" w14:textId="77777777" w:rsidR="00C7249D" w:rsidRPr="008E19A3" w:rsidRDefault="00C7249D" w:rsidP="00C7249D">
      <w:pPr>
        <w:pStyle w:val="Listeafsnit"/>
        <w:ind w:left="1211" w:firstLine="0"/>
        <w:rPr>
          <w:sz w:val="24"/>
          <w:szCs w:val="24"/>
          <w:lang w:val="da-DK"/>
        </w:rPr>
      </w:pPr>
      <w:r w:rsidRPr="008E19A3">
        <w:rPr>
          <w:sz w:val="24"/>
          <w:szCs w:val="24"/>
          <w:lang w:val="da-DK"/>
        </w:rPr>
        <w:t>Når den anbefalede dosis er 10 mg en gang daglig, kræves der ingen dosisjustering af den anbefalede dosis.</w:t>
      </w:r>
    </w:p>
    <w:p w14:paraId="26964457" w14:textId="77777777" w:rsidR="00C7249D" w:rsidRPr="008E19A3" w:rsidRDefault="00C7249D" w:rsidP="00C7249D">
      <w:pPr>
        <w:ind w:left="851"/>
        <w:rPr>
          <w:sz w:val="24"/>
          <w:szCs w:val="24"/>
        </w:rPr>
      </w:pPr>
    </w:p>
    <w:p w14:paraId="6DC88828" w14:textId="77777777" w:rsidR="00C7249D" w:rsidRPr="008E19A3" w:rsidRDefault="00C7249D" w:rsidP="00C7249D">
      <w:pPr>
        <w:ind w:left="851"/>
        <w:rPr>
          <w:i/>
          <w:sz w:val="24"/>
          <w:szCs w:val="24"/>
        </w:rPr>
      </w:pPr>
      <w:r w:rsidRPr="008E19A3">
        <w:rPr>
          <w:i/>
          <w:sz w:val="24"/>
          <w:szCs w:val="24"/>
        </w:rPr>
        <w:t>Nedsat leverfunktion</w:t>
      </w:r>
    </w:p>
    <w:p w14:paraId="411C5C78" w14:textId="203CF530" w:rsidR="00C7249D" w:rsidRPr="008E19A3" w:rsidRDefault="00C7249D" w:rsidP="00C7249D">
      <w:pPr>
        <w:ind w:left="851"/>
        <w:rPr>
          <w:sz w:val="24"/>
          <w:szCs w:val="24"/>
        </w:rPr>
      </w:pPr>
      <w:r w:rsidRPr="008E19A3">
        <w:rPr>
          <w:sz w:val="24"/>
          <w:szCs w:val="24"/>
        </w:rPr>
        <w:t xml:space="preserve">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er kontraindiceret hos patienter med leversygdom, som er forbundet med koagulationsdefekt og en klinisk relevant blødningsrisiko, herunder cirrosepatienter med Child-Pugh B og C (se pkt. 4.3 og 5.2).</w:t>
      </w:r>
    </w:p>
    <w:p w14:paraId="78143DD5" w14:textId="77777777" w:rsidR="00C7249D" w:rsidRPr="008E19A3" w:rsidRDefault="00C7249D" w:rsidP="00C7249D">
      <w:pPr>
        <w:ind w:left="851"/>
        <w:rPr>
          <w:sz w:val="24"/>
          <w:szCs w:val="24"/>
        </w:rPr>
      </w:pPr>
    </w:p>
    <w:p w14:paraId="3B951734" w14:textId="77777777" w:rsidR="00C7249D" w:rsidRPr="008E19A3" w:rsidRDefault="00C7249D" w:rsidP="00C7249D">
      <w:pPr>
        <w:ind w:left="851"/>
        <w:rPr>
          <w:i/>
          <w:sz w:val="24"/>
          <w:szCs w:val="24"/>
        </w:rPr>
      </w:pPr>
      <w:r w:rsidRPr="008E19A3">
        <w:rPr>
          <w:i/>
          <w:sz w:val="24"/>
          <w:szCs w:val="24"/>
        </w:rPr>
        <w:t>Ældre population</w:t>
      </w:r>
    </w:p>
    <w:p w14:paraId="61A8056C" w14:textId="77777777" w:rsidR="00C7249D" w:rsidRPr="008E19A3" w:rsidRDefault="00C7249D" w:rsidP="00C7249D">
      <w:pPr>
        <w:ind w:left="851"/>
        <w:rPr>
          <w:sz w:val="24"/>
          <w:szCs w:val="24"/>
        </w:rPr>
      </w:pPr>
      <w:r w:rsidRPr="008E19A3">
        <w:rPr>
          <w:sz w:val="24"/>
          <w:szCs w:val="24"/>
        </w:rPr>
        <w:t>Ingen dosisjustering (se pkt. 5.2)</w:t>
      </w:r>
    </w:p>
    <w:p w14:paraId="05E4F0C8" w14:textId="77777777" w:rsidR="00C7249D" w:rsidRPr="008E19A3" w:rsidRDefault="00C7249D" w:rsidP="00C7249D">
      <w:pPr>
        <w:ind w:left="851"/>
        <w:rPr>
          <w:sz w:val="24"/>
          <w:szCs w:val="24"/>
        </w:rPr>
      </w:pPr>
    </w:p>
    <w:p w14:paraId="3AF5D564" w14:textId="77777777" w:rsidR="00C7249D" w:rsidRPr="008E19A3" w:rsidRDefault="00C7249D" w:rsidP="00C7249D">
      <w:pPr>
        <w:ind w:left="851"/>
        <w:rPr>
          <w:i/>
          <w:sz w:val="24"/>
          <w:szCs w:val="24"/>
        </w:rPr>
      </w:pPr>
      <w:r w:rsidRPr="008E19A3">
        <w:rPr>
          <w:i/>
          <w:sz w:val="24"/>
          <w:szCs w:val="24"/>
        </w:rPr>
        <w:t>Legemsvægt</w:t>
      </w:r>
    </w:p>
    <w:p w14:paraId="040821AB" w14:textId="77777777" w:rsidR="00C7249D" w:rsidRPr="008E19A3" w:rsidRDefault="00C7249D" w:rsidP="00C7249D">
      <w:pPr>
        <w:ind w:left="851"/>
        <w:rPr>
          <w:sz w:val="24"/>
          <w:szCs w:val="24"/>
        </w:rPr>
      </w:pPr>
      <w:r w:rsidRPr="008E19A3">
        <w:rPr>
          <w:sz w:val="24"/>
          <w:szCs w:val="24"/>
        </w:rPr>
        <w:t>Ingen dosisjustering (se pkt. 5.2)</w:t>
      </w:r>
    </w:p>
    <w:p w14:paraId="47004369" w14:textId="77777777" w:rsidR="00C7249D" w:rsidRPr="008E19A3" w:rsidRDefault="00C7249D" w:rsidP="00C7249D">
      <w:pPr>
        <w:ind w:left="851"/>
        <w:rPr>
          <w:sz w:val="24"/>
          <w:szCs w:val="24"/>
        </w:rPr>
      </w:pPr>
    </w:p>
    <w:p w14:paraId="7026E603" w14:textId="77777777" w:rsidR="00C7249D" w:rsidRPr="008E19A3" w:rsidRDefault="00C7249D" w:rsidP="00C7249D">
      <w:pPr>
        <w:ind w:left="851"/>
        <w:rPr>
          <w:i/>
          <w:sz w:val="24"/>
          <w:szCs w:val="24"/>
        </w:rPr>
      </w:pPr>
      <w:r w:rsidRPr="008E19A3">
        <w:rPr>
          <w:i/>
          <w:sz w:val="24"/>
          <w:szCs w:val="24"/>
        </w:rPr>
        <w:t>Køn</w:t>
      </w:r>
    </w:p>
    <w:p w14:paraId="1F52FD40" w14:textId="77777777" w:rsidR="00C7249D" w:rsidRPr="008E19A3" w:rsidRDefault="00C7249D" w:rsidP="00C7249D">
      <w:pPr>
        <w:ind w:left="851"/>
        <w:rPr>
          <w:sz w:val="24"/>
          <w:szCs w:val="24"/>
        </w:rPr>
      </w:pPr>
      <w:r w:rsidRPr="008E19A3">
        <w:rPr>
          <w:sz w:val="24"/>
          <w:szCs w:val="24"/>
        </w:rPr>
        <w:t>Ingen dosisjustering (se pkt. 5.2)</w:t>
      </w:r>
    </w:p>
    <w:p w14:paraId="4DCA32FA" w14:textId="77777777" w:rsidR="00C7249D" w:rsidRPr="008E19A3" w:rsidRDefault="00C7249D" w:rsidP="00C7249D">
      <w:pPr>
        <w:ind w:left="851"/>
        <w:rPr>
          <w:sz w:val="24"/>
          <w:szCs w:val="24"/>
        </w:rPr>
      </w:pPr>
    </w:p>
    <w:p w14:paraId="61127989" w14:textId="77777777" w:rsidR="00C7249D" w:rsidRPr="008E19A3" w:rsidRDefault="00C7249D" w:rsidP="00C7249D">
      <w:pPr>
        <w:ind w:left="851"/>
        <w:rPr>
          <w:i/>
          <w:sz w:val="24"/>
          <w:szCs w:val="24"/>
        </w:rPr>
      </w:pPr>
      <w:r w:rsidRPr="008E19A3">
        <w:rPr>
          <w:i/>
          <w:sz w:val="24"/>
          <w:szCs w:val="24"/>
        </w:rPr>
        <w:t>Pædiatrisk population</w:t>
      </w:r>
    </w:p>
    <w:p w14:paraId="1CCD5902" w14:textId="4AB3E4C4" w:rsidR="00C7249D" w:rsidRPr="008E19A3" w:rsidRDefault="00C7249D" w:rsidP="00C7249D">
      <w:pPr>
        <w:ind w:left="851"/>
        <w:rPr>
          <w:sz w:val="24"/>
          <w:szCs w:val="24"/>
        </w:rPr>
      </w:pPr>
      <w:r w:rsidRPr="008E19A3">
        <w:rPr>
          <w:sz w:val="24"/>
          <w:szCs w:val="24"/>
        </w:rPr>
        <w:t xml:space="preserve">Sikkerheden og virkningen af rivaroxaban hos børn fra 0 til 18 år er ikke klarlagt. Der foreligger ingen data. Derfor bør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10 mg kapsler ikke anvendes til børn eller unge under 18 år.</w:t>
      </w:r>
    </w:p>
    <w:p w14:paraId="0CDC6C35" w14:textId="77777777" w:rsidR="00C7249D" w:rsidRPr="008E19A3" w:rsidRDefault="00C7249D" w:rsidP="00C7249D">
      <w:pPr>
        <w:ind w:left="851"/>
        <w:rPr>
          <w:sz w:val="24"/>
          <w:szCs w:val="24"/>
        </w:rPr>
      </w:pPr>
    </w:p>
    <w:p w14:paraId="7F2FF5DB" w14:textId="77777777" w:rsidR="00C7249D" w:rsidRPr="008E19A3" w:rsidRDefault="00C7249D" w:rsidP="00C7249D">
      <w:pPr>
        <w:ind w:left="851"/>
        <w:rPr>
          <w:bCs/>
          <w:sz w:val="24"/>
          <w:szCs w:val="24"/>
          <w:u w:val="single"/>
        </w:rPr>
      </w:pPr>
      <w:r w:rsidRPr="008E19A3">
        <w:rPr>
          <w:bCs/>
          <w:sz w:val="24"/>
          <w:szCs w:val="24"/>
          <w:u w:val="single"/>
        </w:rPr>
        <w:t>Administration</w:t>
      </w:r>
    </w:p>
    <w:p w14:paraId="6DF7D322" w14:textId="14C08A04" w:rsidR="00C7249D" w:rsidRPr="008E19A3" w:rsidRDefault="00C7249D" w:rsidP="00C7249D">
      <w:pPr>
        <w:ind w:left="851"/>
        <w:rPr>
          <w:sz w:val="24"/>
          <w:szCs w:val="24"/>
        </w:rPr>
      </w:pPr>
      <w:r w:rsidRPr="008E19A3">
        <w:rPr>
          <w:sz w:val="24"/>
          <w:szCs w:val="24"/>
        </w:rPr>
        <w:t xml:space="preserve">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er til oral anvendelse.</w:t>
      </w:r>
    </w:p>
    <w:p w14:paraId="576BB3DD" w14:textId="77777777" w:rsidR="00C7249D" w:rsidRPr="008E19A3" w:rsidRDefault="00C7249D" w:rsidP="00C7249D">
      <w:pPr>
        <w:ind w:left="851"/>
        <w:rPr>
          <w:sz w:val="24"/>
          <w:szCs w:val="24"/>
        </w:rPr>
      </w:pPr>
      <w:r w:rsidRPr="008E19A3">
        <w:rPr>
          <w:sz w:val="24"/>
          <w:szCs w:val="24"/>
        </w:rPr>
        <w:t>Kapslerne kan tages sammen med eller uden mad (se pkt. 4.5 og 5.2).</w:t>
      </w:r>
    </w:p>
    <w:p w14:paraId="59E01082" w14:textId="77777777" w:rsidR="00C7249D" w:rsidRPr="008E19A3" w:rsidRDefault="00C7249D" w:rsidP="00C7249D">
      <w:pPr>
        <w:ind w:left="851"/>
        <w:rPr>
          <w:sz w:val="24"/>
          <w:szCs w:val="24"/>
        </w:rPr>
      </w:pPr>
    </w:p>
    <w:p w14:paraId="03E6224C" w14:textId="77777777" w:rsidR="00C7249D" w:rsidRPr="008E19A3" w:rsidRDefault="00C7249D" w:rsidP="00C7249D">
      <w:pPr>
        <w:ind w:left="851"/>
        <w:rPr>
          <w:i/>
          <w:iCs/>
          <w:sz w:val="24"/>
          <w:szCs w:val="24"/>
        </w:rPr>
      </w:pPr>
      <w:bookmarkStart w:id="1" w:name="_Hlk49507968"/>
      <w:r w:rsidRPr="008E19A3">
        <w:rPr>
          <w:i/>
          <w:iCs/>
          <w:sz w:val="24"/>
          <w:szCs w:val="24"/>
        </w:rPr>
        <w:t>Åbning af kapsler</w:t>
      </w:r>
    </w:p>
    <w:p w14:paraId="2EBE73A2" w14:textId="3DA10A1F" w:rsidR="00C7249D" w:rsidRPr="008E19A3" w:rsidRDefault="00C7249D" w:rsidP="00C7249D">
      <w:pPr>
        <w:ind w:left="851"/>
        <w:rPr>
          <w:sz w:val="24"/>
          <w:szCs w:val="24"/>
        </w:rPr>
      </w:pPr>
      <w:r w:rsidRPr="008E19A3">
        <w:rPr>
          <w:sz w:val="24"/>
          <w:szCs w:val="24"/>
        </w:rPr>
        <w:t xml:space="preserve">Hos patienter, der ikke er i stand til at sluge kapsler, kan indholdet af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-kapsel administreres oralt ved at blande den med vand eller æblemos umiddelbart før indtagelse.</w:t>
      </w:r>
    </w:p>
    <w:bookmarkEnd w:id="1"/>
    <w:p w14:paraId="5B66E644" w14:textId="3824D54B" w:rsidR="00C7249D" w:rsidRPr="008E19A3" w:rsidRDefault="00C7249D" w:rsidP="00C7249D">
      <w:pPr>
        <w:ind w:left="851"/>
        <w:rPr>
          <w:bCs/>
          <w:sz w:val="24"/>
          <w:szCs w:val="24"/>
        </w:rPr>
      </w:pPr>
      <w:r w:rsidRPr="008E19A3">
        <w:rPr>
          <w:bCs/>
          <w:sz w:val="24"/>
          <w:szCs w:val="24"/>
        </w:rPr>
        <w:t xml:space="preserve">Indholdet af drysset </w:t>
      </w:r>
      <w:r w:rsidRPr="008E19A3">
        <w:rPr>
          <w:sz w:val="24"/>
          <w:szCs w:val="24"/>
        </w:rPr>
        <w:t xml:space="preserve">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-kapsel</w:t>
      </w:r>
      <w:r w:rsidRPr="008E19A3">
        <w:rPr>
          <w:bCs/>
          <w:sz w:val="24"/>
          <w:szCs w:val="24"/>
        </w:rPr>
        <w:t xml:space="preserve"> kan også gives via en </w:t>
      </w:r>
      <w:r w:rsidRPr="008E19A3">
        <w:rPr>
          <w:sz w:val="24"/>
          <w:szCs w:val="24"/>
        </w:rPr>
        <w:t>mavesonde</w:t>
      </w:r>
      <w:r w:rsidRPr="008E19A3">
        <w:rPr>
          <w:bCs/>
          <w:sz w:val="24"/>
          <w:szCs w:val="24"/>
        </w:rPr>
        <w:t xml:space="preserve"> (se pkt. 5.2 og 6.6).</w:t>
      </w:r>
    </w:p>
    <w:p w14:paraId="0F8CFF5C" w14:textId="77777777" w:rsidR="009260DE" w:rsidRPr="008E19A3" w:rsidRDefault="009260DE" w:rsidP="009260DE">
      <w:pPr>
        <w:tabs>
          <w:tab w:val="left" w:pos="851"/>
        </w:tabs>
        <w:ind w:left="851"/>
        <w:rPr>
          <w:sz w:val="24"/>
          <w:szCs w:val="24"/>
        </w:rPr>
      </w:pPr>
    </w:p>
    <w:p w14:paraId="2F2D1F60" w14:textId="77777777" w:rsidR="009260DE" w:rsidRPr="008E19A3" w:rsidRDefault="009260DE" w:rsidP="009260DE">
      <w:pPr>
        <w:tabs>
          <w:tab w:val="left" w:pos="851"/>
        </w:tabs>
        <w:ind w:left="851" w:hanging="851"/>
        <w:rPr>
          <w:b/>
          <w:sz w:val="24"/>
          <w:szCs w:val="24"/>
        </w:rPr>
      </w:pPr>
      <w:r w:rsidRPr="008E19A3">
        <w:rPr>
          <w:b/>
          <w:sz w:val="24"/>
          <w:szCs w:val="24"/>
        </w:rPr>
        <w:t>4.3</w:t>
      </w:r>
      <w:r w:rsidRPr="008E19A3">
        <w:rPr>
          <w:b/>
          <w:sz w:val="24"/>
          <w:szCs w:val="24"/>
        </w:rPr>
        <w:tab/>
        <w:t>Kontraindikationer</w:t>
      </w:r>
    </w:p>
    <w:p w14:paraId="0D29CA12" w14:textId="77777777" w:rsidR="00C7249D" w:rsidRPr="008E19A3" w:rsidRDefault="00C7249D" w:rsidP="00C7249D">
      <w:pPr>
        <w:tabs>
          <w:tab w:val="left" w:pos="851"/>
        </w:tabs>
        <w:ind w:left="851"/>
        <w:rPr>
          <w:sz w:val="24"/>
          <w:szCs w:val="24"/>
        </w:rPr>
      </w:pPr>
      <w:r w:rsidRPr="008E19A3">
        <w:rPr>
          <w:sz w:val="24"/>
          <w:szCs w:val="24"/>
        </w:rPr>
        <w:t>Overfølsomhed over for det aktive stof eller over for et eller flere af hjælpestofferne anført i pkt. 6.1.</w:t>
      </w:r>
    </w:p>
    <w:p w14:paraId="1739BF07" w14:textId="77777777" w:rsidR="00C7249D" w:rsidRPr="008E19A3" w:rsidRDefault="00C7249D" w:rsidP="00C7249D">
      <w:pPr>
        <w:tabs>
          <w:tab w:val="left" w:pos="851"/>
        </w:tabs>
        <w:ind w:left="851"/>
        <w:rPr>
          <w:sz w:val="24"/>
          <w:szCs w:val="24"/>
        </w:rPr>
      </w:pPr>
    </w:p>
    <w:p w14:paraId="1D6222A6" w14:textId="77777777" w:rsidR="00C7249D" w:rsidRPr="008E19A3" w:rsidRDefault="00C7249D" w:rsidP="00C7249D">
      <w:pPr>
        <w:tabs>
          <w:tab w:val="left" w:pos="851"/>
        </w:tabs>
        <w:ind w:left="851"/>
        <w:rPr>
          <w:sz w:val="24"/>
          <w:szCs w:val="24"/>
        </w:rPr>
      </w:pPr>
      <w:r w:rsidRPr="008E19A3">
        <w:rPr>
          <w:sz w:val="24"/>
          <w:szCs w:val="24"/>
        </w:rPr>
        <w:t>Aktiv, klinisk signifikant blødning.</w:t>
      </w:r>
    </w:p>
    <w:p w14:paraId="58D7E922" w14:textId="77777777" w:rsidR="00C7249D" w:rsidRPr="008E19A3" w:rsidRDefault="00C7249D" w:rsidP="00C7249D">
      <w:pPr>
        <w:tabs>
          <w:tab w:val="left" w:pos="851"/>
        </w:tabs>
        <w:ind w:left="851"/>
        <w:rPr>
          <w:sz w:val="24"/>
          <w:szCs w:val="24"/>
        </w:rPr>
      </w:pPr>
    </w:p>
    <w:p w14:paraId="6E17AB58" w14:textId="77777777" w:rsidR="00C7249D" w:rsidRPr="008E19A3" w:rsidRDefault="00C7249D" w:rsidP="00C7249D">
      <w:pPr>
        <w:tabs>
          <w:tab w:val="left" w:pos="851"/>
        </w:tabs>
        <w:ind w:left="851"/>
        <w:rPr>
          <w:sz w:val="24"/>
          <w:szCs w:val="24"/>
        </w:rPr>
      </w:pPr>
      <w:r w:rsidRPr="008E19A3">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 hjerne-, spinal- eller øjenkirurgi, nylig intrakraniel blødning, kendte og mistænkte øsofagusvaricer, arteriovenøse misdannelser, vaskulære aneurismer eller større intraspinale eller intracerebrale vaskulære abnormiteter.</w:t>
      </w:r>
    </w:p>
    <w:p w14:paraId="1D1541B0" w14:textId="77777777" w:rsidR="00C7249D" w:rsidRPr="008E19A3" w:rsidRDefault="00C7249D" w:rsidP="00C7249D">
      <w:pPr>
        <w:tabs>
          <w:tab w:val="left" w:pos="851"/>
        </w:tabs>
        <w:ind w:left="851"/>
        <w:rPr>
          <w:sz w:val="24"/>
          <w:szCs w:val="24"/>
        </w:rPr>
      </w:pPr>
    </w:p>
    <w:p w14:paraId="5385B402" w14:textId="77777777" w:rsidR="00C7249D" w:rsidRPr="008E19A3" w:rsidRDefault="00C7249D" w:rsidP="00C7249D">
      <w:pPr>
        <w:tabs>
          <w:tab w:val="left" w:pos="851"/>
        </w:tabs>
        <w:ind w:left="851"/>
        <w:rPr>
          <w:sz w:val="24"/>
          <w:szCs w:val="24"/>
        </w:rPr>
      </w:pPr>
      <w:r w:rsidRPr="008E19A3">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4B579DF9" w14:textId="77777777" w:rsidR="00C7249D" w:rsidRPr="008E19A3" w:rsidRDefault="00C7249D" w:rsidP="00C7249D">
      <w:pPr>
        <w:tabs>
          <w:tab w:val="left" w:pos="851"/>
        </w:tabs>
        <w:ind w:left="851"/>
        <w:rPr>
          <w:sz w:val="24"/>
          <w:szCs w:val="24"/>
        </w:rPr>
      </w:pPr>
    </w:p>
    <w:p w14:paraId="7B542CD9" w14:textId="77777777" w:rsidR="00C7249D" w:rsidRPr="008E19A3" w:rsidRDefault="00C7249D" w:rsidP="00C7249D">
      <w:pPr>
        <w:tabs>
          <w:tab w:val="left" w:pos="851"/>
        </w:tabs>
        <w:ind w:left="851"/>
        <w:rPr>
          <w:sz w:val="24"/>
          <w:szCs w:val="24"/>
        </w:rPr>
      </w:pPr>
      <w:r w:rsidRPr="008E19A3">
        <w:rPr>
          <w:sz w:val="24"/>
          <w:szCs w:val="24"/>
        </w:rPr>
        <w:t>Leversygdom, som er forbundet med koagulationsdefekt og klinisk relevant blødningsrisiko, herunder cirrosepatienter med Child-Pugh B og C (se pkt. 5.2).</w:t>
      </w:r>
    </w:p>
    <w:p w14:paraId="67498767" w14:textId="77777777" w:rsidR="00C7249D" w:rsidRPr="008E19A3" w:rsidRDefault="00C7249D" w:rsidP="00C7249D">
      <w:pPr>
        <w:tabs>
          <w:tab w:val="left" w:pos="851"/>
        </w:tabs>
        <w:ind w:left="851"/>
        <w:rPr>
          <w:sz w:val="24"/>
          <w:szCs w:val="24"/>
        </w:rPr>
      </w:pPr>
    </w:p>
    <w:p w14:paraId="0ADC5CF4" w14:textId="77777777" w:rsidR="00C7249D" w:rsidRPr="008E19A3" w:rsidRDefault="00C7249D" w:rsidP="00C7249D">
      <w:pPr>
        <w:tabs>
          <w:tab w:val="left" w:pos="851"/>
        </w:tabs>
        <w:ind w:left="851"/>
        <w:rPr>
          <w:sz w:val="24"/>
          <w:szCs w:val="24"/>
        </w:rPr>
      </w:pPr>
      <w:r w:rsidRPr="008E19A3">
        <w:rPr>
          <w:sz w:val="24"/>
          <w:szCs w:val="24"/>
        </w:rPr>
        <w:t>Graviditet og amning (se pkt. 4.6).</w:t>
      </w:r>
    </w:p>
    <w:p w14:paraId="777C8139" w14:textId="77777777" w:rsidR="009260DE" w:rsidRPr="008E19A3" w:rsidRDefault="009260DE" w:rsidP="009260DE">
      <w:pPr>
        <w:tabs>
          <w:tab w:val="left" w:pos="851"/>
        </w:tabs>
        <w:ind w:left="851"/>
        <w:rPr>
          <w:sz w:val="24"/>
          <w:szCs w:val="24"/>
        </w:rPr>
      </w:pPr>
    </w:p>
    <w:p w14:paraId="7E7659D2" w14:textId="77777777" w:rsidR="009260DE" w:rsidRPr="008E19A3" w:rsidRDefault="009260DE" w:rsidP="009260DE">
      <w:pPr>
        <w:tabs>
          <w:tab w:val="left" w:pos="851"/>
        </w:tabs>
        <w:ind w:left="851" w:hanging="851"/>
        <w:rPr>
          <w:b/>
          <w:sz w:val="24"/>
          <w:szCs w:val="24"/>
        </w:rPr>
      </w:pPr>
      <w:r w:rsidRPr="008E19A3">
        <w:rPr>
          <w:b/>
          <w:sz w:val="24"/>
          <w:szCs w:val="24"/>
        </w:rPr>
        <w:t>4.4</w:t>
      </w:r>
      <w:r w:rsidRPr="008E19A3">
        <w:rPr>
          <w:b/>
          <w:sz w:val="24"/>
          <w:szCs w:val="24"/>
        </w:rPr>
        <w:tab/>
        <w:t>Særlige advarsler og forsigtighedsregler vedrørende brugen</w:t>
      </w:r>
    </w:p>
    <w:p w14:paraId="453386AA" w14:textId="77777777" w:rsidR="00C7249D" w:rsidRPr="008E19A3" w:rsidRDefault="00C7249D" w:rsidP="00C7249D">
      <w:pPr>
        <w:tabs>
          <w:tab w:val="left" w:pos="851"/>
        </w:tabs>
        <w:ind w:left="851"/>
        <w:rPr>
          <w:sz w:val="24"/>
          <w:szCs w:val="24"/>
        </w:rPr>
      </w:pPr>
      <w:r w:rsidRPr="008E19A3">
        <w:rPr>
          <w:sz w:val="24"/>
          <w:szCs w:val="24"/>
        </w:rPr>
        <w:t>Sædvanlig klinisk antikoagulationsovervågning anbefales i hele behandlingsperioden.</w:t>
      </w:r>
    </w:p>
    <w:p w14:paraId="64C1FAC7" w14:textId="77777777" w:rsidR="00C7249D" w:rsidRPr="008E19A3" w:rsidRDefault="00C7249D" w:rsidP="00C7249D">
      <w:pPr>
        <w:tabs>
          <w:tab w:val="left" w:pos="851"/>
        </w:tabs>
        <w:ind w:left="851"/>
        <w:rPr>
          <w:sz w:val="24"/>
          <w:szCs w:val="24"/>
          <w:u w:val="single"/>
        </w:rPr>
      </w:pPr>
    </w:p>
    <w:p w14:paraId="00BE937E" w14:textId="77777777" w:rsidR="00C7249D" w:rsidRPr="008E19A3" w:rsidRDefault="00C7249D" w:rsidP="00C7249D">
      <w:pPr>
        <w:tabs>
          <w:tab w:val="left" w:pos="851"/>
        </w:tabs>
        <w:ind w:left="851"/>
        <w:rPr>
          <w:sz w:val="24"/>
          <w:szCs w:val="24"/>
        </w:rPr>
      </w:pPr>
      <w:r w:rsidRPr="008E19A3">
        <w:rPr>
          <w:sz w:val="24"/>
          <w:szCs w:val="24"/>
          <w:u w:val="single"/>
        </w:rPr>
        <w:t>Blødningsrisiko</w:t>
      </w:r>
    </w:p>
    <w:p w14:paraId="2A2CEB2B" w14:textId="7D56CB11" w:rsidR="00C7249D" w:rsidRPr="008E19A3" w:rsidRDefault="00C7249D" w:rsidP="00C7249D">
      <w:pPr>
        <w:tabs>
          <w:tab w:val="left" w:pos="851"/>
        </w:tabs>
        <w:ind w:left="851"/>
        <w:rPr>
          <w:sz w:val="24"/>
          <w:szCs w:val="24"/>
        </w:rPr>
      </w:pPr>
      <w:r w:rsidRPr="008E19A3">
        <w:rPr>
          <w:sz w:val="24"/>
          <w:szCs w:val="24"/>
        </w:rPr>
        <w:t xml:space="preserve">Som ved andre antikoagulantia bør patienter, som får rivaroxaban, overvåges nøje for tegn på blødning. I tilfælde med øget risiko for blødning bør det anvendes med forsigtighed. Behandlingen med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bør afbrydes, hvis der opstår svær blødning (se pkt. 4.9).</w:t>
      </w:r>
    </w:p>
    <w:p w14:paraId="18469269" w14:textId="77777777" w:rsidR="00C7249D" w:rsidRPr="008E19A3" w:rsidRDefault="00C7249D" w:rsidP="00C7249D">
      <w:pPr>
        <w:tabs>
          <w:tab w:val="left" w:pos="851"/>
        </w:tabs>
        <w:ind w:left="851"/>
        <w:rPr>
          <w:sz w:val="24"/>
          <w:szCs w:val="24"/>
        </w:rPr>
      </w:pPr>
    </w:p>
    <w:p w14:paraId="666B978D" w14:textId="77777777" w:rsidR="00C7249D" w:rsidRPr="008E19A3" w:rsidRDefault="00C7249D" w:rsidP="00C7249D">
      <w:pPr>
        <w:tabs>
          <w:tab w:val="left" w:pos="851"/>
        </w:tabs>
        <w:ind w:left="851"/>
        <w:rPr>
          <w:sz w:val="24"/>
          <w:szCs w:val="24"/>
        </w:rPr>
      </w:pPr>
      <w:r w:rsidRPr="008E19A3">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8A1F6C5" w14:textId="77777777" w:rsidR="00C7249D" w:rsidRPr="008E19A3" w:rsidRDefault="00C7249D" w:rsidP="00C7249D">
      <w:pPr>
        <w:tabs>
          <w:tab w:val="left" w:pos="851"/>
        </w:tabs>
        <w:ind w:left="851"/>
        <w:rPr>
          <w:sz w:val="24"/>
          <w:szCs w:val="24"/>
        </w:rPr>
      </w:pPr>
    </w:p>
    <w:p w14:paraId="0884AD00" w14:textId="77777777" w:rsidR="00C7249D" w:rsidRPr="008E19A3" w:rsidRDefault="00C7249D" w:rsidP="00C7249D">
      <w:pPr>
        <w:tabs>
          <w:tab w:val="left" w:pos="851"/>
        </w:tabs>
        <w:ind w:left="851"/>
        <w:rPr>
          <w:sz w:val="24"/>
          <w:szCs w:val="24"/>
        </w:rPr>
      </w:pPr>
      <w:r w:rsidRPr="008E19A3">
        <w:rPr>
          <w:sz w:val="24"/>
          <w:szCs w:val="24"/>
        </w:rPr>
        <w:t>Flere patientgrupper har, som beskrevet nedenfor, øget risiko for blødning. Disse patienter skal kontrolleres omhyggeligt for tegn og symptomer på blødningskomplikationer og anæmi, når behandlingen er påbegyndt (se pkt. 4.8). Hos patienter, der får rivaroxaban til forebyggelse af VTE efter planlagt hofteleds- eller knæledsalloplastik, kan det gøres ved regelmæssig lægeundersøgelse, hyppig observation af den kirurgiske sårdrænage og regelmæssig hæmoglobinbestemmelse.</w:t>
      </w:r>
    </w:p>
    <w:p w14:paraId="64ED8CC6" w14:textId="77777777" w:rsidR="00C7249D" w:rsidRPr="008E19A3" w:rsidRDefault="00C7249D" w:rsidP="00C7249D">
      <w:pPr>
        <w:tabs>
          <w:tab w:val="left" w:pos="851"/>
        </w:tabs>
        <w:ind w:left="851"/>
        <w:rPr>
          <w:sz w:val="24"/>
          <w:szCs w:val="24"/>
        </w:rPr>
      </w:pPr>
    </w:p>
    <w:p w14:paraId="083E757B" w14:textId="77777777" w:rsidR="00C7249D" w:rsidRPr="008E19A3" w:rsidRDefault="00C7249D" w:rsidP="00C7249D">
      <w:pPr>
        <w:tabs>
          <w:tab w:val="left" w:pos="851"/>
        </w:tabs>
        <w:ind w:left="851"/>
        <w:rPr>
          <w:sz w:val="24"/>
          <w:szCs w:val="24"/>
        </w:rPr>
      </w:pPr>
      <w:r w:rsidRPr="008E19A3">
        <w:rPr>
          <w:sz w:val="24"/>
          <w:szCs w:val="24"/>
        </w:rPr>
        <w:t>Ethvert fald i hæmoglobin eller blodtryk bør medføre søgning efter blødningskilde.</w:t>
      </w:r>
    </w:p>
    <w:p w14:paraId="5F2D9239" w14:textId="77777777" w:rsidR="00C7249D" w:rsidRPr="008E19A3" w:rsidRDefault="00C7249D" w:rsidP="00C7249D">
      <w:pPr>
        <w:tabs>
          <w:tab w:val="left" w:pos="851"/>
        </w:tabs>
        <w:ind w:left="851"/>
        <w:rPr>
          <w:sz w:val="24"/>
          <w:szCs w:val="24"/>
        </w:rPr>
      </w:pPr>
    </w:p>
    <w:p w14:paraId="724F8ACB" w14:textId="77777777" w:rsidR="00C7249D" w:rsidRPr="008E19A3" w:rsidRDefault="00C7249D" w:rsidP="00C7249D">
      <w:pPr>
        <w:tabs>
          <w:tab w:val="left" w:pos="851"/>
        </w:tabs>
        <w:ind w:left="851"/>
        <w:rPr>
          <w:sz w:val="24"/>
          <w:szCs w:val="24"/>
        </w:rPr>
      </w:pPr>
      <w:r w:rsidRPr="008E19A3">
        <w:rPr>
          <w:sz w:val="24"/>
          <w:szCs w:val="24"/>
        </w:rPr>
        <w:lastRenderedPageBreak/>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7C05C389" w14:textId="77777777" w:rsidR="00C7249D" w:rsidRPr="008E19A3" w:rsidRDefault="00C7249D" w:rsidP="00C7249D">
      <w:pPr>
        <w:tabs>
          <w:tab w:val="left" w:pos="851"/>
        </w:tabs>
        <w:ind w:left="851"/>
        <w:rPr>
          <w:sz w:val="24"/>
          <w:szCs w:val="24"/>
        </w:rPr>
      </w:pPr>
    </w:p>
    <w:p w14:paraId="56F5A5A6" w14:textId="77777777" w:rsidR="00C7249D" w:rsidRPr="008E19A3" w:rsidRDefault="00C7249D" w:rsidP="00C7249D">
      <w:pPr>
        <w:tabs>
          <w:tab w:val="left" w:pos="851"/>
        </w:tabs>
        <w:ind w:left="851"/>
        <w:rPr>
          <w:sz w:val="24"/>
          <w:szCs w:val="24"/>
        </w:rPr>
      </w:pPr>
      <w:r w:rsidRPr="008E19A3">
        <w:rPr>
          <w:sz w:val="24"/>
          <w:szCs w:val="24"/>
          <w:u w:val="single"/>
        </w:rPr>
        <w:t>Nedsat nyrefunktion</w:t>
      </w:r>
    </w:p>
    <w:p w14:paraId="28E0C0BA" w14:textId="4CA792E7" w:rsidR="00C7249D" w:rsidRPr="008E19A3" w:rsidRDefault="00C7249D" w:rsidP="00C7249D">
      <w:pPr>
        <w:tabs>
          <w:tab w:val="left" w:pos="851"/>
        </w:tabs>
        <w:ind w:left="851"/>
        <w:rPr>
          <w:sz w:val="24"/>
          <w:szCs w:val="24"/>
        </w:rPr>
      </w:pPr>
      <w:r w:rsidRPr="008E19A3">
        <w:rPr>
          <w:sz w:val="24"/>
          <w:szCs w:val="24"/>
        </w:rPr>
        <w:t xml:space="preserve">Hos patienter med svært nedsat nyrefunktion (kreatininclearance &lt;30 mL/min) kan plasmakoncentrationerne af rivaroxaban være signifikant forhøjet (i gennemsnit 1,6 gange), hvilket kan medføre en øget blødningsrisiko.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skal anvendes med forsigtighed hos patienter med en kreatininclearance på 15 - 29 mL/min.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bør ikke anvendes til patienter med kreatininclearance &lt;15 mL/min (se pkt. 4.2 og 5.2).</w:t>
      </w:r>
    </w:p>
    <w:p w14:paraId="514E56DE" w14:textId="79B84369" w:rsidR="00C7249D" w:rsidRPr="008E19A3" w:rsidRDefault="00C7249D" w:rsidP="00C7249D">
      <w:pPr>
        <w:tabs>
          <w:tab w:val="left" w:pos="851"/>
        </w:tabs>
        <w:ind w:left="851"/>
        <w:rPr>
          <w:sz w:val="24"/>
          <w:szCs w:val="24"/>
        </w:rPr>
      </w:pPr>
      <w:r w:rsidRPr="008E19A3">
        <w:rPr>
          <w:sz w:val="24"/>
          <w:szCs w:val="24"/>
        </w:rPr>
        <w:t xml:space="preserve">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anvendes med forsigtighed hos patienter med moderat nedsat nyrefunktion (kreatininclearance 30 - 49 mL/min), som samtidig behandles med andre lægemidler, der øger plasmakoncentrationen af rivaroxaban (se pkt. 4.5).</w:t>
      </w:r>
    </w:p>
    <w:p w14:paraId="45675E70" w14:textId="77777777" w:rsidR="00C7249D" w:rsidRPr="008E19A3" w:rsidRDefault="00C7249D" w:rsidP="00C7249D">
      <w:pPr>
        <w:tabs>
          <w:tab w:val="left" w:pos="851"/>
        </w:tabs>
        <w:ind w:left="851"/>
        <w:rPr>
          <w:sz w:val="24"/>
          <w:szCs w:val="24"/>
        </w:rPr>
      </w:pPr>
    </w:p>
    <w:p w14:paraId="299EB5B9" w14:textId="77777777" w:rsidR="00C7249D" w:rsidRPr="008E19A3" w:rsidRDefault="00C7249D" w:rsidP="00C7249D">
      <w:pPr>
        <w:tabs>
          <w:tab w:val="left" w:pos="851"/>
        </w:tabs>
        <w:ind w:left="851"/>
        <w:rPr>
          <w:sz w:val="24"/>
          <w:szCs w:val="24"/>
        </w:rPr>
      </w:pPr>
      <w:r w:rsidRPr="008E19A3">
        <w:rPr>
          <w:sz w:val="24"/>
          <w:szCs w:val="24"/>
          <w:u w:val="single"/>
        </w:rPr>
        <w:t>Interaktion med andre lægemidler</w:t>
      </w:r>
    </w:p>
    <w:p w14:paraId="48AE352D" w14:textId="77777777" w:rsidR="00C7249D" w:rsidRPr="008E19A3" w:rsidRDefault="00C7249D" w:rsidP="00C7249D">
      <w:pPr>
        <w:tabs>
          <w:tab w:val="left" w:pos="851"/>
        </w:tabs>
        <w:ind w:left="851"/>
        <w:rPr>
          <w:sz w:val="24"/>
          <w:szCs w:val="24"/>
        </w:rPr>
      </w:pPr>
      <w:bookmarkStart w:id="2" w:name="_Hlk49504608"/>
      <w:bookmarkStart w:id="3" w:name="_Hlk49495538"/>
      <w:r w:rsidRPr="008E19A3">
        <w:rPr>
          <w:sz w:val="24"/>
          <w:szCs w:val="24"/>
        </w:rPr>
        <w:t xml:space="preserve">Anvendelse af rivaroxaban anbefales ikke til patienter, som samtidig får </w:t>
      </w:r>
      <w:bookmarkEnd w:id="2"/>
      <w:r w:rsidRPr="008E19A3">
        <w:rPr>
          <w:sz w:val="24"/>
          <w:szCs w:val="24"/>
        </w:rPr>
        <w:t>systemisk behandling med</w:t>
      </w:r>
      <w:bookmarkEnd w:id="3"/>
      <w:r w:rsidRPr="008E19A3">
        <w:rPr>
          <w:sz w:val="24"/>
          <w:szCs w:val="24"/>
        </w:rPr>
        <w:t xml:space="preserve">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5E3AD750" w14:textId="77777777" w:rsidR="00C7249D" w:rsidRPr="008E19A3" w:rsidRDefault="00C7249D" w:rsidP="00C7249D">
      <w:pPr>
        <w:tabs>
          <w:tab w:val="left" w:pos="851"/>
        </w:tabs>
        <w:ind w:left="851"/>
        <w:rPr>
          <w:sz w:val="24"/>
          <w:szCs w:val="24"/>
        </w:rPr>
      </w:pPr>
    </w:p>
    <w:p w14:paraId="1262FB58" w14:textId="77777777" w:rsidR="00C7249D" w:rsidRPr="008E19A3" w:rsidRDefault="00C7249D" w:rsidP="00C7249D">
      <w:pPr>
        <w:tabs>
          <w:tab w:val="left" w:pos="851"/>
        </w:tabs>
        <w:ind w:left="851"/>
        <w:rPr>
          <w:sz w:val="24"/>
          <w:szCs w:val="24"/>
        </w:rPr>
      </w:pPr>
      <w:r w:rsidRPr="008E19A3">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7A512C4B" w14:textId="77777777" w:rsidR="00C7249D" w:rsidRPr="008E19A3" w:rsidRDefault="00C7249D" w:rsidP="00C7249D">
      <w:pPr>
        <w:tabs>
          <w:tab w:val="left" w:pos="851"/>
        </w:tabs>
        <w:ind w:left="851"/>
        <w:rPr>
          <w:sz w:val="24"/>
          <w:szCs w:val="24"/>
        </w:rPr>
      </w:pPr>
    </w:p>
    <w:p w14:paraId="171D2479" w14:textId="77777777" w:rsidR="00C7249D" w:rsidRPr="008E19A3" w:rsidRDefault="00C7249D" w:rsidP="00C7249D">
      <w:pPr>
        <w:tabs>
          <w:tab w:val="left" w:pos="851"/>
        </w:tabs>
        <w:ind w:left="851"/>
        <w:rPr>
          <w:sz w:val="24"/>
          <w:szCs w:val="24"/>
        </w:rPr>
      </w:pPr>
      <w:r w:rsidRPr="008E19A3">
        <w:rPr>
          <w:sz w:val="24"/>
          <w:szCs w:val="24"/>
          <w:u w:val="single"/>
        </w:rPr>
        <w:t>Andre risikofaktorer for blødning</w:t>
      </w:r>
    </w:p>
    <w:p w14:paraId="540CE6BC" w14:textId="77777777" w:rsidR="00C7249D" w:rsidRPr="008E19A3" w:rsidRDefault="00C7249D" w:rsidP="00C7249D">
      <w:pPr>
        <w:tabs>
          <w:tab w:val="left" w:pos="851"/>
        </w:tabs>
        <w:ind w:left="851"/>
        <w:rPr>
          <w:sz w:val="24"/>
          <w:szCs w:val="24"/>
        </w:rPr>
      </w:pPr>
      <w:r w:rsidRPr="008E19A3">
        <w:rPr>
          <w:sz w:val="24"/>
          <w:szCs w:val="24"/>
        </w:rPr>
        <w:t>Som andre antitrombotika anbefales rivaroxaban ikke til patienter med øget blødningsrisiko, f.eks. i tilfælde af:</w:t>
      </w:r>
    </w:p>
    <w:p w14:paraId="0DFC9DA8" w14:textId="77777777" w:rsidR="00C7249D" w:rsidRPr="008E19A3" w:rsidRDefault="00C7249D" w:rsidP="00C7249D">
      <w:pPr>
        <w:numPr>
          <w:ilvl w:val="1"/>
          <w:numId w:val="6"/>
        </w:numPr>
        <w:tabs>
          <w:tab w:val="left" w:pos="851"/>
        </w:tabs>
        <w:ind w:left="1134" w:hanging="283"/>
        <w:rPr>
          <w:sz w:val="24"/>
          <w:szCs w:val="24"/>
        </w:rPr>
      </w:pPr>
      <w:r w:rsidRPr="008E19A3">
        <w:rPr>
          <w:sz w:val="24"/>
          <w:szCs w:val="24"/>
        </w:rPr>
        <w:t>Medfødte eller erhvervede blødningsforstyrrelser.</w:t>
      </w:r>
    </w:p>
    <w:p w14:paraId="2F38E3F7" w14:textId="77777777" w:rsidR="00C7249D" w:rsidRPr="008E19A3" w:rsidRDefault="00C7249D" w:rsidP="00C7249D">
      <w:pPr>
        <w:numPr>
          <w:ilvl w:val="1"/>
          <w:numId w:val="6"/>
        </w:numPr>
        <w:tabs>
          <w:tab w:val="left" w:pos="851"/>
        </w:tabs>
        <w:ind w:left="1134" w:hanging="283"/>
        <w:rPr>
          <w:sz w:val="24"/>
          <w:szCs w:val="24"/>
        </w:rPr>
      </w:pPr>
      <w:r w:rsidRPr="008E19A3">
        <w:rPr>
          <w:sz w:val="24"/>
          <w:szCs w:val="24"/>
        </w:rPr>
        <w:t>Ukontrolleret, svær arteriel hypertension.</w:t>
      </w:r>
    </w:p>
    <w:p w14:paraId="348E3B78" w14:textId="77777777" w:rsidR="00C7249D" w:rsidRPr="008E19A3" w:rsidRDefault="00C7249D" w:rsidP="00C7249D">
      <w:pPr>
        <w:numPr>
          <w:ilvl w:val="1"/>
          <w:numId w:val="6"/>
        </w:numPr>
        <w:tabs>
          <w:tab w:val="left" w:pos="851"/>
        </w:tabs>
        <w:ind w:left="1134" w:hanging="283"/>
        <w:rPr>
          <w:sz w:val="24"/>
          <w:szCs w:val="24"/>
        </w:rPr>
      </w:pPr>
      <w:r w:rsidRPr="008E19A3">
        <w:rPr>
          <w:sz w:val="24"/>
          <w:szCs w:val="24"/>
        </w:rPr>
        <w:t>Anden gastrointestinal sygdom uden aktiv ulceration, der potentielt kan medføre blødningskomplikationer (f.eks. inflammatorisk tarmsygdom, øsofagitis, gastritis og gastroøsofageal refluks).</w:t>
      </w:r>
    </w:p>
    <w:p w14:paraId="4F8C4209" w14:textId="77777777" w:rsidR="00C7249D" w:rsidRPr="008E19A3" w:rsidRDefault="00C7249D" w:rsidP="00C7249D">
      <w:pPr>
        <w:numPr>
          <w:ilvl w:val="1"/>
          <w:numId w:val="6"/>
        </w:numPr>
        <w:tabs>
          <w:tab w:val="left" w:pos="851"/>
        </w:tabs>
        <w:ind w:left="1134" w:hanging="283"/>
        <w:rPr>
          <w:sz w:val="24"/>
          <w:szCs w:val="24"/>
        </w:rPr>
      </w:pPr>
      <w:r w:rsidRPr="008E19A3">
        <w:rPr>
          <w:sz w:val="24"/>
          <w:szCs w:val="24"/>
        </w:rPr>
        <w:t>Vaskulær retinopati.</w:t>
      </w:r>
    </w:p>
    <w:p w14:paraId="52CE2C22" w14:textId="77777777" w:rsidR="00C7249D" w:rsidRPr="008E19A3" w:rsidRDefault="00C7249D" w:rsidP="00C7249D">
      <w:pPr>
        <w:numPr>
          <w:ilvl w:val="1"/>
          <w:numId w:val="6"/>
        </w:numPr>
        <w:tabs>
          <w:tab w:val="left" w:pos="851"/>
        </w:tabs>
        <w:ind w:left="1134" w:hanging="283"/>
        <w:rPr>
          <w:sz w:val="24"/>
          <w:szCs w:val="24"/>
        </w:rPr>
      </w:pPr>
      <w:r w:rsidRPr="008E19A3">
        <w:rPr>
          <w:sz w:val="24"/>
          <w:szCs w:val="24"/>
        </w:rPr>
        <w:t>Bronkiektase eller lungeblødning i anamnesen.</w:t>
      </w:r>
    </w:p>
    <w:p w14:paraId="4A7FFE86" w14:textId="77777777" w:rsidR="00C7249D" w:rsidRPr="008E19A3" w:rsidRDefault="00C7249D" w:rsidP="00C7249D">
      <w:pPr>
        <w:tabs>
          <w:tab w:val="left" w:pos="851"/>
        </w:tabs>
        <w:ind w:left="1134" w:hanging="283"/>
        <w:rPr>
          <w:sz w:val="24"/>
          <w:szCs w:val="24"/>
        </w:rPr>
      </w:pPr>
    </w:p>
    <w:p w14:paraId="2B544348" w14:textId="77777777" w:rsidR="00C7249D" w:rsidRPr="008E19A3" w:rsidRDefault="00C7249D" w:rsidP="00C7249D">
      <w:pPr>
        <w:tabs>
          <w:tab w:val="left" w:pos="851"/>
        </w:tabs>
        <w:ind w:left="1134" w:hanging="283"/>
        <w:rPr>
          <w:sz w:val="24"/>
          <w:szCs w:val="24"/>
          <w:u w:val="single"/>
        </w:rPr>
      </w:pPr>
      <w:r w:rsidRPr="008E19A3">
        <w:rPr>
          <w:sz w:val="24"/>
          <w:szCs w:val="24"/>
          <w:u w:val="single"/>
        </w:rPr>
        <w:t xml:space="preserve">Patienter med cancer  </w:t>
      </w:r>
    </w:p>
    <w:p w14:paraId="5AA5EA82" w14:textId="77777777" w:rsidR="00C7249D" w:rsidRPr="008E19A3" w:rsidRDefault="00C7249D" w:rsidP="00C7249D">
      <w:pPr>
        <w:tabs>
          <w:tab w:val="left" w:pos="851"/>
        </w:tabs>
        <w:ind w:left="851"/>
        <w:rPr>
          <w:sz w:val="24"/>
          <w:szCs w:val="24"/>
        </w:rPr>
      </w:pPr>
      <w:r w:rsidRPr="008E19A3">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w:t>
      </w:r>
    </w:p>
    <w:p w14:paraId="2A2276C3" w14:textId="77777777" w:rsidR="00C7249D" w:rsidRPr="008E19A3" w:rsidRDefault="00C7249D" w:rsidP="00C7249D">
      <w:pPr>
        <w:tabs>
          <w:tab w:val="left" w:pos="851"/>
        </w:tabs>
        <w:ind w:left="851"/>
        <w:rPr>
          <w:sz w:val="24"/>
          <w:szCs w:val="24"/>
        </w:rPr>
      </w:pPr>
      <w:r w:rsidRPr="008E19A3">
        <w:rPr>
          <w:sz w:val="24"/>
          <w:szCs w:val="24"/>
        </w:rPr>
        <w:t xml:space="preserve">Tumorer, som befinder sig i mave-tarm-kanalen eller i urogenitalkanalen, er blevet forbundet med en større blødningsrisiko under rivaroxabanbehandlingen. Hos patienter </w:t>
      </w:r>
      <w:r w:rsidRPr="008E19A3">
        <w:rPr>
          <w:sz w:val="24"/>
          <w:szCs w:val="24"/>
        </w:rPr>
        <w:lastRenderedPageBreak/>
        <w:t>med maligne neoplasmer med en høj blødningsrisiko, er anvendelsen af rivaroxaban kontraindiceret (se pkt. 4.3).</w:t>
      </w:r>
    </w:p>
    <w:p w14:paraId="0732E226" w14:textId="77777777" w:rsidR="00C7249D" w:rsidRPr="008E19A3" w:rsidRDefault="00C7249D" w:rsidP="00C7249D">
      <w:pPr>
        <w:tabs>
          <w:tab w:val="left" w:pos="851"/>
        </w:tabs>
        <w:ind w:left="1134" w:hanging="283"/>
        <w:rPr>
          <w:sz w:val="24"/>
          <w:szCs w:val="24"/>
        </w:rPr>
      </w:pPr>
    </w:p>
    <w:p w14:paraId="461A6DF9" w14:textId="77777777" w:rsidR="00C7249D" w:rsidRPr="008E19A3" w:rsidRDefault="00C7249D" w:rsidP="00C7249D">
      <w:pPr>
        <w:tabs>
          <w:tab w:val="left" w:pos="851"/>
        </w:tabs>
        <w:ind w:left="851"/>
        <w:rPr>
          <w:sz w:val="24"/>
          <w:szCs w:val="24"/>
        </w:rPr>
      </w:pPr>
      <w:r w:rsidRPr="008E19A3">
        <w:rPr>
          <w:sz w:val="24"/>
          <w:szCs w:val="24"/>
          <w:u w:val="single"/>
        </w:rPr>
        <w:t>Patienter med kunstige hjerteklapper</w:t>
      </w:r>
    </w:p>
    <w:p w14:paraId="7EF9BCB3" w14:textId="64BB098E" w:rsidR="00C7249D" w:rsidRPr="008E19A3" w:rsidRDefault="00C7249D" w:rsidP="00C7249D">
      <w:pPr>
        <w:tabs>
          <w:tab w:val="left" w:pos="851"/>
        </w:tabs>
        <w:ind w:left="851"/>
        <w:rPr>
          <w:sz w:val="24"/>
          <w:szCs w:val="24"/>
        </w:rPr>
      </w:pPr>
      <w:r w:rsidRPr="008E19A3">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frarådes for disse patienter.</w:t>
      </w:r>
    </w:p>
    <w:p w14:paraId="4DC917A9" w14:textId="77777777" w:rsidR="00C7249D" w:rsidRPr="008E19A3" w:rsidRDefault="00C7249D" w:rsidP="00C7249D">
      <w:pPr>
        <w:tabs>
          <w:tab w:val="left" w:pos="851"/>
        </w:tabs>
        <w:ind w:left="851"/>
        <w:rPr>
          <w:sz w:val="24"/>
          <w:szCs w:val="24"/>
        </w:rPr>
      </w:pPr>
    </w:p>
    <w:p w14:paraId="369D9951" w14:textId="77777777" w:rsidR="00C7249D" w:rsidRPr="008E19A3" w:rsidRDefault="00C7249D" w:rsidP="00C7249D">
      <w:pPr>
        <w:tabs>
          <w:tab w:val="left" w:pos="851"/>
        </w:tabs>
        <w:ind w:left="851"/>
        <w:rPr>
          <w:sz w:val="24"/>
          <w:szCs w:val="24"/>
        </w:rPr>
      </w:pPr>
      <w:r w:rsidRPr="008E19A3">
        <w:rPr>
          <w:sz w:val="24"/>
          <w:szCs w:val="24"/>
          <w:u w:val="single"/>
        </w:rPr>
        <w:t>Patienter med antifosfolipidsyndrom</w:t>
      </w:r>
    </w:p>
    <w:p w14:paraId="570F99FB" w14:textId="77777777" w:rsidR="00C7249D" w:rsidRPr="008E19A3" w:rsidRDefault="00C7249D" w:rsidP="00C7249D">
      <w:pPr>
        <w:tabs>
          <w:tab w:val="left" w:pos="851"/>
        </w:tabs>
        <w:ind w:left="851"/>
        <w:rPr>
          <w:sz w:val="24"/>
          <w:szCs w:val="24"/>
        </w:rPr>
      </w:pPr>
      <w:r w:rsidRPr="008E19A3">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C931F0F" w14:textId="77777777" w:rsidR="00C7249D" w:rsidRPr="008E19A3" w:rsidRDefault="00C7249D" w:rsidP="00C7249D">
      <w:pPr>
        <w:tabs>
          <w:tab w:val="left" w:pos="851"/>
        </w:tabs>
        <w:ind w:left="851"/>
        <w:rPr>
          <w:sz w:val="24"/>
          <w:szCs w:val="24"/>
        </w:rPr>
      </w:pPr>
    </w:p>
    <w:p w14:paraId="031B3302" w14:textId="77777777" w:rsidR="00C7249D" w:rsidRPr="008E19A3" w:rsidRDefault="00C7249D" w:rsidP="00C7249D">
      <w:pPr>
        <w:tabs>
          <w:tab w:val="left" w:pos="851"/>
        </w:tabs>
        <w:ind w:left="851"/>
        <w:rPr>
          <w:sz w:val="24"/>
          <w:szCs w:val="24"/>
        </w:rPr>
      </w:pPr>
      <w:r w:rsidRPr="008E19A3">
        <w:rPr>
          <w:sz w:val="24"/>
          <w:szCs w:val="24"/>
          <w:u w:val="single"/>
        </w:rPr>
        <w:t>Hoftebrudskirurgi</w:t>
      </w:r>
    </w:p>
    <w:p w14:paraId="45807BD0" w14:textId="042B6B0A" w:rsidR="00C7249D" w:rsidRPr="008E19A3" w:rsidRDefault="00C7249D" w:rsidP="00C7249D">
      <w:pPr>
        <w:tabs>
          <w:tab w:val="left" w:pos="851"/>
        </w:tabs>
        <w:ind w:left="851"/>
        <w:rPr>
          <w:sz w:val="24"/>
          <w:szCs w:val="24"/>
        </w:rPr>
      </w:pPr>
      <w:r w:rsidRPr="008E19A3">
        <w:rPr>
          <w:sz w:val="24"/>
          <w:szCs w:val="24"/>
        </w:rPr>
        <w:t>Rivaroxabans virkning og sikkerhed hos patienter, som har fået foretaget hoftebruds</w:t>
      </w:r>
      <w:r w:rsidR="000B39CD">
        <w:rPr>
          <w:sz w:val="24"/>
          <w:szCs w:val="24"/>
        </w:rPr>
        <w:softHyphen/>
      </w:r>
      <w:r w:rsidRPr="008E19A3">
        <w:rPr>
          <w:sz w:val="24"/>
          <w:szCs w:val="24"/>
        </w:rPr>
        <w:t>kirurgi, er ikke blevet vurderet i interventionelle kliniske studier.</w:t>
      </w:r>
    </w:p>
    <w:p w14:paraId="6D1ABB38" w14:textId="77777777" w:rsidR="00C7249D" w:rsidRPr="008E19A3" w:rsidRDefault="00C7249D" w:rsidP="00C7249D">
      <w:pPr>
        <w:tabs>
          <w:tab w:val="left" w:pos="851"/>
        </w:tabs>
        <w:ind w:left="851"/>
        <w:rPr>
          <w:sz w:val="24"/>
          <w:szCs w:val="24"/>
        </w:rPr>
      </w:pPr>
    </w:p>
    <w:p w14:paraId="358D5053" w14:textId="77777777" w:rsidR="00C7249D" w:rsidRPr="008E19A3" w:rsidRDefault="00C7249D" w:rsidP="00C7249D">
      <w:pPr>
        <w:tabs>
          <w:tab w:val="left" w:pos="851"/>
        </w:tabs>
        <w:ind w:left="851"/>
        <w:rPr>
          <w:sz w:val="24"/>
          <w:szCs w:val="24"/>
        </w:rPr>
      </w:pPr>
      <w:r w:rsidRPr="008E19A3">
        <w:rPr>
          <w:sz w:val="24"/>
          <w:szCs w:val="24"/>
          <w:u w:val="single"/>
        </w:rPr>
        <w:t>Hæmodynamisk ustabile LE-patienter og patienter, der har behov for trombolyse eller</w:t>
      </w:r>
      <w:r w:rsidRPr="008E19A3">
        <w:rPr>
          <w:sz w:val="24"/>
          <w:szCs w:val="24"/>
        </w:rPr>
        <w:t xml:space="preserve"> </w:t>
      </w:r>
      <w:r w:rsidRPr="008E19A3">
        <w:rPr>
          <w:sz w:val="24"/>
          <w:szCs w:val="24"/>
          <w:u w:val="single"/>
        </w:rPr>
        <w:t>lungeembolektomi</w:t>
      </w:r>
    </w:p>
    <w:p w14:paraId="094F5919" w14:textId="516C93E0" w:rsidR="00C7249D" w:rsidRPr="008E19A3" w:rsidRDefault="00C7249D" w:rsidP="00C7249D">
      <w:pPr>
        <w:tabs>
          <w:tab w:val="left" w:pos="851"/>
        </w:tabs>
        <w:ind w:left="851"/>
        <w:rPr>
          <w:sz w:val="24"/>
          <w:szCs w:val="24"/>
        </w:rPr>
      </w:pPr>
      <w:r w:rsidRPr="008E19A3">
        <w:rPr>
          <w:sz w:val="24"/>
          <w:szCs w:val="24"/>
        </w:rPr>
        <w:t xml:space="preserve">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anbefales ikke som alternativ til ufraktioneret heparin til patienter med lungeemboli, som er hæmodynamisk ustabile, eller som kan få behov for trombolyse eller lungeembolektomi, da sikkerheden og virkningen af rivaroxaban ikke er klarlagt i disse kliniske situationer.</w:t>
      </w:r>
    </w:p>
    <w:p w14:paraId="4419B87F" w14:textId="77777777" w:rsidR="00C7249D" w:rsidRPr="008E19A3" w:rsidRDefault="00C7249D" w:rsidP="00C7249D">
      <w:pPr>
        <w:tabs>
          <w:tab w:val="left" w:pos="851"/>
        </w:tabs>
        <w:ind w:left="851"/>
        <w:rPr>
          <w:sz w:val="24"/>
          <w:szCs w:val="24"/>
        </w:rPr>
      </w:pPr>
    </w:p>
    <w:p w14:paraId="29C7C49E" w14:textId="77777777" w:rsidR="00C7249D" w:rsidRPr="008E19A3" w:rsidRDefault="00C7249D" w:rsidP="00C7249D">
      <w:pPr>
        <w:tabs>
          <w:tab w:val="left" w:pos="851"/>
        </w:tabs>
        <w:ind w:left="851"/>
        <w:rPr>
          <w:sz w:val="24"/>
          <w:szCs w:val="24"/>
        </w:rPr>
      </w:pPr>
      <w:r w:rsidRPr="008E19A3">
        <w:rPr>
          <w:sz w:val="24"/>
          <w:szCs w:val="24"/>
          <w:u w:val="single"/>
        </w:rPr>
        <w:t>Spinal/epiduralanæstesi eller -punktur</w:t>
      </w:r>
    </w:p>
    <w:p w14:paraId="6FCEAB20" w14:textId="2B566385" w:rsidR="00C7249D" w:rsidRPr="008E19A3" w:rsidRDefault="00C7249D" w:rsidP="00C7249D">
      <w:pPr>
        <w:tabs>
          <w:tab w:val="left" w:pos="851"/>
        </w:tabs>
        <w:ind w:left="851"/>
        <w:rPr>
          <w:sz w:val="24"/>
          <w:szCs w:val="24"/>
        </w:rPr>
      </w:pPr>
      <w:r w:rsidRPr="008E19A3">
        <w:rPr>
          <w:sz w:val="24"/>
          <w:szCs w:val="24"/>
        </w:rPr>
        <w:t>I forbindelse med neuraksial anæstesi (spinal/epiduralanæstesi) eller spinal/epidural</w:t>
      </w:r>
      <w:r w:rsidR="008E19A3">
        <w:rPr>
          <w:sz w:val="24"/>
          <w:szCs w:val="24"/>
        </w:rPr>
        <w:softHyphen/>
      </w:r>
      <w:r w:rsidRPr="008E19A3">
        <w:rPr>
          <w:sz w:val="24"/>
          <w:szCs w:val="24"/>
        </w:rPr>
        <w:t xml:space="preserve">punktur, har patienter, som får antitrombotika til forebyggelse af tromboemboliske komplikationer, </w:t>
      </w:r>
      <w:bookmarkStart w:id="4" w:name="_Hlk49508437"/>
      <w:r w:rsidRPr="008E19A3">
        <w:rPr>
          <w:sz w:val="24"/>
          <w:szCs w:val="24"/>
        </w:rPr>
        <w:t>risiko for at udvikle epiduralt eller spinalt hæmatom, hvilket kan føre til langvarig eller permanent paralyse.</w:t>
      </w:r>
      <w:bookmarkEnd w:id="4"/>
    </w:p>
    <w:p w14:paraId="6687E0A3" w14:textId="77777777" w:rsidR="00C7249D" w:rsidRPr="008E19A3" w:rsidRDefault="00C7249D" w:rsidP="00C7249D">
      <w:pPr>
        <w:tabs>
          <w:tab w:val="left" w:pos="851"/>
        </w:tabs>
        <w:ind w:left="851"/>
        <w:rPr>
          <w:sz w:val="24"/>
          <w:szCs w:val="24"/>
        </w:rPr>
      </w:pPr>
      <w:r w:rsidRPr="008E19A3">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05C1AA5B" w14:textId="77777777" w:rsidR="00C7249D" w:rsidRPr="008E19A3" w:rsidRDefault="00C7249D" w:rsidP="00C7249D">
      <w:pPr>
        <w:tabs>
          <w:tab w:val="left" w:pos="851"/>
        </w:tabs>
        <w:ind w:left="851"/>
        <w:rPr>
          <w:sz w:val="24"/>
          <w:szCs w:val="24"/>
        </w:rPr>
      </w:pPr>
      <w:r w:rsidRPr="008E19A3">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14:paraId="71B11011" w14:textId="77777777" w:rsidR="00C7249D" w:rsidRPr="008E19A3" w:rsidRDefault="00C7249D" w:rsidP="00C7249D">
      <w:pPr>
        <w:tabs>
          <w:tab w:val="left" w:pos="851"/>
        </w:tabs>
        <w:ind w:left="851"/>
        <w:rPr>
          <w:sz w:val="24"/>
          <w:szCs w:val="24"/>
        </w:rPr>
      </w:pPr>
      <w:r w:rsidRPr="008E19A3">
        <w:rPr>
          <w:sz w:val="24"/>
          <w:szCs w:val="24"/>
        </w:rPr>
        <w:t xml:space="preserve">Der skal gå mindst 18 timer efter sidste administration af rivaroxaban, før et epiduralkateter fjernes. Efter fjernelse af katetret skal der gå mindst 6 timer, før den næste rivaroxabandosis administreres. </w:t>
      </w:r>
    </w:p>
    <w:p w14:paraId="30C2400E" w14:textId="77777777" w:rsidR="00C7249D" w:rsidRPr="008E19A3" w:rsidRDefault="00C7249D" w:rsidP="00C7249D">
      <w:pPr>
        <w:tabs>
          <w:tab w:val="left" w:pos="851"/>
        </w:tabs>
        <w:ind w:left="851"/>
        <w:rPr>
          <w:sz w:val="24"/>
          <w:szCs w:val="24"/>
        </w:rPr>
      </w:pPr>
      <w:r w:rsidRPr="008E19A3">
        <w:rPr>
          <w:sz w:val="24"/>
          <w:szCs w:val="24"/>
        </w:rPr>
        <w:lastRenderedPageBreak/>
        <w:t>Hvis traumatisk punktur forekommer, skal indtagelse af rivaroxaban udskydes i 24 timer.</w:t>
      </w:r>
    </w:p>
    <w:p w14:paraId="340F8BC7" w14:textId="77777777" w:rsidR="00C7249D" w:rsidRPr="008E19A3" w:rsidRDefault="00C7249D" w:rsidP="00C7249D">
      <w:pPr>
        <w:tabs>
          <w:tab w:val="left" w:pos="851"/>
        </w:tabs>
        <w:ind w:left="851"/>
        <w:rPr>
          <w:sz w:val="24"/>
          <w:szCs w:val="24"/>
        </w:rPr>
      </w:pPr>
    </w:p>
    <w:p w14:paraId="1A0C373D" w14:textId="77777777" w:rsidR="00C7249D" w:rsidRPr="008E19A3" w:rsidRDefault="00C7249D" w:rsidP="00C7249D">
      <w:pPr>
        <w:tabs>
          <w:tab w:val="left" w:pos="851"/>
        </w:tabs>
        <w:ind w:left="851"/>
        <w:rPr>
          <w:sz w:val="24"/>
          <w:szCs w:val="24"/>
        </w:rPr>
      </w:pPr>
      <w:r w:rsidRPr="008E19A3">
        <w:rPr>
          <w:sz w:val="24"/>
          <w:szCs w:val="24"/>
          <w:u w:val="single"/>
        </w:rPr>
        <w:t>Doseringsanbefaling før og efter invasive indgreb og kirurgi ud over elektiv hofte- eller</w:t>
      </w:r>
      <w:r w:rsidRPr="008E19A3">
        <w:rPr>
          <w:sz w:val="24"/>
          <w:szCs w:val="24"/>
        </w:rPr>
        <w:t xml:space="preserve"> </w:t>
      </w:r>
      <w:r w:rsidRPr="008E19A3">
        <w:rPr>
          <w:sz w:val="24"/>
          <w:szCs w:val="24"/>
          <w:u w:val="single"/>
        </w:rPr>
        <w:t>knæledsalloplastik</w:t>
      </w:r>
    </w:p>
    <w:p w14:paraId="61AFCEBD" w14:textId="2BDCFE8C" w:rsidR="00C7249D" w:rsidRPr="008E19A3" w:rsidRDefault="00C7249D" w:rsidP="00C7249D">
      <w:pPr>
        <w:tabs>
          <w:tab w:val="left" w:pos="851"/>
        </w:tabs>
        <w:ind w:left="851"/>
        <w:rPr>
          <w:sz w:val="24"/>
          <w:szCs w:val="24"/>
        </w:rPr>
      </w:pPr>
      <w:r w:rsidRPr="008E19A3">
        <w:rPr>
          <w:sz w:val="24"/>
          <w:szCs w:val="24"/>
        </w:rPr>
        <w:t xml:space="preserve">Hvis der er behov for invasive indgreb eller kirurgi, skal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10 mg så vidt muligt seponeres mindst 24 timer før indgrebet, baseret på den behandlende læges kliniske vurdering.</w:t>
      </w:r>
    </w:p>
    <w:p w14:paraId="309B0F9D" w14:textId="77777777" w:rsidR="00C7249D" w:rsidRPr="008E19A3" w:rsidRDefault="00C7249D" w:rsidP="00C7249D">
      <w:pPr>
        <w:tabs>
          <w:tab w:val="left" w:pos="851"/>
        </w:tabs>
        <w:ind w:left="851"/>
        <w:rPr>
          <w:sz w:val="24"/>
          <w:szCs w:val="24"/>
        </w:rPr>
      </w:pPr>
      <w:r w:rsidRPr="008E19A3">
        <w:rPr>
          <w:sz w:val="24"/>
          <w:szCs w:val="24"/>
        </w:rPr>
        <w:t>Hvis indgrebet ikke kan udskydes, må den øgede blødningsrisiko afvejes mod behovet for hurtig intervention.</w:t>
      </w:r>
    </w:p>
    <w:p w14:paraId="47B2C38A" w14:textId="1AEF2BB3" w:rsidR="00C7249D" w:rsidRPr="008E19A3" w:rsidRDefault="00C7249D" w:rsidP="00C7249D">
      <w:pPr>
        <w:tabs>
          <w:tab w:val="left" w:pos="851"/>
        </w:tabs>
        <w:ind w:left="851"/>
        <w:rPr>
          <w:sz w:val="24"/>
          <w:szCs w:val="24"/>
        </w:rPr>
      </w:pPr>
      <w:r w:rsidRPr="008E19A3">
        <w:rPr>
          <w:sz w:val="24"/>
          <w:szCs w:val="24"/>
        </w:rPr>
        <w:t xml:space="preserve">Efter invasive indgreb eller kirurgi skal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startes op igen hurtigst muligt, forudsat patientens kliniske tilstand tillader det, og der efter den behandlende læges vurdering er sikret tilstrækkelig hæmostase (se pkt. 5.2).</w:t>
      </w:r>
    </w:p>
    <w:p w14:paraId="3004663E" w14:textId="77777777" w:rsidR="00C7249D" w:rsidRPr="008E19A3" w:rsidRDefault="00C7249D" w:rsidP="00C7249D">
      <w:pPr>
        <w:tabs>
          <w:tab w:val="left" w:pos="851"/>
        </w:tabs>
        <w:ind w:left="851"/>
        <w:rPr>
          <w:sz w:val="24"/>
          <w:szCs w:val="24"/>
        </w:rPr>
      </w:pPr>
    </w:p>
    <w:p w14:paraId="33D31B96" w14:textId="77777777" w:rsidR="00C7249D" w:rsidRPr="008E19A3" w:rsidRDefault="00C7249D" w:rsidP="00C7249D">
      <w:pPr>
        <w:tabs>
          <w:tab w:val="left" w:pos="851"/>
        </w:tabs>
        <w:ind w:left="851"/>
        <w:rPr>
          <w:sz w:val="24"/>
          <w:szCs w:val="24"/>
        </w:rPr>
      </w:pPr>
      <w:r w:rsidRPr="008E19A3">
        <w:rPr>
          <w:sz w:val="24"/>
          <w:szCs w:val="24"/>
          <w:u w:val="single"/>
        </w:rPr>
        <w:t>Ældre population</w:t>
      </w:r>
    </w:p>
    <w:p w14:paraId="44D612C6" w14:textId="77777777" w:rsidR="00C7249D" w:rsidRPr="008E19A3" w:rsidRDefault="00C7249D" w:rsidP="00C7249D">
      <w:pPr>
        <w:tabs>
          <w:tab w:val="left" w:pos="851"/>
        </w:tabs>
        <w:ind w:left="851"/>
        <w:rPr>
          <w:sz w:val="24"/>
          <w:szCs w:val="24"/>
        </w:rPr>
      </w:pPr>
      <w:r w:rsidRPr="008E19A3">
        <w:rPr>
          <w:sz w:val="24"/>
          <w:szCs w:val="24"/>
        </w:rPr>
        <w:t>Stigende alder kan øge blødningsrisikoen (se pkt. 5.2).</w:t>
      </w:r>
    </w:p>
    <w:p w14:paraId="639B0221" w14:textId="77777777" w:rsidR="00C7249D" w:rsidRPr="008E19A3" w:rsidRDefault="00C7249D" w:rsidP="00C7249D">
      <w:pPr>
        <w:tabs>
          <w:tab w:val="left" w:pos="851"/>
        </w:tabs>
        <w:ind w:left="851"/>
        <w:rPr>
          <w:sz w:val="24"/>
          <w:szCs w:val="24"/>
        </w:rPr>
      </w:pPr>
    </w:p>
    <w:p w14:paraId="4CADA1C6" w14:textId="77777777" w:rsidR="00C7249D" w:rsidRPr="008E19A3" w:rsidRDefault="00C7249D" w:rsidP="00C7249D">
      <w:pPr>
        <w:tabs>
          <w:tab w:val="left" w:pos="851"/>
        </w:tabs>
        <w:ind w:left="851"/>
        <w:rPr>
          <w:sz w:val="24"/>
          <w:szCs w:val="24"/>
        </w:rPr>
      </w:pPr>
      <w:r w:rsidRPr="008E19A3">
        <w:rPr>
          <w:sz w:val="24"/>
          <w:szCs w:val="24"/>
          <w:u w:val="single"/>
        </w:rPr>
        <w:t>Dermatologiske reaktioner</w:t>
      </w:r>
    </w:p>
    <w:p w14:paraId="3C241773" w14:textId="53720F1C" w:rsidR="00C7249D" w:rsidRPr="008E19A3" w:rsidRDefault="00C7249D" w:rsidP="00C7249D">
      <w:pPr>
        <w:tabs>
          <w:tab w:val="left" w:pos="851"/>
        </w:tabs>
        <w:ind w:left="851"/>
        <w:rPr>
          <w:sz w:val="24"/>
          <w:szCs w:val="24"/>
        </w:rPr>
      </w:pPr>
      <w:r w:rsidRPr="008E19A3">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0B39CD">
        <w:rPr>
          <w:sz w:val="24"/>
          <w:szCs w:val="24"/>
        </w:rPr>
        <w:t>.</w:t>
      </w:r>
      <w:r w:rsidRPr="008E19A3">
        <w:rPr>
          <w:sz w:val="24"/>
          <w:szCs w:val="24"/>
        </w:rPr>
        <w:t xml:space="preserve"> spredning, svært udslæt og/eller blisterdannelse) eller andre tegn på overfølsomhed i forbindelse med slimhindelæsioner.</w:t>
      </w:r>
    </w:p>
    <w:p w14:paraId="4FA46D8B" w14:textId="77777777" w:rsidR="00C7249D" w:rsidRPr="008E19A3" w:rsidRDefault="00C7249D" w:rsidP="00C7249D">
      <w:pPr>
        <w:tabs>
          <w:tab w:val="left" w:pos="851"/>
        </w:tabs>
        <w:ind w:left="851"/>
        <w:rPr>
          <w:sz w:val="24"/>
          <w:szCs w:val="24"/>
        </w:rPr>
      </w:pPr>
    </w:p>
    <w:p w14:paraId="720B545F" w14:textId="77777777" w:rsidR="00C7249D" w:rsidRPr="008E19A3" w:rsidRDefault="00C7249D" w:rsidP="00C7249D">
      <w:pPr>
        <w:tabs>
          <w:tab w:val="left" w:pos="851"/>
        </w:tabs>
        <w:ind w:left="851"/>
        <w:rPr>
          <w:sz w:val="24"/>
          <w:szCs w:val="24"/>
        </w:rPr>
      </w:pPr>
      <w:r w:rsidRPr="008E19A3">
        <w:rPr>
          <w:sz w:val="24"/>
          <w:szCs w:val="24"/>
          <w:u w:val="single"/>
        </w:rPr>
        <w:t>Oplysninger om hjælpestofferne</w:t>
      </w:r>
    </w:p>
    <w:p w14:paraId="37B0A96A" w14:textId="7AB67FD1" w:rsidR="00C7249D" w:rsidRPr="008E19A3" w:rsidRDefault="00C7249D" w:rsidP="00C7249D">
      <w:pPr>
        <w:tabs>
          <w:tab w:val="left" w:pos="851"/>
        </w:tabs>
        <w:ind w:left="851"/>
        <w:rPr>
          <w:sz w:val="24"/>
          <w:szCs w:val="24"/>
        </w:rPr>
      </w:pPr>
      <w:r w:rsidRPr="008E19A3">
        <w:rPr>
          <w:sz w:val="24"/>
          <w:szCs w:val="24"/>
        </w:rPr>
        <w:t xml:space="preserve">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indeholder lactose og nat</w:t>
      </w:r>
      <w:r w:rsidR="008E19A3">
        <w:rPr>
          <w:sz w:val="24"/>
          <w:szCs w:val="24"/>
        </w:rPr>
        <w:t>r</w:t>
      </w:r>
      <w:r w:rsidRPr="008E19A3">
        <w:rPr>
          <w:sz w:val="24"/>
          <w:szCs w:val="24"/>
        </w:rPr>
        <w:t xml:space="preserve">ium. </w:t>
      </w:r>
    </w:p>
    <w:p w14:paraId="0F600660" w14:textId="77777777" w:rsidR="00C7249D" w:rsidRPr="008E19A3" w:rsidRDefault="00C7249D" w:rsidP="00C7249D">
      <w:pPr>
        <w:tabs>
          <w:tab w:val="left" w:pos="851"/>
        </w:tabs>
        <w:ind w:left="851"/>
        <w:rPr>
          <w:sz w:val="24"/>
          <w:szCs w:val="24"/>
        </w:rPr>
      </w:pPr>
      <w:r w:rsidRPr="008E19A3">
        <w:rPr>
          <w:sz w:val="24"/>
          <w:szCs w:val="24"/>
        </w:rPr>
        <w:t>Bør ikke anvendes til patienter med hereditær galactoseintolerans, total lactasemangel eller glucose/galactosemalabsorption.</w:t>
      </w:r>
    </w:p>
    <w:p w14:paraId="71E1538F" w14:textId="77777777" w:rsidR="00C7249D" w:rsidRPr="008E19A3" w:rsidRDefault="00C7249D" w:rsidP="00C7249D">
      <w:pPr>
        <w:tabs>
          <w:tab w:val="left" w:pos="851"/>
        </w:tabs>
        <w:ind w:left="851"/>
        <w:rPr>
          <w:sz w:val="24"/>
          <w:szCs w:val="24"/>
        </w:rPr>
      </w:pPr>
      <w:r w:rsidRPr="008E19A3">
        <w:rPr>
          <w:sz w:val="24"/>
          <w:szCs w:val="24"/>
        </w:rPr>
        <w:t xml:space="preserve">Dette lægemiddel indeholder mindre end 1 mmol (23 mg) natrium pr. kapsel, dvs. det er i det væsentlige natriumfrit. </w:t>
      </w:r>
    </w:p>
    <w:p w14:paraId="23A74451" w14:textId="77777777" w:rsidR="009260DE" w:rsidRPr="008E19A3" w:rsidRDefault="009260DE" w:rsidP="009260DE">
      <w:pPr>
        <w:tabs>
          <w:tab w:val="left" w:pos="851"/>
        </w:tabs>
        <w:ind w:left="851"/>
        <w:rPr>
          <w:sz w:val="24"/>
          <w:szCs w:val="24"/>
        </w:rPr>
      </w:pPr>
    </w:p>
    <w:p w14:paraId="62F4AECA" w14:textId="77777777" w:rsidR="009260DE" w:rsidRPr="008E19A3" w:rsidRDefault="009260DE" w:rsidP="009260DE">
      <w:pPr>
        <w:tabs>
          <w:tab w:val="left" w:pos="851"/>
        </w:tabs>
        <w:ind w:left="851" w:hanging="851"/>
        <w:rPr>
          <w:b/>
          <w:sz w:val="24"/>
          <w:szCs w:val="24"/>
        </w:rPr>
      </w:pPr>
      <w:r w:rsidRPr="008E19A3">
        <w:rPr>
          <w:b/>
          <w:sz w:val="24"/>
          <w:szCs w:val="24"/>
        </w:rPr>
        <w:t>4.5</w:t>
      </w:r>
      <w:r w:rsidRPr="008E19A3">
        <w:rPr>
          <w:b/>
          <w:sz w:val="24"/>
          <w:szCs w:val="24"/>
        </w:rPr>
        <w:tab/>
        <w:t>Interaktion med andre lægemidler og andre former for interaktion</w:t>
      </w:r>
    </w:p>
    <w:p w14:paraId="64AC216D" w14:textId="77777777" w:rsidR="008E19A3" w:rsidRDefault="008E19A3" w:rsidP="00C7249D">
      <w:pPr>
        <w:tabs>
          <w:tab w:val="left" w:pos="851"/>
        </w:tabs>
        <w:ind w:left="851"/>
        <w:rPr>
          <w:sz w:val="24"/>
          <w:szCs w:val="24"/>
          <w:u w:val="single"/>
        </w:rPr>
      </w:pPr>
    </w:p>
    <w:p w14:paraId="37AAA31D" w14:textId="46527700" w:rsidR="00C7249D" w:rsidRPr="008E19A3" w:rsidRDefault="00C7249D" w:rsidP="00C7249D">
      <w:pPr>
        <w:tabs>
          <w:tab w:val="left" w:pos="851"/>
        </w:tabs>
        <w:ind w:left="851"/>
        <w:rPr>
          <w:sz w:val="24"/>
          <w:szCs w:val="24"/>
          <w:u w:val="single"/>
        </w:rPr>
      </w:pPr>
      <w:r w:rsidRPr="008E19A3">
        <w:rPr>
          <w:sz w:val="24"/>
          <w:szCs w:val="24"/>
          <w:u w:val="single"/>
        </w:rPr>
        <w:t>CYP3A4- og P-gp-hæmmere</w:t>
      </w:r>
    </w:p>
    <w:p w14:paraId="28405898" w14:textId="5F1B7937" w:rsidR="00C7249D" w:rsidRPr="008E19A3" w:rsidRDefault="00C7249D" w:rsidP="00C7249D">
      <w:pPr>
        <w:tabs>
          <w:tab w:val="left" w:pos="851"/>
        </w:tabs>
        <w:ind w:left="851"/>
        <w:rPr>
          <w:sz w:val="24"/>
          <w:szCs w:val="24"/>
        </w:rPr>
      </w:pPr>
      <w:r w:rsidRPr="008E19A3">
        <w:rPr>
          <w:sz w:val="24"/>
          <w:szCs w:val="24"/>
        </w:rPr>
        <w:t>Samtidig indtagelse af rivaroxaban og ketoconazol (400 mg en gang daglig) eller ritonavir (600 mg to gange daglig) førte til en stigning på 2,6 gange/2,5 gange i det gennemsnitlige AUC for rivaroxaban og en stigning på 1,7 gange/1,6 gange i den gennemsnitlige C</w:t>
      </w:r>
      <w:r w:rsidRPr="008E19A3">
        <w:rPr>
          <w:sz w:val="24"/>
          <w:szCs w:val="24"/>
          <w:vertAlign w:val="subscript"/>
        </w:rPr>
        <w:t>max</w:t>
      </w:r>
      <w:r w:rsidRPr="008E19A3">
        <w:rPr>
          <w:sz w:val="24"/>
          <w:szCs w:val="24"/>
        </w:rPr>
        <w:t xml:space="preserve"> for rivaroxaban med en signifikant stigning i de farmakodynamiske effekter, som kan medføre øget risiko for blødning.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47937684" w14:textId="77777777" w:rsidR="00C7249D" w:rsidRPr="008E19A3" w:rsidRDefault="00C7249D" w:rsidP="00C7249D">
      <w:pPr>
        <w:tabs>
          <w:tab w:val="left" w:pos="851"/>
        </w:tabs>
        <w:ind w:left="851"/>
        <w:rPr>
          <w:sz w:val="24"/>
          <w:szCs w:val="24"/>
        </w:rPr>
      </w:pPr>
    </w:p>
    <w:p w14:paraId="7F3681BD" w14:textId="77777777" w:rsidR="00C7249D" w:rsidRPr="008E19A3" w:rsidRDefault="00C7249D" w:rsidP="00C7249D">
      <w:pPr>
        <w:tabs>
          <w:tab w:val="left" w:pos="851"/>
        </w:tabs>
        <w:ind w:left="851"/>
        <w:rPr>
          <w:sz w:val="24"/>
          <w:szCs w:val="24"/>
        </w:rPr>
      </w:pPr>
      <w:r w:rsidRPr="008E19A3">
        <w:rPr>
          <w:sz w:val="24"/>
          <w:szCs w:val="24"/>
        </w:rPr>
        <w:t>Aktive stoffer, som er stærke hæmmere af kun en af rivaroxabans udskillelsesveje, enten CYP3A4 eller P-gp, forventes kun at øge plasmakoncentrationen af rivaroxaban i mindre udstrækning. F.eks. øgede clarithromycin (500 mg to gange daglig), som betragtes som en stærk hæmmer af CYP3A4 og en moderat hæmmer af P-gp, det gennemsnitlige-AUC for rivaroxaban med en faktor 1,5 og C</w:t>
      </w:r>
      <w:r w:rsidRPr="008E19A3">
        <w:rPr>
          <w:sz w:val="24"/>
          <w:szCs w:val="24"/>
          <w:vertAlign w:val="subscript"/>
        </w:rPr>
        <w:t>max</w:t>
      </w:r>
      <w:r w:rsidRPr="008E19A3">
        <w:rPr>
          <w:sz w:val="24"/>
          <w:szCs w:val="24"/>
        </w:rPr>
        <w:t xml:space="preserve"> med en faktor 1,4. Interaktionen med clarithromycin er sandsynligvis ikke klinisk relevant hos de fleste patienter, men kan </w:t>
      </w:r>
      <w:r w:rsidRPr="008E19A3">
        <w:rPr>
          <w:sz w:val="24"/>
          <w:szCs w:val="24"/>
        </w:rPr>
        <w:lastRenderedPageBreak/>
        <w:t>potentielt være signifikant hos højrisikopatienter (for patienter med nedsat nyrefunktion: Se pkt. 4.4).</w:t>
      </w:r>
    </w:p>
    <w:p w14:paraId="691C1D0E" w14:textId="77777777" w:rsidR="00C7249D" w:rsidRPr="008E19A3" w:rsidRDefault="00C7249D" w:rsidP="00C7249D">
      <w:pPr>
        <w:tabs>
          <w:tab w:val="left" w:pos="851"/>
        </w:tabs>
        <w:ind w:left="851"/>
        <w:rPr>
          <w:sz w:val="24"/>
          <w:szCs w:val="24"/>
        </w:rPr>
      </w:pPr>
    </w:p>
    <w:p w14:paraId="7693836A" w14:textId="77777777" w:rsidR="00C7249D" w:rsidRPr="008E19A3" w:rsidRDefault="00C7249D" w:rsidP="00C7249D">
      <w:pPr>
        <w:tabs>
          <w:tab w:val="left" w:pos="851"/>
        </w:tabs>
        <w:ind w:left="851"/>
        <w:rPr>
          <w:sz w:val="24"/>
          <w:szCs w:val="24"/>
        </w:rPr>
      </w:pPr>
      <w:r w:rsidRPr="008E19A3">
        <w:rPr>
          <w:sz w:val="24"/>
          <w:szCs w:val="24"/>
        </w:rPr>
        <w:t>Erythromycin (500 mg tre gange daglig), som hæmmer CYP3A4 og P-gp i moderat grad, medførte en stigning på 1,3 gange i det gennemsnitlige AUC og C</w:t>
      </w:r>
      <w:r w:rsidRPr="008E19A3">
        <w:rPr>
          <w:sz w:val="24"/>
          <w:szCs w:val="24"/>
          <w:vertAlign w:val="subscript"/>
        </w:rPr>
        <w:t>max</w:t>
      </w:r>
      <w:r w:rsidRPr="008E19A3">
        <w:rPr>
          <w:sz w:val="24"/>
          <w:szCs w:val="24"/>
        </w:rPr>
        <w:t xml:space="preserve"> for rivaroxaban. Interaktionen med erythromycin er sandsynligvis ikke klinisk relevant hos de fleste patienter, men kan potentielt være signifikant hos højrisikopatienter.</w:t>
      </w:r>
    </w:p>
    <w:p w14:paraId="142577D7" w14:textId="77777777" w:rsidR="00C7249D" w:rsidRPr="008E19A3" w:rsidRDefault="00C7249D" w:rsidP="00C7249D">
      <w:pPr>
        <w:tabs>
          <w:tab w:val="left" w:pos="851"/>
        </w:tabs>
        <w:ind w:left="851"/>
        <w:rPr>
          <w:sz w:val="24"/>
          <w:szCs w:val="24"/>
        </w:rPr>
      </w:pPr>
      <w:r w:rsidRPr="008E19A3">
        <w:rPr>
          <w:sz w:val="24"/>
          <w:szCs w:val="24"/>
        </w:rPr>
        <w:t>Hos personer med let nedsat nyrefunktion medførte erythromycin (500 mg tre gange daglig) en 1,8 gange forhøjelse i gennemsnitlig rivaroxaban-AUC og en 1,6 gange forhøjelse i C</w:t>
      </w:r>
      <w:r w:rsidRPr="008E19A3">
        <w:rPr>
          <w:sz w:val="24"/>
          <w:szCs w:val="24"/>
          <w:vertAlign w:val="subscript"/>
        </w:rPr>
        <w:t>max</w:t>
      </w:r>
      <w:r w:rsidRPr="008E19A3">
        <w:rPr>
          <w:sz w:val="24"/>
          <w:szCs w:val="24"/>
        </w:rPr>
        <w:t xml:space="preserve"> sammenlignet med personer med normal nyrefunktion. </w:t>
      </w:r>
    </w:p>
    <w:p w14:paraId="7C73302B" w14:textId="77777777" w:rsidR="00C7249D" w:rsidRPr="008E19A3" w:rsidRDefault="00C7249D" w:rsidP="00C7249D">
      <w:pPr>
        <w:tabs>
          <w:tab w:val="left" w:pos="851"/>
        </w:tabs>
        <w:ind w:left="851"/>
        <w:rPr>
          <w:sz w:val="24"/>
          <w:szCs w:val="24"/>
        </w:rPr>
      </w:pPr>
      <w:r w:rsidRPr="008E19A3">
        <w:rPr>
          <w:sz w:val="24"/>
          <w:szCs w:val="24"/>
        </w:rPr>
        <w:t>Hos personer med moderat nedsat nyrefunktion medførte erythromycin en 2,0 gange forhøjelse i gennemsnitlig rivaroxaban-AUC og en 1,6 gange forhøjelse i C</w:t>
      </w:r>
      <w:r w:rsidRPr="008E19A3">
        <w:rPr>
          <w:sz w:val="24"/>
          <w:szCs w:val="24"/>
          <w:vertAlign w:val="subscript"/>
        </w:rPr>
        <w:t>max</w:t>
      </w:r>
      <w:r w:rsidRPr="008E19A3">
        <w:rPr>
          <w:sz w:val="24"/>
          <w:szCs w:val="24"/>
        </w:rPr>
        <w:t>, sammenlignet med personer med normal nyrefunktion. Virkningen af erythromycin og virkningen af nedsat nyrefunktion er additive (se pkt. 4.4).</w:t>
      </w:r>
    </w:p>
    <w:p w14:paraId="6A0BE33F" w14:textId="77777777" w:rsidR="00C7249D" w:rsidRPr="008E19A3" w:rsidRDefault="00C7249D" w:rsidP="00C7249D">
      <w:pPr>
        <w:tabs>
          <w:tab w:val="left" w:pos="851"/>
        </w:tabs>
        <w:ind w:left="851"/>
        <w:rPr>
          <w:sz w:val="24"/>
          <w:szCs w:val="24"/>
        </w:rPr>
      </w:pPr>
    </w:p>
    <w:p w14:paraId="6519CB04" w14:textId="77777777" w:rsidR="00C7249D" w:rsidRPr="008E19A3" w:rsidRDefault="00C7249D" w:rsidP="00C7249D">
      <w:pPr>
        <w:tabs>
          <w:tab w:val="left" w:pos="851"/>
        </w:tabs>
        <w:ind w:left="851"/>
        <w:rPr>
          <w:sz w:val="24"/>
          <w:szCs w:val="24"/>
        </w:rPr>
      </w:pPr>
      <w:r w:rsidRPr="008E19A3">
        <w:rPr>
          <w:sz w:val="24"/>
          <w:szCs w:val="24"/>
        </w:rPr>
        <w:t>Fluconazol (400 mg en gang daglig), der anses for at være en moderat CYP3A4-hæmmer, medførte en stigning i gennemsnitlig rivaroxaban-AUC med en faktor 1,4 og en stigning i gennemsnitlig C</w:t>
      </w:r>
      <w:r w:rsidRPr="008E19A3">
        <w:rPr>
          <w:sz w:val="24"/>
          <w:szCs w:val="24"/>
          <w:vertAlign w:val="subscript"/>
        </w:rPr>
        <w:t>max</w:t>
      </w:r>
      <w:r w:rsidRPr="008E19A3">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98E3E35" w14:textId="77777777" w:rsidR="00C7249D" w:rsidRPr="008E19A3" w:rsidRDefault="00C7249D" w:rsidP="00C7249D">
      <w:pPr>
        <w:tabs>
          <w:tab w:val="left" w:pos="851"/>
        </w:tabs>
        <w:ind w:left="851"/>
        <w:rPr>
          <w:sz w:val="24"/>
          <w:szCs w:val="24"/>
        </w:rPr>
      </w:pPr>
    </w:p>
    <w:p w14:paraId="50F5445B" w14:textId="77777777" w:rsidR="00C7249D" w:rsidRPr="008E19A3" w:rsidRDefault="00C7249D" w:rsidP="00C7249D">
      <w:pPr>
        <w:tabs>
          <w:tab w:val="left" w:pos="851"/>
        </w:tabs>
        <w:ind w:left="851"/>
        <w:rPr>
          <w:sz w:val="24"/>
          <w:szCs w:val="24"/>
        </w:rPr>
      </w:pPr>
      <w:r w:rsidRPr="008E19A3">
        <w:rPr>
          <w:sz w:val="24"/>
          <w:szCs w:val="24"/>
        </w:rPr>
        <w:t>Da der kun er begrænsede kliniske data vedrørende dronedaron, bør det ikke gives sammen med rivaroxaban.</w:t>
      </w:r>
    </w:p>
    <w:p w14:paraId="6C4C2D60" w14:textId="77777777" w:rsidR="00C7249D" w:rsidRPr="008E19A3" w:rsidRDefault="00C7249D" w:rsidP="00C7249D">
      <w:pPr>
        <w:tabs>
          <w:tab w:val="left" w:pos="851"/>
        </w:tabs>
        <w:ind w:left="851"/>
        <w:rPr>
          <w:sz w:val="24"/>
          <w:szCs w:val="24"/>
        </w:rPr>
      </w:pPr>
    </w:p>
    <w:p w14:paraId="41759F4E" w14:textId="77777777" w:rsidR="00C7249D" w:rsidRPr="008E19A3" w:rsidRDefault="00C7249D" w:rsidP="00C7249D">
      <w:pPr>
        <w:tabs>
          <w:tab w:val="left" w:pos="851"/>
        </w:tabs>
        <w:ind w:left="851"/>
        <w:rPr>
          <w:sz w:val="24"/>
          <w:szCs w:val="24"/>
          <w:u w:val="single"/>
        </w:rPr>
      </w:pPr>
      <w:r w:rsidRPr="008E19A3">
        <w:rPr>
          <w:sz w:val="24"/>
          <w:szCs w:val="24"/>
          <w:u w:val="single"/>
        </w:rPr>
        <w:t>Antikoagulantia</w:t>
      </w:r>
    </w:p>
    <w:p w14:paraId="586D4EAC" w14:textId="77777777" w:rsidR="00C7249D" w:rsidRPr="008E19A3" w:rsidRDefault="00C7249D" w:rsidP="00C7249D">
      <w:pPr>
        <w:tabs>
          <w:tab w:val="left" w:pos="851"/>
        </w:tabs>
        <w:ind w:left="851"/>
        <w:rPr>
          <w:sz w:val="24"/>
          <w:szCs w:val="24"/>
        </w:rPr>
      </w:pPr>
      <w:r w:rsidRPr="008E19A3">
        <w:rPr>
          <w:sz w:val="24"/>
          <w:szCs w:val="24"/>
        </w:rPr>
        <w:t xml:space="preserve">Efter kombineret indtagelse af enoxaparin (enkeltdosis på 40 mg) og rivaroxaban (enkeltdosis på 10 mg) blev der observeret en </w:t>
      </w:r>
      <w:proofErr w:type="gramStart"/>
      <w:r w:rsidRPr="008E19A3">
        <w:rPr>
          <w:sz w:val="24"/>
          <w:szCs w:val="24"/>
        </w:rPr>
        <w:t>additiv indvirkning</w:t>
      </w:r>
      <w:proofErr w:type="gramEnd"/>
      <w:r w:rsidRPr="008E19A3">
        <w:rPr>
          <w:sz w:val="24"/>
          <w:szCs w:val="24"/>
        </w:rPr>
        <w:t xml:space="preserve"> på anti-faktor Xa-aktiviteten uden yderligere indvirkning på koagulationsparametrene (PT, aPTT). Enoxaparin påvirkede ikke rivaroxabans farmakokinetik.</w:t>
      </w:r>
    </w:p>
    <w:p w14:paraId="7470066E" w14:textId="77777777" w:rsidR="00C7249D" w:rsidRPr="008E19A3" w:rsidRDefault="00C7249D" w:rsidP="00C7249D">
      <w:pPr>
        <w:tabs>
          <w:tab w:val="left" w:pos="851"/>
        </w:tabs>
        <w:ind w:left="851"/>
        <w:rPr>
          <w:sz w:val="24"/>
          <w:szCs w:val="24"/>
        </w:rPr>
      </w:pPr>
      <w:r w:rsidRPr="008E19A3">
        <w:rPr>
          <w:sz w:val="24"/>
          <w:szCs w:val="24"/>
        </w:rPr>
        <w:t>På grund af den øgede blødningsrisiko skal der udvises forsigtighed hos patienter, der får samtidig behandling med andre antikoagulantia (se pkt. 4.3 og 4.4).</w:t>
      </w:r>
    </w:p>
    <w:p w14:paraId="08B3A406" w14:textId="77777777" w:rsidR="00C7249D" w:rsidRPr="008E19A3" w:rsidRDefault="00C7249D" w:rsidP="00C7249D">
      <w:pPr>
        <w:tabs>
          <w:tab w:val="left" w:pos="851"/>
        </w:tabs>
        <w:ind w:left="851"/>
        <w:rPr>
          <w:sz w:val="24"/>
          <w:szCs w:val="24"/>
        </w:rPr>
      </w:pPr>
    </w:p>
    <w:p w14:paraId="6EA8299B" w14:textId="77777777" w:rsidR="00C7249D" w:rsidRPr="008E19A3" w:rsidRDefault="00C7249D" w:rsidP="00C7249D">
      <w:pPr>
        <w:tabs>
          <w:tab w:val="left" w:pos="851"/>
        </w:tabs>
        <w:ind w:left="851"/>
        <w:rPr>
          <w:sz w:val="24"/>
          <w:szCs w:val="24"/>
          <w:u w:val="single"/>
        </w:rPr>
      </w:pPr>
      <w:r w:rsidRPr="008E19A3">
        <w:rPr>
          <w:sz w:val="24"/>
          <w:szCs w:val="24"/>
          <w:u w:val="single"/>
        </w:rPr>
        <w:t>NSAID'er/trombocytaggregationshæmmere</w:t>
      </w:r>
    </w:p>
    <w:p w14:paraId="44511EB0" w14:textId="77777777" w:rsidR="00C7249D" w:rsidRPr="008E19A3" w:rsidRDefault="00C7249D" w:rsidP="00C7249D">
      <w:pPr>
        <w:tabs>
          <w:tab w:val="left" w:pos="851"/>
        </w:tabs>
        <w:ind w:left="851"/>
        <w:rPr>
          <w:sz w:val="24"/>
          <w:szCs w:val="24"/>
        </w:rPr>
      </w:pPr>
      <w:r w:rsidRPr="008E19A3">
        <w:rPr>
          <w:sz w:val="24"/>
          <w:szCs w:val="24"/>
        </w:rPr>
        <w:t>Der blev ikke observeret en klinisk relevant forlængelse af blødningstiden efter samtidig indtagelse af rivaroxaban (15 mg) og 500 mg naproxen. Hos nogle patienter kan der dog opstå en mere udtalt farmakodynamisk respons.</w:t>
      </w:r>
    </w:p>
    <w:p w14:paraId="771317AE" w14:textId="77777777" w:rsidR="00C7249D" w:rsidRPr="008E19A3" w:rsidRDefault="00C7249D" w:rsidP="00C7249D">
      <w:pPr>
        <w:tabs>
          <w:tab w:val="left" w:pos="851"/>
        </w:tabs>
        <w:ind w:left="851"/>
        <w:rPr>
          <w:sz w:val="24"/>
          <w:szCs w:val="24"/>
        </w:rPr>
      </w:pPr>
      <w:r w:rsidRPr="008E19A3">
        <w:rPr>
          <w:sz w:val="24"/>
          <w:szCs w:val="24"/>
        </w:rPr>
        <w:t>Der blev ikke observeret nogen klinisk signifikante farmakokinetiske eller farmakodynamiske interaktioner ved samtidig indtagelse af rivaroxaban og 500 mg acetylsalicylsyre.</w:t>
      </w:r>
    </w:p>
    <w:p w14:paraId="328074EF" w14:textId="77777777" w:rsidR="00C7249D" w:rsidRPr="008E19A3" w:rsidRDefault="00C7249D" w:rsidP="00C7249D">
      <w:pPr>
        <w:tabs>
          <w:tab w:val="left" w:pos="851"/>
        </w:tabs>
        <w:ind w:left="851"/>
        <w:rPr>
          <w:sz w:val="24"/>
          <w:szCs w:val="24"/>
        </w:rPr>
      </w:pPr>
      <w:r w:rsidRPr="008E19A3">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0512BF15" w14:textId="77777777" w:rsidR="00C7249D" w:rsidRPr="008E19A3" w:rsidRDefault="00C7249D" w:rsidP="00C7249D">
      <w:pPr>
        <w:tabs>
          <w:tab w:val="left" w:pos="851"/>
        </w:tabs>
        <w:ind w:left="851"/>
        <w:rPr>
          <w:sz w:val="24"/>
          <w:szCs w:val="24"/>
        </w:rPr>
      </w:pPr>
      <w:r w:rsidRPr="008E19A3">
        <w:rPr>
          <w:sz w:val="24"/>
          <w:szCs w:val="24"/>
        </w:rPr>
        <w:t>Der skal udvises forsigtighed hos patienter, som får samtidig behandling med NSAID'er (herunder acetylsalicylsyre) og trombocytaggregationshæmmere, da disse lægemidler typisk øger blødningsrisikoen (se pkt. 4.4).</w:t>
      </w:r>
    </w:p>
    <w:p w14:paraId="3B393C54" w14:textId="77777777" w:rsidR="00C7249D" w:rsidRPr="008E19A3" w:rsidRDefault="00C7249D" w:rsidP="00C7249D">
      <w:pPr>
        <w:tabs>
          <w:tab w:val="left" w:pos="851"/>
        </w:tabs>
        <w:ind w:left="851"/>
        <w:rPr>
          <w:sz w:val="24"/>
          <w:szCs w:val="24"/>
        </w:rPr>
      </w:pPr>
    </w:p>
    <w:p w14:paraId="1DCC4918" w14:textId="77777777" w:rsidR="00C7249D" w:rsidRPr="008E19A3" w:rsidRDefault="00C7249D" w:rsidP="00C7249D">
      <w:pPr>
        <w:tabs>
          <w:tab w:val="left" w:pos="851"/>
        </w:tabs>
        <w:ind w:left="851"/>
        <w:rPr>
          <w:sz w:val="24"/>
          <w:szCs w:val="24"/>
          <w:u w:val="single"/>
        </w:rPr>
      </w:pPr>
      <w:r w:rsidRPr="008E19A3">
        <w:rPr>
          <w:sz w:val="24"/>
          <w:szCs w:val="24"/>
          <w:u w:val="single"/>
        </w:rPr>
        <w:t>SSRI-/SNRI-præparater</w:t>
      </w:r>
    </w:p>
    <w:p w14:paraId="411CEABF" w14:textId="77777777" w:rsidR="00C7249D" w:rsidRPr="008E19A3" w:rsidRDefault="00C7249D" w:rsidP="00C7249D">
      <w:pPr>
        <w:tabs>
          <w:tab w:val="left" w:pos="851"/>
        </w:tabs>
        <w:ind w:left="851"/>
        <w:rPr>
          <w:sz w:val="24"/>
          <w:szCs w:val="24"/>
        </w:rPr>
      </w:pPr>
      <w:r w:rsidRPr="008E19A3">
        <w:rPr>
          <w:sz w:val="24"/>
          <w:szCs w:val="24"/>
        </w:rPr>
        <w:t xml:space="preserve">Som ved andre antikoagulantia kan der være risiko for, at patienter har øget blødningsrisiko ved samtidig brug af SSRI- eller SNRI-præparater på grund af den </w:t>
      </w:r>
      <w:r w:rsidRPr="008E19A3">
        <w:rPr>
          <w:sz w:val="24"/>
          <w:szCs w:val="24"/>
        </w:rPr>
        <w:lastRenderedPageBreak/>
        <w:t>rapporterede virkning på trombocytter for disse lægemidler. I rivaroxabans kliniske udviklingsprogram blev der observeret numerisk fleremajor eller non-major klinisk relevante blødninger i alle behandlingsgrupper, når disse præparater blev givet samtidigt.</w:t>
      </w:r>
    </w:p>
    <w:p w14:paraId="0D6670BD" w14:textId="77777777" w:rsidR="00C7249D" w:rsidRPr="008E19A3" w:rsidRDefault="00C7249D" w:rsidP="00C7249D">
      <w:pPr>
        <w:tabs>
          <w:tab w:val="left" w:pos="851"/>
        </w:tabs>
        <w:ind w:left="851"/>
        <w:rPr>
          <w:sz w:val="24"/>
          <w:szCs w:val="24"/>
        </w:rPr>
      </w:pPr>
    </w:p>
    <w:p w14:paraId="2DFFC3D9" w14:textId="77777777" w:rsidR="00C7249D" w:rsidRPr="008E19A3" w:rsidRDefault="00C7249D" w:rsidP="00C7249D">
      <w:pPr>
        <w:tabs>
          <w:tab w:val="left" w:pos="851"/>
        </w:tabs>
        <w:ind w:left="851"/>
        <w:rPr>
          <w:sz w:val="24"/>
          <w:szCs w:val="24"/>
          <w:u w:val="single"/>
        </w:rPr>
      </w:pPr>
      <w:r w:rsidRPr="008E19A3">
        <w:rPr>
          <w:sz w:val="24"/>
          <w:szCs w:val="24"/>
          <w:u w:val="single"/>
        </w:rPr>
        <w:t>Warfarin</w:t>
      </w:r>
    </w:p>
    <w:p w14:paraId="480936B8" w14:textId="246130E9" w:rsidR="00C7249D" w:rsidRPr="008E19A3" w:rsidRDefault="00C7249D" w:rsidP="00C7249D">
      <w:pPr>
        <w:tabs>
          <w:tab w:val="left" w:pos="851"/>
        </w:tabs>
        <w:ind w:left="851"/>
        <w:rPr>
          <w:sz w:val="24"/>
          <w:szCs w:val="24"/>
        </w:rPr>
      </w:pPr>
      <w:r w:rsidRPr="008E19A3">
        <w:rPr>
          <w:sz w:val="24"/>
          <w:szCs w:val="24"/>
        </w:rPr>
        <w:t>Skift af patienter fra vitamin K-antagonisten warfarin (INR 2,0-3,0) til rivaroxaban (20</w:t>
      </w:r>
      <w:r w:rsidR="005761FF">
        <w:rPr>
          <w:sz w:val="24"/>
          <w:szCs w:val="24"/>
        </w:rPr>
        <w:t> </w:t>
      </w:r>
      <w:r w:rsidRPr="008E19A3">
        <w:rPr>
          <w:sz w:val="24"/>
          <w:szCs w:val="24"/>
        </w:rPr>
        <w:t>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24851759" w14:textId="59BA7964" w:rsidR="00C7249D" w:rsidRPr="008E19A3" w:rsidRDefault="00C7249D" w:rsidP="00C7249D">
      <w:pPr>
        <w:tabs>
          <w:tab w:val="left" w:pos="851"/>
        </w:tabs>
        <w:ind w:left="851"/>
        <w:rPr>
          <w:sz w:val="24"/>
          <w:szCs w:val="24"/>
        </w:rPr>
      </w:pPr>
      <w:r w:rsidRPr="008E19A3">
        <w:rPr>
          <w:sz w:val="24"/>
          <w:szCs w:val="24"/>
        </w:rPr>
        <w:t>Hvis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20DD7764" w14:textId="77777777" w:rsidR="00C7249D" w:rsidRPr="008E19A3" w:rsidRDefault="00C7249D" w:rsidP="00C7249D">
      <w:pPr>
        <w:tabs>
          <w:tab w:val="left" w:pos="851"/>
        </w:tabs>
        <w:ind w:left="851"/>
        <w:rPr>
          <w:sz w:val="24"/>
          <w:szCs w:val="24"/>
        </w:rPr>
      </w:pPr>
      <w:r w:rsidRPr="008E19A3">
        <w:rPr>
          <w:sz w:val="24"/>
          <w:szCs w:val="24"/>
        </w:rPr>
        <w:t>Hvis den farmakodynamiske virkning af warfarin ønskes undersøgt i skifteperioden, kan INR-måling benyttes ved rivaroxabans C</w:t>
      </w:r>
      <w:r w:rsidRPr="008E19A3">
        <w:rPr>
          <w:sz w:val="24"/>
          <w:szCs w:val="24"/>
          <w:vertAlign w:val="subscript"/>
        </w:rPr>
        <w:t>dal</w:t>
      </w:r>
      <w:r w:rsidRPr="008E19A3">
        <w:rPr>
          <w:sz w:val="24"/>
          <w:szCs w:val="24"/>
        </w:rPr>
        <w:t xml:space="preserve"> (24 timer efter seneste indtagelse af rivaroxaban), idet denne test på dette tidspunkt påvirkes minimalt af rivaroxaban.</w:t>
      </w:r>
    </w:p>
    <w:p w14:paraId="6B3A0ACC" w14:textId="77777777" w:rsidR="00C7249D" w:rsidRPr="008E19A3" w:rsidRDefault="00C7249D" w:rsidP="00C7249D">
      <w:pPr>
        <w:tabs>
          <w:tab w:val="left" w:pos="851"/>
        </w:tabs>
        <w:ind w:left="851"/>
        <w:rPr>
          <w:sz w:val="24"/>
          <w:szCs w:val="24"/>
        </w:rPr>
      </w:pPr>
      <w:r w:rsidRPr="008E19A3">
        <w:rPr>
          <w:sz w:val="24"/>
          <w:szCs w:val="24"/>
        </w:rPr>
        <w:t>Der er ikke iagttaget nogen farmakokinetisk interaktion mellem warfarin og rivaroxaban.</w:t>
      </w:r>
    </w:p>
    <w:p w14:paraId="2CBD1B4A" w14:textId="77777777" w:rsidR="00C7249D" w:rsidRPr="008E19A3" w:rsidRDefault="00C7249D" w:rsidP="00C7249D">
      <w:pPr>
        <w:tabs>
          <w:tab w:val="left" w:pos="851"/>
        </w:tabs>
        <w:ind w:left="851"/>
        <w:rPr>
          <w:sz w:val="24"/>
          <w:szCs w:val="24"/>
        </w:rPr>
      </w:pPr>
    </w:p>
    <w:p w14:paraId="6DCC9E00" w14:textId="77777777" w:rsidR="00C7249D" w:rsidRPr="008E19A3" w:rsidRDefault="00C7249D" w:rsidP="00C7249D">
      <w:pPr>
        <w:tabs>
          <w:tab w:val="left" w:pos="851"/>
        </w:tabs>
        <w:ind w:left="851"/>
        <w:rPr>
          <w:sz w:val="24"/>
          <w:szCs w:val="24"/>
          <w:u w:val="single"/>
        </w:rPr>
      </w:pPr>
      <w:r w:rsidRPr="008E19A3">
        <w:rPr>
          <w:sz w:val="24"/>
          <w:szCs w:val="24"/>
          <w:u w:val="single"/>
        </w:rPr>
        <w:t>CYP3A4-induktorer</w:t>
      </w:r>
    </w:p>
    <w:p w14:paraId="5DD66813" w14:textId="10405183" w:rsidR="00C7249D" w:rsidRPr="008E19A3" w:rsidRDefault="00C7249D" w:rsidP="00C7249D">
      <w:pPr>
        <w:tabs>
          <w:tab w:val="left" w:pos="851"/>
        </w:tabs>
        <w:ind w:left="851"/>
        <w:rPr>
          <w:sz w:val="24"/>
          <w:szCs w:val="24"/>
        </w:rPr>
      </w:pPr>
      <w:r w:rsidRPr="008E19A3">
        <w:rPr>
          <w:sz w:val="24"/>
          <w:szCs w:val="24"/>
        </w:rPr>
        <w:t>Samtidig indtagelse af rivaroxaban og den stærke CYP3A4-induktor rifampicin medførte et fald på ca. 50</w:t>
      </w:r>
      <w:r w:rsidR="008E19A3" w:rsidRPr="008E19A3">
        <w:rPr>
          <w:sz w:val="24"/>
          <w:szCs w:val="24"/>
        </w:rPr>
        <w:t xml:space="preserve"> %</w:t>
      </w:r>
      <w:r w:rsidRPr="008E19A3">
        <w:rPr>
          <w:sz w:val="24"/>
          <w:szCs w:val="24"/>
        </w:rPr>
        <w:t xml:space="preserve"> i det gennemsnitlige AUC for rivaroxaban og parallelle reduktioner i dets farmakodynamiske effekter. Samtidig brug af rivaroxaban og andre stærke CYP3A4-induktorer (f.eks. phenytoin, carbamazepin, phenobarbital eller prikbladet perikon (</w:t>
      </w:r>
      <w:r w:rsidRPr="008E19A3">
        <w:rPr>
          <w:i/>
          <w:sz w:val="24"/>
          <w:szCs w:val="24"/>
        </w:rPr>
        <w:t>Hypericum perforatum</w:t>
      </w:r>
      <w:r w:rsidRPr="008E19A3">
        <w:rPr>
          <w:sz w:val="24"/>
          <w:szCs w:val="24"/>
        </w:rPr>
        <w:t>)) kan også medføre et fald i plasmakoncentrationerne af rivaroxaban. Samtidig indtagelse af stærke CYP3A4-induktorer bør derfor undgås, medmindre patienten observeres nøje for tegn og symptomer på trombose.</w:t>
      </w:r>
    </w:p>
    <w:p w14:paraId="05638755" w14:textId="77777777" w:rsidR="00C7249D" w:rsidRPr="008E19A3" w:rsidRDefault="00C7249D" w:rsidP="00C7249D">
      <w:pPr>
        <w:tabs>
          <w:tab w:val="left" w:pos="851"/>
        </w:tabs>
        <w:ind w:left="851"/>
        <w:rPr>
          <w:sz w:val="24"/>
          <w:szCs w:val="24"/>
        </w:rPr>
      </w:pPr>
    </w:p>
    <w:p w14:paraId="564B86F8" w14:textId="77777777" w:rsidR="00C7249D" w:rsidRPr="008E19A3" w:rsidRDefault="00C7249D" w:rsidP="00C7249D">
      <w:pPr>
        <w:tabs>
          <w:tab w:val="left" w:pos="851"/>
        </w:tabs>
        <w:ind w:left="851"/>
        <w:rPr>
          <w:sz w:val="24"/>
          <w:szCs w:val="24"/>
          <w:u w:val="single"/>
        </w:rPr>
      </w:pPr>
      <w:r w:rsidRPr="008E19A3">
        <w:rPr>
          <w:sz w:val="24"/>
          <w:szCs w:val="24"/>
          <w:u w:val="single"/>
        </w:rPr>
        <w:t>Anden samtidig behandling</w:t>
      </w:r>
    </w:p>
    <w:p w14:paraId="2A85AFB0" w14:textId="77777777" w:rsidR="00C7249D" w:rsidRPr="008E19A3" w:rsidRDefault="00C7249D" w:rsidP="00C7249D">
      <w:pPr>
        <w:tabs>
          <w:tab w:val="left" w:pos="851"/>
        </w:tabs>
        <w:ind w:left="851"/>
        <w:rPr>
          <w:sz w:val="24"/>
          <w:szCs w:val="24"/>
        </w:rPr>
      </w:pPr>
      <w:r w:rsidRPr="008E19A3">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65B1B360" w14:textId="77777777" w:rsidR="00C7249D" w:rsidRPr="008E19A3" w:rsidRDefault="00C7249D" w:rsidP="00C7249D">
      <w:pPr>
        <w:tabs>
          <w:tab w:val="left" w:pos="851"/>
        </w:tabs>
        <w:ind w:left="851"/>
        <w:rPr>
          <w:sz w:val="24"/>
          <w:szCs w:val="24"/>
        </w:rPr>
      </w:pPr>
      <w:bookmarkStart w:id="5" w:name="_Hlk49508715"/>
      <w:r w:rsidRPr="008E19A3">
        <w:rPr>
          <w:sz w:val="24"/>
          <w:szCs w:val="24"/>
        </w:rPr>
        <w:t>Der er ikke observeret nogen klinisk relevant interaktion med fødevarer (se pkt. 4.2).</w:t>
      </w:r>
    </w:p>
    <w:bookmarkEnd w:id="5"/>
    <w:p w14:paraId="6D3B4BCE" w14:textId="77777777" w:rsidR="00C7249D" w:rsidRPr="008E19A3" w:rsidRDefault="00C7249D" w:rsidP="00C7249D">
      <w:pPr>
        <w:tabs>
          <w:tab w:val="left" w:pos="851"/>
        </w:tabs>
        <w:ind w:left="851"/>
        <w:rPr>
          <w:sz w:val="24"/>
          <w:szCs w:val="24"/>
        </w:rPr>
      </w:pPr>
    </w:p>
    <w:p w14:paraId="16D80730" w14:textId="77777777" w:rsidR="00C7249D" w:rsidRPr="008E19A3" w:rsidRDefault="00C7249D" w:rsidP="00C7249D">
      <w:pPr>
        <w:tabs>
          <w:tab w:val="left" w:pos="851"/>
        </w:tabs>
        <w:ind w:left="851"/>
        <w:rPr>
          <w:sz w:val="24"/>
          <w:szCs w:val="24"/>
          <w:u w:val="single"/>
        </w:rPr>
      </w:pPr>
      <w:r w:rsidRPr="008E19A3">
        <w:rPr>
          <w:sz w:val="24"/>
          <w:szCs w:val="24"/>
          <w:u w:val="single"/>
        </w:rPr>
        <w:t>Laboratorieparametre</w:t>
      </w:r>
    </w:p>
    <w:p w14:paraId="78987EE5" w14:textId="77777777" w:rsidR="00C7249D" w:rsidRPr="008E19A3" w:rsidRDefault="00C7249D" w:rsidP="00C7249D">
      <w:pPr>
        <w:tabs>
          <w:tab w:val="left" w:pos="851"/>
        </w:tabs>
        <w:ind w:left="851"/>
        <w:rPr>
          <w:sz w:val="24"/>
          <w:szCs w:val="24"/>
        </w:rPr>
      </w:pPr>
      <w:r w:rsidRPr="008E19A3">
        <w:rPr>
          <w:sz w:val="24"/>
          <w:szCs w:val="24"/>
        </w:rPr>
        <w:t>Koagulationsparametrene (f.eks. PT, aPTT, Heptest) påvirkes som forventet af rivaroxabans virkningsmekanisme (se pkt. 5.1).</w:t>
      </w:r>
    </w:p>
    <w:p w14:paraId="0D7B48E0" w14:textId="77777777" w:rsidR="009260DE" w:rsidRPr="008E19A3" w:rsidRDefault="009260DE" w:rsidP="009260DE">
      <w:pPr>
        <w:tabs>
          <w:tab w:val="left" w:pos="851"/>
        </w:tabs>
        <w:ind w:left="851"/>
        <w:rPr>
          <w:sz w:val="24"/>
          <w:szCs w:val="24"/>
        </w:rPr>
      </w:pPr>
    </w:p>
    <w:p w14:paraId="4DA77B3D" w14:textId="77777777" w:rsidR="009260DE" w:rsidRPr="008E19A3" w:rsidRDefault="009260DE" w:rsidP="009260DE">
      <w:pPr>
        <w:tabs>
          <w:tab w:val="left" w:pos="851"/>
        </w:tabs>
        <w:ind w:left="851" w:hanging="851"/>
        <w:rPr>
          <w:b/>
          <w:sz w:val="24"/>
          <w:szCs w:val="24"/>
        </w:rPr>
      </w:pPr>
      <w:r w:rsidRPr="008E19A3">
        <w:rPr>
          <w:b/>
          <w:sz w:val="24"/>
          <w:szCs w:val="24"/>
        </w:rPr>
        <w:t>4.6</w:t>
      </w:r>
      <w:r w:rsidRPr="008E19A3">
        <w:rPr>
          <w:b/>
          <w:sz w:val="24"/>
          <w:szCs w:val="24"/>
        </w:rPr>
        <w:tab/>
      </w:r>
      <w:r w:rsidR="0071241E" w:rsidRPr="008E19A3">
        <w:rPr>
          <w:b/>
          <w:sz w:val="24"/>
          <w:szCs w:val="24"/>
        </w:rPr>
        <w:t>Fertilitet, g</w:t>
      </w:r>
      <w:r w:rsidRPr="008E19A3">
        <w:rPr>
          <w:b/>
          <w:sz w:val="24"/>
          <w:szCs w:val="24"/>
        </w:rPr>
        <w:t>raviditet og amning</w:t>
      </w:r>
    </w:p>
    <w:p w14:paraId="09F22251" w14:textId="77777777" w:rsidR="008E19A3" w:rsidRDefault="008E19A3" w:rsidP="00C7249D">
      <w:pPr>
        <w:tabs>
          <w:tab w:val="left" w:pos="851"/>
        </w:tabs>
        <w:ind w:left="851"/>
        <w:rPr>
          <w:sz w:val="24"/>
          <w:szCs w:val="24"/>
          <w:u w:val="single"/>
        </w:rPr>
      </w:pPr>
    </w:p>
    <w:p w14:paraId="448D1D17" w14:textId="3A8B380D" w:rsidR="00C7249D" w:rsidRPr="008E19A3" w:rsidRDefault="00C7249D" w:rsidP="00C7249D">
      <w:pPr>
        <w:tabs>
          <w:tab w:val="left" w:pos="851"/>
        </w:tabs>
        <w:ind w:left="851"/>
        <w:rPr>
          <w:sz w:val="24"/>
          <w:szCs w:val="24"/>
        </w:rPr>
      </w:pPr>
      <w:r w:rsidRPr="008E19A3">
        <w:rPr>
          <w:sz w:val="24"/>
          <w:szCs w:val="24"/>
          <w:u w:val="single"/>
        </w:rPr>
        <w:t>Graviditet</w:t>
      </w:r>
    </w:p>
    <w:p w14:paraId="74A1CAB4" w14:textId="3EE0DB31" w:rsidR="00C7249D" w:rsidRPr="008E19A3" w:rsidRDefault="00C7249D" w:rsidP="00C7249D">
      <w:pPr>
        <w:tabs>
          <w:tab w:val="left" w:pos="851"/>
        </w:tabs>
        <w:ind w:left="851"/>
        <w:rPr>
          <w:sz w:val="24"/>
          <w:szCs w:val="24"/>
        </w:rPr>
      </w:pPr>
      <w:r w:rsidRPr="008E19A3">
        <w:rPr>
          <w:sz w:val="24"/>
          <w:szCs w:val="24"/>
        </w:rPr>
        <w:t xml:space="preserve">Sikkerheden og virkningen af rivaroxaban hos gravide kvinder er ikke klarlagt. Dyrestudier har vist reproduktiv toksicitet (se pkt. 5.3).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er kontraindiceret under graviditet på grund af den potentielle reproduktionstoksicitet, den</w:t>
      </w:r>
      <w:r w:rsidR="008E19A3">
        <w:rPr>
          <w:sz w:val="24"/>
          <w:szCs w:val="24"/>
        </w:rPr>
        <w:t xml:space="preserve"> </w:t>
      </w:r>
      <w:r w:rsidRPr="008E19A3">
        <w:rPr>
          <w:sz w:val="24"/>
          <w:szCs w:val="24"/>
        </w:rPr>
        <w:t>iboende risiko for blødning og evidens for, at rivaroxaban passerer placenta (se pkt. 4.3).</w:t>
      </w:r>
    </w:p>
    <w:p w14:paraId="7DEA42F0" w14:textId="77777777" w:rsidR="00C7249D" w:rsidRPr="008E19A3" w:rsidRDefault="00C7249D" w:rsidP="00C7249D">
      <w:pPr>
        <w:tabs>
          <w:tab w:val="left" w:pos="851"/>
        </w:tabs>
        <w:ind w:left="851"/>
        <w:rPr>
          <w:sz w:val="24"/>
          <w:szCs w:val="24"/>
        </w:rPr>
      </w:pPr>
      <w:r w:rsidRPr="008E19A3">
        <w:rPr>
          <w:sz w:val="24"/>
          <w:szCs w:val="24"/>
        </w:rPr>
        <w:t>Fertile kvinder bør undgå at blive gravide under behandling med rivaroxaban.</w:t>
      </w:r>
    </w:p>
    <w:p w14:paraId="1F16F297" w14:textId="3F9E1B75" w:rsidR="005761FF" w:rsidRDefault="005761FF">
      <w:pPr>
        <w:rPr>
          <w:sz w:val="24"/>
          <w:szCs w:val="24"/>
        </w:rPr>
      </w:pPr>
      <w:r>
        <w:rPr>
          <w:sz w:val="24"/>
          <w:szCs w:val="24"/>
        </w:rPr>
        <w:br w:type="page"/>
      </w:r>
    </w:p>
    <w:p w14:paraId="2F9035EA" w14:textId="77777777" w:rsidR="00C7249D" w:rsidRPr="008E19A3" w:rsidRDefault="00C7249D" w:rsidP="00C7249D">
      <w:pPr>
        <w:tabs>
          <w:tab w:val="left" w:pos="851"/>
        </w:tabs>
        <w:ind w:left="851"/>
        <w:rPr>
          <w:sz w:val="24"/>
          <w:szCs w:val="24"/>
        </w:rPr>
      </w:pPr>
    </w:p>
    <w:p w14:paraId="4E655901" w14:textId="77777777" w:rsidR="00C7249D" w:rsidRPr="008E19A3" w:rsidRDefault="00C7249D" w:rsidP="00C7249D">
      <w:pPr>
        <w:tabs>
          <w:tab w:val="left" w:pos="851"/>
        </w:tabs>
        <w:ind w:left="851"/>
        <w:rPr>
          <w:sz w:val="24"/>
          <w:szCs w:val="24"/>
        </w:rPr>
      </w:pPr>
      <w:r w:rsidRPr="008E19A3">
        <w:rPr>
          <w:sz w:val="24"/>
          <w:szCs w:val="24"/>
          <w:u w:val="single"/>
        </w:rPr>
        <w:t>Amning</w:t>
      </w:r>
    </w:p>
    <w:p w14:paraId="21146683" w14:textId="0096B922" w:rsidR="00C7249D" w:rsidRPr="008E19A3" w:rsidRDefault="00C7249D" w:rsidP="00C7249D">
      <w:pPr>
        <w:tabs>
          <w:tab w:val="left" w:pos="851"/>
        </w:tabs>
        <w:ind w:left="851"/>
        <w:rPr>
          <w:sz w:val="24"/>
          <w:szCs w:val="24"/>
        </w:rPr>
      </w:pPr>
      <w:r w:rsidRPr="008E19A3">
        <w:rPr>
          <w:sz w:val="24"/>
          <w:szCs w:val="24"/>
        </w:rPr>
        <w:t xml:space="preserve">Sikkerheden og virkningen af rivaroxaban hos ammende kvinder er ikke klarlagt. Data fra dyrestudier indikerer, at rivaroxaban udskilles i mælk.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er derfor kontraindiceret under amning (se pkt. 4.3). Det må besluttes enten at afbryde amningen eller at afbryde/undgå behandlingen.</w:t>
      </w:r>
    </w:p>
    <w:p w14:paraId="26AD7FB1" w14:textId="77777777" w:rsidR="00C7249D" w:rsidRPr="008E19A3" w:rsidRDefault="00C7249D" w:rsidP="00C7249D">
      <w:pPr>
        <w:tabs>
          <w:tab w:val="left" w:pos="851"/>
        </w:tabs>
        <w:ind w:left="851"/>
        <w:rPr>
          <w:sz w:val="24"/>
          <w:szCs w:val="24"/>
        </w:rPr>
      </w:pPr>
    </w:p>
    <w:p w14:paraId="69086371" w14:textId="77777777" w:rsidR="00C7249D" w:rsidRPr="008E19A3" w:rsidRDefault="00C7249D" w:rsidP="00C7249D">
      <w:pPr>
        <w:tabs>
          <w:tab w:val="left" w:pos="851"/>
        </w:tabs>
        <w:ind w:left="851"/>
        <w:rPr>
          <w:sz w:val="24"/>
          <w:szCs w:val="24"/>
        </w:rPr>
      </w:pPr>
      <w:r w:rsidRPr="008E19A3">
        <w:rPr>
          <w:sz w:val="24"/>
          <w:szCs w:val="24"/>
          <w:u w:val="single"/>
        </w:rPr>
        <w:t>Fertilitet</w:t>
      </w:r>
    </w:p>
    <w:p w14:paraId="01DBE475" w14:textId="77777777" w:rsidR="00C7249D" w:rsidRPr="008E19A3" w:rsidRDefault="00C7249D" w:rsidP="00C7249D">
      <w:pPr>
        <w:tabs>
          <w:tab w:val="left" w:pos="851"/>
        </w:tabs>
        <w:ind w:left="851"/>
        <w:rPr>
          <w:sz w:val="24"/>
          <w:szCs w:val="24"/>
        </w:rPr>
      </w:pPr>
      <w:r w:rsidRPr="008E19A3">
        <w:rPr>
          <w:sz w:val="24"/>
          <w:szCs w:val="24"/>
        </w:rPr>
        <w:t>Der er ikke foretaget specifikke studier hos mennesker for at evaluere virkningen på fertiliteten. I et fertilitetsstudie hos han- og hunrotter sås ingen virkninger (se pkt. 5.3).</w:t>
      </w:r>
    </w:p>
    <w:p w14:paraId="171B610C" w14:textId="77777777" w:rsidR="009260DE" w:rsidRPr="008E19A3" w:rsidRDefault="009260DE" w:rsidP="009260DE">
      <w:pPr>
        <w:tabs>
          <w:tab w:val="left" w:pos="851"/>
        </w:tabs>
        <w:ind w:left="851"/>
        <w:rPr>
          <w:sz w:val="24"/>
          <w:szCs w:val="24"/>
        </w:rPr>
      </w:pPr>
    </w:p>
    <w:p w14:paraId="1066D2CB" w14:textId="77777777" w:rsidR="009260DE" w:rsidRPr="008E19A3" w:rsidRDefault="009260DE" w:rsidP="009260DE">
      <w:pPr>
        <w:tabs>
          <w:tab w:val="left" w:pos="851"/>
        </w:tabs>
        <w:ind w:left="851" w:hanging="851"/>
        <w:rPr>
          <w:b/>
          <w:sz w:val="24"/>
          <w:szCs w:val="24"/>
        </w:rPr>
      </w:pPr>
      <w:r w:rsidRPr="008E19A3">
        <w:rPr>
          <w:b/>
          <w:sz w:val="24"/>
          <w:szCs w:val="24"/>
        </w:rPr>
        <w:t>4.7</w:t>
      </w:r>
      <w:r w:rsidRPr="008E19A3">
        <w:rPr>
          <w:b/>
          <w:sz w:val="24"/>
          <w:szCs w:val="24"/>
        </w:rPr>
        <w:tab/>
        <w:t xml:space="preserve">Virkning på evnen til at føre motorkøretøj </w:t>
      </w:r>
      <w:r w:rsidR="0071241E" w:rsidRPr="008E19A3">
        <w:rPr>
          <w:b/>
          <w:sz w:val="24"/>
          <w:szCs w:val="24"/>
        </w:rPr>
        <w:t>og</w:t>
      </w:r>
      <w:r w:rsidRPr="008E19A3">
        <w:rPr>
          <w:b/>
          <w:sz w:val="24"/>
          <w:szCs w:val="24"/>
        </w:rPr>
        <w:t xml:space="preserve"> betjene maskiner</w:t>
      </w:r>
    </w:p>
    <w:p w14:paraId="6FA0BEC0" w14:textId="77777777" w:rsidR="008E19A3" w:rsidRDefault="008E19A3" w:rsidP="00C7249D">
      <w:pPr>
        <w:tabs>
          <w:tab w:val="left" w:pos="851"/>
        </w:tabs>
        <w:ind w:left="851"/>
        <w:rPr>
          <w:sz w:val="24"/>
          <w:szCs w:val="24"/>
        </w:rPr>
      </w:pPr>
      <w:r>
        <w:rPr>
          <w:sz w:val="24"/>
          <w:szCs w:val="24"/>
        </w:rPr>
        <w:t>Ikke mærkning.</w:t>
      </w:r>
    </w:p>
    <w:p w14:paraId="4FF22FDD" w14:textId="228551D3" w:rsidR="00C7249D" w:rsidRPr="008E19A3" w:rsidRDefault="00C7249D" w:rsidP="00C7249D">
      <w:pPr>
        <w:tabs>
          <w:tab w:val="left" w:pos="851"/>
        </w:tabs>
        <w:ind w:left="851"/>
        <w:rPr>
          <w:b/>
          <w:sz w:val="24"/>
          <w:szCs w:val="24"/>
        </w:rPr>
      </w:pPr>
      <w:r w:rsidRPr="008E19A3">
        <w:rPr>
          <w:sz w:val="24"/>
          <w:szCs w:val="24"/>
        </w:rPr>
        <w:t>Rivaroxaban påvirker i mindre grad evnen til at føre motorkøretøj eller betjene maskiner. Der er set bivirkninger som besvimelse (hyppighed: Ikke almindelig) og svimmelhed (hyppighed: Almindelig) er indberettet (se pkt. 4.8). Patienter, der oplever disse bivirkninger, bør ikke føre motorkøretøj eller betjene maskiner.</w:t>
      </w:r>
    </w:p>
    <w:p w14:paraId="582A00DC" w14:textId="77777777" w:rsidR="009260DE" w:rsidRPr="008E19A3" w:rsidRDefault="009260DE" w:rsidP="009260DE">
      <w:pPr>
        <w:tabs>
          <w:tab w:val="left" w:pos="851"/>
        </w:tabs>
        <w:ind w:left="851"/>
        <w:rPr>
          <w:sz w:val="24"/>
          <w:szCs w:val="24"/>
        </w:rPr>
      </w:pPr>
    </w:p>
    <w:p w14:paraId="5E6FE730" w14:textId="77777777" w:rsidR="009260DE" w:rsidRPr="008E19A3" w:rsidRDefault="009260DE" w:rsidP="009260DE">
      <w:pPr>
        <w:tabs>
          <w:tab w:val="left" w:pos="851"/>
        </w:tabs>
        <w:ind w:left="851" w:hanging="851"/>
        <w:rPr>
          <w:b/>
          <w:sz w:val="24"/>
          <w:szCs w:val="24"/>
        </w:rPr>
      </w:pPr>
      <w:r w:rsidRPr="008E19A3">
        <w:rPr>
          <w:b/>
          <w:sz w:val="24"/>
          <w:szCs w:val="24"/>
        </w:rPr>
        <w:t>4.8</w:t>
      </w:r>
      <w:r w:rsidRPr="008E19A3">
        <w:rPr>
          <w:b/>
          <w:sz w:val="24"/>
          <w:szCs w:val="24"/>
        </w:rPr>
        <w:tab/>
        <w:t>Bivirkninger</w:t>
      </w:r>
    </w:p>
    <w:p w14:paraId="3F64E968" w14:textId="77777777" w:rsidR="008E19A3" w:rsidRDefault="008E19A3" w:rsidP="00C7249D">
      <w:pPr>
        <w:tabs>
          <w:tab w:val="left" w:pos="851"/>
        </w:tabs>
        <w:ind w:left="851"/>
        <w:rPr>
          <w:sz w:val="24"/>
          <w:szCs w:val="24"/>
          <w:u w:val="single"/>
        </w:rPr>
      </w:pPr>
    </w:p>
    <w:p w14:paraId="1F925FA6" w14:textId="04C2C750" w:rsidR="00C7249D" w:rsidRPr="008E19A3" w:rsidRDefault="00C7249D" w:rsidP="00C7249D">
      <w:pPr>
        <w:tabs>
          <w:tab w:val="left" w:pos="851"/>
        </w:tabs>
        <w:ind w:left="851"/>
        <w:rPr>
          <w:sz w:val="24"/>
          <w:szCs w:val="24"/>
        </w:rPr>
      </w:pPr>
      <w:r w:rsidRPr="008E19A3">
        <w:rPr>
          <w:sz w:val="24"/>
          <w:szCs w:val="24"/>
          <w:u w:val="single"/>
        </w:rPr>
        <w:t>Sammendrag af sikkerhedsprofilen</w:t>
      </w:r>
    </w:p>
    <w:p w14:paraId="4D6C24A4" w14:textId="77777777" w:rsidR="00C7249D" w:rsidRPr="008E19A3" w:rsidRDefault="00C7249D" w:rsidP="00C7249D">
      <w:pPr>
        <w:suppressAutoHyphens/>
        <w:ind w:left="851"/>
        <w:rPr>
          <w:sz w:val="24"/>
          <w:szCs w:val="24"/>
        </w:rPr>
      </w:pPr>
      <w:r w:rsidRPr="008E19A3">
        <w:rPr>
          <w:sz w:val="24"/>
          <w:szCs w:val="24"/>
        </w:rPr>
        <w:t>Sikkerheden af rivaroxaban er blevet undersøgt i 13 pivotale fase III-studier (se tabel 1).</w:t>
      </w:r>
    </w:p>
    <w:p w14:paraId="48C69067" w14:textId="77777777" w:rsidR="00C7249D" w:rsidRPr="008E19A3" w:rsidRDefault="00C7249D" w:rsidP="00C7249D">
      <w:pPr>
        <w:suppressAutoHyphens/>
        <w:ind w:left="851"/>
        <w:rPr>
          <w:sz w:val="24"/>
          <w:szCs w:val="24"/>
        </w:rPr>
      </w:pPr>
    </w:p>
    <w:p w14:paraId="049E9DAF" w14:textId="77777777" w:rsidR="00C7249D" w:rsidRPr="008E19A3" w:rsidRDefault="00C7249D" w:rsidP="00C7249D">
      <w:pPr>
        <w:suppressAutoHyphens/>
        <w:ind w:left="851"/>
        <w:rPr>
          <w:sz w:val="24"/>
          <w:szCs w:val="24"/>
        </w:rPr>
      </w:pPr>
      <w:r w:rsidRPr="008E19A3">
        <w:rPr>
          <w:sz w:val="24"/>
          <w:szCs w:val="24"/>
        </w:rPr>
        <w:t>Samlet blev 69.608 voksne patienter i 19 fase III-studier, og 488 pædiatriske patienter i to fase II-studier og to fase III-studie eksponeret for rivaroxaban.</w:t>
      </w:r>
    </w:p>
    <w:p w14:paraId="5413E304" w14:textId="77777777" w:rsidR="00C7249D" w:rsidRPr="008E19A3" w:rsidRDefault="00C7249D" w:rsidP="00C7249D">
      <w:pPr>
        <w:tabs>
          <w:tab w:val="left" w:pos="851"/>
        </w:tabs>
        <w:ind w:left="851"/>
        <w:rPr>
          <w:sz w:val="24"/>
          <w:szCs w:val="24"/>
        </w:rPr>
      </w:pPr>
    </w:p>
    <w:p w14:paraId="19F9033F" w14:textId="77777777" w:rsidR="00C7249D" w:rsidRPr="008E19A3" w:rsidRDefault="00C7249D" w:rsidP="00C7249D">
      <w:pPr>
        <w:suppressAutoHyphens/>
        <w:rPr>
          <w:sz w:val="24"/>
          <w:szCs w:val="24"/>
        </w:rPr>
      </w:pPr>
      <w:r w:rsidRPr="008E19A3">
        <w:rPr>
          <w:b/>
          <w:bCs/>
          <w:sz w:val="24"/>
          <w:szCs w:val="24"/>
        </w:rPr>
        <w:t>Tabel 1: Antal undersøgte patienter, total daglig dosis og maksimal behandlingsvarighed i fase III-studier hos voksne og pædiatriske patienter</w:t>
      </w:r>
    </w:p>
    <w:tbl>
      <w:tblPr>
        <w:tblW w:w="5000" w:type="pct"/>
        <w:jc w:val="center"/>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11"/>
        <w:gridCol w:w="1209"/>
        <w:gridCol w:w="3188"/>
        <w:gridCol w:w="1612"/>
      </w:tblGrid>
      <w:tr w:rsidR="00C7249D" w:rsidRPr="008E19A3" w14:paraId="2D92C47F" w14:textId="77777777" w:rsidTr="008E19A3">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00FE45DB" w14:textId="77777777" w:rsidR="00C7249D" w:rsidRPr="008E19A3" w:rsidRDefault="00C7249D" w:rsidP="008E19A3">
            <w:pPr>
              <w:ind w:left="132" w:right="96"/>
              <w:rPr>
                <w:b/>
                <w:sz w:val="22"/>
                <w:szCs w:val="22"/>
              </w:rPr>
            </w:pPr>
            <w:r w:rsidRPr="008E19A3">
              <w:rPr>
                <w:b/>
                <w:sz w:val="22"/>
                <w:szCs w:val="22"/>
              </w:rPr>
              <w:t>Indikation</w:t>
            </w:r>
          </w:p>
        </w:tc>
        <w:tc>
          <w:tcPr>
            <w:tcW w:w="588" w:type="pct"/>
            <w:tcBorders>
              <w:top w:val="single" w:sz="6" w:space="0" w:color="000000"/>
              <w:left w:val="single" w:sz="6" w:space="0" w:color="000000"/>
              <w:bottom w:val="single" w:sz="6" w:space="0" w:color="000000"/>
              <w:right w:val="single" w:sz="6" w:space="0" w:color="000000"/>
            </w:tcBorders>
            <w:hideMark/>
          </w:tcPr>
          <w:p w14:paraId="35CA9E5A" w14:textId="77777777" w:rsidR="00C7249D" w:rsidRPr="008E19A3" w:rsidRDefault="00C7249D" w:rsidP="008E19A3">
            <w:pPr>
              <w:ind w:left="132" w:right="96"/>
              <w:rPr>
                <w:b/>
                <w:sz w:val="22"/>
                <w:szCs w:val="22"/>
              </w:rPr>
            </w:pPr>
            <w:r w:rsidRPr="008E19A3">
              <w:rPr>
                <w:b/>
                <w:sz w:val="22"/>
                <w:szCs w:val="22"/>
              </w:rPr>
              <w:t>Antal patienter*</w:t>
            </w:r>
          </w:p>
        </w:tc>
        <w:tc>
          <w:tcPr>
            <w:tcW w:w="1670" w:type="pct"/>
            <w:tcBorders>
              <w:top w:val="single" w:sz="6" w:space="0" w:color="000000"/>
              <w:left w:val="single" w:sz="6" w:space="0" w:color="000000"/>
              <w:bottom w:val="single" w:sz="6" w:space="0" w:color="000000"/>
              <w:right w:val="single" w:sz="6" w:space="0" w:color="000000"/>
            </w:tcBorders>
            <w:hideMark/>
          </w:tcPr>
          <w:p w14:paraId="3929BA97" w14:textId="77777777" w:rsidR="00C7249D" w:rsidRPr="008E19A3" w:rsidRDefault="00C7249D" w:rsidP="008E19A3">
            <w:pPr>
              <w:ind w:left="132" w:right="96"/>
              <w:rPr>
                <w:b/>
                <w:sz w:val="22"/>
                <w:szCs w:val="22"/>
              </w:rPr>
            </w:pPr>
            <w:r w:rsidRPr="008E19A3">
              <w:rPr>
                <w:b/>
                <w:sz w:val="22"/>
                <w:szCs w:val="22"/>
              </w:rPr>
              <w:t>Total daglig dosis</w:t>
            </w:r>
          </w:p>
        </w:tc>
        <w:tc>
          <w:tcPr>
            <w:tcW w:w="851" w:type="pct"/>
            <w:tcBorders>
              <w:top w:val="single" w:sz="6" w:space="0" w:color="000000"/>
              <w:left w:val="single" w:sz="6" w:space="0" w:color="000000"/>
              <w:bottom w:val="single" w:sz="6" w:space="0" w:color="000000"/>
              <w:right w:val="single" w:sz="8" w:space="0" w:color="000000"/>
            </w:tcBorders>
            <w:hideMark/>
          </w:tcPr>
          <w:p w14:paraId="10E7F445" w14:textId="77777777" w:rsidR="00C7249D" w:rsidRPr="008E19A3" w:rsidRDefault="00C7249D" w:rsidP="008E19A3">
            <w:pPr>
              <w:ind w:left="132" w:right="96"/>
              <w:rPr>
                <w:b/>
                <w:sz w:val="22"/>
                <w:szCs w:val="22"/>
              </w:rPr>
            </w:pPr>
            <w:r w:rsidRPr="008E19A3">
              <w:rPr>
                <w:b/>
                <w:sz w:val="22"/>
                <w:szCs w:val="22"/>
              </w:rPr>
              <w:t>Maksimal varighed af behandlingen</w:t>
            </w:r>
          </w:p>
        </w:tc>
      </w:tr>
      <w:tr w:rsidR="00C7249D" w:rsidRPr="008E19A3" w14:paraId="6D670734" w14:textId="77777777" w:rsidTr="008E19A3">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72891646" w14:textId="77777777" w:rsidR="00C7249D" w:rsidRPr="008E19A3" w:rsidRDefault="00C7249D" w:rsidP="008E19A3">
            <w:pPr>
              <w:ind w:left="132" w:right="96"/>
              <w:rPr>
                <w:color w:val="231F20"/>
                <w:spacing w:val="-1"/>
                <w:sz w:val="22"/>
                <w:szCs w:val="22"/>
              </w:rPr>
            </w:pPr>
            <w:r w:rsidRPr="008E19A3">
              <w:rPr>
                <w:color w:val="231F20"/>
                <w:spacing w:val="-1"/>
                <w:sz w:val="22"/>
                <w:szCs w:val="22"/>
              </w:rPr>
              <w:t>Forebyggelse af venøs tromboemboli (VTE) hos voksne patienter, der gennemgår planlagt hofteleds- eller knæledsalloplastik</w:t>
            </w:r>
          </w:p>
        </w:tc>
        <w:tc>
          <w:tcPr>
            <w:tcW w:w="588" w:type="pct"/>
            <w:tcBorders>
              <w:top w:val="single" w:sz="6" w:space="0" w:color="000000"/>
              <w:left w:val="single" w:sz="6" w:space="0" w:color="000000"/>
              <w:bottom w:val="single" w:sz="6" w:space="0" w:color="000000"/>
              <w:right w:val="single" w:sz="6" w:space="0" w:color="000000"/>
            </w:tcBorders>
            <w:hideMark/>
          </w:tcPr>
          <w:p w14:paraId="102868FA"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6.097</w:t>
            </w:r>
          </w:p>
        </w:tc>
        <w:tc>
          <w:tcPr>
            <w:tcW w:w="1670" w:type="pct"/>
            <w:tcBorders>
              <w:top w:val="single" w:sz="6" w:space="0" w:color="000000"/>
              <w:left w:val="single" w:sz="6" w:space="0" w:color="000000"/>
              <w:bottom w:val="single" w:sz="6" w:space="0" w:color="000000"/>
              <w:right w:val="single" w:sz="6" w:space="0" w:color="000000"/>
            </w:tcBorders>
            <w:hideMark/>
          </w:tcPr>
          <w:p w14:paraId="795007DF"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10 mg</w:t>
            </w:r>
          </w:p>
        </w:tc>
        <w:tc>
          <w:tcPr>
            <w:tcW w:w="851" w:type="pct"/>
            <w:tcBorders>
              <w:top w:val="single" w:sz="6" w:space="0" w:color="000000"/>
              <w:left w:val="single" w:sz="6" w:space="0" w:color="000000"/>
              <w:bottom w:val="single" w:sz="6" w:space="0" w:color="000000"/>
              <w:right w:val="single" w:sz="8" w:space="0" w:color="000000"/>
            </w:tcBorders>
            <w:hideMark/>
          </w:tcPr>
          <w:p w14:paraId="0E4AFA0A"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39 dage</w:t>
            </w:r>
          </w:p>
        </w:tc>
      </w:tr>
      <w:tr w:rsidR="00C7249D" w:rsidRPr="008E19A3" w14:paraId="544C31B6" w14:textId="77777777" w:rsidTr="008E19A3">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248C5139" w14:textId="77777777" w:rsidR="00C7249D" w:rsidRPr="008E19A3" w:rsidRDefault="00C7249D" w:rsidP="008E19A3">
            <w:pPr>
              <w:ind w:left="132" w:right="96"/>
              <w:rPr>
                <w:color w:val="231F20"/>
                <w:spacing w:val="-1"/>
                <w:sz w:val="22"/>
                <w:szCs w:val="22"/>
              </w:rPr>
            </w:pPr>
            <w:r w:rsidRPr="008E19A3">
              <w:rPr>
                <w:color w:val="231F20"/>
                <w:spacing w:val="-1"/>
                <w:sz w:val="22"/>
                <w:szCs w:val="22"/>
              </w:rPr>
              <w:t>Forebyggelse af VTE hos medicinsk syge patienter</w:t>
            </w:r>
          </w:p>
        </w:tc>
        <w:tc>
          <w:tcPr>
            <w:tcW w:w="588" w:type="pct"/>
            <w:tcBorders>
              <w:top w:val="single" w:sz="6" w:space="0" w:color="000000"/>
              <w:left w:val="single" w:sz="6" w:space="0" w:color="000000"/>
              <w:bottom w:val="single" w:sz="6" w:space="0" w:color="000000"/>
              <w:right w:val="single" w:sz="6" w:space="0" w:color="000000"/>
            </w:tcBorders>
            <w:hideMark/>
          </w:tcPr>
          <w:p w14:paraId="3614D0F3"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3.997</w:t>
            </w:r>
          </w:p>
        </w:tc>
        <w:tc>
          <w:tcPr>
            <w:tcW w:w="1670" w:type="pct"/>
            <w:tcBorders>
              <w:top w:val="single" w:sz="6" w:space="0" w:color="000000"/>
              <w:left w:val="single" w:sz="6" w:space="0" w:color="000000"/>
              <w:bottom w:val="single" w:sz="6" w:space="0" w:color="000000"/>
              <w:right w:val="single" w:sz="6" w:space="0" w:color="000000"/>
            </w:tcBorders>
            <w:hideMark/>
          </w:tcPr>
          <w:p w14:paraId="57A0BA91"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10 mg</w:t>
            </w:r>
          </w:p>
        </w:tc>
        <w:tc>
          <w:tcPr>
            <w:tcW w:w="851" w:type="pct"/>
            <w:tcBorders>
              <w:top w:val="single" w:sz="6" w:space="0" w:color="000000"/>
              <w:left w:val="single" w:sz="6" w:space="0" w:color="000000"/>
              <w:bottom w:val="single" w:sz="6" w:space="0" w:color="000000"/>
              <w:right w:val="single" w:sz="8" w:space="0" w:color="000000"/>
            </w:tcBorders>
            <w:hideMark/>
          </w:tcPr>
          <w:p w14:paraId="4C2220AC"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39 dage</w:t>
            </w:r>
          </w:p>
        </w:tc>
      </w:tr>
      <w:tr w:rsidR="00C7249D" w:rsidRPr="008E19A3" w14:paraId="052D134E" w14:textId="77777777" w:rsidTr="008E19A3">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0A1BFB0C" w14:textId="77777777" w:rsidR="00C7249D" w:rsidRPr="008E19A3" w:rsidRDefault="00C7249D" w:rsidP="008E19A3">
            <w:pPr>
              <w:ind w:left="132" w:right="96"/>
              <w:rPr>
                <w:color w:val="231F20"/>
                <w:spacing w:val="-1"/>
                <w:sz w:val="22"/>
                <w:szCs w:val="22"/>
              </w:rPr>
            </w:pPr>
            <w:r w:rsidRPr="008E19A3">
              <w:rPr>
                <w:color w:val="231F20"/>
                <w:spacing w:val="-1"/>
                <w:sz w:val="22"/>
                <w:szCs w:val="22"/>
              </w:rPr>
              <w:t>Behandling af dyb venetrombose (DVT), lungeemboli (LE) og forebyggelse af recidiv</w:t>
            </w:r>
          </w:p>
        </w:tc>
        <w:tc>
          <w:tcPr>
            <w:tcW w:w="588" w:type="pct"/>
            <w:tcBorders>
              <w:top w:val="single" w:sz="6" w:space="0" w:color="000000"/>
              <w:left w:val="single" w:sz="6" w:space="0" w:color="000000"/>
              <w:bottom w:val="single" w:sz="6" w:space="0" w:color="000000"/>
              <w:right w:val="single" w:sz="6" w:space="0" w:color="000000"/>
            </w:tcBorders>
            <w:hideMark/>
          </w:tcPr>
          <w:p w14:paraId="6E7AAC5C"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6.790</w:t>
            </w:r>
          </w:p>
        </w:tc>
        <w:tc>
          <w:tcPr>
            <w:tcW w:w="1670" w:type="pct"/>
            <w:tcBorders>
              <w:top w:val="single" w:sz="6" w:space="0" w:color="000000"/>
              <w:left w:val="single" w:sz="6" w:space="0" w:color="000000"/>
              <w:bottom w:val="single" w:sz="6" w:space="0" w:color="000000"/>
              <w:right w:val="single" w:sz="6" w:space="0" w:color="000000"/>
            </w:tcBorders>
            <w:hideMark/>
          </w:tcPr>
          <w:p w14:paraId="73333DAE"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Dag 1-21: 30 mg</w:t>
            </w:r>
          </w:p>
          <w:p w14:paraId="0FD22A95"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Fra og med dag 22: 20 mg</w:t>
            </w:r>
          </w:p>
          <w:p w14:paraId="0CB85F0A"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Efter mindst 6 måneder: 10 mg eller 20 mg</w:t>
            </w:r>
          </w:p>
        </w:tc>
        <w:tc>
          <w:tcPr>
            <w:tcW w:w="851" w:type="pct"/>
            <w:tcBorders>
              <w:top w:val="single" w:sz="6" w:space="0" w:color="000000"/>
              <w:left w:val="single" w:sz="6" w:space="0" w:color="000000"/>
              <w:bottom w:val="single" w:sz="6" w:space="0" w:color="000000"/>
              <w:right w:val="single" w:sz="8" w:space="0" w:color="000000"/>
            </w:tcBorders>
            <w:hideMark/>
          </w:tcPr>
          <w:p w14:paraId="1822ABFF"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21 måneder</w:t>
            </w:r>
          </w:p>
        </w:tc>
      </w:tr>
      <w:tr w:rsidR="00C7249D" w:rsidRPr="008E19A3" w14:paraId="3FC83C21" w14:textId="77777777" w:rsidTr="008E19A3">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2D4A5D9F" w14:textId="77777777" w:rsidR="00C7249D" w:rsidRPr="008E19A3" w:rsidRDefault="00C7249D" w:rsidP="008E19A3">
            <w:pPr>
              <w:ind w:left="132" w:right="96"/>
              <w:rPr>
                <w:color w:val="231F20"/>
                <w:spacing w:val="-1"/>
                <w:sz w:val="22"/>
                <w:szCs w:val="22"/>
              </w:rPr>
            </w:pPr>
            <w:r w:rsidRPr="008E19A3">
              <w:rPr>
                <w:color w:val="231F20"/>
                <w:spacing w:val="-1"/>
                <w:sz w:val="22"/>
                <w:szCs w:val="22"/>
              </w:rPr>
              <w:t>Behandling af VTE og forebyggelse af recidiverende VTE hos spædbørn født til terminen og børn i alderen under 18 år, efter standard antikoagulerende behandling blev påbegyndt</w:t>
            </w:r>
          </w:p>
        </w:tc>
        <w:tc>
          <w:tcPr>
            <w:tcW w:w="588" w:type="pct"/>
            <w:tcBorders>
              <w:top w:val="single" w:sz="6" w:space="0" w:color="000000"/>
              <w:left w:val="single" w:sz="6" w:space="0" w:color="000000"/>
              <w:bottom w:val="single" w:sz="6" w:space="0" w:color="000000"/>
              <w:right w:val="single" w:sz="6" w:space="0" w:color="000000"/>
            </w:tcBorders>
            <w:hideMark/>
          </w:tcPr>
          <w:p w14:paraId="18F65EC7"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329</w:t>
            </w:r>
          </w:p>
        </w:tc>
        <w:tc>
          <w:tcPr>
            <w:tcW w:w="1670" w:type="pct"/>
            <w:tcBorders>
              <w:top w:val="single" w:sz="6" w:space="0" w:color="000000"/>
              <w:left w:val="single" w:sz="6" w:space="0" w:color="000000"/>
              <w:bottom w:val="single" w:sz="6" w:space="0" w:color="000000"/>
              <w:right w:val="single" w:sz="6" w:space="0" w:color="000000"/>
            </w:tcBorders>
            <w:hideMark/>
          </w:tcPr>
          <w:p w14:paraId="3E9EACBE"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Legemsvægtjusteret dosis til at opnå en eksponering, der svarer til eksponeringen hos voksne behandlet mod DVT med 20 mg rivaroxaban én gang dagligt</w:t>
            </w:r>
          </w:p>
        </w:tc>
        <w:tc>
          <w:tcPr>
            <w:tcW w:w="851" w:type="pct"/>
            <w:tcBorders>
              <w:top w:val="single" w:sz="6" w:space="0" w:color="000000"/>
              <w:left w:val="single" w:sz="6" w:space="0" w:color="000000"/>
              <w:bottom w:val="single" w:sz="6" w:space="0" w:color="000000"/>
              <w:right w:val="single" w:sz="8" w:space="0" w:color="000000"/>
            </w:tcBorders>
            <w:hideMark/>
          </w:tcPr>
          <w:p w14:paraId="6855D48E"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12 måneder</w:t>
            </w:r>
          </w:p>
        </w:tc>
      </w:tr>
      <w:tr w:rsidR="00C7249D" w:rsidRPr="008E19A3" w14:paraId="3341D791" w14:textId="77777777" w:rsidTr="008E19A3">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7FB79115" w14:textId="77777777" w:rsidR="00C7249D" w:rsidRPr="008E19A3" w:rsidRDefault="00C7249D" w:rsidP="008E19A3">
            <w:pPr>
              <w:ind w:left="132" w:right="96"/>
              <w:rPr>
                <w:color w:val="231F20"/>
                <w:spacing w:val="-1"/>
                <w:sz w:val="22"/>
                <w:szCs w:val="22"/>
              </w:rPr>
            </w:pPr>
            <w:r w:rsidRPr="008E19A3">
              <w:rPr>
                <w:color w:val="231F20"/>
                <w:spacing w:val="-1"/>
                <w:sz w:val="22"/>
                <w:szCs w:val="22"/>
              </w:rPr>
              <w:t>Forebyggelse af apopleksi og systemisk emboli hos patienter med ikke-valvulær atrieflimren</w:t>
            </w:r>
          </w:p>
        </w:tc>
        <w:tc>
          <w:tcPr>
            <w:tcW w:w="588" w:type="pct"/>
            <w:tcBorders>
              <w:top w:val="single" w:sz="6" w:space="0" w:color="000000"/>
              <w:left w:val="single" w:sz="6" w:space="0" w:color="000000"/>
              <w:bottom w:val="single" w:sz="6" w:space="0" w:color="000000"/>
              <w:right w:val="single" w:sz="6" w:space="0" w:color="000000"/>
            </w:tcBorders>
            <w:hideMark/>
          </w:tcPr>
          <w:p w14:paraId="4045BD54"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7.750</w:t>
            </w:r>
          </w:p>
        </w:tc>
        <w:tc>
          <w:tcPr>
            <w:tcW w:w="1670" w:type="pct"/>
            <w:tcBorders>
              <w:top w:val="single" w:sz="6" w:space="0" w:color="000000"/>
              <w:left w:val="single" w:sz="6" w:space="0" w:color="000000"/>
              <w:bottom w:val="single" w:sz="6" w:space="0" w:color="000000"/>
              <w:right w:val="single" w:sz="6" w:space="0" w:color="000000"/>
            </w:tcBorders>
            <w:hideMark/>
          </w:tcPr>
          <w:p w14:paraId="4E7D0C2B"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20 mg</w:t>
            </w:r>
          </w:p>
        </w:tc>
        <w:tc>
          <w:tcPr>
            <w:tcW w:w="851" w:type="pct"/>
            <w:tcBorders>
              <w:top w:val="single" w:sz="6" w:space="0" w:color="000000"/>
              <w:left w:val="single" w:sz="6" w:space="0" w:color="000000"/>
              <w:bottom w:val="single" w:sz="6" w:space="0" w:color="000000"/>
              <w:right w:val="single" w:sz="8" w:space="0" w:color="000000"/>
            </w:tcBorders>
            <w:hideMark/>
          </w:tcPr>
          <w:p w14:paraId="2E48A07E"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41 måneder</w:t>
            </w:r>
          </w:p>
        </w:tc>
      </w:tr>
      <w:tr w:rsidR="00C7249D" w:rsidRPr="008E19A3" w14:paraId="7905DE71" w14:textId="77777777" w:rsidTr="008E19A3">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7FF7AEB0" w14:textId="77777777" w:rsidR="00C7249D" w:rsidRPr="008E19A3" w:rsidRDefault="00C7249D" w:rsidP="008E19A3">
            <w:pPr>
              <w:ind w:left="132" w:right="96"/>
              <w:rPr>
                <w:color w:val="231F20"/>
                <w:spacing w:val="-1"/>
                <w:sz w:val="22"/>
                <w:szCs w:val="22"/>
              </w:rPr>
            </w:pPr>
            <w:r w:rsidRPr="008E19A3">
              <w:rPr>
                <w:color w:val="231F20"/>
                <w:spacing w:val="-1"/>
                <w:sz w:val="22"/>
                <w:szCs w:val="22"/>
              </w:rPr>
              <w:t>Forebyggelse af aterotrombotiske hændelser hos patienter efter et akut koronarsyndrom (AKS)</w:t>
            </w:r>
          </w:p>
        </w:tc>
        <w:tc>
          <w:tcPr>
            <w:tcW w:w="588" w:type="pct"/>
            <w:tcBorders>
              <w:top w:val="single" w:sz="6" w:space="0" w:color="000000"/>
              <w:left w:val="single" w:sz="6" w:space="0" w:color="000000"/>
              <w:bottom w:val="single" w:sz="6" w:space="0" w:color="000000"/>
              <w:right w:val="single" w:sz="6" w:space="0" w:color="000000"/>
            </w:tcBorders>
            <w:hideMark/>
          </w:tcPr>
          <w:p w14:paraId="5BF58E0C"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10.225</w:t>
            </w:r>
          </w:p>
        </w:tc>
        <w:tc>
          <w:tcPr>
            <w:tcW w:w="1670" w:type="pct"/>
            <w:tcBorders>
              <w:top w:val="single" w:sz="6" w:space="0" w:color="000000"/>
              <w:left w:val="single" w:sz="6" w:space="0" w:color="000000"/>
              <w:bottom w:val="single" w:sz="6" w:space="0" w:color="000000"/>
              <w:right w:val="single" w:sz="6" w:space="0" w:color="000000"/>
            </w:tcBorders>
            <w:hideMark/>
          </w:tcPr>
          <w:p w14:paraId="765742CA"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 xml:space="preserve">Henholdsvis 5 mg eller 10 mg administreret sammen med enten acetylsalicylsyre eller </w:t>
            </w:r>
            <w:r w:rsidRPr="008E19A3">
              <w:rPr>
                <w:color w:val="231F20"/>
                <w:spacing w:val="-1"/>
                <w:sz w:val="22"/>
                <w:szCs w:val="22"/>
              </w:rPr>
              <w:lastRenderedPageBreak/>
              <w:t>acetylsalicylsyre plus clopidogrel eller ticlopidin</w:t>
            </w:r>
          </w:p>
        </w:tc>
        <w:tc>
          <w:tcPr>
            <w:tcW w:w="851" w:type="pct"/>
            <w:tcBorders>
              <w:top w:val="single" w:sz="6" w:space="0" w:color="000000"/>
              <w:left w:val="single" w:sz="6" w:space="0" w:color="000000"/>
              <w:bottom w:val="single" w:sz="6" w:space="0" w:color="000000"/>
              <w:right w:val="single" w:sz="8" w:space="0" w:color="000000"/>
            </w:tcBorders>
            <w:hideMark/>
          </w:tcPr>
          <w:p w14:paraId="0CAA36D2"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lastRenderedPageBreak/>
              <w:t>31 måneder</w:t>
            </w:r>
          </w:p>
        </w:tc>
      </w:tr>
      <w:tr w:rsidR="00C7249D" w:rsidRPr="008E19A3" w14:paraId="123ADBEF" w14:textId="77777777" w:rsidTr="008E19A3">
        <w:trPr>
          <w:trHeight w:val="20"/>
          <w:jc w:val="center"/>
        </w:trPr>
        <w:tc>
          <w:tcPr>
            <w:tcW w:w="1890" w:type="pct"/>
            <w:vMerge w:val="restart"/>
            <w:tcBorders>
              <w:top w:val="single" w:sz="6" w:space="0" w:color="000000"/>
              <w:left w:val="single" w:sz="6" w:space="0" w:color="000000"/>
              <w:bottom w:val="single" w:sz="6" w:space="0" w:color="000000"/>
              <w:right w:val="single" w:sz="6" w:space="0" w:color="000000"/>
            </w:tcBorders>
            <w:hideMark/>
          </w:tcPr>
          <w:p w14:paraId="7133922E" w14:textId="77777777" w:rsidR="00C7249D" w:rsidRPr="008E19A3" w:rsidRDefault="00C7249D" w:rsidP="008E19A3">
            <w:pPr>
              <w:pStyle w:val="Default"/>
              <w:ind w:left="132" w:right="96"/>
              <w:rPr>
                <w:color w:val="231F20"/>
                <w:spacing w:val="-1"/>
                <w:sz w:val="22"/>
                <w:szCs w:val="22"/>
                <w:lang w:val="da-DK"/>
              </w:rPr>
            </w:pPr>
            <w:r w:rsidRPr="008E19A3">
              <w:rPr>
                <w:sz w:val="22"/>
                <w:szCs w:val="22"/>
                <w:lang w:val="da-DK"/>
              </w:rPr>
              <w:t xml:space="preserve">Forebyggelse af aterotrombotiske hændelser hos patienter med koronararteriesygdom (CAD)/perifer arteriesygdom (PAD) </w:t>
            </w:r>
          </w:p>
        </w:tc>
        <w:tc>
          <w:tcPr>
            <w:tcW w:w="588" w:type="pct"/>
            <w:tcBorders>
              <w:top w:val="single" w:sz="6" w:space="0" w:color="000000"/>
              <w:left w:val="single" w:sz="6" w:space="0" w:color="000000"/>
              <w:bottom w:val="single" w:sz="6" w:space="0" w:color="000000"/>
              <w:right w:val="single" w:sz="6" w:space="0" w:color="000000"/>
            </w:tcBorders>
            <w:hideMark/>
          </w:tcPr>
          <w:p w14:paraId="627BD5BC"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18.244</w:t>
            </w:r>
          </w:p>
        </w:tc>
        <w:tc>
          <w:tcPr>
            <w:tcW w:w="1670" w:type="pct"/>
            <w:tcBorders>
              <w:top w:val="single" w:sz="6" w:space="0" w:color="000000"/>
              <w:left w:val="single" w:sz="6" w:space="0" w:color="000000"/>
              <w:bottom w:val="single" w:sz="6" w:space="0" w:color="000000"/>
              <w:right w:val="single" w:sz="6" w:space="0" w:color="000000"/>
            </w:tcBorders>
            <w:hideMark/>
          </w:tcPr>
          <w:p w14:paraId="43C38435" w14:textId="77777777" w:rsidR="00C7249D" w:rsidRPr="008E19A3" w:rsidRDefault="00C7249D" w:rsidP="008E19A3">
            <w:pPr>
              <w:pStyle w:val="Default"/>
              <w:ind w:left="132" w:right="96"/>
              <w:jc w:val="center"/>
              <w:rPr>
                <w:color w:val="231F20"/>
                <w:spacing w:val="-1"/>
                <w:sz w:val="22"/>
                <w:szCs w:val="22"/>
                <w:lang w:val="da-DK"/>
              </w:rPr>
            </w:pPr>
            <w:r w:rsidRPr="008E19A3">
              <w:rPr>
                <w:sz w:val="22"/>
                <w:szCs w:val="22"/>
                <w:lang w:val="da-DK"/>
              </w:rPr>
              <w:t>5 mg administreret sammen med ASA eller 10 mg alene</w:t>
            </w:r>
          </w:p>
        </w:tc>
        <w:tc>
          <w:tcPr>
            <w:tcW w:w="851" w:type="pct"/>
            <w:tcBorders>
              <w:top w:val="single" w:sz="6" w:space="0" w:color="000000"/>
              <w:left w:val="single" w:sz="6" w:space="0" w:color="000000"/>
              <w:bottom w:val="single" w:sz="6" w:space="0" w:color="000000"/>
              <w:right w:val="single" w:sz="8" w:space="0" w:color="000000"/>
            </w:tcBorders>
            <w:hideMark/>
          </w:tcPr>
          <w:p w14:paraId="3EB3C935" w14:textId="77777777" w:rsidR="00C7249D" w:rsidRPr="008E19A3" w:rsidRDefault="00C7249D" w:rsidP="008E19A3">
            <w:pPr>
              <w:ind w:left="132" w:right="96"/>
              <w:jc w:val="center"/>
              <w:rPr>
                <w:color w:val="231F20"/>
                <w:spacing w:val="-1"/>
                <w:sz w:val="22"/>
                <w:szCs w:val="22"/>
              </w:rPr>
            </w:pPr>
            <w:r w:rsidRPr="008E19A3">
              <w:rPr>
                <w:color w:val="231F20"/>
                <w:spacing w:val="-1"/>
                <w:sz w:val="22"/>
                <w:szCs w:val="22"/>
              </w:rPr>
              <w:t>47 måneder</w:t>
            </w:r>
          </w:p>
        </w:tc>
      </w:tr>
      <w:tr w:rsidR="00C7249D" w:rsidRPr="008E19A3" w14:paraId="1453F056" w14:textId="77777777" w:rsidTr="008E19A3">
        <w:trPr>
          <w:trHeight w:val="20"/>
          <w:jc w:val="center"/>
        </w:trPr>
        <w:tc>
          <w:tcPr>
            <w:tcW w:w="1890" w:type="pct"/>
            <w:vMerge/>
            <w:tcBorders>
              <w:top w:val="single" w:sz="6" w:space="0" w:color="000000"/>
              <w:left w:val="single" w:sz="6" w:space="0" w:color="000000"/>
              <w:bottom w:val="single" w:sz="6" w:space="0" w:color="000000"/>
              <w:right w:val="single" w:sz="6" w:space="0" w:color="000000"/>
            </w:tcBorders>
            <w:vAlign w:val="center"/>
            <w:hideMark/>
          </w:tcPr>
          <w:p w14:paraId="771425F4" w14:textId="77777777" w:rsidR="00C7249D" w:rsidRPr="008E19A3" w:rsidRDefault="00C7249D" w:rsidP="008E19A3">
            <w:pPr>
              <w:ind w:left="132" w:right="96"/>
              <w:rPr>
                <w:color w:val="231F20"/>
                <w:spacing w:val="-1"/>
                <w:sz w:val="22"/>
                <w:szCs w:val="22"/>
                <w:lang w:eastAsia="da-DK"/>
              </w:rPr>
            </w:pPr>
          </w:p>
        </w:tc>
        <w:tc>
          <w:tcPr>
            <w:tcW w:w="588" w:type="pct"/>
            <w:tcBorders>
              <w:top w:val="single" w:sz="6" w:space="0" w:color="000000"/>
              <w:left w:val="single" w:sz="6" w:space="0" w:color="000000"/>
              <w:bottom w:val="single" w:sz="6" w:space="0" w:color="000000"/>
              <w:right w:val="single" w:sz="6" w:space="0" w:color="000000"/>
            </w:tcBorders>
            <w:hideMark/>
          </w:tcPr>
          <w:p w14:paraId="5B010271" w14:textId="77777777" w:rsidR="00C7249D" w:rsidRPr="008E19A3" w:rsidRDefault="00C7249D" w:rsidP="008E19A3">
            <w:pPr>
              <w:ind w:left="132" w:right="96"/>
              <w:jc w:val="center"/>
              <w:rPr>
                <w:color w:val="231F20"/>
                <w:spacing w:val="-1"/>
                <w:sz w:val="22"/>
                <w:szCs w:val="22"/>
              </w:rPr>
            </w:pPr>
            <w:r w:rsidRPr="008E19A3">
              <w:rPr>
                <w:sz w:val="22"/>
                <w:szCs w:val="22"/>
              </w:rPr>
              <w:t>3.256**</w:t>
            </w:r>
          </w:p>
        </w:tc>
        <w:tc>
          <w:tcPr>
            <w:tcW w:w="1670" w:type="pct"/>
            <w:tcBorders>
              <w:top w:val="single" w:sz="6" w:space="0" w:color="000000"/>
              <w:left w:val="single" w:sz="6" w:space="0" w:color="000000"/>
              <w:bottom w:val="single" w:sz="6" w:space="0" w:color="000000"/>
              <w:right w:val="single" w:sz="6" w:space="0" w:color="000000"/>
            </w:tcBorders>
            <w:hideMark/>
          </w:tcPr>
          <w:p w14:paraId="50C78C2E" w14:textId="77777777" w:rsidR="00C7249D" w:rsidRPr="008E19A3" w:rsidRDefault="00C7249D" w:rsidP="008E19A3">
            <w:pPr>
              <w:pStyle w:val="Default"/>
              <w:ind w:left="132" w:right="96"/>
              <w:jc w:val="center"/>
              <w:rPr>
                <w:sz w:val="22"/>
                <w:szCs w:val="22"/>
                <w:lang w:val="da-DK"/>
              </w:rPr>
            </w:pPr>
            <w:r w:rsidRPr="008E19A3">
              <w:rPr>
                <w:sz w:val="22"/>
                <w:szCs w:val="22"/>
                <w:lang w:val="da-DK"/>
              </w:rPr>
              <w:t>5 mg administreret sammen med ASA</w:t>
            </w:r>
          </w:p>
        </w:tc>
        <w:tc>
          <w:tcPr>
            <w:tcW w:w="851" w:type="pct"/>
            <w:tcBorders>
              <w:top w:val="single" w:sz="6" w:space="0" w:color="000000"/>
              <w:left w:val="single" w:sz="6" w:space="0" w:color="000000"/>
              <w:bottom w:val="single" w:sz="6" w:space="0" w:color="000000"/>
              <w:right w:val="single" w:sz="8" w:space="0" w:color="000000"/>
            </w:tcBorders>
            <w:hideMark/>
          </w:tcPr>
          <w:p w14:paraId="1259A677" w14:textId="77777777" w:rsidR="00C7249D" w:rsidRPr="008E19A3" w:rsidRDefault="00C7249D" w:rsidP="008E19A3">
            <w:pPr>
              <w:ind w:left="132" w:right="96"/>
              <w:jc w:val="center"/>
              <w:rPr>
                <w:color w:val="231F20"/>
                <w:spacing w:val="-1"/>
                <w:sz w:val="22"/>
                <w:szCs w:val="22"/>
              </w:rPr>
            </w:pPr>
            <w:r w:rsidRPr="008E19A3">
              <w:rPr>
                <w:sz w:val="22"/>
                <w:szCs w:val="22"/>
              </w:rPr>
              <w:t>42 måneder</w:t>
            </w:r>
          </w:p>
        </w:tc>
      </w:tr>
    </w:tbl>
    <w:p w14:paraId="7337C332" w14:textId="24161ED6" w:rsidR="00C7249D" w:rsidRPr="008E19A3" w:rsidRDefault="00C7249D" w:rsidP="008E19A3">
      <w:pPr>
        <w:suppressAutoHyphens/>
        <w:ind w:left="426" w:hanging="426"/>
        <w:rPr>
          <w:sz w:val="20"/>
        </w:rPr>
      </w:pPr>
      <w:r w:rsidRPr="008E19A3">
        <w:rPr>
          <w:color w:val="231F20"/>
          <w:spacing w:val="-1"/>
          <w:sz w:val="20"/>
        </w:rPr>
        <w:t>*</w:t>
      </w:r>
      <w:r w:rsidR="008E19A3">
        <w:rPr>
          <w:color w:val="231F20"/>
          <w:spacing w:val="-1"/>
          <w:sz w:val="20"/>
        </w:rPr>
        <w:tab/>
      </w:r>
      <w:r w:rsidRPr="008E19A3">
        <w:rPr>
          <w:color w:val="231F20"/>
          <w:spacing w:val="-1"/>
          <w:sz w:val="20"/>
        </w:rPr>
        <w:t>Patienter,</w:t>
      </w:r>
      <w:r w:rsidRPr="008E19A3">
        <w:rPr>
          <w:sz w:val="20"/>
        </w:rPr>
        <w:t xml:space="preserve"> der har fået mindst én dosis rivaroxaban</w:t>
      </w:r>
    </w:p>
    <w:p w14:paraId="3D483898" w14:textId="7FA9C6B7" w:rsidR="00C7249D" w:rsidRPr="008E19A3" w:rsidRDefault="00C7249D" w:rsidP="008E19A3">
      <w:pPr>
        <w:suppressAutoHyphens/>
        <w:ind w:left="426" w:hanging="426"/>
        <w:rPr>
          <w:sz w:val="20"/>
        </w:rPr>
      </w:pPr>
      <w:r w:rsidRPr="008E19A3">
        <w:rPr>
          <w:sz w:val="20"/>
        </w:rPr>
        <w:t>**</w:t>
      </w:r>
      <w:r w:rsidR="008E19A3">
        <w:rPr>
          <w:sz w:val="20"/>
        </w:rPr>
        <w:tab/>
      </w:r>
      <w:r w:rsidRPr="008E19A3">
        <w:rPr>
          <w:sz w:val="20"/>
        </w:rPr>
        <w:t>Fra VOYAGER PAD-studiet</w:t>
      </w:r>
    </w:p>
    <w:p w14:paraId="16AFFA8F" w14:textId="77777777" w:rsidR="00C7249D" w:rsidRPr="008E19A3" w:rsidRDefault="00C7249D" w:rsidP="00C7249D">
      <w:pPr>
        <w:tabs>
          <w:tab w:val="left" w:pos="851"/>
        </w:tabs>
        <w:ind w:left="851"/>
        <w:rPr>
          <w:sz w:val="24"/>
          <w:szCs w:val="24"/>
        </w:rPr>
      </w:pPr>
    </w:p>
    <w:p w14:paraId="782C0388" w14:textId="6883DB1D" w:rsidR="00C7249D" w:rsidRPr="008E19A3" w:rsidRDefault="00C7249D" w:rsidP="00C7249D">
      <w:pPr>
        <w:tabs>
          <w:tab w:val="left" w:pos="851"/>
        </w:tabs>
        <w:ind w:left="851"/>
        <w:rPr>
          <w:sz w:val="24"/>
          <w:szCs w:val="24"/>
        </w:rPr>
      </w:pPr>
      <w:r w:rsidRPr="008E19A3">
        <w:rPr>
          <w:sz w:val="24"/>
          <w:szCs w:val="24"/>
        </w:rPr>
        <w:t xml:space="preserve">De hyppigst rapporterede bivirkninger hos patienter, der fik rivaroxaban, var blødning (se pkt. 4.4. og </w:t>
      </w:r>
      <w:r w:rsidR="008E19A3" w:rsidRPr="008E19A3">
        <w:rPr>
          <w:sz w:val="24"/>
          <w:szCs w:val="24"/>
        </w:rPr>
        <w:t>"</w:t>
      </w:r>
      <w:r w:rsidRPr="008E19A3">
        <w:rPr>
          <w:sz w:val="24"/>
          <w:szCs w:val="24"/>
        </w:rPr>
        <w:t>Beskrivelse af udvalgte bivirkninger</w:t>
      </w:r>
      <w:r w:rsidR="008E19A3" w:rsidRPr="008E19A3">
        <w:rPr>
          <w:sz w:val="24"/>
          <w:szCs w:val="24"/>
        </w:rPr>
        <w:t>"</w:t>
      </w:r>
      <w:r w:rsidRPr="008E19A3">
        <w:rPr>
          <w:sz w:val="24"/>
          <w:szCs w:val="24"/>
        </w:rPr>
        <w:t xml:space="preserve"> nedenfor) (tabel 2). De hyppigst rapporterede blødninger var epistaxis (4,5</w:t>
      </w:r>
      <w:r w:rsidR="008E19A3" w:rsidRPr="008E19A3">
        <w:rPr>
          <w:sz w:val="24"/>
          <w:szCs w:val="24"/>
        </w:rPr>
        <w:t xml:space="preserve"> %</w:t>
      </w:r>
      <w:r w:rsidRPr="008E19A3">
        <w:rPr>
          <w:sz w:val="24"/>
          <w:szCs w:val="24"/>
        </w:rPr>
        <w:t>) og blødning fra mave-tarm-kanalen (3,8</w:t>
      </w:r>
      <w:r w:rsidR="008E19A3" w:rsidRPr="008E19A3">
        <w:rPr>
          <w:sz w:val="24"/>
          <w:szCs w:val="24"/>
        </w:rPr>
        <w:t xml:space="preserve"> %</w:t>
      </w:r>
      <w:r w:rsidRPr="008E19A3">
        <w:rPr>
          <w:sz w:val="24"/>
          <w:szCs w:val="24"/>
        </w:rPr>
        <w:t>).</w:t>
      </w:r>
    </w:p>
    <w:p w14:paraId="4B907277" w14:textId="77777777" w:rsidR="00C7249D" w:rsidRPr="008E19A3" w:rsidRDefault="00C7249D" w:rsidP="00C7249D">
      <w:pPr>
        <w:tabs>
          <w:tab w:val="left" w:pos="851"/>
        </w:tabs>
        <w:ind w:left="851"/>
        <w:rPr>
          <w:sz w:val="24"/>
          <w:szCs w:val="24"/>
        </w:rPr>
      </w:pPr>
    </w:p>
    <w:p w14:paraId="7F841505" w14:textId="77777777" w:rsidR="00C7249D" w:rsidRPr="008E19A3" w:rsidRDefault="00C7249D" w:rsidP="008E19A3">
      <w:pPr>
        <w:rPr>
          <w:b/>
          <w:bCs/>
          <w:sz w:val="24"/>
          <w:szCs w:val="24"/>
        </w:rPr>
      </w:pPr>
      <w:r w:rsidRPr="008E19A3">
        <w:rPr>
          <w:b/>
          <w:bCs/>
          <w:sz w:val="24"/>
          <w:szCs w:val="24"/>
        </w:rPr>
        <w:t>Tabel 2: Forekomst af blødning* og anæmi hos patienter eksponeret for rivaroxaban i alle gennemførte fase III-studier</w:t>
      </w:r>
    </w:p>
    <w:tbl>
      <w:tblPr>
        <w:tblStyle w:val="Tabel-Gitter"/>
        <w:tblW w:w="5000" w:type="pct"/>
        <w:tblInd w:w="0" w:type="dxa"/>
        <w:tblLook w:val="04A0" w:firstRow="1" w:lastRow="0" w:firstColumn="1" w:lastColumn="0" w:noHBand="0" w:noVBand="1"/>
      </w:tblPr>
      <w:tblGrid>
        <w:gridCol w:w="3936"/>
        <w:gridCol w:w="2628"/>
        <w:gridCol w:w="3064"/>
      </w:tblGrid>
      <w:tr w:rsidR="00C7249D" w:rsidRPr="008E19A3" w14:paraId="56959677" w14:textId="77777777" w:rsidTr="008E19A3">
        <w:tc>
          <w:tcPr>
            <w:tcW w:w="2044" w:type="pct"/>
            <w:tcBorders>
              <w:top w:val="single" w:sz="4" w:space="0" w:color="auto"/>
              <w:left w:val="single" w:sz="4" w:space="0" w:color="auto"/>
              <w:bottom w:val="single" w:sz="4" w:space="0" w:color="auto"/>
              <w:right w:val="single" w:sz="4" w:space="0" w:color="auto"/>
            </w:tcBorders>
            <w:hideMark/>
          </w:tcPr>
          <w:p w14:paraId="09276033" w14:textId="77777777" w:rsidR="00C7249D" w:rsidRPr="008E19A3" w:rsidRDefault="00C7249D">
            <w:pPr>
              <w:keepNext/>
              <w:suppressAutoHyphens/>
              <w:rPr>
                <w:rFonts w:ascii="Times New Roman" w:hAnsi="Times New Roman" w:cs="Times New Roman"/>
                <w:b/>
                <w:sz w:val="22"/>
                <w:lang w:val="da-DK"/>
              </w:rPr>
            </w:pPr>
            <w:bookmarkStart w:id="6" w:name="_Hlk139446816"/>
            <w:r w:rsidRPr="008E19A3">
              <w:rPr>
                <w:rFonts w:ascii="Times New Roman" w:hAnsi="Times New Roman" w:cs="Times New Roman"/>
                <w:b/>
                <w:sz w:val="22"/>
                <w:lang w:val="da-DK"/>
              </w:rPr>
              <w:t>Indikation</w:t>
            </w:r>
          </w:p>
        </w:tc>
        <w:tc>
          <w:tcPr>
            <w:tcW w:w="1365" w:type="pct"/>
            <w:tcBorders>
              <w:top w:val="single" w:sz="4" w:space="0" w:color="auto"/>
              <w:left w:val="single" w:sz="4" w:space="0" w:color="auto"/>
              <w:bottom w:val="single" w:sz="4" w:space="0" w:color="auto"/>
              <w:right w:val="single" w:sz="4" w:space="0" w:color="auto"/>
            </w:tcBorders>
            <w:hideMark/>
          </w:tcPr>
          <w:p w14:paraId="46A22FE9" w14:textId="77777777" w:rsidR="00C7249D" w:rsidRPr="008E19A3" w:rsidRDefault="00C7249D">
            <w:pPr>
              <w:pStyle w:val="Default"/>
              <w:keepNext/>
              <w:rPr>
                <w:rFonts w:ascii="Times New Roman" w:hAnsi="Times New Roman" w:cs="Times New Roman"/>
                <w:sz w:val="22"/>
                <w:szCs w:val="22"/>
                <w:lang w:val="da-DK"/>
              </w:rPr>
            </w:pPr>
            <w:r w:rsidRPr="008E19A3">
              <w:rPr>
                <w:rFonts w:ascii="Times New Roman" w:hAnsi="Times New Roman" w:cs="Times New Roman"/>
                <w:b/>
                <w:bCs/>
                <w:sz w:val="22"/>
                <w:szCs w:val="22"/>
                <w:lang w:val="da-DK"/>
              </w:rPr>
              <w:t xml:space="preserve">Blødning </w:t>
            </w:r>
          </w:p>
        </w:tc>
        <w:tc>
          <w:tcPr>
            <w:tcW w:w="1591" w:type="pct"/>
            <w:tcBorders>
              <w:top w:val="single" w:sz="4" w:space="0" w:color="auto"/>
              <w:left w:val="single" w:sz="4" w:space="0" w:color="auto"/>
              <w:bottom w:val="single" w:sz="4" w:space="0" w:color="auto"/>
              <w:right w:val="single" w:sz="4" w:space="0" w:color="auto"/>
            </w:tcBorders>
            <w:hideMark/>
          </w:tcPr>
          <w:p w14:paraId="5714DE00" w14:textId="77777777" w:rsidR="00C7249D" w:rsidRPr="008E19A3" w:rsidRDefault="00C7249D">
            <w:pPr>
              <w:keepNext/>
              <w:suppressAutoHyphens/>
              <w:rPr>
                <w:rFonts w:ascii="Times New Roman" w:hAnsi="Times New Roman" w:cs="Times New Roman"/>
                <w:sz w:val="22"/>
                <w:lang w:val="da-DK"/>
              </w:rPr>
            </w:pPr>
            <w:r w:rsidRPr="008E19A3">
              <w:rPr>
                <w:rFonts w:ascii="Times New Roman" w:hAnsi="Times New Roman" w:cs="Times New Roman"/>
                <w:b/>
                <w:bCs/>
                <w:sz w:val="22"/>
                <w:lang w:val="da-DK"/>
              </w:rPr>
              <w:t>Anæmi</w:t>
            </w:r>
          </w:p>
        </w:tc>
      </w:tr>
      <w:tr w:rsidR="00C7249D" w:rsidRPr="008E19A3" w14:paraId="56EF3FA9" w14:textId="77777777" w:rsidTr="008E19A3">
        <w:tc>
          <w:tcPr>
            <w:tcW w:w="2044" w:type="pct"/>
            <w:tcBorders>
              <w:top w:val="single" w:sz="4" w:space="0" w:color="auto"/>
              <w:left w:val="single" w:sz="4" w:space="0" w:color="auto"/>
              <w:bottom w:val="single" w:sz="4" w:space="0" w:color="auto"/>
              <w:right w:val="single" w:sz="4" w:space="0" w:color="auto"/>
            </w:tcBorders>
            <w:hideMark/>
          </w:tcPr>
          <w:p w14:paraId="43BA45B9"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Forebyggelse af VTE hos voksne patienter, der gennemgår planlagt hofteleds- eller knæledsalloplastik</w:t>
            </w:r>
          </w:p>
        </w:tc>
        <w:tc>
          <w:tcPr>
            <w:tcW w:w="1365" w:type="pct"/>
            <w:tcBorders>
              <w:top w:val="single" w:sz="4" w:space="0" w:color="auto"/>
              <w:left w:val="single" w:sz="4" w:space="0" w:color="auto"/>
              <w:bottom w:val="single" w:sz="4" w:space="0" w:color="auto"/>
              <w:right w:val="single" w:sz="4" w:space="0" w:color="auto"/>
            </w:tcBorders>
            <w:hideMark/>
          </w:tcPr>
          <w:p w14:paraId="5C1192A9" w14:textId="29E727A1"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6,8</w:t>
            </w:r>
            <w:r w:rsidR="008E19A3" w:rsidRPr="008E19A3">
              <w:rPr>
                <w:rFonts w:ascii="Times New Roman" w:hAnsi="Times New Roman" w:cs="Times New Roman"/>
                <w:sz w:val="22"/>
                <w:lang w:val="da-DK"/>
              </w:rPr>
              <w:t xml:space="preserve"> %</w:t>
            </w:r>
            <w:r w:rsidRPr="008E19A3">
              <w:rPr>
                <w:rFonts w:ascii="Times New Roman" w:hAnsi="Times New Roman" w:cs="Times New Roman"/>
                <w:sz w:val="22"/>
                <w:lang w:val="da-DK"/>
              </w:rPr>
              <w:t xml:space="preserve"> af patienterne</w:t>
            </w:r>
          </w:p>
        </w:tc>
        <w:tc>
          <w:tcPr>
            <w:tcW w:w="1591" w:type="pct"/>
            <w:tcBorders>
              <w:top w:val="single" w:sz="4" w:space="0" w:color="auto"/>
              <w:left w:val="single" w:sz="4" w:space="0" w:color="auto"/>
              <w:bottom w:val="single" w:sz="4" w:space="0" w:color="auto"/>
              <w:right w:val="single" w:sz="4" w:space="0" w:color="auto"/>
            </w:tcBorders>
            <w:hideMark/>
          </w:tcPr>
          <w:p w14:paraId="29345009" w14:textId="19CD91A2"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5,9</w:t>
            </w:r>
            <w:r w:rsidR="008E19A3" w:rsidRPr="008E19A3">
              <w:rPr>
                <w:rFonts w:ascii="Times New Roman" w:hAnsi="Times New Roman" w:cs="Times New Roman"/>
                <w:sz w:val="22"/>
                <w:lang w:val="da-DK"/>
              </w:rPr>
              <w:t xml:space="preserve"> %</w:t>
            </w:r>
            <w:r w:rsidRPr="008E19A3">
              <w:rPr>
                <w:rFonts w:ascii="Times New Roman" w:hAnsi="Times New Roman" w:cs="Times New Roman"/>
                <w:sz w:val="22"/>
                <w:lang w:val="da-DK"/>
              </w:rPr>
              <w:t xml:space="preserve"> af patienterne</w:t>
            </w:r>
          </w:p>
        </w:tc>
      </w:tr>
      <w:tr w:rsidR="00C7249D" w:rsidRPr="008E19A3" w14:paraId="3E43A995" w14:textId="77777777" w:rsidTr="008E19A3">
        <w:tc>
          <w:tcPr>
            <w:tcW w:w="2044" w:type="pct"/>
            <w:tcBorders>
              <w:top w:val="single" w:sz="4" w:space="0" w:color="auto"/>
              <w:left w:val="single" w:sz="4" w:space="0" w:color="auto"/>
              <w:bottom w:val="single" w:sz="4" w:space="0" w:color="auto"/>
              <w:right w:val="single" w:sz="4" w:space="0" w:color="auto"/>
            </w:tcBorders>
            <w:hideMark/>
          </w:tcPr>
          <w:p w14:paraId="336A20CB"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Forebyggelse af venøs tromboemboli hos medicinsk syge patienter</w:t>
            </w:r>
          </w:p>
        </w:tc>
        <w:tc>
          <w:tcPr>
            <w:tcW w:w="1365" w:type="pct"/>
            <w:tcBorders>
              <w:top w:val="single" w:sz="4" w:space="0" w:color="auto"/>
              <w:left w:val="single" w:sz="4" w:space="0" w:color="auto"/>
              <w:bottom w:val="single" w:sz="4" w:space="0" w:color="auto"/>
              <w:right w:val="single" w:sz="4" w:space="0" w:color="auto"/>
            </w:tcBorders>
            <w:hideMark/>
          </w:tcPr>
          <w:p w14:paraId="0978E2E4" w14:textId="2BC45FEB"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12,6</w:t>
            </w:r>
            <w:r w:rsidR="008E19A3" w:rsidRPr="008E19A3">
              <w:rPr>
                <w:rFonts w:ascii="Times New Roman" w:hAnsi="Times New Roman" w:cs="Times New Roman"/>
                <w:sz w:val="22"/>
                <w:lang w:val="da-DK"/>
              </w:rPr>
              <w:t xml:space="preserve"> %</w:t>
            </w:r>
            <w:r w:rsidRPr="008E19A3">
              <w:rPr>
                <w:rFonts w:ascii="Times New Roman" w:hAnsi="Times New Roman" w:cs="Times New Roman"/>
                <w:sz w:val="22"/>
                <w:lang w:val="da-DK"/>
              </w:rPr>
              <w:t xml:space="preserve"> af patienterne</w:t>
            </w:r>
          </w:p>
        </w:tc>
        <w:tc>
          <w:tcPr>
            <w:tcW w:w="1591" w:type="pct"/>
            <w:tcBorders>
              <w:top w:val="single" w:sz="4" w:space="0" w:color="auto"/>
              <w:left w:val="single" w:sz="4" w:space="0" w:color="auto"/>
              <w:bottom w:val="single" w:sz="4" w:space="0" w:color="auto"/>
              <w:right w:val="single" w:sz="4" w:space="0" w:color="auto"/>
            </w:tcBorders>
            <w:hideMark/>
          </w:tcPr>
          <w:p w14:paraId="7DA501D1" w14:textId="564BAE53"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2,1</w:t>
            </w:r>
            <w:r w:rsidR="008E19A3" w:rsidRPr="008E19A3">
              <w:rPr>
                <w:rFonts w:ascii="Times New Roman" w:hAnsi="Times New Roman" w:cs="Times New Roman"/>
                <w:sz w:val="22"/>
                <w:lang w:val="da-DK"/>
              </w:rPr>
              <w:t xml:space="preserve"> %</w:t>
            </w:r>
            <w:r w:rsidRPr="008E19A3">
              <w:rPr>
                <w:rFonts w:ascii="Times New Roman" w:hAnsi="Times New Roman" w:cs="Times New Roman"/>
                <w:sz w:val="22"/>
                <w:lang w:val="da-DK"/>
              </w:rPr>
              <w:t xml:space="preserve"> af patienterne</w:t>
            </w:r>
          </w:p>
        </w:tc>
      </w:tr>
      <w:tr w:rsidR="00C7249D" w:rsidRPr="008E19A3" w14:paraId="567A9E89" w14:textId="77777777" w:rsidTr="008E19A3">
        <w:tc>
          <w:tcPr>
            <w:tcW w:w="2044" w:type="pct"/>
            <w:tcBorders>
              <w:top w:val="single" w:sz="4" w:space="0" w:color="auto"/>
              <w:left w:val="single" w:sz="4" w:space="0" w:color="auto"/>
              <w:bottom w:val="single" w:sz="4" w:space="0" w:color="auto"/>
              <w:right w:val="single" w:sz="4" w:space="0" w:color="auto"/>
            </w:tcBorders>
            <w:hideMark/>
          </w:tcPr>
          <w:p w14:paraId="44CDA04E"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Behandling af dyb venetrombose (DVT), LE og forebyggelse af recidiv</w:t>
            </w:r>
          </w:p>
        </w:tc>
        <w:tc>
          <w:tcPr>
            <w:tcW w:w="1365" w:type="pct"/>
            <w:tcBorders>
              <w:top w:val="single" w:sz="4" w:space="0" w:color="auto"/>
              <w:left w:val="single" w:sz="4" w:space="0" w:color="auto"/>
              <w:bottom w:val="single" w:sz="4" w:space="0" w:color="auto"/>
              <w:right w:val="single" w:sz="4" w:space="0" w:color="auto"/>
            </w:tcBorders>
            <w:hideMark/>
          </w:tcPr>
          <w:p w14:paraId="1F8BAEBF" w14:textId="2639CF09"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23</w:t>
            </w:r>
            <w:r w:rsidR="008E19A3" w:rsidRPr="008E19A3">
              <w:rPr>
                <w:rFonts w:ascii="Times New Roman" w:hAnsi="Times New Roman" w:cs="Times New Roman"/>
                <w:sz w:val="22"/>
                <w:lang w:val="da-DK"/>
              </w:rPr>
              <w:t xml:space="preserve"> %</w:t>
            </w:r>
            <w:r w:rsidRPr="008E19A3">
              <w:rPr>
                <w:rFonts w:ascii="Times New Roman" w:hAnsi="Times New Roman" w:cs="Times New Roman"/>
                <w:sz w:val="22"/>
                <w:lang w:val="da-DK"/>
              </w:rPr>
              <w:t xml:space="preserve"> af patienterne</w:t>
            </w:r>
          </w:p>
        </w:tc>
        <w:tc>
          <w:tcPr>
            <w:tcW w:w="1591" w:type="pct"/>
            <w:tcBorders>
              <w:top w:val="single" w:sz="4" w:space="0" w:color="auto"/>
              <w:left w:val="single" w:sz="4" w:space="0" w:color="auto"/>
              <w:bottom w:val="single" w:sz="4" w:space="0" w:color="auto"/>
              <w:right w:val="single" w:sz="4" w:space="0" w:color="auto"/>
            </w:tcBorders>
            <w:hideMark/>
          </w:tcPr>
          <w:p w14:paraId="4CBBAA21" w14:textId="295EBBBF"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1,6</w:t>
            </w:r>
            <w:r w:rsidR="008E19A3" w:rsidRPr="008E19A3">
              <w:rPr>
                <w:rFonts w:ascii="Times New Roman" w:hAnsi="Times New Roman" w:cs="Times New Roman"/>
                <w:sz w:val="22"/>
                <w:lang w:val="da-DK"/>
              </w:rPr>
              <w:t xml:space="preserve"> %</w:t>
            </w:r>
            <w:r w:rsidRPr="008E19A3">
              <w:rPr>
                <w:rFonts w:ascii="Times New Roman" w:hAnsi="Times New Roman" w:cs="Times New Roman"/>
                <w:sz w:val="22"/>
                <w:lang w:val="da-DK"/>
              </w:rPr>
              <w:t xml:space="preserve"> af patienterne</w:t>
            </w:r>
          </w:p>
        </w:tc>
      </w:tr>
      <w:tr w:rsidR="00C7249D" w:rsidRPr="008E19A3" w14:paraId="540E0010" w14:textId="77777777" w:rsidTr="008E19A3">
        <w:tc>
          <w:tcPr>
            <w:tcW w:w="2044" w:type="pct"/>
            <w:tcBorders>
              <w:top w:val="single" w:sz="4" w:space="0" w:color="auto"/>
              <w:left w:val="single" w:sz="4" w:space="0" w:color="auto"/>
              <w:bottom w:val="single" w:sz="4" w:space="0" w:color="auto"/>
              <w:right w:val="single" w:sz="4" w:space="0" w:color="auto"/>
            </w:tcBorders>
            <w:hideMark/>
          </w:tcPr>
          <w:p w14:paraId="3920D2D9"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365" w:type="pct"/>
            <w:tcBorders>
              <w:top w:val="single" w:sz="4" w:space="0" w:color="auto"/>
              <w:left w:val="single" w:sz="4" w:space="0" w:color="auto"/>
              <w:bottom w:val="single" w:sz="4" w:space="0" w:color="auto"/>
              <w:right w:val="single" w:sz="4" w:space="0" w:color="auto"/>
            </w:tcBorders>
            <w:hideMark/>
          </w:tcPr>
          <w:p w14:paraId="3B45A9F2" w14:textId="105B9874"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39,5</w:t>
            </w:r>
            <w:r w:rsidR="008E19A3" w:rsidRPr="008E19A3">
              <w:rPr>
                <w:rFonts w:ascii="Times New Roman" w:hAnsi="Times New Roman" w:cs="Times New Roman"/>
                <w:sz w:val="22"/>
                <w:lang w:val="da-DK"/>
              </w:rPr>
              <w:t xml:space="preserve"> %</w:t>
            </w:r>
            <w:r w:rsidRPr="008E19A3">
              <w:rPr>
                <w:rFonts w:ascii="Times New Roman" w:hAnsi="Times New Roman" w:cs="Times New Roman"/>
                <w:sz w:val="22"/>
                <w:lang w:val="da-DK"/>
              </w:rPr>
              <w:t xml:space="preserve"> af patienterne</w:t>
            </w:r>
          </w:p>
        </w:tc>
        <w:tc>
          <w:tcPr>
            <w:tcW w:w="1591" w:type="pct"/>
            <w:tcBorders>
              <w:top w:val="single" w:sz="4" w:space="0" w:color="auto"/>
              <w:left w:val="single" w:sz="4" w:space="0" w:color="auto"/>
              <w:bottom w:val="single" w:sz="4" w:space="0" w:color="auto"/>
              <w:right w:val="single" w:sz="4" w:space="0" w:color="auto"/>
            </w:tcBorders>
            <w:hideMark/>
          </w:tcPr>
          <w:p w14:paraId="7A957DF4" w14:textId="4D7A5F3D"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4,6</w:t>
            </w:r>
            <w:r w:rsidR="008E19A3" w:rsidRPr="008E19A3">
              <w:rPr>
                <w:rFonts w:ascii="Times New Roman" w:hAnsi="Times New Roman" w:cs="Times New Roman"/>
                <w:sz w:val="22"/>
                <w:lang w:val="da-DK"/>
              </w:rPr>
              <w:t xml:space="preserve"> %</w:t>
            </w:r>
            <w:r w:rsidRPr="008E19A3">
              <w:rPr>
                <w:rFonts w:ascii="Times New Roman" w:hAnsi="Times New Roman" w:cs="Times New Roman"/>
                <w:sz w:val="22"/>
                <w:lang w:val="da-DK"/>
              </w:rPr>
              <w:t xml:space="preserve"> af patienterne</w:t>
            </w:r>
          </w:p>
        </w:tc>
      </w:tr>
      <w:tr w:rsidR="00C7249D" w:rsidRPr="008E19A3" w14:paraId="7301A412" w14:textId="77777777" w:rsidTr="008E19A3">
        <w:tc>
          <w:tcPr>
            <w:tcW w:w="2044" w:type="pct"/>
            <w:tcBorders>
              <w:top w:val="single" w:sz="4" w:space="0" w:color="auto"/>
              <w:left w:val="single" w:sz="4" w:space="0" w:color="auto"/>
              <w:bottom w:val="single" w:sz="4" w:space="0" w:color="auto"/>
              <w:right w:val="single" w:sz="4" w:space="0" w:color="auto"/>
            </w:tcBorders>
            <w:hideMark/>
          </w:tcPr>
          <w:p w14:paraId="38253A8F"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Forebyggelse af apopleksi og systemisk emboli hos patienter med ikke-valvulær atrieflimren</w:t>
            </w:r>
          </w:p>
        </w:tc>
        <w:tc>
          <w:tcPr>
            <w:tcW w:w="1365" w:type="pct"/>
            <w:tcBorders>
              <w:top w:val="single" w:sz="4" w:space="0" w:color="auto"/>
              <w:left w:val="single" w:sz="4" w:space="0" w:color="auto"/>
              <w:bottom w:val="single" w:sz="4" w:space="0" w:color="auto"/>
              <w:right w:val="single" w:sz="4" w:space="0" w:color="auto"/>
            </w:tcBorders>
            <w:hideMark/>
          </w:tcPr>
          <w:p w14:paraId="07444423"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28 per 100 patientår</w:t>
            </w:r>
          </w:p>
        </w:tc>
        <w:tc>
          <w:tcPr>
            <w:tcW w:w="1591" w:type="pct"/>
            <w:tcBorders>
              <w:top w:val="single" w:sz="4" w:space="0" w:color="auto"/>
              <w:left w:val="single" w:sz="4" w:space="0" w:color="auto"/>
              <w:bottom w:val="single" w:sz="4" w:space="0" w:color="auto"/>
              <w:right w:val="single" w:sz="4" w:space="0" w:color="auto"/>
            </w:tcBorders>
            <w:hideMark/>
          </w:tcPr>
          <w:p w14:paraId="60F6B16E"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2,5 per 100 patientår</w:t>
            </w:r>
          </w:p>
        </w:tc>
      </w:tr>
      <w:tr w:rsidR="00C7249D" w:rsidRPr="008E19A3" w14:paraId="043F6A3B" w14:textId="77777777" w:rsidTr="008E19A3">
        <w:tc>
          <w:tcPr>
            <w:tcW w:w="2044" w:type="pct"/>
            <w:tcBorders>
              <w:top w:val="single" w:sz="4" w:space="0" w:color="auto"/>
              <w:left w:val="single" w:sz="4" w:space="0" w:color="auto"/>
              <w:bottom w:val="single" w:sz="4" w:space="0" w:color="auto"/>
              <w:right w:val="single" w:sz="4" w:space="0" w:color="auto"/>
            </w:tcBorders>
            <w:hideMark/>
          </w:tcPr>
          <w:p w14:paraId="210041F3"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Forebyggelse af aterotrombotiske hændelser hos patienter efter akut koronarsyndrom (AKS)</w:t>
            </w:r>
          </w:p>
        </w:tc>
        <w:tc>
          <w:tcPr>
            <w:tcW w:w="1365" w:type="pct"/>
            <w:tcBorders>
              <w:top w:val="single" w:sz="4" w:space="0" w:color="auto"/>
              <w:left w:val="single" w:sz="4" w:space="0" w:color="auto"/>
              <w:bottom w:val="single" w:sz="4" w:space="0" w:color="auto"/>
              <w:right w:val="single" w:sz="4" w:space="0" w:color="auto"/>
            </w:tcBorders>
            <w:hideMark/>
          </w:tcPr>
          <w:p w14:paraId="21EEC10D"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22 per 100 patientår</w:t>
            </w:r>
          </w:p>
        </w:tc>
        <w:tc>
          <w:tcPr>
            <w:tcW w:w="1591" w:type="pct"/>
            <w:tcBorders>
              <w:top w:val="single" w:sz="4" w:space="0" w:color="auto"/>
              <w:left w:val="single" w:sz="4" w:space="0" w:color="auto"/>
              <w:bottom w:val="single" w:sz="4" w:space="0" w:color="auto"/>
              <w:right w:val="single" w:sz="4" w:space="0" w:color="auto"/>
            </w:tcBorders>
            <w:hideMark/>
          </w:tcPr>
          <w:p w14:paraId="5F70C4EC" w14:textId="77777777" w:rsidR="00C7249D" w:rsidRPr="008E19A3" w:rsidRDefault="00C7249D">
            <w:pPr>
              <w:suppressAutoHyphens/>
              <w:rPr>
                <w:rFonts w:ascii="Times New Roman" w:hAnsi="Times New Roman" w:cs="Times New Roman"/>
                <w:sz w:val="22"/>
                <w:lang w:val="da-DK"/>
              </w:rPr>
            </w:pPr>
            <w:r w:rsidRPr="008E19A3">
              <w:rPr>
                <w:rFonts w:ascii="Times New Roman" w:hAnsi="Times New Roman" w:cs="Times New Roman"/>
                <w:sz w:val="22"/>
                <w:lang w:val="da-DK"/>
              </w:rPr>
              <w:t>1,4 per 100 patientår</w:t>
            </w:r>
          </w:p>
        </w:tc>
      </w:tr>
      <w:tr w:rsidR="00C7249D" w:rsidRPr="008E19A3" w14:paraId="7D5576D1" w14:textId="77777777" w:rsidTr="008E19A3">
        <w:tc>
          <w:tcPr>
            <w:tcW w:w="2044" w:type="pct"/>
            <w:vMerge w:val="restart"/>
            <w:tcBorders>
              <w:top w:val="single" w:sz="4" w:space="0" w:color="auto"/>
              <w:left w:val="single" w:sz="4" w:space="0" w:color="auto"/>
              <w:bottom w:val="single" w:sz="4" w:space="0" w:color="auto"/>
              <w:right w:val="single" w:sz="4" w:space="0" w:color="auto"/>
            </w:tcBorders>
            <w:hideMark/>
          </w:tcPr>
          <w:p w14:paraId="0FDAFA68" w14:textId="77777777" w:rsidR="00C7249D" w:rsidRPr="008E19A3" w:rsidRDefault="00C7249D">
            <w:pPr>
              <w:pStyle w:val="Default"/>
              <w:rPr>
                <w:rFonts w:ascii="Times New Roman" w:hAnsi="Times New Roman" w:cs="Times New Roman"/>
                <w:sz w:val="22"/>
                <w:szCs w:val="22"/>
                <w:lang w:val="da-DK"/>
              </w:rPr>
            </w:pPr>
            <w:r w:rsidRPr="008E19A3">
              <w:rPr>
                <w:rFonts w:ascii="Times New Roman" w:hAnsi="Times New Roman" w:cs="Times New Roman"/>
                <w:sz w:val="22"/>
                <w:szCs w:val="22"/>
                <w:lang w:val="da-DK"/>
              </w:rPr>
              <w:t xml:space="preserve">Forebyggelse af aterotrombotiske hændelser hos patienter med koronararteriesygdom (CAD)/perifer arteriesygdom (PAD) </w:t>
            </w:r>
          </w:p>
        </w:tc>
        <w:tc>
          <w:tcPr>
            <w:tcW w:w="1365" w:type="pct"/>
            <w:tcBorders>
              <w:top w:val="single" w:sz="4" w:space="0" w:color="auto"/>
              <w:left w:val="single" w:sz="4" w:space="0" w:color="auto"/>
              <w:bottom w:val="single" w:sz="4" w:space="0" w:color="auto"/>
              <w:right w:val="single" w:sz="4" w:space="0" w:color="auto"/>
            </w:tcBorders>
          </w:tcPr>
          <w:p w14:paraId="5EC51842" w14:textId="77777777" w:rsidR="00C7249D" w:rsidRPr="008E19A3" w:rsidRDefault="00C7249D">
            <w:pPr>
              <w:pStyle w:val="Default"/>
              <w:rPr>
                <w:rFonts w:ascii="Times New Roman" w:hAnsi="Times New Roman" w:cs="Times New Roman"/>
                <w:sz w:val="22"/>
                <w:szCs w:val="22"/>
                <w:lang w:val="da-DK"/>
              </w:rPr>
            </w:pPr>
            <w:r w:rsidRPr="008E19A3">
              <w:rPr>
                <w:rFonts w:ascii="Times New Roman" w:hAnsi="Times New Roman" w:cs="Times New Roman"/>
                <w:sz w:val="22"/>
                <w:szCs w:val="22"/>
                <w:lang w:val="da-DK"/>
              </w:rPr>
              <w:t xml:space="preserve">6,7 per 100 patientår </w:t>
            </w:r>
          </w:p>
          <w:p w14:paraId="4A4089D2" w14:textId="77777777" w:rsidR="00C7249D" w:rsidRPr="008E19A3" w:rsidRDefault="00C7249D">
            <w:pPr>
              <w:suppressAutoHyphens/>
              <w:rPr>
                <w:rFonts w:ascii="Times New Roman" w:hAnsi="Times New Roman" w:cs="Times New Roman"/>
                <w:sz w:val="22"/>
                <w:lang w:val="da-DK"/>
              </w:rPr>
            </w:pPr>
          </w:p>
        </w:tc>
        <w:tc>
          <w:tcPr>
            <w:tcW w:w="1591" w:type="pct"/>
            <w:tcBorders>
              <w:top w:val="single" w:sz="4" w:space="0" w:color="auto"/>
              <w:left w:val="single" w:sz="4" w:space="0" w:color="auto"/>
              <w:bottom w:val="single" w:sz="4" w:space="0" w:color="auto"/>
              <w:right w:val="single" w:sz="4" w:space="0" w:color="auto"/>
            </w:tcBorders>
          </w:tcPr>
          <w:p w14:paraId="28F42212" w14:textId="77777777" w:rsidR="00C7249D" w:rsidRPr="008E19A3" w:rsidRDefault="00C7249D">
            <w:pPr>
              <w:pStyle w:val="Default"/>
              <w:rPr>
                <w:rFonts w:ascii="Times New Roman" w:hAnsi="Times New Roman" w:cs="Times New Roman"/>
                <w:sz w:val="22"/>
                <w:szCs w:val="22"/>
                <w:lang w:val="da-DK"/>
              </w:rPr>
            </w:pPr>
            <w:r w:rsidRPr="008E19A3">
              <w:rPr>
                <w:rFonts w:ascii="Times New Roman" w:hAnsi="Times New Roman" w:cs="Times New Roman"/>
                <w:sz w:val="22"/>
                <w:szCs w:val="22"/>
                <w:lang w:val="da-DK"/>
              </w:rPr>
              <w:t xml:space="preserve">0,15 per 100 patientår** </w:t>
            </w:r>
          </w:p>
          <w:p w14:paraId="38CBCBC8" w14:textId="77777777" w:rsidR="00C7249D" w:rsidRPr="008E19A3" w:rsidRDefault="00C7249D">
            <w:pPr>
              <w:suppressAutoHyphens/>
              <w:rPr>
                <w:rFonts w:ascii="Times New Roman" w:hAnsi="Times New Roman" w:cs="Times New Roman"/>
                <w:sz w:val="22"/>
                <w:lang w:val="da-DK"/>
              </w:rPr>
            </w:pPr>
          </w:p>
        </w:tc>
      </w:tr>
      <w:tr w:rsidR="00C7249D" w:rsidRPr="008E19A3" w14:paraId="5CFB84CD" w14:textId="77777777" w:rsidTr="008E19A3">
        <w:tc>
          <w:tcPr>
            <w:tcW w:w="2044" w:type="pct"/>
            <w:vMerge/>
            <w:tcBorders>
              <w:top w:val="single" w:sz="4" w:space="0" w:color="auto"/>
              <w:left w:val="single" w:sz="4" w:space="0" w:color="auto"/>
              <w:bottom w:val="single" w:sz="4" w:space="0" w:color="auto"/>
              <w:right w:val="single" w:sz="4" w:space="0" w:color="auto"/>
            </w:tcBorders>
            <w:vAlign w:val="center"/>
            <w:hideMark/>
          </w:tcPr>
          <w:p w14:paraId="52BC34D9" w14:textId="77777777" w:rsidR="00C7249D" w:rsidRPr="008E19A3" w:rsidRDefault="00C7249D">
            <w:pPr>
              <w:rPr>
                <w:rFonts w:ascii="Times New Roman" w:hAnsi="Times New Roman" w:cs="Times New Roman"/>
                <w:color w:val="000000"/>
                <w:sz w:val="22"/>
                <w:lang w:val="da-DK"/>
              </w:rPr>
            </w:pPr>
          </w:p>
        </w:tc>
        <w:tc>
          <w:tcPr>
            <w:tcW w:w="1365" w:type="pct"/>
            <w:tcBorders>
              <w:top w:val="single" w:sz="4" w:space="0" w:color="auto"/>
              <w:left w:val="single" w:sz="4" w:space="0" w:color="auto"/>
              <w:bottom w:val="single" w:sz="4" w:space="0" w:color="auto"/>
              <w:right w:val="single" w:sz="4" w:space="0" w:color="auto"/>
            </w:tcBorders>
            <w:hideMark/>
          </w:tcPr>
          <w:p w14:paraId="19444BAA" w14:textId="77777777" w:rsidR="00C7249D" w:rsidRPr="008E19A3" w:rsidRDefault="00C7249D">
            <w:pPr>
              <w:pStyle w:val="Default"/>
              <w:rPr>
                <w:rFonts w:ascii="Times New Roman" w:hAnsi="Times New Roman" w:cs="Times New Roman"/>
                <w:sz w:val="22"/>
                <w:szCs w:val="22"/>
                <w:lang w:val="da-DK"/>
              </w:rPr>
            </w:pPr>
            <w:r w:rsidRPr="008E19A3">
              <w:rPr>
                <w:rFonts w:ascii="Times New Roman" w:hAnsi="Times New Roman" w:cs="Times New Roman"/>
                <w:sz w:val="22"/>
                <w:szCs w:val="22"/>
                <w:lang w:val="da-DK"/>
              </w:rPr>
              <w:t>8,38 per 100 patientår</w:t>
            </w:r>
            <w:r w:rsidRPr="008E19A3">
              <w:rPr>
                <w:rFonts w:ascii="Times New Roman" w:hAnsi="Times New Roman" w:cs="Times New Roman"/>
                <w:sz w:val="22"/>
                <w:szCs w:val="22"/>
                <w:vertAlign w:val="superscript"/>
                <w:lang w:val="da-DK"/>
              </w:rPr>
              <w:t xml:space="preserve"> #</w:t>
            </w:r>
          </w:p>
        </w:tc>
        <w:tc>
          <w:tcPr>
            <w:tcW w:w="1591" w:type="pct"/>
            <w:tcBorders>
              <w:top w:val="single" w:sz="4" w:space="0" w:color="auto"/>
              <w:left w:val="single" w:sz="4" w:space="0" w:color="auto"/>
              <w:bottom w:val="single" w:sz="4" w:space="0" w:color="auto"/>
              <w:right w:val="single" w:sz="4" w:space="0" w:color="auto"/>
            </w:tcBorders>
            <w:hideMark/>
          </w:tcPr>
          <w:p w14:paraId="6C1782A2" w14:textId="77777777" w:rsidR="00C7249D" w:rsidRPr="008E19A3" w:rsidRDefault="00C7249D">
            <w:pPr>
              <w:pStyle w:val="Default"/>
              <w:rPr>
                <w:rFonts w:ascii="Times New Roman" w:hAnsi="Times New Roman" w:cs="Times New Roman"/>
                <w:sz w:val="22"/>
                <w:szCs w:val="22"/>
                <w:lang w:val="da-DK"/>
              </w:rPr>
            </w:pPr>
            <w:r w:rsidRPr="008E19A3">
              <w:rPr>
                <w:rFonts w:ascii="Times New Roman" w:hAnsi="Times New Roman" w:cs="Times New Roman"/>
                <w:sz w:val="22"/>
                <w:szCs w:val="22"/>
                <w:lang w:val="da-DK"/>
              </w:rPr>
              <w:t xml:space="preserve">0,74 per 100 patientår *** </w:t>
            </w:r>
            <w:r w:rsidRPr="008E19A3">
              <w:rPr>
                <w:rFonts w:ascii="Times New Roman" w:hAnsi="Times New Roman" w:cs="Times New Roman"/>
                <w:sz w:val="22"/>
                <w:szCs w:val="22"/>
                <w:vertAlign w:val="superscript"/>
                <w:lang w:val="da-DK"/>
              </w:rPr>
              <w:t>#</w:t>
            </w:r>
          </w:p>
        </w:tc>
      </w:tr>
    </w:tbl>
    <w:bookmarkEnd w:id="6"/>
    <w:p w14:paraId="3822815E" w14:textId="77777777" w:rsidR="00C7249D" w:rsidRPr="008E19A3" w:rsidRDefault="00C7249D" w:rsidP="008E19A3">
      <w:pPr>
        <w:pStyle w:val="Default"/>
        <w:ind w:left="426" w:hanging="425"/>
        <w:rPr>
          <w:sz w:val="20"/>
          <w:szCs w:val="20"/>
          <w:lang w:val="da-DK"/>
        </w:rPr>
      </w:pPr>
      <w:r w:rsidRPr="008E19A3">
        <w:rPr>
          <w:sz w:val="20"/>
          <w:szCs w:val="20"/>
          <w:lang w:val="da-DK"/>
        </w:rPr>
        <w:t xml:space="preserve">* </w:t>
      </w:r>
      <w:r w:rsidRPr="008E19A3">
        <w:rPr>
          <w:sz w:val="20"/>
          <w:szCs w:val="20"/>
          <w:lang w:val="da-DK"/>
        </w:rPr>
        <w:tab/>
        <w:t xml:space="preserve">For alle rivaroxabanstudierne blev alle blødningshændelser indsamlet, rapporteret og bedømt. </w:t>
      </w:r>
    </w:p>
    <w:p w14:paraId="1EC9C546" w14:textId="77777777" w:rsidR="00C7249D" w:rsidRPr="008E19A3" w:rsidRDefault="00C7249D" w:rsidP="008E19A3">
      <w:pPr>
        <w:suppressAutoHyphens/>
        <w:ind w:left="426" w:hanging="425"/>
        <w:rPr>
          <w:color w:val="000000"/>
          <w:sz w:val="20"/>
          <w:lang w:eastAsia="da-DK"/>
        </w:rPr>
      </w:pPr>
      <w:r w:rsidRPr="008E19A3">
        <w:rPr>
          <w:sz w:val="20"/>
        </w:rPr>
        <w:t xml:space="preserve">** </w:t>
      </w:r>
      <w:r w:rsidRPr="008E19A3">
        <w:rPr>
          <w:sz w:val="20"/>
        </w:rPr>
        <w:tab/>
        <w:t xml:space="preserve">I COMPASS-studiet er der en lav forekomst af anæmi, da der blev benyttet en selektiv </w:t>
      </w:r>
      <w:r w:rsidRPr="008E19A3">
        <w:rPr>
          <w:color w:val="000000"/>
          <w:sz w:val="20"/>
          <w:lang w:eastAsia="da-DK"/>
        </w:rPr>
        <w:t xml:space="preserve">metode for indsamlingen af uønskede hændelser </w:t>
      </w:r>
    </w:p>
    <w:p w14:paraId="3DA1C4E7" w14:textId="32A77B82" w:rsidR="00C7249D" w:rsidRPr="008E19A3" w:rsidRDefault="00C7249D" w:rsidP="008E19A3">
      <w:pPr>
        <w:suppressAutoHyphens/>
        <w:ind w:left="426" w:hanging="425"/>
        <w:rPr>
          <w:sz w:val="20"/>
        </w:rPr>
      </w:pPr>
      <w:r w:rsidRPr="008E19A3">
        <w:rPr>
          <w:sz w:val="20"/>
        </w:rPr>
        <w:t xml:space="preserve">*** </w:t>
      </w:r>
      <w:r w:rsidR="008E19A3">
        <w:rPr>
          <w:sz w:val="20"/>
        </w:rPr>
        <w:tab/>
      </w:r>
      <w:r w:rsidRPr="008E19A3">
        <w:rPr>
          <w:sz w:val="20"/>
        </w:rPr>
        <w:t>En selektiv indfaldsvinkel til indsamling af uønskede hændelser blev anvendt</w:t>
      </w:r>
    </w:p>
    <w:p w14:paraId="020BADC9" w14:textId="77777777" w:rsidR="00C7249D" w:rsidRPr="008E19A3" w:rsidRDefault="00C7249D" w:rsidP="008E19A3">
      <w:pPr>
        <w:suppressAutoHyphens/>
        <w:ind w:left="426" w:hanging="425"/>
        <w:rPr>
          <w:sz w:val="20"/>
        </w:rPr>
      </w:pPr>
      <w:r w:rsidRPr="008E19A3">
        <w:rPr>
          <w:sz w:val="20"/>
        </w:rPr>
        <w:t xml:space="preserve"># </w:t>
      </w:r>
      <w:r w:rsidRPr="008E19A3">
        <w:rPr>
          <w:sz w:val="20"/>
        </w:rPr>
        <w:tab/>
        <w:t>Fra VOYAGER PAD-studiet.</w:t>
      </w:r>
    </w:p>
    <w:p w14:paraId="15169FA9" w14:textId="77777777" w:rsidR="00C7249D" w:rsidRPr="008E19A3" w:rsidRDefault="00C7249D" w:rsidP="00C7249D">
      <w:pPr>
        <w:tabs>
          <w:tab w:val="left" w:pos="851"/>
        </w:tabs>
        <w:ind w:left="851"/>
        <w:rPr>
          <w:sz w:val="24"/>
          <w:szCs w:val="24"/>
        </w:rPr>
      </w:pPr>
    </w:p>
    <w:p w14:paraId="1FF7CD3F" w14:textId="77777777" w:rsidR="00C7249D" w:rsidRPr="008E19A3" w:rsidRDefault="00C7249D" w:rsidP="00C7249D">
      <w:pPr>
        <w:tabs>
          <w:tab w:val="left" w:pos="851"/>
        </w:tabs>
        <w:ind w:left="851"/>
        <w:rPr>
          <w:sz w:val="24"/>
          <w:szCs w:val="24"/>
        </w:rPr>
      </w:pPr>
      <w:bookmarkStart w:id="7" w:name="_Hlk49508941"/>
      <w:r w:rsidRPr="008E19A3">
        <w:rPr>
          <w:sz w:val="24"/>
          <w:szCs w:val="24"/>
          <w:u w:val="single"/>
        </w:rPr>
        <w:t>Oversigt over bivirkninger i tabelform</w:t>
      </w:r>
      <w:bookmarkEnd w:id="7"/>
    </w:p>
    <w:p w14:paraId="0089B2DF" w14:textId="77777777" w:rsidR="00C7249D" w:rsidRPr="008E19A3" w:rsidRDefault="00C7249D" w:rsidP="00C7249D">
      <w:pPr>
        <w:suppressAutoHyphens/>
        <w:ind w:left="851"/>
        <w:rPr>
          <w:sz w:val="24"/>
          <w:szCs w:val="24"/>
        </w:rPr>
      </w:pPr>
      <w:r w:rsidRPr="008E19A3">
        <w:rPr>
          <w:sz w:val="24"/>
          <w:szCs w:val="24"/>
        </w:rPr>
        <w:t>De bivirkninger, der er set med rivaroxaban hos voksne og pædiatriske patienter, er sammenfattet i tabel 3 nedenfor efter systemorganklasse (i henhold til MedDRA) og hyppighed.</w:t>
      </w:r>
    </w:p>
    <w:p w14:paraId="3D9FC557" w14:textId="77777777" w:rsidR="00C7249D" w:rsidRPr="008E19A3" w:rsidRDefault="00C7249D" w:rsidP="00C7249D">
      <w:pPr>
        <w:tabs>
          <w:tab w:val="left" w:pos="851"/>
        </w:tabs>
        <w:ind w:left="851"/>
        <w:rPr>
          <w:sz w:val="24"/>
          <w:szCs w:val="24"/>
        </w:rPr>
      </w:pPr>
    </w:p>
    <w:p w14:paraId="35627A84" w14:textId="77777777" w:rsidR="00C7249D" w:rsidRPr="008E19A3" w:rsidRDefault="00C7249D" w:rsidP="00C7249D">
      <w:pPr>
        <w:tabs>
          <w:tab w:val="left" w:pos="851"/>
        </w:tabs>
        <w:ind w:left="851"/>
        <w:rPr>
          <w:sz w:val="24"/>
          <w:szCs w:val="24"/>
        </w:rPr>
      </w:pPr>
      <w:r w:rsidRPr="008E19A3">
        <w:rPr>
          <w:sz w:val="24"/>
          <w:szCs w:val="24"/>
        </w:rPr>
        <w:t>Hyppighed defineres som:</w:t>
      </w:r>
    </w:p>
    <w:p w14:paraId="1E02EC14" w14:textId="77777777" w:rsidR="00C7249D" w:rsidRPr="008E19A3" w:rsidRDefault="00C7249D" w:rsidP="00C7249D">
      <w:pPr>
        <w:tabs>
          <w:tab w:val="left" w:pos="851"/>
        </w:tabs>
        <w:ind w:left="851"/>
        <w:rPr>
          <w:sz w:val="24"/>
          <w:szCs w:val="24"/>
        </w:rPr>
      </w:pPr>
      <w:r w:rsidRPr="008E19A3">
        <w:rPr>
          <w:sz w:val="24"/>
          <w:szCs w:val="24"/>
        </w:rPr>
        <w:t>Meget almindelig (≥1/10)</w:t>
      </w:r>
    </w:p>
    <w:p w14:paraId="712771BC" w14:textId="77777777" w:rsidR="00C7249D" w:rsidRPr="008E19A3" w:rsidRDefault="00C7249D" w:rsidP="00C7249D">
      <w:pPr>
        <w:tabs>
          <w:tab w:val="left" w:pos="851"/>
        </w:tabs>
        <w:ind w:left="851"/>
        <w:rPr>
          <w:sz w:val="24"/>
          <w:szCs w:val="24"/>
        </w:rPr>
      </w:pPr>
      <w:r w:rsidRPr="008E19A3">
        <w:rPr>
          <w:sz w:val="24"/>
          <w:szCs w:val="24"/>
        </w:rPr>
        <w:t>Almindelig (≥1/100 til &lt;1/10)</w:t>
      </w:r>
    </w:p>
    <w:p w14:paraId="11433B87" w14:textId="77777777" w:rsidR="00C7249D" w:rsidRPr="008E19A3" w:rsidRDefault="00C7249D" w:rsidP="00C7249D">
      <w:pPr>
        <w:tabs>
          <w:tab w:val="left" w:pos="851"/>
        </w:tabs>
        <w:ind w:left="851"/>
        <w:rPr>
          <w:sz w:val="24"/>
          <w:szCs w:val="24"/>
        </w:rPr>
      </w:pPr>
      <w:r w:rsidRPr="008E19A3">
        <w:rPr>
          <w:sz w:val="24"/>
          <w:szCs w:val="24"/>
        </w:rPr>
        <w:t xml:space="preserve">Ikke almindelig (≥1/1.000 til &lt;1/100) </w:t>
      </w:r>
    </w:p>
    <w:p w14:paraId="5B4F51D4" w14:textId="77777777" w:rsidR="00C7249D" w:rsidRPr="008E19A3" w:rsidRDefault="00C7249D" w:rsidP="00C7249D">
      <w:pPr>
        <w:tabs>
          <w:tab w:val="left" w:pos="851"/>
        </w:tabs>
        <w:ind w:left="851"/>
        <w:rPr>
          <w:sz w:val="24"/>
          <w:szCs w:val="24"/>
        </w:rPr>
      </w:pPr>
      <w:r w:rsidRPr="008E19A3">
        <w:rPr>
          <w:sz w:val="24"/>
          <w:szCs w:val="24"/>
        </w:rPr>
        <w:t xml:space="preserve">Sjælden (≥1/10.000 til &lt;1/1.000) </w:t>
      </w:r>
    </w:p>
    <w:p w14:paraId="0D031D2B" w14:textId="77777777" w:rsidR="00C7249D" w:rsidRPr="008E19A3" w:rsidRDefault="00C7249D" w:rsidP="00C7249D">
      <w:pPr>
        <w:tabs>
          <w:tab w:val="left" w:pos="851"/>
        </w:tabs>
        <w:ind w:left="851"/>
        <w:rPr>
          <w:sz w:val="24"/>
          <w:szCs w:val="24"/>
        </w:rPr>
      </w:pPr>
      <w:r w:rsidRPr="008E19A3">
        <w:rPr>
          <w:sz w:val="24"/>
          <w:szCs w:val="24"/>
        </w:rPr>
        <w:lastRenderedPageBreak/>
        <w:t>Meget sjælden (&lt;1/10.000)</w:t>
      </w:r>
    </w:p>
    <w:p w14:paraId="4B82A45B" w14:textId="77777777" w:rsidR="00C7249D" w:rsidRPr="008E19A3" w:rsidRDefault="00C7249D" w:rsidP="00C7249D">
      <w:pPr>
        <w:tabs>
          <w:tab w:val="left" w:pos="851"/>
        </w:tabs>
        <w:ind w:left="851"/>
        <w:rPr>
          <w:sz w:val="24"/>
          <w:szCs w:val="24"/>
        </w:rPr>
      </w:pPr>
      <w:r w:rsidRPr="008E19A3">
        <w:rPr>
          <w:sz w:val="24"/>
          <w:szCs w:val="24"/>
        </w:rPr>
        <w:t>Ikke kendt (kan ikke estimeres ud fra de forhåndenværende data)</w:t>
      </w:r>
    </w:p>
    <w:p w14:paraId="6DE81790" w14:textId="77777777" w:rsidR="00C7249D" w:rsidRPr="008E19A3" w:rsidRDefault="00C7249D" w:rsidP="00C7249D">
      <w:pPr>
        <w:tabs>
          <w:tab w:val="left" w:pos="851"/>
        </w:tabs>
        <w:ind w:left="851"/>
        <w:rPr>
          <w:sz w:val="24"/>
          <w:szCs w:val="24"/>
        </w:rPr>
      </w:pPr>
    </w:p>
    <w:p w14:paraId="7BDCEDB7" w14:textId="77777777" w:rsidR="00C7249D" w:rsidRPr="008E19A3" w:rsidRDefault="00C7249D" w:rsidP="00C7249D">
      <w:pPr>
        <w:suppressAutoHyphens/>
        <w:rPr>
          <w:b/>
          <w:bCs/>
          <w:sz w:val="24"/>
          <w:szCs w:val="24"/>
        </w:rPr>
      </w:pPr>
      <w:r w:rsidRPr="008E19A3">
        <w:rPr>
          <w:b/>
          <w:bCs/>
          <w:sz w:val="24"/>
          <w:szCs w:val="24"/>
        </w:rPr>
        <w:t>Tabel 3: Alle indberettede bivirkninger hos voksne patienter i kliniske fase III-studier eller efter markedsføring* og i 2 fase II-studier og 2 fase III-studie hos pædiatriske patienter</w:t>
      </w:r>
    </w:p>
    <w:tbl>
      <w:tblPr>
        <w:tblW w:w="5000" w:type="pct"/>
        <w:tblCellMar>
          <w:left w:w="0" w:type="dxa"/>
          <w:right w:w="0" w:type="dxa"/>
        </w:tblCellMar>
        <w:tblLook w:val="01E0" w:firstRow="1" w:lastRow="1" w:firstColumn="1" w:lastColumn="1" w:noHBand="0" w:noVBand="0"/>
      </w:tblPr>
      <w:tblGrid>
        <w:gridCol w:w="2265"/>
        <w:gridCol w:w="13"/>
        <w:gridCol w:w="1645"/>
        <w:gridCol w:w="1803"/>
        <w:gridCol w:w="1637"/>
        <w:gridCol w:w="2259"/>
      </w:tblGrid>
      <w:tr w:rsidR="00C7249D" w:rsidRPr="008E19A3" w14:paraId="7C67A85E"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65986FCD" w14:textId="77777777" w:rsidR="00C7249D" w:rsidRPr="008E19A3" w:rsidRDefault="00C7249D" w:rsidP="008E19A3">
            <w:pPr>
              <w:ind w:left="132" w:right="35"/>
              <w:rPr>
                <w:b/>
                <w:sz w:val="22"/>
                <w:szCs w:val="22"/>
              </w:rPr>
            </w:pPr>
            <w:r w:rsidRPr="008E19A3">
              <w:rPr>
                <w:b/>
                <w:sz w:val="22"/>
                <w:szCs w:val="22"/>
              </w:rPr>
              <w:t>Almindelig</w:t>
            </w:r>
          </w:p>
          <w:p w14:paraId="24060216" w14:textId="77777777" w:rsidR="00C7249D" w:rsidRPr="008E19A3" w:rsidRDefault="00C7249D" w:rsidP="008E19A3">
            <w:pPr>
              <w:ind w:left="132" w:right="35"/>
              <w:rPr>
                <w:b/>
                <w:sz w:val="22"/>
                <w:szCs w:val="22"/>
              </w:rPr>
            </w:pPr>
          </w:p>
        </w:tc>
        <w:tc>
          <w:tcPr>
            <w:tcW w:w="847"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58ACE13" w14:textId="77777777" w:rsidR="00C7249D" w:rsidRPr="008E19A3" w:rsidRDefault="00C7249D" w:rsidP="008E19A3">
            <w:pPr>
              <w:ind w:left="132" w:right="35"/>
              <w:rPr>
                <w:b/>
                <w:sz w:val="22"/>
                <w:szCs w:val="22"/>
              </w:rPr>
            </w:pPr>
            <w:r w:rsidRPr="008E19A3">
              <w:rPr>
                <w:b/>
                <w:sz w:val="22"/>
                <w:szCs w:val="22"/>
              </w:rPr>
              <w:t>Ikke almindelig</w:t>
            </w:r>
          </w:p>
        </w:tc>
        <w:tc>
          <w:tcPr>
            <w:tcW w:w="929"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9107EB4" w14:textId="77777777" w:rsidR="00C7249D" w:rsidRPr="008E19A3" w:rsidRDefault="00C7249D" w:rsidP="008E19A3">
            <w:pPr>
              <w:ind w:left="132" w:right="35"/>
              <w:rPr>
                <w:b/>
                <w:sz w:val="22"/>
                <w:szCs w:val="22"/>
              </w:rPr>
            </w:pPr>
            <w:r w:rsidRPr="008E19A3">
              <w:rPr>
                <w:b/>
                <w:sz w:val="22"/>
                <w:szCs w:val="22"/>
              </w:rPr>
              <w:t>Sjælden</w:t>
            </w:r>
          </w:p>
        </w:tc>
        <w:tc>
          <w:tcPr>
            <w:tcW w:w="832"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58D98406" w14:textId="77777777" w:rsidR="00C7249D" w:rsidRPr="008E19A3" w:rsidRDefault="00C7249D" w:rsidP="008E19A3">
            <w:pPr>
              <w:pStyle w:val="Default"/>
              <w:ind w:left="132" w:right="35"/>
              <w:rPr>
                <w:sz w:val="22"/>
                <w:szCs w:val="22"/>
                <w:lang w:val="da-DK"/>
              </w:rPr>
            </w:pPr>
            <w:r w:rsidRPr="008E19A3">
              <w:rPr>
                <w:b/>
                <w:bCs/>
                <w:sz w:val="22"/>
                <w:szCs w:val="22"/>
                <w:lang w:val="da-DK"/>
              </w:rPr>
              <w:t xml:space="preserve">Meget sjælden </w:t>
            </w:r>
          </w:p>
          <w:p w14:paraId="2BAAC2B5" w14:textId="77777777" w:rsidR="00C7249D" w:rsidRPr="008E19A3" w:rsidRDefault="00C7249D" w:rsidP="008E19A3">
            <w:pPr>
              <w:ind w:left="132" w:right="35"/>
              <w:rPr>
                <w:b/>
                <w:sz w:val="22"/>
                <w:szCs w:val="22"/>
              </w:rPr>
            </w:pPr>
          </w:p>
        </w:tc>
        <w:tc>
          <w:tcPr>
            <w:tcW w:w="1137"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0FC5C24" w14:textId="77777777" w:rsidR="00C7249D" w:rsidRPr="008E19A3" w:rsidRDefault="00C7249D" w:rsidP="008E19A3">
            <w:pPr>
              <w:ind w:left="132" w:right="35"/>
              <w:rPr>
                <w:b/>
                <w:sz w:val="22"/>
                <w:szCs w:val="22"/>
              </w:rPr>
            </w:pPr>
            <w:r w:rsidRPr="008E19A3">
              <w:rPr>
                <w:b/>
                <w:sz w:val="22"/>
                <w:szCs w:val="22"/>
              </w:rPr>
              <w:t>Ikke kendt</w:t>
            </w:r>
          </w:p>
        </w:tc>
      </w:tr>
      <w:tr w:rsidR="00C7249D" w:rsidRPr="008E19A3" w14:paraId="03642E1B"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FB30F71" w14:textId="77777777" w:rsidR="00C7249D" w:rsidRPr="008E19A3" w:rsidRDefault="00C7249D" w:rsidP="008E19A3">
            <w:pPr>
              <w:ind w:left="132" w:right="35"/>
              <w:rPr>
                <w:b/>
                <w:sz w:val="22"/>
                <w:szCs w:val="22"/>
              </w:rPr>
            </w:pPr>
            <w:r w:rsidRPr="008E19A3">
              <w:rPr>
                <w:b/>
                <w:sz w:val="22"/>
                <w:szCs w:val="22"/>
              </w:rPr>
              <w:t>Blod og lymfesystem</w:t>
            </w:r>
          </w:p>
        </w:tc>
      </w:tr>
      <w:tr w:rsidR="00C7249D" w:rsidRPr="008E19A3" w14:paraId="47D00517" w14:textId="77777777" w:rsidTr="008E19A3">
        <w:trPr>
          <w:trHeight w:val="20"/>
        </w:trPr>
        <w:tc>
          <w:tcPr>
            <w:tcW w:w="1261" w:type="pct"/>
            <w:gridSpan w:val="2"/>
            <w:tcBorders>
              <w:top w:val="single" w:sz="6" w:space="0" w:color="000000"/>
              <w:left w:val="single" w:sz="6" w:space="0" w:color="000000"/>
              <w:bottom w:val="single" w:sz="6" w:space="0" w:color="000000"/>
              <w:right w:val="single" w:sz="6" w:space="0" w:color="000000"/>
            </w:tcBorders>
            <w:hideMark/>
          </w:tcPr>
          <w:p w14:paraId="3549834C" w14:textId="77777777" w:rsidR="00C7249D" w:rsidRPr="008E19A3" w:rsidRDefault="00C7249D" w:rsidP="008E19A3">
            <w:pPr>
              <w:ind w:left="132" w:right="35"/>
              <w:rPr>
                <w:sz w:val="22"/>
                <w:szCs w:val="22"/>
              </w:rPr>
            </w:pPr>
            <w:r w:rsidRPr="008E19A3">
              <w:rPr>
                <w:sz w:val="22"/>
                <w:szCs w:val="22"/>
              </w:rPr>
              <w:t>Anæmi (herunder respektive laboratorie-parametre)</w:t>
            </w:r>
          </w:p>
        </w:tc>
        <w:tc>
          <w:tcPr>
            <w:tcW w:w="840" w:type="pct"/>
            <w:tcBorders>
              <w:top w:val="single" w:sz="6" w:space="0" w:color="000000"/>
              <w:left w:val="single" w:sz="6" w:space="0" w:color="000000"/>
              <w:bottom w:val="single" w:sz="6" w:space="0" w:color="000000"/>
              <w:right w:val="single" w:sz="6" w:space="0" w:color="000000"/>
            </w:tcBorders>
            <w:hideMark/>
          </w:tcPr>
          <w:p w14:paraId="603ECB01" w14:textId="77777777" w:rsidR="00C7249D" w:rsidRPr="008E19A3" w:rsidRDefault="00C7249D" w:rsidP="008E19A3">
            <w:pPr>
              <w:ind w:left="132" w:right="35"/>
              <w:rPr>
                <w:sz w:val="22"/>
                <w:szCs w:val="22"/>
              </w:rPr>
            </w:pPr>
            <w:r w:rsidRPr="008E19A3">
              <w:rPr>
                <w:sz w:val="22"/>
                <w:szCs w:val="22"/>
              </w:rPr>
              <w:t xml:space="preserve">Trombocytose (inkl. forhøjet </w:t>
            </w:r>
            <w:proofErr w:type="gramStart"/>
            <w:r w:rsidRPr="008E19A3">
              <w:rPr>
                <w:sz w:val="22"/>
                <w:szCs w:val="22"/>
              </w:rPr>
              <w:t>trombocyttal)</w:t>
            </w:r>
            <w:r w:rsidRPr="008E19A3">
              <w:rPr>
                <w:sz w:val="22"/>
                <w:szCs w:val="22"/>
                <w:vertAlign w:val="superscript"/>
              </w:rPr>
              <w:t>A</w:t>
            </w:r>
            <w:proofErr w:type="gramEnd"/>
            <w:r w:rsidRPr="008E19A3">
              <w:rPr>
                <w:sz w:val="22"/>
                <w:szCs w:val="22"/>
              </w:rPr>
              <w:t>, trombocytopeni</w:t>
            </w:r>
          </w:p>
        </w:tc>
        <w:tc>
          <w:tcPr>
            <w:tcW w:w="929" w:type="pct"/>
            <w:tcBorders>
              <w:top w:val="single" w:sz="6" w:space="0" w:color="000000"/>
              <w:left w:val="single" w:sz="6" w:space="0" w:color="000000"/>
              <w:bottom w:val="single" w:sz="6" w:space="0" w:color="000000"/>
              <w:right w:val="single" w:sz="6" w:space="0" w:color="000000"/>
            </w:tcBorders>
          </w:tcPr>
          <w:p w14:paraId="63FEE1BE"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tcPr>
          <w:p w14:paraId="442723F1"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2C9AC04D" w14:textId="77777777" w:rsidR="00C7249D" w:rsidRPr="008E19A3" w:rsidRDefault="00C7249D" w:rsidP="008E19A3">
            <w:pPr>
              <w:ind w:left="132" w:right="35"/>
              <w:rPr>
                <w:sz w:val="22"/>
                <w:szCs w:val="22"/>
              </w:rPr>
            </w:pPr>
          </w:p>
        </w:tc>
      </w:tr>
      <w:tr w:rsidR="00C7249D" w:rsidRPr="008E19A3" w14:paraId="0E1BA405"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2602943" w14:textId="77777777" w:rsidR="00C7249D" w:rsidRPr="008E19A3" w:rsidRDefault="00C7249D" w:rsidP="008E19A3">
            <w:pPr>
              <w:ind w:left="132" w:right="35"/>
              <w:rPr>
                <w:b/>
                <w:sz w:val="22"/>
                <w:szCs w:val="22"/>
              </w:rPr>
            </w:pPr>
            <w:r w:rsidRPr="008E19A3">
              <w:rPr>
                <w:b/>
                <w:sz w:val="22"/>
                <w:szCs w:val="22"/>
              </w:rPr>
              <w:t>Immunsystemet</w:t>
            </w:r>
          </w:p>
        </w:tc>
      </w:tr>
      <w:tr w:rsidR="00C7249D" w:rsidRPr="008E19A3" w14:paraId="54B0C120"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tcPr>
          <w:p w14:paraId="556FFB87" w14:textId="77777777" w:rsidR="00C7249D" w:rsidRPr="008E19A3" w:rsidRDefault="00C7249D" w:rsidP="008E19A3">
            <w:pPr>
              <w:ind w:left="132" w:right="35"/>
              <w:rPr>
                <w:sz w:val="22"/>
                <w:szCs w:val="22"/>
              </w:rPr>
            </w:pPr>
          </w:p>
        </w:tc>
        <w:tc>
          <w:tcPr>
            <w:tcW w:w="847" w:type="pct"/>
            <w:gridSpan w:val="2"/>
            <w:tcBorders>
              <w:top w:val="single" w:sz="6" w:space="0" w:color="000000"/>
              <w:left w:val="single" w:sz="6" w:space="0" w:color="000000"/>
              <w:bottom w:val="single" w:sz="6" w:space="0" w:color="000000"/>
              <w:right w:val="single" w:sz="6" w:space="0" w:color="000000"/>
            </w:tcBorders>
            <w:hideMark/>
          </w:tcPr>
          <w:p w14:paraId="44114E39" w14:textId="77777777" w:rsidR="00C7249D" w:rsidRPr="008E19A3" w:rsidRDefault="00C7249D" w:rsidP="008E19A3">
            <w:pPr>
              <w:ind w:left="132" w:right="35"/>
              <w:rPr>
                <w:sz w:val="22"/>
                <w:szCs w:val="22"/>
              </w:rPr>
            </w:pPr>
            <w:r w:rsidRPr="008E19A3">
              <w:rPr>
                <w:sz w:val="22"/>
                <w:szCs w:val="22"/>
              </w:rPr>
              <w:t>Allergisk reaktion, allergisk dermatitis, angioødem og allergisk ødem</w:t>
            </w:r>
          </w:p>
        </w:tc>
        <w:tc>
          <w:tcPr>
            <w:tcW w:w="929" w:type="pct"/>
            <w:tcBorders>
              <w:top w:val="single" w:sz="6" w:space="0" w:color="000000"/>
              <w:left w:val="single" w:sz="6" w:space="0" w:color="000000"/>
              <w:bottom w:val="single" w:sz="6" w:space="0" w:color="000000"/>
              <w:right w:val="single" w:sz="6" w:space="0" w:color="000000"/>
            </w:tcBorders>
          </w:tcPr>
          <w:p w14:paraId="66F2B4ED"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hideMark/>
          </w:tcPr>
          <w:p w14:paraId="0813C83C" w14:textId="77777777" w:rsidR="00C7249D" w:rsidRPr="008E19A3" w:rsidRDefault="00C7249D" w:rsidP="008E19A3">
            <w:pPr>
              <w:ind w:left="132" w:right="35"/>
              <w:rPr>
                <w:sz w:val="22"/>
                <w:szCs w:val="22"/>
              </w:rPr>
            </w:pPr>
            <w:r w:rsidRPr="008E19A3">
              <w:rPr>
                <w:sz w:val="22"/>
                <w:szCs w:val="22"/>
              </w:rPr>
              <w:t>Anafylaktiske reaktioner, herunder anafylaktisk shock</w:t>
            </w:r>
          </w:p>
        </w:tc>
        <w:tc>
          <w:tcPr>
            <w:tcW w:w="1137" w:type="pct"/>
            <w:tcBorders>
              <w:top w:val="single" w:sz="6" w:space="0" w:color="000000"/>
              <w:left w:val="single" w:sz="6" w:space="0" w:color="000000"/>
              <w:bottom w:val="single" w:sz="6" w:space="0" w:color="000000"/>
              <w:right w:val="single" w:sz="6" w:space="0" w:color="000000"/>
            </w:tcBorders>
          </w:tcPr>
          <w:p w14:paraId="79F55AFE" w14:textId="77777777" w:rsidR="00C7249D" w:rsidRPr="008E19A3" w:rsidRDefault="00C7249D" w:rsidP="008E19A3">
            <w:pPr>
              <w:ind w:left="132" w:right="35"/>
              <w:rPr>
                <w:sz w:val="22"/>
                <w:szCs w:val="22"/>
              </w:rPr>
            </w:pPr>
          </w:p>
        </w:tc>
      </w:tr>
      <w:tr w:rsidR="00C7249D" w:rsidRPr="008E19A3" w14:paraId="0E46BE81"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BEDD666" w14:textId="77777777" w:rsidR="00C7249D" w:rsidRPr="008E19A3" w:rsidRDefault="00C7249D" w:rsidP="008E19A3">
            <w:pPr>
              <w:ind w:left="132" w:right="35"/>
              <w:rPr>
                <w:b/>
                <w:sz w:val="22"/>
                <w:szCs w:val="22"/>
              </w:rPr>
            </w:pPr>
            <w:r w:rsidRPr="008E19A3">
              <w:rPr>
                <w:b/>
                <w:sz w:val="22"/>
                <w:szCs w:val="22"/>
              </w:rPr>
              <w:t>Nervesystemet</w:t>
            </w:r>
          </w:p>
        </w:tc>
      </w:tr>
      <w:tr w:rsidR="00C7249D" w:rsidRPr="008E19A3" w14:paraId="3A83F19B"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4B071E39" w14:textId="77777777" w:rsidR="00C7249D" w:rsidRPr="008E19A3" w:rsidRDefault="00C7249D" w:rsidP="008E19A3">
            <w:pPr>
              <w:ind w:left="132" w:right="35"/>
              <w:rPr>
                <w:sz w:val="22"/>
                <w:szCs w:val="22"/>
              </w:rPr>
            </w:pPr>
            <w:r w:rsidRPr="008E19A3">
              <w:rPr>
                <w:sz w:val="22"/>
                <w:szCs w:val="22"/>
              </w:rPr>
              <w:t>Svimmelhed, hovedpine</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6B1F55DC" w14:textId="77777777" w:rsidR="00C7249D" w:rsidRPr="008E19A3" w:rsidRDefault="00C7249D" w:rsidP="008E19A3">
            <w:pPr>
              <w:ind w:left="132" w:right="35"/>
              <w:rPr>
                <w:sz w:val="22"/>
                <w:szCs w:val="22"/>
              </w:rPr>
            </w:pPr>
            <w:r w:rsidRPr="008E19A3">
              <w:rPr>
                <w:sz w:val="22"/>
                <w:szCs w:val="22"/>
              </w:rPr>
              <w:t>Cerebral og intrakraniel blødning, synkope</w:t>
            </w:r>
          </w:p>
        </w:tc>
        <w:tc>
          <w:tcPr>
            <w:tcW w:w="929" w:type="pct"/>
            <w:tcBorders>
              <w:top w:val="single" w:sz="6" w:space="0" w:color="000000"/>
              <w:left w:val="single" w:sz="6" w:space="0" w:color="000000"/>
              <w:bottom w:val="single" w:sz="6" w:space="0" w:color="000000"/>
              <w:right w:val="single" w:sz="6" w:space="0" w:color="000000"/>
            </w:tcBorders>
          </w:tcPr>
          <w:p w14:paraId="2C2DBB01"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tcPr>
          <w:p w14:paraId="716BE65C"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53713ED2" w14:textId="77777777" w:rsidR="00C7249D" w:rsidRPr="008E19A3" w:rsidRDefault="00C7249D" w:rsidP="008E19A3">
            <w:pPr>
              <w:ind w:left="132" w:right="35"/>
              <w:rPr>
                <w:sz w:val="22"/>
                <w:szCs w:val="22"/>
              </w:rPr>
            </w:pPr>
          </w:p>
        </w:tc>
      </w:tr>
      <w:tr w:rsidR="00C7249D" w:rsidRPr="008E19A3" w14:paraId="790D3E9B"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2D88FB0" w14:textId="77777777" w:rsidR="00C7249D" w:rsidRPr="008E19A3" w:rsidRDefault="00C7249D" w:rsidP="008E19A3">
            <w:pPr>
              <w:ind w:left="132" w:right="35"/>
              <w:rPr>
                <w:b/>
                <w:sz w:val="22"/>
                <w:szCs w:val="22"/>
              </w:rPr>
            </w:pPr>
            <w:r w:rsidRPr="008E19A3">
              <w:rPr>
                <w:b/>
                <w:sz w:val="22"/>
                <w:szCs w:val="22"/>
              </w:rPr>
              <w:t>Øjne</w:t>
            </w:r>
          </w:p>
        </w:tc>
      </w:tr>
      <w:tr w:rsidR="00C7249D" w:rsidRPr="008E19A3" w14:paraId="4632D6B7"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0C27C144" w14:textId="77777777" w:rsidR="00C7249D" w:rsidRPr="008E19A3" w:rsidRDefault="00C7249D" w:rsidP="008E19A3">
            <w:pPr>
              <w:ind w:left="132" w:right="35"/>
              <w:rPr>
                <w:sz w:val="22"/>
                <w:szCs w:val="22"/>
              </w:rPr>
            </w:pPr>
            <w:r w:rsidRPr="008E19A3">
              <w:rPr>
                <w:sz w:val="22"/>
                <w:szCs w:val="22"/>
              </w:rPr>
              <w:t>Blødning i øjet (herunder konjunktiva)</w:t>
            </w:r>
          </w:p>
        </w:tc>
        <w:tc>
          <w:tcPr>
            <w:tcW w:w="847" w:type="pct"/>
            <w:gridSpan w:val="2"/>
            <w:tcBorders>
              <w:top w:val="single" w:sz="6" w:space="0" w:color="000000"/>
              <w:left w:val="single" w:sz="6" w:space="0" w:color="000000"/>
              <w:bottom w:val="single" w:sz="6" w:space="0" w:color="000000"/>
              <w:right w:val="single" w:sz="6" w:space="0" w:color="000000"/>
            </w:tcBorders>
          </w:tcPr>
          <w:p w14:paraId="6C2DF20A" w14:textId="77777777" w:rsidR="00C7249D" w:rsidRPr="008E19A3" w:rsidRDefault="00C7249D" w:rsidP="008E19A3">
            <w:pPr>
              <w:ind w:left="132" w:right="35"/>
              <w:rPr>
                <w:sz w:val="22"/>
                <w:szCs w:val="22"/>
              </w:rPr>
            </w:pPr>
          </w:p>
        </w:tc>
        <w:tc>
          <w:tcPr>
            <w:tcW w:w="929" w:type="pct"/>
            <w:tcBorders>
              <w:top w:val="single" w:sz="6" w:space="0" w:color="000000"/>
              <w:left w:val="single" w:sz="6" w:space="0" w:color="000000"/>
              <w:bottom w:val="single" w:sz="6" w:space="0" w:color="000000"/>
              <w:right w:val="single" w:sz="6" w:space="0" w:color="000000"/>
            </w:tcBorders>
          </w:tcPr>
          <w:p w14:paraId="39AB6D82"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tcPr>
          <w:p w14:paraId="0094E215"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6AB1E88A" w14:textId="77777777" w:rsidR="00C7249D" w:rsidRPr="008E19A3" w:rsidRDefault="00C7249D" w:rsidP="008E19A3">
            <w:pPr>
              <w:ind w:left="132" w:right="35"/>
              <w:rPr>
                <w:sz w:val="22"/>
                <w:szCs w:val="22"/>
              </w:rPr>
            </w:pPr>
          </w:p>
        </w:tc>
      </w:tr>
      <w:tr w:rsidR="00C7249D" w:rsidRPr="008E19A3" w14:paraId="4584B2C0"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76414F5" w14:textId="77777777" w:rsidR="00C7249D" w:rsidRPr="008E19A3" w:rsidRDefault="00C7249D" w:rsidP="008E19A3">
            <w:pPr>
              <w:ind w:left="132" w:right="35"/>
              <w:rPr>
                <w:b/>
                <w:sz w:val="22"/>
                <w:szCs w:val="22"/>
              </w:rPr>
            </w:pPr>
            <w:r w:rsidRPr="008E19A3">
              <w:rPr>
                <w:b/>
                <w:sz w:val="22"/>
                <w:szCs w:val="22"/>
              </w:rPr>
              <w:t>Hjerte</w:t>
            </w:r>
          </w:p>
        </w:tc>
      </w:tr>
      <w:tr w:rsidR="00C7249D" w:rsidRPr="008E19A3" w14:paraId="5884435B"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tcPr>
          <w:p w14:paraId="0ECA4EFD" w14:textId="77777777" w:rsidR="00C7249D" w:rsidRPr="008E19A3" w:rsidRDefault="00C7249D" w:rsidP="008E19A3">
            <w:pPr>
              <w:ind w:left="132" w:right="35"/>
              <w:rPr>
                <w:sz w:val="22"/>
                <w:szCs w:val="22"/>
              </w:rPr>
            </w:pPr>
          </w:p>
        </w:tc>
        <w:tc>
          <w:tcPr>
            <w:tcW w:w="847" w:type="pct"/>
            <w:gridSpan w:val="2"/>
            <w:tcBorders>
              <w:top w:val="single" w:sz="6" w:space="0" w:color="000000"/>
              <w:left w:val="single" w:sz="6" w:space="0" w:color="000000"/>
              <w:bottom w:val="single" w:sz="6" w:space="0" w:color="000000"/>
              <w:right w:val="single" w:sz="6" w:space="0" w:color="000000"/>
            </w:tcBorders>
            <w:hideMark/>
          </w:tcPr>
          <w:p w14:paraId="0244EE38" w14:textId="77777777" w:rsidR="00C7249D" w:rsidRPr="008E19A3" w:rsidRDefault="00C7249D" w:rsidP="008E19A3">
            <w:pPr>
              <w:ind w:left="132" w:right="35"/>
              <w:rPr>
                <w:sz w:val="22"/>
                <w:szCs w:val="22"/>
              </w:rPr>
            </w:pPr>
            <w:r w:rsidRPr="008E19A3">
              <w:rPr>
                <w:sz w:val="22"/>
                <w:szCs w:val="22"/>
              </w:rPr>
              <w:t>Takykardi</w:t>
            </w:r>
          </w:p>
        </w:tc>
        <w:tc>
          <w:tcPr>
            <w:tcW w:w="929" w:type="pct"/>
            <w:tcBorders>
              <w:top w:val="single" w:sz="6" w:space="0" w:color="000000"/>
              <w:left w:val="single" w:sz="6" w:space="0" w:color="000000"/>
              <w:bottom w:val="single" w:sz="6" w:space="0" w:color="000000"/>
              <w:right w:val="single" w:sz="6" w:space="0" w:color="000000"/>
            </w:tcBorders>
          </w:tcPr>
          <w:p w14:paraId="29739790"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tcPr>
          <w:p w14:paraId="528A3226"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1AB2CD8C" w14:textId="77777777" w:rsidR="00C7249D" w:rsidRPr="008E19A3" w:rsidRDefault="00C7249D" w:rsidP="008E19A3">
            <w:pPr>
              <w:ind w:left="132" w:right="35"/>
              <w:rPr>
                <w:sz w:val="22"/>
                <w:szCs w:val="22"/>
              </w:rPr>
            </w:pPr>
          </w:p>
        </w:tc>
      </w:tr>
      <w:tr w:rsidR="00C7249D" w:rsidRPr="008E19A3" w14:paraId="08AAA082"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518EF8B" w14:textId="77777777" w:rsidR="00C7249D" w:rsidRPr="008E19A3" w:rsidRDefault="00C7249D" w:rsidP="008E19A3">
            <w:pPr>
              <w:ind w:left="132" w:right="35"/>
              <w:rPr>
                <w:b/>
                <w:sz w:val="22"/>
                <w:szCs w:val="22"/>
              </w:rPr>
            </w:pPr>
            <w:r w:rsidRPr="008E19A3">
              <w:rPr>
                <w:b/>
                <w:sz w:val="22"/>
                <w:szCs w:val="22"/>
              </w:rPr>
              <w:t>Vaskulære sygdomme</w:t>
            </w:r>
          </w:p>
        </w:tc>
      </w:tr>
      <w:tr w:rsidR="00C7249D" w:rsidRPr="008E19A3" w14:paraId="48F5CA0C"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14DC5C1E" w14:textId="77777777" w:rsidR="00C7249D" w:rsidRPr="008E19A3" w:rsidRDefault="00C7249D" w:rsidP="008E19A3">
            <w:pPr>
              <w:ind w:left="132" w:right="35"/>
              <w:rPr>
                <w:sz w:val="22"/>
                <w:szCs w:val="22"/>
              </w:rPr>
            </w:pPr>
            <w:r w:rsidRPr="008E19A3">
              <w:rPr>
                <w:sz w:val="22"/>
                <w:szCs w:val="22"/>
              </w:rPr>
              <w:t>Hypotension, hæmatom</w:t>
            </w:r>
          </w:p>
        </w:tc>
        <w:tc>
          <w:tcPr>
            <w:tcW w:w="847" w:type="pct"/>
            <w:gridSpan w:val="2"/>
            <w:tcBorders>
              <w:top w:val="single" w:sz="6" w:space="0" w:color="000000"/>
              <w:left w:val="single" w:sz="6" w:space="0" w:color="000000"/>
              <w:bottom w:val="single" w:sz="6" w:space="0" w:color="000000"/>
              <w:right w:val="single" w:sz="6" w:space="0" w:color="000000"/>
            </w:tcBorders>
          </w:tcPr>
          <w:p w14:paraId="64C6A9E9" w14:textId="77777777" w:rsidR="00C7249D" w:rsidRPr="008E19A3" w:rsidRDefault="00C7249D" w:rsidP="008E19A3">
            <w:pPr>
              <w:ind w:left="132" w:right="35"/>
              <w:rPr>
                <w:sz w:val="22"/>
                <w:szCs w:val="22"/>
              </w:rPr>
            </w:pPr>
          </w:p>
        </w:tc>
        <w:tc>
          <w:tcPr>
            <w:tcW w:w="929" w:type="pct"/>
            <w:tcBorders>
              <w:top w:val="single" w:sz="6" w:space="0" w:color="000000"/>
              <w:left w:val="single" w:sz="6" w:space="0" w:color="000000"/>
              <w:bottom w:val="single" w:sz="6" w:space="0" w:color="000000"/>
              <w:right w:val="single" w:sz="6" w:space="0" w:color="000000"/>
            </w:tcBorders>
          </w:tcPr>
          <w:p w14:paraId="347146A2"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tcPr>
          <w:p w14:paraId="78AF7968"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7ED192B3" w14:textId="77777777" w:rsidR="00C7249D" w:rsidRPr="008E19A3" w:rsidRDefault="00C7249D" w:rsidP="008E19A3">
            <w:pPr>
              <w:ind w:left="132" w:right="35"/>
              <w:rPr>
                <w:sz w:val="22"/>
                <w:szCs w:val="22"/>
              </w:rPr>
            </w:pPr>
          </w:p>
        </w:tc>
      </w:tr>
      <w:tr w:rsidR="00C7249D" w:rsidRPr="008E19A3" w14:paraId="12D1CB10"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855134A" w14:textId="77777777" w:rsidR="00C7249D" w:rsidRPr="008E19A3" w:rsidRDefault="00C7249D" w:rsidP="008E19A3">
            <w:pPr>
              <w:ind w:left="132" w:right="35"/>
              <w:rPr>
                <w:b/>
                <w:sz w:val="22"/>
                <w:szCs w:val="22"/>
              </w:rPr>
            </w:pPr>
            <w:r w:rsidRPr="008E19A3">
              <w:rPr>
                <w:b/>
                <w:sz w:val="22"/>
                <w:szCs w:val="22"/>
              </w:rPr>
              <w:t>Luftveje, thorax og mediastinum</w:t>
            </w:r>
          </w:p>
        </w:tc>
      </w:tr>
      <w:tr w:rsidR="00C7249D" w:rsidRPr="008E19A3" w14:paraId="40074EF3"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1567DBBD" w14:textId="77777777" w:rsidR="00C7249D" w:rsidRPr="008E19A3" w:rsidRDefault="00C7249D" w:rsidP="008E19A3">
            <w:pPr>
              <w:ind w:left="132" w:right="35"/>
              <w:rPr>
                <w:sz w:val="22"/>
                <w:szCs w:val="22"/>
              </w:rPr>
            </w:pPr>
            <w:r w:rsidRPr="008E19A3">
              <w:rPr>
                <w:sz w:val="22"/>
                <w:szCs w:val="22"/>
              </w:rPr>
              <w:t>Epistaxis, hæmoptyse</w:t>
            </w:r>
          </w:p>
        </w:tc>
        <w:tc>
          <w:tcPr>
            <w:tcW w:w="847" w:type="pct"/>
            <w:gridSpan w:val="2"/>
            <w:tcBorders>
              <w:top w:val="single" w:sz="6" w:space="0" w:color="000000"/>
              <w:left w:val="single" w:sz="6" w:space="0" w:color="000000"/>
              <w:bottom w:val="single" w:sz="6" w:space="0" w:color="000000"/>
              <w:right w:val="single" w:sz="6" w:space="0" w:color="000000"/>
            </w:tcBorders>
          </w:tcPr>
          <w:p w14:paraId="4C659A9B" w14:textId="77777777" w:rsidR="00C7249D" w:rsidRPr="008E19A3" w:rsidRDefault="00C7249D" w:rsidP="008E19A3">
            <w:pPr>
              <w:ind w:left="132" w:right="35"/>
              <w:rPr>
                <w:sz w:val="22"/>
                <w:szCs w:val="22"/>
              </w:rPr>
            </w:pPr>
          </w:p>
        </w:tc>
        <w:tc>
          <w:tcPr>
            <w:tcW w:w="929" w:type="pct"/>
            <w:tcBorders>
              <w:top w:val="single" w:sz="6" w:space="0" w:color="000000"/>
              <w:left w:val="single" w:sz="6" w:space="0" w:color="000000"/>
              <w:bottom w:val="single" w:sz="6" w:space="0" w:color="000000"/>
              <w:right w:val="single" w:sz="6" w:space="0" w:color="000000"/>
            </w:tcBorders>
          </w:tcPr>
          <w:p w14:paraId="70E907F1"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hideMark/>
          </w:tcPr>
          <w:p w14:paraId="36E2AE60" w14:textId="77777777" w:rsidR="00C7249D" w:rsidRPr="008E19A3" w:rsidRDefault="00C7249D" w:rsidP="008E19A3">
            <w:pPr>
              <w:ind w:left="132" w:right="35"/>
              <w:rPr>
                <w:sz w:val="22"/>
                <w:szCs w:val="22"/>
              </w:rPr>
            </w:pPr>
            <w:r w:rsidRPr="008E19A3">
              <w:rPr>
                <w:sz w:val="22"/>
                <w:szCs w:val="22"/>
              </w:rPr>
              <w:t>Eosinofil pneumoni</w:t>
            </w:r>
          </w:p>
        </w:tc>
        <w:tc>
          <w:tcPr>
            <w:tcW w:w="1137" w:type="pct"/>
            <w:tcBorders>
              <w:top w:val="single" w:sz="6" w:space="0" w:color="000000"/>
              <w:left w:val="single" w:sz="6" w:space="0" w:color="000000"/>
              <w:bottom w:val="single" w:sz="6" w:space="0" w:color="000000"/>
              <w:right w:val="single" w:sz="6" w:space="0" w:color="000000"/>
            </w:tcBorders>
          </w:tcPr>
          <w:p w14:paraId="31485C3D" w14:textId="77777777" w:rsidR="00C7249D" w:rsidRPr="008E19A3" w:rsidRDefault="00C7249D" w:rsidP="008E19A3">
            <w:pPr>
              <w:ind w:left="132" w:right="35"/>
              <w:rPr>
                <w:sz w:val="22"/>
                <w:szCs w:val="22"/>
              </w:rPr>
            </w:pPr>
          </w:p>
        </w:tc>
      </w:tr>
      <w:tr w:rsidR="00C7249D" w:rsidRPr="008E19A3" w14:paraId="299D7459"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36CA25B" w14:textId="77777777" w:rsidR="00C7249D" w:rsidRPr="008E19A3" w:rsidRDefault="00C7249D" w:rsidP="008E19A3">
            <w:pPr>
              <w:ind w:left="132" w:right="35"/>
              <w:rPr>
                <w:b/>
                <w:sz w:val="22"/>
                <w:szCs w:val="22"/>
              </w:rPr>
            </w:pPr>
            <w:r w:rsidRPr="008E19A3">
              <w:rPr>
                <w:b/>
                <w:sz w:val="22"/>
                <w:szCs w:val="22"/>
              </w:rPr>
              <w:t>Mave-tarm-kanalen</w:t>
            </w:r>
          </w:p>
        </w:tc>
      </w:tr>
      <w:tr w:rsidR="00C7249D" w:rsidRPr="008E19A3" w14:paraId="7324617B"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18853467" w14:textId="77777777" w:rsidR="00C7249D" w:rsidRPr="008E19A3" w:rsidRDefault="00C7249D" w:rsidP="008E19A3">
            <w:pPr>
              <w:ind w:left="132" w:right="35"/>
              <w:rPr>
                <w:sz w:val="22"/>
                <w:szCs w:val="22"/>
              </w:rPr>
            </w:pPr>
            <w:r w:rsidRPr="008E19A3">
              <w:rPr>
                <w:sz w:val="22"/>
                <w:szCs w:val="22"/>
              </w:rPr>
              <w:t>Gingival blødning, blødning fra mave-tarm-kanalen (herunder rektal blødning), gastrointestinale og abdominale smerter, dyspepsi, nausea, obstipation</w:t>
            </w:r>
            <w:r w:rsidRPr="008E19A3">
              <w:rPr>
                <w:sz w:val="22"/>
                <w:szCs w:val="22"/>
                <w:vertAlign w:val="superscript"/>
              </w:rPr>
              <w:t>A</w:t>
            </w:r>
            <w:r w:rsidRPr="008E19A3">
              <w:rPr>
                <w:sz w:val="22"/>
                <w:szCs w:val="22"/>
              </w:rPr>
              <w:t>, diarré, opkastning</w:t>
            </w:r>
            <w:r w:rsidRPr="008E19A3">
              <w:rPr>
                <w:sz w:val="22"/>
                <w:szCs w:val="22"/>
                <w:vertAlign w:val="superscript"/>
              </w:rPr>
              <w:t>A</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4938247D" w14:textId="77777777" w:rsidR="00C7249D" w:rsidRPr="008E19A3" w:rsidRDefault="00C7249D" w:rsidP="008E19A3">
            <w:pPr>
              <w:ind w:left="132" w:right="35"/>
              <w:rPr>
                <w:sz w:val="22"/>
                <w:szCs w:val="22"/>
              </w:rPr>
            </w:pPr>
            <w:r w:rsidRPr="008E19A3">
              <w:rPr>
                <w:sz w:val="22"/>
                <w:szCs w:val="22"/>
              </w:rPr>
              <w:t>Mundtørhed</w:t>
            </w:r>
          </w:p>
        </w:tc>
        <w:tc>
          <w:tcPr>
            <w:tcW w:w="929" w:type="pct"/>
            <w:tcBorders>
              <w:top w:val="single" w:sz="6" w:space="0" w:color="000000"/>
              <w:left w:val="single" w:sz="6" w:space="0" w:color="000000"/>
              <w:bottom w:val="single" w:sz="6" w:space="0" w:color="000000"/>
              <w:right w:val="single" w:sz="6" w:space="0" w:color="000000"/>
            </w:tcBorders>
          </w:tcPr>
          <w:p w14:paraId="09DCBDC8"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tcPr>
          <w:p w14:paraId="74696A7C"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0B27062B" w14:textId="77777777" w:rsidR="00C7249D" w:rsidRPr="008E19A3" w:rsidRDefault="00C7249D" w:rsidP="008E19A3">
            <w:pPr>
              <w:ind w:left="132" w:right="35"/>
              <w:rPr>
                <w:sz w:val="22"/>
                <w:szCs w:val="22"/>
              </w:rPr>
            </w:pPr>
          </w:p>
        </w:tc>
      </w:tr>
      <w:tr w:rsidR="00C7249D" w:rsidRPr="008E19A3" w14:paraId="4029ABA9"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5BC9EEC" w14:textId="77777777" w:rsidR="00C7249D" w:rsidRPr="008E19A3" w:rsidRDefault="00C7249D" w:rsidP="008E19A3">
            <w:pPr>
              <w:ind w:left="132" w:right="35"/>
              <w:rPr>
                <w:b/>
                <w:sz w:val="22"/>
                <w:szCs w:val="22"/>
              </w:rPr>
            </w:pPr>
            <w:r w:rsidRPr="008E19A3">
              <w:rPr>
                <w:b/>
                <w:sz w:val="22"/>
                <w:szCs w:val="22"/>
              </w:rPr>
              <w:t>Lever og galdeveje</w:t>
            </w:r>
          </w:p>
        </w:tc>
      </w:tr>
      <w:tr w:rsidR="00C7249D" w:rsidRPr="008E19A3" w14:paraId="2486F8A4"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19AB49C3" w14:textId="77777777" w:rsidR="00C7249D" w:rsidRPr="008E19A3" w:rsidRDefault="00C7249D" w:rsidP="008E19A3">
            <w:pPr>
              <w:ind w:left="132" w:right="35"/>
              <w:rPr>
                <w:sz w:val="22"/>
                <w:szCs w:val="22"/>
              </w:rPr>
            </w:pPr>
            <w:r w:rsidRPr="008E19A3">
              <w:rPr>
                <w:sz w:val="22"/>
                <w:szCs w:val="22"/>
              </w:rPr>
              <w:t>Forhøjede transaminaser</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5B398FBC" w14:textId="77777777" w:rsidR="00C7249D" w:rsidRPr="008E19A3" w:rsidRDefault="00C7249D" w:rsidP="008E19A3">
            <w:pPr>
              <w:ind w:left="132" w:right="35"/>
              <w:rPr>
                <w:sz w:val="22"/>
                <w:szCs w:val="22"/>
              </w:rPr>
            </w:pPr>
            <w:r w:rsidRPr="008E19A3">
              <w:rPr>
                <w:sz w:val="22"/>
                <w:szCs w:val="22"/>
              </w:rPr>
              <w:t>Nedsat leverfunktion, forhøjet bilirubin, forhøjet basisk fosfatase i blodet</w:t>
            </w:r>
            <w:r w:rsidRPr="008E19A3">
              <w:rPr>
                <w:sz w:val="22"/>
                <w:szCs w:val="22"/>
                <w:vertAlign w:val="superscript"/>
              </w:rPr>
              <w:t>A</w:t>
            </w:r>
            <w:r w:rsidRPr="008E19A3">
              <w:rPr>
                <w:sz w:val="22"/>
                <w:szCs w:val="22"/>
              </w:rPr>
              <w:t>, forhøjet GGT</w:t>
            </w:r>
            <w:r w:rsidRPr="008E19A3">
              <w:rPr>
                <w:sz w:val="22"/>
                <w:szCs w:val="22"/>
                <w:vertAlign w:val="superscript"/>
              </w:rPr>
              <w:t>A</w:t>
            </w:r>
          </w:p>
        </w:tc>
        <w:tc>
          <w:tcPr>
            <w:tcW w:w="929" w:type="pct"/>
            <w:tcBorders>
              <w:top w:val="single" w:sz="6" w:space="0" w:color="000000"/>
              <w:left w:val="single" w:sz="6" w:space="0" w:color="000000"/>
              <w:bottom w:val="single" w:sz="6" w:space="0" w:color="000000"/>
              <w:right w:val="single" w:sz="6" w:space="0" w:color="000000"/>
            </w:tcBorders>
            <w:hideMark/>
          </w:tcPr>
          <w:p w14:paraId="4A4C0D97" w14:textId="77777777" w:rsidR="00C7249D" w:rsidRPr="008E19A3" w:rsidRDefault="00C7249D" w:rsidP="008E19A3">
            <w:pPr>
              <w:ind w:left="132" w:right="35"/>
              <w:rPr>
                <w:sz w:val="22"/>
                <w:szCs w:val="22"/>
              </w:rPr>
            </w:pPr>
            <w:r w:rsidRPr="008E19A3">
              <w:rPr>
                <w:sz w:val="22"/>
                <w:szCs w:val="22"/>
              </w:rPr>
              <w:t xml:space="preserve">Gulsot, stigning i konjungeret bilirubin (med eller uden samtidig stigning i ALAT), koletase, hepatitis (inklusive </w:t>
            </w:r>
            <w:r w:rsidRPr="008E19A3">
              <w:rPr>
                <w:sz w:val="22"/>
                <w:szCs w:val="22"/>
              </w:rPr>
              <w:lastRenderedPageBreak/>
              <w:t>hepatocellulær skade)</w:t>
            </w:r>
          </w:p>
        </w:tc>
        <w:tc>
          <w:tcPr>
            <w:tcW w:w="832" w:type="pct"/>
            <w:tcBorders>
              <w:top w:val="single" w:sz="6" w:space="0" w:color="000000"/>
              <w:left w:val="single" w:sz="6" w:space="0" w:color="000000"/>
              <w:bottom w:val="single" w:sz="6" w:space="0" w:color="000000"/>
              <w:right w:val="single" w:sz="6" w:space="0" w:color="000000"/>
            </w:tcBorders>
          </w:tcPr>
          <w:p w14:paraId="62B24214"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6B9DEC81" w14:textId="77777777" w:rsidR="00C7249D" w:rsidRPr="008E19A3" w:rsidRDefault="00C7249D" w:rsidP="008E19A3">
            <w:pPr>
              <w:ind w:left="132" w:right="35"/>
              <w:jc w:val="both"/>
              <w:rPr>
                <w:sz w:val="22"/>
                <w:szCs w:val="22"/>
              </w:rPr>
            </w:pPr>
          </w:p>
        </w:tc>
      </w:tr>
      <w:tr w:rsidR="00C7249D" w:rsidRPr="008E19A3" w14:paraId="5E8187BC"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8FD7515" w14:textId="77777777" w:rsidR="00C7249D" w:rsidRPr="008E19A3" w:rsidRDefault="00C7249D" w:rsidP="008E19A3">
            <w:pPr>
              <w:ind w:left="132" w:right="35"/>
              <w:rPr>
                <w:b/>
                <w:sz w:val="22"/>
                <w:szCs w:val="22"/>
              </w:rPr>
            </w:pPr>
            <w:r w:rsidRPr="008E19A3">
              <w:rPr>
                <w:b/>
                <w:sz w:val="22"/>
                <w:szCs w:val="22"/>
              </w:rPr>
              <w:t>Hud og subkutane væv</w:t>
            </w:r>
          </w:p>
        </w:tc>
      </w:tr>
      <w:tr w:rsidR="00C7249D" w:rsidRPr="008E19A3" w14:paraId="762824A9"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2A4120B9" w14:textId="77777777" w:rsidR="00C7249D" w:rsidRPr="008E19A3" w:rsidRDefault="00C7249D" w:rsidP="008E19A3">
            <w:pPr>
              <w:ind w:left="132" w:right="35"/>
              <w:rPr>
                <w:sz w:val="22"/>
                <w:szCs w:val="22"/>
              </w:rPr>
            </w:pPr>
            <w:r w:rsidRPr="008E19A3">
              <w:rPr>
                <w:sz w:val="22"/>
                <w:szCs w:val="22"/>
              </w:rPr>
              <w:t>Pruritus (herunder ikke almindelige tilfælde af generaliseret pruritus), udslæt, ekkymose,</w:t>
            </w:r>
          </w:p>
          <w:p w14:paraId="1F91227D" w14:textId="77777777" w:rsidR="00C7249D" w:rsidRPr="008E19A3" w:rsidRDefault="00C7249D" w:rsidP="008E19A3">
            <w:pPr>
              <w:ind w:left="132" w:right="35"/>
              <w:rPr>
                <w:sz w:val="22"/>
                <w:szCs w:val="22"/>
              </w:rPr>
            </w:pPr>
            <w:r w:rsidRPr="008E19A3">
              <w:rPr>
                <w:sz w:val="22"/>
                <w:szCs w:val="22"/>
              </w:rPr>
              <w:t>kutan og subkutan blødning</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1DE4E19D" w14:textId="77777777" w:rsidR="00C7249D" w:rsidRPr="008E19A3" w:rsidRDefault="00C7249D" w:rsidP="008E19A3">
            <w:pPr>
              <w:ind w:left="132" w:right="35"/>
              <w:rPr>
                <w:sz w:val="22"/>
                <w:szCs w:val="22"/>
              </w:rPr>
            </w:pPr>
            <w:r w:rsidRPr="008E19A3">
              <w:rPr>
                <w:sz w:val="22"/>
                <w:szCs w:val="22"/>
              </w:rPr>
              <w:t>Urticaria</w:t>
            </w:r>
          </w:p>
        </w:tc>
        <w:tc>
          <w:tcPr>
            <w:tcW w:w="929" w:type="pct"/>
            <w:tcBorders>
              <w:top w:val="single" w:sz="6" w:space="0" w:color="000000"/>
              <w:left w:val="single" w:sz="6" w:space="0" w:color="000000"/>
              <w:bottom w:val="single" w:sz="6" w:space="0" w:color="000000"/>
              <w:right w:val="single" w:sz="6" w:space="0" w:color="000000"/>
            </w:tcBorders>
          </w:tcPr>
          <w:p w14:paraId="70B01375"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hideMark/>
          </w:tcPr>
          <w:p w14:paraId="2DE75E06" w14:textId="77777777" w:rsidR="00C7249D" w:rsidRPr="008E19A3" w:rsidRDefault="00C7249D" w:rsidP="008E19A3">
            <w:pPr>
              <w:ind w:left="132" w:right="35"/>
              <w:rPr>
                <w:sz w:val="22"/>
                <w:szCs w:val="22"/>
              </w:rPr>
            </w:pPr>
            <w:r w:rsidRPr="008E19A3">
              <w:rPr>
                <w:sz w:val="22"/>
                <w:szCs w:val="22"/>
              </w:rPr>
              <w:t>Stevens-Johnsons syndrom/toksisk epidermal nekrolyse, DRESS syndrom</w:t>
            </w:r>
          </w:p>
        </w:tc>
        <w:tc>
          <w:tcPr>
            <w:tcW w:w="1137" w:type="pct"/>
            <w:tcBorders>
              <w:top w:val="single" w:sz="6" w:space="0" w:color="000000"/>
              <w:left w:val="single" w:sz="6" w:space="0" w:color="000000"/>
              <w:bottom w:val="single" w:sz="6" w:space="0" w:color="000000"/>
              <w:right w:val="single" w:sz="6" w:space="0" w:color="000000"/>
            </w:tcBorders>
          </w:tcPr>
          <w:p w14:paraId="200EE306" w14:textId="77777777" w:rsidR="00C7249D" w:rsidRPr="008E19A3" w:rsidRDefault="00C7249D" w:rsidP="008E19A3">
            <w:pPr>
              <w:ind w:left="132" w:right="35"/>
              <w:rPr>
                <w:sz w:val="22"/>
                <w:szCs w:val="22"/>
              </w:rPr>
            </w:pPr>
          </w:p>
        </w:tc>
      </w:tr>
      <w:tr w:rsidR="00C7249D" w:rsidRPr="008E19A3" w14:paraId="685E19A9"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D134C2B" w14:textId="77777777" w:rsidR="00C7249D" w:rsidRPr="008E19A3" w:rsidRDefault="00C7249D" w:rsidP="008E19A3">
            <w:pPr>
              <w:ind w:left="132" w:right="35"/>
              <w:rPr>
                <w:b/>
                <w:sz w:val="22"/>
                <w:szCs w:val="22"/>
              </w:rPr>
            </w:pPr>
            <w:r w:rsidRPr="008E19A3">
              <w:rPr>
                <w:b/>
                <w:sz w:val="22"/>
                <w:szCs w:val="22"/>
              </w:rPr>
              <w:t>Knogler, led, muskler og bindevæv</w:t>
            </w:r>
          </w:p>
        </w:tc>
      </w:tr>
      <w:tr w:rsidR="00C7249D" w:rsidRPr="008E19A3" w14:paraId="732CE6B7"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7D0B54F6" w14:textId="77777777" w:rsidR="00C7249D" w:rsidRPr="008E19A3" w:rsidRDefault="00C7249D" w:rsidP="008E19A3">
            <w:pPr>
              <w:ind w:left="132" w:right="35"/>
              <w:rPr>
                <w:sz w:val="22"/>
                <w:szCs w:val="22"/>
              </w:rPr>
            </w:pPr>
            <w:r w:rsidRPr="008E19A3">
              <w:rPr>
                <w:sz w:val="22"/>
                <w:szCs w:val="22"/>
              </w:rPr>
              <w:t>Ekstremitetssmerter</w:t>
            </w:r>
          </w:p>
          <w:p w14:paraId="36C76923" w14:textId="77777777" w:rsidR="00C7249D" w:rsidRPr="008E19A3" w:rsidRDefault="00C7249D" w:rsidP="008E19A3">
            <w:pPr>
              <w:ind w:left="132" w:right="35"/>
              <w:rPr>
                <w:sz w:val="22"/>
                <w:szCs w:val="22"/>
                <w:vertAlign w:val="superscript"/>
              </w:rPr>
            </w:pPr>
            <w:r w:rsidRPr="008E19A3">
              <w:rPr>
                <w:sz w:val="22"/>
                <w:szCs w:val="22"/>
                <w:vertAlign w:val="superscript"/>
              </w:rPr>
              <w:t>A</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1B1942A7" w14:textId="77777777" w:rsidR="00C7249D" w:rsidRPr="008E19A3" w:rsidRDefault="00C7249D" w:rsidP="008E19A3">
            <w:pPr>
              <w:ind w:left="132" w:right="35"/>
              <w:rPr>
                <w:sz w:val="22"/>
                <w:szCs w:val="22"/>
              </w:rPr>
            </w:pPr>
            <w:r w:rsidRPr="008E19A3">
              <w:rPr>
                <w:sz w:val="22"/>
                <w:szCs w:val="22"/>
              </w:rPr>
              <w:t>Hæmartrose</w:t>
            </w:r>
          </w:p>
        </w:tc>
        <w:tc>
          <w:tcPr>
            <w:tcW w:w="929" w:type="pct"/>
            <w:tcBorders>
              <w:top w:val="single" w:sz="6" w:space="0" w:color="000000"/>
              <w:left w:val="single" w:sz="6" w:space="0" w:color="000000"/>
              <w:bottom w:val="single" w:sz="6" w:space="0" w:color="000000"/>
              <w:right w:val="single" w:sz="6" w:space="0" w:color="000000"/>
            </w:tcBorders>
            <w:hideMark/>
          </w:tcPr>
          <w:p w14:paraId="331EB977" w14:textId="77777777" w:rsidR="00C7249D" w:rsidRPr="008E19A3" w:rsidRDefault="00C7249D" w:rsidP="008E19A3">
            <w:pPr>
              <w:ind w:left="132" w:right="35"/>
              <w:rPr>
                <w:sz w:val="22"/>
                <w:szCs w:val="22"/>
              </w:rPr>
            </w:pPr>
            <w:r w:rsidRPr="008E19A3">
              <w:rPr>
                <w:sz w:val="22"/>
                <w:szCs w:val="22"/>
              </w:rPr>
              <w:t>Muskelblødning</w:t>
            </w:r>
          </w:p>
        </w:tc>
        <w:tc>
          <w:tcPr>
            <w:tcW w:w="832" w:type="pct"/>
            <w:tcBorders>
              <w:top w:val="single" w:sz="6" w:space="0" w:color="000000"/>
              <w:left w:val="single" w:sz="6" w:space="0" w:color="000000"/>
              <w:bottom w:val="single" w:sz="6" w:space="0" w:color="000000"/>
              <w:right w:val="single" w:sz="6" w:space="0" w:color="000000"/>
            </w:tcBorders>
          </w:tcPr>
          <w:p w14:paraId="3CBDD7EE"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hideMark/>
          </w:tcPr>
          <w:p w14:paraId="5A11AD29" w14:textId="77777777" w:rsidR="00C7249D" w:rsidRPr="008E19A3" w:rsidRDefault="00C7249D" w:rsidP="008E19A3">
            <w:pPr>
              <w:ind w:left="132" w:right="35"/>
              <w:rPr>
                <w:sz w:val="22"/>
                <w:szCs w:val="22"/>
              </w:rPr>
            </w:pPr>
            <w:r w:rsidRPr="008E19A3">
              <w:rPr>
                <w:sz w:val="22"/>
                <w:szCs w:val="22"/>
              </w:rPr>
              <w:t>Kompartmentsyndrom sekundært til blødning</w:t>
            </w:r>
          </w:p>
        </w:tc>
      </w:tr>
      <w:tr w:rsidR="00C7249D" w:rsidRPr="008E19A3" w14:paraId="279675C4"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C9BFF1B" w14:textId="77777777" w:rsidR="00C7249D" w:rsidRPr="008E19A3" w:rsidRDefault="00C7249D" w:rsidP="008E19A3">
            <w:pPr>
              <w:ind w:left="132" w:right="35"/>
              <w:rPr>
                <w:b/>
                <w:sz w:val="22"/>
                <w:szCs w:val="22"/>
              </w:rPr>
            </w:pPr>
            <w:r w:rsidRPr="008E19A3">
              <w:rPr>
                <w:b/>
                <w:sz w:val="22"/>
                <w:szCs w:val="22"/>
              </w:rPr>
              <w:t>Nyrer og urinveje</w:t>
            </w:r>
          </w:p>
        </w:tc>
      </w:tr>
      <w:tr w:rsidR="00C7249D" w:rsidRPr="008E19A3" w14:paraId="765E19AE"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5230BA91" w14:textId="77777777" w:rsidR="00C7249D" w:rsidRPr="008E19A3" w:rsidRDefault="00C7249D" w:rsidP="008E19A3">
            <w:pPr>
              <w:ind w:left="132" w:right="35"/>
              <w:rPr>
                <w:sz w:val="22"/>
                <w:szCs w:val="22"/>
              </w:rPr>
            </w:pPr>
            <w:r w:rsidRPr="008E19A3">
              <w:rPr>
                <w:sz w:val="22"/>
                <w:szCs w:val="22"/>
              </w:rPr>
              <w:t>Blødning i urogenitalkanalen (herunder hæmaturi og menoragi</w:t>
            </w:r>
            <w:r w:rsidRPr="008E19A3">
              <w:rPr>
                <w:sz w:val="22"/>
                <w:szCs w:val="22"/>
                <w:vertAlign w:val="superscript"/>
              </w:rPr>
              <w:t>B</w:t>
            </w:r>
            <w:r w:rsidRPr="008E19A3">
              <w:rPr>
                <w:sz w:val="22"/>
                <w:szCs w:val="22"/>
              </w:rPr>
              <w:t>), nedsat nyrefunktion (herunder forhøjet blod-kreatinin og blod-urinstof)</w:t>
            </w:r>
          </w:p>
        </w:tc>
        <w:tc>
          <w:tcPr>
            <w:tcW w:w="847" w:type="pct"/>
            <w:gridSpan w:val="2"/>
            <w:tcBorders>
              <w:top w:val="single" w:sz="6" w:space="0" w:color="000000"/>
              <w:left w:val="single" w:sz="6" w:space="0" w:color="000000"/>
              <w:bottom w:val="single" w:sz="6" w:space="0" w:color="000000"/>
              <w:right w:val="single" w:sz="6" w:space="0" w:color="000000"/>
            </w:tcBorders>
          </w:tcPr>
          <w:p w14:paraId="327228C4" w14:textId="77777777" w:rsidR="00C7249D" w:rsidRPr="008E19A3" w:rsidRDefault="00C7249D" w:rsidP="008E19A3">
            <w:pPr>
              <w:ind w:left="132" w:right="35"/>
              <w:rPr>
                <w:sz w:val="22"/>
                <w:szCs w:val="22"/>
              </w:rPr>
            </w:pPr>
          </w:p>
        </w:tc>
        <w:tc>
          <w:tcPr>
            <w:tcW w:w="929" w:type="pct"/>
            <w:tcBorders>
              <w:top w:val="single" w:sz="6" w:space="0" w:color="000000"/>
              <w:left w:val="single" w:sz="6" w:space="0" w:color="000000"/>
              <w:bottom w:val="single" w:sz="6" w:space="0" w:color="000000"/>
              <w:right w:val="single" w:sz="6" w:space="0" w:color="000000"/>
            </w:tcBorders>
          </w:tcPr>
          <w:p w14:paraId="6092A3BE"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tcPr>
          <w:p w14:paraId="74A0A73B"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hideMark/>
          </w:tcPr>
          <w:p w14:paraId="17759E87" w14:textId="77777777" w:rsidR="00C7249D" w:rsidRDefault="00C7249D" w:rsidP="008E19A3">
            <w:pPr>
              <w:ind w:left="132" w:right="35"/>
              <w:rPr>
                <w:sz w:val="22"/>
                <w:szCs w:val="22"/>
              </w:rPr>
            </w:pPr>
            <w:r w:rsidRPr="008E19A3">
              <w:rPr>
                <w:sz w:val="22"/>
                <w:szCs w:val="22"/>
              </w:rPr>
              <w:t>Nyresvigt/akut nyresvigt sekundært til blødning, der er tilstrækkelig til at medføre hypoperfusion</w:t>
            </w:r>
            <w:r w:rsidR="00A51B0E">
              <w:rPr>
                <w:sz w:val="22"/>
                <w:szCs w:val="22"/>
              </w:rPr>
              <w:t>,</w:t>
            </w:r>
          </w:p>
          <w:p w14:paraId="523C8243" w14:textId="0EA520C1" w:rsidR="00A51B0E" w:rsidRPr="008E19A3" w:rsidRDefault="00A51B0E" w:rsidP="008E19A3">
            <w:pPr>
              <w:ind w:left="132" w:right="35"/>
              <w:rPr>
                <w:sz w:val="22"/>
                <w:szCs w:val="22"/>
              </w:rPr>
            </w:pPr>
            <w:r>
              <w:rPr>
                <w:sz w:val="22"/>
                <w:szCs w:val="22"/>
              </w:rPr>
              <w:t>antikoagulantiarelateret nefropati</w:t>
            </w:r>
          </w:p>
        </w:tc>
      </w:tr>
      <w:tr w:rsidR="00C7249D" w:rsidRPr="008E19A3" w14:paraId="53D363B3"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30C2425" w14:textId="77777777" w:rsidR="00C7249D" w:rsidRPr="008E19A3" w:rsidRDefault="00C7249D" w:rsidP="008E19A3">
            <w:pPr>
              <w:ind w:left="132" w:right="35"/>
              <w:rPr>
                <w:b/>
                <w:sz w:val="22"/>
                <w:szCs w:val="22"/>
              </w:rPr>
            </w:pPr>
            <w:r w:rsidRPr="008E19A3">
              <w:rPr>
                <w:b/>
                <w:sz w:val="22"/>
                <w:szCs w:val="22"/>
              </w:rPr>
              <w:t>Almene symptomer og reaktioner på administrationsstedet</w:t>
            </w:r>
          </w:p>
        </w:tc>
      </w:tr>
      <w:tr w:rsidR="00C7249D" w:rsidRPr="008E19A3" w14:paraId="1C608400"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6FA4B612" w14:textId="77777777" w:rsidR="00C7249D" w:rsidRPr="008E19A3" w:rsidRDefault="00C7249D" w:rsidP="008E19A3">
            <w:pPr>
              <w:ind w:left="132" w:right="35"/>
              <w:rPr>
                <w:sz w:val="22"/>
                <w:szCs w:val="22"/>
              </w:rPr>
            </w:pPr>
            <w:r w:rsidRPr="008E19A3">
              <w:rPr>
                <w:sz w:val="22"/>
                <w:szCs w:val="22"/>
              </w:rPr>
              <w:t>Feber</w:t>
            </w:r>
            <w:r w:rsidRPr="008E19A3">
              <w:rPr>
                <w:sz w:val="22"/>
                <w:szCs w:val="22"/>
                <w:vertAlign w:val="superscript"/>
              </w:rPr>
              <w:t>A</w:t>
            </w:r>
            <w:r w:rsidRPr="008E19A3">
              <w:rPr>
                <w:sz w:val="22"/>
                <w:szCs w:val="22"/>
              </w:rPr>
              <w:t>, perifert ødem, nedsat generel styrke og energi (herunder træthed og asteni)</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1CE9CDE6" w14:textId="77777777" w:rsidR="00C7249D" w:rsidRPr="008E19A3" w:rsidRDefault="00C7249D" w:rsidP="008E19A3">
            <w:pPr>
              <w:ind w:left="132" w:right="35"/>
              <w:rPr>
                <w:sz w:val="22"/>
                <w:szCs w:val="22"/>
              </w:rPr>
            </w:pPr>
            <w:r w:rsidRPr="008E19A3">
              <w:rPr>
                <w:sz w:val="22"/>
                <w:szCs w:val="22"/>
              </w:rPr>
              <w:t>Utilpashed</w:t>
            </w:r>
          </w:p>
        </w:tc>
        <w:tc>
          <w:tcPr>
            <w:tcW w:w="929" w:type="pct"/>
            <w:tcBorders>
              <w:top w:val="single" w:sz="6" w:space="0" w:color="000000"/>
              <w:left w:val="single" w:sz="6" w:space="0" w:color="000000"/>
              <w:bottom w:val="single" w:sz="6" w:space="0" w:color="000000"/>
              <w:right w:val="single" w:sz="6" w:space="0" w:color="000000"/>
            </w:tcBorders>
            <w:hideMark/>
          </w:tcPr>
          <w:p w14:paraId="508C9FAF" w14:textId="77777777" w:rsidR="00C7249D" w:rsidRPr="008E19A3" w:rsidRDefault="00C7249D" w:rsidP="008E19A3">
            <w:pPr>
              <w:ind w:left="132" w:right="35"/>
              <w:rPr>
                <w:sz w:val="22"/>
                <w:szCs w:val="22"/>
              </w:rPr>
            </w:pPr>
            <w:r w:rsidRPr="008E19A3">
              <w:rPr>
                <w:sz w:val="22"/>
                <w:szCs w:val="22"/>
              </w:rPr>
              <w:t>Lokaliseret ødem</w:t>
            </w:r>
            <w:r w:rsidRPr="008E19A3">
              <w:rPr>
                <w:sz w:val="22"/>
                <w:szCs w:val="22"/>
                <w:vertAlign w:val="superscript"/>
              </w:rPr>
              <w:t>A</w:t>
            </w:r>
          </w:p>
        </w:tc>
        <w:tc>
          <w:tcPr>
            <w:tcW w:w="832" w:type="pct"/>
            <w:tcBorders>
              <w:top w:val="single" w:sz="6" w:space="0" w:color="000000"/>
              <w:left w:val="single" w:sz="6" w:space="0" w:color="000000"/>
              <w:bottom w:val="single" w:sz="6" w:space="0" w:color="000000"/>
              <w:right w:val="single" w:sz="6" w:space="0" w:color="000000"/>
            </w:tcBorders>
          </w:tcPr>
          <w:p w14:paraId="3DD6E014"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775F417E" w14:textId="77777777" w:rsidR="00C7249D" w:rsidRPr="008E19A3" w:rsidRDefault="00C7249D" w:rsidP="008E19A3">
            <w:pPr>
              <w:ind w:left="132" w:right="35"/>
              <w:rPr>
                <w:sz w:val="22"/>
                <w:szCs w:val="22"/>
              </w:rPr>
            </w:pPr>
          </w:p>
        </w:tc>
      </w:tr>
      <w:tr w:rsidR="00C7249D" w:rsidRPr="008E19A3" w14:paraId="56504794"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DB4A5FA" w14:textId="77777777" w:rsidR="00C7249D" w:rsidRPr="008E19A3" w:rsidRDefault="00C7249D" w:rsidP="008E19A3">
            <w:pPr>
              <w:ind w:left="132" w:right="35"/>
              <w:rPr>
                <w:b/>
                <w:sz w:val="22"/>
                <w:szCs w:val="22"/>
              </w:rPr>
            </w:pPr>
            <w:r w:rsidRPr="008E19A3">
              <w:rPr>
                <w:b/>
                <w:sz w:val="22"/>
                <w:szCs w:val="22"/>
              </w:rPr>
              <w:t>Undersøgelser</w:t>
            </w:r>
          </w:p>
        </w:tc>
      </w:tr>
      <w:tr w:rsidR="00C7249D" w:rsidRPr="008E19A3" w14:paraId="13370DF4"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60D6D7D9" w14:textId="77777777" w:rsidR="00C7249D" w:rsidRPr="008E19A3" w:rsidRDefault="00C7249D" w:rsidP="008E19A3">
            <w:pPr>
              <w:ind w:left="132" w:right="35"/>
              <w:rPr>
                <w:b/>
                <w:sz w:val="22"/>
                <w:szCs w:val="22"/>
              </w:rPr>
            </w:pPr>
          </w:p>
        </w:tc>
        <w:tc>
          <w:tcPr>
            <w:tcW w:w="847" w:type="pct"/>
            <w:gridSpan w:val="2"/>
            <w:tcBorders>
              <w:top w:val="single" w:sz="6" w:space="0" w:color="000000"/>
              <w:left w:val="single" w:sz="6" w:space="0" w:color="000000"/>
              <w:bottom w:val="single" w:sz="6" w:space="0" w:color="000000"/>
              <w:right w:val="single" w:sz="6" w:space="0" w:color="000000"/>
            </w:tcBorders>
            <w:hideMark/>
          </w:tcPr>
          <w:p w14:paraId="2D238CEE" w14:textId="77777777" w:rsidR="00C7249D" w:rsidRPr="008E19A3" w:rsidRDefault="00C7249D" w:rsidP="008E19A3">
            <w:pPr>
              <w:ind w:left="132" w:right="35"/>
              <w:rPr>
                <w:sz w:val="22"/>
                <w:szCs w:val="22"/>
              </w:rPr>
            </w:pPr>
            <w:r w:rsidRPr="008E19A3">
              <w:rPr>
                <w:sz w:val="22"/>
                <w:szCs w:val="22"/>
              </w:rPr>
              <w:t>Forhøjet laktat- dehydrogenase</w:t>
            </w:r>
            <w:r w:rsidRPr="008E19A3">
              <w:rPr>
                <w:sz w:val="22"/>
                <w:szCs w:val="22"/>
                <w:vertAlign w:val="superscript"/>
              </w:rPr>
              <w:t>A</w:t>
            </w:r>
            <w:r w:rsidRPr="008E19A3">
              <w:rPr>
                <w:sz w:val="22"/>
                <w:szCs w:val="22"/>
              </w:rPr>
              <w:t>, forhøjet lipase</w:t>
            </w:r>
            <w:r w:rsidRPr="008E19A3">
              <w:rPr>
                <w:sz w:val="22"/>
                <w:szCs w:val="22"/>
                <w:vertAlign w:val="superscript"/>
              </w:rPr>
              <w:t>A</w:t>
            </w:r>
            <w:r w:rsidRPr="008E19A3">
              <w:rPr>
                <w:sz w:val="22"/>
                <w:szCs w:val="22"/>
              </w:rPr>
              <w:t>, forhøjet amylase</w:t>
            </w:r>
            <w:r w:rsidRPr="008E19A3">
              <w:rPr>
                <w:sz w:val="22"/>
                <w:szCs w:val="22"/>
                <w:vertAlign w:val="superscript"/>
              </w:rPr>
              <w:t>A</w:t>
            </w:r>
          </w:p>
        </w:tc>
        <w:tc>
          <w:tcPr>
            <w:tcW w:w="929" w:type="pct"/>
            <w:tcBorders>
              <w:top w:val="single" w:sz="6" w:space="0" w:color="000000"/>
              <w:left w:val="single" w:sz="6" w:space="0" w:color="000000"/>
              <w:bottom w:val="single" w:sz="6" w:space="0" w:color="000000"/>
              <w:right w:val="single" w:sz="6" w:space="0" w:color="000000"/>
            </w:tcBorders>
            <w:hideMark/>
          </w:tcPr>
          <w:p w14:paraId="47E24BEB" w14:textId="77777777" w:rsidR="00C7249D" w:rsidRPr="008E19A3" w:rsidRDefault="00C7249D" w:rsidP="008E19A3">
            <w:pPr>
              <w:ind w:left="132" w:right="35"/>
              <w:rPr>
                <w:sz w:val="22"/>
                <w:szCs w:val="22"/>
              </w:rPr>
            </w:pPr>
          </w:p>
        </w:tc>
        <w:tc>
          <w:tcPr>
            <w:tcW w:w="832" w:type="pct"/>
            <w:tcBorders>
              <w:top w:val="single" w:sz="6" w:space="0" w:color="000000"/>
              <w:left w:val="single" w:sz="6" w:space="0" w:color="000000"/>
              <w:bottom w:val="single" w:sz="6" w:space="0" w:color="000000"/>
              <w:right w:val="single" w:sz="6" w:space="0" w:color="000000"/>
            </w:tcBorders>
          </w:tcPr>
          <w:p w14:paraId="4F875ED2"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174D8013" w14:textId="77777777" w:rsidR="00C7249D" w:rsidRPr="008E19A3" w:rsidRDefault="00C7249D" w:rsidP="008E19A3">
            <w:pPr>
              <w:ind w:left="132" w:right="35"/>
              <w:rPr>
                <w:sz w:val="22"/>
                <w:szCs w:val="22"/>
              </w:rPr>
            </w:pPr>
          </w:p>
        </w:tc>
      </w:tr>
      <w:tr w:rsidR="00C7249D" w:rsidRPr="008E19A3" w14:paraId="3D5691BD" w14:textId="77777777" w:rsidTr="008E19A3">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21F1432" w14:textId="77777777" w:rsidR="00C7249D" w:rsidRPr="008E19A3" w:rsidRDefault="00C7249D" w:rsidP="008E19A3">
            <w:pPr>
              <w:ind w:left="132" w:right="35"/>
              <w:rPr>
                <w:b/>
                <w:sz w:val="22"/>
                <w:szCs w:val="22"/>
              </w:rPr>
            </w:pPr>
            <w:r w:rsidRPr="008E19A3">
              <w:rPr>
                <w:b/>
                <w:sz w:val="22"/>
                <w:szCs w:val="22"/>
              </w:rPr>
              <w:t>Traumer, forgiftninger og behandlingskomplikationer</w:t>
            </w:r>
          </w:p>
        </w:tc>
      </w:tr>
      <w:tr w:rsidR="00C7249D" w:rsidRPr="008E19A3" w14:paraId="02733F30" w14:textId="77777777" w:rsidTr="008E19A3">
        <w:trPr>
          <w:trHeight w:val="20"/>
        </w:trPr>
        <w:tc>
          <w:tcPr>
            <w:tcW w:w="1254" w:type="pct"/>
            <w:tcBorders>
              <w:top w:val="single" w:sz="6" w:space="0" w:color="000000"/>
              <w:left w:val="single" w:sz="6" w:space="0" w:color="000000"/>
              <w:bottom w:val="single" w:sz="6" w:space="0" w:color="000000"/>
              <w:right w:val="single" w:sz="6" w:space="0" w:color="000000"/>
            </w:tcBorders>
            <w:hideMark/>
          </w:tcPr>
          <w:p w14:paraId="3D21D5C1" w14:textId="77777777" w:rsidR="00C7249D" w:rsidRPr="008E19A3" w:rsidRDefault="00C7249D" w:rsidP="008E19A3">
            <w:pPr>
              <w:ind w:left="132" w:right="35"/>
              <w:rPr>
                <w:sz w:val="22"/>
                <w:szCs w:val="22"/>
              </w:rPr>
            </w:pPr>
            <w:r w:rsidRPr="008E19A3">
              <w:rPr>
                <w:sz w:val="22"/>
                <w:szCs w:val="22"/>
              </w:rPr>
              <w:t>Blødning efter procedurer (herunder postoperativ anæmi og blødning fra sår), kontusion, sårsekretion</w:t>
            </w:r>
            <w:r w:rsidRPr="008E19A3">
              <w:rPr>
                <w:sz w:val="22"/>
                <w:szCs w:val="22"/>
                <w:vertAlign w:val="superscript"/>
              </w:rPr>
              <w:t>A</w:t>
            </w:r>
          </w:p>
        </w:tc>
        <w:tc>
          <w:tcPr>
            <w:tcW w:w="847" w:type="pct"/>
            <w:gridSpan w:val="2"/>
            <w:tcBorders>
              <w:top w:val="single" w:sz="6" w:space="0" w:color="000000"/>
              <w:left w:val="single" w:sz="6" w:space="0" w:color="000000"/>
              <w:bottom w:val="single" w:sz="6" w:space="0" w:color="000000"/>
              <w:right w:val="single" w:sz="6" w:space="0" w:color="000000"/>
            </w:tcBorders>
          </w:tcPr>
          <w:p w14:paraId="56121BA3" w14:textId="77777777" w:rsidR="00C7249D" w:rsidRPr="008E19A3" w:rsidRDefault="00C7249D" w:rsidP="008E19A3">
            <w:pPr>
              <w:ind w:left="132" w:right="35"/>
              <w:rPr>
                <w:sz w:val="22"/>
                <w:szCs w:val="22"/>
              </w:rPr>
            </w:pPr>
          </w:p>
        </w:tc>
        <w:tc>
          <w:tcPr>
            <w:tcW w:w="929" w:type="pct"/>
            <w:tcBorders>
              <w:top w:val="single" w:sz="6" w:space="0" w:color="000000"/>
              <w:left w:val="single" w:sz="6" w:space="0" w:color="000000"/>
              <w:bottom w:val="single" w:sz="6" w:space="0" w:color="000000"/>
              <w:right w:val="single" w:sz="6" w:space="0" w:color="000000"/>
            </w:tcBorders>
            <w:hideMark/>
          </w:tcPr>
          <w:p w14:paraId="0FBB23D8" w14:textId="77777777" w:rsidR="00C7249D" w:rsidRPr="008E19A3" w:rsidRDefault="00C7249D" w:rsidP="008E19A3">
            <w:pPr>
              <w:ind w:left="132" w:right="35"/>
              <w:rPr>
                <w:sz w:val="22"/>
                <w:szCs w:val="22"/>
              </w:rPr>
            </w:pPr>
            <w:r w:rsidRPr="008E19A3">
              <w:rPr>
                <w:sz w:val="22"/>
                <w:szCs w:val="22"/>
              </w:rPr>
              <w:t>Vaskulær pseudoaneurisme</w:t>
            </w:r>
            <w:r w:rsidRPr="008E19A3">
              <w:rPr>
                <w:sz w:val="22"/>
                <w:szCs w:val="22"/>
                <w:vertAlign w:val="superscript"/>
              </w:rPr>
              <w:t>C</w:t>
            </w:r>
          </w:p>
        </w:tc>
        <w:tc>
          <w:tcPr>
            <w:tcW w:w="832" w:type="pct"/>
            <w:tcBorders>
              <w:top w:val="single" w:sz="6" w:space="0" w:color="000000"/>
              <w:left w:val="single" w:sz="6" w:space="0" w:color="000000"/>
              <w:bottom w:val="single" w:sz="6" w:space="0" w:color="000000"/>
              <w:right w:val="single" w:sz="6" w:space="0" w:color="000000"/>
            </w:tcBorders>
          </w:tcPr>
          <w:p w14:paraId="195AD0F7" w14:textId="77777777" w:rsidR="00C7249D" w:rsidRPr="008E19A3" w:rsidRDefault="00C7249D" w:rsidP="008E19A3">
            <w:pPr>
              <w:ind w:left="132" w:right="35"/>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4C0F4FBF" w14:textId="77777777" w:rsidR="00C7249D" w:rsidRPr="008E19A3" w:rsidRDefault="00C7249D" w:rsidP="008E19A3">
            <w:pPr>
              <w:ind w:left="132" w:right="35"/>
              <w:rPr>
                <w:sz w:val="22"/>
                <w:szCs w:val="22"/>
              </w:rPr>
            </w:pPr>
          </w:p>
        </w:tc>
      </w:tr>
    </w:tbl>
    <w:p w14:paraId="1A4BBE06" w14:textId="77777777" w:rsidR="00C7249D" w:rsidRPr="008E19A3" w:rsidRDefault="00C7249D" w:rsidP="00C7249D">
      <w:pPr>
        <w:suppressAutoHyphens/>
        <w:ind w:left="426" w:hanging="426"/>
        <w:rPr>
          <w:sz w:val="20"/>
        </w:rPr>
      </w:pPr>
      <w:r w:rsidRPr="008E19A3">
        <w:rPr>
          <w:sz w:val="20"/>
        </w:rPr>
        <w:t xml:space="preserve">A: </w:t>
      </w:r>
      <w:r w:rsidRPr="008E19A3">
        <w:rPr>
          <w:sz w:val="20"/>
        </w:rPr>
        <w:tab/>
        <w:t>Iagttaget ved forebyggelse af VTE hos voksne patienter, som fik foretaget hofteleds- eller knæledsalloplastik.</w:t>
      </w:r>
    </w:p>
    <w:p w14:paraId="66C5BEC0" w14:textId="77777777" w:rsidR="00C7249D" w:rsidRPr="008E19A3" w:rsidRDefault="00C7249D" w:rsidP="00C7249D">
      <w:pPr>
        <w:suppressAutoHyphens/>
        <w:ind w:left="426" w:hanging="426"/>
        <w:rPr>
          <w:sz w:val="20"/>
        </w:rPr>
      </w:pPr>
      <w:r w:rsidRPr="008E19A3">
        <w:rPr>
          <w:sz w:val="20"/>
        </w:rPr>
        <w:t xml:space="preserve">B: </w:t>
      </w:r>
      <w:r w:rsidRPr="008E19A3">
        <w:rPr>
          <w:sz w:val="20"/>
        </w:rPr>
        <w:tab/>
        <w:t>Iagttaget ved behandling af DVT, LE og forebyggelse af recidiv som meget almindelig hos kvinder &lt; 55 år.</w:t>
      </w:r>
    </w:p>
    <w:p w14:paraId="4B33C309" w14:textId="77777777" w:rsidR="00C7249D" w:rsidRPr="008E19A3" w:rsidRDefault="00C7249D" w:rsidP="00C7249D">
      <w:pPr>
        <w:suppressAutoHyphens/>
        <w:ind w:left="426" w:hanging="426"/>
        <w:rPr>
          <w:sz w:val="20"/>
        </w:rPr>
      </w:pPr>
      <w:r w:rsidRPr="008E19A3">
        <w:rPr>
          <w:sz w:val="20"/>
        </w:rPr>
        <w:t xml:space="preserve">C: </w:t>
      </w:r>
      <w:r w:rsidRPr="008E19A3">
        <w:rPr>
          <w:sz w:val="20"/>
        </w:rPr>
        <w:tab/>
        <w:t>Iagttaget som ikke almindelig ved forebyggelse af aterotrombotiske hændelser efter akut koronarsyndrom (efter perkutan koronarintervention)</w:t>
      </w:r>
    </w:p>
    <w:p w14:paraId="1BCE10B4" w14:textId="77777777" w:rsidR="00C7249D" w:rsidRPr="008E19A3" w:rsidRDefault="00C7249D" w:rsidP="00C7249D">
      <w:pPr>
        <w:suppressAutoHyphens/>
        <w:ind w:left="426" w:hanging="426"/>
        <w:rPr>
          <w:sz w:val="20"/>
        </w:rPr>
      </w:pPr>
      <w:r w:rsidRPr="008E19A3">
        <w:rPr>
          <w:sz w:val="20"/>
        </w:rPr>
        <w:t xml:space="preserve">* </w:t>
      </w:r>
      <w:r w:rsidRPr="008E19A3">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4B639A76" w14:textId="77777777" w:rsidR="00C7249D" w:rsidRPr="008E19A3" w:rsidRDefault="00C7249D" w:rsidP="00C7249D">
      <w:pPr>
        <w:tabs>
          <w:tab w:val="left" w:pos="851"/>
        </w:tabs>
        <w:ind w:left="851"/>
        <w:rPr>
          <w:sz w:val="24"/>
          <w:szCs w:val="24"/>
        </w:rPr>
      </w:pPr>
    </w:p>
    <w:p w14:paraId="47298F3D" w14:textId="77777777" w:rsidR="00C7249D" w:rsidRPr="008E19A3" w:rsidRDefault="00C7249D" w:rsidP="00C7249D">
      <w:pPr>
        <w:tabs>
          <w:tab w:val="left" w:pos="851"/>
        </w:tabs>
        <w:ind w:left="851"/>
        <w:rPr>
          <w:sz w:val="24"/>
          <w:szCs w:val="24"/>
        </w:rPr>
      </w:pPr>
      <w:r w:rsidRPr="008E19A3">
        <w:rPr>
          <w:sz w:val="24"/>
          <w:szCs w:val="24"/>
          <w:u w:val="single"/>
        </w:rPr>
        <w:t>Beskrivelse af udvalgte bivirkninger</w:t>
      </w:r>
    </w:p>
    <w:p w14:paraId="2068DFFE" w14:textId="0A9180EE" w:rsidR="00C7249D" w:rsidRPr="008E19A3" w:rsidRDefault="00C7249D" w:rsidP="00C7249D">
      <w:pPr>
        <w:tabs>
          <w:tab w:val="left" w:pos="851"/>
        </w:tabs>
        <w:ind w:left="851"/>
        <w:rPr>
          <w:sz w:val="24"/>
          <w:szCs w:val="24"/>
        </w:rPr>
      </w:pPr>
      <w:r w:rsidRPr="008E19A3">
        <w:rPr>
          <w:sz w:val="24"/>
          <w:szCs w:val="24"/>
        </w:rPr>
        <w:t xml:space="preserve">På grund af den farmakologiske virkningsmekanisme kan brugen af rivaroxaban være forbundet med en øget risiko for okkult eller synlig blødning fra alle væv eller organer, hvilket kan medføre posthæmoragisk anæmi. Symptomerne og sværhedsgraden (herunder letal udgang) varierer i forhold til blødningens placering og graden eller omfanget af blødningen og/eller anæmien (se pkt. 4.9 </w:t>
      </w:r>
      <w:r w:rsidR="008E19A3" w:rsidRPr="008E19A3">
        <w:rPr>
          <w:sz w:val="24"/>
          <w:szCs w:val="24"/>
        </w:rPr>
        <w:t>"</w:t>
      </w:r>
      <w:r w:rsidRPr="008E19A3">
        <w:rPr>
          <w:sz w:val="24"/>
          <w:szCs w:val="24"/>
        </w:rPr>
        <w:t>Behandling af blødning</w:t>
      </w:r>
      <w:r w:rsidR="008E19A3" w:rsidRPr="008E19A3">
        <w:rPr>
          <w:sz w:val="24"/>
          <w:szCs w:val="24"/>
        </w:rPr>
        <w:t>"</w:t>
      </w:r>
      <w:r w:rsidRPr="008E19A3">
        <w:rPr>
          <w:sz w:val="24"/>
          <w:szCs w:val="24"/>
        </w:rPr>
        <w:t xml:space="preserve">). I de kliniske studier sås slimhindeblødninger (f.eks. blødning fra næse, tandkød, mave-tarm-kanalen, genitalier </w:t>
      </w:r>
      <w:r w:rsidRPr="008E19A3">
        <w:rPr>
          <w:sz w:val="24"/>
          <w:szCs w:val="24"/>
        </w:rPr>
        <w:lastRenderedPageBreak/>
        <w:t>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14:paraId="7265DC07" w14:textId="45BF3CCF" w:rsidR="00C7249D" w:rsidRPr="008E19A3" w:rsidRDefault="00C7249D" w:rsidP="00C7249D">
      <w:pPr>
        <w:tabs>
          <w:tab w:val="left" w:pos="851"/>
        </w:tabs>
        <w:ind w:left="851"/>
        <w:rPr>
          <w:sz w:val="24"/>
          <w:szCs w:val="24"/>
        </w:rPr>
      </w:pPr>
      <w:r w:rsidRPr="008E19A3">
        <w:rPr>
          <w:sz w:val="24"/>
          <w:szCs w:val="24"/>
        </w:rPr>
        <w:t>Risikoen for blødning kan være øget hos visse patientgrupper, f.eks. hos patienter med ukontrolleret, svær arteriel hypertension, og/eller som samtidig får behandling, der påvirker hæmostasen (se pkt</w:t>
      </w:r>
      <w:r w:rsidR="008E19A3">
        <w:rPr>
          <w:sz w:val="24"/>
          <w:szCs w:val="24"/>
        </w:rPr>
        <w:t>.</w:t>
      </w:r>
      <w:r w:rsidRPr="008E19A3">
        <w:rPr>
          <w:sz w:val="24"/>
          <w:szCs w:val="24"/>
        </w:rPr>
        <w:t xml:space="preserve"> 4.4 </w:t>
      </w:r>
      <w:r w:rsidR="008E19A3" w:rsidRPr="008E19A3">
        <w:rPr>
          <w:sz w:val="24"/>
          <w:szCs w:val="24"/>
        </w:rPr>
        <w:t>"</w:t>
      </w:r>
      <w:r w:rsidRPr="008E19A3">
        <w:rPr>
          <w:sz w:val="24"/>
          <w:szCs w:val="24"/>
        </w:rPr>
        <w:t>Blødningsrisiko</w:t>
      </w:r>
      <w:r w:rsidR="008E19A3" w:rsidRPr="008E19A3">
        <w:rPr>
          <w:sz w:val="24"/>
          <w:szCs w:val="24"/>
        </w:rPr>
        <w:t>"</w:t>
      </w:r>
      <w:r w:rsidRPr="008E19A3">
        <w:rPr>
          <w:sz w:val="24"/>
          <w:szCs w:val="24"/>
        </w:rPr>
        <w:t>). Menstruationsblødningen kan være kraftigere og/eller forlænget.</w:t>
      </w:r>
    </w:p>
    <w:p w14:paraId="48B6E0B1" w14:textId="77777777" w:rsidR="00C7249D" w:rsidRPr="008E19A3" w:rsidRDefault="00C7249D" w:rsidP="00C7249D">
      <w:pPr>
        <w:tabs>
          <w:tab w:val="left" w:pos="851"/>
        </w:tabs>
        <w:ind w:left="851"/>
        <w:rPr>
          <w:sz w:val="24"/>
          <w:szCs w:val="24"/>
        </w:rPr>
      </w:pPr>
      <w:r w:rsidRPr="008E19A3">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2AD6D2B9" w14:textId="686E2CB7" w:rsidR="00C7249D" w:rsidRPr="008E19A3" w:rsidRDefault="00C7249D" w:rsidP="00C7249D">
      <w:pPr>
        <w:tabs>
          <w:tab w:val="left" w:pos="851"/>
        </w:tabs>
        <w:ind w:left="851"/>
        <w:rPr>
          <w:sz w:val="24"/>
          <w:szCs w:val="24"/>
        </w:rPr>
      </w:pPr>
      <w:r w:rsidRPr="008E19A3">
        <w:rPr>
          <w:sz w:val="24"/>
          <w:szCs w:val="24"/>
        </w:rPr>
        <w:t>Der er for rivaroxaban indberettet kendte komplikationer sekundære til svær blødning som f.eks. kompartmentsyndrom og nyresvigt som følge af hypoperfusion</w:t>
      </w:r>
      <w:r w:rsidR="00A51B0E">
        <w:rPr>
          <w:sz w:val="24"/>
          <w:szCs w:val="24"/>
        </w:rPr>
        <w:t xml:space="preserve"> eller antikoagulantia-relateret nefropati</w:t>
      </w:r>
      <w:r w:rsidRPr="008E19A3">
        <w:rPr>
          <w:sz w:val="24"/>
          <w:szCs w:val="24"/>
        </w:rPr>
        <w:t>. Der skal derfor tages højde for risikoen for blødning, når tilstanden hos en patient, der får antikoagulans, evalueres.</w:t>
      </w:r>
    </w:p>
    <w:p w14:paraId="0E5ED6AE" w14:textId="77777777" w:rsidR="00C7249D" w:rsidRPr="008E19A3" w:rsidRDefault="00C7249D" w:rsidP="00C7249D">
      <w:pPr>
        <w:tabs>
          <w:tab w:val="left" w:pos="851"/>
        </w:tabs>
        <w:ind w:left="851"/>
        <w:rPr>
          <w:sz w:val="24"/>
          <w:szCs w:val="24"/>
        </w:rPr>
      </w:pPr>
    </w:p>
    <w:p w14:paraId="675E9206" w14:textId="77777777" w:rsidR="00C7249D" w:rsidRPr="008E19A3" w:rsidRDefault="00C7249D" w:rsidP="00C7249D">
      <w:pPr>
        <w:tabs>
          <w:tab w:val="left" w:pos="851"/>
        </w:tabs>
        <w:ind w:left="851"/>
        <w:rPr>
          <w:sz w:val="24"/>
          <w:szCs w:val="24"/>
        </w:rPr>
      </w:pPr>
      <w:r w:rsidRPr="008E19A3">
        <w:rPr>
          <w:sz w:val="24"/>
          <w:szCs w:val="24"/>
          <w:u w:val="single"/>
        </w:rPr>
        <w:t>Indberetning af formodede bivirkninger</w:t>
      </w:r>
    </w:p>
    <w:p w14:paraId="3214CE97" w14:textId="77777777" w:rsidR="00C7249D" w:rsidRPr="008E19A3" w:rsidRDefault="00C7249D" w:rsidP="00C7249D">
      <w:pPr>
        <w:tabs>
          <w:tab w:val="left" w:pos="851"/>
        </w:tabs>
        <w:ind w:left="851"/>
        <w:rPr>
          <w:sz w:val="24"/>
          <w:szCs w:val="24"/>
        </w:rPr>
      </w:pPr>
      <w:r w:rsidRPr="008E19A3">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3464B99" w14:textId="77777777" w:rsidR="00C7249D" w:rsidRPr="008E19A3" w:rsidRDefault="00C7249D" w:rsidP="00C7249D">
      <w:pPr>
        <w:tabs>
          <w:tab w:val="left" w:pos="851"/>
        </w:tabs>
        <w:ind w:left="851"/>
        <w:rPr>
          <w:sz w:val="24"/>
          <w:szCs w:val="24"/>
        </w:rPr>
      </w:pPr>
    </w:p>
    <w:p w14:paraId="1ACF1722" w14:textId="77777777" w:rsidR="00C7249D" w:rsidRPr="008E19A3" w:rsidRDefault="00C7249D" w:rsidP="00C7249D">
      <w:pPr>
        <w:tabs>
          <w:tab w:val="left" w:pos="851"/>
        </w:tabs>
        <w:ind w:left="851"/>
        <w:rPr>
          <w:sz w:val="24"/>
          <w:szCs w:val="24"/>
        </w:rPr>
      </w:pPr>
      <w:r w:rsidRPr="008E19A3">
        <w:rPr>
          <w:sz w:val="24"/>
          <w:szCs w:val="24"/>
        </w:rPr>
        <w:t>Lægemiddelstyrelsen</w:t>
      </w:r>
    </w:p>
    <w:p w14:paraId="15B73212" w14:textId="77777777" w:rsidR="00C7249D" w:rsidRPr="008E19A3" w:rsidRDefault="00C7249D" w:rsidP="00C7249D">
      <w:pPr>
        <w:tabs>
          <w:tab w:val="left" w:pos="851"/>
        </w:tabs>
        <w:ind w:left="851"/>
        <w:rPr>
          <w:sz w:val="24"/>
          <w:szCs w:val="24"/>
        </w:rPr>
      </w:pPr>
      <w:r w:rsidRPr="008E19A3">
        <w:rPr>
          <w:sz w:val="24"/>
          <w:szCs w:val="24"/>
        </w:rPr>
        <w:t>Axel Heides Gade 1</w:t>
      </w:r>
    </w:p>
    <w:p w14:paraId="3008914A" w14:textId="77777777" w:rsidR="00C7249D" w:rsidRPr="008E19A3" w:rsidRDefault="00C7249D" w:rsidP="00C7249D">
      <w:pPr>
        <w:tabs>
          <w:tab w:val="left" w:pos="851"/>
        </w:tabs>
        <w:ind w:left="851"/>
        <w:rPr>
          <w:sz w:val="24"/>
          <w:szCs w:val="24"/>
        </w:rPr>
      </w:pPr>
      <w:r w:rsidRPr="008E19A3">
        <w:rPr>
          <w:sz w:val="24"/>
          <w:szCs w:val="24"/>
        </w:rPr>
        <w:t>DK-2300 København S</w:t>
      </w:r>
    </w:p>
    <w:p w14:paraId="53BA98ED" w14:textId="77777777" w:rsidR="00C7249D" w:rsidRPr="008E19A3" w:rsidRDefault="00C7249D" w:rsidP="00C7249D">
      <w:pPr>
        <w:tabs>
          <w:tab w:val="left" w:pos="851"/>
        </w:tabs>
        <w:ind w:left="851"/>
        <w:rPr>
          <w:sz w:val="24"/>
          <w:szCs w:val="24"/>
        </w:rPr>
      </w:pPr>
      <w:r w:rsidRPr="008E19A3">
        <w:rPr>
          <w:sz w:val="24"/>
          <w:szCs w:val="24"/>
        </w:rPr>
        <w:t xml:space="preserve">Websted: </w:t>
      </w:r>
      <w:hyperlink r:id="rId8" w:history="1">
        <w:r w:rsidRPr="008E19A3">
          <w:rPr>
            <w:rStyle w:val="Hyperlink"/>
            <w:sz w:val="24"/>
            <w:szCs w:val="24"/>
          </w:rPr>
          <w:t>www.meldenbivirkning.dk</w:t>
        </w:r>
      </w:hyperlink>
    </w:p>
    <w:p w14:paraId="0BA482B6" w14:textId="77777777" w:rsidR="009260DE" w:rsidRPr="008E19A3" w:rsidRDefault="009260DE" w:rsidP="00A10294">
      <w:pPr>
        <w:tabs>
          <w:tab w:val="left" w:pos="851"/>
        </w:tabs>
        <w:ind w:left="851"/>
        <w:rPr>
          <w:sz w:val="24"/>
          <w:szCs w:val="24"/>
        </w:rPr>
      </w:pPr>
    </w:p>
    <w:p w14:paraId="41374666" w14:textId="77777777" w:rsidR="009260DE" w:rsidRPr="008E19A3" w:rsidRDefault="009260DE" w:rsidP="009260DE">
      <w:pPr>
        <w:tabs>
          <w:tab w:val="left" w:pos="851"/>
        </w:tabs>
        <w:ind w:left="851" w:hanging="851"/>
        <w:rPr>
          <w:b/>
          <w:sz w:val="24"/>
          <w:szCs w:val="24"/>
        </w:rPr>
      </w:pPr>
      <w:r w:rsidRPr="008E19A3">
        <w:rPr>
          <w:b/>
          <w:sz w:val="24"/>
          <w:szCs w:val="24"/>
        </w:rPr>
        <w:t>4.9</w:t>
      </w:r>
      <w:r w:rsidRPr="008E19A3">
        <w:rPr>
          <w:b/>
          <w:sz w:val="24"/>
          <w:szCs w:val="24"/>
        </w:rPr>
        <w:tab/>
        <w:t>Overdosering</w:t>
      </w:r>
    </w:p>
    <w:p w14:paraId="756730A8" w14:textId="46AABBF2" w:rsidR="00C7249D" w:rsidRPr="008E19A3" w:rsidRDefault="00C7249D" w:rsidP="00C7249D">
      <w:pPr>
        <w:tabs>
          <w:tab w:val="left" w:pos="851"/>
        </w:tabs>
        <w:ind w:left="851"/>
        <w:rPr>
          <w:sz w:val="24"/>
          <w:szCs w:val="24"/>
        </w:rPr>
      </w:pPr>
      <w:r w:rsidRPr="008E19A3">
        <w:rPr>
          <w:sz w:val="24"/>
          <w:szCs w:val="24"/>
        </w:rPr>
        <w:t xml:space="preserve">Der er indberettet sjældne tilfælde af overdosering på op til 1.960 mg. I tilfælde af overdosering, skal patienten observeres tæt for blødningskomplikationer eller andre bivirkninger (se pkt. </w:t>
      </w:r>
      <w:r w:rsidR="008E19A3" w:rsidRPr="008E19A3">
        <w:rPr>
          <w:sz w:val="24"/>
          <w:szCs w:val="24"/>
        </w:rPr>
        <w:t>"</w:t>
      </w:r>
      <w:r w:rsidRPr="008E19A3">
        <w:rPr>
          <w:sz w:val="24"/>
          <w:szCs w:val="24"/>
        </w:rPr>
        <w:t>Behandling af blødning</w:t>
      </w:r>
      <w:r w:rsidR="008E19A3" w:rsidRPr="008E19A3">
        <w:rPr>
          <w:sz w:val="24"/>
          <w:szCs w:val="24"/>
        </w:rPr>
        <w:t>"</w:t>
      </w:r>
      <w:r w:rsidRPr="008E19A3">
        <w:rPr>
          <w:sz w:val="24"/>
          <w:szCs w:val="24"/>
        </w:rPr>
        <w:t xml:space="preserve">). Den begrænsede absorption forventes at medføre en </w:t>
      </w:r>
      <w:r w:rsidRPr="008E19A3">
        <w:rPr>
          <w:i/>
          <w:sz w:val="24"/>
          <w:szCs w:val="24"/>
        </w:rPr>
        <w:t>ceiling</w:t>
      </w:r>
      <w:r w:rsidRPr="008E19A3">
        <w:rPr>
          <w:sz w:val="24"/>
          <w:szCs w:val="24"/>
        </w:rPr>
        <w:t>-effekt uden yderligere stigning i den gennemsnitlige plasmakoncentration ved supraterapeutiske doser på 50 mg rivaroxaban eller højere.</w:t>
      </w:r>
    </w:p>
    <w:p w14:paraId="12C29DE9" w14:textId="77777777" w:rsidR="00C7249D" w:rsidRPr="008E19A3" w:rsidRDefault="00C7249D" w:rsidP="00C7249D">
      <w:pPr>
        <w:tabs>
          <w:tab w:val="left" w:pos="851"/>
        </w:tabs>
        <w:ind w:left="851"/>
        <w:rPr>
          <w:sz w:val="24"/>
          <w:szCs w:val="24"/>
        </w:rPr>
      </w:pPr>
      <w:r w:rsidRPr="008E19A3">
        <w:rPr>
          <w:sz w:val="24"/>
          <w:szCs w:val="24"/>
        </w:rPr>
        <w:t>Der findes en specifik antidot (andexanet alfa), der antagoniserer rivaroxabans farmakodynamiske virkning (se produktresuméet for andexanet alfa).</w:t>
      </w:r>
    </w:p>
    <w:p w14:paraId="4F30B74E" w14:textId="77777777" w:rsidR="00C7249D" w:rsidRPr="008E19A3" w:rsidRDefault="00C7249D" w:rsidP="00C7249D">
      <w:pPr>
        <w:tabs>
          <w:tab w:val="left" w:pos="851"/>
        </w:tabs>
        <w:ind w:left="851"/>
        <w:rPr>
          <w:sz w:val="24"/>
          <w:szCs w:val="24"/>
        </w:rPr>
      </w:pPr>
      <w:r w:rsidRPr="008E19A3">
        <w:rPr>
          <w:sz w:val="24"/>
          <w:szCs w:val="24"/>
        </w:rPr>
        <w:t>Ved overdosering med rivaroxaban kan det overvejes at bruge aktivt kul til at reducere absorptionen.</w:t>
      </w:r>
    </w:p>
    <w:p w14:paraId="1AF50600" w14:textId="77777777" w:rsidR="00C7249D" w:rsidRPr="008E19A3" w:rsidRDefault="00C7249D" w:rsidP="00C7249D">
      <w:pPr>
        <w:tabs>
          <w:tab w:val="left" w:pos="851"/>
        </w:tabs>
        <w:ind w:left="851"/>
        <w:rPr>
          <w:sz w:val="24"/>
          <w:szCs w:val="24"/>
        </w:rPr>
      </w:pPr>
    </w:p>
    <w:p w14:paraId="44F3FF99" w14:textId="77777777" w:rsidR="00C7249D" w:rsidRPr="008E19A3" w:rsidRDefault="00C7249D" w:rsidP="00C7249D">
      <w:pPr>
        <w:tabs>
          <w:tab w:val="left" w:pos="851"/>
        </w:tabs>
        <w:ind w:left="851"/>
        <w:rPr>
          <w:sz w:val="24"/>
          <w:szCs w:val="24"/>
        </w:rPr>
      </w:pPr>
      <w:r w:rsidRPr="008E19A3">
        <w:rPr>
          <w:sz w:val="24"/>
          <w:szCs w:val="24"/>
          <w:u w:val="single"/>
        </w:rPr>
        <w:t>Behandling af blødning</w:t>
      </w:r>
    </w:p>
    <w:p w14:paraId="5FA16300" w14:textId="77777777" w:rsidR="00C7249D" w:rsidRPr="008E19A3" w:rsidRDefault="00C7249D" w:rsidP="00C7249D">
      <w:pPr>
        <w:tabs>
          <w:tab w:val="left" w:pos="851"/>
        </w:tabs>
        <w:ind w:left="851"/>
        <w:rPr>
          <w:sz w:val="24"/>
          <w:szCs w:val="24"/>
        </w:rPr>
      </w:pPr>
      <w:r w:rsidRPr="008E19A3">
        <w:rPr>
          <w:sz w:val="24"/>
          <w:szCs w:val="24"/>
        </w:rPr>
        <w:t>Hvis der optræder blødningskomplikationer hos en patient, der får rivaroxaban, skal næste rivaroxaban-administration udsættes eller behandlingen seponeres efter lægens vurdering.</w:t>
      </w:r>
    </w:p>
    <w:p w14:paraId="4D5FEFB6" w14:textId="77777777" w:rsidR="00C7249D" w:rsidRPr="008E19A3" w:rsidRDefault="00C7249D" w:rsidP="00C7249D">
      <w:pPr>
        <w:tabs>
          <w:tab w:val="left" w:pos="851"/>
        </w:tabs>
        <w:ind w:left="851"/>
        <w:rPr>
          <w:sz w:val="24"/>
          <w:szCs w:val="24"/>
        </w:rPr>
      </w:pPr>
      <w:r w:rsidRPr="008E19A3">
        <w:rPr>
          <w:sz w:val="24"/>
          <w:szCs w:val="24"/>
        </w:rPr>
        <w:t>Rivaroxaban har en halveringstid på ca. 5 til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747BE47E" w14:textId="77777777" w:rsidR="00C7249D" w:rsidRPr="008E19A3" w:rsidRDefault="00C7249D" w:rsidP="00C7249D">
      <w:pPr>
        <w:tabs>
          <w:tab w:val="left" w:pos="851"/>
        </w:tabs>
        <w:ind w:left="851"/>
        <w:rPr>
          <w:sz w:val="24"/>
          <w:szCs w:val="24"/>
        </w:rPr>
      </w:pPr>
      <w:r w:rsidRPr="008E19A3">
        <w:rPr>
          <w:sz w:val="24"/>
          <w:szCs w:val="24"/>
        </w:rPr>
        <w:t xml:space="preserve">Hvis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w:t>
      </w:r>
      <w:r w:rsidRPr="008E19A3">
        <w:rPr>
          <w:sz w:val="24"/>
          <w:szCs w:val="24"/>
        </w:rPr>
        <w:lastRenderedPageBreak/>
        <w:t>(APCC)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4FF9ABA3" w14:textId="77777777" w:rsidR="00C7249D" w:rsidRPr="008E19A3" w:rsidRDefault="00C7249D" w:rsidP="00C7249D">
      <w:pPr>
        <w:tabs>
          <w:tab w:val="left" w:pos="851"/>
        </w:tabs>
        <w:ind w:left="851"/>
        <w:rPr>
          <w:sz w:val="24"/>
          <w:szCs w:val="24"/>
        </w:rPr>
      </w:pPr>
    </w:p>
    <w:p w14:paraId="383A5B6A" w14:textId="77777777" w:rsidR="00C7249D" w:rsidRPr="008E19A3" w:rsidRDefault="00C7249D" w:rsidP="00C7249D">
      <w:pPr>
        <w:tabs>
          <w:tab w:val="left" w:pos="851"/>
        </w:tabs>
        <w:ind w:left="851"/>
        <w:rPr>
          <w:sz w:val="24"/>
          <w:szCs w:val="24"/>
        </w:rPr>
      </w:pPr>
      <w:r w:rsidRPr="008E19A3">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0B519C6" w14:textId="77777777" w:rsidR="009260DE" w:rsidRPr="008E19A3" w:rsidRDefault="009260DE" w:rsidP="009260DE">
      <w:pPr>
        <w:tabs>
          <w:tab w:val="left" w:pos="851"/>
        </w:tabs>
        <w:ind w:left="851"/>
        <w:rPr>
          <w:sz w:val="24"/>
          <w:szCs w:val="24"/>
        </w:rPr>
      </w:pPr>
    </w:p>
    <w:p w14:paraId="1EAAA077" w14:textId="77777777" w:rsidR="009260DE" w:rsidRPr="008E19A3" w:rsidRDefault="009260DE" w:rsidP="009260DE">
      <w:pPr>
        <w:tabs>
          <w:tab w:val="left" w:pos="851"/>
        </w:tabs>
        <w:ind w:left="851" w:hanging="851"/>
        <w:rPr>
          <w:b/>
          <w:sz w:val="24"/>
          <w:szCs w:val="24"/>
        </w:rPr>
      </w:pPr>
      <w:r w:rsidRPr="008E19A3">
        <w:rPr>
          <w:b/>
          <w:sz w:val="24"/>
          <w:szCs w:val="24"/>
        </w:rPr>
        <w:t>4.10</w:t>
      </w:r>
      <w:r w:rsidRPr="008E19A3">
        <w:rPr>
          <w:b/>
          <w:sz w:val="24"/>
          <w:szCs w:val="24"/>
        </w:rPr>
        <w:tab/>
        <w:t>Udlevering</w:t>
      </w:r>
    </w:p>
    <w:p w14:paraId="12DACAE0" w14:textId="2C1CA30C" w:rsidR="009260DE" w:rsidRPr="008E19A3" w:rsidRDefault="00C7249D" w:rsidP="009260DE">
      <w:pPr>
        <w:tabs>
          <w:tab w:val="left" w:pos="851"/>
        </w:tabs>
        <w:ind w:left="851"/>
        <w:rPr>
          <w:sz w:val="24"/>
          <w:szCs w:val="24"/>
        </w:rPr>
      </w:pPr>
      <w:r w:rsidRPr="008E19A3">
        <w:rPr>
          <w:sz w:val="24"/>
          <w:szCs w:val="24"/>
        </w:rPr>
        <w:t>B</w:t>
      </w:r>
    </w:p>
    <w:p w14:paraId="6EA5BE73" w14:textId="77777777" w:rsidR="009260DE" w:rsidRPr="008E19A3" w:rsidRDefault="009260DE" w:rsidP="009260DE">
      <w:pPr>
        <w:tabs>
          <w:tab w:val="left" w:pos="851"/>
        </w:tabs>
        <w:ind w:left="851"/>
        <w:rPr>
          <w:sz w:val="24"/>
          <w:szCs w:val="24"/>
        </w:rPr>
      </w:pPr>
    </w:p>
    <w:p w14:paraId="67884221" w14:textId="77777777" w:rsidR="009260DE" w:rsidRPr="008E19A3" w:rsidRDefault="009260DE" w:rsidP="009260DE">
      <w:pPr>
        <w:tabs>
          <w:tab w:val="left" w:pos="851"/>
        </w:tabs>
        <w:ind w:left="851"/>
        <w:rPr>
          <w:sz w:val="24"/>
          <w:szCs w:val="24"/>
        </w:rPr>
      </w:pPr>
    </w:p>
    <w:p w14:paraId="715DCBAB" w14:textId="77777777" w:rsidR="009260DE" w:rsidRPr="008E19A3" w:rsidRDefault="009260DE" w:rsidP="009260DE">
      <w:pPr>
        <w:tabs>
          <w:tab w:val="left" w:pos="851"/>
        </w:tabs>
        <w:ind w:left="851" w:hanging="851"/>
        <w:rPr>
          <w:b/>
          <w:sz w:val="24"/>
          <w:szCs w:val="24"/>
        </w:rPr>
      </w:pPr>
      <w:r w:rsidRPr="008E19A3">
        <w:rPr>
          <w:b/>
          <w:sz w:val="24"/>
          <w:szCs w:val="24"/>
        </w:rPr>
        <w:t>5.</w:t>
      </w:r>
      <w:r w:rsidRPr="008E19A3">
        <w:rPr>
          <w:b/>
          <w:sz w:val="24"/>
          <w:szCs w:val="24"/>
        </w:rPr>
        <w:tab/>
        <w:t>FARMAKOLOGISKE EGENSKABER</w:t>
      </w:r>
    </w:p>
    <w:p w14:paraId="365B5D9A" w14:textId="77777777" w:rsidR="009260DE" w:rsidRPr="008E19A3" w:rsidRDefault="009260DE" w:rsidP="009260DE">
      <w:pPr>
        <w:tabs>
          <w:tab w:val="left" w:pos="851"/>
        </w:tabs>
        <w:ind w:left="851"/>
        <w:rPr>
          <w:sz w:val="24"/>
          <w:szCs w:val="24"/>
        </w:rPr>
      </w:pPr>
    </w:p>
    <w:p w14:paraId="6A22A7CC" w14:textId="77777777" w:rsidR="009260DE" w:rsidRPr="008E19A3" w:rsidRDefault="009260DE" w:rsidP="009260DE">
      <w:pPr>
        <w:tabs>
          <w:tab w:val="num" w:pos="851"/>
        </w:tabs>
        <w:ind w:left="851" w:hanging="851"/>
        <w:rPr>
          <w:b/>
          <w:sz w:val="24"/>
          <w:szCs w:val="24"/>
        </w:rPr>
      </w:pPr>
      <w:r w:rsidRPr="008E19A3">
        <w:rPr>
          <w:b/>
          <w:sz w:val="24"/>
          <w:szCs w:val="24"/>
        </w:rPr>
        <w:t>5.1</w:t>
      </w:r>
      <w:r w:rsidRPr="008E19A3">
        <w:rPr>
          <w:b/>
          <w:sz w:val="24"/>
          <w:szCs w:val="24"/>
        </w:rPr>
        <w:tab/>
        <w:t>Farmakodynamiske egenskaber</w:t>
      </w:r>
    </w:p>
    <w:p w14:paraId="0BC05F72" w14:textId="77777777" w:rsidR="00C7249D" w:rsidRPr="008E19A3" w:rsidRDefault="00C7249D" w:rsidP="00C7249D">
      <w:pPr>
        <w:suppressAutoHyphens/>
        <w:ind w:left="851"/>
        <w:rPr>
          <w:sz w:val="24"/>
          <w:szCs w:val="24"/>
        </w:rPr>
      </w:pPr>
      <w:r w:rsidRPr="008E19A3">
        <w:rPr>
          <w:sz w:val="24"/>
          <w:szCs w:val="24"/>
        </w:rPr>
        <w:t>Farmakoterapeutisk klassifikation: Antitrombosemidler, direkte faktor Xa-hæmmere, ATC-kode: B01AF01.</w:t>
      </w:r>
    </w:p>
    <w:p w14:paraId="6E1A4991" w14:textId="77777777" w:rsidR="00C7249D" w:rsidRPr="008E19A3" w:rsidRDefault="00C7249D" w:rsidP="00C7249D">
      <w:pPr>
        <w:pStyle w:val="Brdtekst"/>
        <w:spacing w:before="5"/>
        <w:ind w:left="851" w:right="-1"/>
        <w:rPr>
          <w:sz w:val="24"/>
          <w:szCs w:val="24"/>
          <w:lang w:val="da-DK"/>
        </w:rPr>
      </w:pPr>
    </w:p>
    <w:p w14:paraId="01851F83" w14:textId="77777777" w:rsidR="00C7249D" w:rsidRPr="008E19A3" w:rsidRDefault="00C7249D" w:rsidP="00C7249D">
      <w:pPr>
        <w:pStyle w:val="Brdtekst"/>
        <w:ind w:left="851" w:right="-1"/>
        <w:rPr>
          <w:sz w:val="24"/>
          <w:szCs w:val="24"/>
          <w:lang w:val="da-DK"/>
        </w:rPr>
      </w:pPr>
      <w:r w:rsidRPr="008E19A3">
        <w:rPr>
          <w:sz w:val="24"/>
          <w:szCs w:val="24"/>
          <w:u w:val="single"/>
          <w:lang w:val="da-DK"/>
        </w:rPr>
        <w:t>Virkningsmekanisme</w:t>
      </w:r>
    </w:p>
    <w:p w14:paraId="6B16A45A" w14:textId="77777777" w:rsidR="00C7249D" w:rsidRPr="008E19A3" w:rsidRDefault="00C7249D" w:rsidP="00C7249D">
      <w:pPr>
        <w:pStyle w:val="Brdtekst"/>
        <w:spacing w:before="1"/>
        <w:ind w:left="851" w:right="-1"/>
        <w:rPr>
          <w:sz w:val="24"/>
          <w:szCs w:val="24"/>
          <w:lang w:val="da-DK"/>
        </w:rPr>
      </w:pPr>
      <w:r w:rsidRPr="008E19A3">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5EAC00A3" w14:textId="77777777" w:rsidR="00C7249D" w:rsidRPr="008E19A3" w:rsidRDefault="00C7249D" w:rsidP="00C7249D">
      <w:pPr>
        <w:pStyle w:val="Brdtekst"/>
        <w:spacing w:before="7"/>
        <w:ind w:left="851" w:right="-1"/>
        <w:rPr>
          <w:sz w:val="24"/>
          <w:szCs w:val="24"/>
          <w:lang w:val="da-DK"/>
        </w:rPr>
      </w:pPr>
    </w:p>
    <w:p w14:paraId="07A160D5" w14:textId="77777777" w:rsidR="00C7249D" w:rsidRPr="008E19A3" w:rsidRDefault="00C7249D" w:rsidP="00C7249D">
      <w:pPr>
        <w:pStyle w:val="Brdtekst"/>
        <w:ind w:left="851" w:right="-1"/>
        <w:rPr>
          <w:sz w:val="24"/>
          <w:szCs w:val="24"/>
          <w:lang w:val="da-DK"/>
        </w:rPr>
      </w:pPr>
      <w:r w:rsidRPr="008E19A3">
        <w:rPr>
          <w:sz w:val="24"/>
          <w:szCs w:val="24"/>
          <w:u w:val="single"/>
          <w:lang w:val="da-DK"/>
        </w:rPr>
        <w:t>Farmakodynamisk virkning</w:t>
      </w:r>
    </w:p>
    <w:p w14:paraId="550C8945" w14:textId="6F3DBBF8" w:rsidR="00C7249D" w:rsidRPr="008E19A3" w:rsidRDefault="00C7249D" w:rsidP="00C7249D">
      <w:pPr>
        <w:suppressAutoHyphens/>
        <w:ind w:left="851"/>
        <w:rPr>
          <w:sz w:val="24"/>
          <w:szCs w:val="24"/>
        </w:rPr>
      </w:pPr>
      <w:r w:rsidRPr="008E19A3">
        <w:rPr>
          <w:sz w:val="24"/>
          <w:szCs w:val="24"/>
        </w:rPr>
        <w:t xml:space="preserve">Da bioækvivalensen mellem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kapsler og referenceproduktet (Xarelto) tablet er blevet påvist, kan resultaterne fra originalproduktets studier udført på tabletten ekstrapoleres til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kapsler.</w:t>
      </w:r>
    </w:p>
    <w:p w14:paraId="5CFAF741" w14:textId="77777777" w:rsidR="00C7249D" w:rsidRPr="008E19A3" w:rsidRDefault="00C7249D" w:rsidP="00C7249D">
      <w:pPr>
        <w:pStyle w:val="Brdtekst"/>
        <w:spacing w:before="2"/>
        <w:ind w:left="851" w:right="-1"/>
        <w:rPr>
          <w:sz w:val="24"/>
          <w:szCs w:val="24"/>
          <w:lang w:val="da-DK"/>
        </w:rPr>
      </w:pPr>
    </w:p>
    <w:p w14:paraId="22EC54A1" w14:textId="77777777" w:rsidR="00C7249D" w:rsidRPr="008E19A3" w:rsidRDefault="00C7249D" w:rsidP="00C7249D">
      <w:pPr>
        <w:pStyle w:val="Brdtekst"/>
        <w:spacing w:before="2"/>
        <w:ind w:left="851" w:right="-1"/>
        <w:rPr>
          <w:sz w:val="24"/>
          <w:szCs w:val="24"/>
          <w:lang w:val="da-DK"/>
        </w:rPr>
      </w:pPr>
      <w:r w:rsidRPr="008E19A3">
        <w:rPr>
          <w:sz w:val="24"/>
          <w:szCs w:val="24"/>
          <w:lang w:val="da-DK"/>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 (dvs. da der var opnået maksimal effekt) på mellem 13 og 25 sekunder (baselineværdier før kirurgi 12 til 15 sek.).</w:t>
      </w:r>
    </w:p>
    <w:p w14:paraId="5F775A0F" w14:textId="77777777" w:rsidR="00C7249D" w:rsidRPr="008E19A3" w:rsidRDefault="00C7249D" w:rsidP="00C7249D">
      <w:pPr>
        <w:pStyle w:val="Brdtekst"/>
        <w:spacing w:before="6"/>
        <w:ind w:left="851" w:right="-1"/>
        <w:rPr>
          <w:sz w:val="24"/>
          <w:szCs w:val="24"/>
          <w:lang w:val="da-DK"/>
        </w:rPr>
      </w:pPr>
      <w:r w:rsidRPr="008E19A3">
        <w:rPr>
          <w:sz w:val="24"/>
          <w:szCs w:val="24"/>
          <w:lang w:val="da-DK"/>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w:t>
      </w:r>
      <w:r w:rsidRPr="008E19A3">
        <w:rPr>
          <w:sz w:val="24"/>
          <w:szCs w:val="24"/>
          <w:lang w:val="da-DK"/>
        </w:rPr>
        <w:lastRenderedPageBreak/>
        <w:t>end 4-faktor PCC'en (se pkt. 4.9).</w:t>
      </w:r>
    </w:p>
    <w:p w14:paraId="00C6ECC9" w14:textId="77777777" w:rsidR="00C7249D" w:rsidRPr="008E19A3" w:rsidRDefault="00C7249D" w:rsidP="00C7249D">
      <w:pPr>
        <w:pStyle w:val="Brdtekst"/>
        <w:spacing w:before="4"/>
        <w:ind w:left="851" w:right="-1"/>
        <w:rPr>
          <w:sz w:val="24"/>
          <w:szCs w:val="24"/>
          <w:lang w:val="da-DK"/>
        </w:rPr>
      </w:pPr>
      <w:r w:rsidRPr="008E19A3">
        <w:rPr>
          <w:sz w:val="24"/>
          <w:szCs w:val="24"/>
          <w:lang w:val="da-DK"/>
        </w:rPr>
        <w:t xml:space="preserve">Den aktiverede partielle tromboplastintid (aPTT) og HepTest forlænges også i forhold til dosis, men de anbefales ikke til vurdering af rivaroxabans farmakodynamiske effekt. </w:t>
      </w:r>
    </w:p>
    <w:p w14:paraId="6A768DBE" w14:textId="77777777" w:rsidR="00C7249D" w:rsidRPr="008E19A3" w:rsidRDefault="00C7249D" w:rsidP="00C7249D">
      <w:pPr>
        <w:pStyle w:val="Brdtekst"/>
        <w:spacing w:before="4"/>
        <w:ind w:left="851" w:right="-1"/>
        <w:rPr>
          <w:sz w:val="24"/>
          <w:szCs w:val="24"/>
          <w:lang w:val="da-DK"/>
        </w:rPr>
      </w:pPr>
      <w:r w:rsidRPr="008E19A3">
        <w:rPr>
          <w:sz w:val="24"/>
          <w:szCs w:val="24"/>
          <w:lang w:val="da-DK"/>
        </w:rPr>
        <w:t>Der er ikke behov for overvågning af koagulationsparametrene under behandling med rivaroxaban som klinisk rutine. Hvis det imidlertid er klinisk indiceret, kan rivaroxaban-niveauerne måles ved kalibrerede kvantitative anti-faktor Xa-test (se pkt. 5.2).</w:t>
      </w:r>
    </w:p>
    <w:p w14:paraId="6128B11A" w14:textId="77777777" w:rsidR="00C7249D" w:rsidRPr="008E19A3" w:rsidRDefault="00C7249D" w:rsidP="00C7249D">
      <w:pPr>
        <w:pStyle w:val="Brdtekst"/>
        <w:spacing w:before="9"/>
        <w:ind w:left="851" w:right="-1"/>
        <w:rPr>
          <w:sz w:val="24"/>
          <w:szCs w:val="24"/>
          <w:lang w:val="da-DK"/>
        </w:rPr>
      </w:pPr>
    </w:p>
    <w:p w14:paraId="711F1A25" w14:textId="77777777" w:rsidR="00C7249D" w:rsidRPr="008E19A3" w:rsidRDefault="00C7249D" w:rsidP="008E19A3">
      <w:pPr>
        <w:ind w:left="851"/>
        <w:rPr>
          <w:sz w:val="24"/>
          <w:szCs w:val="24"/>
          <w:u w:val="single"/>
        </w:rPr>
      </w:pPr>
      <w:r w:rsidRPr="008E19A3">
        <w:rPr>
          <w:sz w:val="24"/>
          <w:szCs w:val="24"/>
          <w:u w:val="single"/>
        </w:rPr>
        <w:t>Klinisk virkning og sikkerhed</w:t>
      </w:r>
    </w:p>
    <w:p w14:paraId="513AE644" w14:textId="77777777" w:rsidR="00C7249D" w:rsidRPr="008E19A3" w:rsidRDefault="00C7249D" w:rsidP="008E19A3">
      <w:pPr>
        <w:ind w:left="851"/>
        <w:rPr>
          <w:i/>
          <w:sz w:val="24"/>
          <w:szCs w:val="24"/>
        </w:rPr>
      </w:pPr>
      <w:r w:rsidRPr="008E19A3">
        <w:rPr>
          <w:i/>
          <w:sz w:val="24"/>
          <w:szCs w:val="24"/>
        </w:rPr>
        <w:t xml:space="preserve">Forebyggelse af VTE hos voksne patienter, der gennemgår planlagt hofteleds- eller knæledsalloplastik </w:t>
      </w:r>
    </w:p>
    <w:p w14:paraId="5BA09D09" w14:textId="77777777" w:rsidR="00C7249D" w:rsidRPr="008E19A3" w:rsidRDefault="00C7249D" w:rsidP="008E19A3">
      <w:pPr>
        <w:ind w:left="851"/>
        <w:rPr>
          <w:sz w:val="24"/>
          <w:szCs w:val="24"/>
        </w:rPr>
      </w:pPr>
      <w:r w:rsidRPr="008E19A3">
        <w:rPr>
          <w:sz w:val="24"/>
          <w:szCs w:val="24"/>
        </w:rPr>
        <w:t>Det kliniske program for rivaroxaban har til formål at påvise rivaroxabans effekt på forebyggelsen af venøs tromboemboli (VTE), dvs. proksimal og distal dyb venetrombose (DVT) og lungeemboli (LE)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w:t>
      </w:r>
    </w:p>
    <w:p w14:paraId="3BB55669" w14:textId="77777777" w:rsidR="00C7249D" w:rsidRPr="008E19A3" w:rsidRDefault="00C7249D" w:rsidP="008E19A3">
      <w:pPr>
        <w:ind w:left="851"/>
        <w:rPr>
          <w:sz w:val="24"/>
          <w:szCs w:val="24"/>
        </w:rPr>
      </w:pPr>
      <w:r w:rsidRPr="008E19A3">
        <w:rPr>
          <w:sz w:val="24"/>
          <w:szCs w:val="24"/>
        </w:rPr>
        <w:t>Der blev foretaget en sammenligning mellem indtagelse af 10 mg rivaroxaban en gang daglig tidligst 6 timer efter operationen og 40 mg enoxaparin givet en gang daglig, startende 12 timer før operationen.</w:t>
      </w:r>
    </w:p>
    <w:p w14:paraId="36C0C274" w14:textId="77777777" w:rsidR="00C7249D" w:rsidRPr="008E19A3" w:rsidRDefault="00C7249D" w:rsidP="008E19A3">
      <w:pPr>
        <w:ind w:left="851"/>
        <w:rPr>
          <w:sz w:val="24"/>
          <w:szCs w:val="24"/>
        </w:rPr>
      </w:pPr>
      <w:r w:rsidRPr="008E19A3">
        <w:rPr>
          <w:sz w:val="24"/>
          <w:szCs w:val="24"/>
        </w:rPr>
        <w:t>I alle tre fase III-studier (se tabel 4) medførte indtagelsen af rivaroxaban en signifikant reduktion i den samlede forekomst af VTE (alle former for venografisk detekteret eller symptomatisk DVT, ikke-letal LE og dødsfald) og alvorlig VTE (proksimal DVT, ikke-letal PE og VTE-relateret dødsfald), som var de på forhånd specificerede primære og væsentligste sekundære effektendepunkter. Desuden var forekomsten af symptomatisk VTE (symptomatisk DVT, ikke-letal PE og VTE-relateret dødsfald) i alle tre studier lavere hos patienter, der blev behandlet med rivaroxaban, end hos patienter, der blev behandlet med enoxaparin.</w:t>
      </w:r>
    </w:p>
    <w:p w14:paraId="1BF09A7C" w14:textId="77777777" w:rsidR="00C7249D" w:rsidRPr="008E19A3" w:rsidRDefault="00C7249D" w:rsidP="008E19A3">
      <w:pPr>
        <w:ind w:left="851"/>
        <w:rPr>
          <w:sz w:val="24"/>
          <w:szCs w:val="24"/>
        </w:rPr>
      </w:pPr>
      <w:r w:rsidRPr="008E19A3">
        <w:rPr>
          <w:sz w:val="24"/>
          <w:szCs w:val="24"/>
        </w:rPr>
        <w:t>I forbindelse med det overordnede sikkerhedsendepunkter, større blødning, blev der påvist sammenlignelige forekomster hos patienter, der blev behandlet med 10 mg rivaroxaban, og patienter, der blev behandlet med 40 mg enoxaparin.</w:t>
      </w:r>
    </w:p>
    <w:p w14:paraId="78633F51" w14:textId="77777777" w:rsidR="00C7249D" w:rsidRPr="00397118" w:rsidRDefault="00C7249D" w:rsidP="00C7249D">
      <w:pPr>
        <w:pStyle w:val="Overskrift2"/>
        <w:spacing w:before="0"/>
        <w:ind w:left="0" w:right="887"/>
        <w:rPr>
          <w:b w:val="0"/>
          <w:sz w:val="24"/>
          <w:szCs w:val="24"/>
          <w:lang w:val="da-DK"/>
        </w:rPr>
      </w:pPr>
    </w:p>
    <w:p w14:paraId="1803869C" w14:textId="77777777" w:rsidR="00397118" w:rsidRPr="00102C2A" w:rsidRDefault="00397118" w:rsidP="00397118">
      <w:pPr>
        <w:rPr>
          <w:b/>
          <w:spacing w:val="-2"/>
          <w:sz w:val="24"/>
          <w:szCs w:val="24"/>
        </w:rPr>
      </w:pPr>
      <w:r w:rsidRPr="00102C2A">
        <w:rPr>
          <w:b/>
          <w:sz w:val="24"/>
          <w:szCs w:val="24"/>
        </w:rPr>
        <w:t>Tabel 4:</w:t>
      </w:r>
      <w:r w:rsidRPr="00102C2A">
        <w:rPr>
          <w:b/>
          <w:spacing w:val="13"/>
          <w:sz w:val="24"/>
          <w:szCs w:val="24"/>
        </w:rPr>
        <w:t xml:space="preserve"> </w:t>
      </w:r>
      <w:r w:rsidRPr="00102C2A">
        <w:rPr>
          <w:b/>
          <w:sz w:val="24"/>
          <w:szCs w:val="24"/>
        </w:rPr>
        <w:t>Effekt-</w:t>
      </w:r>
      <w:r w:rsidRPr="00102C2A">
        <w:rPr>
          <w:b/>
          <w:spacing w:val="-4"/>
          <w:sz w:val="24"/>
          <w:szCs w:val="24"/>
        </w:rPr>
        <w:t xml:space="preserve"> </w:t>
      </w:r>
      <w:r w:rsidRPr="00102C2A">
        <w:rPr>
          <w:b/>
          <w:sz w:val="24"/>
          <w:szCs w:val="24"/>
        </w:rPr>
        <w:t>og</w:t>
      </w:r>
      <w:r w:rsidRPr="00102C2A">
        <w:rPr>
          <w:b/>
          <w:spacing w:val="-7"/>
          <w:sz w:val="24"/>
          <w:szCs w:val="24"/>
        </w:rPr>
        <w:t xml:space="preserve"> </w:t>
      </w:r>
      <w:r w:rsidRPr="00102C2A">
        <w:rPr>
          <w:b/>
          <w:sz w:val="24"/>
          <w:szCs w:val="24"/>
        </w:rPr>
        <w:t>sikkerhedsresultater</w:t>
      </w:r>
      <w:r w:rsidRPr="00102C2A">
        <w:rPr>
          <w:b/>
          <w:spacing w:val="-7"/>
          <w:sz w:val="24"/>
          <w:szCs w:val="24"/>
        </w:rPr>
        <w:t xml:space="preserve"> </w:t>
      </w:r>
      <w:r w:rsidRPr="00102C2A">
        <w:rPr>
          <w:b/>
          <w:sz w:val="24"/>
          <w:szCs w:val="24"/>
        </w:rPr>
        <w:t>fra</w:t>
      </w:r>
      <w:r w:rsidRPr="00102C2A">
        <w:rPr>
          <w:b/>
          <w:spacing w:val="-4"/>
          <w:sz w:val="24"/>
          <w:szCs w:val="24"/>
        </w:rPr>
        <w:t xml:space="preserve"> </w:t>
      </w:r>
      <w:r w:rsidRPr="00102C2A">
        <w:rPr>
          <w:b/>
          <w:sz w:val="24"/>
          <w:szCs w:val="24"/>
        </w:rPr>
        <w:t>kliniske</w:t>
      </w:r>
      <w:r w:rsidRPr="00102C2A">
        <w:rPr>
          <w:b/>
          <w:spacing w:val="-7"/>
          <w:sz w:val="24"/>
          <w:szCs w:val="24"/>
        </w:rPr>
        <w:t xml:space="preserve"> </w:t>
      </w:r>
      <w:r w:rsidRPr="00102C2A">
        <w:rPr>
          <w:b/>
          <w:sz w:val="24"/>
          <w:szCs w:val="24"/>
        </w:rPr>
        <w:t>fase</w:t>
      </w:r>
      <w:r w:rsidRPr="00102C2A">
        <w:rPr>
          <w:b/>
          <w:spacing w:val="-4"/>
          <w:sz w:val="24"/>
          <w:szCs w:val="24"/>
        </w:rPr>
        <w:t xml:space="preserve"> </w:t>
      </w:r>
      <w:r w:rsidRPr="00102C2A">
        <w:rPr>
          <w:b/>
          <w:sz w:val="24"/>
          <w:szCs w:val="24"/>
        </w:rPr>
        <w:t>III-</w:t>
      </w:r>
      <w:r w:rsidRPr="00102C2A">
        <w:rPr>
          <w:b/>
          <w:spacing w:val="-2"/>
          <w:sz w:val="24"/>
          <w:szCs w:val="24"/>
        </w:rPr>
        <w:t>studier</w:t>
      </w:r>
    </w:p>
    <w:tbl>
      <w:tblPr>
        <w:tblStyle w:val="TableNormal1"/>
        <w:tblW w:w="5224"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1"/>
        <w:gridCol w:w="1171"/>
        <w:gridCol w:w="800"/>
        <w:gridCol w:w="700"/>
        <w:gridCol w:w="1274"/>
        <w:gridCol w:w="980"/>
        <w:gridCol w:w="698"/>
        <w:gridCol w:w="1382"/>
        <w:gridCol w:w="987"/>
        <w:gridCol w:w="856"/>
      </w:tblGrid>
      <w:tr w:rsidR="00397118" w:rsidRPr="00397118" w14:paraId="2F768DDC" w14:textId="77777777" w:rsidTr="00397118">
        <w:trPr>
          <w:trHeight w:val="20"/>
        </w:trPr>
        <w:tc>
          <w:tcPr>
            <w:tcW w:w="608" w:type="pct"/>
          </w:tcPr>
          <w:p w14:paraId="43C35BDA" w14:textId="77777777" w:rsidR="00397118" w:rsidRPr="00397118" w:rsidRDefault="00397118" w:rsidP="00B25BD1">
            <w:pPr>
              <w:pStyle w:val="TableParagraph"/>
              <w:ind w:left="0"/>
              <w:jc w:val="center"/>
              <w:rPr>
                <w:spacing w:val="-2"/>
                <w:sz w:val="18"/>
                <w:szCs w:val="18"/>
                <w:lang w:val="da-DK"/>
              </w:rPr>
            </w:pPr>
          </w:p>
        </w:tc>
        <w:tc>
          <w:tcPr>
            <w:tcW w:w="1287" w:type="pct"/>
            <w:gridSpan w:val="3"/>
          </w:tcPr>
          <w:p w14:paraId="38A79648" w14:textId="77777777" w:rsidR="00397118" w:rsidRPr="00397118" w:rsidRDefault="00397118" w:rsidP="00B25BD1">
            <w:pPr>
              <w:pStyle w:val="TableParagraph"/>
              <w:spacing w:line="206" w:lineRule="exact"/>
              <w:ind w:left="0"/>
              <w:jc w:val="center"/>
              <w:rPr>
                <w:spacing w:val="-10"/>
                <w:sz w:val="18"/>
                <w:szCs w:val="18"/>
                <w:lang w:val="da-DK"/>
              </w:rPr>
            </w:pPr>
            <w:r w:rsidRPr="00397118">
              <w:rPr>
                <w:rFonts w:ascii="Times New Roman" w:hAnsi="Times New Roman" w:cs="Times New Roman"/>
                <w:b/>
                <w:bCs/>
                <w:sz w:val="18"/>
                <w:szCs w:val="18"/>
                <w:lang w:val="da-DK"/>
              </w:rPr>
              <w:t>RECORD</w:t>
            </w:r>
            <w:r w:rsidRPr="00397118">
              <w:rPr>
                <w:rFonts w:ascii="Times New Roman" w:hAnsi="Times New Roman" w:cs="Times New Roman"/>
                <w:b/>
                <w:bCs/>
                <w:spacing w:val="-6"/>
                <w:sz w:val="18"/>
                <w:szCs w:val="18"/>
                <w:lang w:val="da-DK"/>
              </w:rPr>
              <w:t xml:space="preserve"> </w:t>
            </w:r>
            <w:r w:rsidRPr="00397118">
              <w:rPr>
                <w:rFonts w:ascii="Times New Roman" w:hAnsi="Times New Roman" w:cs="Times New Roman"/>
                <w:b/>
                <w:bCs/>
                <w:spacing w:val="-10"/>
                <w:sz w:val="18"/>
                <w:szCs w:val="18"/>
                <w:lang w:val="da-DK"/>
              </w:rPr>
              <w:t>1</w:t>
            </w:r>
          </w:p>
        </w:tc>
        <w:tc>
          <w:tcPr>
            <w:tcW w:w="1485" w:type="pct"/>
            <w:gridSpan w:val="3"/>
          </w:tcPr>
          <w:p w14:paraId="103D2B11" w14:textId="77777777" w:rsidR="00397118" w:rsidRPr="00397118" w:rsidRDefault="00397118" w:rsidP="00B25BD1">
            <w:pPr>
              <w:pStyle w:val="TableParagraph"/>
              <w:spacing w:line="206" w:lineRule="exact"/>
              <w:ind w:left="0"/>
              <w:jc w:val="center"/>
              <w:rPr>
                <w:spacing w:val="-10"/>
                <w:sz w:val="18"/>
                <w:szCs w:val="18"/>
                <w:lang w:val="da-DK"/>
              </w:rPr>
            </w:pPr>
            <w:r w:rsidRPr="00397118">
              <w:rPr>
                <w:rFonts w:ascii="Times New Roman" w:hAnsi="Times New Roman" w:cs="Times New Roman"/>
                <w:b/>
                <w:bCs/>
                <w:sz w:val="18"/>
                <w:szCs w:val="18"/>
                <w:lang w:val="da-DK"/>
              </w:rPr>
              <w:t>RECORD</w:t>
            </w:r>
            <w:r w:rsidRPr="00397118">
              <w:rPr>
                <w:rFonts w:ascii="Times New Roman" w:hAnsi="Times New Roman" w:cs="Times New Roman"/>
                <w:b/>
                <w:bCs/>
                <w:spacing w:val="-6"/>
                <w:sz w:val="18"/>
                <w:szCs w:val="18"/>
                <w:lang w:val="da-DK"/>
              </w:rPr>
              <w:t xml:space="preserve"> </w:t>
            </w:r>
            <w:r w:rsidRPr="00397118">
              <w:rPr>
                <w:rFonts w:ascii="Times New Roman" w:hAnsi="Times New Roman" w:cs="Times New Roman"/>
                <w:b/>
                <w:bCs/>
                <w:spacing w:val="-10"/>
                <w:sz w:val="18"/>
                <w:szCs w:val="18"/>
                <w:lang w:val="da-DK"/>
              </w:rPr>
              <w:t>2</w:t>
            </w:r>
          </w:p>
        </w:tc>
        <w:tc>
          <w:tcPr>
            <w:tcW w:w="1620" w:type="pct"/>
            <w:gridSpan w:val="3"/>
          </w:tcPr>
          <w:p w14:paraId="15A9D5AA" w14:textId="77777777" w:rsidR="00397118" w:rsidRPr="00397118" w:rsidRDefault="00397118" w:rsidP="00B25BD1">
            <w:pPr>
              <w:pStyle w:val="TableParagraph"/>
              <w:spacing w:line="206" w:lineRule="exact"/>
              <w:ind w:left="0"/>
              <w:jc w:val="center"/>
              <w:rPr>
                <w:spacing w:val="-10"/>
                <w:sz w:val="18"/>
                <w:szCs w:val="18"/>
                <w:lang w:val="da-DK"/>
              </w:rPr>
            </w:pPr>
            <w:r w:rsidRPr="00397118">
              <w:rPr>
                <w:rFonts w:ascii="Times New Roman" w:hAnsi="Times New Roman" w:cs="Times New Roman"/>
                <w:b/>
                <w:bCs/>
                <w:sz w:val="18"/>
                <w:szCs w:val="18"/>
                <w:lang w:val="da-DK"/>
              </w:rPr>
              <w:t>RECORD</w:t>
            </w:r>
            <w:r w:rsidRPr="00397118">
              <w:rPr>
                <w:rFonts w:ascii="Times New Roman" w:hAnsi="Times New Roman" w:cs="Times New Roman"/>
                <w:b/>
                <w:bCs/>
                <w:spacing w:val="-6"/>
                <w:sz w:val="18"/>
                <w:szCs w:val="18"/>
                <w:lang w:val="da-DK"/>
              </w:rPr>
              <w:t xml:space="preserve"> </w:t>
            </w:r>
            <w:r w:rsidRPr="00397118">
              <w:rPr>
                <w:rFonts w:ascii="Times New Roman" w:hAnsi="Times New Roman" w:cs="Times New Roman"/>
                <w:b/>
                <w:bCs/>
                <w:spacing w:val="-10"/>
                <w:sz w:val="18"/>
                <w:szCs w:val="18"/>
                <w:lang w:val="da-DK"/>
              </w:rPr>
              <w:t>3</w:t>
            </w:r>
          </w:p>
        </w:tc>
      </w:tr>
      <w:tr w:rsidR="00397118" w:rsidRPr="00397118" w14:paraId="5D5A6405" w14:textId="77777777" w:rsidTr="00397118">
        <w:trPr>
          <w:trHeight w:val="20"/>
        </w:trPr>
        <w:tc>
          <w:tcPr>
            <w:tcW w:w="608" w:type="pct"/>
          </w:tcPr>
          <w:p w14:paraId="722D061D" w14:textId="77777777" w:rsidR="00397118" w:rsidRPr="00397118" w:rsidRDefault="00397118" w:rsidP="00B25BD1">
            <w:pPr>
              <w:pStyle w:val="TableParagraph"/>
              <w:ind w:left="0"/>
              <w:rPr>
                <w:spacing w:val="-2"/>
                <w:sz w:val="18"/>
                <w:szCs w:val="18"/>
                <w:lang w:val="da-DK"/>
              </w:rPr>
            </w:pPr>
            <w:r w:rsidRPr="00397118">
              <w:rPr>
                <w:rFonts w:ascii="Times New Roman" w:hAnsi="Times New Roman" w:cs="Times New Roman"/>
                <w:b/>
                <w:bCs/>
                <w:spacing w:val="-2"/>
                <w:sz w:val="18"/>
                <w:szCs w:val="18"/>
                <w:lang w:val="da-DK"/>
              </w:rPr>
              <w:t>Forsøgs- population</w:t>
            </w:r>
          </w:p>
        </w:tc>
        <w:tc>
          <w:tcPr>
            <w:tcW w:w="1287" w:type="pct"/>
            <w:gridSpan w:val="3"/>
          </w:tcPr>
          <w:p w14:paraId="44507488" w14:textId="77777777" w:rsidR="00397118" w:rsidRPr="00397118" w:rsidRDefault="00397118" w:rsidP="00B25BD1">
            <w:pPr>
              <w:pStyle w:val="TableParagraph"/>
              <w:spacing w:line="206" w:lineRule="exact"/>
              <w:ind w:left="0"/>
              <w:rPr>
                <w:spacing w:val="-10"/>
                <w:sz w:val="18"/>
                <w:szCs w:val="18"/>
                <w:lang w:val="da-DK"/>
              </w:rPr>
            </w:pPr>
            <w:r w:rsidRPr="00397118">
              <w:rPr>
                <w:rFonts w:ascii="Times New Roman" w:hAnsi="Times New Roman" w:cs="Times New Roman"/>
                <w:b/>
                <w:bCs/>
                <w:sz w:val="18"/>
                <w:szCs w:val="18"/>
                <w:lang w:val="da-DK"/>
              </w:rPr>
              <w:t>4.541</w:t>
            </w:r>
            <w:r w:rsidRPr="00397118">
              <w:rPr>
                <w:rFonts w:ascii="Times New Roman" w:hAnsi="Times New Roman" w:cs="Times New Roman"/>
                <w:b/>
                <w:bCs/>
                <w:spacing w:val="-11"/>
                <w:sz w:val="18"/>
                <w:szCs w:val="18"/>
                <w:lang w:val="da-DK"/>
              </w:rPr>
              <w:t xml:space="preserve"> </w:t>
            </w:r>
            <w:r w:rsidRPr="00397118">
              <w:rPr>
                <w:rFonts w:ascii="Times New Roman" w:hAnsi="Times New Roman" w:cs="Times New Roman"/>
                <w:b/>
                <w:bCs/>
                <w:sz w:val="18"/>
                <w:szCs w:val="18"/>
                <w:lang w:val="da-DK"/>
              </w:rPr>
              <w:t>patienter,</w:t>
            </w:r>
            <w:r w:rsidRPr="00397118">
              <w:rPr>
                <w:rFonts w:ascii="Times New Roman" w:hAnsi="Times New Roman" w:cs="Times New Roman"/>
                <w:b/>
                <w:bCs/>
                <w:spacing w:val="-11"/>
                <w:sz w:val="18"/>
                <w:szCs w:val="18"/>
                <w:lang w:val="da-DK"/>
              </w:rPr>
              <w:t xml:space="preserve"> </w:t>
            </w:r>
            <w:r w:rsidRPr="00397118">
              <w:rPr>
                <w:rFonts w:ascii="Times New Roman" w:hAnsi="Times New Roman" w:cs="Times New Roman"/>
                <w:b/>
                <w:bCs/>
                <w:sz w:val="18"/>
                <w:szCs w:val="18"/>
                <w:lang w:val="da-DK"/>
              </w:rPr>
              <w:t>der</w:t>
            </w:r>
            <w:r w:rsidRPr="00397118">
              <w:rPr>
                <w:rFonts w:ascii="Times New Roman" w:hAnsi="Times New Roman" w:cs="Times New Roman"/>
                <w:b/>
                <w:bCs/>
                <w:spacing w:val="-10"/>
                <w:sz w:val="18"/>
                <w:szCs w:val="18"/>
                <w:lang w:val="da-DK"/>
              </w:rPr>
              <w:t xml:space="preserve"> </w:t>
            </w:r>
            <w:r w:rsidRPr="00397118">
              <w:rPr>
                <w:rFonts w:ascii="Times New Roman" w:hAnsi="Times New Roman" w:cs="Times New Roman"/>
                <w:b/>
                <w:bCs/>
                <w:sz w:val="18"/>
                <w:szCs w:val="18"/>
                <w:lang w:val="da-DK"/>
              </w:rPr>
              <w:t>fik</w:t>
            </w:r>
            <w:r w:rsidRPr="00397118">
              <w:rPr>
                <w:rFonts w:ascii="Times New Roman" w:hAnsi="Times New Roman" w:cs="Times New Roman"/>
                <w:b/>
                <w:bCs/>
                <w:spacing w:val="-11"/>
                <w:sz w:val="18"/>
                <w:szCs w:val="18"/>
                <w:lang w:val="da-DK"/>
              </w:rPr>
              <w:t xml:space="preserve"> </w:t>
            </w:r>
            <w:r w:rsidRPr="00397118">
              <w:rPr>
                <w:rFonts w:ascii="Times New Roman" w:hAnsi="Times New Roman" w:cs="Times New Roman"/>
                <w:b/>
                <w:bCs/>
                <w:sz w:val="18"/>
                <w:szCs w:val="18"/>
                <w:lang w:val="da-DK"/>
              </w:rPr>
              <w:t xml:space="preserve">foretaget </w:t>
            </w:r>
            <w:r w:rsidRPr="00397118">
              <w:rPr>
                <w:rFonts w:ascii="Times New Roman" w:hAnsi="Times New Roman" w:cs="Times New Roman"/>
                <w:b/>
                <w:bCs/>
                <w:spacing w:val="-2"/>
                <w:sz w:val="18"/>
                <w:szCs w:val="18"/>
                <w:lang w:val="da-DK"/>
              </w:rPr>
              <w:t>hofteledsalloplastik</w:t>
            </w:r>
          </w:p>
        </w:tc>
        <w:tc>
          <w:tcPr>
            <w:tcW w:w="1485" w:type="pct"/>
            <w:gridSpan w:val="3"/>
          </w:tcPr>
          <w:p w14:paraId="5D9351C2" w14:textId="77777777" w:rsidR="00397118" w:rsidRPr="00397118" w:rsidRDefault="00397118" w:rsidP="00B25BD1">
            <w:pPr>
              <w:pStyle w:val="TableParagraph"/>
              <w:spacing w:line="206" w:lineRule="exact"/>
              <w:ind w:left="0"/>
              <w:rPr>
                <w:spacing w:val="-10"/>
                <w:sz w:val="18"/>
                <w:szCs w:val="18"/>
                <w:lang w:val="da-DK"/>
              </w:rPr>
            </w:pPr>
            <w:r w:rsidRPr="00397118">
              <w:rPr>
                <w:rFonts w:ascii="Times New Roman" w:hAnsi="Times New Roman" w:cs="Times New Roman"/>
                <w:b/>
                <w:bCs/>
                <w:sz w:val="18"/>
                <w:szCs w:val="18"/>
                <w:lang w:val="da-DK"/>
              </w:rPr>
              <w:t>2.509</w:t>
            </w:r>
            <w:r w:rsidRPr="00397118">
              <w:rPr>
                <w:rFonts w:ascii="Times New Roman" w:hAnsi="Times New Roman" w:cs="Times New Roman"/>
                <w:b/>
                <w:bCs/>
                <w:spacing w:val="-11"/>
                <w:sz w:val="18"/>
                <w:szCs w:val="18"/>
                <w:lang w:val="da-DK"/>
              </w:rPr>
              <w:t xml:space="preserve"> </w:t>
            </w:r>
            <w:r w:rsidRPr="00397118">
              <w:rPr>
                <w:rFonts w:ascii="Times New Roman" w:hAnsi="Times New Roman" w:cs="Times New Roman"/>
                <w:b/>
                <w:bCs/>
                <w:sz w:val="18"/>
                <w:szCs w:val="18"/>
                <w:lang w:val="da-DK"/>
              </w:rPr>
              <w:t>patienter,</w:t>
            </w:r>
            <w:r w:rsidRPr="00397118">
              <w:rPr>
                <w:rFonts w:ascii="Times New Roman" w:hAnsi="Times New Roman" w:cs="Times New Roman"/>
                <w:b/>
                <w:bCs/>
                <w:spacing w:val="-12"/>
                <w:sz w:val="18"/>
                <w:szCs w:val="18"/>
                <w:lang w:val="da-DK"/>
              </w:rPr>
              <w:t xml:space="preserve"> </w:t>
            </w:r>
            <w:r w:rsidRPr="00397118">
              <w:rPr>
                <w:rFonts w:ascii="Times New Roman" w:hAnsi="Times New Roman" w:cs="Times New Roman"/>
                <w:b/>
                <w:bCs/>
                <w:sz w:val="18"/>
                <w:szCs w:val="18"/>
                <w:lang w:val="da-DK"/>
              </w:rPr>
              <w:t>der</w:t>
            </w:r>
            <w:r w:rsidRPr="00397118">
              <w:rPr>
                <w:rFonts w:ascii="Times New Roman" w:hAnsi="Times New Roman" w:cs="Times New Roman"/>
                <w:b/>
                <w:bCs/>
                <w:spacing w:val="-9"/>
                <w:sz w:val="18"/>
                <w:szCs w:val="18"/>
                <w:lang w:val="da-DK"/>
              </w:rPr>
              <w:t xml:space="preserve"> </w:t>
            </w:r>
            <w:r w:rsidRPr="00397118">
              <w:rPr>
                <w:rFonts w:ascii="Times New Roman" w:hAnsi="Times New Roman" w:cs="Times New Roman"/>
                <w:b/>
                <w:bCs/>
                <w:sz w:val="18"/>
                <w:szCs w:val="18"/>
                <w:lang w:val="da-DK"/>
              </w:rPr>
              <w:t>fik</w:t>
            </w:r>
            <w:r w:rsidRPr="00397118">
              <w:rPr>
                <w:rFonts w:ascii="Times New Roman" w:hAnsi="Times New Roman" w:cs="Times New Roman"/>
                <w:b/>
                <w:bCs/>
                <w:spacing w:val="-11"/>
                <w:sz w:val="18"/>
                <w:szCs w:val="18"/>
                <w:lang w:val="da-DK"/>
              </w:rPr>
              <w:t xml:space="preserve"> </w:t>
            </w:r>
            <w:r w:rsidRPr="00397118">
              <w:rPr>
                <w:rFonts w:ascii="Times New Roman" w:hAnsi="Times New Roman" w:cs="Times New Roman"/>
                <w:b/>
                <w:bCs/>
                <w:sz w:val="18"/>
                <w:szCs w:val="18"/>
                <w:lang w:val="da-DK"/>
              </w:rPr>
              <w:t xml:space="preserve">foretaget </w:t>
            </w:r>
            <w:r w:rsidRPr="00397118">
              <w:rPr>
                <w:rFonts w:ascii="Times New Roman" w:hAnsi="Times New Roman" w:cs="Times New Roman"/>
                <w:b/>
                <w:bCs/>
                <w:spacing w:val="-2"/>
                <w:sz w:val="18"/>
                <w:szCs w:val="18"/>
                <w:lang w:val="da-DK"/>
              </w:rPr>
              <w:t>hofteledsalloplastik</w:t>
            </w:r>
          </w:p>
        </w:tc>
        <w:tc>
          <w:tcPr>
            <w:tcW w:w="1620" w:type="pct"/>
            <w:gridSpan w:val="3"/>
          </w:tcPr>
          <w:p w14:paraId="77B45CD6" w14:textId="77777777" w:rsidR="00397118" w:rsidRPr="00397118" w:rsidRDefault="00397118" w:rsidP="00B25BD1">
            <w:pPr>
              <w:pStyle w:val="TableParagraph"/>
              <w:spacing w:line="206" w:lineRule="exact"/>
              <w:ind w:left="0"/>
              <w:rPr>
                <w:spacing w:val="-10"/>
                <w:sz w:val="18"/>
                <w:szCs w:val="18"/>
                <w:lang w:val="da-DK"/>
              </w:rPr>
            </w:pPr>
            <w:r w:rsidRPr="00397118">
              <w:rPr>
                <w:rFonts w:ascii="Times New Roman" w:hAnsi="Times New Roman" w:cs="Times New Roman"/>
                <w:b/>
                <w:bCs/>
                <w:sz w:val="18"/>
                <w:szCs w:val="18"/>
                <w:lang w:val="da-DK"/>
              </w:rPr>
              <w:t>2.531</w:t>
            </w:r>
            <w:r w:rsidRPr="00397118">
              <w:rPr>
                <w:rFonts w:ascii="Times New Roman" w:hAnsi="Times New Roman" w:cs="Times New Roman"/>
                <w:b/>
                <w:bCs/>
                <w:spacing w:val="-11"/>
                <w:sz w:val="18"/>
                <w:szCs w:val="18"/>
                <w:lang w:val="da-DK"/>
              </w:rPr>
              <w:t xml:space="preserve"> </w:t>
            </w:r>
            <w:r w:rsidRPr="00397118">
              <w:rPr>
                <w:rFonts w:ascii="Times New Roman" w:hAnsi="Times New Roman" w:cs="Times New Roman"/>
                <w:b/>
                <w:bCs/>
                <w:sz w:val="18"/>
                <w:szCs w:val="18"/>
                <w:lang w:val="da-DK"/>
              </w:rPr>
              <w:t>patienter,</w:t>
            </w:r>
            <w:r w:rsidRPr="00397118">
              <w:rPr>
                <w:rFonts w:ascii="Times New Roman" w:hAnsi="Times New Roman" w:cs="Times New Roman"/>
                <w:b/>
                <w:bCs/>
                <w:spacing w:val="-11"/>
                <w:sz w:val="18"/>
                <w:szCs w:val="18"/>
                <w:lang w:val="da-DK"/>
              </w:rPr>
              <w:t xml:space="preserve"> </w:t>
            </w:r>
            <w:r w:rsidRPr="00397118">
              <w:rPr>
                <w:rFonts w:ascii="Times New Roman" w:hAnsi="Times New Roman" w:cs="Times New Roman"/>
                <w:b/>
                <w:bCs/>
                <w:sz w:val="18"/>
                <w:szCs w:val="18"/>
                <w:lang w:val="da-DK"/>
              </w:rPr>
              <w:t>der</w:t>
            </w:r>
            <w:r w:rsidRPr="00397118">
              <w:rPr>
                <w:rFonts w:ascii="Times New Roman" w:hAnsi="Times New Roman" w:cs="Times New Roman"/>
                <w:b/>
                <w:bCs/>
                <w:spacing w:val="-10"/>
                <w:sz w:val="18"/>
                <w:szCs w:val="18"/>
                <w:lang w:val="da-DK"/>
              </w:rPr>
              <w:t xml:space="preserve"> </w:t>
            </w:r>
            <w:r w:rsidRPr="00397118">
              <w:rPr>
                <w:rFonts w:ascii="Times New Roman" w:hAnsi="Times New Roman" w:cs="Times New Roman"/>
                <w:b/>
                <w:bCs/>
                <w:sz w:val="18"/>
                <w:szCs w:val="18"/>
                <w:lang w:val="da-DK"/>
              </w:rPr>
              <w:t>fik</w:t>
            </w:r>
            <w:r w:rsidRPr="00397118">
              <w:rPr>
                <w:rFonts w:ascii="Times New Roman" w:hAnsi="Times New Roman" w:cs="Times New Roman"/>
                <w:b/>
                <w:bCs/>
                <w:spacing w:val="-11"/>
                <w:sz w:val="18"/>
                <w:szCs w:val="18"/>
                <w:lang w:val="da-DK"/>
              </w:rPr>
              <w:t xml:space="preserve"> </w:t>
            </w:r>
            <w:r w:rsidRPr="00397118">
              <w:rPr>
                <w:rFonts w:ascii="Times New Roman" w:hAnsi="Times New Roman" w:cs="Times New Roman"/>
                <w:b/>
                <w:bCs/>
                <w:sz w:val="18"/>
                <w:szCs w:val="18"/>
                <w:lang w:val="da-DK"/>
              </w:rPr>
              <w:t xml:space="preserve">foretaget </w:t>
            </w:r>
            <w:r w:rsidRPr="00397118">
              <w:rPr>
                <w:rFonts w:ascii="Times New Roman" w:hAnsi="Times New Roman" w:cs="Times New Roman"/>
                <w:b/>
                <w:bCs/>
                <w:spacing w:val="-2"/>
                <w:sz w:val="18"/>
                <w:szCs w:val="18"/>
                <w:lang w:val="da-DK"/>
              </w:rPr>
              <w:t>knæledsalloplastik</w:t>
            </w:r>
          </w:p>
        </w:tc>
      </w:tr>
      <w:tr w:rsidR="00397118" w:rsidRPr="00397118" w14:paraId="71B61761" w14:textId="77777777" w:rsidTr="00397118">
        <w:trPr>
          <w:trHeight w:val="20"/>
        </w:trPr>
        <w:tc>
          <w:tcPr>
            <w:tcW w:w="608" w:type="pct"/>
          </w:tcPr>
          <w:p w14:paraId="6FBBEB68" w14:textId="77777777" w:rsidR="00397118" w:rsidRP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pacing w:val="-2"/>
                <w:sz w:val="18"/>
                <w:szCs w:val="18"/>
                <w:lang w:val="da-DK"/>
              </w:rPr>
              <w:t xml:space="preserve">Behandlings- </w:t>
            </w:r>
            <w:r w:rsidRPr="00397118">
              <w:rPr>
                <w:rFonts w:ascii="Times New Roman" w:hAnsi="Times New Roman" w:cs="Times New Roman"/>
                <w:sz w:val="18"/>
                <w:szCs w:val="18"/>
                <w:lang w:val="da-DK"/>
              </w:rPr>
              <w:t>dosis og -</w:t>
            </w:r>
            <w:r w:rsidRPr="00397118">
              <w:rPr>
                <w:rFonts w:ascii="Times New Roman" w:hAnsi="Times New Roman" w:cs="Times New Roman"/>
                <w:spacing w:val="-2"/>
                <w:sz w:val="18"/>
                <w:szCs w:val="18"/>
                <w:lang w:val="da-DK"/>
              </w:rPr>
              <w:t>varighed</w:t>
            </w:r>
            <w:r w:rsidRPr="00397118">
              <w:rPr>
                <w:rFonts w:ascii="Times New Roman" w:hAnsi="Times New Roman" w:cs="Times New Roman"/>
                <w:spacing w:val="40"/>
                <w:sz w:val="18"/>
                <w:szCs w:val="18"/>
                <w:lang w:val="da-DK"/>
              </w:rPr>
              <w:t xml:space="preserve"> </w:t>
            </w:r>
            <w:r w:rsidRPr="00397118">
              <w:rPr>
                <w:rFonts w:ascii="Times New Roman" w:hAnsi="Times New Roman" w:cs="Times New Roman"/>
                <w:spacing w:val="-2"/>
                <w:sz w:val="18"/>
                <w:szCs w:val="18"/>
                <w:lang w:val="da-DK"/>
              </w:rPr>
              <w:t>efter operationen</w:t>
            </w:r>
          </w:p>
        </w:tc>
        <w:tc>
          <w:tcPr>
            <w:tcW w:w="588" w:type="pct"/>
            <w:tcBorders>
              <w:right w:val="nil"/>
            </w:tcBorders>
          </w:tcPr>
          <w:p w14:paraId="1742DB96" w14:textId="77777777" w:rsidR="00397118" w:rsidRPr="00397118" w:rsidRDefault="00397118" w:rsidP="00B25BD1">
            <w:pPr>
              <w:pStyle w:val="TableParagraph"/>
              <w:ind w:left="0"/>
              <w:rPr>
                <w:rFonts w:ascii="Times New Roman" w:hAnsi="Times New Roman" w:cs="Times New Roman"/>
                <w:spacing w:val="-2"/>
                <w:sz w:val="18"/>
                <w:szCs w:val="18"/>
                <w:lang w:val="da-DK"/>
              </w:rPr>
            </w:pPr>
            <w:r w:rsidRPr="00397118">
              <w:rPr>
                <w:rFonts w:ascii="Times New Roman" w:hAnsi="Times New Roman" w:cs="Times New Roman"/>
                <w:sz w:val="18"/>
                <w:szCs w:val="18"/>
                <w:lang w:val="da-DK"/>
              </w:rPr>
              <w:t xml:space="preserve">10 mg </w:t>
            </w:r>
            <w:r w:rsidRPr="00397118">
              <w:rPr>
                <w:rFonts w:ascii="Times New Roman" w:hAnsi="Times New Roman" w:cs="Times New Roman"/>
                <w:spacing w:val="-2"/>
                <w:sz w:val="18"/>
                <w:szCs w:val="18"/>
                <w:lang w:val="da-DK"/>
              </w:rPr>
              <w:t>rivaro</w:t>
            </w:r>
            <w:r w:rsidRPr="00397118">
              <w:rPr>
                <w:rFonts w:ascii="Times New Roman" w:hAnsi="Times New Roman" w:cs="Times New Roman"/>
                <w:sz w:val="18"/>
                <w:szCs w:val="18"/>
                <w:lang w:val="da-DK"/>
              </w:rPr>
              <w:t>xaban</w:t>
            </w:r>
            <w:r w:rsidRPr="00397118">
              <w:rPr>
                <w:rFonts w:ascii="Times New Roman" w:hAnsi="Times New Roman" w:cs="Times New Roman"/>
                <w:spacing w:val="-12"/>
                <w:sz w:val="18"/>
                <w:szCs w:val="18"/>
                <w:lang w:val="da-DK"/>
              </w:rPr>
              <w:t xml:space="preserve"> </w:t>
            </w:r>
            <w:r w:rsidRPr="00397118">
              <w:rPr>
                <w:rFonts w:ascii="Times New Roman" w:hAnsi="Times New Roman" w:cs="Times New Roman"/>
                <w:sz w:val="18"/>
                <w:szCs w:val="18"/>
                <w:lang w:val="da-DK"/>
              </w:rPr>
              <w:t xml:space="preserve">én </w:t>
            </w:r>
            <w:r w:rsidRPr="00397118">
              <w:rPr>
                <w:rFonts w:ascii="Times New Roman" w:hAnsi="Times New Roman" w:cs="Times New Roman"/>
                <w:spacing w:val="-4"/>
                <w:sz w:val="18"/>
                <w:szCs w:val="18"/>
                <w:lang w:val="da-DK"/>
              </w:rPr>
              <w:t xml:space="preserve">gang </w:t>
            </w:r>
            <w:r w:rsidRPr="00397118">
              <w:rPr>
                <w:rFonts w:ascii="Times New Roman" w:hAnsi="Times New Roman" w:cs="Times New Roman"/>
                <w:spacing w:val="-2"/>
                <w:sz w:val="18"/>
                <w:szCs w:val="18"/>
                <w:lang w:val="da-DK"/>
              </w:rPr>
              <w:t xml:space="preserve">dagligt </w:t>
            </w:r>
          </w:p>
          <w:p w14:paraId="7AEEC50F" w14:textId="77777777" w:rsidR="00397118" w:rsidRP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 xml:space="preserve">35 ± 4 </w:t>
            </w:r>
            <w:r w:rsidRPr="00397118">
              <w:rPr>
                <w:rFonts w:ascii="Times New Roman" w:hAnsi="Times New Roman" w:cs="Times New Roman"/>
                <w:spacing w:val="-4"/>
                <w:sz w:val="18"/>
                <w:szCs w:val="18"/>
                <w:lang w:val="da-DK"/>
              </w:rPr>
              <w:t>dage</w:t>
            </w:r>
          </w:p>
        </w:tc>
        <w:tc>
          <w:tcPr>
            <w:tcW w:w="345" w:type="pct"/>
            <w:tcBorders>
              <w:left w:val="nil"/>
              <w:right w:val="nil"/>
            </w:tcBorders>
          </w:tcPr>
          <w:p w14:paraId="1E00E2A5" w14:textId="77777777" w:rsid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40</w:t>
            </w:r>
            <w:r w:rsidRPr="00397118">
              <w:rPr>
                <w:rFonts w:ascii="Times New Roman" w:hAnsi="Times New Roman" w:cs="Times New Roman"/>
                <w:spacing w:val="-12"/>
                <w:sz w:val="18"/>
                <w:szCs w:val="18"/>
                <w:lang w:val="da-DK"/>
              </w:rPr>
              <w:t> mg</w:t>
            </w:r>
            <w:r w:rsidRPr="00397118">
              <w:rPr>
                <w:rFonts w:ascii="Times New Roman" w:hAnsi="Times New Roman" w:cs="Times New Roman"/>
                <w:spacing w:val="-11"/>
                <w:sz w:val="18"/>
                <w:szCs w:val="18"/>
                <w:lang w:val="da-DK"/>
              </w:rPr>
              <w:t xml:space="preserve"> </w:t>
            </w:r>
            <w:r w:rsidRPr="00397118">
              <w:rPr>
                <w:rFonts w:ascii="Times New Roman" w:hAnsi="Times New Roman" w:cs="Times New Roman"/>
                <w:sz w:val="18"/>
                <w:szCs w:val="18"/>
                <w:lang w:val="da-DK"/>
              </w:rPr>
              <w:t>enoxaparin én gang</w:t>
            </w:r>
            <w:r w:rsidRPr="00397118">
              <w:rPr>
                <w:rFonts w:ascii="Times New Roman" w:hAnsi="Times New Roman" w:cs="Times New Roman"/>
                <w:spacing w:val="-12"/>
                <w:sz w:val="18"/>
                <w:szCs w:val="18"/>
                <w:lang w:val="da-DK"/>
              </w:rPr>
              <w:t xml:space="preserve"> </w:t>
            </w:r>
            <w:r w:rsidRPr="00397118">
              <w:rPr>
                <w:rFonts w:ascii="Times New Roman" w:hAnsi="Times New Roman" w:cs="Times New Roman"/>
                <w:sz w:val="18"/>
                <w:szCs w:val="18"/>
                <w:lang w:val="da-DK"/>
              </w:rPr>
              <w:t xml:space="preserve">dagligt </w:t>
            </w:r>
          </w:p>
          <w:p w14:paraId="350AB9CD" w14:textId="2564904F" w:rsidR="00397118" w:rsidRP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35 ± 4</w:t>
            </w:r>
          </w:p>
          <w:p w14:paraId="7786AFEE" w14:textId="77777777" w:rsidR="00397118" w:rsidRP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pacing w:val="-4"/>
                <w:sz w:val="18"/>
                <w:szCs w:val="18"/>
                <w:lang w:val="da-DK"/>
              </w:rPr>
              <w:t>dage</w:t>
            </w:r>
          </w:p>
        </w:tc>
        <w:tc>
          <w:tcPr>
            <w:tcW w:w="354" w:type="pct"/>
            <w:tcBorders>
              <w:left w:val="nil"/>
            </w:tcBorders>
          </w:tcPr>
          <w:p w14:paraId="05184217" w14:textId="77777777" w:rsidR="00397118" w:rsidRPr="00397118" w:rsidRDefault="00397118" w:rsidP="00B25BD1">
            <w:pPr>
              <w:pStyle w:val="TableParagraph"/>
              <w:spacing w:line="206" w:lineRule="exact"/>
              <w:ind w:left="0"/>
              <w:jc w:val="center"/>
              <w:rPr>
                <w:rFonts w:ascii="Times New Roman" w:hAnsi="Times New Roman" w:cs="Times New Roman"/>
                <w:sz w:val="18"/>
                <w:szCs w:val="18"/>
                <w:lang w:val="da-DK"/>
              </w:rPr>
            </w:pPr>
            <w:r w:rsidRPr="00397118">
              <w:rPr>
                <w:rFonts w:ascii="Times New Roman" w:hAnsi="Times New Roman" w:cs="Times New Roman"/>
                <w:spacing w:val="-10"/>
                <w:sz w:val="18"/>
                <w:szCs w:val="18"/>
                <w:lang w:val="da-DK"/>
              </w:rPr>
              <w:t>p</w:t>
            </w:r>
          </w:p>
        </w:tc>
        <w:tc>
          <w:tcPr>
            <w:tcW w:w="639" w:type="pct"/>
            <w:tcBorders>
              <w:right w:val="nil"/>
            </w:tcBorders>
          </w:tcPr>
          <w:p w14:paraId="0EAC0CF4" w14:textId="77777777" w:rsidR="00397118" w:rsidRP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 xml:space="preserve">10 mg </w:t>
            </w:r>
            <w:r w:rsidRPr="00397118">
              <w:rPr>
                <w:rFonts w:ascii="Times New Roman" w:hAnsi="Times New Roman" w:cs="Times New Roman"/>
                <w:spacing w:val="-2"/>
                <w:sz w:val="18"/>
                <w:szCs w:val="18"/>
                <w:lang w:val="da-DK"/>
              </w:rPr>
              <w:t xml:space="preserve">rivaro- </w:t>
            </w:r>
            <w:r w:rsidRPr="00397118">
              <w:rPr>
                <w:rFonts w:ascii="Times New Roman" w:hAnsi="Times New Roman" w:cs="Times New Roman"/>
                <w:sz w:val="18"/>
                <w:szCs w:val="18"/>
                <w:lang w:val="da-DK"/>
              </w:rPr>
              <w:t>xaban</w:t>
            </w:r>
            <w:r w:rsidRPr="00397118">
              <w:rPr>
                <w:rFonts w:ascii="Times New Roman" w:hAnsi="Times New Roman" w:cs="Times New Roman"/>
                <w:spacing w:val="-12"/>
                <w:sz w:val="18"/>
                <w:szCs w:val="18"/>
                <w:lang w:val="da-DK"/>
              </w:rPr>
              <w:t xml:space="preserve"> </w:t>
            </w:r>
            <w:r w:rsidRPr="00397118">
              <w:rPr>
                <w:rFonts w:ascii="Times New Roman" w:hAnsi="Times New Roman" w:cs="Times New Roman"/>
                <w:sz w:val="18"/>
                <w:szCs w:val="18"/>
                <w:lang w:val="da-DK"/>
              </w:rPr>
              <w:t xml:space="preserve">én </w:t>
            </w:r>
            <w:r w:rsidRPr="00397118">
              <w:rPr>
                <w:rFonts w:ascii="Times New Roman" w:hAnsi="Times New Roman" w:cs="Times New Roman"/>
                <w:spacing w:val="-4"/>
                <w:sz w:val="18"/>
                <w:szCs w:val="18"/>
                <w:lang w:val="da-DK"/>
              </w:rPr>
              <w:t xml:space="preserve">gang </w:t>
            </w:r>
            <w:r w:rsidRPr="00397118">
              <w:rPr>
                <w:rFonts w:ascii="Times New Roman" w:hAnsi="Times New Roman" w:cs="Times New Roman"/>
                <w:spacing w:val="-2"/>
                <w:sz w:val="18"/>
                <w:szCs w:val="18"/>
                <w:lang w:val="da-DK"/>
              </w:rPr>
              <w:t xml:space="preserve">dagligt </w:t>
            </w:r>
            <w:r w:rsidRPr="00397118">
              <w:rPr>
                <w:rFonts w:ascii="Times New Roman" w:hAnsi="Times New Roman" w:cs="Times New Roman"/>
                <w:sz w:val="18"/>
                <w:szCs w:val="18"/>
                <w:lang w:val="da-DK"/>
              </w:rPr>
              <w:t>35 ± 4</w:t>
            </w:r>
          </w:p>
          <w:p w14:paraId="7979A0A3" w14:textId="77777777" w:rsidR="00397118" w:rsidRPr="00397118" w:rsidRDefault="00397118" w:rsidP="00B25BD1">
            <w:pPr>
              <w:pStyle w:val="TableParagraph"/>
              <w:spacing w:line="188" w:lineRule="exact"/>
              <w:ind w:left="0"/>
              <w:rPr>
                <w:rFonts w:ascii="Times New Roman" w:hAnsi="Times New Roman" w:cs="Times New Roman"/>
                <w:sz w:val="18"/>
                <w:szCs w:val="18"/>
                <w:lang w:val="da-DK"/>
              </w:rPr>
            </w:pPr>
            <w:r w:rsidRPr="00397118">
              <w:rPr>
                <w:rFonts w:ascii="Times New Roman" w:hAnsi="Times New Roman" w:cs="Times New Roman"/>
                <w:spacing w:val="-4"/>
                <w:sz w:val="18"/>
                <w:szCs w:val="18"/>
                <w:lang w:val="da-DK"/>
              </w:rPr>
              <w:t>dage</w:t>
            </w:r>
          </w:p>
        </w:tc>
        <w:tc>
          <w:tcPr>
            <w:tcW w:w="493" w:type="pct"/>
            <w:tcBorders>
              <w:left w:val="nil"/>
              <w:right w:val="nil"/>
            </w:tcBorders>
          </w:tcPr>
          <w:p w14:paraId="4A148FAA" w14:textId="77777777" w:rsidR="00397118" w:rsidRP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 xml:space="preserve">40 mg </w:t>
            </w:r>
            <w:r w:rsidRPr="00397118">
              <w:rPr>
                <w:rFonts w:ascii="Times New Roman" w:hAnsi="Times New Roman" w:cs="Times New Roman"/>
                <w:spacing w:val="-2"/>
                <w:sz w:val="18"/>
                <w:szCs w:val="18"/>
                <w:lang w:val="da-DK"/>
              </w:rPr>
              <w:t xml:space="preserve">enoxa-parin </w:t>
            </w:r>
            <w:r w:rsidRPr="00397118">
              <w:rPr>
                <w:rFonts w:ascii="Times New Roman" w:hAnsi="Times New Roman" w:cs="Times New Roman"/>
                <w:sz w:val="18"/>
                <w:szCs w:val="18"/>
                <w:lang w:val="da-DK"/>
              </w:rPr>
              <w:t xml:space="preserve">én gang </w:t>
            </w:r>
            <w:r w:rsidRPr="00397118">
              <w:rPr>
                <w:rFonts w:ascii="Times New Roman" w:hAnsi="Times New Roman" w:cs="Times New Roman"/>
                <w:spacing w:val="-2"/>
                <w:sz w:val="18"/>
                <w:szCs w:val="18"/>
                <w:lang w:val="da-DK"/>
              </w:rPr>
              <w:t>dagligt</w:t>
            </w:r>
          </w:p>
          <w:p w14:paraId="11D84FBE" w14:textId="77777777" w:rsidR="00397118" w:rsidRPr="00397118" w:rsidRDefault="00397118" w:rsidP="00B25BD1">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12</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w:t>
            </w:r>
            <w:r w:rsidRPr="00397118">
              <w:rPr>
                <w:rFonts w:ascii="Times New Roman" w:hAnsi="Times New Roman" w:cs="Times New Roman"/>
                <w:spacing w:val="-2"/>
                <w:sz w:val="18"/>
                <w:szCs w:val="18"/>
                <w:lang w:val="da-DK"/>
              </w:rPr>
              <w:t xml:space="preserve"> </w:t>
            </w:r>
            <w:r w:rsidRPr="00397118">
              <w:rPr>
                <w:rFonts w:ascii="Times New Roman" w:hAnsi="Times New Roman" w:cs="Times New Roman"/>
                <w:spacing w:val="-10"/>
                <w:sz w:val="18"/>
                <w:szCs w:val="18"/>
                <w:lang w:val="da-DK"/>
              </w:rPr>
              <w:t>2</w:t>
            </w:r>
          </w:p>
          <w:p w14:paraId="3277DD7A" w14:textId="77777777" w:rsidR="00397118" w:rsidRPr="00397118" w:rsidRDefault="00397118" w:rsidP="00B25BD1">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pacing w:val="-4"/>
                <w:sz w:val="18"/>
                <w:szCs w:val="18"/>
                <w:lang w:val="da-DK"/>
              </w:rPr>
              <w:t>dage</w:t>
            </w:r>
          </w:p>
        </w:tc>
        <w:tc>
          <w:tcPr>
            <w:tcW w:w="353" w:type="pct"/>
            <w:tcBorders>
              <w:left w:val="nil"/>
            </w:tcBorders>
          </w:tcPr>
          <w:p w14:paraId="3B7866AA" w14:textId="77777777" w:rsidR="00397118" w:rsidRPr="00397118" w:rsidRDefault="00397118" w:rsidP="00B25BD1">
            <w:pPr>
              <w:pStyle w:val="TableParagraph"/>
              <w:spacing w:line="206" w:lineRule="exact"/>
              <w:ind w:left="0"/>
              <w:jc w:val="center"/>
              <w:rPr>
                <w:rFonts w:ascii="Times New Roman" w:hAnsi="Times New Roman" w:cs="Times New Roman"/>
                <w:sz w:val="18"/>
                <w:szCs w:val="18"/>
                <w:lang w:val="da-DK"/>
              </w:rPr>
            </w:pPr>
            <w:r w:rsidRPr="00397118">
              <w:rPr>
                <w:rFonts w:ascii="Times New Roman" w:hAnsi="Times New Roman" w:cs="Times New Roman"/>
                <w:spacing w:val="-10"/>
                <w:sz w:val="18"/>
                <w:szCs w:val="18"/>
                <w:lang w:val="da-DK"/>
              </w:rPr>
              <w:t>p</w:t>
            </w:r>
          </w:p>
        </w:tc>
        <w:tc>
          <w:tcPr>
            <w:tcW w:w="693" w:type="pct"/>
            <w:tcBorders>
              <w:right w:val="nil"/>
            </w:tcBorders>
          </w:tcPr>
          <w:p w14:paraId="15075D54" w14:textId="77777777" w:rsidR="00397118" w:rsidRP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 xml:space="preserve">10 mg </w:t>
            </w:r>
            <w:r w:rsidRPr="00397118">
              <w:rPr>
                <w:rFonts w:ascii="Times New Roman" w:hAnsi="Times New Roman" w:cs="Times New Roman"/>
                <w:spacing w:val="-2"/>
                <w:sz w:val="18"/>
                <w:szCs w:val="18"/>
                <w:lang w:val="da-DK"/>
              </w:rPr>
              <w:t xml:space="preserve">rivaro- </w:t>
            </w:r>
            <w:r w:rsidRPr="00397118">
              <w:rPr>
                <w:rFonts w:ascii="Times New Roman" w:hAnsi="Times New Roman" w:cs="Times New Roman"/>
                <w:sz w:val="18"/>
                <w:szCs w:val="18"/>
                <w:lang w:val="da-DK"/>
              </w:rPr>
              <w:t>xaban</w:t>
            </w:r>
            <w:r w:rsidRPr="00397118">
              <w:rPr>
                <w:rFonts w:ascii="Times New Roman" w:hAnsi="Times New Roman" w:cs="Times New Roman"/>
                <w:spacing w:val="-12"/>
                <w:sz w:val="18"/>
                <w:szCs w:val="18"/>
                <w:lang w:val="da-DK"/>
              </w:rPr>
              <w:t xml:space="preserve"> </w:t>
            </w:r>
            <w:r w:rsidRPr="00397118">
              <w:rPr>
                <w:rFonts w:ascii="Times New Roman" w:hAnsi="Times New Roman" w:cs="Times New Roman"/>
                <w:sz w:val="18"/>
                <w:szCs w:val="18"/>
                <w:lang w:val="da-DK"/>
              </w:rPr>
              <w:t xml:space="preserve">én </w:t>
            </w:r>
            <w:r w:rsidRPr="00397118">
              <w:rPr>
                <w:rFonts w:ascii="Times New Roman" w:hAnsi="Times New Roman" w:cs="Times New Roman"/>
                <w:spacing w:val="-4"/>
                <w:sz w:val="18"/>
                <w:szCs w:val="18"/>
                <w:lang w:val="da-DK"/>
              </w:rPr>
              <w:t xml:space="preserve">gang </w:t>
            </w:r>
            <w:r w:rsidRPr="00397118">
              <w:rPr>
                <w:rFonts w:ascii="Times New Roman" w:hAnsi="Times New Roman" w:cs="Times New Roman"/>
                <w:spacing w:val="-2"/>
                <w:sz w:val="18"/>
                <w:szCs w:val="18"/>
                <w:lang w:val="da-DK"/>
              </w:rPr>
              <w:t xml:space="preserve">dagligt </w:t>
            </w:r>
            <w:r w:rsidRPr="00397118">
              <w:rPr>
                <w:rFonts w:ascii="Times New Roman" w:hAnsi="Times New Roman" w:cs="Times New Roman"/>
                <w:sz w:val="18"/>
                <w:szCs w:val="18"/>
                <w:lang w:val="da-DK"/>
              </w:rPr>
              <w:t>12 ± 2</w:t>
            </w:r>
          </w:p>
          <w:p w14:paraId="569423A0" w14:textId="77777777" w:rsidR="00397118" w:rsidRPr="00397118" w:rsidRDefault="00397118" w:rsidP="00B25BD1">
            <w:pPr>
              <w:pStyle w:val="TableParagraph"/>
              <w:spacing w:line="188" w:lineRule="exact"/>
              <w:ind w:left="0"/>
              <w:rPr>
                <w:rFonts w:ascii="Times New Roman" w:hAnsi="Times New Roman" w:cs="Times New Roman"/>
                <w:sz w:val="18"/>
                <w:szCs w:val="18"/>
                <w:lang w:val="da-DK"/>
              </w:rPr>
            </w:pPr>
            <w:r w:rsidRPr="00397118">
              <w:rPr>
                <w:rFonts w:ascii="Times New Roman" w:hAnsi="Times New Roman" w:cs="Times New Roman"/>
                <w:spacing w:val="-4"/>
                <w:sz w:val="18"/>
                <w:szCs w:val="18"/>
                <w:lang w:val="da-DK"/>
              </w:rPr>
              <w:t>dage</w:t>
            </w:r>
          </w:p>
        </w:tc>
        <w:tc>
          <w:tcPr>
            <w:tcW w:w="496" w:type="pct"/>
            <w:tcBorders>
              <w:left w:val="nil"/>
              <w:right w:val="nil"/>
            </w:tcBorders>
          </w:tcPr>
          <w:p w14:paraId="0C278F3D" w14:textId="77777777" w:rsidR="00397118" w:rsidRPr="00397118" w:rsidRDefault="00397118" w:rsidP="00B25BD1">
            <w:pPr>
              <w:pStyle w:val="TableParagraph"/>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40</w:t>
            </w:r>
            <w:r w:rsidRPr="00397118">
              <w:rPr>
                <w:rFonts w:ascii="Times New Roman" w:hAnsi="Times New Roman" w:cs="Times New Roman"/>
                <w:spacing w:val="-12"/>
                <w:sz w:val="18"/>
                <w:szCs w:val="18"/>
                <w:lang w:val="da-DK"/>
              </w:rPr>
              <w:t> mg</w:t>
            </w:r>
            <w:r w:rsidRPr="00397118">
              <w:rPr>
                <w:rFonts w:ascii="Times New Roman" w:hAnsi="Times New Roman" w:cs="Times New Roman"/>
                <w:spacing w:val="-11"/>
                <w:sz w:val="18"/>
                <w:szCs w:val="18"/>
                <w:lang w:val="da-DK"/>
              </w:rPr>
              <w:t xml:space="preserve"> </w:t>
            </w:r>
            <w:r w:rsidRPr="00397118">
              <w:rPr>
                <w:rFonts w:ascii="Times New Roman" w:hAnsi="Times New Roman" w:cs="Times New Roman"/>
                <w:sz w:val="18"/>
                <w:szCs w:val="18"/>
                <w:lang w:val="da-DK"/>
              </w:rPr>
              <w:t>enoxa parin</w:t>
            </w:r>
            <w:r w:rsidRPr="00397118">
              <w:rPr>
                <w:rFonts w:ascii="Times New Roman" w:hAnsi="Times New Roman" w:cs="Times New Roman"/>
                <w:spacing w:val="-12"/>
                <w:sz w:val="18"/>
                <w:szCs w:val="18"/>
                <w:lang w:val="da-DK"/>
              </w:rPr>
              <w:t xml:space="preserve"> </w:t>
            </w:r>
            <w:r w:rsidRPr="00397118">
              <w:rPr>
                <w:rFonts w:ascii="Times New Roman" w:hAnsi="Times New Roman" w:cs="Times New Roman"/>
                <w:sz w:val="18"/>
                <w:szCs w:val="18"/>
                <w:lang w:val="da-DK"/>
              </w:rPr>
              <w:t>én</w:t>
            </w:r>
            <w:r w:rsidRPr="00397118">
              <w:rPr>
                <w:rFonts w:ascii="Times New Roman" w:hAnsi="Times New Roman" w:cs="Times New Roman"/>
                <w:spacing w:val="-11"/>
                <w:sz w:val="18"/>
                <w:szCs w:val="18"/>
                <w:lang w:val="da-DK"/>
              </w:rPr>
              <w:t xml:space="preserve"> </w:t>
            </w:r>
            <w:r w:rsidRPr="00397118">
              <w:rPr>
                <w:rFonts w:ascii="Times New Roman" w:hAnsi="Times New Roman" w:cs="Times New Roman"/>
                <w:sz w:val="18"/>
                <w:szCs w:val="18"/>
                <w:lang w:val="da-DK"/>
              </w:rPr>
              <w:t xml:space="preserve">gang </w:t>
            </w:r>
            <w:r w:rsidRPr="00397118">
              <w:rPr>
                <w:rFonts w:ascii="Times New Roman" w:hAnsi="Times New Roman" w:cs="Times New Roman"/>
                <w:spacing w:val="-2"/>
                <w:sz w:val="18"/>
                <w:szCs w:val="18"/>
                <w:lang w:val="da-DK"/>
              </w:rPr>
              <w:t>dagligt</w:t>
            </w:r>
          </w:p>
          <w:p w14:paraId="64AED007" w14:textId="77777777" w:rsidR="00397118" w:rsidRPr="00397118" w:rsidRDefault="00397118" w:rsidP="00B25BD1">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12</w:t>
            </w:r>
            <w:r w:rsidRPr="00397118">
              <w:rPr>
                <w:rFonts w:ascii="Times New Roman" w:hAnsi="Times New Roman" w:cs="Times New Roman"/>
                <w:spacing w:val="2"/>
                <w:sz w:val="18"/>
                <w:szCs w:val="18"/>
                <w:lang w:val="da-DK"/>
              </w:rPr>
              <w:t xml:space="preserve"> </w:t>
            </w:r>
            <w:r w:rsidRPr="00397118">
              <w:rPr>
                <w:rFonts w:ascii="Times New Roman" w:hAnsi="Times New Roman" w:cs="Times New Roman"/>
                <w:sz w:val="18"/>
                <w:szCs w:val="18"/>
                <w:lang w:val="da-DK"/>
              </w:rPr>
              <w:t>±</w:t>
            </w:r>
            <w:r w:rsidRPr="00397118">
              <w:rPr>
                <w:rFonts w:ascii="Times New Roman" w:hAnsi="Times New Roman" w:cs="Times New Roman"/>
                <w:spacing w:val="-2"/>
                <w:sz w:val="18"/>
                <w:szCs w:val="18"/>
                <w:lang w:val="da-DK"/>
              </w:rPr>
              <w:t xml:space="preserve"> </w:t>
            </w:r>
            <w:r w:rsidRPr="00397118">
              <w:rPr>
                <w:rFonts w:ascii="Times New Roman" w:hAnsi="Times New Roman" w:cs="Times New Roman"/>
                <w:spacing w:val="-10"/>
                <w:sz w:val="18"/>
                <w:szCs w:val="18"/>
                <w:lang w:val="da-DK"/>
              </w:rPr>
              <w:t>2</w:t>
            </w:r>
          </w:p>
          <w:p w14:paraId="216F9794" w14:textId="77777777" w:rsidR="00397118" w:rsidRPr="00397118" w:rsidRDefault="00397118" w:rsidP="00B25BD1">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pacing w:val="-4"/>
                <w:sz w:val="18"/>
                <w:szCs w:val="18"/>
                <w:lang w:val="da-DK"/>
              </w:rPr>
              <w:t>dage</w:t>
            </w:r>
          </w:p>
        </w:tc>
        <w:tc>
          <w:tcPr>
            <w:tcW w:w="431" w:type="pct"/>
            <w:tcBorders>
              <w:left w:val="nil"/>
            </w:tcBorders>
          </w:tcPr>
          <w:p w14:paraId="5116C5FB" w14:textId="77777777" w:rsidR="00397118" w:rsidRPr="00397118" w:rsidRDefault="00397118" w:rsidP="00B25BD1">
            <w:pPr>
              <w:pStyle w:val="TableParagraph"/>
              <w:spacing w:line="206" w:lineRule="exact"/>
              <w:ind w:left="0"/>
              <w:jc w:val="center"/>
              <w:rPr>
                <w:rFonts w:ascii="Times New Roman" w:hAnsi="Times New Roman" w:cs="Times New Roman"/>
                <w:sz w:val="18"/>
                <w:szCs w:val="18"/>
                <w:lang w:val="da-DK"/>
              </w:rPr>
            </w:pPr>
            <w:r w:rsidRPr="00397118">
              <w:rPr>
                <w:rFonts w:ascii="Times New Roman" w:hAnsi="Times New Roman" w:cs="Times New Roman"/>
                <w:spacing w:val="-10"/>
                <w:sz w:val="18"/>
                <w:szCs w:val="18"/>
                <w:lang w:val="da-DK"/>
              </w:rPr>
              <w:t>p</w:t>
            </w:r>
          </w:p>
        </w:tc>
      </w:tr>
      <w:tr w:rsidR="00397118" w:rsidRPr="00397118" w14:paraId="004B61C3" w14:textId="77777777" w:rsidTr="00397118">
        <w:trPr>
          <w:trHeight w:val="20"/>
        </w:trPr>
        <w:tc>
          <w:tcPr>
            <w:tcW w:w="608" w:type="pct"/>
          </w:tcPr>
          <w:p w14:paraId="71ABE556" w14:textId="77777777" w:rsidR="00397118" w:rsidRPr="00397118" w:rsidRDefault="00397118" w:rsidP="00B25BD1">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Samlet</w:t>
            </w:r>
            <w:r w:rsidRPr="00397118">
              <w:rPr>
                <w:rFonts w:ascii="Times New Roman" w:hAnsi="Times New Roman" w:cs="Times New Roman"/>
                <w:spacing w:val="-12"/>
                <w:sz w:val="18"/>
                <w:szCs w:val="18"/>
                <w:lang w:val="da-DK"/>
              </w:rPr>
              <w:t xml:space="preserve"> </w:t>
            </w:r>
            <w:r w:rsidRPr="00397118">
              <w:rPr>
                <w:rFonts w:ascii="Times New Roman" w:hAnsi="Times New Roman" w:cs="Times New Roman"/>
                <w:sz w:val="18"/>
                <w:szCs w:val="18"/>
                <w:lang w:val="da-DK"/>
              </w:rPr>
              <w:t xml:space="preserve">antal </w:t>
            </w:r>
            <w:r w:rsidRPr="00397118">
              <w:rPr>
                <w:rFonts w:ascii="Times New Roman" w:hAnsi="Times New Roman" w:cs="Times New Roman"/>
                <w:spacing w:val="-2"/>
                <w:sz w:val="18"/>
                <w:szCs w:val="18"/>
                <w:lang w:val="da-DK"/>
              </w:rPr>
              <w:t>VTE’er</w:t>
            </w:r>
          </w:p>
        </w:tc>
        <w:tc>
          <w:tcPr>
            <w:tcW w:w="588" w:type="pct"/>
            <w:tcBorders>
              <w:right w:val="nil"/>
            </w:tcBorders>
          </w:tcPr>
          <w:p w14:paraId="6A8A133E"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18</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(1,1</w:t>
            </w:r>
            <w:r w:rsidRPr="00397118">
              <w:rPr>
                <w:rFonts w:ascii="Times New Roman" w:hAnsi="Times New Roman" w:cs="Times New Roman"/>
                <w:spacing w:val="1"/>
                <w:sz w:val="18"/>
                <w:szCs w:val="18"/>
                <w:lang w:val="da-DK"/>
              </w:rPr>
              <w:t> %</w:t>
            </w:r>
            <w:r w:rsidRPr="00397118">
              <w:rPr>
                <w:rFonts w:ascii="Times New Roman" w:hAnsi="Times New Roman" w:cs="Times New Roman"/>
                <w:spacing w:val="-5"/>
                <w:sz w:val="18"/>
                <w:szCs w:val="18"/>
                <w:lang w:val="da-DK"/>
              </w:rPr>
              <w:t>)</w:t>
            </w:r>
          </w:p>
        </w:tc>
        <w:tc>
          <w:tcPr>
            <w:tcW w:w="345" w:type="pct"/>
            <w:tcBorders>
              <w:left w:val="nil"/>
              <w:right w:val="nil"/>
            </w:tcBorders>
          </w:tcPr>
          <w:p w14:paraId="4E112D3B"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58</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(3,7</w:t>
            </w:r>
            <w:r w:rsidRPr="00397118">
              <w:rPr>
                <w:rFonts w:ascii="Times New Roman" w:hAnsi="Times New Roman" w:cs="Times New Roman"/>
                <w:spacing w:val="2"/>
                <w:sz w:val="18"/>
                <w:szCs w:val="18"/>
                <w:lang w:val="da-DK"/>
              </w:rPr>
              <w:t> %</w:t>
            </w:r>
            <w:r w:rsidRPr="00397118">
              <w:rPr>
                <w:rFonts w:ascii="Times New Roman" w:hAnsi="Times New Roman" w:cs="Times New Roman"/>
                <w:spacing w:val="-5"/>
                <w:sz w:val="18"/>
                <w:szCs w:val="18"/>
                <w:lang w:val="da-DK"/>
              </w:rPr>
              <w:t>)</w:t>
            </w:r>
          </w:p>
        </w:tc>
        <w:tc>
          <w:tcPr>
            <w:tcW w:w="354" w:type="pct"/>
            <w:tcBorders>
              <w:left w:val="nil"/>
            </w:tcBorders>
          </w:tcPr>
          <w:p w14:paraId="04010601"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&lt; </w:t>
            </w:r>
            <w:r w:rsidRPr="00397118">
              <w:rPr>
                <w:rFonts w:ascii="Times New Roman" w:hAnsi="Times New Roman" w:cs="Times New Roman"/>
                <w:spacing w:val="-2"/>
                <w:sz w:val="18"/>
                <w:szCs w:val="18"/>
                <w:lang w:val="da-DK"/>
              </w:rPr>
              <w:t>0,001</w:t>
            </w:r>
          </w:p>
        </w:tc>
        <w:tc>
          <w:tcPr>
            <w:tcW w:w="639" w:type="pct"/>
            <w:tcBorders>
              <w:right w:val="nil"/>
            </w:tcBorders>
          </w:tcPr>
          <w:p w14:paraId="36501879"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17</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(2,0</w:t>
            </w:r>
            <w:r w:rsidRPr="00397118">
              <w:rPr>
                <w:rFonts w:ascii="Times New Roman" w:hAnsi="Times New Roman" w:cs="Times New Roman"/>
                <w:spacing w:val="1"/>
                <w:sz w:val="18"/>
                <w:szCs w:val="18"/>
                <w:lang w:val="da-DK"/>
              </w:rPr>
              <w:t> %</w:t>
            </w:r>
            <w:r w:rsidRPr="00397118">
              <w:rPr>
                <w:rFonts w:ascii="Times New Roman" w:hAnsi="Times New Roman" w:cs="Times New Roman"/>
                <w:spacing w:val="-5"/>
                <w:sz w:val="18"/>
                <w:szCs w:val="18"/>
                <w:lang w:val="da-DK"/>
              </w:rPr>
              <w:t>)</w:t>
            </w:r>
          </w:p>
        </w:tc>
        <w:tc>
          <w:tcPr>
            <w:tcW w:w="493" w:type="pct"/>
            <w:tcBorders>
              <w:left w:val="nil"/>
              <w:right w:val="nil"/>
            </w:tcBorders>
          </w:tcPr>
          <w:p w14:paraId="39C7B811"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81</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(9,3</w:t>
            </w:r>
            <w:r w:rsidRPr="00397118">
              <w:rPr>
                <w:rFonts w:ascii="Times New Roman" w:hAnsi="Times New Roman" w:cs="Times New Roman"/>
                <w:spacing w:val="1"/>
                <w:sz w:val="18"/>
                <w:szCs w:val="18"/>
                <w:lang w:val="da-DK"/>
              </w:rPr>
              <w:t> %</w:t>
            </w:r>
            <w:r w:rsidRPr="00397118">
              <w:rPr>
                <w:rFonts w:ascii="Times New Roman" w:hAnsi="Times New Roman" w:cs="Times New Roman"/>
                <w:spacing w:val="-5"/>
                <w:sz w:val="18"/>
                <w:szCs w:val="18"/>
                <w:lang w:val="da-DK"/>
              </w:rPr>
              <w:t>)</w:t>
            </w:r>
          </w:p>
        </w:tc>
        <w:tc>
          <w:tcPr>
            <w:tcW w:w="353" w:type="pct"/>
            <w:tcBorders>
              <w:left w:val="nil"/>
            </w:tcBorders>
          </w:tcPr>
          <w:p w14:paraId="3DED4369"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&lt; </w:t>
            </w:r>
            <w:r w:rsidRPr="00397118">
              <w:rPr>
                <w:rFonts w:ascii="Times New Roman" w:hAnsi="Times New Roman" w:cs="Times New Roman"/>
                <w:spacing w:val="-2"/>
                <w:sz w:val="18"/>
                <w:szCs w:val="18"/>
                <w:lang w:val="da-DK"/>
              </w:rPr>
              <w:t>0,001</w:t>
            </w:r>
          </w:p>
        </w:tc>
        <w:tc>
          <w:tcPr>
            <w:tcW w:w="693" w:type="pct"/>
            <w:tcBorders>
              <w:right w:val="nil"/>
            </w:tcBorders>
          </w:tcPr>
          <w:p w14:paraId="523FE7D0" w14:textId="77777777" w:rsidR="00397118" w:rsidRPr="00397118" w:rsidRDefault="00397118" w:rsidP="00397118">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pacing w:val="-5"/>
                <w:sz w:val="18"/>
                <w:szCs w:val="18"/>
                <w:lang w:val="da-DK"/>
              </w:rPr>
              <w:t>79</w:t>
            </w:r>
          </w:p>
          <w:p w14:paraId="78ACFA24" w14:textId="77777777" w:rsidR="00397118" w:rsidRPr="00397118" w:rsidRDefault="00397118" w:rsidP="00397118">
            <w:pPr>
              <w:pStyle w:val="TableParagraph"/>
              <w:spacing w:line="18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(9,6 %</w:t>
            </w:r>
            <w:r w:rsidRPr="00397118">
              <w:rPr>
                <w:rFonts w:ascii="Times New Roman" w:hAnsi="Times New Roman" w:cs="Times New Roman"/>
                <w:spacing w:val="-5"/>
                <w:sz w:val="18"/>
                <w:szCs w:val="18"/>
                <w:lang w:val="da-DK"/>
              </w:rPr>
              <w:t>)</w:t>
            </w:r>
          </w:p>
        </w:tc>
        <w:tc>
          <w:tcPr>
            <w:tcW w:w="496" w:type="pct"/>
            <w:tcBorders>
              <w:left w:val="nil"/>
              <w:right w:val="nil"/>
            </w:tcBorders>
          </w:tcPr>
          <w:p w14:paraId="1F052048"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166</w:t>
            </w:r>
            <w:r w:rsidRPr="00397118">
              <w:rPr>
                <w:rFonts w:ascii="Times New Roman" w:hAnsi="Times New Roman" w:cs="Times New Roman"/>
                <w:spacing w:val="-2"/>
                <w:sz w:val="18"/>
                <w:szCs w:val="18"/>
                <w:lang w:val="da-DK"/>
              </w:rPr>
              <w:t xml:space="preserve"> </w:t>
            </w:r>
            <w:r w:rsidRPr="00397118">
              <w:rPr>
                <w:rFonts w:ascii="Times New Roman" w:hAnsi="Times New Roman" w:cs="Times New Roman"/>
                <w:sz w:val="18"/>
                <w:szCs w:val="18"/>
                <w:lang w:val="da-DK"/>
              </w:rPr>
              <w:t>(18,9</w:t>
            </w:r>
            <w:r w:rsidRPr="00397118">
              <w:rPr>
                <w:rFonts w:ascii="Times New Roman" w:hAnsi="Times New Roman" w:cs="Times New Roman"/>
                <w:spacing w:val="2"/>
                <w:sz w:val="18"/>
                <w:szCs w:val="18"/>
                <w:lang w:val="da-DK"/>
              </w:rPr>
              <w:t> %</w:t>
            </w:r>
            <w:r w:rsidRPr="00397118">
              <w:rPr>
                <w:rFonts w:ascii="Times New Roman" w:hAnsi="Times New Roman" w:cs="Times New Roman"/>
                <w:spacing w:val="-5"/>
                <w:sz w:val="18"/>
                <w:szCs w:val="18"/>
                <w:lang w:val="da-DK"/>
              </w:rPr>
              <w:t>)</w:t>
            </w:r>
          </w:p>
        </w:tc>
        <w:tc>
          <w:tcPr>
            <w:tcW w:w="431" w:type="pct"/>
            <w:tcBorders>
              <w:left w:val="nil"/>
            </w:tcBorders>
          </w:tcPr>
          <w:p w14:paraId="73041FF8" w14:textId="23039368" w:rsidR="00397118" w:rsidRPr="00397118" w:rsidRDefault="00397118" w:rsidP="00397118">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&lt; </w:t>
            </w:r>
            <w:r w:rsidRPr="00397118">
              <w:rPr>
                <w:rFonts w:ascii="Times New Roman" w:hAnsi="Times New Roman" w:cs="Times New Roman"/>
                <w:spacing w:val="-4"/>
                <w:sz w:val="18"/>
                <w:szCs w:val="18"/>
                <w:lang w:val="da-DK"/>
              </w:rPr>
              <w:t>0,00</w:t>
            </w:r>
            <w:r w:rsidRPr="00397118">
              <w:rPr>
                <w:rFonts w:ascii="Times New Roman" w:hAnsi="Times New Roman" w:cs="Times New Roman"/>
                <w:spacing w:val="-10"/>
                <w:sz w:val="18"/>
                <w:szCs w:val="18"/>
                <w:lang w:val="da-DK"/>
              </w:rPr>
              <w:t>1</w:t>
            </w:r>
          </w:p>
        </w:tc>
      </w:tr>
      <w:tr w:rsidR="00397118" w:rsidRPr="00397118" w14:paraId="77B07817" w14:textId="77777777" w:rsidTr="00397118">
        <w:trPr>
          <w:trHeight w:val="20"/>
        </w:trPr>
        <w:tc>
          <w:tcPr>
            <w:tcW w:w="608" w:type="pct"/>
          </w:tcPr>
          <w:p w14:paraId="66F22245" w14:textId="77777777" w:rsidR="00397118" w:rsidRPr="00397118" w:rsidRDefault="00397118" w:rsidP="00B25BD1">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pacing w:val="-2"/>
                <w:sz w:val="18"/>
                <w:szCs w:val="18"/>
                <w:lang w:val="da-DK"/>
              </w:rPr>
              <w:t>Alvorlige VTE’er</w:t>
            </w:r>
          </w:p>
        </w:tc>
        <w:tc>
          <w:tcPr>
            <w:tcW w:w="588" w:type="pct"/>
            <w:tcBorders>
              <w:right w:val="nil"/>
            </w:tcBorders>
          </w:tcPr>
          <w:p w14:paraId="7219A641" w14:textId="77777777" w:rsidR="00397118" w:rsidRPr="00397118" w:rsidRDefault="00397118" w:rsidP="00397118">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4 (0,2</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345" w:type="pct"/>
            <w:tcBorders>
              <w:left w:val="nil"/>
              <w:right w:val="nil"/>
            </w:tcBorders>
          </w:tcPr>
          <w:p w14:paraId="5D0BF722" w14:textId="77777777" w:rsidR="00397118" w:rsidRPr="00397118" w:rsidRDefault="00397118" w:rsidP="00397118">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33</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(2,0</w:t>
            </w:r>
            <w:r w:rsidRPr="00397118">
              <w:rPr>
                <w:rFonts w:ascii="Times New Roman" w:hAnsi="Times New Roman" w:cs="Times New Roman"/>
                <w:spacing w:val="2"/>
                <w:sz w:val="18"/>
                <w:szCs w:val="18"/>
                <w:lang w:val="da-DK"/>
              </w:rPr>
              <w:t> %</w:t>
            </w:r>
            <w:r w:rsidRPr="00397118">
              <w:rPr>
                <w:rFonts w:ascii="Times New Roman" w:hAnsi="Times New Roman" w:cs="Times New Roman"/>
                <w:spacing w:val="-5"/>
                <w:sz w:val="18"/>
                <w:szCs w:val="18"/>
                <w:lang w:val="da-DK"/>
              </w:rPr>
              <w:t>)</w:t>
            </w:r>
          </w:p>
        </w:tc>
        <w:tc>
          <w:tcPr>
            <w:tcW w:w="354" w:type="pct"/>
            <w:tcBorders>
              <w:left w:val="nil"/>
            </w:tcBorders>
          </w:tcPr>
          <w:p w14:paraId="2F14C65E" w14:textId="77777777" w:rsidR="00397118" w:rsidRPr="00397118" w:rsidRDefault="00397118" w:rsidP="00397118">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&lt; </w:t>
            </w:r>
            <w:r w:rsidRPr="00397118">
              <w:rPr>
                <w:rFonts w:ascii="Times New Roman" w:hAnsi="Times New Roman" w:cs="Times New Roman"/>
                <w:spacing w:val="-2"/>
                <w:sz w:val="18"/>
                <w:szCs w:val="18"/>
                <w:lang w:val="da-DK"/>
              </w:rPr>
              <w:t>0,001</w:t>
            </w:r>
          </w:p>
        </w:tc>
        <w:tc>
          <w:tcPr>
            <w:tcW w:w="639" w:type="pct"/>
            <w:tcBorders>
              <w:right w:val="nil"/>
            </w:tcBorders>
          </w:tcPr>
          <w:p w14:paraId="79E7B09B" w14:textId="7A6B0D63" w:rsidR="00397118" w:rsidRPr="00397118" w:rsidRDefault="00397118" w:rsidP="00397118">
            <w:pPr>
              <w:pStyle w:val="TableParagraph"/>
              <w:spacing w:before="2" w:line="207" w:lineRule="exact"/>
              <w:ind w:left="0"/>
              <w:rPr>
                <w:rFonts w:ascii="Times New Roman" w:hAnsi="Times New Roman" w:cs="Times New Roman"/>
                <w:sz w:val="18"/>
                <w:szCs w:val="18"/>
                <w:lang w:val="da-DK"/>
              </w:rPr>
            </w:pPr>
            <w:r w:rsidRPr="00397118">
              <w:rPr>
                <w:rFonts w:ascii="Times New Roman" w:hAnsi="Times New Roman" w:cs="Times New Roman"/>
                <w:spacing w:val="-10"/>
                <w:sz w:val="18"/>
                <w:szCs w:val="18"/>
                <w:lang w:val="da-DK"/>
              </w:rPr>
              <w:t>6</w:t>
            </w:r>
            <w:r>
              <w:rPr>
                <w:rFonts w:ascii="Times New Roman" w:hAnsi="Times New Roman" w:cs="Times New Roman"/>
                <w:spacing w:val="-10"/>
                <w:sz w:val="18"/>
                <w:szCs w:val="18"/>
                <w:lang w:val="da-DK"/>
              </w:rPr>
              <w:t xml:space="preserve"> </w:t>
            </w:r>
            <w:r w:rsidRPr="00397118">
              <w:rPr>
                <w:rFonts w:ascii="Times New Roman" w:hAnsi="Times New Roman" w:cs="Times New Roman"/>
                <w:sz w:val="18"/>
                <w:szCs w:val="18"/>
                <w:lang w:val="da-DK"/>
              </w:rPr>
              <w:t>(0,6</w:t>
            </w:r>
            <w:r w:rsidRPr="00397118">
              <w:rPr>
                <w:rFonts w:ascii="Times New Roman" w:hAnsi="Times New Roman" w:cs="Times New Roman"/>
                <w:spacing w:val="1"/>
                <w:sz w:val="18"/>
                <w:szCs w:val="18"/>
                <w:lang w:val="da-DK"/>
              </w:rPr>
              <w:t> %</w:t>
            </w:r>
            <w:r w:rsidRPr="00397118">
              <w:rPr>
                <w:rFonts w:ascii="Times New Roman" w:hAnsi="Times New Roman" w:cs="Times New Roman"/>
                <w:spacing w:val="-5"/>
                <w:sz w:val="18"/>
                <w:szCs w:val="18"/>
                <w:lang w:val="da-DK"/>
              </w:rPr>
              <w:t>)</w:t>
            </w:r>
          </w:p>
        </w:tc>
        <w:tc>
          <w:tcPr>
            <w:tcW w:w="493" w:type="pct"/>
            <w:tcBorders>
              <w:left w:val="nil"/>
              <w:right w:val="nil"/>
            </w:tcBorders>
          </w:tcPr>
          <w:p w14:paraId="486F29B0" w14:textId="77777777" w:rsidR="00397118" w:rsidRPr="00397118" w:rsidRDefault="00397118" w:rsidP="00397118">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49</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(5,1</w:t>
            </w:r>
            <w:r w:rsidRPr="00397118">
              <w:rPr>
                <w:rFonts w:ascii="Times New Roman" w:hAnsi="Times New Roman" w:cs="Times New Roman"/>
                <w:spacing w:val="1"/>
                <w:sz w:val="18"/>
                <w:szCs w:val="18"/>
                <w:lang w:val="da-DK"/>
              </w:rPr>
              <w:t> %</w:t>
            </w:r>
            <w:r w:rsidRPr="00397118">
              <w:rPr>
                <w:rFonts w:ascii="Times New Roman" w:hAnsi="Times New Roman" w:cs="Times New Roman"/>
                <w:spacing w:val="-5"/>
                <w:sz w:val="18"/>
                <w:szCs w:val="18"/>
                <w:lang w:val="da-DK"/>
              </w:rPr>
              <w:t>)</w:t>
            </w:r>
          </w:p>
        </w:tc>
        <w:tc>
          <w:tcPr>
            <w:tcW w:w="353" w:type="pct"/>
            <w:tcBorders>
              <w:left w:val="nil"/>
            </w:tcBorders>
          </w:tcPr>
          <w:p w14:paraId="6B9F16AF" w14:textId="77777777" w:rsidR="00397118" w:rsidRPr="00397118" w:rsidRDefault="00397118" w:rsidP="00397118">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&lt; </w:t>
            </w:r>
            <w:r w:rsidRPr="00397118">
              <w:rPr>
                <w:rFonts w:ascii="Times New Roman" w:hAnsi="Times New Roman" w:cs="Times New Roman"/>
                <w:spacing w:val="-2"/>
                <w:sz w:val="18"/>
                <w:szCs w:val="18"/>
                <w:lang w:val="da-DK"/>
              </w:rPr>
              <w:t>0,001</w:t>
            </w:r>
          </w:p>
        </w:tc>
        <w:tc>
          <w:tcPr>
            <w:tcW w:w="693" w:type="pct"/>
            <w:tcBorders>
              <w:right w:val="nil"/>
            </w:tcBorders>
          </w:tcPr>
          <w:p w14:paraId="513617EE" w14:textId="77777777" w:rsidR="00397118" w:rsidRPr="00397118" w:rsidRDefault="00397118" w:rsidP="00397118">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9 (1,0</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496" w:type="pct"/>
            <w:tcBorders>
              <w:left w:val="nil"/>
              <w:right w:val="nil"/>
            </w:tcBorders>
          </w:tcPr>
          <w:p w14:paraId="2340F615" w14:textId="77777777" w:rsidR="00397118" w:rsidRPr="00397118" w:rsidRDefault="00397118" w:rsidP="00397118">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24</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(2,6</w:t>
            </w:r>
            <w:r w:rsidRPr="00397118">
              <w:rPr>
                <w:rFonts w:ascii="Times New Roman" w:hAnsi="Times New Roman" w:cs="Times New Roman"/>
                <w:spacing w:val="1"/>
                <w:sz w:val="18"/>
                <w:szCs w:val="18"/>
                <w:lang w:val="da-DK"/>
              </w:rPr>
              <w:t> %</w:t>
            </w:r>
            <w:r w:rsidRPr="00397118">
              <w:rPr>
                <w:rFonts w:ascii="Times New Roman" w:hAnsi="Times New Roman" w:cs="Times New Roman"/>
                <w:spacing w:val="-5"/>
                <w:sz w:val="18"/>
                <w:szCs w:val="18"/>
                <w:lang w:val="da-DK"/>
              </w:rPr>
              <w:t>)</w:t>
            </w:r>
          </w:p>
        </w:tc>
        <w:tc>
          <w:tcPr>
            <w:tcW w:w="431" w:type="pct"/>
            <w:tcBorders>
              <w:left w:val="nil"/>
            </w:tcBorders>
          </w:tcPr>
          <w:p w14:paraId="0E2D3755" w14:textId="77777777" w:rsidR="00397118" w:rsidRPr="00397118" w:rsidRDefault="00397118" w:rsidP="00397118">
            <w:pPr>
              <w:pStyle w:val="TableParagraph"/>
              <w:spacing w:before="2"/>
              <w:ind w:left="0"/>
              <w:rPr>
                <w:rFonts w:ascii="Times New Roman" w:hAnsi="Times New Roman" w:cs="Times New Roman"/>
                <w:sz w:val="18"/>
                <w:szCs w:val="18"/>
                <w:lang w:val="da-DK"/>
              </w:rPr>
            </w:pPr>
            <w:r w:rsidRPr="00397118">
              <w:rPr>
                <w:rFonts w:ascii="Times New Roman" w:hAnsi="Times New Roman" w:cs="Times New Roman"/>
                <w:spacing w:val="-4"/>
                <w:sz w:val="18"/>
                <w:szCs w:val="18"/>
                <w:lang w:val="da-DK"/>
              </w:rPr>
              <w:t>0,01</w:t>
            </w:r>
          </w:p>
        </w:tc>
      </w:tr>
      <w:tr w:rsidR="00397118" w:rsidRPr="00397118" w14:paraId="6AB9A897" w14:textId="77777777" w:rsidTr="00397118">
        <w:trPr>
          <w:trHeight w:val="20"/>
        </w:trPr>
        <w:tc>
          <w:tcPr>
            <w:tcW w:w="608" w:type="pct"/>
          </w:tcPr>
          <w:p w14:paraId="47FBFDBF" w14:textId="0ED94E57" w:rsidR="00397118" w:rsidRPr="00397118" w:rsidRDefault="00397118" w:rsidP="00B25BD1">
            <w:pPr>
              <w:pStyle w:val="TableParagraph"/>
              <w:spacing w:line="208" w:lineRule="exact"/>
              <w:ind w:left="0"/>
              <w:rPr>
                <w:rFonts w:ascii="Times New Roman" w:hAnsi="Times New Roman" w:cs="Times New Roman"/>
                <w:sz w:val="18"/>
                <w:szCs w:val="18"/>
                <w:lang w:val="da-DK"/>
              </w:rPr>
            </w:pPr>
            <w:r w:rsidRPr="00397118">
              <w:rPr>
                <w:rFonts w:ascii="Times New Roman" w:hAnsi="Times New Roman" w:cs="Times New Roman"/>
                <w:spacing w:val="-2"/>
                <w:sz w:val="18"/>
                <w:szCs w:val="18"/>
                <w:lang w:val="da-DK"/>
              </w:rPr>
              <w:t>Symptoma</w:t>
            </w:r>
            <w:r w:rsidRPr="00397118">
              <w:rPr>
                <w:rFonts w:ascii="Times New Roman" w:hAnsi="Times New Roman" w:cs="Times New Roman"/>
                <w:sz w:val="18"/>
                <w:szCs w:val="18"/>
                <w:lang w:val="da-DK"/>
              </w:rPr>
              <w:t>tiske</w:t>
            </w:r>
            <w:r w:rsidRPr="00397118">
              <w:rPr>
                <w:rFonts w:ascii="Times New Roman" w:hAnsi="Times New Roman" w:cs="Times New Roman"/>
                <w:spacing w:val="-12"/>
                <w:sz w:val="18"/>
                <w:szCs w:val="18"/>
                <w:lang w:val="da-DK"/>
              </w:rPr>
              <w:t xml:space="preserve"> </w:t>
            </w:r>
            <w:r w:rsidRPr="00397118">
              <w:rPr>
                <w:rFonts w:ascii="Times New Roman" w:hAnsi="Times New Roman" w:cs="Times New Roman"/>
                <w:sz w:val="18"/>
                <w:szCs w:val="18"/>
                <w:lang w:val="da-DK"/>
              </w:rPr>
              <w:t>VTE’er</w:t>
            </w:r>
          </w:p>
        </w:tc>
        <w:tc>
          <w:tcPr>
            <w:tcW w:w="588" w:type="pct"/>
            <w:tcBorders>
              <w:right w:val="nil"/>
            </w:tcBorders>
          </w:tcPr>
          <w:p w14:paraId="294257BD"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6 (0,4</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345" w:type="pct"/>
            <w:tcBorders>
              <w:left w:val="nil"/>
              <w:right w:val="nil"/>
            </w:tcBorders>
          </w:tcPr>
          <w:p w14:paraId="712CAED8"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11</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(0,7</w:t>
            </w:r>
            <w:r w:rsidRPr="00397118">
              <w:rPr>
                <w:rFonts w:ascii="Times New Roman" w:hAnsi="Times New Roman" w:cs="Times New Roman"/>
                <w:spacing w:val="2"/>
                <w:sz w:val="18"/>
                <w:szCs w:val="18"/>
                <w:lang w:val="da-DK"/>
              </w:rPr>
              <w:t> %</w:t>
            </w:r>
            <w:r w:rsidRPr="00397118">
              <w:rPr>
                <w:rFonts w:ascii="Times New Roman" w:hAnsi="Times New Roman" w:cs="Times New Roman"/>
                <w:spacing w:val="-5"/>
                <w:sz w:val="18"/>
                <w:szCs w:val="18"/>
                <w:lang w:val="da-DK"/>
              </w:rPr>
              <w:t>)</w:t>
            </w:r>
          </w:p>
        </w:tc>
        <w:tc>
          <w:tcPr>
            <w:tcW w:w="354" w:type="pct"/>
            <w:tcBorders>
              <w:left w:val="nil"/>
            </w:tcBorders>
          </w:tcPr>
          <w:p w14:paraId="5A3C95B8" w14:textId="77777777" w:rsidR="00397118" w:rsidRPr="00397118" w:rsidRDefault="00397118" w:rsidP="00397118">
            <w:pPr>
              <w:pStyle w:val="TableParagraph"/>
              <w:ind w:left="0"/>
              <w:rPr>
                <w:rFonts w:ascii="Times New Roman" w:hAnsi="Times New Roman" w:cs="Times New Roman"/>
                <w:sz w:val="18"/>
                <w:szCs w:val="18"/>
                <w:lang w:val="da-DK"/>
              </w:rPr>
            </w:pPr>
          </w:p>
        </w:tc>
        <w:tc>
          <w:tcPr>
            <w:tcW w:w="639" w:type="pct"/>
            <w:tcBorders>
              <w:right w:val="nil"/>
            </w:tcBorders>
          </w:tcPr>
          <w:p w14:paraId="61489A6B"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3 (0,4</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493" w:type="pct"/>
            <w:tcBorders>
              <w:left w:val="nil"/>
              <w:right w:val="nil"/>
            </w:tcBorders>
          </w:tcPr>
          <w:p w14:paraId="3958EE43"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15</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(1,7</w:t>
            </w:r>
            <w:r w:rsidRPr="00397118">
              <w:rPr>
                <w:rFonts w:ascii="Times New Roman" w:hAnsi="Times New Roman" w:cs="Times New Roman"/>
                <w:spacing w:val="1"/>
                <w:sz w:val="18"/>
                <w:szCs w:val="18"/>
                <w:lang w:val="da-DK"/>
              </w:rPr>
              <w:t> %</w:t>
            </w:r>
            <w:r w:rsidRPr="00397118">
              <w:rPr>
                <w:rFonts w:ascii="Times New Roman" w:hAnsi="Times New Roman" w:cs="Times New Roman"/>
                <w:spacing w:val="-5"/>
                <w:sz w:val="18"/>
                <w:szCs w:val="18"/>
                <w:lang w:val="da-DK"/>
              </w:rPr>
              <w:t>)</w:t>
            </w:r>
          </w:p>
        </w:tc>
        <w:tc>
          <w:tcPr>
            <w:tcW w:w="353" w:type="pct"/>
            <w:tcBorders>
              <w:left w:val="nil"/>
            </w:tcBorders>
          </w:tcPr>
          <w:p w14:paraId="23B94FB1" w14:textId="77777777" w:rsidR="00397118" w:rsidRPr="00397118" w:rsidRDefault="00397118" w:rsidP="00397118">
            <w:pPr>
              <w:pStyle w:val="TableParagraph"/>
              <w:ind w:left="0"/>
              <w:rPr>
                <w:rFonts w:ascii="Times New Roman" w:hAnsi="Times New Roman" w:cs="Times New Roman"/>
                <w:sz w:val="18"/>
                <w:szCs w:val="18"/>
                <w:lang w:val="da-DK"/>
              </w:rPr>
            </w:pPr>
          </w:p>
        </w:tc>
        <w:tc>
          <w:tcPr>
            <w:tcW w:w="693" w:type="pct"/>
            <w:tcBorders>
              <w:right w:val="nil"/>
            </w:tcBorders>
          </w:tcPr>
          <w:p w14:paraId="1732FA7E"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8 (1,0</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496" w:type="pct"/>
            <w:tcBorders>
              <w:left w:val="nil"/>
              <w:right w:val="nil"/>
            </w:tcBorders>
          </w:tcPr>
          <w:p w14:paraId="19C0684D" w14:textId="77777777" w:rsidR="00397118" w:rsidRPr="00397118" w:rsidRDefault="00397118" w:rsidP="00397118">
            <w:pPr>
              <w:pStyle w:val="TableParagraph"/>
              <w:spacing w:line="207"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24</w:t>
            </w:r>
            <w:r w:rsidRPr="00397118">
              <w:rPr>
                <w:rFonts w:ascii="Times New Roman" w:hAnsi="Times New Roman" w:cs="Times New Roman"/>
                <w:spacing w:val="-1"/>
                <w:sz w:val="18"/>
                <w:szCs w:val="18"/>
                <w:lang w:val="da-DK"/>
              </w:rPr>
              <w:t xml:space="preserve"> </w:t>
            </w:r>
            <w:r w:rsidRPr="00397118">
              <w:rPr>
                <w:rFonts w:ascii="Times New Roman" w:hAnsi="Times New Roman" w:cs="Times New Roman"/>
                <w:sz w:val="18"/>
                <w:szCs w:val="18"/>
                <w:lang w:val="da-DK"/>
              </w:rPr>
              <w:t>(2,7</w:t>
            </w:r>
            <w:r w:rsidRPr="00397118">
              <w:rPr>
                <w:rFonts w:ascii="Times New Roman" w:hAnsi="Times New Roman" w:cs="Times New Roman"/>
                <w:spacing w:val="1"/>
                <w:sz w:val="18"/>
                <w:szCs w:val="18"/>
                <w:lang w:val="da-DK"/>
              </w:rPr>
              <w:t> %</w:t>
            </w:r>
            <w:r w:rsidRPr="00397118">
              <w:rPr>
                <w:rFonts w:ascii="Times New Roman" w:hAnsi="Times New Roman" w:cs="Times New Roman"/>
                <w:spacing w:val="-5"/>
                <w:sz w:val="18"/>
                <w:szCs w:val="18"/>
                <w:lang w:val="da-DK"/>
              </w:rPr>
              <w:t>)</w:t>
            </w:r>
          </w:p>
        </w:tc>
        <w:tc>
          <w:tcPr>
            <w:tcW w:w="431" w:type="pct"/>
            <w:tcBorders>
              <w:left w:val="nil"/>
            </w:tcBorders>
          </w:tcPr>
          <w:p w14:paraId="056E121D" w14:textId="77777777" w:rsidR="00397118" w:rsidRPr="00397118" w:rsidRDefault="00397118" w:rsidP="00397118">
            <w:pPr>
              <w:pStyle w:val="TableParagraph"/>
              <w:ind w:left="0"/>
              <w:rPr>
                <w:rFonts w:ascii="Times New Roman" w:hAnsi="Times New Roman" w:cs="Times New Roman"/>
                <w:sz w:val="18"/>
                <w:szCs w:val="18"/>
                <w:lang w:val="da-DK"/>
              </w:rPr>
            </w:pPr>
          </w:p>
        </w:tc>
      </w:tr>
      <w:tr w:rsidR="00397118" w:rsidRPr="00397118" w14:paraId="7336E42F" w14:textId="77777777" w:rsidTr="00397118">
        <w:trPr>
          <w:trHeight w:val="20"/>
        </w:trPr>
        <w:tc>
          <w:tcPr>
            <w:tcW w:w="608" w:type="pct"/>
          </w:tcPr>
          <w:p w14:paraId="6F85A2B0" w14:textId="77777777" w:rsidR="00397118" w:rsidRPr="00397118" w:rsidRDefault="00397118" w:rsidP="00B25BD1">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pacing w:val="-2"/>
                <w:sz w:val="18"/>
                <w:szCs w:val="18"/>
                <w:lang w:val="da-DK"/>
              </w:rPr>
              <w:t>Større blødninger</w:t>
            </w:r>
          </w:p>
        </w:tc>
        <w:tc>
          <w:tcPr>
            <w:tcW w:w="588" w:type="pct"/>
            <w:tcBorders>
              <w:right w:val="nil"/>
            </w:tcBorders>
          </w:tcPr>
          <w:p w14:paraId="74BF211C" w14:textId="77777777" w:rsidR="00397118" w:rsidRPr="00397118" w:rsidRDefault="00397118" w:rsidP="00397118">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6 (0,3</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345" w:type="pct"/>
            <w:tcBorders>
              <w:left w:val="nil"/>
              <w:right w:val="nil"/>
            </w:tcBorders>
          </w:tcPr>
          <w:p w14:paraId="63663405" w14:textId="77777777" w:rsidR="00397118" w:rsidRPr="00397118" w:rsidRDefault="00397118" w:rsidP="00397118">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2 (0,1</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354" w:type="pct"/>
            <w:tcBorders>
              <w:left w:val="nil"/>
            </w:tcBorders>
          </w:tcPr>
          <w:p w14:paraId="62E67F9A" w14:textId="77777777" w:rsidR="00397118" w:rsidRPr="00397118" w:rsidRDefault="00397118" w:rsidP="00397118">
            <w:pPr>
              <w:pStyle w:val="TableParagraph"/>
              <w:ind w:left="0"/>
              <w:rPr>
                <w:rFonts w:ascii="Times New Roman" w:hAnsi="Times New Roman" w:cs="Times New Roman"/>
                <w:sz w:val="18"/>
                <w:szCs w:val="18"/>
                <w:lang w:val="da-DK"/>
              </w:rPr>
            </w:pPr>
          </w:p>
        </w:tc>
        <w:tc>
          <w:tcPr>
            <w:tcW w:w="639" w:type="pct"/>
            <w:tcBorders>
              <w:right w:val="nil"/>
            </w:tcBorders>
          </w:tcPr>
          <w:p w14:paraId="3FBA2457" w14:textId="77777777" w:rsidR="00397118" w:rsidRPr="00397118" w:rsidRDefault="00397118" w:rsidP="00397118">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 (0,1</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493" w:type="pct"/>
            <w:tcBorders>
              <w:left w:val="nil"/>
              <w:right w:val="nil"/>
            </w:tcBorders>
          </w:tcPr>
          <w:p w14:paraId="6310FEEF" w14:textId="77777777" w:rsidR="00397118" w:rsidRPr="00397118" w:rsidRDefault="00397118" w:rsidP="00397118">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1 (0,1</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353" w:type="pct"/>
            <w:tcBorders>
              <w:left w:val="nil"/>
            </w:tcBorders>
          </w:tcPr>
          <w:p w14:paraId="1E111528" w14:textId="77777777" w:rsidR="00397118" w:rsidRPr="00397118" w:rsidRDefault="00397118" w:rsidP="00397118">
            <w:pPr>
              <w:pStyle w:val="TableParagraph"/>
              <w:ind w:left="0"/>
              <w:rPr>
                <w:rFonts w:ascii="Times New Roman" w:hAnsi="Times New Roman" w:cs="Times New Roman"/>
                <w:sz w:val="18"/>
                <w:szCs w:val="18"/>
                <w:lang w:val="da-DK"/>
              </w:rPr>
            </w:pPr>
          </w:p>
        </w:tc>
        <w:tc>
          <w:tcPr>
            <w:tcW w:w="693" w:type="pct"/>
            <w:tcBorders>
              <w:right w:val="nil"/>
            </w:tcBorders>
          </w:tcPr>
          <w:p w14:paraId="10655C74" w14:textId="77777777" w:rsidR="00397118" w:rsidRPr="00397118" w:rsidRDefault="00397118" w:rsidP="00397118">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7 (0,6</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496" w:type="pct"/>
            <w:tcBorders>
              <w:left w:val="nil"/>
              <w:right w:val="nil"/>
            </w:tcBorders>
          </w:tcPr>
          <w:p w14:paraId="1B98751B" w14:textId="77777777" w:rsidR="00397118" w:rsidRPr="00397118" w:rsidRDefault="00397118" w:rsidP="00397118">
            <w:pPr>
              <w:pStyle w:val="TableParagraph"/>
              <w:spacing w:line="206" w:lineRule="exact"/>
              <w:ind w:left="0"/>
              <w:rPr>
                <w:rFonts w:ascii="Times New Roman" w:hAnsi="Times New Roman" w:cs="Times New Roman"/>
                <w:sz w:val="18"/>
                <w:szCs w:val="18"/>
                <w:lang w:val="da-DK"/>
              </w:rPr>
            </w:pPr>
            <w:r w:rsidRPr="00397118">
              <w:rPr>
                <w:rFonts w:ascii="Times New Roman" w:hAnsi="Times New Roman" w:cs="Times New Roman"/>
                <w:sz w:val="18"/>
                <w:szCs w:val="18"/>
                <w:lang w:val="da-DK"/>
              </w:rPr>
              <w:t>6 (0,5</w:t>
            </w:r>
            <w:r w:rsidRPr="00397118">
              <w:rPr>
                <w:rFonts w:ascii="Times New Roman" w:hAnsi="Times New Roman" w:cs="Times New Roman"/>
                <w:spacing w:val="1"/>
                <w:sz w:val="18"/>
                <w:szCs w:val="18"/>
                <w:lang w:val="da-DK"/>
              </w:rPr>
              <w:t> %</w:t>
            </w:r>
            <w:r w:rsidRPr="00397118">
              <w:rPr>
                <w:rFonts w:ascii="Times New Roman" w:hAnsi="Times New Roman" w:cs="Times New Roman"/>
                <w:spacing w:val="-7"/>
                <w:sz w:val="18"/>
                <w:szCs w:val="18"/>
                <w:lang w:val="da-DK"/>
              </w:rPr>
              <w:t>)</w:t>
            </w:r>
          </w:p>
        </w:tc>
        <w:tc>
          <w:tcPr>
            <w:tcW w:w="431" w:type="pct"/>
            <w:tcBorders>
              <w:left w:val="nil"/>
            </w:tcBorders>
          </w:tcPr>
          <w:p w14:paraId="42D151AB" w14:textId="77777777" w:rsidR="00397118" w:rsidRPr="00397118" w:rsidRDefault="00397118" w:rsidP="00397118">
            <w:pPr>
              <w:pStyle w:val="TableParagraph"/>
              <w:ind w:left="0"/>
              <w:rPr>
                <w:rFonts w:ascii="Times New Roman" w:hAnsi="Times New Roman" w:cs="Times New Roman"/>
                <w:sz w:val="18"/>
                <w:szCs w:val="18"/>
                <w:lang w:val="da-DK"/>
              </w:rPr>
            </w:pPr>
          </w:p>
        </w:tc>
      </w:tr>
    </w:tbl>
    <w:p w14:paraId="1BDCE1D4" w14:textId="77777777" w:rsidR="00397118" w:rsidRPr="00102C2A" w:rsidRDefault="00397118" w:rsidP="00397118">
      <w:pPr>
        <w:ind w:left="851"/>
        <w:rPr>
          <w:sz w:val="24"/>
          <w:szCs w:val="24"/>
        </w:rPr>
      </w:pPr>
    </w:p>
    <w:p w14:paraId="0FC61F69" w14:textId="77777777" w:rsidR="00C7249D" w:rsidRPr="008E19A3" w:rsidRDefault="00C7249D" w:rsidP="00C7249D">
      <w:pPr>
        <w:pStyle w:val="Brdtekst"/>
        <w:ind w:left="851" w:right="-1"/>
        <w:rPr>
          <w:sz w:val="24"/>
          <w:szCs w:val="24"/>
          <w:lang w:val="da-DK"/>
        </w:rPr>
      </w:pPr>
      <w:r w:rsidRPr="008E19A3">
        <w:rPr>
          <w:sz w:val="24"/>
          <w:szCs w:val="24"/>
          <w:lang w:val="da-DK"/>
        </w:rPr>
        <w:t>Analysen af de samlede resultater fra fase III-studierne understøttede de data, der blev indsamlet i de enkelte studier vedrørende en reduktion i det samlede antal VTE’er, alvorlige VTE’er og symptomatiske VTE’er med 10 mg rivaroxaban en gang daglig sammenlignet med 40 mg enoxaparin en gang daglig.</w:t>
      </w:r>
    </w:p>
    <w:p w14:paraId="3EAFB6E4" w14:textId="77777777" w:rsidR="00C7249D" w:rsidRPr="008E19A3" w:rsidRDefault="00C7249D" w:rsidP="00C7249D">
      <w:pPr>
        <w:pStyle w:val="Brdtekst"/>
        <w:spacing w:before="6"/>
        <w:ind w:left="851" w:right="-1"/>
        <w:rPr>
          <w:sz w:val="24"/>
          <w:szCs w:val="24"/>
          <w:lang w:val="da-DK"/>
        </w:rPr>
      </w:pPr>
    </w:p>
    <w:p w14:paraId="7608280F" w14:textId="0099ABA5" w:rsidR="00C7249D" w:rsidRPr="008E19A3" w:rsidRDefault="00C7249D" w:rsidP="00C7249D">
      <w:pPr>
        <w:pStyle w:val="Brdtekst"/>
        <w:ind w:left="851" w:right="-1"/>
        <w:rPr>
          <w:sz w:val="24"/>
          <w:szCs w:val="24"/>
          <w:lang w:val="da-DK"/>
        </w:rPr>
      </w:pPr>
      <w:r w:rsidRPr="008E19A3">
        <w:rPr>
          <w:sz w:val="24"/>
          <w:szCs w:val="24"/>
          <w:lang w:val="da-DK"/>
        </w:rPr>
        <w:t>I tillæg til fase III-programmet RECORD er der efter godkendelsen gennemført et åbent ikke-interventionelt kohortestudie (XAMOS) med 17.413 patienter, der fik foretaget en større ortopædkirurgisk operation af hoften eller knæene, for at sammenligne rivaroxaban med andre farmakologiske tromboprofylakse-behandlinger (standardbehandlinger) i virkelige rammer. Symptomatisk VTE forekom hos 57 patienter (0,6</w:t>
      </w:r>
      <w:r w:rsidR="008E19A3" w:rsidRPr="008E19A3">
        <w:rPr>
          <w:sz w:val="24"/>
          <w:szCs w:val="24"/>
          <w:lang w:val="da-DK"/>
        </w:rPr>
        <w:t xml:space="preserve"> %</w:t>
      </w:r>
      <w:r w:rsidRPr="008E19A3">
        <w:rPr>
          <w:sz w:val="24"/>
          <w:szCs w:val="24"/>
          <w:lang w:val="da-DK"/>
        </w:rPr>
        <w:t>) i rivaroxaban-gruppen (n = 8.778) og hos 88 patienter (1,0</w:t>
      </w:r>
      <w:r w:rsidR="008E19A3" w:rsidRPr="008E19A3">
        <w:rPr>
          <w:sz w:val="24"/>
          <w:szCs w:val="24"/>
          <w:lang w:val="da-DK"/>
        </w:rPr>
        <w:t xml:space="preserve"> %</w:t>
      </w:r>
      <w:r w:rsidRPr="008E19A3">
        <w:rPr>
          <w:sz w:val="24"/>
          <w:szCs w:val="24"/>
          <w:lang w:val="da-DK"/>
        </w:rPr>
        <w:t>) i standardbehandlingsgruppen (n = 8.635; HR 0,63; 95</w:t>
      </w:r>
      <w:r w:rsidR="008E19A3" w:rsidRPr="008E19A3">
        <w:rPr>
          <w:sz w:val="24"/>
          <w:szCs w:val="24"/>
          <w:lang w:val="da-DK"/>
        </w:rPr>
        <w:t xml:space="preserve"> %</w:t>
      </w:r>
      <w:r w:rsidRPr="008E19A3">
        <w:rPr>
          <w:sz w:val="24"/>
          <w:szCs w:val="24"/>
          <w:lang w:val="da-DK"/>
        </w:rPr>
        <w:t>-KI: 0,43 - 0,91; sikkerhedspopulation). Større blødning forekom hos 35 (0,4</w:t>
      </w:r>
      <w:r w:rsidR="008E19A3" w:rsidRPr="008E19A3">
        <w:rPr>
          <w:sz w:val="24"/>
          <w:szCs w:val="24"/>
          <w:lang w:val="da-DK"/>
        </w:rPr>
        <w:t xml:space="preserve"> %</w:t>
      </w:r>
      <w:r w:rsidRPr="008E19A3">
        <w:rPr>
          <w:sz w:val="24"/>
          <w:szCs w:val="24"/>
          <w:lang w:val="da-DK"/>
        </w:rPr>
        <w:t>) og 29 (0,3</w:t>
      </w:r>
      <w:r w:rsidR="008E19A3" w:rsidRPr="008E19A3">
        <w:rPr>
          <w:sz w:val="24"/>
          <w:szCs w:val="24"/>
          <w:lang w:val="da-DK"/>
        </w:rPr>
        <w:t xml:space="preserve"> %</w:t>
      </w:r>
      <w:r w:rsidRPr="008E19A3">
        <w:rPr>
          <w:sz w:val="24"/>
          <w:szCs w:val="24"/>
          <w:lang w:val="da-DK"/>
        </w:rPr>
        <w:t>) af patienterne i hhv. rivaroxaban-gruppen og standardbehandlings</w:t>
      </w:r>
      <w:r w:rsidR="00B600C4">
        <w:rPr>
          <w:sz w:val="24"/>
          <w:szCs w:val="24"/>
          <w:lang w:val="da-DK"/>
        </w:rPr>
        <w:softHyphen/>
      </w:r>
      <w:r w:rsidRPr="008E19A3">
        <w:rPr>
          <w:sz w:val="24"/>
          <w:szCs w:val="24"/>
          <w:lang w:val="da-DK"/>
        </w:rPr>
        <w:t>gruppen (HR 1,10; 95</w:t>
      </w:r>
      <w:r w:rsidR="008E19A3" w:rsidRPr="008E19A3">
        <w:rPr>
          <w:sz w:val="24"/>
          <w:szCs w:val="24"/>
          <w:lang w:val="da-DK"/>
        </w:rPr>
        <w:t xml:space="preserve"> %</w:t>
      </w:r>
      <w:r w:rsidRPr="008E19A3">
        <w:rPr>
          <w:sz w:val="24"/>
          <w:szCs w:val="24"/>
          <w:lang w:val="da-DK"/>
        </w:rPr>
        <w:t>-KI: 0,67 - 1,80). Resultaterne var således i overensstemmelse med resultaterne fra de pivotale randomiserede studier.</w:t>
      </w:r>
    </w:p>
    <w:p w14:paraId="31F5C27C" w14:textId="77777777" w:rsidR="00C7249D" w:rsidRPr="008E19A3" w:rsidRDefault="00C7249D" w:rsidP="00C7249D">
      <w:pPr>
        <w:pStyle w:val="Brdtekst"/>
        <w:spacing w:before="7"/>
        <w:ind w:left="851" w:right="-1"/>
        <w:rPr>
          <w:sz w:val="24"/>
          <w:szCs w:val="24"/>
          <w:lang w:val="da-DK"/>
        </w:rPr>
      </w:pPr>
    </w:p>
    <w:p w14:paraId="3C32CC6A" w14:textId="77777777" w:rsidR="00C7249D" w:rsidRPr="008E19A3" w:rsidRDefault="00C7249D" w:rsidP="00C7249D">
      <w:pPr>
        <w:spacing w:before="1"/>
        <w:ind w:left="851" w:right="-1"/>
        <w:rPr>
          <w:i/>
          <w:sz w:val="24"/>
          <w:szCs w:val="24"/>
        </w:rPr>
      </w:pPr>
      <w:r w:rsidRPr="008E19A3">
        <w:rPr>
          <w:i/>
          <w:sz w:val="24"/>
          <w:szCs w:val="24"/>
        </w:rPr>
        <w:t>Behandling af DVT, LE og forebyggelse af recidiverende DVT og LE</w:t>
      </w:r>
    </w:p>
    <w:p w14:paraId="03D8CF49" w14:textId="77777777" w:rsidR="00C7249D" w:rsidRPr="008E19A3" w:rsidRDefault="00C7249D" w:rsidP="00C7249D">
      <w:pPr>
        <w:pStyle w:val="Brdtekst"/>
        <w:ind w:left="851" w:right="-1"/>
        <w:rPr>
          <w:sz w:val="24"/>
          <w:szCs w:val="24"/>
          <w:lang w:val="da-DK"/>
        </w:rPr>
      </w:pPr>
      <w:r w:rsidRPr="008E19A3">
        <w:rPr>
          <w:sz w:val="24"/>
          <w:szCs w:val="24"/>
          <w:lang w:val="da-DK"/>
        </w:rPr>
        <w:t>Det kliniske rivaroxaban-program var udformet med henblik på at påvise effekten af rivaroxaban til indledende og fortsat behandling af akut DVT og LE og forebyggelse af recidiv.</w:t>
      </w:r>
    </w:p>
    <w:p w14:paraId="2F94CFA7" w14:textId="77777777" w:rsidR="00C7249D" w:rsidRPr="008E19A3" w:rsidRDefault="00C7249D" w:rsidP="00C7249D">
      <w:pPr>
        <w:pStyle w:val="Brdtekst"/>
        <w:spacing w:before="2"/>
        <w:ind w:left="851" w:right="-1"/>
        <w:rPr>
          <w:sz w:val="24"/>
          <w:szCs w:val="24"/>
          <w:lang w:val="da-DK"/>
        </w:rPr>
      </w:pPr>
      <w:r w:rsidRPr="008E19A3">
        <w:rPr>
          <w:sz w:val="24"/>
          <w:szCs w:val="24"/>
          <w:lang w:val="da-DK"/>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7AEF12FB" w14:textId="77777777" w:rsidR="00C7249D" w:rsidRPr="008E19A3" w:rsidRDefault="00C7249D" w:rsidP="00C7249D">
      <w:pPr>
        <w:pStyle w:val="Brdtekst"/>
        <w:spacing w:before="7"/>
        <w:ind w:left="851" w:right="887"/>
        <w:rPr>
          <w:sz w:val="24"/>
          <w:szCs w:val="24"/>
          <w:lang w:val="da-DK"/>
        </w:rPr>
      </w:pPr>
    </w:p>
    <w:p w14:paraId="40B814CE" w14:textId="77777777" w:rsidR="00C7249D" w:rsidRPr="008E19A3" w:rsidRDefault="00C7249D" w:rsidP="00C7249D">
      <w:pPr>
        <w:pStyle w:val="Brdtekst"/>
        <w:ind w:left="851" w:right="-1"/>
        <w:rPr>
          <w:sz w:val="24"/>
          <w:szCs w:val="24"/>
          <w:lang w:val="da-DK"/>
        </w:rPr>
      </w:pPr>
      <w:r w:rsidRPr="008E19A3">
        <w:rPr>
          <w:sz w:val="24"/>
          <w:szCs w:val="24"/>
          <w:lang w:val="da-DK"/>
        </w:rPr>
        <w:t>I Einstein DVT blev 3.449 patienter med akut DVT undersøgt for behandling af DVT og forebyggelse af recidiverende DVT og LE (patienter med symptomatisk PE blev udelukket fra dette studie). Behandlingsvarigheden var 3, 6 eller 12 måneder afhængigt af investigators kliniske vurdering.</w:t>
      </w:r>
    </w:p>
    <w:p w14:paraId="7102F2C8" w14:textId="77777777" w:rsidR="00C7249D" w:rsidRPr="008E19A3" w:rsidRDefault="00C7249D" w:rsidP="00C7249D">
      <w:pPr>
        <w:pStyle w:val="Brdtekst"/>
        <w:spacing w:before="1"/>
        <w:ind w:left="851" w:right="-1"/>
        <w:rPr>
          <w:sz w:val="24"/>
          <w:szCs w:val="24"/>
          <w:lang w:val="da-DK"/>
        </w:rPr>
      </w:pPr>
      <w:r w:rsidRPr="008E19A3">
        <w:rPr>
          <w:sz w:val="24"/>
          <w:szCs w:val="24"/>
          <w:lang w:val="da-DK"/>
        </w:rPr>
        <w:t>I den indledende 3-ugersbehandling af akut DVT fik patienterne 15 mg rivaroxaban to gange daglig. Der fortsattes derefter med 20 mg rivaroxaban en gang daglig.</w:t>
      </w:r>
    </w:p>
    <w:p w14:paraId="1928DB98" w14:textId="77777777" w:rsidR="00C7249D" w:rsidRPr="008E19A3" w:rsidRDefault="00C7249D" w:rsidP="00C7249D">
      <w:pPr>
        <w:pStyle w:val="Brdtekst"/>
        <w:spacing w:before="4"/>
        <w:ind w:left="851" w:right="-1"/>
        <w:rPr>
          <w:sz w:val="24"/>
          <w:szCs w:val="24"/>
          <w:lang w:val="da-DK"/>
        </w:rPr>
      </w:pPr>
    </w:p>
    <w:p w14:paraId="4F7D104A" w14:textId="77777777" w:rsidR="00C7249D" w:rsidRPr="008E19A3" w:rsidRDefault="00C7249D" w:rsidP="00C7249D">
      <w:pPr>
        <w:pStyle w:val="Brdtekst"/>
        <w:ind w:left="851" w:right="-1"/>
        <w:rPr>
          <w:sz w:val="24"/>
          <w:szCs w:val="24"/>
          <w:lang w:val="da-DK"/>
        </w:rPr>
      </w:pPr>
      <w:r w:rsidRPr="008E19A3">
        <w:rPr>
          <w:sz w:val="24"/>
          <w:szCs w:val="24"/>
          <w:lang w:val="da-DK"/>
        </w:rPr>
        <w:t>I Einstein LE blev 4.832 patienter med akut LE undersøgt for behandling af LE og forebyggelse af recidiverende DVT og LE. Behandlingsvarigheden var 3, 6 eller 12 måneder afhængigt af investigators kliniske vurdering.</w:t>
      </w:r>
    </w:p>
    <w:p w14:paraId="0BE6B7F5" w14:textId="77777777" w:rsidR="00C7249D" w:rsidRPr="008E19A3" w:rsidRDefault="00C7249D" w:rsidP="00C7249D">
      <w:pPr>
        <w:pStyle w:val="Brdtekst"/>
        <w:ind w:left="851" w:right="-1"/>
        <w:rPr>
          <w:sz w:val="24"/>
          <w:szCs w:val="24"/>
          <w:lang w:val="da-DK"/>
        </w:rPr>
      </w:pPr>
      <w:r w:rsidRPr="008E19A3">
        <w:rPr>
          <w:sz w:val="24"/>
          <w:szCs w:val="24"/>
          <w:lang w:val="da-DK"/>
        </w:rPr>
        <w:t>I den indledende behandling af akut PE fik patienterne 15 mg rivaroxaban to gange daglig i tre uger. Der fortsattes derefter med 20 mg rivaroxaban en gang daglig.</w:t>
      </w:r>
    </w:p>
    <w:p w14:paraId="2D2BFA03" w14:textId="77777777" w:rsidR="00C7249D" w:rsidRPr="008E19A3" w:rsidRDefault="00C7249D" w:rsidP="00C7249D">
      <w:pPr>
        <w:pStyle w:val="Brdtekst"/>
        <w:spacing w:before="4"/>
        <w:ind w:left="851" w:right="-1"/>
        <w:rPr>
          <w:sz w:val="24"/>
          <w:szCs w:val="24"/>
          <w:lang w:val="da-DK"/>
        </w:rPr>
      </w:pPr>
    </w:p>
    <w:p w14:paraId="0B230DEC" w14:textId="659F8D2A" w:rsidR="00C7249D" w:rsidRPr="008E19A3" w:rsidRDefault="00C7249D" w:rsidP="00C7249D">
      <w:pPr>
        <w:pStyle w:val="Brdtekst"/>
        <w:ind w:left="851" w:right="-1"/>
        <w:rPr>
          <w:sz w:val="24"/>
          <w:szCs w:val="24"/>
          <w:lang w:val="da-DK"/>
        </w:rPr>
      </w:pPr>
      <w:r w:rsidRPr="008E19A3">
        <w:rPr>
          <w:sz w:val="24"/>
          <w:szCs w:val="24"/>
          <w:lang w:val="da-DK"/>
        </w:rPr>
        <w:t>I både Einstein DVT- og Einstein LE-studiet bestod den sammenlignende behandlingsplan af enoxaparin givet i mindst 5 dage samtidig med en vitamin-K-antagonist, indtil PT/INR lå inden for behandlingsintervallet (</w:t>
      </w:r>
      <w:r w:rsidR="00B600C4" w:rsidRPr="00B600C4">
        <w:rPr>
          <w:sz w:val="24"/>
          <w:szCs w:val="24"/>
          <w:lang w:val="da-DK"/>
        </w:rPr>
        <w:t>≥</w:t>
      </w:r>
      <w:r w:rsidRPr="008E19A3">
        <w:rPr>
          <w:sz w:val="24"/>
          <w:szCs w:val="24"/>
          <w:lang w:val="da-DK"/>
        </w:rPr>
        <w:t xml:space="preserve"> 2,0). Behandlingen fortsattes med en vitamin-K-antagonist, der dosisjusteredes med henblik på vedligeholdelse af PT/INR-værdier i behandlingsintervallet 2,0 til 3,0.</w:t>
      </w:r>
    </w:p>
    <w:p w14:paraId="5AD9DF7D" w14:textId="77777777" w:rsidR="00C7249D" w:rsidRPr="008E19A3" w:rsidRDefault="00C7249D" w:rsidP="00C7249D">
      <w:pPr>
        <w:pStyle w:val="Brdtekst"/>
        <w:spacing w:before="6"/>
        <w:ind w:left="851" w:right="-1"/>
        <w:rPr>
          <w:sz w:val="24"/>
          <w:szCs w:val="24"/>
          <w:lang w:val="da-DK"/>
        </w:rPr>
      </w:pPr>
    </w:p>
    <w:p w14:paraId="735FA68F" w14:textId="77777777" w:rsidR="00C7249D" w:rsidRPr="008E19A3" w:rsidRDefault="00C7249D" w:rsidP="00C7249D">
      <w:pPr>
        <w:pStyle w:val="Brdtekst"/>
        <w:ind w:left="851" w:right="-1"/>
        <w:rPr>
          <w:sz w:val="24"/>
          <w:szCs w:val="24"/>
          <w:lang w:val="da-DK"/>
        </w:rPr>
      </w:pPr>
      <w:r w:rsidRPr="008E19A3">
        <w:rPr>
          <w:sz w:val="24"/>
          <w:szCs w:val="24"/>
          <w:lang w:val="da-DK"/>
        </w:rPr>
        <w:t>I Einstein Extension undersøgtes 1.197 patienter med DVT eller LE med hensyn til forebyggelse af recidiverende DVT og LE. Behandlingsvarigheden var yderligere 6 eller 12 måneder for patienter, der havde gennemført 6 til 12 måneders behandling for venøs tromboli afhængigt af investigators kliniske vurdering. Rivaroxaban 20 mg en gang daglig blev sammenlignet med placebo.</w:t>
      </w:r>
    </w:p>
    <w:p w14:paraId="3785A839" w14:textId="77777777" w:rsidR="00C7249D" w:rsidRPr="008E19A3" w:rsidRDefault="00C7249D" w:rsidP="00C7249D">
      <w:pPr>
        <w:pStyle w:val="Brdtekst"/>
        <w:spacing w:before="6"/>
        <w:ind w:left="851" w:right="-1"/>
        <w:rPr>
          <w:sz w:val="24"/>
          <w:szCs w:val="24"/>
          <w:lang w:val="da-DK"/>
        </w:rPr>
      </w:pPr>
    </w:p>
    <w:p w14:paraId="1D935851" w14:textId="77777777" w:rsidR="00C7249D" w:rsidRPr="008E19A3" w:rsidRDefault="00C7249D" w:rsidP="00C7249D">
      <w:pPr>
        <w:pStyle w:val="Brdtekst"/>
        <w:ind w:left="851" w:right="-1"/>
        <w:rPr>
          <w:sz w:val="24"/>
          <w:szCs w:val="24"/>
          <w:lang w:val="da-DK"/>
        </w:rPr>
      </w:pPr>
      <w:r w:rsidRPr="008E19A3">
        <w:rPr>
          <w:sz w:val="24"/>
          <w:szCs w:val="24"/>
          <w:lang w:val="da-DK"/>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w:t>
      </w:r>
      <w:r w:rsidRPr="008E19A3">
        <w:rPr>
          <w:sz w:val="24"/>
          <w:szCs w:val="24"/>
          <w:lang w:val="da-DK"/>
        </w:rPr>
        <w:lastRenderedPageBreak/>
        <w:t>ikke-dødelig LE og død uanset årsag.</w:t>
      </w:r>
    </w:p>
    <w:p w14:paraId="38AFEB73" w14:textId="77777777" w:rsidR="00C7249D" w:rsidRPr="008E19A3" w:rsidRDefault="00C7249D" w:rsidP="00C7249D">
      <w:pPr>
        <w:pStyle w:val="Brdtekst"/>
        <w:ind w:left="851" w:right="-1"/>
        <w:rPr>
          <w:sz w:val="24"/>
          <w:szCs w:val="24"/>
          <w:lang w:val="da-DK"/>
        </w:rPr>
      </w:pPr>
    </w:p>
    <w:p w14:paraId="4FE87451" w14:textId="77777777" w:rsidR="00C7249D" w:rsidRPr="008E19A3" w:rsidRDefault="00C7249D" w:rsidP="00C7249D">
      <w:pPr>
        <w:pStyle w:val="Brdtekst"/>
        <w:ind w:left="851" w:right="-1"/>
        <w:rPr>
          <w:sz w:val="24"/>
          <w:szCs w:val="24"/>
          <w:lang w:val="da-DK"/>
        </w:rPr>
      </w:pPr>
      <w:r w:rsidRPr="008E19A3">
        <w:rPr>
          <w:sz w:val="24"/>
          <w:szCs w:val="24"/>
          <w:lang w:val="da-DK"/>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en gang daglig og rivaroxaban 10 mg en gang daglig blev sammenlignet med 100 mg acetylsalicylsyre en gang daglig.</w:t>
      </w:r>
    </w:p>
    <w:p w14:paraId="23C32397" w14:textId="77777777" w:rsidR="00C7249D" w:rsidRPr="008E19A3" w:rsidRDefault="00C7249D" w:rsidP="00C7249D">
      <w:pPr>
        <w:pStyle w:val="Brdtekst"/>
        <w:ind w:left="851" w:right="-1"/>
        <w:rPr>
          <w:sz w:val="24"/>
          <w:szCs w:val="24"/>
          <w:lang w:val="da-DK"/>
        </w:rPr>
      </w:pPr>
    </w:p>
    <w:p w14:paraId="10391B5E" w14:textId="77777777" w:rsidR="00C7249D" w:rsidRPr="008E19A3" w:rsidRDefault="00C7249D" w:rsidP="00C7249D">
      <w:pPr>
        <w:pStyle w:val="Brdtekst"/>
        <w:ind w:left="851" w:right="-1"/>
        <w:rPr>
          <w:sz w:val="24"/>
          <w:szCs w:val="24"/>
          <w:lang w:val="da-DK"/>
        </w:rPr>
      </w:pPr>
      <w:r w:rsidRPr="008E19A3">
        <w:rPr>
          <w:sz w:val="24"/>
          <w:szCs w:val="24"/>
          <w:lang w:val="da-DK"/>
        </w:rPr>
        <w:t>Det primære effektendepunkt var symptomatisk recidiverende VTE defineret som recidiverende DVT og dødelig eller ikke-dødelig PE.</w:t>
      </w:r>
    </w:p>
    <w:p w14:paraId="79DBB1DF" w14:textId="77777777" w:rsidR="00C7249D" w:rsidRPr="008E19A3" w:rsidRDefault="00C7249D" w:rsidP="00C7249D">
      <w:pPr>
        <w:pStyle w:val="Brdtekst"/>
        <w:ind w:left="851" w:right="-1"/>
        <w:rPr>
          <w:sz w:val="24"/>
          <w:szCs w:val="24"/>
          <w:lang w:val="da-DK"/>
        </w:rPr>
      </w:pPr>
    </w:p>
    <w:p w14:paraId="7C43B836" w14:textId="1ED917EC" w:rsidR="00C7249D" w:rsidRPr="008E19A3" w:rsidRDefault="00C7249D" w:rsidP="00C7249D">
      <w:pPr>
        <w:pStyle w:val="Brdtekst"/>
        <w:ind w:left="851" w:right="-1"/>
        <w:rPr>
          <w:sz w:val="24"/>
          <w:szCs w:val="24"/>
          <w:lang w:val="da-DK"/>
        </w:rPr>
      </w:pPr>
      <w:r w:rsidRPr="008E19A3">
        <w:rPr>
          <w:sz w:val="24"/>
          <w:szCs w:val="24"/>
          <w:lang w:val="da-DK"/>
        </w:rPr>
        <w:t xml:space="preserve">I DVT-studiet Einstein (se tabel 5) blev rivaroxaban påvist at være non-inferiørt sammenlignet med enoxaparin/VKA med hensyn til det primære effektendepunkt (p &lt;0,0001 (test for non-inferioritet), </w:t>
      </w:r>
      <w:r w:rsidRPr="008E19A3">
        <w:rPr>
          <w:i/>
          <w:sz w:val="24"/>
          <w:szCs w:val="24"/>
          <w:lang w:val="da-DK"/>
        </w:rPr>
        <w:t xml:space="preserve">hazard </w:t>
      </w:r>
      <w:r w:rsidRPr="008E19A3">
        <w:rPr>
          <w:sz w:val="24"/>
          <w:szCs w:val="24"/>
          <w:lang w:val="da-DK"/>
        </w:rPr>
        <w:t>ratio (HR): 0,680 (0,443 - 1,042), p = 0,076 (test for superioritet)). Den på forhånd fastsatte kliniske nettofordel (primært effektendepunkt plus større blødninger) indberettedes med en HR på 0,67 (95</w:t>
      </w:r>
      <w:r w:rsidR="008E19A3" w:rsidRPr="008E19A3">
        <w:rPr>
          <w:sz w:val="24"/>
          <w:szCs w:val="24"/>
          <w:lang w:val="da-DK"/>
        </w:rPr>
        <w:t xml:space="preserve"> %</w:t>
      </w:r>
      <w:r w:rsidRPr="008E19A3">
        <w:rPr>
          <w:sz w:val="24"/>
          <w:szCs w:val="24"/>
          <w:lang w:val="da-DK"/>
        </w:rPr>
        <w:t xml:space="preserve"> KI: 0,47 - 0,95), nominel p-værdi p = 0,027) til fordel for rivaroxaban. INR-værdierne var inden for det terapeutiske område som middelværdi 60,3</w:t>
      </w:r>
      <w:r w:rsidR="008E19A3" w:rsidRPr="008E19A3">
        <w:rPr>
          <w:sz w:val="24"/>
          <w:szCs w:val="24"/>
          <w:lang w:val="da-DK"/>
        </w:rPr>
        <w:t xml:space="preserve"> %</w:t>
      </w:r>
      <w:r w:rsidRPr="008E19A3">
        <w:rPr>
          <w:sz w:val="24"/>
          <w:szCs w:val="24"/>
          <w:lang w:val="da-DK"/>
        </w:rPr>
        <w:t xml:space="preserve"> af tiden for middel-behandlingsvarigheden på 189 dage, og henholdsvis 55,4</w:t>
      </w:r>
      <w:r w:rsidR="008E19A3" w:rsidRPr="008E19A3">
        <w:rPr>
          <w:sz w:val="24"/>
          <w:szCs w:val="24"/>
          <w:lang w:val="da-DK"/>
        </w:rPr>
        <w:t xml:space="preserve"> %</w:t>
      </w:r>
      <w:r w:rsidRPr="008E19A3">
        <w:rPr>
          <w:sz w:val="24"/>
          <w:szCs w:val="24"/>
          <w:lang w:val="da-DK"/>
        </w:rPr>
        <w:t>, 60,1</w:t>
      </w:r>
      <w:r w:rsidR="008E19A3" w:rsidRPr="008E19A3">
        <w:rPr>
          <w:sz w:val="24"/>
          <w:szCs w:val="24"/>
          <w:lang w:val="da-DK"/>
        </w:rPr>
        <w:t xml:space="preserve"> %</w:t>
      </w:r>
      <w:r w:rsidRPr="008E19A3">
        <w:rPr>
          <w:sz w:val="24"/>
          <w:szCs w:val="24"/>
          <w:lang w:val="da-DK"/>
        </w:rPr>
        <w:t xml:space="preserve"> og 62,8</w:t>
      </w:r>
      <w:r w:rsidR="008E19A3" w:rsidRPr="008E19A3">
        <w:rPr>
          <w:sz w:val="24"/>
          <w:szCs w:val="24"/>
          <w:lang w:val="da-DK"/>
        </w:rPr>
        <w:t xml:space="preserve"> %</w:t>
      </w:r>
      <w:r w:rsidRPr="008E19A3">
        <w:rPr>
          <w:sz w:val="24"/>
          <w:szCs w:val="24"/>
          <w:lang w:val="da-DK"/>
        </w:rPr>
        <w:t xml:space="preserve">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w:t>
      </w:r>
      <w:r w:rsidR="008E19A3" w:rsidRPr="008E19A3">
        <w:rPr>
          <w:sz w:val="24"/>
          <w:szCs w:val="24"/>
          <w:lang w:val="da-DK"/>
        </w:rPr>
        <w:t xml:space="preserve"> %</w:t>
      </w:r>
      <w:r w:rsidRPr="008E19A3">
        <w:rPr>
          <w:sz w:val="24"/>
          <w:szCs w:val="24"/>
          <w:lang w:val="da-DK"/>
        </w:rPr>
        <w:t xml:space="preserve"> KI: 0,35 -</w:t>
      </w:r>
      <w:r w:rsidRPr="008E19A3">
        <w:rPr>
          <w:spacing w:val="-18"/>
          <w:sz w:val="24"/>
          <w:szCs w:val="24"/>
          <w:lang w:val="da-DK"/>
        </w:rPr>
        <w:t xml:space="preserve"> </w:t>
      </w:r>
      <w:r w:rsidRPr="008E19A3">
        <w:rPr>
          <w:sz w:val="24"/>
          <w:szCs w:val="24"/>
          <w:lang w:val="da-DK"/>
        </w:rPr>
        <w:t>1,35).</w:t>
      </w:r>
    </w:p>
    <w:p w14:paraId="4CFEE7BA" w14:textId="77777777" w:rsidR="00C7249D" w:rsidRPr="008E19A3" w:rsidRDefault="00C7249D" w:rsidP="00C7249D">
      <w:pPr>
        <w:pStyle w:val="Brdtekst"/>
        <w:spacing w:before="5"/>
        <w:ind w:left="851" w:right="-1"/>
        <w:rPr>
          <w:sz w:val="24"/>
          <w:szCs w:val="24"/>
          <w:lang w:val="da-DK"/>
        </w:rPr>
      </w:pPr>
    </w:p>
    <w:p w14:paraId="6A0CAB00" w14:textId="77777777" w:rsidR="00C7249D" w:rsidRPr="008E19A3" w:rsidRDefault="00C7249D" w:rsidP="00C7249D">
      <w:pPr>
        <w:pStyle w:val="Brdtekst"/>
        <w:ind w:left="851" w:right="-1"/>
        <w:rPr>
          <w:sz w:val="24"/>
          <w:szCs w:val="24"/>
          <w:lang w:val="da-DK"/>
        </w:rPr>
      </w:pPr>
      <w:r w:rsidRPr="008E19A3">
        <w:rPr>
          <w:sz w:val="24"/>
          <w:szCs w:val="24"/>
          <w:lang w:val="da-DK"/>
        </w:rPr>
        <w:t>Frekvenserne for det primære sikkerhedsendepunkt (større eller klinisk relevante mindre blødninger) samt det sekundære sikkerhedsendepunkt (større blødninger) var ens for de to behandlingsgrupper.</w:t>
      </w:r>
    </w:p>
    <w:p w14:paraId="03091671" w14:textId="77777777" w:rsidR="00C7249D" w:rsidRPr="008E19A3" w:rsidRDefault="00C7249D" w:rsidP="00C7249D">
      <w:pPr>
        <w:pStyle w:val="Brdtekst"/>
        <w:ind w:left="857" w:right="887"/>
        <w:rPr>
          <w:sz w:val="24"/>
          <w:szCs w:val="24"/>
          <w:lang w:val="da-DK"/>
        </w:rPr>
      </w:pPr>
    </w:p>
    <w:p w14:paraId="0EAE8EB2" w14:textId="77777777" w:rsidR="00C7249D" w:rsidRPr="008E19A3" w:rsidRDefault="00C7249D" w:rsidP="00C7249D">
      <w:pPr>
        <w:pStyle w:val="Overskrift2"/>
        <w:spacing w:before="0"/>
        <w:ind w:left="0" w:right="887"/>
        <w:rPr>
          <w:sz w:val="24"/>
          <w:szCs w:val="24"/>
          <w:lang w:val="da-DK"/>
        </w:rPr>
      </w:pPr>
      <w:r w:rsidRPr="008E19A3">
        <w:rPr>
          <w:sz w:val="24"/>
          <w:szCs w:val="24"/>
          <w:lang w:val="da-DK"/>
        </w:rPr>
        <w:t>Tabel 5: Effekt- og sikkerhedsresultater fra fase III Einstein DVT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5"/>
        <w:gridCol w:w="3192"/>
        <w:gridCol w:w="2978"/>
      </w:tblGrid>
      <w:tr w:rsidR="00C7249D" w:rsidRPr="00B600C4" w14:paraId="22C4BE47" w14:textId="77777777" w:rsidTr="00B600C4">
        <w:trPr>
          <w:trHeight w:val="253"/>
        </w:trPr>
        <w:tc>
          <w:tcPr>
            <w:tcW w:w="1795" w:type="pct"/>
            <w:tcBorders>
              <w:top w:val="single" w:sz="4" w:space="0" w:color="000000"/>
              <w:left w:val="single" w:sz="4" w:space="0" w:color="000000"/>
              <w:bottom w:val="single" w:sz="4" w:space="0" w:color="000000"/>
              <w:right w:val="single" w:sz="4" w:space="0" w:color="000000"/>
            </w:tcBorders>
            <w:hideMark/>
          </w:tcPr>
          <w:p w14:paraId="59A50B7F" w14:textId="77777777" w:rsidR="00C7249D" w:rsidRPr="00B600C4" w:rsidRDefault="00C7249D">
            <w:pPr>
              <w:pStyle w:val="TableParagraph"/>
              <w:spacing w:line="234" w:lineRule="exact"/>
              <w:ind w:left="141" w:right="887"/>
              <w:rPr>
                <w:rFonts w:ascii="Times New Roman" w:hAnsi="Times New Roman" w:cs="Times New Roman"/>
                <w:b/>
                <w:bCs/>
                <w:lang w:val="da-DK"/>
              </w:rPr>
            </w:pPr>
            <w:r w:rsidRPr="00B600C4">
              <w:rPr>
                <w:rFonts w:ascii="Times New Roman" w:hAnsi="Times New Roman" w:cs="Times New Roman"/>
                <w:b/>
                <w:bCs/>
                <w:lang w:val="da-DK"/>
              </w:rPr>
              <w:t>Studiepopulation</w:t>
            </w:r>
          </w:p>
        </w:tc>
        <w:tc>
          <w:tcPr>
            <w:tcW w:w="3205" w:type="pct"/>
            <w:gridSpan w:val="2"/>
            <w:tcBorders>
              <w:top w:val="single" w:sz="4" w:space="0" w:color="000000"/>
              <w:left w:val="single" w:sz="4" w:space="0" w:color="000000"/>
              <w:bottom w:val="single" w:sz="4" w:space="0" w:color="000000"/>
              <w:right w:val="single" w:sz="6" w:space="0" w:color="000000"/>
            </w:tcBorders>
            <w:hideMark/>
          </w:tcPr>
          <w:p w14:paraId="2BB6E6E6" w14:textId="77777777" w:rsidR="00C7249D" w:rsidRPr="00B600C4" w:rsidRDefault="00C7249D">
            <w:pPr>
              <w:pStyle w:val="TableParagraph"/>
              <w:spacing w:line="234"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3.449 patienter med symtomatisk akut dyb ventrombose</w:t>
            </w:r>
          </w:p>
        </w:tc>
      </w:tr>
      <w:tr w:rsidR="00C7249D" w:rsidRPr="00B600C4" w14:paraId="0C0F9B9E" w14:textId="77777777" w:rsidTr="00B600C4">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70C47086" w14:textId="77777777" w:rsidR="00C7249D" w:rsidRPr="00B600C4" w:rsidRDefault="00C7249D">
            <w:pPr>
              <w:pStyle w:val="TableParagraph"/>
              <w:ind w:left="141" w:right="887"/>
              <w:rPr>
                <w:rFonts w:ascii="Times New Roman" w:hAnsi="Times New Roman" w:cs="Times New Roman"/>
                <w:b/>
                <w:bCs/>
                <w:lang w:val="da-DK"/>
              </w:rPr>
            </w:pPr>
            <w:r w:rsidRPr="00B600C4">
              <w:rPr>
                <w:rFonts w:ascii="Times New Roman" w:hAnsi="Times New Roman" w:cs="Times New Roman"/>
                <w:b/>
                <w:bCs/>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3B1DB081" w14:textId="77777777" w:rsidR="00C7249D" w:rsidRPr="00B600C4" w:rsidRDefault="00C7249D">
            <w:pPr>
              <w:pStyle w:val="TableParagraph"/>
              <w:spacing w:line="253"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Rivaroxaban</w:t>
            </w:r>
            <w:r w:rsidRPr="00B600C4">
              <w:rPr>
                <w:rFonts w:ascii="Times New Roman" w:hAnsi="Times New Roman" w:cs="Times New Roman"/>
                <w:b/>
                <w:bCs/>
                <w:vertAlign w:val="superscript"/>
                <w:lang w:val="da-DK"/>
              </w:rPr>
              <w:t>a)</w:t>
            </w:r>
          </w:p>
          <w:p w14:paraId="7D090706" w14:textId="77777777" w:rsidR="00C7249D" w:rsidRPr="00B600C4" w:rsidRDefault="00C7249D">
            <w:pPr>
              <w:pStyle w:val="TableParagraph"/>
              <w:spacing w:line="253"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3, 6 eller 12</w:t>
            </w:r>
            <w:r w:rsidRPr="00B600C4">
              <w:rPr>
                <w:rFonts w:ascii="Times New Roman" w:hAnsi="Times New Roman" w:cs="Times New Roman"/>
                <w:b/>
                <w:bCs/>
                <w:spacing w:val="-11"/>
                <w:lang w:val="da-DK"/>
              </w:rPr>
              <w:t xml:space="preserve"> </w:t>
            </w:r>
            <w:r w:rsidRPr="00B600C4">
              <w:rPr>
                <w:rFonts w:ascii="Times New Roman" w:hAnsi="Times New Roman" w:cs="Times New Roman"/>
                <w:b/>
                <w:bCs/>
                <w:lang w:val="da-DK"/>
              </w:rPr>
              <w:t>måneder</w:t>
            </w:r>
          </w:p>
          <w:p w14:paraId="5E5F59EE" w14:textId="77777777" w:rsidR="00C7249D" w:rsidRPr="00B600C4" w:rsidRDefault="00C7249D">
            <w:pPr>
              <w:pStyle w:val="TableParagraph"/>
              <w:spacing w:line="253"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N=1.731</w:t>
            </w:r>
          </w:p>
        </w:tc>
        <w:tc>
          <w:tcPr>
            <w:tcW w:w="1547" w:type="pct"/>
            <w:tcBorders>
              <w:top w:val="single" w:sz="4" w:space="0" w:color="000000"/>
              <w:left w:val="single" w:sz="4" w:space="0" w:color="000000"/>
              <w:bottom w:val="single" w:sz="4" w:space="0" w:color="000000"/>
              <w:right w:val="single" w:sz="6" w:space="0" w:color="000000"/>
            </w:tcBorders>
            <w:hideMark/>
          </w:tcPr>
          <w:p w14:paraId="0B09D6E8" w14:textId="77777777" w:rsidR="00C7249D" w:rsidRPr="00B600C4" w:rsidRDefault="00C7249D">
            <w:pPr>
              <w:pStyle w:val="TableParagraph"/>
              <w:spacing w:before="1" w:line="254"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Enoxaparin/VKA</w:t>
            </w:r>
            <w:r w:rsidRPr="00B600C4">
              <w:rPr>
                <w:rFonts w:ascii="Times New Roman" w:hAnsi="Times New Roman" w:cs="Times New Roman"/>
                <w:b/>
                <w:bCs/>
                <w:vertAlign w:val="superscript"/>
                <w:lang w:val="da-DK"/>
              </w:rPr>
              <w:t>b)</w:t>
            </w:r>
          </w:p>
          <w:p w14:paraId="138634C9" w14:textId="77777777" w:rsidR="00C7249D" w:rsidRPr="00B600C4" w:rsidRDefault="00C7249D">
            <w:pPr>
              <w:pStyle w:val="TableParagraph"/>
              <w:spacing w:before="1" w:line="254"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3, 6 eller 12 måneder</w:t>
            </w:r>
          </w:p>
          <w:p w14:paraId="1EA3C6D5" w14:textId="77777777" w:rsidR="00C7249D" w:rsidRPr="00B600C4" w:rsidRDefault="00C7249D">
            <w:pPr>
              <w:pStyle w:val="TableParagraph"/>
              <w:spacing w:before="1" w:line="254"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N=1.718</w:t>
            </w:r>
          </w:p>
        </w:tc>
      </w:tr>
      <w:tr w:rsidR="00C7249D" w:rsidRPr="00B600C4" w14:paraId="6488980F"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4DD1C5C1" w14:textId="77777777" w:rsidR="00C7249D" w:rsidRPr="00B600C4" w:rsidRDefault="00C7249D">
            <w:pPr>
              <w:pStyle w:val="TableParagraph"/>
              <w:spacing w:before="126"/>
              <w:ind w:left="124" w:right="46"/>
              <w:rPr>
                <w:rFonts w:ascii="Times New Roman" w:hAnsi="Times New Roman" w:cs="Times New Roman"/>
                <w:lang w:val="da-DK"/>
              </w:rPr>
            </w:pPr>
            <w:r w:rsidRPr="00B600C4">
              <w:rPr>
                <w:rFonts w:ascii="Times New Roman" w:hAnsi="Times New Roman" w:cs="Times New Roman"/>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039C504A" w14:textId="77777777" w:rsidR="00C7249D" w:rsidRPr="00B600C4" w:rsidRDefault="00C7249D">
            <w:pPr>
              <w:pStyle w:val="TableParagraph"/>
              <w:spacing w:line="252" w:lineRule="exact"/>
              <w:ind w:left="141" w:right="887"/>
              <w:jc w:val="center"/>
              <w:rPr>
                <w:rFonts w:ascii="Times New Roman" w:hAnsi="Times New Roman" w:cs="Times New Roman"/>
                <w:lang w:val="da-DK"/>
              </w:rPr>
            </w:pPr>
            <w:r w:rsidRPr="00B600C4">
              <w:rPr>
                <w:rFonts w:ascii="Times New Roman" w:hAnsi="Times New Roman" w:cs="Times New Roman"/>
                <w:lang w:val="da-DK"/>
              </w:rPr>
              <w:t>36</w:t>
            </w:r>
          </w:p>
          <w:p w14:paraId="1EC0CBD3" w14:textId="471D12AA"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(2,1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7" w:type="pct"/>
            <w:tcBorders>
              <w:top w:val="single" w:sz="4" w:space="0" w:color="000000"/>
              <w:left w:val="single" w:sz="4" w:space="0" w:color="000000"/>
              <w:bottom w:val="single" w:sz="4" w:space="0" w:color="000000"/>
              <w:right w:val="single" w:sz="6" w:space="0" w:color="000000"/>
            </w:tcBorders>
            <w:hideMark/>
          </w:tcPr>
          <w:p w14:paraId="6558262E" w14:textId="77777777" w:rsidR="00C7249D" w:rsidRPr="00B600C4" w:rsidRDefault="00C7249D">
            <w:pPr>
              <w:pStyle w:val="TableParagraph"/>
              <w:spacing w:line="252" w:lineRule="exact"/>
              <w:ind w:left="141" w:right="887"/>
              <w:jc w:val="center"/>
              <w:rPr>
                <w:rFonts w:ascii="Times New Roman" w:hAnsi="Times New Roman" w:cs="Times New Roman"/>
                <w:lang w:val="da-DK"/>
              </w:rPr>
            </w:pPr>
            <w:r w:rsidRPr="00B600C4">
              <w:rPr>
                <w:rFonts w:ascii="Times New Roman" w:hAnsi="Times New Roman" w:cs="Times New Roman"/>
                <w:lang w:val="da-DK"/>
              </w:rPr>
              <w:t>51</w:t>
            </w:r>
          </w:p>
          <w:p w14:paraId="01BDAC53" w14:textId="657BA5DA"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(3,0</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1D34E5A7"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73E6239" w14:textId="77777777" w:rsidR="00C7249D" w:rsidRPr="00B600C4" w:rsidRDefault="00C7249D">
            <w:pPr>
              <w:pStyle w:val="TableParagraph"/>
              <w:spacing w:before="127"/>
              <w:ind w:left="141"/>
              <w:rPr>
                <w:rFonts w:ascii="Times New Roman" w:hAnsi="Times New Roman" w:cs="Times New Roman"/>
                <w:lang w:val="da-DK"/>
              </w:rPr>
            </w:pPr>
            <w:r w:rsidRPr="00B600C4">
              <w:rPr>
                <w:rFonts w:ascii="Times New Roman" w:hAnsi="Times New Roman" w:cs="Times New Roman"/>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5F4B0F54"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20</w:t>
            </w:r>
          </w:p>
          <w:p w14:paraId="5D97F590" w14:textId="509C6D86"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(1,2</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7" w:type="pct"/>
            <w:tcBorders>
              <w:top w:val="single" w:sz="4" w:space="0" w:color="000000"/>
              <w:left w:val="single" w:sz="4" w:space="0" w:color="000000"/>
              <w:bottom w:val="single" w:sz="4" w:space="0" w:color="000000"/>
              <w:right w:val="single" w:sz="6" w:space="0" w:color="000000"/>
            </w:tcBorders>
            <w:hideMark/>
          </w:tcPr>
          <w:p w14:paraId="29B46C4E"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18</w:t>
            </w:r>
          </w:p>
          <w:p w14:paraId="09ABC1C2" w14:textId="74F1FCC2"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(1,0</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261277A3"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115AF7A9" w14:textId="77777777" w:rsidR="00C7249D" w:rsidRPr="00B600C4" w:rsidRDefault="00C7249D">
            <w:pPr>
              <w:pStyle w:val="TableParagraph"/>
              <w:spacing w:before="127"/>
              <w:ind w:left="141" w:right="46"/>
              <w:rPr>
                <w:rFonts w:ascii="Times New Roman" w:hAnsi="Times New Roman" w:cs="Times New Roman"/>
                <w:lang w:val="da-DK"/>
              </w:rPr>
            </w:pPr>
            <w:r w:rsidRPr="00B600C4">
              <w:rPr>
                <w:rFonts w:ascii="Times New Roman" w:hAnsi="Times New Roman" w:cs="Times New Roman"/>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69DBC683"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14</w:t>
            </w:r>
          </w:p>
          <w:p w14:paraId="2F5B91AB" w14:textId="36233F94"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(0,8</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7" w:type="pct"/>
            <w:tcBorders>
              <w:top w:val="single" w:sz="4" w:space="0" w:color="000000"/>
              <w:left w:val="single" w:sz="4" w:space="0" w:color="000000"/>
              <w:bottom w:val="single" w:sz="4" w:space="0" w:color="000000"/>
              <w:right w:val="single" w:sz="6" w:space="0" w:color="000000"/>
            </w:tcBorders>
            <w:hideMark/>
          </w:tcPr>
          <w:p w14:paraId="66F00D2F"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28</w:t>
            </w:r>
          </w:p>
          <w:p w14:paraId="2236A987" w14:textId="307657BD"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(1,6</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6B98EC09"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D8468A8" w14:textId="77777777" w:rsidR="00C7249D" w:rsidRPr="00B600C4" w:rsidRDefault="00C7249D">
            <w:pPr>
              <w:pStyle w:val="TableParagraph"/>
              <w:spacing w:before="127"/>
              <w:ind w:left="141" w:right="887"/>
              <w:rPr>
                <w:rFonts w:ascii="Times New Roman" w:hAnsi="Times New Roman" w:cs="Times New Roman"/>
                <w:lang w:val="da-DK"/>
              </w:rPr>
            </w:pPr>
            <w:r w:rsidRPr="00B600C4">
              <w:rPr>
                <w:rFonts w:ascii="Times New Roman" w:hAnsi="Times New Roman" w:cs="Times New Roman"/>
                <w:lang w:val="da-DK"/>
              </w:rPr>
              <w:t>Symptomatisk LE og DVT</w:t>
            </w:r>
          </w:p>
        </w:tc>
        <w:tc>
          <w:tcPr>
            <w:tcW w:w="1658" w:type="pct"/>
            <w:tcBorders>
              <w:top w:val="single" w:sz="4" w:space="0" w:color="000000"/>
              <w:left w:val="single" w:sz="4" w:space="0" w:color="000000"/>
              <w:bottom w:val="single" w:sz="4" w:space="0" w:color="000000"/>
              <w:right w:val="single" w:sz="4" w:space="0" w:color="000000"/>
            </w:tcBorders>
            <w:hideMark/>
          </w:tcPr>
          <w:p w14:paraId="4BAFB099"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w w:val="99"/>
                <w:lang w:val="da-DK"/>
              </w:rPr>
              <w:t>1</w:t>
            </w:r>
          </w:p>
          <w:p w14:paraId="2E16C6EF" w14:textId="65E58329"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7" w:type="pct"/>
            <w:tcBorders>
              <w:top w:val="single" w:sz="4" w:space="0" w:color="000000"/>
              <w:left w:val="single" w:sz="4" w:space="0" w:color="000000"/>
              <w:bottom w:val="single" w:sz="4" w:space="0" w:color="000000"/>
              <w:right w:val="single" w:sz="6" w:space="0" w:color="000000"/>
            </w:tcBorders>
            <w:hideMark/>
          </w:tcPr>
          <w:p w14:paraId="3ADA8123" w14:textId="77777777" w:rsidR="00C7249D" w:rsidRPr="00B600C4" w:rsidRDefault="00C7249D">
            <w:pPr>
              <w:pStyle w:val="TableParagraph"/>
              <w:spacing w:before="127"/>
              <w:ind w:left="141" w:right="887"/>
              <w:jc w:val="center"/>
              <w:rPr>
                <w:rFonts w:ascii="Times New Roman" w:hAnsi="Times New Roman" w:cs="Times New Roman"/>
                <w:lang w:val="da-DK"/>
              </w:rPr>
            </w:pPr>
            <w:r w:rsidRPr="00B600C4">
              <w:rPr>
                <w:rFonts w:ascii="Times New Roman" w:hAnsi="Times New Roman" w:cs="Times New Roman"/>
                <w:w w:val="99"/>
                <w:lang w:val="da-DK"/>
              </w:rPr>
              <w:t>0</w:t>
            </w:r>
          </w:p>
        </w:tc>
      </w:tr>
      <w:tr w:rsidR="00C7249D" w:rsidRPr="00B600C4" w14:paraId="2761E6DE"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4A40AAE" w14:textId="77777777" w:rsidR="00C7249D" w:rsidRPr="00B600C4" w:rsidRDefault="00C7249D">
            <w:pPr>
              <w:pStyle w:val="TableParagraph"/>
              <w:spacing w:before="2" w:line="254" w:lineRule="exact"/>
              <w:ind w:left="141" w:right="887"/>
              <w:rPr>
                <w:rFonts w:ascii="Times New Roman" w:hAnsi="Times New Roman" w:cs="Times New Roman"/>
                <w:lang w:val="da-DK"/>
              </w:rPr>
            </w:pPr>
            <w:r w:rsidRPr="00B600C4">
              <w:rPr>
                <w:rFonts w:ascii="Times New Roman" w:hAnsi="Times New Roman" w:cs="Times New Roman"/>
                <w:lang w:val="da-DK"/>
              </w:rPr>
              <w:t>Dødelig LE/død, hvor LE 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043AA755"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w w:val="99"/>
                <w:lang w:val="da-DK"/>
              </w:rPr>
              <w:t>4</w:t>
            </w:r>
          </w:p>
          <w:p w14:paraId="59320D7E" w14:textId="748869A1"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(0,2</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7" w:type="pct"/>
            <w:tcBorders>
              <w:top w:val="single" w:sz="4" w:space="0" w:color="000000"/>
              <w:left w:val="single" w:sz="4" w:space="0" w:color="000000"/>
              <w:bottom w:val="single" w:sz="4" w:space="0" w:color="000000"/>
              <w:right w:val="single" w:sz="6" w:space="0" w:color="000000"/>
            </w:tcBorders>
            <w:hideMark/>
          </w:tcPr>
          <w:p w14:paraId="703C7BA7"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w w:val="99"/>
                <w:lang w:val="da-DK"/>
              </w:rPr>
              <w:t>6</w:t>
            </w:r>
          </w:p>
          <w:p w14:paraId="5B60B08D" w14:textId="01C7B9E2"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(0,3</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0972445D" w14:textId="77777777" w:rsidTr="00B600C4">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71E29DB9" w14:textId="77777777" w:rsidR="00C7249D" w:rsidRPr="00B600C4" w:rsidRDefault="00C7249D">
            <w:pPr>
              <w:pStyle w:val="TableParagraph"/>
              <w:spacing w:line="254" w:lineRule="exact"/>
              <w:ind w:left="141" w:right="188"/>
              <w:rPr>
                <w:rFonts w:ascii="Times New Roman" w:hAnsi="Times New Roman" w:cs="Times New Roman"/>
                <w:lang w:val="da-DK"/>
              </w:rPr>
            </w:pPr>
            <w:r w:rsidRPr="00B600C4">
              <w:rPr>
                <w:rFonts w:ascii="Times New Roman" w:hAnsi="Times New Roman" w:cs="Times New Roman"/>
                <w:lang w:val="da-DK"/>
              </w:rPr>
              <w:t>Større eller klinisk relevant mindre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1DC9C290" w14:textId="77777777" w:rsidR="00C7249D" w:rsidRPr="00B600C4" w:rsidRDefault="00C7249D">
            <w:pPr>
              <w:pStyle w:val="TableParagraph"/>
              <w:spacing w:line="251" w:lineRule="exact"/>
              <w:ind w:left="141" w:right="887"/>
              <w:jc w:val="center"/>
              <w:rPr>
                <w:rFonts w:ascii="Times New Roman" w:hAnsi="Times New Roman" w:cs="Times New Roman"/>
                <w:lang w:val="da-DK"/>
              </w:rPr>
            </w:pPr>
            <w:r w:rsidRPr="00B600C4">
              <w:rPr>
                <w:rFonts w:ascii="Times New Roman" w:hAnsi="Times New Roman" w:cs="Times New Roman"/>
                <w:lang w:val="da-DK"/>
              </w:rPr>
              <w:t>139</w:t>
            </w:r>
          </w:p>
          <w:p w14:paraId="6039C7A2" w14:textId="441B9766"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(8,1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7" w:type="pct"/>
            <w:tcBorders>
              <w:top w:val="single" w:sz="4" w:space="0" w:color="000000"/>
              <w:left w:val="single" w:sz="4" w:space="0" w:color="000000"/>
              <w:bottom w:val="single" w:sz="4" w:space="0" w:color="000000"/>
              <w:right w:val="single" w:sz="6" w:space="0" w:color="000000"/>
            </w:tcBorders>
            <w:hideMark/>
          </w:tcPr>
          <w:p w14:paraId="23AC69F8" w14:textId="77777777" w:rsidR="00C7249D" w:rsidRPr="00B600C4" w:rsidRDefault="00C7249D">
            <w:pPr>
              <w:pStyle w:val="TableParagraph"/>
              <w:spacing w:line="251" w:lineRule="exact"/>
              <w:ind w:left="141" w:right="887"/>
              <w:jc w:val="center"/>
              <w:rPr>
                <w:rFonts w:ascii="Times New Roman" w:hAnsi="Times New Roman" w:cs="Times New Roman"/>
                <w:lang w:val="da-DK"/>
              </w:rPr>
            </w:pPr>
            <w:r w:rsidRPr="00B600C4">
              <w:rPr>
                <w:rFonts w:ascii="Times New Roman" w:hAnsi="Times New Roman" w:cs="Times New Roman"/>
                <w:lang w:val="da-DK"/>
              </w:rPr>
              <w:t>138</w:t>
            </w:r>
          </w:p>
          <w:p w14:paraId="286A19F3" w14:textId="21C9152D"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(8,1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75CE9B47" w14:textId="77777777" w:rsidTr="00B600C4">
        <w:trPr>
          <w:trHeight w:val="507"/>
        </w:trPr>
        <w:tc>
          <w:tcPr>
            <w:tcW w:w="1795" w:type="pct"/>
            <w:tcBorders>
              <w:top w:val="single" w:sz="4" w:space="0" w:color="000000"/>
              <w:left w:val="single" w:sz="4" w:space="0" w:color="000000"/>
              <w:bottom w:val="single" w:sz="4" w:space="0" w:color="000000"/>
              <w:right w:val="single" w:sz="4" w:space="0" w:color="000000"/>
            </w:tcBorders>
            <w:hideMark/>
          </w:tcPr>
          <w:p w14:paraId="7FB56964" w14:textId="77777777" w:rsidR="00C7249D" w:rsidRPr="00B600C4" w:rsidRDefault="00C7249D">
            <w:pPr>
              <w:pStyle w:val="TableParagraph"/>
              <w:spacing w:before="125"/>
              <w:ind w:left="141" w:right="887"/>
              <w:rPr>
                <w:rFonts w:ascii="Times New Roman" w:hAnsi="Times New Roman" w:cs="Times New Roman"/>
                <w:lang w:val="da-DK"/>
              </w:rPr>
            </w:pPr>
            <w:r w:rsidRPr="00B600C4">
              <w:rPr>
                <w:rFonts w:ascii="Times New Roman" w:hAnsi="Times New Roman" w:cs="Times New Roman"/>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6D9917B6" w14:textId="77777777" w:rsidR="00C7249D" w:rsidRPr="00B600C4" w:rsidRDefault="00C7249D">
            <w:pPr>
              <w:pStyle w:val="TableParagraph"/>
              <w:spacing w:line="251" w:lineRule="exact"/>
              <w:ind w:left="141" w:right="887"/>
              <w:jc w:val="center"/>
              <w:rPr>
                <w:rFonts w:ascii="Times New Roman" w:hAnsi="Times New Roman" w:cs="Times New Roman"/>
                <w:lang w:val="da-DK"/>
              </w:rPr>
            </w:pPr>
            <w:r w:rsidRPr="00B600C4">
              <w:rPr>
                <w:rFonts w:ascii="Times New Roman" w:hAnsi="Times New Roman" w:cs="Times New Roman"/>
                <w:lang w:val="da-DK"/>
              </w:rPr>
              <w:t>14</w:t>
            </w:r>
          </w:p>
          <w:p w14:paraId="252FA106" w14:textId="7E924A36"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(0,8</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7" w:type="pct"/>
            <w:tcBorders>
              <w:top w:val="single" w:sz="4" w:space="0" w:color="000000"/>
              <w:left w:val="single" w:sz="4" w:space="0" w:color="000000"/>
              <w:bottom w:val="single" w:sz="4" w:space="0" w:color="000000"/>
              <w:right w:val="single" w:sz="6" w:space="0" w:color="000000"/>
            </w:tcBorders>
            <w:hideMark/>
          </w:tcPr>
          <w:p w14:paraId="2F41190E" w14:textId="77777777" w:rsidR="00C7249D" w:rsidRPr="00B600C4" w:rsidRDefault="00C7249D">
            <w:pPr>
              <w:pStyle w:val="TableParagraph"/>
              <w:spacing w:line="251" w:lineRule="exact"/>
              <w:ind w:left="141" w:right="887"/>
              <w:jc w:val="center"/>
              <w:rPr>
                <w:rFonts w:ascii="Times New Roman" w:hAnsi="Times New Roman" w:cs="Times New Roman"/>
                <w:lang w:val="da-DK"/>
              </w:rPr>
            </w:pPr>
            <w:r w:rsidRPr="00B600C4">
              <w:rPr>
                <w:rFonts w:ascii="Times New Roman" w:hAnsi="Times New Roman" w:cs="Times New Roman"/>
                <w:lang w:val="da-DK"/>
              </w:rPr>
              <w:t>20</w:t>
            </w:r>
          </w:p>
          <w:p w14:paraId="6F6AF890" w14:textId="2AE5FD3A"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(1,2</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bl>
    <w:p w14:paraId="1227F373" w14:textId="77777777" w:rsidR="00C7249D" w:rsidRPr="00B600C4" w:rsidRDefault="00C7249D" w:rsidP="00B600C4">
      <w:pPr>
        <w:pStyle w:val="Listeafsnit"/>
        <w:numPr>
          <w:ilvl w:val="0"/>
          <w:numId w:val="8"/>
        </w:numPr>
        <w:ind w:left="426" w:right="887" w:hanging="425"/>
        <w:rPr>
          <w:sz w:val="20"/>
          <w:szCs w:val="20"/>
          <w:lang w:val="da-DK"/>
        </w:rPr>
      </w:pPr>
      <w:r w:rsidRPr="00B600C4">
        <w:rPr>
          <w:sz w:val="20"/>
          <w:szCs w:val="20"/>
          <w:lang w:val="da-DK"/>
        </w:rPr>
        <w:t>Rivaroxaban 15 mg to gange daglig i tre uger efterfulgt af 20 mg en gang</w:t>
      </w:r>
      <w:r w:rsidRPr="00B600C4">
        <w:rPr>
          <w:spacing w:val="-10"/>
          <w:sz w:val="20"/>
          <w:szCs w:val="20"/>
          <w:lang w:val="da-DK"/>
        </w:rPr>
        <w:t xml:space="preserve"> </w:t>
      </w:r>
      <w:r w:rsidRPr="00B600C4">
        <w:rPr>
          <w:sz w:val="20"/>
          <w:szCs w:val="20"/>
          <w:lang w:val="da-DK"/>
        </w:rPr>
        <w:t>daglig</w:t>
      </w:r>
    </w:p>
    <w:p w14:paraId="21B3319C" w14:textId="77777777" w:rsidR="00C7249D" w:rsidRPr="00B600C4" w:rsidRDefault="00C7249D" w:rsidP="00B600C4">
      <w:pPr>
        <w:pStyle w:val="Listeafsnit"/>
        <w:numPr>
          <w:ilvl w:val="0"/>
          <w:numId w:val="8"/>
        </w:numPr>
        <w:tabs>
          <w:tab w:val="left" w:pos="1418"/>
        </w:tabs>
        <w:spacing w:before="1"/>
        <w:ind w:left="426" w:right="887" w:hanging="425"/>
        <w:rPr>
          <w:sz w:val="20"/>
          <w:szCs w:val="20"/>
          <w:lang w:val="da-DK"/>
        </w:rPr>
      </w:pPr>
      <w:r w:rsidRPr="00B600C4">
        <w:rPr>
          <w:sz w:val="20"/>
          <w:szCs w:val="20"/>
          <w:lang w:val="da-DK"/>
        </w:rPr>
        <w:t>Enoxaparin i mindst 5 dage overlappet med og efterfulgt af</w:t>
      </w:r>
      <w:r w:rsidRPr="00B600C4">
        <w:rPr>
          <w:spacing w:val="-5"/>
          <w:sz w:val="20"/>
          <w:szCs w:val="20"/>
          <w:lang w:val="da-DK"/>
        </w:rPr>
        <w:t xml:space="preserve"> </w:t>
      </w:r>
      <w:r w:rsidRPr="00B600C4">
        <w:rPr>
          <w:sz w:val="20"/>
          <w:szCs w:val="20"/>
          <w:lang w:val="da-DK"/>
        </w:rPr>
        <w:t>VKA</w:t>
      </w:r>
    </w:p>
    <w:p w14:paraId="7282F54D" w14:textId="77777777" w:rsidR="00C7249D" w:rsidRPr="00B600C4" w:rsidRDefault="00C7249D" w:rsidP="00B600C4">
      <w:pPr>
        <w:pStyle w:val="Brdtekst"/>
        <w:tabs>
          <w:tab w:val="left" w:pos="1686"/>
        </w:tabs>
        <w:spacing w:before="1"/>
        <w:ind w:left="426" w:right="887" w:hanging="425"/>
        <w:rPr>
          <w:sz w:val="20"/>
          <w:szCs w:val="20"/>
          <w:lang w:val="da-DK"/>
        </w:rPr>
      </w:pPr>
      <w:r w:rsidRPr="00B600C4">
        <w:rPr>
          <w:sz w:val="20"/>
          <w:szCs w:val="20"/>
          <w:lang w:val="da-DK"/>
        </w:rPr>
        <w:lastRenderedPageBreak/>
        <w:t>*</w:t>
      </w:r>
      <w:r w:rsidRPr="00B600C4">
        <w:rPr>
          <w:sz w:val="20"/>
          <w:szCs w:val="20"/>
          <w:lang w:val="da-DK"/>
        </w:rPr>
        <w:tab/>
        <w:t>p &lt; 0,0001 (non-inferioritet i forhold til en forudspecificeret HR på 2,0); HR: 0,680 (0,443 - 1,042), p=0,076</w:t>
      </w:r>
      <w:r w:rsidRPr="00B600C4">
        <w:rPr>
          <w:spacing w:val="-1"/>
          <w:sz w:val="20"/>
          <w:szCs w:val="20"/>
          <w:lang w:val="da-DK"/>
        </w:rPr>
        <w:t xml:space="preserve"> </w:t>
      </w:r>
      <w:r w:rsidRPr="00B600C4">
        <w:rPr>
          <w:sz w:val="20"/>
          <w:szCs w:val="20"/>
          <w:lang w:val="da-DK"/>
        </w:rPr>
        <w:t>(superioritet)</w:t>
      </w:r>
    </w:p>
    <w:p w14:paraId="25097DB1" w14:textId="77777777" w:rsidR="00C7249D" w:rsidRPr="008E19A3" w:rsidRDefault="00C7249D" w:rsidP="00C7249D">
      <w:pPr>
        <w:pStyle w:val="Brdtekst"/>
        <w:ind w:left="851" w:right="887"/>
        <w:rPr>
          <w:sz w:val="24"/>
          <w:szCs w:val="24"/>
          <w:lang w:val="da-DK"/>
        </w:rPr>
      </w:pPr>
    </w:p>
    <w:p w14:paraId="7827A65F" w14:textId="51BC9399" w:rsidR="00C7249D" w:rsidRPr="008E19A3" w:rsidRDefault="00C7249D" w:rsidP="00C7249D">
      <w:pPr>
        <w:pStyle w:val="Brdtekst"/>
        <w:ind w:left="851" w:right="-1"/>
        <w:rPr>
          <w:sz w:val="24"/>
          <w:szCs w:val="24"/>
          <w:lang w:val="da-DK"/>
        </w:rPr>
      </w:pPr>
      <w:r w:rsidRPr="008E19A3">
        <w:rPr>
          <w:sz w:val="24"/>
          <w:szCs w:val="24"/>
          <w:lang w:val="da-DK"/>
        </w:rPr>
        <w:t>I Einstein LE-studiet (se tabel 6)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w:t>
      </w:r>
      <w:r w:rsidR="008E19A3" w:rsidRPr="008E19A3">
        <w:rPr>
          <w:sz w:val="24"/>
          <w:szCs w:val="24"/>
          <w:lang w:val="da-DK"/>
        </w:rPr>
        <w:t xml:space="preserve"> %</w:t>
      </w:r>
      <w:r w:rsidRPr="008E19A3">
        <w:rPr>
          <w:sz w:val="24"/>
          <w:szCs w:val="24"/>
          <w:lang w:val="da-DK"/>
        </w:rPr>
        <w:t xml:space="preserve"> KI: 0,633 - 1,139), nominel p-værdi p=0,275). INR-værdierne var indenfor det terapeutiske område gennemsnitligt 63</w:t>
      </w:r>
      <w:r w:rsidR="008E19A3" w:rsidRPr="008E19A3">
        <w:rPr>
          <w:sz w:val="24"/>
          <w:szCs w:val="24"/>
          <w:lang w:val="da-DK"/>
        </w:rPr>
        <w:t xml:space="preserve"> %</w:t>
      </w:r>
      <w:r w:rsidRPr="008E19A3">
        <w:rPr>
          <w:sz w:val="24"/>
          <w:szCs w:val="24"/>
          <w:lang w:val="da-DK"/>
        </w:rPr>
        <w:t xml:space="preserve"> af tiden ved middelbehandlings</w:t>
      </w:r>
      <w:r w:rsidR="00B600C4">
        <w:rPr>
          <w:sz w:val="24"/>
          <w:szCs w:val="24"/>
          <w:lang w:val="da-DK"/>
        </w:rPr>
        <w:softHyphen/>
      </w:r>
      <w:r w:rsidRPr="008E19A3">
        <w:rPr>
          <w:sz w:val="24"/>
          <w:szCs w:val="24"/>
          <w:lang w:val="da-DK"/>
        </w:rPr>
        <w:t>varighed på 215 dage, og 57</w:t>
      </w:r>
      <w:r w:rsidR="008E19A3" w:rsidRPr="008E19A3">
        <w:rPr>
          <w:sz w:val="24"/>
          <w:szCs w:val="24"/>
          <w:lang w:val="da-DK"/>
        </w:rPr>
        <w:t xml:space="preserve"> %</w:t>
      </w:r>
      <w:r w:rsidRPr="008E19A3">
        <w:rPr>
          <w:sz w:val="24"/>
          <w:szCs w:val="24"/>
          <w:lang w:val="da-DK"/>
        </w:rPr>
        <w:t>, 62</w:t>
      </w:r>
      <w:r w:rsidR="008E19A3" w:rsidRPr="008E19A3">
        <w:rPr>
          <w:sz w:val="24"/>
          <w:szCs w:val="24"/>
          <w:lang w:val="da-DK"/>
        </w:rPr>
        <w:t xml:space="preserve"> %</w:t>
      </w:r>
      <w:r w:rsidRPr="008E19A3">
        <w:rPr>
          <w:sz w:val="24"/>
          <w:szCs w:val="24"/>
          <w:lang w:val="da-DK"/>
        </w:rPr>
        <w:t xml:space="preserve"> og 65</w:t>
      </w:r>
      <w:r w:rsidR="008E19A3" w:rsidRPr="008E19A3">
        <w:rPr>
          <w:sz w:val="24"/>
          <w:szCs w:val="24"/>
          <w:lang w:val="da-DK"/>
        </w:rPr>
        <w:t xml:space="preserve"> %</w:t>
      </w:r>
      <w:r w:rsidRPr="008E19A3">
        <w:rPr>
          <w:sz w:val="24"/>
          <w:szCs w:val="24"/>
          <w:lang w:val="da-DK"/>
        </w:rPr>
        <w:t xml:space="preserve">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w:t>
      </w:r>
      <w:r w:rsidR="008E19A3" w:rsidRPr="008E19A3">
        <w:rPr>
          <w:sz w:val="24"/>
          <w:szCs w:val="24"/>
          <w:lang w:val="da-DK"/>
        </w:rPr>
        <w:t xml:space="preserve"> %</w:t>
      </w:r>
      <w:r w:rsidRPr="008E19A3">
        <w:rPr>
          <w:sz w:val="24"/>
          <w:szCs w:val="24"/>
          <w:lang w:val="da-DK"/>
        </w:rPr>
        <w:t xml:space="preserve"> KI: 0,277 - 1,484).</w:t>
      </w:r>
    </w:p>
    <w:p w14:paraId="242677C2" w14:textId="77777777" w:rsidR="00C7249D" w:rsidRPr="008E19A3" w:rsidRDefault="00C7249D" w:rsidP="00C7249D">
      <w:pPr>
        <w:pStyle w:val="Brdtekst"/>
        <w:ind w:left="851" w:right="-1"/>
        <w:rPr>
          <w:sz w:val="24"/>
          <w:szCs w:val="24"/>
          <w:lang w:val="da-DK"/>
        </w:rPr>
      </w:pPr>
    </w:p>
    <w:p w14:paraId="72CD2105" w14:textId="4A7126C0" w:rsidR="00C7249D" w:rsidRPr="008E19A3" w:rsidRDefault="00C7249D" w:rsidP="00C7249D">
      <w:pPr>
        <w:pStyle w:val="Brdtekst"/>
        <w:ind w:left="851" w:right="-1"/>
        <w:rPr>
          <w:sz w:val="24"/>
          <w:szCs w:val="24"/>
          <w:lang w:val="da-DK"/>
        </w:rPr>
      </w:pPr>
      <w:r w:rsidRPr="008E19A3">
        <w:rPr>
          <w:sz w:val="24"/>
          <w:szCs w:val="24"/>
          <w:lang w:val="da-DK"/>
        </w:rPr>
        <w:t>Frekvensen af det primære sikkerhedsendepunkt (større eller klinisk relevante mindre blødninger) var lidt lavere i rivaroxaban-behandlingsgruppen (10,3</w:t>
      </w:r>
      <w:r w:rsidR="008E19A3" w:rsidRPr="008E19A3">
        <w:rPr>
          <w:sz w:val="24"/>
          <w:szCs w:val="24"/>
          <w:lang w:val="da-DK"/>
        </w:rPr>
        <w:t xml:space="preserve"> %</w:t>
      </w:r>
      <w:r w:rsidRPr="008E19A3">
        <w:rPr>
          <w:sz w:val="24"/>
          <w:szCs w:val="24"/>
          <w:lang w:val="da-DK"/>
        </w:rPr>
        <w:t xml:space="preserve"> (249/2.412)) end i enoxaparin/VKA-gruppen (11,4</w:t>
      </w:r>
      <w:r w:rsidR="008E19A3" w:rsidRPr="008E19A3">
        <w:rPr>
          <w:sz w:val="24"/>
          <w:szCs w:val="24"/>
          <w:lang w:val="da-DK"/>
        </w:rPr>
        <w:t xml:space="preserve"> %</w:t>
      </w:r>
      <w:r w:rsidRPr="008E19A3">
        <w:rPr>
          <w:sz w:val="24"/>
          <w:szCs w:val="24"/>
          <w:lang w:val="da-DK"/>
        </w:rPr>
        <w:t xml:space="preserve"> (274/2.405). Frekvensen af det sekundære sikkerhedsendepunkt (større blødninger) var lavere i rivaroxaban</w:t>
      </w:r>
      <w:r w:rsidR="005761FF">
        <w:rPr>
          <w:sz w:val="24"/>
          <w:szCs w:val="24"/>
          <w:lang w:val="da-DK"/>
        </w:rPr>
        <w:t>-</w:t>
      </w:r>
      <w:r w:rsidRPr="008E19A3">
        <w:rPr>
          <w:sz w:val="24"/>
          <w:szCs w:val="24"/>
          <w:lang w:val="da-DK"/>
        </w:rPr>
        <w:t>gruppen (1,1</w:t>
      </w:r>
      <w:r w:rsidR="008E19A3" w:rsidRPr="008E19A3">
        <w:rPr>
          <w:sz w:val="24"/>
          <w:szCs w:val="24"/>
          <w:lang w:val="da-DK"/>
        </w:rPr>
        <w:t xml:space="preserve"> %</w:t>
      </w:r>
      <w:r w:rsidRPr="008E19A3">
        <w:rPr>
          <w:sz w:val="24"/>
          <w:szCs w:val="24"/>
          <w:lang w:val="da-DK"/>
        </w:rPr>
        <w:t xml:space="preserve"> (26/2.412) end i enoxaparin/VKA-gruppen (2,2</w:t>
      </w:r>
      <w:r w:rsidR="008E19A3" w:rsidRPr="008E19A3">
        <w:rPr>
          <w:sz w:val="24"/>
          <w:szCs w:val="24"/>
          <w:lang w:val="da-DK"/>
        </w:rPr>
        <w:t xml:space="preserve"> %</w:t>
      </w:r>
      <w:r w:rsidRPr="008E19A3">
        <w:rPr>
          <w:sz w:val="24"/>
          <w:szCs w:val="24"/>
          <w:lang w:val="da-DK"/>
        </w:rPr>
        <w:t xml:space="preserve"> (52/2.405) med en HR på 0,493 (95</w:t>
      </w:r>
      <w:r w:rsidR="008E19A3" w:rsidRPr="008E19A3">
        <w:rPr>
          <w:sz w:val="24"/>
          <w:szCs w:val="24"/>
          <w:lang w:val="da-DK"/>
        </w:rPr>
        <w:t xml:space="preserve"> %</w:t>
      </w:r>
      <w:r w:rsidRPr="008E19A3">
        <w:rPr>
          <w:sz w:val="24"/>
          <w:szCs w:val="24"/>
          <w:lang w:val="da-DK"/>
        </w:rPr>
        <w:t xml:space="preserve"> KI: 0,308 - 0,789).</w:t>
      </w:r>
    </w:p>
    <w:p w14:paraId="4278AAF6" w14:textId="77777777" w:rsidR="00C7249D" w:rsidRPr="008E19A3" w:rsidRDefault="00C7249D" w:rsidP="00C7249D">
      <w:pPr>
        <w:pStyle w:val="Brdtekst"/>
        <w:ind w:left="851" w:right="887"/>
        <w:rPr>
          <w:sz w:val="24"/>
          <w:szCs w:val="24"/>
          <w:lang w:val="da-DK"/>
        </w:rPr>
      </w:pPr>
    </w:p>
    <w:p w14:paraId="2A4379CF" w14:textId="77777777" w:rsidR="00C7249D" w:rsidRPr="008E19A3" w:rsidRDefault="00C7249D" w:rsidP="00C7249D">
      <w:pPr>
        <w:pStyle w:val="Overskrift2"/>
        <w:spacing w:before="0"/>
        <w:ind w:left="0" w:right="887"/>
        <w:rPr>
          <w:sz w:val="24"/>
          <w:szCs w:val="24"/>
          <w:lang w:val="da-DK"/>
        </w:rPr>
      </w:pPr>
      <w:r w:rsidRPr="008E19A3">
        <w:rPr>
          <w:sz w:val="24"/>
          <w:szCs w:val="24"/>
          <w:lang w:val="da-DK"/>
        </w:rPr>
        <w:t>Tabel 6: Effekt- og sikkerhedsresultater fra fase III Einstein PE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C7249D" w:rsidRPr="00B600C4" w14:paraId="5D418355" w14:textId="77777777" w:rsidTr="00B600C4">
        <w:trPr>
          <w:trHeight w:val="253"/>
        </w:trPr>
        <w:tc>
          <w:tcPr>
            <w:tcW w:w="1795" w:type="pct"/>
            <w:tcBorders>
              <w:top w:val="single" w:sz="4" w:space="0" w:color="000000"/>
              <w:left w:val="single" w:sz="4" w:space="0" w:color="000000"/>
              <w:bottom w:val="single" w:sz="4" w:space="0" w:color="000000"/>
              <w:right w:val="single" w:sz="4" w:space="0" w:color="000000"/>
            </w:tcBorders>
            <w:hideMark/>
          </w:tcPr>
          <w:p w14:paraId="79A4B6E3" w14:textId="77777777" w:rsidR="00C7249D" w:rsidRPr="00B600C4" w:rsidRDefault="00C7249D">
            <w:pPr>
              <w:pStyle w:val="TableParagraph"/>
              <w:spacing w:line="234" w:lineRule="exact"/>
              <w:ind w:left="141" w:right="887"/>
              <w:rPr>
                <w:rFonts w:ascii="Times New Roman" w:hAnsi="Times New Roman" w:cs="Times New Roman"/>
                <w:b/>
                <w:bCs/>
                <w:lang w:val="da-DK"/>
              </w:rPr>
            </w:pPr>
            <w:r w:rsidRPr="00B600C4">
              <w:rPr>
                <w:rFonts w:ascii="Times New Roman" w:hAnsi="Times New Roman" w:cs="Times New Roman"/>
                <w:b/>
                <w:bCs/>
                <w:lang w:val="da-DK"/>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3F09279D" w14:textId="77777777" w:rsidR="00C7249D" w:rsidRPr="00B600C4" w:rsidRDefault="00C7249D">
            <w:pPr>
              <w:pStyle w:val="TableParagraph"/>
              <w:spacing w:line="234" w:lineRule="exact"/>
              <w:ind w:left="141" w:right="887"/>
              <w:jc w:val="center"/>
              <w:rPr>
                <w:rFonts w:ascii="Times New Roman" w:hAnsi="Times New Roman" w:cs="Times New Roman"/>
                <w:b/>
                <w:bCs/>
                <w:lang w:val="da-DK"/>
              </w:rPr>
            </w:pPr>
            <w:r w:rsidRPr="00B600C4">
              <w:rPr>
                <w:rFonts w:ascii="Times New Roman" w:hAnsi="Times New Roman" w:cs="Times New Roman"/>
                <w:b/>
                <w:bCs/>
                <w:lang w:val="da-DK"/>
              </w:rPr>
              <w:t>4.832 patienter med akut symtomatisk PE</w:t>
            </w:r>
          </w:p>
        </w:tc>
      </w:tr>
      <w:tr w:rsidR="00C7249D" w:rsidRPr="00B600C4" w14:paraId="65021F83" w14:textId="77777777" w:rsidTr="00B600C4">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355830CA" w14:textId="77777777" w:rsidR="00C7249D" w:rsidRPr="00B600C4" w:rsidRDefault="00C7249D">
            <w:pPr>
              <w:pStyle w:val="TableParagraph"/>
              <w:ind w:left="141" w:right="887"/>
              <w:rPr>
                <w:rFonts w:ascii="Times New Roman" w:hAnsi="Times New Roman" w:cs="Times New Roman"/>
                <w:b/>
                <w:bCs/>
                <w:lang w:val="da-DK"/>
              </w:rPr>
            </w:pPr>
            <w:r w:rsidRPr="00B600C4">
              <w:rPr>
                <w:rFonts w:ascii="Times New Roman" w:hAnsi="Times New Roman" w:cs="Times New Roman"/>
                <w:b/>
                <w:bCs/>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13549837" w14:textId="77777777" w:rsidR="00C7249D" w:rsidRPr="00B600C4" w:rsidRDefault="00C7249D">
            <w:pPr>
              <w:pStyle w:val="TableParagraph"/>
              <w:spacing w:line="253" w:lineRule="exact"/>
              <w:ind w:left="141"/>
              <w:jc w:val="center"/>
              <w:rPr>
                <w:rFonts w:ascii="Times New Roman" w:hAnsi="Times New Roman" w:cs="Times New Roman"/>
                <w:b/>
                <w:bCs/>
                <w:lang w:val="da-DK"/>
              </w:rPr>
            </w:pPr>
            <w:r w:rsidRPr="00B600C4">
              <w:rPr>
                <w:rFonts w:ascii="Times New Roman" w:hAnsi="Times New Roman" w:cs="Times New Roman"/>
                <w:b/>
                <w:bCs/>
                <w:lang w:val="da-DK"/>
              </w:rPr>
              <w:t>Rivaroxaban</w:t>
            </w:r>
            <w:r w:rsidRPr="00B600C4">
              <w:rPr>
                <w:rFonts w:ascii="Times New Roman" w:hAnsi="Times New Roman" w:cs="Times New Roman"/>
                <w:b/>
                <w:bCs/>
                <w:vertAlign w:val="superscript"/>
                <w:lang w:val="da-DK"/>
              </w:rPr>
              <w:t>a)</w:t>
            </w:r>
          </w:p>
          <w:p w14:paraId="2F603FDC" w14:textId="77777777" w:rsidR="00C7249D" w:rsidRPr="00B600C4" w:rsidRDefault="00C7249D">
            <w:pPr>
              <w:pStyle w:val="TableParagraph"/>
              <w:spacing w:before="1" w:line="250" w:lineRule="atLeast"/>
              <w:ind w:left="142"/>
              <w:jc w:val="center"/>
              <w:rPr>
                <w:rFonts w:ascii="Times New Roman" w:hAnsi="Times New Roman" w:cs="Times New Roman"/>
                <w:b/>
                <w:bCs/>
                <w:lang w:val="da-DK"/>
              </w:rPr>
            </w:pPr>
            <w:r w:rsidRPr="00B600C4">
              <w:rPr>
                <w:rFonts w:ascii="Times New Roman" w:hAnsi="Times New Roman" w:cs="Times New Roman"/>
                <w:b/>
                <w:bCs/>
                <w:lang w:val="da-DK"/>
              </w:rPr>
              <w:t>3, 6 eller 12</w:t>
            </w:r>
            <w:r w:rsidRPr="00B600C4">
              <w:rPr>
                <w:rFonts w:ascii="Times New Roman" w:hAnsi="Times New Roman" w:cs="Times New Roman"/>
                <w:b/>
                <w:bCs/>
                <w:spacing w:val="-11"/>
                <w:lang w:val="da-DK"/>
              </w:rPr>
              <w:t xml:space="preserve"> </w:t>
            </w:r>
            <w:r w:rsidRPr="00B600C4">
              <w:rPr>
                <w:rFonts w:ascii="Times New Roman" w:hAnsi="Times New Roman" w:cs="Times New Roman"/>
                <w:b/>
                <w:bCs/>
                <w:lang w:val="da-DK"/>
              </w:rPr>
              <w:t>måneder N=2.419</w:t>
            </w:r>
          </w:p>
        </w:tc>
        <w:tc>
          <w:tcPr>
            <w:tcW w:w="1548" w:type="pct"/>
            <w:tcBorders>
              <w:top w:val="single" w:sz="4" w:space="0" w:color="000000"/>
              <w:left w:val="single" w:sz="4" w:space="0" w:color="000000"/>
              <w:bottom w:val="single" w:sz="4" w:space="0" w:color="000000"/>
              <w:right w:val="single" w:sz="4" w:space="0" w:color="000000"/>
            </w:tcBorders>
            <w:hideMark/>
          </w:tcPr>
          <w:p w14:paraId="1A7EB883" w14:textId="77777777" w:rsidR="00C7249D" w:rsidRPr="00B600C4" w:rsidRDefault="00C7249D">
            <w:pPr>
              <w:pStyle w:val="TableParagraph"/>
              <w:spacing w:before="1" w:line="254" w:lineRule="exact"/>
              <w:ind w:left="141"/>
              <w:jc w:val="center"/>
              <w:rPr>
                <w:rFonts w:ascii="Times New Roman" w:hAnsi="Times New Roman" w:cs="Times New Roman"/>
                <w:b/>
                <w:bCs/>
                <w:lang w:val="da-DK"/>
              </w:rPr>
            </w:pPr>
            <w:r w:rsidRPr="00B600C4">
              <w:rPr>
                <w:rFonts w:ascii="Times New Roman" w:hAnsi="Times New Roman" w:cs="Times New Roman"/>
                <w:b/>
                <w:bCs/>
                <w:lang w:val="da-DK"/>
              </w:rPr>
              <w:t>Enoxaparin/VKA</w:t>
            </w:r>
            <w:r w:rsidRPr="00B600C4">
              <w:rPr>
                <w:rFonts w:ascii="Times New Roman" w:hAnsi="Times New Roman" w:cs="Times New Roman"/>
                <w:b/>
                <w:bCs/>
                <w:vertAlign w:val="superscript"/>
                <w:lang w:val="da-DK"/>
              </w:rPr>
              <w:t>b)</w:t>
            </w:r>
            <w:r w:rsidRPr="00B600C4">
              <w:rPr>
                <w:rFonts w:ascii="Times New Roman" w:hAnsi="Times New Roman" w:cs="Times New Roman"/>
                <w:b/>
                <w:bCs/>
                <w:lang w:val="da-DK"/>
              </w:rPr>
              <w:t xml:space="preserve"> </w:t>
            </w:r>
          </w:p>
          <w:p w14:paraId="0A79280D" w14:textId="77777777" w:rsidR="00C7249D" w:rsidRPr="00B600C4" w:rsidRDefault="00C7249D">
            <w:pPr>
              <w:pStyle w:val="TableParagraph"/>
              <w:spacing w:before="1" w:line="254" w:lineRule="exact"/>
              <w:ind w:left="141"/>
              <w:jc w:val="center"/>
              <w:rPr>
                <w:rFonts w:ascii="Times New Roman" w:hAnsi="Times New Roman" w:cs="Times New Roman"/>
                <w:b/>
                <w:bCs/>
                <w:lang w:val="da-DK"/>
              </w:rPr>
            </w:pPr>
            <w:r w:rsidRPr="00B600C4">
              <w:rPr>
                <w:rFonts w:ascii="Times New Roman" w:hAnsi="Times New Roman" w:cs="Times New Roman"/>
                <w:b/>
                <w:bCs/>
                <w:lang w:val="da-DK"/>
              </w:rPr>
              <w:t>3, 6 eller 12</w:t>
            </w:r>
            <w:r w:rsidRPr="00B600C4">
              <w:rPr>
                <w:rFonts w:ascii="Times New Roman" w:hAnsi="Times New Roman" w:cs="Times New Roman"/>
                <w:b/>
                <w:bCs/>
                <w:spacing w:val="-11"/>
                <w:lang w:val="da-DK"/>
              </w:rPr>
              <w:t xml:space="preserve"> </w:t>
            </w:r>
            <w:r w:rsidRPr="00B600C4">
              <w:rPr>
                <w:rFonts w:ascii="Times New Roman" w:hAnsi="Times New Roman" w:cs="Times New Roman"/>
                <w:b/>
                <w:bCs/>
                <w:lang w:val="da-DK"/>
              </w:rPr>
              <w:t>måneder N=2.413</w:t>
            </w:r>
          </w:p>
        </w:tc>
      </w:tr>
      <w:tr w:rsidR="00C7249D" w:rsidRPr="00B600C4" w14:paraId="3731BCD3"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1D7FC58D" w14:textId="77777777" w:rsidR="00C7249D" w:rsidRPr="00B600C4" w:rsidRDefault="00C7249D">
            <w:pPr>
              <w:pStyle w:val="TableParagraph"/>
              <w:spacing w:before="126"/>
              <w:ind w:left="141" w:right="46"/>
              <w:rPr>
                <w:rFonts w:ascii="Times New Roman" w:hAnsi="Times New Roman" w:cs="Times New Roman"/>
                <w:lang w:val="da-DK"/>
              </w:rPr>
            </w:pPr>
            <w:r w:rsidRPr="00B600C4">
              <w:rPr>
                <w:rFonts w:ascii="Times New Roman" w:hAnsi="Times New Roman" w:cs="Times New Roman"/>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49CA6759" w14:textId="77777777" w:rsidR="00C7249D" w:rsidRPr="00B600C4" w:rsidRDefault="00C7249D">
            <w:pPr>
              <w:pStyle w:val="TableParagraph"/>
              <w:spacing w:line="252" w:lineRule="exact"/>
              <w:ind w:left="141" w:right="887"/>
              <w:jc w:val="center"/>
              <w:rPr>
                <w:rFonts w:ascii="Times New Roman" w:hAnsi="Times New Roman" w:cs="Times New Roman"/>
                <w:lang w:val="da-DK"/>
              </w:rPr>
            </w:pPr>
            <w:r w:rsidRPr="00B600C4">
              <w:rPr>
                <w:rFonts w:ascii="Times New Roman" w:hAnsi="Times New Roman" w:cs="Times New Roman"/>
                <w:lang w:val="da-DK"/>
              </w:rPr>
              <w:t>50</w:t>
            </w:r>
          </w:p>
          <w:p w14:paraId="74EB92DA" w14:textId="295F5FBF"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(2,1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0C6DA704" w14:textId="77777777" w:rsidR="00C7249D" w:rsidRPr="00B600C4" w:rsidRDefault="00C7249D">
            <w:pPr>
              <w:pStyle w:val="TableParagraph"/>
              <w:spacing w:line="252" w:lineRule="exact"/>
              <w:ind w:left="141" w:right="887"/>
              <w:jc w:val="center"/>
              <w:rPr>
                <w:rFonts w:ascii="Times New Roman" w:hAnsi="Times New Roman" w:cs="Times New Roman"/>
                <w:lang w:val="da-DK"/>
              </w:rPr>
            </w:pPr>
            <w:r w:rsidRPr="00B600C4">
              <w:rPr>
                <w:rFonts w:ascii="Times New Roman" w:hAnsi="Times New Roman" w:cs="Times New Roman"/>
                <w:lang w:val="da-DK"/>
              </w:rPr>
              <w:t>44</w:t>
            </w:r>
          </w:p>
          <w:p w14:paraId="65ACF4A1" w14:textId="63837862"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(1,8</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3FF13D50"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0A25B98E" w14:textId="77777777" w:rsidR="00C7249D" w:rsidRPr="00B600C4" w:rsidRDefault="00C7249D">
            <w:pPr>
              <w:pStyle w:val="TableParagraph"/>
              <w:spacing w:before="127"/>
              <w:ind w:left="141" w:right="46"/>
              <w:rPr>
                <w:rFonts w:ascii="Times New Roman" w:hAnsi="Times New Roman" w:cs="Times New Roman"/>
                <w:lang w:val="da-DK"/>
              </w:rPr>
            </w:pPr>
            <w:r w:rsidRPr="00B600C4">
              <w:rPr>
                <w:rFonts w:ascii="Times New Roman" w:hAnsi="Times New Roman" w:cs="Times New Roman"/>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644C3A53"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23</w:t>
            </w:r>
          </w:p>
          <w:p w14:paraId="5B6675C4" w14:textId="47989771"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(1,0</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04C0C476"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20</w:t>
            </w:r>
          </w:p>
          <w:p w14:paraId="723D97B0" w14:textId="6913E6D3"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(0,8</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33C33D22"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4CA0200" w14:textId="77777777" w:rsidR="00C7249D" w:rsidRPr="00B600C4" w:rsidRDefault="00C7249D">
            <w:pPr>
              <w:pStyle w:val="TableParagraph"/>
              <w:spacing w:before="127"/>
              <w:ind w:left="141" w:right="46"/>
              <w:rPr>
                <w:rFonts w:ascii="Times New Roman" w:hAnsi="Times New Roman" w:cs="Times New Roman"/>
                <w:lang w:val="da-DK"/>
              </w:rPr>
            </w:pPr>
            <w:r w:rsidRPr="00B600C4">
              <w:rPr>
                <w:rFonts w:ascii="Times New Roman" w:hAnsi="Times New Roman" w:cs="Times New Roman"/>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74BB8EF7"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18</w:t>
            </w:r>
          </w:p>
          <w:p w14:paraId="5A68992F" w14:textId="622B42EC"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(0,7</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79C978DC"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17</w:t>
            </w:r>
          </w:p>
          <w:p w14:paraId="412E997E" w14:textId="692ABBE9"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(0,7</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583AEEAD"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40D0A54" w14:textId="77777777" w:rsidR="00C7249D" w:rsidRPr="00B600C4" w:rsidRDefault="00C7249D">
            <w:pPr>
              <w:pStyle w:val="TableParagraph"/>
              <w:spacing w:before="127"/>
              <w:ind w:left="141" w:right="887"/>
              <w:rPr>
                <w:rFonts w:ascii="Times New Roman" w:hAnsi="Times New Roman" w:cs="Times New Roman"/>
                <w:lang w:val="da-DK"/>
              </w:rPr>
            </w:pPr>
            <w:r w:rsidRPr="00B600C4">
              <w:rPr>
                <w:rFonts w:ascii="Times New Roman" w:hAnsi="Times New Roman" w:cs="Times New Roman"/>
                <w:lang w:val="da-DK"/>
              </w:rPr>
              <w:t>Symptomatisk PE og DVT</w:t>
            </w:r>
          </w:p>
        </w:tc>
        <w:tc>
          <w:tcPr>
            <w:tcW w:w="1658" w:type="pct"/>
            <w:tcBorders>
              <w:top w:val="single" w:sz="4" w:space="0" w:color="000000"/>
              <w:left w:val="single" w:sz="4" w:space="0" w:color="000000"/>
              <w:bottom w:val="single" w:sz="4" w:space="0" w:color="000000"/>
              <w:right w:val="single" w:sz="4" w:space="0" w:color="000000"/>
            </w:tcBorders>
            <w:hideMark/>
          </w:tcPr>
          <w:p w14:paraId="63523592" w14:textId="77777777" w:rsidR="00C7249D" w:rsidRPr="00B600C4" w:rsidRDefault="00C7249D">
            <w:pPr>
              <w:pStyle w:val="TableParagraph"/>
              <w:spacing w:before="127"/>
              <w:ind w:left="141" w:right="887"/>
              <w:jc w:val="center"/>
              <w:rPr>
                <w:rFonts w:ascii="Times New Roman" w:hAnsi="Times New Roman" w:cs="Times New Roman"/>
                <w:lang w:val="da-DK"/>
              </w:rPr>
            </w:pPr>
            <w:r w:rsidRPr="00B600C4">
              <w:rPr>
                <w:rFonts w:ascii="Times New Roman" w:hAnsi="Times New Roman" w:cs="Times New Roman"/>
                <w:w w:val="99"/>
                <w:lang w:val="da-DK"/>
              </w:rPr>
              <w:t>0</w:t>
            </w:r>
          </w:p>
        </w:tc>
        <w:tc>
          <w:tcPr>
            <w:tcW w:w="1548" w:type="pct"/>
            <w:tcBorders>
              <w:top w:val="single" w:sz="4" w:space="0" w:color="000000"/>
              <w:left w:val="single" w:sz="4" w:space="0" w:color="000000"/>
              <w:bottom w:val="single" w:sz="4" w:space="0" w:color="000000"/>
              <w:right w:val="single" w:sz="4" w:space="0" w:color="000000"/>
            </w:tcBorders>
            <w:hideMark/>
          </w:tcPr>
          <w:p w14:paraId="63DE01F2"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w w:val="99"/>
                <w:lang w:val="da-DK"/>
              </w:rPr>
              <w:t>2</w:t>
            </w:r>
          </w:p>
          <w:p w14:paraId="56FD8DEF" w14:textId="3BBF2D93"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(&lt;0,1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0EC9BA8E"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7E34F6B" w14:textId="77777777" w:rsidR="00C7249D" w:rsidRPr="00B600C4" w:rsidRDefault="00C7249D">
            <w:pPr>
              <w:pStyle w:val="TableParagraph"/>
              <w:spacing w:before="2" w:line="254" w:lineRule="exact"/>
              <w:ind w:left="141" w:right="887"/>
              <w:rPr>
                <w:rFonts w:ascii="Times New Roman" w:hAnsi="Times New Roman" w:cs="Times New Roman"/>
                <w:lang w:val="da-DK"/>
              </w:rPr>
            </w:pPr>
            <w:r w:rsidRPr="00B600C4">
              <w:rPr>
                <w:rFonts w:ascii="Times New Roman" w:hAnsi="Times New Roman" w:cs="Times New Roman"/>
                <w:lang w:val="da-DK"/>
              </w:rPr>
              <w:t>Dødelig LE/Død, hvor PE 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166A9D48"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lang w:val="da-DK"/>
              </w:rPr>
              <w:t>11</w:t>
            </w:r>
          </w:p>
          <w:p w14:paraId="13208BBB" w14:textId="42CC0198"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(0,5</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629D3DBA" w14:textId="77777777" w:rsidR="00C7249D" w:rsidRPr="00B600C4" w:rsidRDefault="00C7249D">
            <w:pPr>
              <w:pStyle w:val="TableParagraph"/>
              <w:spacing w:line="253" w:lineRule="exact"/>
              <w:ind w:left="141" w:right="887"/>
              <w:jc w:val="center"/>
              <w:rPr>
                <w:rFonts w:ascii="Times New Roman" w:hAnsi="Times New Roman" w:cs="Times New Roman"/>
                <w:lang w:val="da-DK"/>
              </w:rPr>
            </w:pPr>
            <w:r w:rsidRPr="00B600C4">
              <w:rPr>
                <w:rFonts w:ascii="Times New Roman" w:hAnsi="Times New Roman" w:cs="Times New Roman"/>
                <w:w w:val="99"/>
                <w:lang w:val="da-DK"/>
              </w:rPr>
              <w:t>7</w:t>
            </w:r>
          </w:p>
          <w:p w14:paraId="4555FCA2" w14:textId="0F65D066"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(0,3</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36613283" w14:textId="77777777" w:rsidTr="00B600C4">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6C069C0C" w14:textId="77777777" w:rsidR="00C7249D" w:rsidRPr="00B600C4" w:rsidRDefault="00C7249D">
            <w:pPr>
              <w:pStyle w:val="TableParagraph"/>
              <w:spacing w:line="254" w:lineRule="exact"/>
              <w:ind w:left="141" w:right="887"/>
              <w:rPr>
                <w:rFonts w:ascii="Times New Roman" w:hAnsi="Times New Roman" w:cs="Times New Roman"/>
                <w:lang w:val="da-DK"/>
              </w:rPr>
            </w:pPr>
            <w:r w:rsidRPr="00B600C4">
              <w:rPr>
                <w:rFonts w:ascii="Times New Roman" w:hAnsi="Times New Roman" w:cs="Times New Roman"/>
                <w:lang w:val="da-DK"/>
              </w:rPr>
              <w:t>Større eller mindre klinisk relevant blødning</w:t>
            </w:r>
          </w:p>
        </w:tc>
        <w:tc>
          <w:tcPr>
            <w:tcW w:w="1658" w:type="pct"/>
            <w:tcBorders>
              <w:top w:val="single" w:sz="4" w:space="0" w:color="000000"/>
              <w:left w:val="single" w:sz="4" w:space="0" w:color="000000"/>
              <w:bottom w:val="single" w:sz="4" w:space="0" w:color="000000"/>
              <w:right w:val="single" w:sz="4" w:space="0" w:color="000000"/>
            </w:tcBorders>
            <w:hideMark/>
          </w:tcPr>
          <w:p w14:paraId="549D569E" w14:textId="77777777" w:rsidR="00C7249D" w:rsidRPr="00B600C4" w:rsidRDefault="00C7249D">
            <w:pPr>
              <w:pStyle w:val="TableParagraph"/>
              <w:spacing w:line="251" w:lineRule="exact"/>
              <w:ind w:left="141" w:right="887"/>
              <w:jc w:val="center"/>
              <w:rPr>
                <w:rFonts w:ascii="Times New Roman" w:hAnsi="Times New Roman" w:cs="Times New Roman"/>
                <w:lang w:val="da-DK"/>
              </w:rPr>
            </w:pPr>
            <w:r w:rsidRPr="00B600C4">
              <w:rPr>
                <w:rFonts w:ascii="Times New Roman" w:hAnsi="Times New Roman" w:cs="Times New Roman"/>
                <w:lang w:val="da-DK"/>
              </w:rPr>
              <w:t>249</w:t>
            </w:r>
          </w:p>
          <w:p w14:paraId="3310D8B8" w14:textId="0F843471"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(10,3</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2856E536" w14:textId="77777777" w:rsidR="00C7249D" w:rsidRPr="00B600C4" w:rsidRDefault="00C7249D">
            <w:pPr>
              <w:pStyle w:val="TableParagraph"/>
              <w:spacing w:line="251" w:lineRule="exact"/>
              <w:ind w:left="141" w:right="887"/>
              <w:jc w:val="center"/>
              <w:rPr>
                <w:rFonts w:ascii="Times New Roman" w:hAnsi="Times New Roman" w:cs="Times New Roman"/>
                <w:lang w:val="da-DK"/>
              </w:rPr>
            </w:pPr>
            <w:r w:rsidRPr="00B600C4">
              <w:rPr>
                <w:rFonts w:ascii="Times New Roman" w:hAnsi="Times New Roman" w:cs="Times New Roman"/>
                <w:lang w:val="da-DK"/>
              </w:rPr>
              <w:t>274</w:t>
            </w:r>
          </w:p>
          <w:p w14:paraId="28A3FE58" w14:textId="6F52C406"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(11,4</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7A058711" w14:textId="77777777" w:rsidTr="00B600C4">
        <w:trPr>
          <w:trHeight w:val="507"/>
        </w:trPr>
        <w:tc>
          <w:tcPr>
            <w:tcW w:w="1795" w:type="pct"/>
            <w:tcBorders>
              <w:top w:val="single" w:sz="4" w:space="0" w:color="000000"/>
              <w:left w:val="single" w:sz="4" w:space="0" w:color="000000"/>
              <w:bottom w:val="single" w:sz="4" w:space="0" w:color="000000"/>
              <w:right w:val="single" w:sz="4" w:space="0" w:color="000000"/>
            </w:tcBorders>
            <w:hideMark/>
          </w:tcPr>
          <w:p w14:paraId="49DB9C70" w14:textId="77777777" w:rsidR="00C7249D" w:rsidRPr="00B600C4" w:rsidRDefault="00C7249D">
            <w:pPr>
              <w:pStyle w:val="TableParagraph"/>
              <w:spacing w:before="125"/>
              <w:ind w:left="141" w:right="887"/>
              <w:rPr>
                <w:rFonts w:ascii="Times New Roman" w:hAnsi="Times New Roman" w:cs="Times New Roman"/>
                <w:lang w:val="da-DK"/>
              </w:rPr>
            </w:pPr>
            <w:r w:rsidRPr="00B600C4">
              <w:rPr>
                <w:rFonts w:ascii="Times New Roman" w:hAnsi="Times New Roman" w:cs="Times New Roman"/>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090D4E28" w14:textId="77777777" w:rsidR="00C7249D" w:rsidRPr="00B600C4" w:rsidRDefault="00C7249D">
            <w:pPr>
              <w:pStyle w:val="TableParagraph"/>
              <w:spacing w:line="251" w:lineRule="exact"/>
              <w:ind w:left="141" w:right="887"/>
              <w:jc w:val="center"/>
              <w:rPr>
                <w:rFonts w:ascii="Times New Roman" w:hAnsi="Times New Roman" w:cs="Times New Roman"/>
                <w:lang w:val="da-DK"/>
              </w:rPr>
            </w:pPr>
            <w:r w:rsidRPr="00B600C4">
              <w:rPr>
                <w:rFonts w:ascii="Times New Roman" w:hAnsi="Times New Roman" w:cs="Times New Roman"/>
                <w:lang w:val="da-DK"/>
              </w:rPr>
              <w:t>26</w:t>
            </w:r>
          </w:p>
          <w:p w14:paraId="5E7C035C" w14:textId="3C63C5B7"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(1,1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5699CE6A" w14:textId="77777777" w:rsidR="00C7249D" w:rsidRPr="00B600C4" w:rsidRDefault="00C7249D">
            <w:pPr>
              <w:pStyle w:val="TableParagraph"/>
              <w:spacing w:line="251" w:lineRule="exact"/>
              <w:ind w:left="141" w:right="887"/>
              <w:jc w:val="center"/>
              <w:rPr>
                <w:rFonts w:ascii="Times New Roman" w:hAnsi="Times New Roman" w:cs="Times New Roman"/>
                <w:lang w:val="da-DK"/>
              </w:rPr>
            </w:pPr>
            <w:r w:rsidRPr="00B600C4">
              <w:rPr>
                <w:rFonts w:ascii="Times New Roman" w:hAnsi="Times New Roman" w:cs="Times New Roman"/>
                <w:lang w:val="da-DK"/>
              </w:rPr>
              <w:t>52</w:t>
            </w:r>
          </w:p>
          <w:p w14:paraId="6590AB39" w14:textId="7D953C9C" w:rsidR="00C7249D" w:rsidRPr="00B600C4" w:rsidRDefault="00C7249D">
            <w:pPr>
              <w:pStyle w:val="TableParagraph"/>
              <w:spacing w:before="1" w:line="234" w:lineRule="exact"/>
              <w:ind w:left="141" w:right="887"/>
              <w:jc w:val="center"/>
              <w:rPr>
                <w:rFonts w:ascii="Times New Roman" w:hAnsi="Times New Roman" w:cs="Times New Roman"/>
                <w:lang w:val="da-DK"/>
              </w:rPr>
            </w:pPr>
            <w:r w:rsidRPr="00B600C4">
              <w:rPr>
                <w:rFonts w:ascii="Times New Roman" w:hAnsi="Times New Roman" w:cs="Times New Roman"/>
                <w:lang w:val="da-DK"/>
              </w:rPr>
              <w:t>(2,2</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bl>
    <w:p w14:paraId="411B7D74" w14:textId="77777777" w:rsidR="00C7249D" w:rsidRPr="00B600C4" w:rsidRDefault="00C7249D" w:rsidP="00B600C4">
      <w:pPr>
        <w:pStyle w:val="Listeafsnit"/>
        <w:numPr>
          <w:ilvl w:val="0"/>
          <w:numId w:val="9"/>
        </w:numPr>
        <w:ind w:left="426" w:right="887" w:hanging="425"/>
        <w:rPr>
          <w:sz w:val="20"/>
          <w:szCs w:val="20"/>
          <w:lang w:val="da-DK"/>
        </w:rPr>
      </w:pPr>
      <w:r w:rsidRPr="00B600C4">
        <w:rPr>
          <w:sz w:val="20"/>
          <w:szCs w:val="20"/>
          <w:lang w:val="da-DK"/>
        </w:rPr>
        <w:t>Rivaroxaban 15 mg to gange daglig i tre uger efterfulgt af 20 mg en gang</w:t>
      </w:r>
      <w:r w:rsidRPr="00B600C4">
        <w:rPr>
          <w:spacing w:val="-10"/>
          <w:sz w:val="20"/>
          <w:szCs w:val="20"/>
          <w:lang w:val="da-DK"/>
        </w:rPr>
        <w:t xml:space="preserve"> </w:t>
      </w:r>
      <w:r w:rsidRPr="00B600C4">
        <w:rPr>
          <w:sz w:val="20"/>
          <w:szCs w:val="20"/>
          <w:lang w:val="da-DK"/>
        </w:rPr>
        <w:t>daglig</w:t>
      </w:r>
    </w:p>
    <w:p w14:paraId="56A8A2BB" w14:textId="77777777" w:rsidR="00C7249D" w:rsidRPr="00B600C4" w:rsidRDefault="00C7249D" w:rsidP="00B600C4">
      <w:pPr>
        <w:pStyle w:val="Listeafsnit"/>
        <w:numPr>
          <w:ilvl w:val="0"/>
          <w:numId w:val="9"/>
        </w:numPr>
        <w:tabs>
          <w:tab w:val="left" w:pos="1418"/>
        </w:tabs>
        <w:spacing w:before="1"/>
        <w:ind w:left="426" w:right="887" w:hanging="425"/>
        <w:rPr>
          <w:sz w:val="20"/>
          <w:szCs w:val="20"/>
          <w:lang w:val="da-DK"/>
        </w:rPr>
      </w:pPr>
      <w:r w:rsidRPr="00B600C4">
        <w:rPr>
          <w:sz w:val="20"/>
          <w:szCs w:val="20"/>
          <w:lang w:val="da-DK"/>
        </w:rPr>
        <w:t>Enoxaparin i mindst 5 dage, overlappet med og efterfulgt af</w:t>
      </w:r>
      <w:r w:rsidRPr="00B600C4">
        <w:rPr>
          <w:spacing w:val="-5"/>
          <w:sz w:val="20"/>
          <w:szCs w:val="20"/>
          <w:lang w:val="da-DK"/>
        </w:rPr>
        <w:t xml:space="preserve"> </w:t>
      </w:r>
      <w:r w:rsidRPr="00B600C4">
        <w:rPr>
          <w:sz w:val="20"/>
          <w:szCs w:val="20"/>
          <w:lang w:val="da-DK"/>
        </w:rPr>
        <w:t>VKA</w:t>
      </w:r>
    </w:p>
    <w:p w14:paraId="1E77C6BD" w14:textId="77777777" w:rsidR="00C7249D" w:rsidRPr="00B600C4" w:rsidRDefault="00C7249D" w:rsidP="00B600C4">
      <w:pPr>
        <w:pStyle w:val="Listeafsnit"/>
        <w:numPr>
          <w:ilvl w:val="0"/>
          <w:numId w:val="10"/>
        </w:numPr>
        <w:tabs>
          <w:tab w:val="left" w:pos="993"/>
        </w:tabs>
        <w:spacing w:before="1"/>
        <w:ind w:left="426" w:right="887" w:hanging="425"/>
        <w:rPr>
          <w:sz w:val="20"/>
          <w:szCs w:val="20"/>
          <w:lang w:val="da-DK"/>
        </w:rPr>
      </w:pPr>
      <w:r w:rsidRPr="00B600C4">
        <w:rPr>
          <w:sz w:val="20"/>
          <w:szCs w:val="20"/>
          <w:lang w:val="da-DK"/>
        </w:rPr>
        <w:t>p &lt; 0,0026 (non-inferioritet i forhold til en forudspecificeret HR på 2,0); HR: 1,123 (0,749 - 1,684)</w:t>
      </w:r>
    </w:p>
    <w:p w14:paraId="740FFC3A" w14:textId="77777777" w:rsidR="00C7249D" w:rsidRPr="008E19A3" w:rsidRDefault="00C7249D" w:rsidP="00C7249D">
      <w:pPr>
        <w:pStyle w:val="Brdtekst"/>
        <w:ind w:left="851" w:right="885"/>
        <w:rPr>
          <w:sz w:val="24"/>
          <w:szCs w:val="24"/>
          <w:lang w:val="da-DK"/>
        </w:rPr>
      </w:pPr>
    </w:p>
    <w:p w14:paraId="244C266C" w14:textId="77777777" w:rsidR="00C7249D" w:rsidRPr="008E19A3" w:rsidRDefault="00C7249D" w:rsidP="00C7249D">
      <w:pPr>
        <w:pStyle w:val="Brdtekst"/>
        <w:ind w:left="851" w:right="885"/>
        <w:rPr>
          <w:sz w:val="24"/>
          <w:szCs w:val="24"/>
          <w:lang w:val="da-DK"/>
        </w:rPr>
      </w:pPr>
      <w:r w:rsidRPr="008E19A3">
        <w:rPr>
          <w:sz w:val="24"/>
          <w:szCs w:val="24"/>
          <w:lang w:val="da-DK"/>
        </w:rPr>
        <w:t>Der blev udført en forudspecificeret samlet analyse af resultaterne fra Einstein DVT- og LE-studierne (se tabel 7).</w:t>
      </w:r>
    </w:p>
    <w:p w14:paraId="186ABFB3" w14:textId="71E87E4C" w:rsidR="005761FF" w:rsidRDefault="005761FF">
      <w:pPr>
        <w:rPr>
          <w:sz w:val="24"/>
          <w:szCs w:val="24"/>
        </w:rPr>
      </w:pPr>
      <w:r>
        <w:rPr>
          <w:sz w:val="24"/>
          <w:szCs w:val="24"/>
        </w:rPr>
        <w:br w:type="page"/>
      </w:r>
    </w:p>
    <w:p w14:paraId="7F420EAF" w14:textId="77777777" w:rsidR="00C7249D" w:rsidRPr="008E19A3" w:rsidRDefault="00C7249D" w:rsidP="00C7249D">
      <w:pPr>
        <w:pStyle w:val="Brdtekst"/>
        <w:ind w:left="851" w:right="885"/>
        <w:rPr>
          <w:sz w:val="24"/>
          <w:szCs w:val="24"/>
          <w:lang w:val="da-DK"/>
        </w:rPr>
      </w:pPr>
    </w:p>
    <w:p w14:paraId="5248EDEC" w14:textId="77777777" w:rsidR="00C7249D" w:rsidRPr="00B600C4" w:rsidRDefault="00C7249D" w:rsidP="00B600C4">
      <w:pPr>
        <w:rPr>
          <w:b/>
          <w:sz w:val="24"/>
          <w:szCs w:val="24"/>
        </w:rPr>
      </w:pPr>
      <w:r w:rsidRPr="00B600C4">
        <w:rPr>
          <w:b/>
          <w:sz w:val="24"/>
          <w:szCs w:val="24"/>
        </w:rPr>
        <w:t>Tabel 7: Effekt- og sikkerhedsresultater fra samlet analyse af fase III Einstein DVT og Einstein PE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C7249D" w:rsidRPr="00B600C4" w14:paraId="2BF00F16" w14:textId="77777777" w:rsidTr="00B600C4">
        <w:trPr>
          <w:trHeight w:val="254"/>
        </w:trPr>
        <w:tc>
          <w:tcPr>
            <w:tcW w:w="1795" w:type="pct"/>
            <w:tcBorders>
              <w:top w:val="single" w:sz="4" w:space="0" w:color="000000"/>
              <w:left w:val="single" w:sz="4" w:space="0" w:color="000000"/>
              <w:bottom w:val="single" w:sz="4" w:space="0" w:color="000000"/>
              <w:right w:val="single" w:sz="4" w:space="0" w:color="000000"/>
            </w:tcBorders>
            <w:hideMark/>
          </w:tcPr>
          <w:p w14:paraId="52DC63E7" w14:textId="77777777" w:rsidR="00C7249D" w:rsidRPr="00B600C4" w:rsidRDefault="00C7249D">
            <w:pPr>
              <w:pStyle w:val="TableParagraph"/>
              <w:keepNext/>
              <w:keepLines/>
              <w:spacing w:line="234" w:lineRule="exact"/>
              <w:ind w:left="141" w:right="887"/>
              <w:rPr>
                <w:rFonts w:ascii="Times New Roman" w:hAnsi="Times New Roman" w:cs="Times New Roman"/>
                <w:b/>
                <w:bCs/>
                <w:lang w:val="da-DK"/>
              </w:rPr>
            </w:pPr>
            <w:r w:rsidRPr="00B600C4">
              <w:rPr>
                <w:rFonts w:ascii="Times New Roman" w:hAnsi="Times New Roman" w:cs="Times New Roman"/>
                <w:b/>
                <w:bCs/>
                <w:lang w:val="da-DK"/>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6BF187B5" w14:textId="77777777" w:rsidR="00C7249D" w:rsidRPr="00B600C4" w:rsidRDefault="00C7249D">
            <w:pPr>
              <w:pStyle w:val="TableParagraph"/>
              <w:keepNext/>
              <w:keepLines/>
              <w:spacing w:line="234"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8.281 patienter med akut symtomatisk DVT eller PE</w:t>
            </w:r>
          </w:p>
        </w:tc>
      </w:tr>
      <w:tr w:rsidR="00C7249D" w:rsidRPr="00B600C4" w14:paraId="31B2C744" w14:textId="77777777" w:rsidTr="00B600C4">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337F7ADC" w14:textId="77777777" w:rsidR="00C7249D" w:rsidRPr="00B600C4" w:rsidRDefault="00C7249D">
            <w:pPr>
              <w:pStyle w:val="TableParagraph"/>
              <w:keepNext/>
              <w:keepLines/>
              <w:ind w:left="141" w:right="887"/>
              <w:rPr>
                <w:rFonts w:ascii="Times New Roman" w:hAnsi="Times New Roman" w:cs="Times New Roman"/>
                <w:b/>
                <w:bCs/>
                <w:lang w:val="da-DK"/>
              </w:rPr>
            </w:pPr>
            <w:r w:rsidRPr="00B600C4">
              <w:rPr>
                <w:rFonts w:ascii="Times New Roman" w:hAnsi="Times New Roman" w:cs="Times New Roman"/>
                <w:b/>
                <w:bCs/>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3C9928C8" w14:textId="77777777" w:rsidR="00C7249D" w:rsidRPr="00B600C4" w:rsidRDefault="00C7249D">
            <w:pPr>
              <w:pStyle w:val="TableParagraph"/>
              <w:keepNext/>
              <w:keepLines/>
              <w:spacing w:line="248"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Rivaroxaban</w:t>
            </w:r>
            <w:r w:rsidRPr="00B600C4">
              <w:rPr>
                <w:rFonts w:ascii="Times New Roman" w:hAnsi="Times New Roman" w:cs="Times New Roman"/>
                <w:b/>
                <w:bCs/>
                <w:vertAlign w:val="superscript"/>
                <w:lang w:val="da-DK"/>
              </w:rPr>
              <w:t>a)</w:t>
            </w:r>
          </w:p>
          <w:p w14:paraId="5ABE58D8" w14:textId="77777777" w:rsidR="00C7249D" w:rsidRPr="00B600C4" w:rsidRDefault="00C7249D">
            <w:pPr>
              <w:pStyle w:val="TableParagraph"/>
              <w:keepNext/>
              <w:keepLines/>
              <w:spacing w:before="1" w:line="250" w:lineRule="atLeast"/>
              <w:ind w:left="142"/>
              <w:jc w:val="center"/>
              <w:rPr>
                <w:rFonts w:ascii="Times New Roman" w:hAnsi="Times New Roman" w:cs="Times New Roman"/>
                <w:b/>
                <w:bCs/>
                <w:lang w:val="da-DK"/>
              </w:rPr>
            </w:pPr>
            <w:r w:rsidRPr="00B600C4">
              <w:rPr>
                <w:rFonts w:ascii="Times New Roman" w:hAnsi="Times New Roman" w:cs="Times New Roman"/>
                <w:b/>
                <w:bCs/>
                <w:lang w:val="da-DK"/>
              </w:rPr>
              <w:t>3, 6 eller 12</w:t>
            </w:r>
            <w:r w:rsidRPr="00B600C4">
              <w:rPr>
                <w:rFonts w:ascii="Times New Roman" w:hAnsi="Times New Roman" w:cs="Times New Roman"/>
                <w:b/>
                <w:bCs/>
                <w:spacing w:val="-11"/>
                <w:lang w:val="da-DK"/>
              </w:rPr>
              <w:t xml:space="preserve"> </w:t>
            </w:r>
            <w:r w:rsidRPr="00B600C4">
              <w:rPr>
                <w:rFonts w:ascii="Times New Roman" w:hAnsi="Times New Roman" w:cs="Times New Roman"/>
                <w:b/>
                <w:bCs/>
                <w:lang w:val="da-DK"/>
              </w:rPr>
              <w:t>måneder N=4.150</w:t>
            </w:r>
          </w:p>
        </w:tc>
        <w:tc>
          <w:tcPr>
            <w:tcW w:w="1548" w:type="pct"/>
            <w:tcBorders>
              <w:top w:val="single" w:sz="4" w:space="0" w:color="000000"/>
              <w:left w:val="single" w:sz="4" w:space="0" w:color="000000"/>
              <w:bottom w:val="single" w:sz="4" w:space="0" w:color="000000"/>
              <w:right w:val="single" w:sz="4" w:space="0" w:color="000000"/>
            </w:tcBorders>
            <w:hideMark/>
          </w:tcPr>
          <w:p w14:paraId="53634EA7" w14:textId="77777777" w:rsidR="00C7249D" w:rsidRPr="00B600C4" w:rsidRDefault="00C7249D">
            <w:pPr>
              <w:pStyle w:val="TableParagraph"/>
              <w:keepNext/>
              <w:keepLines/>
              <w:ind w:left="142"/>
              <w:jc w:val="center"/>
              <w:rPr>
                <w:rFonts w:ascii="Times New Roman" w:hAnsi="Times New Roman" w:cs="Times New Roman"/>
                <w:b/>
                <w:bCs/>
                <w:lang w:val="da-DK"/>
              </w:rPr>
            </w:pPr>
            <w:r w:rsidRPr="00B600C4">
              <w:rPr>
                <w:rFonts w:ascii="Times New Roman" w:hAnsi="Times New Roman" w:cs="Times New Roman"/>
                <w:b/>
                <w:bCs/>
                <w:lang w:val="da-DK"/>
              </w:rPr>
              <w:t>Enoxaparin/VKA</w:t>
            </w:r>
            <w:r w:rsidRPr="00B600C4">
              <w:rPr>
                <w:rFonts w:ascii="Times New Roman" w:hAnsi="Times New Roman" w:cs="Times New Roman"/>
                <w:b/>
                <w:bCs/>
                <w:vertAlign w:val="superscript"/>
                <w:lang w:val="da-DK"/>
              </w:rPr>
              <w:t>b)</w:t>
            </w:r>
            <w:r w:rsidRPr="00B600C4">
              <w:rPr>
                <w:rFonts w:ascii="Times New Roman" w:hAnsi="Times New Roman" w:cs="Times New Roman"/>
                <w:b/>
                <w:bCs/>
                <w:lang w:val="da-DK"/>
              </w:rPr>
              <w:t xml:space="preserve"> </w:t>
            </w:r>
          </w:p>
          <w:p w14:paraId="23CD43FF" w14:textId="77777777" w:rsidR="00C7249D" w:rsidRPr="00B600C4" w:rsidRDefault="00C7249D">
            <w:pPr>
              <w:pStyle w:val="TableParagraph"/>
              <w:keepNext/>
              <w:keepLines/>
              <w:ind w:left="142"/>
              <w:jc w:val="center"/>
              <w:rPr>
                <w:rFonts w:ascii="Times New Roman" w:hAnsi="Times New Roman" w:cs="Times New Roman"/>
                <w:b/>
                <w:bCs/>
                <w:lang w:val="da-DK"/>
              </w:rPr>
            </w:pPr>
            <w:r w:rsidRPr="00B600C4">
              <w:rPr>
                <w:rFonts w:ascii="Times New Roman" w:hAnsi="Times New Roman" w:cs="Times New Roman"/>
                <w:b/>
                <w:bCs/>
                <w:lang w:val="da-DK"/>
              </w:rPr>
              <w:t>3, 6 eller 12</w:t>
            </w:r>
            <w:r w:rsidRPr="00B600C4">
              <w:rPr>
                <w:rFonts w:ascii="Times New Roman" w:hAnsi="Times New Roman" w:cs="Times New Roman"/>
                <w:b/>
                <w:bCs/>
                <w:spacing w:val="-11"/>
                <w:lang w:val="da-DK"/>
              </w:rPr>
              <w:t xml:space="preserve"> </w:t>
            </w:r>
            <w:r w:rsidRPr="00B600C4">
              <w:rPr>
                <w:rFonts w:ascii="Times New Roman" w:hAnsi="Times New Roman" w:cs="Times New Roman"/>
                <w:b/>
                <w:bCs/>
                <w:lang w:val="da-DK"/>
              </w:rPr>
              <w:t>måneder</w:t>
            </w:r>
          </w:p>
          <w:p w14:paraId="14B6539F" w14:textId="77777777" w:rsidR="00C7249D" w:rsidRPr="00B600C4" w:rsidRDefault="00C7249D">
            <w:pPr>
              <w:pStyle w:val="TableParagraph"/>
              <w:keepNext/>
              <w:keepLines/>
              <w:spacing w:line="236" w:lineRule="exact"/>
              <w:ind w:left="142"/>
              <w:jc w:val="center"/>
              <w:rPr>
                <w:rFonts w:ascii="Times New Roman" w:hAnsi="Times New Roman" w:cs="Times New Roman"/>
                <w:b/>
                <w:bCs/>
                <w:lang w:val="da-DK"/>
              </w:rPr>
            </w:pPr>
            <w:r w:rsidRPr="00B600C4">
              <w:rPr>
                <w:rFonts w:ascii="Times New Roman" w:hAnsi="Times New Roman" w:cs="Times New Roman"/>
                <w:b/>
                <w:bCs/>
                <w:lang w:val="da-DK"/>
              </w:rPr>
              <w:t>N=4.131</w:t>
            </w:r>
          </w:p>
        </w:tc>
      </w:tr>
      <w:tr w:rsidR="00C7249D" w:rsidRPr="00B600C4" w14:paraId="6A9B4FCA"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329340A3" w14:textId="77777777" w:rsidR="00C7249D" w:rsidRPr="00B600C4" w:rsidRDefault="00C7249D">
            <w:pPr>
              <w:pStyle w:val="TableParagraph"/>
              <w:keepNext/>
              <w:keepLines/>
              <w:spacing w:before="122"/>
              <w:ind w:left="141" w:right="46"/>
              <w:rPr>
                <w:rFonts w:ascii="Times New Roman" w:hAnsi="Times New Roman" w:cs="Times New Roman"/>
                <w:lang w:val="da-DK"/>
              </w:rPr>
            </w:pPr>
            <w:r w:rsidRPr="00B600C4">
              <w:rPr>
                <w:rFonts w:ascii="Times New Roman" w:hAnsi="Times New Roman" w:cs="Times New Roman"/>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56238B40"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86</w:t>
            </w:r>
          </w:p>
          <w:p w14:paraId="2CA1EE84" w14:textId="67431489"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(2,1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5B4816BE"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95</w:t>
            </w:r>
          </w:p>
          <w:p w14:paraId="779D5A3A" w14:textId="70893E4C"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(2,3</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7859C332"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350E7CD" w14:textId="77777777" w:rsidR="00C7249D" w:rsidRPr="00B600C4" w:rsidRDefault="00C7249D">
            <w:pPr>
              <w:pStyle w:val="TableParagraph"/>
              <w:keepNext/>
              <w:keepLines/>
              <w:spacing w:before="122"/>
              <w:ind w:left="141" w:right="46"/>
              <w:rPr>
                <w:rFonts w:ascii="Times New Roman" w:hAnsi="Times New Roman" w:cs="Times New Roman"/>
                <w:lang w:val="da-DK"/>
              </w:rPr>
            </w:pPr>
            <w:r w:rsidRPr="00B600C4">
              <w:rPr>
                <w:rFonts w:ascii="Times New Roman" w:hAnsi="Times New Roman" w:cs="Times New Roman"/>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31D98122"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43</w:t>
            </w:r>
          </w:p>
          <w:p w14:paraId="003BD125" w14:textId="01198F8F"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(1,0</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11D3191D"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38</w:t>
            </w:r>
          </w:p>
          <w:p w14:paraId="6A772881" w14:textId="745B07C7"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(0,9</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37AE68EA"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6A23B85" w14:textId="77777777" w:rsidR="00C7249D" w:rsidRPr="00B600C4" w:rsidRDefault="00C7249D">
            <w:pPr>
              <w:pStyle w:val="TableParagraph"/>
              <w:keepNext/>
              <w:keepLines/>
              <w:spacing w:before="122"/>
              <w:ind w:left="141" w:right="46"/>
              <w:rPr>
                <w:rFonts w:ascii="Times New Roman" w:hAnsi="Times New Roman" w:cs="Times New Roman"/>
                <w:lang w:val="da-DK"/>
              </w:rPr>
            </w:pPr>
            <w:r w:rsidRPr="00B600C4">
              <w:rPr>
                <w:rFonts w:ascii="Times New Roman" w:hAnsi="Times New Roman" w:cs="Times New Roman"/>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38D21597"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32</w:t>
            </w:r>
          </w:p>
          <w:p w14:paraId="6E930523" w14:textId="19F70B7F"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(0,8</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19391444"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45</w:t>
            </w:r>
          </w:p>
          <w:p w14:paraId="3DCB349E" w14:textId="25F1514E"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(1,1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3E2ACC6A"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38FBB8D8" w14:textId="77777777" w:rsidR="00C7249D" w:rsidRPr="00B600C4" w:rsidRDefault="00C7249D">
            <w:pPr>
              <w:pStyle w:val="TableParagraph"/>
              <w:keepNext/>
              <w:keepLines/>
              <w:spacing w:before="122"/>
              <w:ind w:left="141" w:right="887"/>
              <w:rPr>
                <w:rFonts w:ascii="Times New Roman" w:hAnsi="Times New Roman" w:cs="Times New Roman"/>
                <w:lang w:val="da-DK"/>
              </w:rPr>
            </w:pPr>
            <w:r w:rsidRPr="00B600C4">
              <w:rPr>
                <w:rFonts w:ascii="Times New Roman" w:hAnsi="Times New Roman" w:cs="Times New Roman"/>
                <w:lang w:val="da-DK"/>
              </w:rPr>
              <w:t>Symptomatisk LE og DVT</w:t>
            </w:r>
          </w:p>
        </w:tc>
        <w:tc>
          <w:tcPr>
            <w:tcW w:w="1658" w:type="pct"/>
            <w:tcBorders>
              <w:top w:val="single" w:sz="4" w:space="0" w:color="000000"/>
              <w:left w:val="single" w:sz="4" w:space="0" w:color="000000"/>
              <w:bottom w:val="single" w:sz="4" w:space="0" w:color="000000"/>
              <w:right w:val="single" w:sz="4" w:space="0" w:color="000000"/>
            </w:tcBorders>
            <w:hideMark/>
          </w:tcPr>
          <w:p w14:paraId="2BEEF629"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w w:val="99"/>
                <w:lang w:val="da-DK"/>
              </w:rPr>
              <w:t>1</w:t>
            </w:r>
          </w:p>
          <w:p w14:paraId="09664582" w14:textId="76AE8E53"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(&gt;0,1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33855210"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w w:val="99"/>
                <w:lang w:val="da-DK"/>
              </w:rPr>
              <w:t>2</w:t>
            </w:r>
          </w:p>
          <w:p w14:paraId="1CA9EE61" w14:textId="35EAB020"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(&lt;0,1</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0513A119"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0AF0DBCC" w14:textId="77777777" w:rsidR="00C7249D" w:rsidRPr="00B600C4" w:rsidRDefault="00C7249D">
            <w:pPr>
              <w:pStyle w:val="TableParagraph"/>
              <w:keepNext/>
              <w:keepLines/>
              <w:spacing w:line="248" w:lineRule="exact"/>
              <w:ind w:left="141" w:right="46"/>
              <w:rPr>
                <w:rFonts w:ascii="Times New Roman" w:hAnsi="Times New Roman" w:cs="Times New Roman"/>
                <w:lang w:val="da-DK"/>
              </w:rPr>
            </w:pPr>
            <w:r w:rsidRPr="00B600C4">
              <w:rPr>
                <w:rFonts w:ascii="Times New Roman" w:hAnsi="Times New Roman" w:cs="Times New Roman"/>
                <w:lang w:val="da-DK"/>
              </w:rPr>
              <w:t>Dødelig LE/død hvor LE 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552CDA0E"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15</w:t>
            </w:r>
          </w:p>
          <w:p w14:paraId="34B626B9" w14:textId="76767C34"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(0,4</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4AF866AA"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13</w:t>
            </w:r>
          </w:p>
          <w:p w14:paraId="36877155" w14:textId="077BEF18"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(0,3</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68CBA9B2"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5D18000A" w14:textId="77777777" w:rsidR="00C7249D" w:rsidRPr="00B600C4" w:rsidRDefault="00C7249D">
            <w:pPr>
              <w:pStyle w:val="TableParagraph"/>
              <w:keepNext/>
              <w:keepLines/>
              <w:spacing w:line="248" w:lineRule="exact"/>
              <w:ind w:left="141" w:right="887"/>
              <w:rPr>
                <w:rFonts w:ascii="Times New Roman" w:hAnsi="Times New Roman" w:cs="Times New Roman"/>
                <w:lang w:val="da-DK"/>
              </w:rPr>
            </w:pPr>
            <w:r w:rsidRPr="00B600C4">
              <w:rPr>
                <w:rFonts w:ascii="Times New Roman" w:hAnsi="Times New Roman" w:cs="Times New Roman"/>
                <w:lang w:val="da-DK"/>
              </w:rPr>
              <w:t>Større eller mindre klinisk relevant blødning</w:t>
            </w:r>
          </w:p>
        </w:tc>
        <w:tc>
          <w:tcPr>
            <w:tcW w:w="1658" w:type="pct"/>
            <w:tcBorders>
              <w:top w:val="single" w:sz="4" w:space="0" w:color="000000"/>
              <w:left w:val="single" w:sz="4" w:space="0" w:color="000000"/>
              <w:bottom w:val="single" w:sz="4" w:space="0" w:color="000000"/>
              <w:right w:val="single" w:sz="4" w:space="0" w:color="000000"/>
            </w:tcBorders>
            <w:hideMark/>
          </w:tcPr>
          <w:p w14:paraId="7CC6762A"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388</w:t>
            </w:r>
          </w:p>
          <w:p w14:paraId="64B03718" w14:textId="0C4BAFDD"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(9,4</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573E8E13"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412</w:t>
            </w:r>
          </w:p>
          <w:p w14:paraId="15DD607F" w14:textId="636E1C3D"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(10,0</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r w:rsidR="00C7249D" w:rsidRPr="00B600C4" w14:paraId="2DF5C790" w14:textId="77777777" w:rsidTr="00B600C4">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83A0F64" w14:textId="77777777" w:rsidR="00C7249D" w:rsidRPr="00B600C4" w:rsidRDefault="00C7249D">
            <w:pPr>
              <w:pStyle w:val="TableParagraph"/>
              <w:keepNext/>
              <w:keepLines/>
              <w:spacing w:before="122"/>
              <w:ind w:left="141" w:right="887"/>
              <w:rPr>
                <w:rFonts w:ascii="Times New Roman" w:hAnsi="Times New Roman" w:cs="Times New Roman"/>
                <w:lang w:val="da-DK"/>
              </w:rPr>
            </w:pPr>
            <w:r w:rsidRPr="00B600C4">
              <w:rPr>
                <w:rFonts w:ascii="Times New Roman" w:hAnsi="Times New Roman" w:cs="Times New Roman"/>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166D6797"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40</w:t>
            </w:r>
          </w:p>
          <w:p w14:paraId="7E2BD3C8" w14:textId="78DD9124"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(1,0</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c>
          <w:tcPr>
            <w:tcW w:w="1548" w:type="pct"/>
            <w:tcBorders>
              <w:top w:val="single" w:sz="4" w:space="0" w:color="000000"/>
              <w:left w:val="single" w:sz="4" w:space="0" w:color="000000"/>
              <w:bottom w:val="single" w:sz="4" w:space="0" w:color="000000"/>
              <w:right w:val="single" w:sz="4" w:space="0" w:color="000000"/>
            </w:tcBorders>
            <w:hideMark/>
          </w:tcPr>
          <w:p w14:paraId="7268AE3E" w14:textId="77777777" w:rsidR="00C7249D" w:rsidRPr="00B600C4" w:rsidRDefault="00C7249D">
            <w:pPr>
              <w:pStyle w:val="TableParagraph"/>
              <w:keepNext/>
              <w:keepLines/>
              <w:spacing w:line="248" w:lineRule="exact"/>
              <w:ind w:left="141" w:right="887"/>
              <w:jc w:val="center"/>
              <w:rPr>
                <w:rFonts w:ascii="Times New Roman" w:hAnsi="Times New Roman" w:cs="Times New Roman"/>
                <w:lang w:val="da-DK"/>
              </w:rPr>
            </w:pPr>
            <w:r w:rsidRPr="00B600C4">
              <w:rPr>
                <w:rFonts w:ascii="Times New Roman" w:hAnsi="Times New Roman" w:cs="Times New Roman"/>
                <w:lang w:val="da-DK"/>
              </w:rPr>
              <w:t>72</w:t>
            </w:r>
          </w:p>
          <w:p w14:paraId="34F173D7" w14:textId="50CBB3BD" w:rsidR="00C7249D" w:rsidRPr="00B600C4" w:rsidRDefault="00C7249D">
            <w:pPr>
              <w:pStyle w:val="TableParagraph"/>
              <w:keepNext/>
              <w:keepLines/>
              <w:spacing w:before="1" w:line="239" w:lineRule="exact"/>
              <w:ind w:left="141" w:right="887"/>
              <w:jc w:val="center"/>
              <w:rPr>
                <w:rFonts w:ascii="Times New Roman" w:hAnsi="Times New Roman" w:cs="Times New Roman"/>
                <w:lang w:val="da-DK"/>
              </w:rPr>
            </w:pPr>
            <w:r w:rsidRPr="00B600C4">
              <w:rPr>
                <w:rFonts w:ascii="Times New Roman" w:hAnsi="Times New Roman" w:cs="Times New Roman"/>
                <w:lang w:val="da-DK"/>
              </w:rPr>
              <w:t>(1,7</w:t>
            </w:r>
            <w:r w:rsidR="008E19A3" w:rsidRPr="00B600C4">
              <w:rPr>
                <w:rFonts w:ascii="Times New Roman" w:hAnsi="Times New Roman" w:cs="Times New Roman"/>
                <w:lang w:val="da-DK"/>
              </w:rPr>
              <w:t xml:space="preserve"> %</w:t>
            </w:r>
            <w:r w:rsidRPr="00B600C4">
              <w:rPr>
                <w:rFonts w:ascii="Times New Roman" w:hAnsi="Times New Roman" w:cs="Times New Roman"/>
                <w:lang w:val="da-DK"/>
              </w:rPr>
              <w:t>)</w:t>
            </w:r>
          </w:p>
        </w:tc>
      </w:tr>
    </w:tbl>
    <w:p w14:paraId="48F5AB97" w14:textId="575D66C2" w:rsidR="00C7249D" w:rsidRPr="00B600C4" w:rsidRDefault="00B600C4" w:rsidP="00B600C4">
      <w:pPr>
        <w:ind w:left="284" w:hanging="284"/>
        <w:rPr>
          <w:sz w:val="20"/>
        </w:rPr>
      </w:pPr>
      <w:r w:rsidRPr="00B600C4">
        <w:rPr>
          <w:sz w:val="20"/>
        </w:rPr>
        <w:t xml:space="preserve">a) </w:t>
      </w:r>
      <w:r>
        <w:rPr>
          <w:sz w:val="20"/>
        </w:rPr>
        <w:tab/>
      </w:r>
      <w:r w:rsidR="00C7249D" w:rsidRPr="00B600C4">
        <w:rPr>
          <w:sz w:val="20"/>
        </w:rPr>
        <w:t>Rivaroxaban 15 mg to gange daglig i tre uger efterfulgt af 20 mg en gang</w:t>
      </w:r>
      <w:r w:rsidR="00C7249D" w:rsidRPr="00B600C4">
        <w:rPr>
          <w:spacing w:val="-10"/>
          <w:sz w:val="20"/>
        </w:rPr>
        <w:t xml:space="preserve"> </w:t>
      </w:r>
      <w:r w:rsidR="00C7249D" w:rsidRPr="00B600C4">
        <w:rPr>
          <w:sz w:val="20"/>
        </w:rPr>
        <w:t>daglig</w:t>
      </w:r>
    </w:p>
    <w:p w14:paraId="13C49640" w14:textId="353C0961" w:rsidR="00C7249D" w:rsidRPr="00B600C4" w:rsidRDefault="00B600C4" w:rsidP="00B600C4">
      <w:pPr>
        <w:ind w:left="284" w:hanging="284"/>
        <w:rPr>
          <w:sz w:val="20"/>
        </w:rPr>
      </w:pPr>
      <w:r w:rsidRPr="00B600C4">
        <w:rPr>
          <w:sz w:val="20"/>
        </w:rPr>
        <w:t xml:space="preserve">b) </w:t>
      </w:r>
      <w:r>
        <w:rPr>
          <w:sz w:val="20"/>
        </w:rPr>
        <w:tab/>
      </w:r>
      <w:r w:rsidR="00C7249D" w:rsidRPr="00B600C4">
        <w:rPr>
          <w:sz w:val="20"/>
        </w:rPr>
        <w:t>Enoxaparin i mindst 5 dage, overlappende med og efterfulgt af</w:t>
      </w:r>
      <w:r w:rsidR="00C7249D" w:rsidRPr="00B600C4">
        <w:rPr>
          <w:spacing w:val="-6"/>
          <w:sz w:val="20"/>
        </w:rPr>
        <w:t xml:space="preserve"> </w:t>
      </w:r>
      <w:r w:rsidR="00C7249D" w:rsidRPr="00B600C4">
        <w:rPr>
          <w:sz w:val="20"/>
        </w:rPr>
        <w:t>VKA</w:t>
      </w:r>
    </w:p>
    <w:p w14:paraId="77C4D948" w14:textId="5B408D1A" w:rsidR="00C7249D" w:rsidRPr="00B600C4" w:rsidRDefault="00C7249D" w:rsidP="00B600C4">
      <w:pPr>
        <w:ind w:left="284" w:hanging="284"/>
        <w:rPr>
          <w:sz w:val="20"/>
        </w:rPr>
      </w:pPr>
      <w:r w:rsidRPr="00B600C4">
        <w:rPr>
          <w:sz w:val="20"/>
        </w:rPr>
        <w:t>*</w:t>
      </w:r>
      <w:r w:rsidR="00B600C4">
        <w:rPr>
          <w:sz w:val="20"/>
        </w:rPr>
        <w:tab/>
      </w:r>
      <w:r w:rsidRPr="00B600C4">
        <w:rPr>
          <w:sz w:val="20"/>
        </w:rPr>
        <w:t>p &lt; 0,0001 (non-inferioritet i forhold til en forudspecificeret HR på 1,75); HR: 0,886 (0,661 –</w:t>
      </w:r>
      <w:r w:rsidRPr="00B600C4">
        <w:rPr>
          <w:spacing w:val="-1"/>
          <w:sz w:val="20"/>
        </w:rPr>
        <w:t xml:space="preserve"> </w:t>
      </w:r>
      <w:r w:rsidRPr="00B600C4">
        <w:rPr>
          <w:sz w:val="20"/>
        </w:rPr>
        <w:t>1,186)</w:t>
      </w:r>
    </w:p>
    <w:p w14:paraId="55D09CA9" w14:textId="77777777" w:rsidR="00C7249D" w:rsidRPr="008E19A3" w:rsidRDefault="00C7249D" w:rsidP="00C7249D">
      <w:pPr>
        <w:pStyle w:val="Brdtekst"/>
        <w:spacing w:before="6"/>
        <w:ind w:right="887"/>
        <w:rPr>
          <w:sz w:val="24"/>
          <w:szCs w:val="24"/>
          <w:lang w:val="da-DK"/>
        </w:rPr>
      </w:pPr>
    </w:p>
    <w:p w14:paraId="3F16E2D3" w14:textId="76689F05" w:rsidR="00C7249D" w:rsidRPr="008E19A3" w:rsidRDefault="00C7249D" w:rsidP="00C7249D">
      <w:pPr>
        <w:pStyle w:val="Brdtekst"/>
        <w:ind w:left="851" w:right="-1"/>
        <w:rPr>
          <w:sz w:val="24"/>
          <w:szCs w:val="24"/>
          <w:lang w:val="da-DK"/>
        </w:rPr>
      </w:pPr>
      <w:r w:rsidRPr="008E19A3">
        <w:rPr>
          <w:sz w:val="24"/>
          <w:szCs w:val="24"/>
          <w:lang w:val="da-DK"/>
        </w:rPr>
        <w:t>Den forudspecificerede kliniske nettofordel (primært virkningsresultat plus større blødninger) for den samlede analyse blev indrapporteret med en HR på 0,771 ((95</w:t>
      </w:r>
      <w:r w:rsidR="008E19A3" w:rsidRPr="008E19A3">
        <w:rPr>
          <w:sz w:val="24"/>
          <w:szCs w:val="24"/>
          <w:lang w:val="da-DK"/>
        </w:rPr>
        <w:t xml:space="preserve"> %</w:t>
      </w:r>
      <w:r w:rsidRPr="008E19A3">
        <w:rPr>
          <w:sz w:val="24"/>
          <w:szCs w:val="24"/>
          <w:lang w:val="da-DK"/>
        </w:rPr>
        <w:t xml:space="preserve"> KI: 0,614 – 0,967), nominel p-værdi p = 0,0244).</w:t>
      </w:r>
    </w:p>
    <w:p w14:paraId="6C0893EA" w14:textId="77777777" w:rsidR="00C7249D" w:rsidRPr="008E19A3" w:rsidRDefault="00C7249D" w:rsidP="00C7249D">
      <w:pPr>
        <w:pStyle w:val="Brdtekst"/>
        <w:ind w:left="851" w:right="-1"/>
        <w:rPr>
          <w:sz w:val="24"/>
          <w:szCs w:val="24"/>
          <w:lang w:val="da-DK"/>
        </w:rPr>
      </w:pPr>
      <w:r w:rsidRPr="008E19A3">
        <w:rPr>
          <w:sz w:val="24"/>
          <w:szCs w:val="24"/>
          <w:lang w:val="da-DK"/>
        </w:rPr>
        <w:t>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en gang daglig sammenlignet med placebo. Det sekundære sikkerhedsendepunkt (større eller klinisk relevante mindre blødninger) viste højere frekvenser for patienter i behandling med rivaroxaban 20 mg en gang daglig sammenlignet med placebo.</w:t>
      </w:r>
    </w:p>
    <w:p w14:paraId="201F5AFE" w14:textId="77777777" w:rsidR="00C7249D" w:rsidRPr="008E19A3" w:rsidRDefault="00C7249D" w:rsidP="00C7249D">
      <w:pPr>
        <w:pStyle w:val="Brdtekst"/>
        <w:ind w:left="851" w:right="887"/>
        <w:rPr>
          <w:sz w:val="24"/>
          <w:szCs w:val="24"/>
          <w:lang w:val="da-DK"/>
        </w:rPr>
      </w:pPr>
    </w:p>
    <w:p w14:paraId="6DF273CC" w14:textId="77777777" w:rsidR="00C7249D" w:rsidRPr="008E19A3" w:rsidRDefault="00C7249D" w:rsidP="00EA3E0E">
      <w:pPr>
        <w:pStyle w:val="Overskrift2"/>
        <w:spacing w:before="0"/>
        <w:ind w:left="0" w:right="887"/>
        <w:rPr>
          <w:sz w:val="24"/>
          <w:szCs w:val="24"/>
          <w:lang w:val="da-DK"/>
        </w:rPr>
      </w:pPr>
      <w:r w:rsidRPr="008E19A3">
        <w:rPr>
          <w:sz w:val="24"/>
          <w:szCs w:val="24"/>
          <w:lang w:val="da-DK"/>
        </w:rPr>
        <w:t>Tabel 8: Effekt- og sikkerhedsresultater fra Einstein Extension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2"/>
        <w:gridCol w:w="3200"/>
        <w:gridCol w:w="2956"/>
      </w:tblGrid>
      <w:tr w:rsidR="00C7249D" w:rsidRPr="00EA3E0E" w14:paraId="1F676315" w14:textId="77777777" w:rsidTr="00EA3E0E">
        <w:trPr>
          <w:trHeight w:val="508"/>
        </w:trPr>
        <w:tc>
          <w:tcPr>
            <w:tcW w:w="1803" w:type="pct"/>
            <w:tcBorders>
              <w:top w:val="single" w:sz="4" w:space="0" w:color="000000"/>
              <w:left w:val="single" w:sz="4" w:space="0" w:color="000000"/>
              <w:bottom w:val="single" w:sz="4" w:space="0" w:color="000000"/>
              <w:right w:val="single" w:sz="4" w:space="0" w:color="000000"/>
            </w:tcBorders>
            <w:hideMark/>
          </w:tcPr>
          <w:p w14:paraId="09515BCA" w14:textId="77777777" w:rsidR="00C7249D" w:rsidRPr="00EA3E0E" w:rsidRDefault="00C7249D">
            <w:pPr>
              <w:pStyle w:val="TableParagraph"/>
              <w:spacing w:before="127"/>
              <w:ind w:left="141" w:right="887"/>
              <w:rPr>
                <w:rFonts w:ascii="Times New Roman" w:hAnsi="Times New Roman" w:cs="Times New Roman"/>
                <w:b/>
                <w:bCs/>
                <w:lang w:val="da-DK"/>
              </w:rPr>
            </w:pPr>
            <w:r w:rsidRPr="00EA3E0E">
              <w:rPr>
                <w:rFonts w:ascii="Times New Roman" w:hAnsi="Times New Roman" w:cs="Times New Roman"/>
                <w:b/>
                <w:bCs/>
                <w:lang w:val="da-DK"/>
              </w:rPr>
              <w:t>Studiepopulation</w:t>
            </w:r>
          </w:p>
        </w:tc>
        <w:tc>
          <w:tcPr>
            <w:tcW w:w="3197" w:type="pct"/>
            <w:gridSpan w:val="2"/>
            <w:tcBorders>
              <w:top w:val="single" w:sz="4" w:space="0" w:color="000000"/>
              <w:left w:val="single" w:sz="4" w:space="0" w:color="000000"/>
              <w:bottom w:val="single" w:sz="4" w:space="0" w:color="000000"/>
              <w:right w:val="single" w:sz="4" w:space="0" w:color="000000"/>
            </w:tcBorders>
            <w:hideMark/>
          </w:tcPr>
          <w:p w14:paraId="113AFF78" w14:textId="77777777" w:rsidR="00C7249D" w:rsidRPr="00EA3E0E" w:rsidRDefault="00C7249D">
            <w:pPr>
              <w:pStyle w:val="TableParagraph"/>
              <w:spacing w:before="2" w:line="254" w:lineRule="exact"/>
              <w:ind w:left="141"/>
              <w:jc w:val="center"/>
              <w:rPr>
                <w:rFonts w:ascii="Times New Roman" w:hAnsi="Times New Roman" w:cs="Times New Roman"/>
                <w:b/>
                <w:bCs/>
                <w:lang w:val="da-DK"/>
              </w:rPr>
            </w:pPr>
            <w:r w:rsidRPr="00EA3E0E">
              <w:rPr>
                <w:rFonts w:ascii="Times New Roman" w:hAnsi="Times New Roman" w:cs="Times New Roman"/>
                <w:b/>
                <w:bCs/>
                <w:lang w:val="da-DK"/>
              </w:rPr>
              <w:t>1.197 patienter i fortsat behandling og forebyggelse af recidiverende venøs tromboemboli</w:t>
            </w:r>
          </w:p>
        </w:tc>
      </w:tr>
      <w:tr w:rsidR="00C7249D" w:rsidRPr="00EA3E0E" w14:paraId="2BE655DA" w14:textId="77777777" w:rsidTr="00EA3E0E">
        <w:trPr>
          <w:trHeight w:val="760"/>
        </w:trPr>
        <w:tc>
          <w:tcPr>
            <w:tcW w:w="1803" w:type="pct"/>
            <w:tcBorders>
              <w:top w:val="single" w:sz="4" w:space="0" w:color="000000"/>
              <w:left w:val="single" w:sz="4" w:space="0" w:color="000000"/>
              <w:bottom w:val="single" w:sz="4" w:space="0" w:color="000000"/>
              <w:right w:val="single" w:sz="4" w:space="0" w:color="000000"/>
            </w:tcBorders>
            <w:hideMark/>
          </w:tcPr>
          <w:p w14:paraId="5C50D0DA" w14:textId="77777777" w:rsidR="00C7249D" w:rsidRPr="00EA3E0E" w:rsidRDefault="00C7249D">
            <w:pPr>
              <w:pStyle w:val="TableParagraph"/>
              <w:spacing w:before="1"/>
              <w:ind w:left="141" w:right="887"/>
              <w:rPr>
                <w:rFonts w:ascii="Times New Roman" w:hAnsi="Times New Roman" w:cs="Times New Roman"/>
                <w:b/>
                <w:bCs/>
                <w:lang w:val="da-DK"/>
              </w:rPr>
            </w:pPr>
            <w:r w:rsidRPr="00EA3E0E">
              <w:rPr>
                <w:rFonts w:ascii="Times New Roman" w:hAnsi="Times New Roman" w:cs="Times New Roman"/>
                <w:b/>
                <w:bCs/>
                <w:lang w:val="da-DK"/>
              </w:rPr>
              <w:t>Dosis og behandlingsvarighed</w:t>
            </w:r>
          </w:p>
        </w:tc>
        <w:tc>
          <w:tcPr>
            <w:tcW w:w="1662" w:type="pct"/>
            <w:tcBorders>
              <w:top w:val="single" w:sz="4" w:space="0" w:color="000000"/>
              <w:left w:val="single" w:sz="4" w:space="0" w:color="000000"/>
              <w:bottom w:val="single" w:sz="4" w:space="0" w:color="000000"/>
              <w:right w:val="single" w:sz="4" w:space="0" w:color="000000"/>
            </w:tcBorders>
            <w:hideMark/>
          </w:tcPr>
          <w:p w14:paraId="23692C30" w14:textId="77777777" w:rsidR="00C7249D" w:rsidRPr="00EA3E0E" w:rsidRDefault="00C7249D">
            <w:pPr>
              <w:pStyle w:val="TableParagraph"/>
              <w:spacing w:line="251" w:lineRule="exact"/>
              <w:ind w:left="141"/>
              <w:jc w:val="center"/>
              <w:rPr>
                <w:rFonts w:ascii="Times New Roman" w:hAnsi="Times New Roman" w:cs="Times New Roman"/>
                <w:b/>
                <w:bCs/>
                <w:lang w:val="da-DK"/>
              </w:rPr>
            </w:pPr>
            <w:r w:rsidRPr="00EA3E0E">
              <w:rPr>
                <w:rFonts w:ascii="Times New Roman" w:hAnsi="Times New Roman" w:cs="Times New Roman"/>
                <w:b/>
                <w:bCs/>
                <w:lang w:val="da-DK"/>
              </w:rPr>
              <w:t>Rivaroxaban</w:t>
            </w:r>
            <w:r w:rsidRPr="00EA3E0E">
              <w:rPr>
                <w:rFonts w:ascii="Times New Roman" w:hAnsi="Times New Roman" w:cs="Times New Roman"/>
                <w:b/>
                <w:bCs/>
                <w:vertAlign w:val="superscript"/>
                <w:lang w:val="da-DK"/>
              </w:rPr>
              <w:t>a)</w:t>
            </w:r>
          </w:p>
          <w:p w14:paraId="14D103FC" w14:textId="77777777" w:rsidR="00C7249D" w:rsidRPr="00EA3E0E" w:rsidRDefault="00C7249D">
            <w:pPr>
              <w:pStyle w:val="TableParagraph"/>
              <w:spacing w:before="1"/>
              <w:ind w:left="141"/>
              <w:jc w:val="center"/>
              <w:rPr>
                <w:rFonts w:ascii="Times New Roman" w:hAnsi="Times New Roman" w:cs="Times New Roman"/>
                <w:b/>
                <w:bCs/>
                <w:lang w:val="da-DK"/>
              </w:rPr>
            </w:pPr>
            <w:r w:rsidRPr="00EA3E0E">
              <w:rPr>
                <w:rFonts w:ascii="Times New Roman" w:hAnsi="Times New Roman" w:cs="Times New Roman"/>
                <w:b/>
                <w:bCs/>
                <w:lang w:val="da-DK"/>
              </w:rPr>
              <w:t>6 eller 12 måneder</w:t>
            </w:r>
          </w:p>
          <w:p w14:paraId="31928628" w14:textId="77777777" w:rsidR="00C7249D" w:rsidRPr="00EA3E0E" w:rsidRDefault="00C7249D">
            <w:pPr>
              <w:pStyle w:val="TableParagraph"/>
              <w:spacing w:before="2" w:line="234" w:lineRule="exact"/>
              <w:ind w:left="141"/>
              <w:jc w:val="center"/>
              <w:rPr>
                <w:rFonts w:ascii="Times New Roman" w:hAnsi="Times New Roman" w:cs="Times New Roman"/>
                <w:b/>
                <w:bCs/>
                <w:lang w:val="da-DK"/>
              </w:rPr>
            </w:pPr>
            <w:r w:rsidRPr="00EA3E0E">
              <w:rPr>
                <w:rFonts w:ascii="Times New Roman" w:hAnsi="Times New Roman" w:cs="Times New Roman"/>
                <w:b/>
                <w:bCs/>
                <w:lang w:val="da-DK"/>
              </w:rPr>
              <w:t>N = 602</w:t>
            </w:r>
          </w:p>
        </w:tc>
        <w:tc>
          <w:tcPr>
            <w:tcW w:w="1535" w:type="pct"/>
            <w:tcBorders>
              <w:top w:val="single" w:sz="4" w:space="0" w:color="000000"/>
              <w:left w:val="single" w:sz="4" w:space="0" w:color="000000"/>
              <w:bottom w:val="single" w:sz="4" w:space="0" w:color="000000"/>
              <w:right w:val="single" w:sz="4" w:space="0" w:color="000000"/>
            </w:tcBorders>
            <w:hideMark/>
          </w:tcPr>
          <w:p w14:paraId="5D317B6E" w14:textId="77777777" w:rsidR="00C7249D" w:rsidRPr="00EA3E0E" w:rsidRDefault="00C7249D">
            <w:pPr>
              <w:pStyle w:val="TableParagraph"/>
              <w:spacing w:line="251" w:lineRule="exact"/>
              <w:ind w:left="140"/>
              <w:jc w:val="center"/>
              <w:rPr>
                <w:rFonts w:ascii="Times New Roman" w:hAnsi="Times New Roman" w:cs="Times New Roman"/>
                <w:b/>
                <w:bCs/>
                <w:lang w:val="da-DK"/>
              </w:rPr>
            </w:pPr>
            <w:r w:rsidRPr="00EA3E0E">
              <w:rPr>
                <w:rFonts w:ascii="Times New Roman" w:hAnsi="Times New Roman" w:cs="Times New Roman"/>
                <w:b/>
                <w:bCs/>
                <w:lang w:val="da-DK"/>
              </w:rPr>
              <w:t>Placebo</w:t>
            </w:r>
          </w:p>
          <w:p w14:paraId="4E590F11" w14:textId="77777777" w:rsidR="00C7249D" w:rsidRPr="00EA3E0E" w:rsidRDefault="00C7249D">
            <w:pPr>
              <w:pStyle w:val="TableParagraph"/>
              <w:spacing w:before="1"/>
              <w:ind w:left="140"/>
              <w:jc w:val="center"/>
              <w:rPr>
                <w:rFonts w:ascii="Times New Roman" w:hAnsi="Times New Roman" w:cs="Times New Roman"/>
                <w:b/>
                <w:bCs/>
                <w:lang w:val="da-DK"/>
              </w:rPr>
            </w:pPr>
            <w:r w:rsidRPr="00EA3E0E">
              <w:rPr>
                <w:rFonts w:ascii="Times New Roman" w:hAnsi="Times New Roman" w:cs="Times New Roman"/>
                <w:b/>
                <w:bCs/>
                <w:lang w:val="da-DK"/>
              </w:rPr>
              <w:t>6 eller 12 måneder</w:t>
            </w:r>
          </w:p>
          <w:p w14:paraId="49A3CC6D" w14:textId="77777777" w:rsidR="00C7249D" w:rsidRPr="00EA3E0E" w:rsidRDefault="00C7249D">
            <w:pPr>
              <w:pStyle w:val="TableParagraph"/>
              <w:spacing w:before="2" w:line="234" w:lineRule="exact"/>
              <w:ind w:left="140"/>
              <w:jc w:val="center"/>
              <w:rPr>
                <w:rFonts w:ascii="Times New Roman" w:hAnsi="Times New Roman" w:cs="Times New Roman"/>
                <w:b/>
                <w:bCs/>
                <w:lang w:val="da-DK"/>
              </w:rPr>
            </w:pPr>
            <w:r w:rsidRPr="00EA3E0E">
              <w:rPr>
                <w:rFonts w:ascii="Times New Roman" w:hAnsi="Times New Roman" w:cs="Times New Roman"/>
                <w:b/>
                <w:bCs/>
                <w:lang w:val="da-DK"/>
              </w:rPr>
              <w:t>N = 594</w:t>
            </w:r>
          </w:p>
        </w:tc>
      </w:tr>
      <w:tr w:rsidR="00C7249D" w:rsidRPr="00EA3E0E" w14:paraId="5F06E56D" w14:textId="77777777" w:rsidTr="00EA3E0E">
        <w:trPr>
          <w:trHeight w:val="258"/>
        </w:trPr>
        <w:tc>
          <w:tcPr>
            <w:tcW w:w="1803" w:type="pct"/>
            <w:tcBorders>
              <w:top w:val="single" w:sz="4" w:space="0" w:color="000000"/>
              <w:left w:val="single" w:sz="4" w:space="0" w:color="000000"/>
              <w:bottom w:val="nil"/>
              <w:right w:val="single" w:sz="4" w:space="0" w:color="000000"/>
            </w:tcBorders>
            <w:hideMark/>
          </w:tcPr>
          <w:p w14:paraId="3E786762" w14:textId="77777777" w:rsidR="00C7249D" w:rsidRPr="00EA3E0E" w:rsidRDefault="00C7249D">
            <w:pPr>
              <w:pStyle w:val="TableParagraph"/>
              <w:spacing w:line="238" w:lineRule="exact"/>
              <w:ind w:left="141" w:right="60"/>
              <w:rPr>
                <w:rFonts w:ascii="Times New Roman" w:hAnsi="Times New Roman" w:cs="Times New Roman"/>
                <w:lang w:val="da-DK"/>
              </w:rPr>
            </w:pPr>
            <w:r w:rsidRPr="00EA3E0E">
              <w:rPr>
                <w:rFonts w:ascii="Times New Roman" w:hAnsi="Times New Roman" w:cs="Times New Roman"/>
                <w:lang w:val="da-DK"/>
              </w:rPr>
              <w:t>Symptomatisk recidiverende</w:t>
            </w:r>
          </w:p>
        </w:tc>
        <w:tc>
          <w:tcPr>
            <w:tcW w:w="1662" w:type="pct"/>
            <w:tcBorders>
              <w:top w:val="single" w:sz="4" w:space="0" w:color="000000"/>
              <w:left w:val="single" w:sz="4" w:space="0" w:color="000000"/>
              <w:bottom w:val="nil"/>
              <w:right w:val="single" w:sz="4" w:space="0" w:color="000000"/>
            </w:tcBorders>
            <w:hideMark/>
          </w:tcPr>
          <w:p w14:paraId="2C22F69D" w14:textId="77777777" w:rsidR="00C7249D" w:rsidRPr="00EA3E0E" w:rsidRDefault="00C7249D">
            <w:pPr>
              <w:pStyle w:val="TableParagraph"/>
              <w:spacing w:line="238" w:lineRule="exact"/>
              <w:ind w:left="141" w:right="887"/>
              <w:jc w:val="center"/>
              <w:rPr>
                <w:rFonts w:ascii="Times New Roman" w:hAnsi="Times New Roman" w:cs="Times New Roman"/>
                <w:lang w:val="da-DK"/>
              </w:rPr>
            </w:pPr>
            <w:r w:rsidRPr="00EA3E0E">
              <w:rPr>
                <w:rFonts w:ascii="Times New Roman" w:hAnsi="Times New Roman" w:cs="Times New Roman"/>
                <w:w w:val="99"/>
                <w:lang w:val="da-DK"/>
              </w:rPr>
              <w:t>8</w:t>
            </w:r>
          </w:p>
        </w:tc>
        <w:tc>
          <w:tcPr>
            <w:tcW w:w="1535" w:type="pct"/>
            <w:tcBorders>
              <w:top w:val="single" w:sz="4" w:space="0" w:color="000000"/>
              <w:left w:val="single" w:sz="4" w:space="0" w:color="000000"/>
              <w:bottom w:val="nil"/>
              <w:right w:val="single" w:sz="4" w:space="0" w:color="000000"/>
            </w:tcBorders>
            <w:hideMark/>
          </w:tcPr>
          <w:p w14:paraId="545BC0F9" w14:textId="77777777" w:rsidR="00C7249D" w:rsidRPr="00EA3E0E" w:rsidRDefault="00C7249D">
            <w:pPr>
              <w:pStyle w:val="TableParagraph"/>
              <w:spacing w:line="238" w:lineRule="exact"/>
              <w:ind w:left="140" w:right="887"/>
              <w:jc w:val="center"/>
              <w:rPr>
                <w:rFonts w:ascii="Times New Roman" w:hAnsi="Times New Roman" w:cs="Times New Roman"/>
                <w:lang w:val="da-DK"/>
              </w:rPr>
            </w:pPr>
            <w:r w:rsidRPr="00EA3E0E">
              <w:rPr>
                <w:rFonts w:ascii="Times New Roman" w:hAnsi="Times New Roman" w:cs="Times New Roman"/>
                <w:lang w:val="da-DK"/>
              </w:rPr>
              <w:t>42</w:t>
            </w:r>
          </w:p>
        </w:tc>
      </w:tr>
      <w:tr w:rsidR="00C7249D" w:rsidRPr="00EA3E0E" w14:paraId="5DE77BC2" w14:textId="77777777" w:rsidTr="00EA3E0E">
        <w:trPr>
          <w:trHeight w:val="250"/>
        </w:trPr>
        <w:tc>
          <w:tcPr>
            <w:tcW w:w="1803" w:type="pct"/>
            <w:tcBorders>
              <w:top w:val="nil"/>
              <w:left w:val="single" w:sz="4" w:space="0" w:color="000000"/>
              <w:bottom w:val="single" w:sz="4" w:space="0" w:color="000000"/>
              <w:right w:val="single" w:sz="4" w:space="0" w:color="000000"/>
            </w:tcBorders>
            <w:hideMark/>
          </w:tcPr>
          <w:p w14:paraId="269C5FB0" w14:textId="77777777" w:rsidR="00C7249D" w:rsidRPr="00EA3E0E" w:rsidRDefault="00C7249D">
            <w:pPr>
              <w:pStyle w:val="TableParagraph"/>
              <w:spacing w:line="230" w:lineRule="exact"/>
              <w:ind w:left="141" w:right="60"/>
              <w:rPr>
                <w:rFonts w:ascii="Times New Roman" w:hAnsi="Times New Roman" w:cs="Times New Roman"/>
                <w:lang w:val="da-DK"/>
              </w:rPr>
            </w:pPr>
            <w:r w:rsidRPr="00EA3E0E">
              <w:rPr>
                <w:rFonts w:ascii="Times New Roman" w:hAnsi="Times New Roman" w:cs="Times New Roman"/>
                <w:lang w:val="da-DK"/>
              </w:rPr>
              <w:t>VTE*</w:t>
            </w:r>
          </w:p>
        </w:tc>
        <w:tc>
          <w:tcPr>
            <w:tcW w:w="1662" w:type="pct"/>
            <w:tcBorders>
              <w:top w:val="nil"/>
              <w:left w:val="single" w:sz="4" w:space="0" w:color="000000"/>
              <w:bottom w:val="single" w:sz="4" w:space="0" w:color="000000"/>
              <w:right w:val="single" w:sz="4" w:space="0" w:color="000000"/>
            </w:tcBorders>
            <w:hideMark/>
          </w:tcPr>
          <w:p w14:paraId="580FBBA7" w14:textId="5158F9E0" w:rsidR="00C7249D" w:rsidRPr="00EA3E0E" w:rsidRDefault="00C7249D">
            <w:pPr>
              <w:pStyle w:val="TableParagraph"/>
              <w:spacing w:line="230" w:lineRule="exact"/>
              <w:ind w:left="141" w:right="887"/>
              <w:jc w:val="center"/>
              <w:rPr>
                <w:rFonts w:ascii="Times New Roman" w:hAnsi="Times New Roman" w:cs="Times New Roman"/>
                <w:lang w:val="da-DK"/>
              </w:rPr>
            </w:pPr>
            <w:r w:rsidRPr="00EA3E0E">
              <w:rPr>
                <w:rFonts w:ascii="Times New Roman" w:hAnsi="Times New Roman" w:cs="Times New Roman"/>
                <w:lang w:val="da-DK"/>
              </w:rPr>
              <w:t>(1,3</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535" w:type="pct"/>
            <w:tcBorders>
              <w:top w:val="nil"/>
              <w:left w:val="single" w:sz="4" w:space="0" w:color="000000"/>
              <w:bottom w:val="single" w:sz="4" w:space="0" w:color="000000"/>
              <w:right w:val="single" w:sz="4" w:space="0" w:color="000000"/>
            </w:tcBorders>
            <w:hideMark/>
          </w:tcPr>
          <w:p w14:paraId="6E9ED1E7" w14:textId="33A7199D" w:rsidR="00C7249D" w:rsidRPr="00EA3E0E" w:rsidRDefault="00C7249D">
            <w:pPr>
              <w:pStyle w:val="TableParagraph"/>
              <w:spacing w:line="230" w:lineRule="exact"/>
              <w:ind w:left="140" w:right="887"/>
              <w:jc w:val="center"/>
              <w:rPr>
                <w:rFonts w:ascii="Times New Roman" w:hAnsi="Times New Roman" w:cs="Times New Roman"/>
                <w:lang w:val="da-DK"/>
              </w:rPr>
            </w:pPr>
            <w:r w:rsidRPr="00EA3E0E">
              <w:rPr>
                <w:rFonts w:ascii="Times New Roman" w:hAnsi="Times New Roman" w:cs="Times New Roman"/>
                <w:lang w:val="da-DK"/>
              </w:rPr>
              <w:t>(7,1</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068285C6" w14:textId="77777777" w:rsidTr="00EA3E0E">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1483B099" w14:textId="77777777" w:rsidR="00C7249D" w:rsidRPr="00EA3E0E" w:rsidRDefault="00C7249D">
            <w:pPr>
              <w:pStyle w:val="TableParagraph"/>
              <w:spacing w:before="127"/>
              <w:ind w:left="141" w:right="60"/>
              <w:rPr>
                <w:rFonts w:ascii="Times New Roman" w:hAnsi="Times New Roman" w:cs="Times New Roman"/>
                <w:lang w:val="da-DK"/>
              </w:rPr>
            </w:pPr>
            <w:r w:rsidRPr="00EA3E0E">
              <w:rPr>
                <w:rFonts w:ascii="Times New Roman" w:hAnsi="Times New Roman" w:cs="Times New Roman"/>
                <w:lang w:val="da-DK"/>
              </w:rPr>
              <w:t>Symptomatisk recidiverende LE</w:t>
            </w:r>
          </w:p>
        </w:tc>
        <w:tc>
          <w:tcPr>
            <w:tcW w:w="1662" w:type="pct"/>
            <w:tcBorders>
              <w:top w:val="single" w:sz="4" w:space="0" w:color="000000"/>
              <w:left w:val="single" w:sz="4" w:space="0" w:color="000000"/>
              <w:bottom w:val="nil"/>
              <w:right w:val="single" w:sz="4" w:space="0" w:color="000000"/>
            </w:tcBorders>
            <w:hideMark/>
          </w:tcPr>
          <w:p w14:paraId="1B1A9F5F" w14:textId="77777777" w:rsidR="00C7249D" w:rsidRPr="00EA3E0E" w:rsidRDefault="00C7249D">
            <w:pPr>
              <w:pStyle w:val="TableParagraph"/>
              <w:spacing w:line="233" w:lineRule="exact"/>
              <w:ind w:left="141" w:right="887"/>
              <w:jc w:val="center"/>
              <w:rPr>
                <w:rFonts w:ascii="Times New Roman" w:hAnsi="Times New Roman" w:cs="Times New Roman"/>
                <w:lang w:val="da-DK"/>
              </w:rPr>
            </w:pPr>
            <w:r w:rsidRPr="00EA3E0E">
              <w:rPr>
                <w:rFonts w:ascii="Times New Roman" w:hAnsi="Times New Roman" w:cs="Times New Roman"/>
                <w:w w:val="99"/>
                <w:lang w:val="da-DK"/>
              </w:rPr>
              <w:t>2</w:t>
            </w:r>
          </w:p>
        </w:tc>
        <w:tc>
          <w:tcPr>
            <w:tcW w:w="1535" w:type="pct"/>
            <w:tcBorders>
              <w:top w:val="single" w:sz="4" w:space="0" w:color="000000"/>
              <w:left w:val="single" w:sz="4" w:space="0" w:color="000000"/>
              <w:bottom w:val="nil"/>
              <w:right w:val="single" w:sz="4" w:space="0" w:color="000000"/>
            </w:tcBorders>
            <w:hideMark/>
          </w:tcPr>
          <w:p w14:paraId="6760C56B" w14:textId="77777777" w:rsidR="00C7249D" w:rsidRPr="00EA3E0E" w:rsidRDefault="00C7249D">
            <w:pPr>
              <w:pStyle w:val="TableParagraph"/>
              <w:spacing w:line="233" w:lineRule="exact"/>
              <w:ind w:left="140" w:right="887"/>
              <w:jc w:val="center"/>
              <w:rPr>
                <w:rFonts w:ascii="Times New Roman" w:hAnsi="Times New Roman" w:cs="Times New Roman"/>
                <w:lang w:val="da-DK"/>
              </w:rPr>
            </w:pPr>
            <w:r w:rsidRPr="00EA3E0E">
              <w:rPr>
                <w:rFonts w:ascii="Times New Roman" w:hAnsi="Times New Roman" w:cs="Times New Roman"/>
                <w:lang w:val="da-DK"/>
              </w:rPr>
              <w:t>13</w:t>
            </w:r>
          </w:p>
        </w:tc>
      </w:tr>
      <w:tr w:rsidR="00C7249D" w:rsidRPr="00EA3E0E" w14:paraId="0C8DC04A" w14:textId="77777777" w:rsidTr="00EA3E0E">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58529F9F" w14:textId="77777777" w:rsidR="00C7249D" w:rsidRPr="00EA3E0E" w:rsidRDefault="00C7249D">
            <w:pPr>
              <w:rPr>
                <w:rFonts w:ascii="Times New Roman" w:hAnsi="Times New Roman" w:cs="Times New Roman"/>
                <w:sz w:val="22"/>
                <w:lang w:val="da-DK"/>
              </w:rPr>
            </w:pPr>
          </w:p>
        </w:tc>
        <w:tc>
          <w:tcPr>
            <w:tcW w:w="1662" w:type="pct"/>
            <w:tcBorders>
              <w:top w:val="nil"/>
              <w:left w:val="single" w:sz="4" w:space="0" w:color="000000"/>
              <w:bottom w:val="single" w:sz="4" w:space="0" w:color="000000"/>
              <w:right w:val="single" w:sz="4" w:space="0" w:color="000000"/>
            </w:tcBorders>
            <w:hideMark/>
          </w:tcPr>
          <w:p w14:paraId="74C2746B" w14:textId="6C0B750F" w:rsidR="00C7249D" w:rsidRPr="00EA3E0E" w:rsidRDefault="00C7249D">
            <w:pPr>
              <w:pStyle w:val="TableParagraph"/>
              <w:spacing w:line="225" w:lineRule="exact"/>
              <w:ind w:left="141" w:right="887"/>
              <w:jc w:val="center"/>
              <w:rPr>
                <w:rFonts w:ascii="Times New Roman" w:hAnsi="Times New Roman" w:cs="Times New Roman"/>
                <w:lang w:val="da-DK"/>
              </w:rPr>
            </w:pPr>
            <w:r w:rsidRPr="00EA3E0E">
              <w:rPr>
                <w:rFonts w:ascii="Times New Roman" w:hAnsi="Times New Roman" w:cs="Times New Roman"/>
                <w:lang w:val="da-DK"/>
              </w:rPr>
              <w:t>(0,3</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535" w:type="pct"/>
            <w:tcBorders>
              <w:top w:val="nil"/>
              <w:left w:val="single" w:sz="4" w:space="0" w:color="000000"/>
              <w:bottom w:val="single" w:sz="4" w:space="0" w:color="000000"/>
              <w:right w:val="single" w:sz="4" w:space="0" w:color="000000"/>
            </w:tcBorders>
            <w:hideMark/>
          </w:tcPr>
          <w:p w14:paraId="62F92F05" w14:textId="46B1CC47" w:rsidR="00C7249D" w:rsidRPr="00EA3E0E" w:rsidRDefault="00C7249D">
            <w:pPr>
              <w:pStyle w:val="TableParagraph"/>
              <w:spacing w:line="225" w:lineRule="exact"/>
              <w:ind w:left="140" w:right="887"/>
              <w:jc w:val="center"/>
              <w:rPr>
                <w:rFonts w:ascii="Times New Roman" w:hAnsi="Times New Roman" w:cs="Times New Roman"/>
                <w:lang w:val="da-DK"/>
              </w:rPr>
            </w:pPr>
            <w:r w:rsidRPr="00EA3E0E">
              <w:rPr>
                <w:rFonts w:ascii="Times New Roman" w:hAnsi="Times New Roman" w:cs="Times New Roman"/>
                <w:lang w:val="da-DK"/>
              </w:rPr>
              <w:t>(2,2</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52124688" w14:textId="77777777" w:rsidTr="00EA3E0E">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351698D2" w14:textId="77777777" w:rsidR="00C7249D" w:rsidRPr="00EA3E0E" w:rsidRDefault="00C7249D">
            <w:pPr>
              <w:pStyle w:val="TableParagraph"/>
              <w:spacing w:before="127"/>
              <w:ind w:left="141" w:right="60"/>
              <w:rPr>
                <w:rFonts w:ascii="Times New Roman" w:hAnsi="Times New Roman" w:cs="Times New Roman"/>
                <w:lang w:val="da-DK"/>
              </w:rPr>
            </w:pPr>
            <w:r w:rsidRPr="00EA3E0E">
              <w:rPr>
                <w:rFonts w:ascii="Times New Roman" w:hAnsi="Times New Roman" w:cs="Times New Roman"/>
                <w:lang w:val="da-DK"/>
              </w:rPr>
              <w:t>Symptomatisk recidiverende DVT</w:t>
            </w:r>
          </w:p>
        </w:tc>
        <w:tc>
          <w:tcPr>
            <w:tcW w:w="1662" w:type="pct"/>
            <w:tcBorders>
              <w:top w:val="single" w:sz="4" w:space="0" w:color="000000"/>
              <w:left w:val="single" w:sz="4" w:space="0" w:color="000000"/>
              <w:bottom w:val="nil"/>
              <w:right w:val="single" w:sz="4" w:space="0" w:color="000000"/>
            </w:tcBorders>
            <w:hideMark/>
          </w:tcPr>
          <w:p w14:paraId="3EF18422" w14:textId="77777777" w:rsidR="00C7249D" w:rsidRPr="00EA3E0E" w:rsidRDefault="00C7249D">
            <w:pPr>
              <w:pStyle w:val="TableParagraph"/>
              <w:spacing w:line="233" w:lineRule="exact"/>
              <w:ind w:left="141" w:right="887"/>
              <w:jc w:val="center"/>
              <w:rPr>
                <w:rFonts w:ascii="Times New Roman" w:hAnsi="Times New Roman" w:cs="Times New Roman"/>
                <w:lang w:val="da-DK"/>
              </w:rPr>
            </w:pPr>
            <w:r w:rsidRPr="00EA3E0E">
              <w:rPr>
                <w:rFonts w:ascii="Times New Roman" w:hAnsi="Times New Roman" w:cs="Times New Roman"/>
                <w:w w:val="99"/>
                <w:lang w:val="da-DK"/>
              </w:rPr>
              <w:t>5</w:t>
            </w:r>
          </w:p>
        </w:tc>
        <w:tc>
          <w:tcPr>
            <w:tcW w:w="1535" w:type="pct"/>
            <w:tcBorders>
              <w:top w:val="single" w:sz="4" w:space="0" w:color="000000"/>
              <w:left w:val="single" w:sz="4" w:space="0" w:color="000000"/>
              <w:bottom w:val="nil"/>
              <w:right w:val="single" w:sz="4" w:space="0" w:color="000000"/>
            </w:tcBorders>
            <w:hideMark/>
          </w:tcPr>
          <w:p w14:paraId="5266F001" w14:textId="77777777" w:rsidR="00C7249D" w:rsidRPr="00EA3E0E" w:rsidRDefault="00C7249D">
            <w:pPr>
              <w:pStyle w:val="TableParagraph"/>
              <w:spacing w:line="233" w:lineRule="exact"/>
              <w:ind w:left="140" w:right="887"/>
              <w:jc w:val="center"/>
              <w:rPr>
                <w:rFonts w:ascii="Times New Roman" w:hAnsi="Times New Roman" w:cs="Times New Roman"/>
                <w:lang w:val="da-DK"/>
              </w:rPr>
            </w:pPr>
            <w:r w:rsidRPr="00EA3E0E">
              <w:rPr>
                <w:rFonts w:ascii="Times New Roman" w:hAnsi="Times New Roman" w:cs="Times New Roman"/>
                <w:lang w:val="da-DK"/>
              </w:rPr>
              <w:t>31</w:t>
            </w:r>
          </w:p>
        </w:tc>
      </w:tr>
      <w:tr w:rsidR="00C7249D" w:rsidRPr="00EA3E0E" w14:paraId="2A4D491D" w14:textId="77777777" w:rsidTr="00EA3E0E">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2228A607" w14:textId="77777777" w:rsidR="00C7249D" w:rsidRPr="00EA3E0E" w:rsidRDefault="00C7249D">
            <w:pPr>
              <w:rPr>
                <w:rFonts w:ascii="Times New Roman" w:hAnsi="Times New Roman" w:cs="Times New Roman"/>
                <w:sz w:val="22"/>
                <w:lang w:val="da-DK"/>
              </w:rPr>
            </w:pPr>
          </w:p>
        </w:tc>
        <w:tc>
          <w:tcPr>
            <w:tcW w:w="1662" w:type="pct"/>
            <w:tcBorders>
              <w:top w:val="nil"/>
              <w:left w:val="single" w:sz="4" w:space="0" w:color="000000"/>
              <w:bottom w:val="single" w:sz="4" w:space="0" w:color="000000"/>
              <w:right w:val="single" w:sz="4" w:space="0" w:color="000000"/>
            </w:tcBorders>
            <w:hideMark/>
          </w:tcPr>
          <w:p w14:paraId="0C760D1F" w14:textId="67375B9E" w:rsidR="00C7249D" w:rsidRPr="00EA3E0E" w:rsidRDefault="00C7249D">
            <w:pPr>
              <w:pStyle w:val="TableParagraph"/>
              <w:spacing w:line="225" w:lineRule="exact"/>
              <w:ind w:left="141" w:right="887"/>
              <w:jc w:val="center"/>
              <w:rPr>
                <w:rFonts w:ascii="Times New Roman" w:hAnsi="Times New Roman" w:cs="Times New Roman"/>
                <w:lang w:val="da-DK"/>
              </w:rPr>
            </w:pPr>
            <w:r w:rsidRPr="00EA3E0E">
              <w:rPr>
                <w:rFonts w:ascii="Times New Roman" w:hAnsi="Times New Roman" w:cs="Times New Roman"/>
                <w:lang w:val="da-DK"/>
              </w:rPr>
              <w:t>(0,8</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535" w:type="pct"/>
            <w:tcBorders>
              <w:top w:val="nil"/>
              <w:left w:val="single" w:sz="4" w:space="0" w:color="000000"/>
              <w:bottom w:val="single" w:sz="4" w:space="0" w:color="000000"/>
              <w:right w:val="single" w:sz="4" w:space="0" w:color="000000"/>
            </w:tcBorders>
            <w:hideMark/>
          </w:tcPr>
          <w:p w14:paraId="27E2290B" w14:textId="350CA5AA" w:rsidR="00C7249D" w:rsidRPr="00EA3E0E" w:rsidRDefault="00C7249D">
            <w:pPr>
              <w:pStyle w:val="TableParagraph"/>
              <w:spacing w:line="225" w:lineRule="exact"/>
              <w:ind w:left="140" w:right="887"/>
              <w:jc w:val="center"/>
              <w:rPr>
                <w:rFonts w:ascii="Times New Roman" w:hAnsi="Times New Roman" w:cs="Times New Roman"/>
                <w:lang w:val="da-DK"/>
              </w:rPr>
            </w:pPr>
            <w:r w:rsidRPr="00EA3E0E">
              <w:rPr>
                <w:rFonts w:ascii="Times New Roman" w:hAnsi="Times New Roman" w:cs="Times New Roman"/>
                <w:lang w:val="da-DK"/>
              </w:rPr>
              <w:t>(5,2</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4E6154C0" w14:textId="77777777" w:rsidTr="00EA3E0E">
        <w:trPr>
          <w:trHeight w:val="258"/>
        </w:trPr>
        <w:tc>
          <w:tcPr>
            <w:tcW w:w="1803" w:type="pct"/>
            <w:tcBorders>
              <w:top w:val="single" w:sz="4" w:space="0" w:color="000000"/>
              <w:left w:val="single" w:sz="4" w:space="0" w:color="000000"/>
              <w:bottom w:val="nil"/>
              <w:right w:val="single" w:sz="4" w:space="0" w:color="000000"/>
            </w:tcBorders>
            <w:hideMark/>
          </w:tcPr>
          <w:p w14:paraId="71FAA743" w14:textId="77777777" w:rsidR="00C7249D" w:rsidRPr="00EA3E0E" w:rsidRDefault="00C7249D">
            <w:pPr>
              <w:pStyle w:val="TableParagraph"/>
              <w:spacing w:line="238" w:lineRule="exact"/>
              <w:ind w:left="141" w:right="60"/>
              <w:rPr>
                <w:rFonts w:ascii="Times New Roman" w:hAnsi="Times New Roman" w:cs="Times New Roman"/>
                <w:lang w:val="da-DK"/>
              </w:rPr>
            </w:pPr>
            <w:r w:rsidRPr="00EA3E0E">
              <w:rPr>
                <w:rFonts w:ascii="Times New Roman" w:hAnsi="Times New Roman" w:cs="Times New Roman"/>
                <w:lang w:val="da-DK"/>
              </w:rPr>
              <w:t>Dødelig LE/død, hvor LE</w:t>
            </w:r>
          </w:p>
        </w:tc>
        <w:tc>
          <w:tcPr>
            <w:tcW w:w="1662" w:type="pct"/>
            <w:tcBorders>
              <w:top w:val="single" w:sz="4" w:space="0" w:color="000000"/>
              <w:left w:val="single" w:sz="4" w:space="0" w:color="000000"/>
              <w:bottom w:val="nil"/>
              <w:right w:val="single" w:sz="4" w:space="0" w:color="000000"/>
            </w:tcBorders>
            <w:hideMark/>
          </w:tcPr>
          <w:p w14:paraId="37EFAB5A" w14:textId="77777777" w:rsidR="00C7249D" w:rsidRPr="00EA3E0E" w:rsidRDefault="00C7249D">
            <w:pPr>
              <w:pStyle w:val="TableParagraph"/>
              <w:spacing w:line="238" w:lineRule="exact"/>
              <w:ind w:left="141" w:right="887"/>
              <w:jc w:val="center"/>
              <w:rPr>
                <w:rFonts w:ascii="Times New Roman" w:hAnsi="Times New Roman" w:cs="Times New Roman"/>
                <w:lang w:val="da-DK"/>
              </w:rPr>
            </w:pPr>
            <w:r w:rsidRPr="00EA3E0E">
              <w:rPr>
                <w:rFonts w:ascii="Times New Roman" w:hAnsi="Times New Roman" w:cs="Times New Roman"/>
                <w:w w:val="99"/>
                <w:lang w:val="da-DK"/>
              </w:rPr>
              <w:t>1</w:t>
            </w:r>
          </w:p>
        </w:tc>
        <w:tc>
          <w:tcPr>
            <w:tcW w:w="1535" w:type="pct"/>
            <w:tcBorders>
              <w:top w:val="single" w:sz="4" w:space="0" w:color="000000"/>
              <w:left w:val="single" w:sz="4" w:space="0" w:color="000000"/>
              <w:bottom w:val="nil"/>
              <w:right w:val="single" w:sz="4" w:space="0" w:color="000000"/>
            </w:tcBorders>
            <w:hideMark/>
          </w:tcPr>
          <w:p w14:paraId="008D78D6" w14:textId="77777777" w:rsidR="00C7249D" w:rsidRPr="00EA3E0E" w:rsidRDefault="00C7249D">
            <w:pPr>
              <w:pStyle w:val="TableParagraph"/>
              <w:spacing w:line="238" w:lineRule="exact"/>
              <w:ind w:left="140" w:right="887"/>
              <w:jc w:val="center"/>
              <w:rPr>
                <w:rFonts w:ascii="Times New Roman" w:hAnsi="Times New Roman" w:cs="Times New Roman"/>
                <w:lang w:val="da-DK"/>
              </w:rPr>
            </w:pPr>
            <w:r w:rsidRPr="00EA3E0E">
              <w:rPr>
                <w:rFonts w:ascii="Times New Roman" w:hAnsi="Times New Roman" w:cs="Times New Roman"/>
                <w:w w:val="99"/>
                <w:lang w:val="da-DK"/>
              </w:rPr>
              <w:t>1</w:t>
            </w:r>
          </w:p>
        </w:tc>
      </w:tr>
      <w:tr w:rsidR="00C7249D" w:rsidRPr="00EA3E0E" w14:paraId="486929FE" w14:textId="77777777" w:rsidTr="00EA3E0E">
        <w:trPr>
          <w:trHeight w:val="250"/>
        </w:trPr>
        <w:tc>
          <w:tcPr>
            <w:tcW w:w="1803" w:type="pct"/>
            <w:tcBorders>
              <w:top w:val="nil"/>
              <w:left w:val="single" w:sz="4" w:space="0" w:color="000000"/>
              <w:bottom w:val="single" w:sz="4" w:space="0" w:color="000000"/>
              <w:right w:val="single" w:sz="4" w:space="0" w:color="000000"/>
            </w:tcBorders>
            <w:hideMark/>
          </w:tcPr>
          <w:p w14:paraId="06FD2DA2" w14:textId="77777777" w:rsidR="00C7249D" w:rsidRPr="00EA3E0E" w:rsidRDefault="00C7249D">
            <w:pPr>
              <w:pStyle w:val="TableParagraph"/>
              <w:spacing w:line="230" w:lineRule="exact"/>
              <w:ind w:left="141" w:right="60"/>
              <w:rPr>
                <w:rFonts w:ascii="Times New Roman" w:hAnsi="Times New Roman" w:cs="Times New Roman"/>
                <w:lang w:val="da-DK"/>
              </w:rPr>
            </w:pPr>
            <w:r w:rsidRPr="00EA3E0E">
              <w:rPr>
                <w:rFonts w:ascii="Times New Roman" w:hAnsi="Times New Roman" w:cs="Times New Roman"/>
                <w:lang w:val="da-DK"/>
              </w:rPr>
              <w:t>ikke kan udelukkes</w:t>
            </w:r>
          </w:p>
        </w:tc>
        <w:tc>
          <w:tcPr>
            <w:tcW w:w="1662" w:type="pct"/>
            <w:tcBorders>
              <w:top w:val="nil"/>
              <w:left w:val="single" w:sz="4" w:space="0" w:color="000000"/>
              <w:bottom w:val="single" w:sz="4" w:space="0" w:color="000000"/>
              <w:right w:val="single" w:sz="4" w:space="0" w:color="000000"/>
            </w:tcBorders>
            <w:hideMark/>
          </w:tcPr>
          <w:p w14:paraId="39CC63AA" w14:textId="3E0CAB2E" w:rsidR="00C7249D" w:rsidRPr="00EA3E0E" w:rsidRDefault="00C7249D">
            <w:pPr>
              <w:pStyle w:val="TableParagraph"/>
              <w:spacing w:line="230" w:lineRule="exact"/>
              <w:ind w:left="141" w:right="887"/>
              <w:jc w:val="center"/>
              <w:rPr>
                <w:rFonts w:ascii="Times New Roman" w:hAnsi="Times New Roman" w:cs="Times New Roman"/>
                <w:lang w:val="da-DK"/>
              </w:rPr>
            </w:pPr>
            <w:r w:rsidRPr="00EA3E0E">
              <w:rPr>
                <w:rFonts w:ascii="Times New Roman" w:hAnsi="Times New Roman" w:cs="Times New Roman"/>
                <w:lang w:val="da-DK"/>
              </w:rPr>
              <w:t>(0,2</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535" w:type="pct"/>
            <w:tcBorders>
              <w:top w:val="nil"/>
              <w:left w:val="single" w:sz="4" w:space="0" w:color="000000"/>
              <w:bottom w:val="single" w:sz="4" w:space="0" w:color="000000"/>
              <w:right w:val="single" w:sz="4" w:space="0" w:color="000000"/>
            </w:tcBorders>
            <w:hideMark/>
          </w:tcPr>
          <w:p w14:paraId="711832FE" w14:textId="05E72515" w:rsidR="00C7249D" w:rsidRPr="00EA3E0E" w:rsidRDefault="00C7249D">
            <w:pPr>
              <w:pStyle w:val="TableParagraph"/>
              <w:spacing w:line="230" w:lineRule="exact"/>
              <w:ind w:left="140" w:right="887"/>
              <w:jc w:val="center"/>
              <w:rPr>
                <w:rFonts w:ascii="Times New Roman" w:hAnsi="Times New Roman" w:cs="Times New Roman"/>
                <w:lang w:val="da-DK"/>
              </w:rPr>
            </w:pPr>
            <w:r w:rsidRPr="00EA3E0E">
              <w:rPr>
                <w:rFonts w:ascii="Times New Roman" w:hAnsi="Times New Roman" w:cs="Times New Roman"/>
                <w:lang w:val="da-DK"/>
              </w:rPr>
              <w:t>(0,2</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62175D52" w14:textId="77777777" w:rsidTr="00EA3E0E">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057CC886" w14:textId="77777777" w:rsidR="00C7249D" w:rsidRPr="00EA3E0E" w:rsidRDefault="00C7249D">
            <w:pPr>
              <w:pStyle w:val="TableParagraph"/>
              <w:spacing w:before="127"/>
              <w:ind w:left="141" w:right="887"/>
              <w:rPr>
                <w:rFonts w:ascii="Times New Roman" w:hAnsi="Times New Roman" w:cs="Times New Roman"/>
                <w:lang w:val="da-DK"/>
              </w:rPr>
            </w:pPr>
            <w:r w:rsidRPr="00EA3E0E">
              <w:rPr>
                <w:rFonts w:ascii="Times New Roman" w:hAnsi="Times New Roman" w:cs="Times New Roman"/>
                <w:lang w:val="da-DK"/>
              </w:rPr>
              <w:t>Større blødninger</w:t>
            </w:r>
          </w:p>
        </w:tc>
        <w:tc>
          <w:tcPr>
            <w:tcW w:w="1662" w:type="pct"/>
            <w:tcBorders>
              <w:top w:val="single" w:sz="4" w:space="0" w:color="000000"/>
              <w:left w:val="single" w:sz="4" w:space="0" w:color="000000"/>
              <w:bottom w:val="nil"/>
              <w:right w:val="single" w:sz="4" w:space="0" w:color="000000"/>
            </w:tcBorders>
            <w:hideMark/>
          </w:tcPr>
          <w:p w14:paraId="1F256897" w14:textId="77777777" w:rsidR="00C7249D" w:rsidRPr="00EA3E0E" w:rsidRDefault="00C7249D">
            <w:pPr>
              <w:pStyle w:val="TableParagraph"/>
              <w:spacing w:line="233" w:lineRule="exact"/>
              <w:ind w:left="141" w:right="887"/>
              <w:jc w:val="center"/>
              <w:rPr>
                <w:rFonts w:ascii="Times New Roman" w:hAnsi="Times New Roman" w:cs="Times New Roman"/>
                <w:lang w:val="da-DK"/>
              </w:rPr>
            </w:pPr>
            <w:r w:rsidRPr="00EA3E0E">
              <w:rPr>
                <w:rFonts w:ascii="Times New Roman" w:hAnsi="Times New Roman" w:cs="Times New Roman"/>
                <w:w w:val="99"/>
                <w:lang w:val="da-DK"/>
              </w:rPr>
              <w:t>4</w:t>
            </w:r>
          </w:p>
        </w:tc>
        <w:tc>
          <w:tcPr>
            <w:tcW w:w="1535" w:type="pct"/>
            <w:tcBorders>
              <w:top w:val="single" w:sz="4" w:space="0" w:color="000000"/>
              <w:left w:val="single" w:sz="4" w:space="0" w:color="000000"/>
              <w:bottom w:val="nil"/>
              <w:right w:val="single" w:sz="4" w:space="0" w:color="000000"/>
            </w:tcBorders>
            <w:hideMark/>
          </w:tcPr>
          <w:p w14:paraId="792A2D43" w14:textId="77777777" w:rsidR="00C7249D" w:rsidRPr="00EA3E0E" w:rsidRDefault="00C7249D">
            <w:pPr>
              <w:pStyle w:val="TableParagraph"/>
              <w:spacing w:line="233" w:lineRule="exact"/>
              <w:ind w:left="140" w:right="887"/>
              <w:jc w:val="center"/>
              <w:rPr>
                <w:rFonts w:ascii="Times New Roman" w:hAnsi="Times New Roman" w:cs="Times New Roman"/>
                <w:lang w:val="da-DK"/>
              </w:rPr>
            </w:pPr>
            <w:r w:rsidRPr="00EA3E0E">
              <w:rPr>
                <w:rFonts w:ascii="Times New Roman" w:hAnsi="Times New Roman" w:cs="Times New Roman"/>
                <w:w w:val="99"/>
                <w:lang w:val="da-DK"/>
              </w:rPr>
              <w:t>0</w:t>
            </w:r>
          </w:p>
        </w:tc>
      </w:tr>
      <w:tr w:rsidR="00C7249D" w:rsidRPr="00EA3E0E" w14:paraId="3733AC8D" w14:textId="77777777" w:rsidTr="00EA3E0E">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356407E7" w14:textId="77777777" w:rsidR="00C7249D" w:rsidRPr="00EA3E0E" w:rsidRDefault="00C7249D">
            <w:pPr>
              <w:rPr>
                <w:rFonts w:ascii="Times New Roman" w:hAnsi="Times New Roman" w:cs="Times New Roman"/>
                <w:sz w:val="22"/>
                <w:lang w:val="da-DK"/>
              </w:rPr>
            </w:pPr>
          </w:p>
        </w:tc>
        <w:tc>
          <w:tcPr>
            <w:tcW w:w="1662" w:type="pct"/>
            <w:tcBorders>
              <w:top w:val="nil"/>
              <w:left w:val="single" w:sz="4" w:space="0" w:color="000000"/>
              <w:bottom w:val="single" w:sz="4" w:space="0" w:color="000000"/>
              <w:right w:val="single" w:sz="4" w:space="0" w:color="000000"/>
            </w:tcBorders>
            <w:hideMark/>
          </w:tcPr>
          <w:p w14:paraId="598FFF16" w14:textId="2B9F78F6" w:rsidR="00C7249D" w:rsidRPr="00EA3E0E" w:rsidRDefault="00C7249D">
            <w:pPr>
              <w:pStyle w:val="TableParagraph"/>
              <w:spacing w:line="225" w:lineRule="exact"/>
              <w:ind w:left="141" w:right="887"/>
              <w:jc w:val="center"/>
              <w:rPr>
                <w:rFonts w:ascii="Times New Roman" w:hAnsi="Times New Roman" w:cs="Times New Roman"/>
                <w:lang w:val="da-DK"/>
              </w:rPr>
            </w:pPr>
            <w:r w:rsidRPr="00EA3E0E">
              <w:rPr>
                <w:rFonts w:ascii="Times New Roman" w:hAnsi="Times New Roman" w:cs="Times New Roman"/>
                <w:lang w:val="da-DK"/>
              </w:rPr>
              <w:t>(0,7</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535" w:type="pct"/>
            <w:tcBorders>
              <w:top w:val="nil"/>
              <w:left w:val="single" w:sz="4" w:space="0" w:color="000000"/>
              <w:bottom w:val="single" w:sz="4" w:space="0" w:color="000000"/>
              <w:right w:val="single" w:sz="4" w:space="0" w:color="000000"/>
            </w:tcBorders>
            <w:hideMark/>
          </w:tcPr>
          <w:p w14:paraId="0439C47D" w14:textId="5C390E2E" w:rsidR="00C7249D" w:rsidRPr="00EA3E0E" w:rsidRDefault="00C7249D">
            <w:pPr>
              <w:pStyle w:val="TableParagraph"/>
              <w:spacing w:line="225" w:lineRule="exact"/>
              <w:ind w:left="140" w:right="887"/>
              <w:jc w:val="center"/>
              <w:rPr>
                <w:rFonts w:ascii="Times New Roman" w:hAnsi="Times New Roman" w:cs="Times New Roman"/>
                <w:lang w:val="da-DK"/>
              </w:rPr>
            </w:pPr>
            <w:r w:rsidRPr="00EA3E0E">
              <w:rPr>
                <w:rFonts w:ascii="Times New Roman" w:hAnsi="Times New Roman" w:cs="Times New Roman"/>
                <w:lang w:val="da-DK"/>
              </w:rPr>
              <w:t>(0,0</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64F2259F" w14:textId="77777777" w:rsidTr="00EA3E0E">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546F7F74" w14:textId="77777777" w:rsidR="00C7249D" w:rsidRPr="00EA3E0E" w:rsidRDefault="00C7249D">
            <w:pPr>
              <w:pStyle w:val="TableParagraph"/>
              <w:spacing w:before="127"/>
              <w:ind w:left="141" w:right="887"/>
              <w:rPr>
                <w:rFonts w:ascii="Times New Roman" w:hAnsi="Times New Roman" w:cs="Times New Roman"/>
                <w:lang w:val="da-DK"/>
              </w:rPr>
            </w:pPr>
            <w:r w:rsidRPr="00EA3E0E">
              <w:rPr>
                <w:rFonts w:ascii="Times New Roman" w:hAnsi="Times New Roman" w:cs="Times New Roman"/>
                <w:lang w:val="da-DK"/>
              </w:rPr>
              <w:t xml:space="preserve">Klinisk relevant mindre </w:t>
            </w:r>
            <w:r w:rsidRPr="00EA3E0E">
              <w:rPr>
                <w:rFonts w:ascii="Times New Roman" w:hAnsi="Times New Roman" w:cs="Times New Roman"/>
                <w:lang w:val="da-DK"/>
              </w:rPr>
              <w:lastRenderedPageBreak/>
              <w:t>blødning</w:t>
            </w:r>
          </w:p>
        </w:tc>
        <w:tc>
          <w:tcPr>
            <w:tcW w:w="1662" w:type="pct"/>
            <w:tcBorders>
              <w:top w:val="single" w:sz="4" w:space="0" w:color="000000"/>
              <w:left w:val="single" w:sz="4" w:space="0" w:color="000000"/>
              <w:bottom w:val="nil"/>
              <w:right w:val="single" w:sz="4" w:space="0" w:color="000000"/>
            </w:tcBorders>
            <w:hideMark/>
          </w:tcPr>
          <w:p w14:paraId="54796400" w14:textId="77777777" w:rsidR="00C7249D" w:rsidRPr="00EA3E0E" w:rsidRDefault="00C7249D">
            <w:pPr>
              <w:pStyle w:val="TableParagraph"/>
              <w:spacing w:line="233" w:lineRule="exact"/>
              <w:ind w:left="141" w:right="887"/>
              <w:jc w:val="center"/>
              <w:rPr>
                <w:rFonts w:ascii="Times New Roman" w:hAnsi="Times New Roman" w:cs="Times New Roman"/>
                <w:lang w:val="da-DK"/>
              </w:rPr>
            </w:pPr>
            <w:r w:rsidRPr="00EA3E0E">
              <w:rPr>
                <w:rFonts w:ascii="Times New Roman" w:hAnsi="Times New Roman" w:cs="Times New Roman"/>
                <w:lang w:val="da-DK"/>
              </w:rPr>
              <w:lastRenderedPageBreak/>
              <w:t>32</w:t>
            </w:r>
          </w:p>
        </w:tc>
        <w:tc>
          <w:tcPr>
            <w:tcW w:w="1535" w:type="pct"/>
            <w:tcBorders>
              <w:top w:val="single" w:sz="4" w:space="0" w:color="000000"/>
              <w:left w:val="single" w:sz="4" w:space="0" w:color="000000"/>
              <w:bottom w:val="nil"/>
              <w:right w:val="single" w:sz="4" w:space="0" w:color="000000"/>
            </w:tcBorders>
            <w:hideMark/>
          </w:tcPr>
          <w:p w14:paraId="4FFE2C31" w14:textId="77777777" w:rsidR="00C7249D" w:rsidRPr="00EA3E0E" w:rsidRDefault="00C7249D">
            <w:pPr>
              <w:pStyle w:val="TableParagraph"/>
              <w:spacing w:line="233" w:lineRule="exact"/>
              <w:ind w:left="140" w:right="887"/>
              <w:jc w:val="center"/>
              <w:rPr>
                <w:rFonts w:ascii="Times New Roman" w:hAnsi="Times New Roman" w:cs="Times New Roman"/>
                <w:lang w:val="da-DK"/>
              </w:rPr>
            </w:pPr>
            <w:r w:rsidRPr="00EA3E0E">
              <w:rPr>
                <w:rFonts w:ascii="Times New Roman" w:hAnsi="Times New Roman" w:cs="Times New Roman"/>
                <w:w w:val="99"/>
                <w:lang w:val="da-DK"/>
              </w:rPr>
              <w:t>7</w:t>
            </w:r>
          </w:p>
        </w:tc>
      </w:tr>
      <w:tr w:rsidR="00C7249D" w:rsidRPr="00EA3E0E" w14:paraId="1BAE891C" w14:textId="77777777" w:rsidTr="00EA3E0E">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389A2C17" w14:textId="77777777" w:rsidR="00C7249D" w:rsidRPr="00EA3E0E" w:rsidRDefault="00C7249D">
            <w:pPr>
              <w:rPr>
                <w:rFonts w:ascii="Times New Roman" w:hAnsi="Times New Roman" w:cs="Times New Roman"/>
                <w:sz w:val="22"/>
                <w:lang w:val="da-DK"/>
              </w:rPr>
            </w:pPr>
          </w:p>
        </w:tc>
        <w:tc>
          <w:tcPr>
            <w:tcW w:w="1662" w:type="pct"/>
            <w:tcBorders>
              <w:top w:val="nil"/>
              <w:left w:val="single" w:sz="4" w:space="0" w:color="000000"/>
              <w:bottom w:val="single" w:sz="4" w:space="0" w:color="000000"/>
              <w:right w:val="single" w:sz="4" w:space="0" w:color="000000"/>
            </w:tcBorders>
            <w:hideMark/>
          </w:tcPr>
          <w:p w14:paraId="0D9A3458" w14:textId="5DC2E76E" w:rsidR="00C7249D" w:rsidRPr="00EA3E0E" w:rsidRDefault="00C7249D">
            <w:pPr>
              <w:pStyle w:val="TableParagraph"/>
              <w:spacing w:line="225" w:lineRule="exact"/>
              <w:ind w:left="141" w:right="887"/>
              <w:jc w:val="center"/>
              <w:rPr>
                <w:rFonts w:ascii="Times New Roman" w:hAnsi="Times New Roman" w:cs="Times New Roman"/>
                <w:lang w:val="da-DK"/>
              </w:rPr>
            </w:pPr>
            <w:r w:rsidRPr="00EA3E0E">
              <w:rPr>
                <w:rFonts w:ascii="Times New Roman" w:hAnsi="Times New Roman" w:cs="Times New Roman"/>
                <w:lang w:val="da-DK"/>
              </w:rPr>
              <w:t>(5,4</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535" w:type="pct"/>
            <w:tcBorders>
              <w:top w:val="nil"/>
              <w:left w:val="single" w:sz="4" w:space="0" w:color="000000"/>
              <w:bottom w:val="single" w:sz="4" w:space="0" w:color="000000"/>
              <w:right w:val="single" w:sz="4" w:space="0" w:color="000000"/>
            </w:tcBorders>
            <w:hideMark/>
          </w:tcPr>
          <w:p w14:paraId="6FD6BA1B" w14:textId="2E4284C5" w:rsidR="00C7249D" w:rsidRPr="00EA3E0E" w:rsidRDefault="00C7249D">
            <w:pPr>
              <w:pStyle w:val="TableParagraph"/>
              <w:spacing w:line="225" w:lineRule="exact"/>
              <w:ind w:left="140" w:right="887"/>
              <w:jc w:val="center"/>
              <w:rPr>
                <w:rFonts w:ascii="Times New Roman" w:hAnsi="Times New Roman" w:cs="Times New Roman"/>
                <w:lang w:val="da-DK"/>
              </w:rPr>
            </w:pPr>
            <w:r w:rsidRPr="00EA3E0E">
              <w:rPr>
                <w:rFonts w:ascii="Times New Roman" w:hAnsi="Times New Roman" w:cs="Times New Roman"/>
                <w:lang w:val="da-DK"/>
              </w:rPr>
              <w:t>(1,2</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bl>
    <w:p w14:paraId="11CEAED9" w14:textId="77777777" w:rsidR="00C7249D" w:rsidRPr="00EA3E0E" w:rsidRDefault="00C7249D" w:rsidP="00EA3E0E">
      <w:pPr>
        <w:pStyle w:val="Brdtekst"/>
        <w:numPr>
          <w:ilvl w:val="0"/>
          <w:numId w:val="12"/>
        </w:numPr>
        <w:ind w:left="284" w:right="887" w:hanging="284"/>
        <w:rPr>
          <w:sz w:val="20"/>
          <w:szCs w:val="20"/>
          <w:lang w:val="da-DK"/>
        </w:rPr>
      </w:pPr>
      <w:r w:rsidRPr="00EA3E0E">
        <w:rPr>
          <w:sz w:val="20"/>
          <w:szCs w:val="20"/>
          <w:lang w:val="da-DK"/>
        </w:rPr>
        <w:t>Rivaroxaban 20 mg en gang daglig</w:t>
      </w:r>
    </w:p>
    <w:p w14:paraId="41166CBC" w14:textId="7B03FB82" w:rsidR="00C7249D" w:rsidRPr="00EA3E0E" w:rsidRDefault="00C7249D" w:rsidP="00EA3E0E">
      <w:pPr>
        <w:pStyle w:val="Brdtekst"/>
        <w:spacing w:before="1"/>
        <w:ind w:left="284" w:right="887" w:hanging="284"/>
        <w:rPr>
          <w:sz w:val="20"/>
          <w:szCs w:val="20"/>
          <w:lang w:val="da-DK"/>
        </w:rPr>
      </w:pPr>
      <w:r w:rsidRPr="00EA3E0E">
        <w:rPr>
          <w:sz w:val="20"/>
          <w:szCs w:val="20"/>
          <w:lang w:val="da-DK"/>
        </w:rPr>
        <w:t xml:space="preserve">* </w:t>
      </w:r>
      <w:r w:rsidR="00EA3E0E">
        <w:rPr>
          <w:sz w:val="20"/>
          <w:szCs w:val="20"/>
          <w:lang w:val="da-DK"/>
        </w:rPr>
        <w:tab/>
      </w:r>
      <w:r w:rsidRPr="00EA3E0E">
        <w:rPr>
          <w:sz w:val="20"/>
          <w:szCs w:val="20"/>
          <w:lang w:val="da-DK"/>
        </w:rPr>
        <w:t>p &lt; 0,0001 (superioritet), HR: 0,185 (0,087 - 0,393)</w:t>
      </w:r>
    </w:p>
    <w:p w14:paraId="14564117" w14:textId="77777777" w:rsidR="00C7249D" w:rsidRPr="008E19A3" w:rsidRDefault="00C7249D" w:rsidP="00C7249D">
      <w:pPr>
        <w:pStyle w:val="Brdtekst"/>
        <w:spacing w:before="4"/>
        <w:ind w:right="887"/>
        <w:rPr>
          <w:sz w:val="24"/>
          <w:szCs w:val="24"/>
          <w:lang w:val="da-DK"/>
        </w:rPr>
      </w:pPr>
    </w:p>
    <w:p w14:paraId="4C0BCC32" w14:textId="77777777" w:rsidR="00C7249D" w:rsidRPr="008E19A3" w:rsidRDefault="00C7249D" w:rsidP="00C7249D">
      <w:pPr>
        <w:pStyle w:val="Brdtekst"/>
        <w:ind w:left="851" w:right="-1"/>
        <w:rPr>
          <w:sz w:val="24"/>
          <w:szCs w:val="24"/>
          <w:lang w:val="da-DK"/>
        </w:rPr>
      </w:pPr>
      <w:r w:rsidRPr="008E19A3">
        <w:rPr>
          <w:sz w:val="24"/>
          <w:szCs w:val="24"/>
          <w:lang w:val="da-DK"/>
        </w:rPr>
        <w:t>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en gang daglig sammenligneligt med 100 mg acetylsalicylsyre.</w:t>
      </w:r>
    </w:p>
    <w:p w14:paraId="7BA586E2" w14:textId="77777777" w:rsidR="00C7249D" w:rsidRPr="008E19A3" w:rsidRDefault="00C7249D" w:rsidP="00C7249D">
      <w:pPr>
        <w:pStyle w:val="Brdtekst"/>
        <w:ind w:left="851" w:right="887"/>
        <w:rPr>
          <w:sz w:val="24"/>
          <w:szCs w:val="24"/>
          <w:lang w:val="da-DK"/>
        </w:rPr>
      </w:pPr>
    </w:p>
    <w:p w14:paraId="18347B73" w14:textId="77777777" w:rsidR="00C7249D" w:rsidRPr="008E19A3" w:rsidRDefault="00C7249D" w:rsidP="00EA3E0E">
      <w:pPr>
        <w:pStyle w:val="Overskrift2"/>
        <w:spacing w:before="0"/>
        <w:ind w:left="0" w:right="887"/>
        <w:rPr>
          <w:sz w:val="24"/>
          <w:szCs w:val="24"/>
          <w:lang w:val="da-DK"/>
        </w:rPr>
      </w:pPr>
      <w:r w:rsidRPr="008E19A3">
        <w:rPr>
          <w:sz w:val="24"/>
          <w:szCs w:val="24"/>
          <w:lang w:val="da-DK"/>
        </w:rPr>
        <w:t>Tabel 9: Effekt- og sikkerhedsresultater fra Einstein Choice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2"/>
        <w:gridCol w:w="2251"/>
        <w:gridCol w:w="2484"/>
        <w:gridCol w:w="2041"/>
      </w:tblGrid>
      <w:tr w:rsidR="00C7249D" w:rsidRPr="00EA3E0E" w14:paraId="1F953F49" w14:textId="77777777" w:rsidTr="00EA3E0E">
        <w:trPr>
          <w:trHeight w:val="508"/>
        </w:trPr>
        <w:tc>
          <w:tcPr>
            <w:tcW w:w="1481" w:type="pct"/>
            <w:tcBorders>
              <w:top w:val="single" w:sz="4" w:space="0" w:color="000000"/>
              <w:left w:val="single" w:sz="4" w:space="0" w:color="000000"/>
              <w:bottom w:val="single" w:sz="4" w:space="0" w:color="000000"/>
              <w:right w:val="single" w:sz="4" w:space="0" w:color="000000"/>
            </w:tcBorders>
            <w:hideMark/>
          </w:tcPr>
          <w:p w14:paraId="30709B42" w14:textId="77777777" w:rsidR="00C7249D" w:rsidRPr="00EA3E0E" w:rsidRDefault="00C7249D">
            <w:pPr>
              <w:pStyle w:val="TableParagraph"/>
              <w:spacing w:before="127"/>
              <w:ind w:left="142"/>
              <w:rPr>
                <w:rFonts w:ascii="Times New Roman" w:hAnsi="Times New Roman" w:cs="Times New Roman"/>
                <w:b/>
                <w:bCs/>
                <w:lang w:val="da-DK"/>
              </w:rPr>
            </w:pPr>
            <w:r w:rsidRPr="00EA3E0E">
              <w:rPr>
                <w:rFonts w:ascii="Times New Roman" w:hAnsi="Times New Roman" w:cs="Times New Roman"/>
                <w:b/>
                <w:bCs/>
                <w:lang w:val="da-DK"/>
              </w:rPr>
              <w:t>Studiepopulation</w:t>
            </w:r>
          </w:p>
        </w:tc>
        <w:tc>
          <w:tcPr>
            <w:tcW w:w="3519" w:type="pct"/>
            <w:gridSpan w:val="3"/>
            <w:tcBorders>
              <w:top w:val="single" w:sz="4" w:space="0" w:color="000000"/>
              <w:left w:val="single" w:sz="4" w:space="0" w:color="000000"/>
              <w:bottom w:val="single" w:sz="4" w:space="0" w:color="000000"/>
              <w:right w:val="single" w:sz="4" w:space="0" w:color="000000"/>
            </w:tcBorders>
            <w:hideMark/>
          </w:tcPr>
          <w:p w14:paraId="6B00FA75" w14:textId="77777777" w:rsidR="00C7249D" w:rsidRPr="00EA3E0E" w:rsidRDefault="00C7249D">
            <w:pPr>
              <w:pStyle w:val="TableParagraph"/>
              <w:spacing w:before="1" w:line="254" w:lineRule="exact"/>
              <w:jc w:val="center"/>
              <w:rPr>
                <w:rFonts w:ascii="Times New Roman" w:hAnsi="Times New Roman" w:cs="Times New Roman"/>
                <w:b/>
                <w:bCs/>
                <w:lang w:val="da-DK"/>
              </w:rPr>
            </w:pPr>
            <w:r w:rsidRPr="00EA3E0E">
              <w:rPr>
                <w:rFonts w:ascii="Times New Roman" w:hAnsi="Times New Roman" w:cs="Times New Roman"/>
                <w:b/>
                <w:bCs/>
                <w:lang w:val="da-DK"/>
              </w:rPr>
              <w:t>3.396 patienter fortsatte forebyggelse af recidiverende venøs tromboemboli</w:t>
            </w:r>
          </w:p>
        </w:tc>
      </w:tr>
      <w:tr w:rsidR="00C7249D" w:rsidRPr="00EA3E0E" w14:paraId="2D785252" w14:textId="77777777" w:rsidTr="00EA3E0E">
        <w:trPr>
          <w:trHeight w:val="761"/>
        </w:trPr>
        <w:tc>
          <w:tcPr>
            <w:tcW w:w="1481" w:type="pct"/>
            <w:tcBorders>
              <w:top w:val="single" w:sz="4" w:space="0" w:color="000000"/>
              <w:left w:val="single" w:sz="4" w:space="0" w:color="000000"/>
              <w:bottom w:val="single" w:sz="4" w:space="0" w:color="000000"/>
              <w:right w:val="single" w:sz="4" w:space="0" w:color="000000"/>
            </w:tcBorders>
          </w:tcPr>
          <w:p w14:paraId="3BA992D6" w14:textId="77777777" w:rsidR="00C7249D" w:rsidRPr="00EA3E0E" w:rsidRDefault="00C7249D">
            <w:pPr>
              <w:pStyle w:val="TableParagraph"/>
              <w:ind w:left="0" w:right="887"/>
              <w:rPr>
                <w:rFonts w:ascii="Times New Roman" w:hAnsi="Times New Roman" w:cs="Times New Roman"/>
                <w:b/>
                <w:bCs/>
                <w:lang w:val="da-DK"/>
              </w:rPr>
            </w:pPr>
          </w:p>
          <w:p w14:paraId="7372E1DF" w14:textId="77777777" w:rsidR="00C7249D" w:rsidRPr="00EA3E0E" w:rsidRDefault="00C7249D">
            <w:pPr>
              <w:pStyle w:val="TableParagraph"/>
              <w:ind w:left="141" w:right="887"/>
              <w:rPr>
                <w:rFonts w:ascii="Times New Roman" w:hAnsi="Times New Roman" w:cs="Times New Roman"/>
                <w:b/>
                <w:bCs/>
                <w:lang w:val="da-DK"/>
              </w:rPr>
            </w:pPr>
            <w:r w:rsidRPr="00EA3E0E">
              <w:rPr>
                <w:rFonts w:ascii="Times New Roman" w:hAnsi="Times New Roman" w:cs="Times New Roman"/>
                <w:b/>
                <w:bCs/>
                <w:lang w:val="da-DK"/>
              </w:rPr>
              <w:t>Terapeutisk dosis</w:t>
            </w:r>
          </w:p>
        </w:tc>
        <w:tc>
          <w:tcPr>
            <w:tcW w:w="1169" w:type="pct"/>
            <w:tcBorders>
              <w:top w:val="single" w:sz="4" w:space="0" w:color="000000"/>
              <w:left w:val="single" w:sz="4" w:space="0" w:color="000000"/>
              <w:bottom w:val="single" w:sz="4" w:space="0" w:color="000000"/>
              <w:right w:val="single" w:sz="4" w:space="0" w:color="000000"/>
            </w:tcBorders>
            <w:hideMark/>
          </w:tcPr>
          <w:p w14:paraId="195028D1" w14:textId="77777777" w:rsidR="00C7249D" w:rsidRPr="00EA3E0E" w:rsidRDefault="00C7249D">
            <w:pPr>
              <w:pStyle w:val="TableParagraph"/>
              <w:ind w:left="119"/>
              <w:jc w:val="center"/>
              <w:rPr>
                <w:rFonts w:ascii="Times New Roman" w:hAnsi="Times New Roman" w:cs="Times New Roman"/>
                <w:b/>
                <w:bCs/>
                <w:lang w:val="da-DK"/>
              </w:rPr>
            </w:pPr>
            <w:r w:rsidRPr="00EA3E0E">
              <w:rPr>
                <w:rFonts w:ascii="Times New Roman" w:hAnsi="Times New Roman" w:cs="Times New Roman"/>
                <w:b/>
                <w:bCs/>
                <w:lang w:val="da-DK"/>
              </w:rPr>
              <w:t>Rivaroxaban 20 mg en gang daglig</w:t>
            </w:r>
          </w:p>
          <w:p w14:paraId="333A96B2" w14:textId="77777777" w:rsidR="00C7249D" w:rsidRPr="00EA3E0E" w:rsidRDefault="00C7249D">
            <w:pPr>
              <w:pStyle w:val="TableParagraph"/>
              <w:spacing w:before="2"/>
              <w:ind w:left="119"/>
              <w:jc w:val="center"/>
              <w:rPr>
                <w:rFonts w:ascii="Times New Roman" w:hAnsi="Times New Roman" w:cs="Times New Roman"/>
                <w:b/>
                <w:bCs/>
                <w:lang w:val="da-DK"/>
              </w:rPr>
            </w:pPr>
            <w:r w:rsidRPr="00EA3E0E">
              <w:rPr>
                <w:rFonts w:ascii="Times New Roman" w:hAnsi="Times New Roman" w:cs="Times New Roman"/>
                <w:b/>
                <w:bCs/>
                <w:lang w:val="da-DK"/>
              </w:rPr>
              <w:t>N = 1.107</w:t>
            </w:r>
          </w:p>
        </w:tc>
        <w:tc>
          <w:tcPr>
            <w:tcW w:w="1290" w:type="pct"/>
            <w:tcBorders>
              <w:top w:val="single" w:sz="4" w:space="0" w:color="000000"/>
              <w:left w:val="single" w:sz="4" w:space="0" w:color="000000"/>
              <w:bottom w:val="single" w:sz="4" w:space="0" w:color="000000"/>
              <w:right w:val="single" w:sz="4" w:space="0" w:color="000000"/>
            </w:tcBorders>
            <w:hideMark/>
          </w:tcPr>
          <w:p w14:paraId="69B3EA0D" w14:textId="77777777" w:rsidR="00C7249D" w:rsidRPr="00EA3E0E" w:rsidRDefault="00C7249D">
            <w:pPr>
              <w:pStyle w:val="TableParagraph"/>
              <w:ind w:left="118"/>
              <w:jc w:val="center"/>
              <w:rPr>
                <w:rFonts w:ascii="Times New Roman" w:hAnsi="Times New Roman" w:cs="Times New Roman"/>
                <w:b/>
                <w:bCs/>
                <w:lang w:val="da-DK"/>
              </w:rPr>
            </w:pPr>
            <w:r w:rsidRPr="00EA3E0E">
              <w:rPr>
                <w:rFonts w:ascii="Times New Roman" w:hAnsi="Times New Roman" w:cs="Times New Roman"/>
                <w:b/>
                <w:bCs/>
                <w:lang w:val="da-DK"/>
              </w:rPr>
              <w:t xml:space="preserve">Rivaroxaban 10 mg </w:t>
            </w:r>
          </w:p>
          <w:p w14:paraId="3626E830" w14:textId="77777777" w:rsidR="00C7249D" w:rsidRPr="00EA3E0E" w:rsidRDefault="00C7249D">
            <w:pPr>
              <w:pStyle w:val="TableParagraph"/>
              <w:ind w:left="118"/>
              <w:jc w:val="center"/>
              <w:rPr>
                <w:rFonts w:ascii="Times New Roman" w:hAnsi="Times New Roman" w:cs="Times New Roman"/>
                <w:b/>
                <w:bCs/>
                <w:lang w:val="da-DK"/>
              </w:rPr>
            </w:pPr>
            <w:r w:rsidRPr="00EA3E0E">
              <w:rPr>
                <w:rFonts w:ascii="Times New Roman" w:hAnsi="Times New Roman" w:cs="Times New Roman"/>
                <w:b/>
                <w:bCs/>
                <w:lang w:val="da-DK"/>
              </w:rPr>
              <w:t>en gang daglig</w:t>
            </w:r>
          </w:p>
          <w:p w14:paraId="0DA64FC2" w14:textId="77777777" w:rsidR="00C7249D" w:rsidRPr="00EA3E0E" w:rsidRDefault="00C7249D">
            <w:pPr>
              <w:pStyle w:val="TableParagraph"/>
              <w:spacing w:before="2"/>
              <w:ind w:left="118"/>
              <w:jc w:val="center"/>
              <w:rPr>
                <w:rFonts w:ascii="Times New Roman" w:hAnsi="Times New Roman" w:cs="Times New Roman"/>
                <w:b/>
                <w:bCs/>
                <w:lang w:val="da-DK"/>
              </w:rPr>
            </w:pPr>
            <w:r w:rsidRPr="00EA3E0E">
              <w:rPr>
                <w:rFonts w:ascii="Times New Roman" w:hAnsi="Times New Roman" w:cs="Times New Roman"/>
                <w:b/>
                <w:bCs/>
                <w:lang w:val="da-DK"/>
              </w:rPr>
              <w:t>N = 1.127</w:t>
            </w:r>
          </w:p>
        </w:tc>
        <w:tc>
          <w:tcPr>
            <w:tcW w:w="1060" w:type="pct"/>
            <w:tcBorders>
              <w:top w:val="single" w:sz="4" w:space="0" w:color="000000"/>
              <w:left w:val="single" w:sz="4" w:space="0" w:color="000000"/>
              <w:bottom w:val="single" w:sz="4" w:space="0" w:color="000000"/>
              <w:right w:val="single" w:sz="4" w:space="0" w:color="000000"/>
            </w:tcBorders>
            <w:hideMark/>
          </w:tcPr>
          <w:p w14:paraId="404E828B" w14:textId="77777777" w:rsidR="00C7249D" w:rsidRPr="00EA3E0E" w:rsidRDefault="00C7249D">
            <w:pPr>
              <w:pStyle w:val="TableParagraph"/>
              <w:ind w:left="118"/>
              <w:jc w:val="center"/>
              <w:rPr>
                <w:rFonts w:ascii="Times New Roman" w:hAnsi="Times New Roman" w:cs="Times New Roman"/>
                <w:b/>
                <w:bCs/>
                <w:lang w:val="da-DK"/>
              </w:rPr>
            </w:pPr>
            <w:r w:rsidRPr="00EA3E0E">
              <w:rPr>
                <w:rFonts w:ascii="Times New Roman" w:hAnsi="Times New Roman" w:cs="Times New Roman"/>
                <w:b/>
                <w:bCs/>
                <w:lang w:val="da-DK"/>
              </w:rPr>
              <w:t xml:space="preserve">ASA 100 mg </w:t>
            </w:r>
          </w:p>
          <w:p w14:paraId="1EF2E9C3" w14:textId="77777777" w:rsidR="00C7249D" w:rsidRPr="00EA3E0E" w:rsidRDefault="00C7249D">
            <w:pPr>
              <w:pStyle w:val="TableParagraph"/>
              <w:ind w:left="118"/>
              <w:jc w:val="center"/>
              <w:rPr>
                <w:rFonts w:ascii="Times New Roman" w:hAnsi="Times New Roman" w:cs="Times New Roman"/>
                <w:b/>
                <w:bCs/>
                <w:lang w:val="da-DK"/>
              </w:rPr>
            </w:pPr>
            <w:r w:rsidRPr="00EA3E0E">
              <w:rPr>
                <w:rFonts w:ascii="Times New Roman" w:hAnsi="Times New Roman" w:cs="Times New Roman"/>
                <w:b/>
                <w:bCs/>
                <w:lang w:val="da-DK"/>
              </w:rPr>
              <w:t>en gang daglig</w:t>
            </w:r>
          </w:p>
          <w:p w14:paraId="67FE9A74" w14:textId="77777777" w:rsidR="00C7249D" w:rsidRPr="00EA3E0E" w:rsidRDefault="00C7249D">
            <w:pPr>
              <w:pStyle w:val="TableParagraph"/>
              <w:spacing w:before="2"/>
              <w:ind w:left="118"/>
              <w:jc w:val="center"/>
              <w:rPr>
                <w:rFonts w:ascii="Times New Roman" w:hAnsi="Times New Roman" w:cs="Times New Roman"/>
                <w:b/>
                <w:bCs/>
                <w:lang w:val="da-DK"/>
              </w:rPr>
            </w:pPr>
            <w:r w:rsidRPr="00EA3E0E">
              <w:rPr>
                <w:rFonts w:ascii="Times New Roman" w:hAnsi="Times New Roman" w:cs="Times New Roman"/>
                <w:b/>
                <w:bCs/>
                <w:lang w:val="da-DK"/>
              </w:rPr>
              <w:t>N = 1.131</w:t>
            </w:r>
          </w:p>
        </w:tc>
      </w:tr>
      <w:tr w:rsidR="00C7249D" w:rsidRPr="00EA3E0E" w14:paraId="7F030351" w14:textId="77777777" w:rsidTr="00EA3E0E">
        <w:trPr>
          <w:trHeight w:val="762"/>
        </w:trPr>
        <w:tc>
          <w:tcPr>
            <w:tcW w:w="1481" w:type="pct"/>
            <w:tcBorders>
              <w:top w:val="single" w:sz="4" w:space="0" w:color="000000"/>
              <w:left w:val="single" w:sz="4" w:space="0" w:color="000000"/>
              <w:bottom w:val="single" w:sz="4" w:space="0" w:color="000000"/>
              <w:right w:val="single" w:sz="4" w:space="0" w:color="000000"/>
            </w:tcBorders>
            <w:hideMark/>
          </w:tcPr>
          <w:p w14:paraId="7BFAE921" w14:textId="77777777" w:rsidR="00C7249D" w:rsidRPr="00EA3E0E" w:rsidRDefault="00C7249D">
            <w:pPr>
              <w:pStyle w:val="TableParagraph"/>
              <w:spacing w:before="2" w:line="254" w:lineRule="exact"/>
              <w:ind w:left="108"/>
              <w:jc w:val="both"/>
              <w:rPr>
                <w:rFonts w:ascii="Times New Roman" w:hAnsi="Times New Roman" w:cs="Times New Roman"/>
                <w:lang w:val="da-DK"/>
              </w:rPr>
            </w:pPr>
            <w:r w:rsidRPr="00EA3E0E">
              <w:rPr>
                <w:rFonts w:ascii="Times New Roman" w:hAnsi="Times New Roman" w:cs="Times New Roman"/>
                <w:lang w:val="da-DK"/>
              </w:rPr>
              <w:t>Behandlingsvarighed median</w:t>
            </w:r>
          </w:p>
          <w:p w14:paraId="63CE92EB" w14:textId="77777777" w:rsidR="00C7249D" w:rsidRPr="00EA3E0E" w:rsidRDefault="00C7249D">
            <w:pPr>
              <w:pStyle w:val="TableParagraph"/>
              <w:spacing w:before="2" w:line="254" w:lineRule="exact"/>
              <w:ind w:left="108"/>
              <w:jc w:val="both"/>
              <w:rPr>
                <w:rFonts w:ascii="Times New Roman" w:hAnsi="Times New Roman" w:cs="Times New Roman"/>
                <w:lang w:val="da-DK"/>
              </w:rPr>
            </w:pPr>
            <w:r w:rsidRPr="00EA3E0E">
              <w:rPr>
                <w:rFonts w:ascii="Times New Roman" w:hAnsi="Times New Roman" w:cs="Times New Roman"/>
                <w:lang w:val="da-DK"/>
              </w:rPr>
              <w:t>[interkvartilt interval]</w:t>
            </w:r>
          </w:p>
        </w:tc>
        <w:tc>
          <w:tcPr>
            <w:tcW w:w="1169" w:type="pct"/>
            <w:tcBorders>
              <w:top w:val="single" w:sz="4" w:space="0" w:color="000000"/>
              <w:left w:val="single" w:sz="4" w:space="0" w:color="000000"/>
              <w:bottom w:val="single" w:sz="4" w:space="0" w:color="000000"/>
              <w:right w:val="single" w:sz="4" w:space="0" w:color="000000"/>
            </w:tcBorders>
          </w:tcPr>
          <w:p w14:paraId="06E72BFF" w14:textId="77777777" w:rsidR="00C7249D" w:rsidRPr="00EA3E0E" w:rsidRDefault="00C7249D">
            <w:pPr>
              <w:pStyle w:val="TableParagraph"/>
              <w:spacing w:before="1"/>
              <w:ind w:left="0"/>
              <w:jc w:val="center"/>
              <w:rPr>
                <w:rFonts w:ascii="Times New Roman" w:hAnsi="Times New Roman" w:cs="Times New Roman"/>
                <w:b/>
                <w:lang w:val="da-DK"/>
              </w:rPr>
            </w:pPr>
          </w:p>
          <w:p w14:paraId="6D8F9B51" w14:textId="77777777" w:rsidR="00C7249D" w:rsidRPr="00EA3E0E" w:rsidRDefault="00C7249D">
            <w:pPr>
              <w:pStyle w:val="TableParagraph"/>
              <w:ind w:left="119"/>
              <w:jc w:val="center"/>
              <w:rPr>
                <w:rFonts w:ascii="Times New Roman" w:hAnsi="Times New Roman" w:cs="Times New Roman"/>
                <w:lang w:val="da-DK"/>
              </w:rPr>
            </w:pPr>
            <w:r w:rsidRPr="00EA3E0E">
              <w:rPr>
                <w:rFonts w:ascii="Times New Roman" w:hAnsi="Times New Roman" w:cs="Times New Roman"/>
                <w:lang w:val="da-DK"/>
              </w:rPr>
              <w:t>349 [189-362] dage</w:t>
            </w:r>
          </w:p>
        </w:tc>
        <w:tc>
          <w:tcPr>
            <w:tcW w:w="1290" w:type="pct"/>
            <w:tcBorders>
              <w:top w:val="single" w:sz="4" w:space="0" w:color="000000"/>
              <w:left w:val="single" w:sz="4" w:space="0" w:color="000000"/>
              <w:bottom w:val="single" w:sz="4" w:space="0" w:color="000000"/>
              <w:right w:val="single" w:sz="4" w:space="0" w:color="000000"/>
            </w:tcBorders>
          </w:tcPr>
          <w:p w14:paraId="39466FC8" w14:textId="77777777" w:rsidR="00C7249D" w:rsidRPr="00EA3E0E" w:rsidRDefault="00C7249D">
            <w:pPr>
              <w:pStyle w:val="TableParagraph"/>
              <w:spacing w:before="1"/>
              <w:ind w:left="0"/>
              <w:jc w:val="center"/>
              <w:rPr>
                <w:rFonts w:ascii="Times New Roman" w:hAnsi="Times New Roman" w:cs="Times New Roman"/>
                <w:b/>
                <w:lang w:val="da-DK"/>
              </w:rPr>
            </w:pPr>
          </w:p>
          <w:p w14:paraId="5E3B2126" w14:textId="77777777" w:rsidR="00C7249D" w:rsidRPr="00EA3E0E" w:rsidRDefault="00C7249D">
            <w:pPr>
              <w:pStyle w:val="TableParagraph"/>
              <w:ind w:left="119"/>
              <w:jc w:val="center"/>
              <w:rPr>
                <w:rFonts w:ascii="Times New Roman" w:hAnsi="Times New Roman" w:cs="Times New Roman"/>
                <w:lang w:val="da-DK"/>
              </w:rPr>
            </w:pPr>
            <w:r w:rsidRPr="00EA3E0E">
              <w:rPr>
                <w:rFonts w:ascii="Times New Roman" w:hAnsi="Times New Roman" w:cs="Times New Roman"/>
                <w:lang w:val="da-DK"/>
              </w:rPr>
              <w:t>353 [190-362] dage</w:t>
            </w:r>
          </w:p>
        </w:tc>
        <w:tc>
          <w:tcPr>
            <w:tcW w:w="1060" w:type="pct"/>
            <w:tcBorders>
              <w:top w:val="single" w:sz="4" w:space="0" w:color="000000"/>
              <w:left w:val="single" w:sz="4" w:space="0" w:color="000000"/>
              <w:bottom w:val="single" w:sz="4" w:space="0" w:color="000000"/>
              <w:right w:val="single" w:sz="4" w:space="0" w:color="000000"/>
            </w:tcBorders>
          </w:tcPr>
          <w:p w14:paraId="1D739250" w14:textId="77777777" w:rsidR="00C7249D" w:rsidRPr="00EA3E0E" w:rsidRDefault="00C7249D">
            <w:pPr>
              <w:pStyle w:val="TableParagraph"/>
              <w:spacing w:before="1"/>
              <w:ind w:left="0"/>
              <w:jc w:val="center"/>
              <w:rPr>
                <w:rFonts w:ascii="Times New Roman" w:hAnsi="Times New Roman" w:cs="Times New Roman"/>
                <w:b/>
                <w:lang w:val="da-DK"/>
              </w:rPr>
            </w:pPr>
          </w:p>
          <w:p w14:paraId="75C0C2ED" w14:textId="77777777" w:rsidR="00C7249D" w:rsidRPr="00EA3E0E" w:rsidRDefault="00C7249D">
            <w:pPr>
              <w:pStyle w:val="TableParagraph"/>
              <w:ind w:left="118"/>
              <w:jc w:val="center"/>
              <w:rPr>
                <w:rFonts w:ascii="Times New Roman" w:hAnsi="Times New Roman" w:cs="Times New Roman"/>
                <w:lang w:val="da-DK"/>
              </w:rPr>
            </w:pPr>
            <w:r w:rsidRPr="00EA3E0E">
              <w:rPr>
                <w:rFonts w:ascii="Times New Roman" w:hAnsi="Times New Roman" w:cs="Times New Roman"/>
                <w:lang w:val="da-DK"/>
              </w:rPr>
              <w:t>350 [186-362] dage</w:t>
            </w:r>
          </w:p>
        </w:tc>
      </w:tr>
      <w:tr w:rsidR="00C7249D" w:rsidRPr="00EA3E0E" w14:paraId="02C6E94F" w14:textId="77777777" w:rsidTr="00EA3E0E">
        <w:trPr>
          <w:trHeight w:val="507"/>
        </w:trPr>
        <w:tc>
          <w:tcPr>
            <w:tcW w:w="1481" w:type="pct"/>
            <w:tcBorders>
              <w:top w:val="single" w:sz="4" w:space="0" w:color="000000"/>
              <w:left w:val="single" w:sz="4" w:space="0" w:color="000000"/>
              <w:bottom w:val="single" w:sz="4" w:space="0" w:color="000000"/>
              <w:right w:val="single" w:sz="4" w:space="0" w:color="000000"/>
            </w:tcBorders>
            <w:hideMark/>
          </w:tcPr>
          <w:p w14:paraId="31A33921" w14:textId="77777777" w:rsidR="00C7249D" w:rsidRPr="00EA3E0E" w:rsidRDefault="00C7249D">
            <w:pPr>
              <w:pStyle w:val="TableParagraph"/>
              <w:spacing w:line="254" w:lineRule="exact"/>
              <w:ind w:left="141"/>
              <w:rPr>
                <w:rFonts w:ascii="Times New Roman" w:hAnsi="Times New Roman" w:cs="Times New Roman"/>
                <w:lang w:val="da-DK"/>
              </w:rPr>
            </w:pPr>
            <w:r w:rsidRPr="00EA3E0E">
              <w:rPr>
                <w:rFonts w:ascii="Times New Roman" w:hAnsi="Times New Roman" w:cs="Times New Roman"/>
                <w:lang w:val="da-DK"/>
              </w:rPr>
              <w:t>Symptomatisk recidiverende VTE</w:t>
            </w:r>
          </w:p>
        </w:tc>
        <w:tc>
          <w:tcPr>
            <w:tcW w:w="1169" w:type="pct"/>
            <w:tcBorders>
              <w:top w:val="single" w:sz="4" w:space="0" w:color="000000"/>
              <w:left w:val="single" w:sz="4" w:space="0" w:color="000000"/>
              <w:bottom w:val="single" w:sz="4" w:space="0" w:color="000000"/>
              <w:right w:val="single" w:sz="4" w:space="0" w:color="000000"/>
            </w:tcBorders>
            <w:hideMark/>
          </w:tcPr>
          <w:p w14:paraId="5DD386D2" w14:textId="77777777" w:rsidR="00C7249D" w:rsidRPr="00EA3E0E" w:rsidRDefault="00C7249D">
            <w:pPr>
              <w:pStyle w:val="TableParagraph"/>
              <w:spacing w:line="251" w:lineRule="exact"/>
              <w:ind w:left="119"/>
              <w:jc w:val="center"/>
              <w:rPr>
                <w:rFonts w:ascii="Times New Roman" w:hAnsi="Times New Roman" w:cs="Times New Roman"/>
                <w:lang w:val="da-DK"/>
              </w:rPr>
            </w:pPr>
            <w:r w:rsidRPr="00EA3E0E">
              <w:rPr>
                <w:rFonts w:ascii="Times New Roman" w:hAnsi="Times New Roman" w:cs="Times New Roman"/>
                <w:lang w:val="da-DK"/>
              </w:rPr>
              <w:t>17</w:t>
            </w:r>
          </w:p>
          <w:p w14:paraId="16E80C58" w14:textId="2CF53234" w:rsidR="00C7249D" w:rsidRPr="00EA3E0E" w:rsidRDefault="00C7249D">
            <w:pPr>
              <w:pStyle w:val="TableParagraph"/>
              <w:spacing w:before="1" w:line="234" w:lineRule="exact"/>
              <w:ind w:left="119"/>
              <w:jc w:val="center"/>
              <w:rPr>
                <w:rFonts w:ascii="Times New Roman" w:hAnsi="Times New Roman" w:cs="Times New Roman"/>
                <w:lang w:val="da-DK"/>
              </w:rPr>
            </w:pPr>
            <w:r w:rsidRPr="00EA3E0E">
              <w:rPr>
                <w:rFonts w:ascii="Times New Roman" w:hAnsi="Times New Roman" w:cs="Times New Roman"/>
                <w:lang w:val="da-DK"/>
              </w:rPr>
              <w:t>(1,5</w:t>
            </w:r>
            <w:r w:rsidR="008E19A3" w:rsidRPr="00EA3E0E">
              <w:rPr>
                <w:rFonts w:ascii="Times New Roman" w:hAnsi="Times New Roman" w:cs="Times New Roman"/>
                <w:lang w:val="da-DK"/>
              </w:rPr>
              <w:t xml:space="preserve"> </w:t>
            </w:r>
            <w:proofErr w:type="gramStart"/>
            <w:r w:rsidR="008E19A3" w:rsidRPr="00EA3E0E">
              <w:rPr>
                <w:rFonts w:ascii="Times New Roman" w:hAnsi="Times New Roman" w:cs="Times New Roman"/>
                <w:lang w:val="da-DK"/>
              </w:rPr>
              <w:t>%</w:t>
            </w:r>
            <w:r w:rsidRPr="00EA3E0E">
              <w:rPr>
                <w:rFonts w:ascii="Times New Roman" w:hAnsi="Times New Roman" w:cs="Times New Roman"/>
                <w:lang w:val="da-DK"/>
              </w:rPr>
              <w:t>)*</w:t>
            </w:r>
            <w:proofErr w:type="gramEnd"/>
          </w:p>
        </w:tc>
        <w:tc>
          <w:tcPr>
            <w:tcW w:w="1290" w:type="pct"/>
            <w:tcBorders>
              <w:top w:val="single" w:sz="4" w:space="0" w:color="000000"/>
              <w:left w:val="single" w:sz="4" w:space="0" w:color="000000"/>
              <w:bottom w:val="single" w:sz="4" w:space="0" w:color="000000"/>
              <w:right w:val="single" w:sz="4" w:space="0" w:color="000000"/>
            </w:tcBorders>
            <w:hideMark/>
          </w:tcPr>
          <w:p w14:paraId="5F2E4E94" w14:textId="77777777" w:rsidR="00C7249D" w:rsidRPr="00EA3E0E" w:rsidRDefault="00C7249D">
            <w:pPr>
              <w:pStyle w:val="TableParagraph"/>
              <w:spacing w:line="251" w:lineRule="exact"/>
              <w:ind w:left="118"/>
              <w:jc w:val="center"/>
              <w:rPr>
                <w:rFonts w:ascii="Times New Roman" w:hAnsi="Times New Roman" w:cs="Times New Roman"/>
                <w:lang w:val="da-DK"/>
              </w:rPr>
            </w:pPr>
            <w:r w:rsidRPr="00EA3E0E">
              <w:rPr>
                <w:rFonts w:ascii="Times New Roman" w:hAnsi="Times New Roman" w:cs="Times New Roman"/>
                <w:lang w:val="da-DK"/>
              </w:rPr>
              <w:t>13</w:t>
            </w:r>
          </w:p>
          <w:p w14:paraId="0E896FF7" w14:textId="230706C1"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(1,2</w:t>
            </w:r>
            <w:r w:rsidR="008E19A3" w:rsidRPr="00EA3E0E">
              <w:rPr>
                <w:rFonts w:ascii="Times New Roman" w:hAnsi="Times New Roman" w:cs="Times New Roman"/>
                <w:lang w:val="da-DK"/>
              </w:rPr>
              <w:t xml:space="preserve"> </w:t>
            </w:r>
            <w:proofErr w:type="gramStart"/>
            <w:r w:rsidR="008E19A3" w:rsidRPr="00EA3E0E">
              <w:rPr>
                <w:rFonts w:ascii="Times New Roman" w:hAnsi="Times New Roman" w:cs="Times New Roman"/>
                <w:lang w:val="da-DK"/>
              </w:rPr>
              <w:t>%</w:t>
            </w:r>
            <w:r w:rsidRPr="00EA3E0E">
              <w:rPr>
                <w:rFonts w:ascii="Times New Roman" w:hAnsi="Times New Roman" w:cs="Times New Roman"/>
                <w:lang w:val="da-DK"/>
              </w:rPr>
              <w:t>)*</w:t>
            </w:r>
            <w:proofErr w:type="gramEnd"/>
            <w:r w:rsidRPr="00EA3E0E">
              <w:rPr>
                <w:rFonts w:ascii="Times New Roman" w:hAnsi="Times New Roman" w:cs="Times New Roman"/>
                <w:lang w:val="da-DK"/>
              </w:rPr>
              <w:t>*</w:t>
            </w:r>
          </w:p>
        </w:tc>
        <w:tc>
          <w:tcPr>
            <w:tcW w:w="1060" w:type="pct"/>
            <w:tcBorders>
              <w:top w:val="single" w:sz="4" w:space="0" w:color="000000"/>
              <w:left w:val="single" w:sz="4" w:space="0" w:color="000000"/>
              <w:bottom w:val="single" w:sz="4" w:space="0" w:color="000000"/>
              <w:right w:val="single" w:sz="4" w:space="0" w:color="000000"/>
            </w:tcBorders>
            <w:hideMark/>
          </w:tcPr>
          <w:p w14:paraId="4999154C" w14:textId="77777777" w:rsidR="00C7249D" w:rsidRPr="00EA3E0E" w:rsidRDefault="00C7249D">
            <w:pPr>
              <w:pStyle w:val="TableParagraph"/>
              <w:spacing w:line="251" w:lineRule="exact"/>
              <w:ind w:left="118"/>
              <w:jc w:val="center"/>
              <w:rPr>
                <w:rFonts w:ascii="Times New Roman" w:hAnsi="Times New Roman" w:cs="Times New Roman"/>
                <w:lang w:val="da-DK"/>
              </w:rPr>
            </w:pPr>
            <w:r w:rsidRPr="00EA3E0E">
              <w:rPr>
                <w:rFonts w:ascii="Times New Roman" w:hAnsi="Times New Roman" w:cs="Times New Roman"/>
                <w:lang w:val="da-DK"/>
              </w:rPr>
              <w:t>50</w:t>
            </w:r>
          </w:p>
          <w:p w14:paraId="10D2D1CA" w14:textId="527FF800"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(4,4</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46835221" w14:textId="77777777" w:rsidTr="00EA3E0E">
        <w:trPr>
          <w:trHeight w:val="507"/>
        </w:trPr>
        <w:tc>
          <w:tcPr>
            <w:tcW w:w="1481" w:type="pct"/>
            <w:tcBorders>
              <w:top w:val="single" w:sz="4" w:space="0" w:color="000000"/>
              <w:left w:val="single" w:sz="4" w:space="0" w:color="000000"/>
              <w:bottom w:val="single" w:sz="4" w:space="0" w:color="000000"/>
              <w:right w:val="single" w:sz="4" w:space="0" w:color="000000"/>
            </w:tcBorders>
            <w:hideMark/>
          </w:tcPr>
          <w:p w14:paraId="23F134A6" w14:textId="77777777" w:rsidR="00C7249D" w:rsidRPr="00EA3E0E" w:rsidRDefault="00C7249D">
            <w:pPr>
              <w:pStyle w:val="TableParagraph"/>
              <w:spacing w:before="1" w:line="254" w:lineRule="exact"/>
              <w:rPr>
                <w:rFonts w:ascii="Times New Roman" w:hAnsi="Times New Roman" w:cs="Times New Roman"/>
                <w:lang w:val="da-DK"/>
              </w:rPr>
            </w:pPr>
            <w:r w:rsidRPr="00EA3E0E">
              <w:rPr>
                <w:rFonts w:ascii="Times New Roman" w:hAnsi="Times New Roman" w:cs="Times New Roman"/>
                <w:lang w:val="da-DK"/>
              </w:rPr>
              <w:t>Symptomatisk recidiverende LE</w:t>
            </w:r>
          </w:p>
        </w:tc>
        <w:tc>
          <w:tcPr>
            <w:tcW w:w="1169" w:type="pct"/>
            <w:tcBorders>
              <w:top w:val="single" w:sz="4" w:space="0" w:color="000000"/>
              <w:left w:val="single" w:sz="4" w:space="0" w:color="000000"/>
              <w:bottom w:val="single" w:sz="4" w:space="0" w:color="000000"/>
              <w:right w:val="single" w:sz="4" w:space="0" w:color="000000"/>
            </w:tcBorders>
            <w:hideMark/>
          </w:tcPr>
          <w:p w14:paraId="777D7994" w14:textId="77777777" w:rsidR="00C7249D" w:rsidRPr="00EA3E0E" w:rsidRDefault="00C7249D">
            <w:pPr>
              <w:pStyle w:val="TableParagraph"/>
              <w:spacing w:line="252" w:lineRule="exact"/>
              <w:ind w:left="119"/>
              <w:jc w:val="center"/>
              <w:rPr>
                <w:rFonts w:ascii="Times New Roman" w:hAnsi="Times New Roman" w:cs="Times New Roman"/>
                <w:lang w:val="da-DK"/>
              </w:rPr>
            </w:pPr>
            <w:r w:rsidRPr="00EA3E0E">
              <w:rPr>
                <w:rFonts w:ascii="Times New Roman" w:hAnsi="Times New Roman" w:cs="Times New Roman"/>
                <w:w w:val="99"/>
                <w:lang w:val="da-DK"/>
              </w:rPr>
              <w:t>6</w:t>
            </w:r>
          </w:p>
          <w:p w14:paraId="23AE193B" w14:textId="1E49862B" w:rsidR="00C7249D" w:rsidRPr="00EA3E0E" w:rsidRDefault="00C7249D">
            <w:pPr>
              <w:pStyle w:val="TableParagraph"/>
              <w:spacing w:before="1" w:line="234" w:lineRule="exact"/>
              <w:ind w:left="119"/>
              <w:jc w:val="center"/>
              <w:rPr>
                <w:rFonts w:ascii="Times New Roman" w:hAnsi="Times New Roman" w:cs="Times New Roman"/>
                <w:lang w:val="da-DK"/>
              </w:rPr>
            </w:pPr>
            <w:r w:rsidRPr="00EA3E0E">
              <w:rPr>
                <w:rFonts w:ascii="Times New Roman" w:hAnsi="Times New Roman" w:cs="Times New Roman"/>
                <w:lang w:val="da-DK"/>
              </w:rPr>
              <w:t>(0,5</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290" w:type="pct"/>
            <w:tcBorders>
              <w:top w:val="single" w:sz="4" w:space="0" w:color="000000"/>
              <w:left w:val="single" w:sz="4" w:space="0" w:color="000000"/>
              <w:bottom w:val="single" w:sz="4" w:space="0" w:color="000000"/>
              <w:right w:val="single" w:sz="4" w:space="0" w:color="000000"/>
            </w:tcBorders>
            <w:hideMark/>
          </w:tcPr>
          <w:p w14:paraId="690AA6A7" w14:textId="77777777" w:rsidR="00C7249D" w:rsidRPr="00EA3E0E" w:rsidRDefault="00C7249D">
            <w:pPr>
              <w:pStyle w:val="TableParagraph"/>
              <w:spacing w:line="252" w:lineRule="exact"/>
              <w:ind w:left="118"/>
              <w:jc w:val="center"/>
              <w:rPr>
                <w:rFonts w:ascii="Times New Roman" w:hAnsi="Times New Roman" w:cs="Times New Roman"/>
                <w:lang w:val="da-DK"/>
              </w:rPr>
            </w:pPr>
            <w:r w:rsidRPr="00EA3E0E">
              <w:rPr>
                <w:rFonts w:ascii="Times New Roman" w:hAnsi="Times New Roman" w:cs="Times New Roman"/>
                <w:w w:val="99"/>
                <w:lang w:val="da-DK"/>
              </w:rPr>
              <w:t>6</w:t>
            </w:r>
          </w:p>
          <w:p w14:paraId="58A833AD" w14:textId="569AA4AB"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(0,5</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060" w:type="pct"/>
            <w:tcBorders>
              <w:top w:val="single" w:sz="4" w:space="0" w:color="000000"/>
              <w:left w:val="single" w:sz="4" w:space="0" w:color="000000"/>
              <w:bottom w:val="single" w:sz="4" w:space="0" w:color="000000"/>
              <w:right w:val="single" w:sz="4" w:space="0" w:color="000000"/>
            </w:tcBorders>
            <w:hideMark/>
          </w:tcPr>
          <w:p w14:paraId="47D359FA" w14:textId="77777777" w:rsidR="00C7249D" w:rsidRPr="00EA3E0E" w:rsidRDefault="00C7249D">
            <w:pPr>
              <w:pStyle w:val="TableParagraph"/>
              <w:spacing w:line="252" w:lineRule="exact"/>
              <w:ind w:left="118"/>
              <w:jc w:val="center"/>
              <w:rPr>
                <w:rFonts w:ascii="Times New Roman" w:hAnsi="Times New Roman" w:cs="Times New Roman"/>
                <w:lang w:val="da-DK"/>
              </w:rPr>
            </w:pPr>
            <w:r w:rsidRPr="00EA3E0E">
              <w:rPr>
                <w:rFonts w:ascii="Times New Roman" w:hAnsi="Times New Roman" w:cs="Times New Roman"/>
                <w:lang w:val="da-DK"/>
              </w:rPr>
              <w:t>19</w:t>
            </w:r>
          </w:p>
          <w:p w14:paraId="122F9567" w14:textId="37D3A32F"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(1,7</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72713D07" w14:textId="77777777" w:rsidTr="00EA3E0E">
        <w:trPr>
          <w:trHeight w:val="507"/>
        </w:trPr>
        <w:tc>
          <w:tcPr>
            <w:tcW w:w="1481" w:type="pct"/>
            <w:tcBorders>
              <w:top w:val="single" w:sz="4" w:space="0" w:color="000000"/>
              <w:left w:val="single" w:sz="4" w:space="0" w:color="000000"/>
              <w:bottom w:val="single" w:sz="4" w:space="0" w:color="000000"/>
              <w:right w:val="single" w:sz="4" w:space="0" w:color="000000"/>
            </w:tcBorders>
            <w:hideMark/>
          </w:tcPr>
          <w:p w14:paraId="36F2A14B" w14:textId="77777777" w:rsidR="00C7249D" w:rsidRPr="00EA3E0E" w:rsidRDefault="00C7249D">
            <w:pPr>
              <w:pStyle w:val="TableParagraph"/>
              <w:spacing w:line="254" w:lineRule="exact"/>
              <w:rPr>
                <w:rFonts w:ascii="Times New Roman" w:hAnsi="Times New Roman" w:cs="Times New Roman"/>
                <w:lang w:val="da-DK"/>
              </w:rPr>
            </w:pPr>
            <w:r w:rsidRPr="00EA3E0E">
              <w:rPr>
                <w:rFonts w:ascii="Times New Roman" w:hAnsi="Times New Roman" w:cs="Times New Roman"/>
                <w:lang w:val="da-DK"/>
              </w:rPr>
              <w:t>Symptomatisk recidiverende DVT</w:t>
            </w:r>
          </w:p>
        </w:tc>
        <w:tc>
          <w:tcPr>
            <w:tcW w:w="1169" w:type="pct"/>
            <w:tcBorders>
              <w:top w:val="single" w:sz="4" w:space="0" w:color="000000"/>
              <w:left w:val="single" w:sz="4" w:space="0" w:color="000000"/>
              <w:bottom w:val="single" w:sz="4" w:space="0" w:color="000000"/>
              <w:right w:val="single" w:sz="4" w:space="0" w:color="000000"/>
            </w:tcBorders>
            <w:hideMark/>
          </w:tcPr>
          <w:p w14:paraId="152283E7" w14:textId="77777777" w:rsidR="00C7249D" w:rsidRPr="00EA3E0E" w:rsidRDefault="00C7249D">
            <w:pPr>
              <w:pStyle w:val="TableParagraph"/>
              <w:spacing w:line="251" w:lineRule="exact"/>
              <w:ind w:left="119"/>
              <w:jc w:val="center"/>
              <w:rPr>
                <w:rFonts w:ascii="Times New Roman" w:hAnsi="Times New Roman" w:cs="Times New Roman"/>
                <w:lang w:val="da-DK"/>
              </w:rPr>
            </w:pPr>
            <w:r w:rsidRPr="00EA3E0E">
              <w:rPr>
                <w:rFonts w:ascii="Times New Roman" w:hAnsi="Times New Roman" w:cs="Times New Roman"/>
                <w:w w:val="99"/>
                <w:lang w:val="da-DK"/>
              </w:rPr>
              <w:t>9</w:t>
            </w:r>
          </w:p>
          <w:p w14:paraId="682AFD99" w14:textId="1328FB32" w:rsidR="00C7249D" w:rsidRPr="00EA3E0E" w:rsidRDefault="00C7249D">
            <w:pPr>
              <w:pStyle w:val="TableParagraph"/>
              <w:spacing w:before="1" w:line="234" w:lineRule="exact"/>
              <w:ind w:left="119"/>
              <w:jc w:val="center"/>
              <w:rPr>
                <w:rFonts w:ascii="Times New Roman" w:hAnsi="Times New Roman" w:cs="Times New Roman"/>
                <w:lang w:val="da-DK"/>
              </w:rPr>
            </w:pPr>
            <w:r w:rsidRPr="00EA3E0E">
              <w:rPr>
                <w:rFonts w:ascii="Times New Roman" w:hAnsi="Times New Roman" w:cs="Times New Roman"/>
                <w:lang w:val="da-DK"/>
              </w:rPr>
              <w:t>(0,8</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290" w:type="pct"/>
            <w:tcBorders>
              <w:top w:val="single" w:sz="4" w:space="0" w:color="000000"/>
              <w:left w:val="single" w:sz="4" w:space="0" w:color="000000"/>
              <w:bottom w:val="single" w:sz="4" w:space="0" w:color="000000"/>
              <w:right w:val="single" w:sz="4" w:space="0" w:color="000000"/>
            </w:tcBorders>
            <w:hideMark/>
          </w:tcPr>
          <w:p w14:paraId="544FB7C3" w14:textId="77777777" w:rsidR="00C7249D" w:rsidRPr="00EA3E0E" w:rsidRDefault="00C7249D">
            <w:pPr>
              <w:pStyle w:val="TableParagraph"/>
              <w:spacing w:line="251" w:lineRule="exact"/>
              <w:ind w:left="118"/>
              <w:jc w:val="center"/>
              <w:rPr>
                <w:rFonts w:ascii="Times New Roman" w:hAnsi="Times New Roman" w:cs="Times New Roman"/>
                <w:lang w:val="da-DK"/>
              </w:rPr>
            </w:pPr>
            <w:r w:rsidRPr="00EA3E0E">
              <w:rPr>
                <w:rFonts w:ascii="Times New Roman" w:hAnsi="Times New Roman" w:cs="Times New Roman"/>
                <w:w w:val="99"/>
                <w:lang w:val="da-DK"/>
              </w:rPr>
              <w:t>8</w:t>
            </w:r>
          </w:p>
          <w:p w14:paraId="1149A43C" w14:textId="04F20616"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(0,7</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060" w:type="pct"/>
            <w:tcBorders>
              <w:top w:val="single" w:sz="4" w:space="0" w:color="000000"/>
              <w:left w:val="single" w:sz="4" w:space="0" w:color="000000"/>
              <w:bottom w:val="single" w:sz="4" w:space="0" w:color="000000"/>
              <w:right w:val="single" w:sz="4" w:space="0" w:color="000000"/>
            </w:tcBorders>
            <w:hideMark/>
          </w:tcPr>
          <w:p w14:paraId="512E56F4" w14:textId="77777777" w:rsidR="00C7249D" w:rsidRPr="00EA3E0E" w:rsidRDefault="00C7249D">
            <w:pPr>
              <w:pStyle w:val="TableParagraph"/>
              <w:spacing w:line="251" w:lineRule="exact"/>
              <w:ind w:left="118"/>
              <w:jc w:val="center"/>
              <w:rPr>
                <w:rFonts w:ascii="Times New Roman" w:hAnsi="Times New Roman" w:cs="Times New Roman"/>
                <w:lang w:val="da-DK"/>
              </w:rPr>
            </w:pPr>
            <w:r w:rsidRPr="00EA3E0E">
              <w:rPr>
                <w:rFonts w:ascii="Times New Roman" w:hAnsi="Times New Roman" w:cs="Times New Roman"/>
                <w:lang w:val="da-DK"/>
              </w:rPr>
              <w:t>30</w:t>
            </w:r>
          </w:p>
          <w:p w14:paraId="79CAC194" w14:textId="5ACFBFAB"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(2,7</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2B6262B0" w14:textId="77777777" w:rsidTr="00EA3E0E">
        <w:trPr>
          <w:trHeight w:val="507"/>
        </w:trPr>
        <w:tc>
          <w:tcPr>
            <w:tcW w:w="1481" w:type="pct"/>
            <w:tcBorders>
              <w:top w:val="single" w:sz="4" w:space="0" w:color="000000"/>
              <w:left w:val="single" w:sz="4" w:space="0" w:color="000000"/>
              <w:bottom w:val="single" w:sz="4" w:space="0" w:color="000000"/>
              <w:right w:val="single" w:sz="4" w:space="0" w:color="000000"/>
            </w:tcBorders>
            <w:hideMark/>
          </w:tcPr>
          <w:p w14:paraId="7D3F35E4" w14:textId="77777777" w:rsidR="00C7249D" w:rsidRPr="00EA3E0E" w:rsidRDefault="00C7249D">
            <w:pPr>
              <w:pStyle w:val="TableParagraph"/>
              <w:spacing w:before="1" w:line="254" w:lineRule="exact"/>
              <w:rPr>
                <w:rFonts w:ascii="Times New Roman" w:hAnsi="Times New Roman" w:cs="Times New Roman"/>
                <w:lang w:val="da-DK"/>
              </w:rPr>
            </w:pPr>
            <w:r w:rsidRPr="00EA3E0E">
              <w:rPr>
                <w:rFonts w:ascii="Times New Roman" w:hAnsi="Times New Roman" w:cs="Times New Roman"/>
                <w:lang w:val="da-DK"/>
              </w:rPr>
              <w:t>Dødelig LE/død hvor LE ikke kan udelukkes</w:t>
            </w:r>
          </w:p>
        </w:tc>
        <w:tc>
          <w:tcPr>
            <w:tcW w:w="1169" w:type="pct"/>
            <w:tcBorders>
              <w:top w:val="single" w:sz="4" w:space="0" w:color="000000"/>
              <w:left w:val="single" w:sz="4" w:space="0" w:color="000000"/>
              <w:bottom w:val="single" w:sz="4" w:space="0" w:color="000000"/>
              <w:right w:val="single" w:sz="4" w:space="0" w:color="000000"/>
            </w:tcBorders>
            <w:hideMark/>
          </w:tcPr>
          <w:p w14:paraId="7D0371DF" w14:textId="77777777" w:rsidR="00C7249D" w:rsidRPr="00EA3E0E" w:rsidRDefault="00C7249D">
            <w:pPr>
              <w:pStyle w:val="TableParagraph"/>
              <w:spacing w:line="252" w:lineRule="exact"/>
              <w:ind w:left="119"/>
              <w:jc w:val="center"/>
              <w:rPr>
                <w:rFonts w:ascii="Times New Roman" w:hAnsi="Times New Roman" w:cs="Times New Roman"/>
                <w:lang w:val="da-DK"/>
              </w:rPr>
            </w:pPr>
            <w:r w:rsidRPr="00EA3E0E">
              <w:rPr>
                <w:rFonts w:ascii="Times New Roman" w:hAnsi="Times New Roman" w:cs="Times New Roman"/>
                <w:w w:val="99"/>
                <w:lang w:val="da-DK"/>
              </w:rPr>
              <w:t>2</w:t>
            </w:r>
          </w:p>
          <w:p w14:paraId="08347692" w14:textId="5F2FD949" w:rsidR="00C7249D" w:rsidRPr="00EA3E0E" w:rsidRDefault="00C7249D">
            <w:pPr>
              <w:pStyle w:val="TableParagraph"/>
              <w:spacing w:before="1" w:line="234" w:lineRule="exact"/>
              <w:ind w:left="119"/>
              <w:jc w:val="center"/>
              <w:rPr>
                <w:rFonts w:ascii="Times New Roman" w:hAnsi="Times New Roman" w:cs="Times New Roman"/>
                <w:lang w:val="da-DK"/>
              </w:rPr>
            </w:pPr>
            <w:r w:rsidRPr="00EA3E0E">
              <w:rPr>
                <w:rFonts w:ascii="Times New Roman" w:hAnsi="Times New Roman" w:cs="Times New Roman"/>
                <w:lang w:val="da-DK"/>
              </w:rPr>
              <w:t>(0,2</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290" w:type="pct"/>
            <w:tcBorders>
              <w:top w:val="single" w:sz="4" w:space="0" w:color="000000"/>
              <w:left w:val="single" w:sz="4" w:space="0" w:color="000000"/>
              <w:bottom w:val="single" w:sz="4" w:space="0" w:color="000000"/>
              <w:right w:val="single" w:sz="4" w:space="0" w:color="000000"/>
            </w:tcBorders>
            <w:hideMark/>
          </w:tcPr>
          <w:p w14:paraId="5FB56A92" w14:textId="77777777" w:rsidR="00C7249D" w:rsidRPr="00EA3E0E" w:rsidRDefault="00C7249D">
            <w:pPr>
              <w:pStyle w:val="TableParagraph"/>
              <w:spacing w:line="252" w:lineRule="exact"/>
              <w:ind w:left="118"/>
              <w:jc w:val="center"/>
              <w:rPr>
                <w:rFonts w:ascii="Times New Roman" w:hAnsi="Times New Roman" w:cs="Times New Roman"/>
                <w:lang w:val="da-DK"/>
              </w:rPr>
            </w:pPr>
            <w:r w:rsidRPr="00EA3E0E">
              <w:rPr>
                <w:rFonts w:ascii="Times New Roman" w:hAnsi="Times New Roman" w:cs="Times New Roman"/>
                <w:w w:val="99"/>
                <w:lang w:val="da-DK"/>
              </w:rPr>
              <w:t>0</w:t>
            </w:r>
          </w:p>
        </w:tc>
        <w:tc>
          <w:tcPr>
            <w:tcW w:w="1060" w:type="pct"/>
            <w:tcBorders>
              <w:top w:val="single" w:sz="4" w:space="0" w:color="000000"/>
              <w:left w:val="single" w:sz="4" w:space="0" w:color="000000"/>
              <w:bottom w:val="single" w:sz="4" w:space="0" w:color="000000"/>
              <w:right w:val="single" w:sz="4" w:space="0" w:color="000000"/>
            </w:tcBorders>
            <w:hideMark/>
          </w:tcPr>
          <w:p w14:paraId="4DC65155" w14:textId="77777777" w:rsidR="00C7249D" w:rsidRPr="00EA3E0E" w:rsidRDefault="00C7249D">
            <w:pPr>
              <w:pStyle w:val="TableParagraph"/>
              <w:spacing w:line="252" w:lineRule="exact"/>
              <w:ind w:left="118"/>
              <w:jc w:val="center"/>
              <w:rPr>
                <w:rFonts w:ascii="Times New Roman" w:hAnsi="Times New Roman" w:cs="Times New Roman"/>
                <w:lang w:val="da-DK"/>
              </w:rPr>
            </w:pPr>
            <w:r w:rsidRPr="00EA3E0E">
              <w:rPr>
                <w:rFonts w:ascii="Times New Roman" w:hAnsi="Times New Roman" w:cs="Times New Roman"/>
                <w:w w:val="99"/>
                <w:lang w:val="da-DK"/>
              </w:rPr>
              <w:t>2</w:t>
            </w:r>
          </w:p>
          <w:p w14:paraId="4C2B121B" w14:textId="713C6132"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(0,2</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61476E8C" w14:textId="77777777" w:rsidTr="00EA3E0E">
        <w:trPr>
          <w:trHeight w:val="1015"/>
        </w:trPr>
        <w:tc>
          <w:tcPr>
            <w:tcW w:w="1481" w:type="pct"/>
            <w:tcBorders>
              <w:top w:val="single" w:sz="4" w:space="0" w:color="000000"/>
              <w:left w:val="single" w:sz="4" w:space="0" w:color="000000"/>
              <w:bottom w:val="single" w:sz="4" w:space="0" w:color="000000"/>
              <w:right w:val="single" w:sz="4" w:space="0" w:color="000000"/>
            </w:tcBorders>
            <w:hideMark/>
          </w:tcPr>
          <w:p w14:paraId="7870BB59" w14:textId="77777777" w:rsidR="00C7249D" w:rsidRPr="00EA3E0E" w:rsidRDefault="00C7249D">
            <w:pPr>
              <w:pStyle w:val="TableParagraph"/>
              <w:spacing w:line="254" w:lineRule="exact"/>
              <w:ind w:left="141" w:right="83"/>
              <w:rPr>
                <w:rFonts w:ascii="Times New Roman" w:hAnsi="Times New Roman" w:cs="Times New Roman"/>
                <w:lang w:val="da-DK"/>
              </w:rPr>
            </w:pPr>
            <w:r w:rsidRPr="00EA3E0E">
              <w:rPr>
                <w:rFonts w:ascii="Times New Roman" w:hAnsi="Times New Roman" w:cs="Times New Roman"/>
                <w:lang w:val="da-DK"/>
              </w:rPr>
              <w:t>Symptomatisk recidiverende VTE, MI, apopleksi eller non-CNS systemisk emboli</w:t>
            </w:r>
          </w:p>
        </w:tc>
        <w:tc>
          <w:tcPr>
            <w:tcW w:w="1169" w:type="pct"/>
            <w:tcBorders>
              <w:top w:val="single" w:sz="4" w:space="0" w:color="000000"/>
              <w:left w:val="single" w:sz="4" w:space="0" w:color="000000"/>
              <w:bottom w:val="single" w:sz="4" w:space="0" w:color="000000"/>
              <w:right w:val="single" w:sz="4" w:space="0" w:color="000000"/>
            </w:tcBorders>
          </w:tcPr>
          <w:p w14:paraId="17D03521" w14:textId="77777777" w:rsidR="00C7249D" w:rsidRPr="00EA3E0E" w:rsidRDefault="00C7249D">
            <w:pPr>
              <w:pStyle w:val="TableParagraph"/>
              <w:spacing w:before="10"/>
              <w:ind w:left="0"/>
              <w:jc w:val="center"/>
              <w:rPr>
                <w:rFonts w:ascii="Times New Roman" w:hAnsi="Times New Roman" w:cs="Times New Roman"/>
                <w:b/>
                <w:lang w:val="da-DK"/>
              </w:rPr>
            </w:pPr>
          </w:p>
          <w:p w14:paraId="2992E6C4" w14:textId="77777777" w:rsidR="00C7249D" w:rsidRPr="00EA3E0E" w:rsidRDefault="00C7249D">
            <w:pPr>
              <w:pStyle w:val="TableParagraph"/>
              <w:spacing w:before="1"/>
              <w:ind w:left="119"/>
              <w:jc w:val="center"/>
              <w:rPr>
                <w:rFonts w:ascii="Times New Roman" w:hAnsi="Times New Roman" w:cs="Times New Roman"/>
                <w:lang w:val="da-DK"/>
              </w:rPr>
            </w:pPr>
            <w:r w:rsidRPr="00EA3E0E">
              <w:rPr>
                <w:rFonts w:ascii="Times New Roman" w:hAnsi="Times New Roman" w:cs="Times New Roman"/>
                <w:lang w:val="da-DK"/>
              </w:rPr>
              <w:t>19</w:t>
            </w:r>
          </w:p>
          <w:p w14:paraId="03ABB464" w14:textId="54C7B39B" w:rsidR="00C7249D" w:rsidRPr="00EA3E0E" w:rsidRDefault="00C7249D">
            <w:pPr>
              <w:pStyle w:val="TableParagraph"/>
              <w:spacing w:before="1"/>
              <w:ind w:left="119"/>
              <w:jc w:val="center"/>
              <w:rPr>
                <w:rFonts w:ascii="Times New Roman" w:hAnsi="Times New Roman" w:cs="Times New Roman"/>
                <w:lang w:val="da-DK"/>
              </w:rPr>
            </w:pPr>
            <w:r w:rsidRPr="00EA3E0E">
              <w:rPr>
                <w:rFonts w:ascii="Times New Roman" w:hAnsi="Times New Roman" w:cs="Times New Roman"/>
                <w:lang w:val="da-DK"/>
              </w:rPr>
              <w:t>(1,7</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290" w:type="pct"/>
            <w:tcBorders>
              <w:top w:val="single" w:sz="4" w:space="0" w:color="000000"/>
              <w:left w:val="single" w:sz="4" w:space="0" w:color="000000"/>
              <w:bottom w:val="single" w:sz="4" w:space="0" w:color="000000"/>
              <w:right w:val="single" w:sz="4" w:space="0" w:color="000000"/>
            </w:tcBorders>
          </w:tcPr>
          <w:p w14:paraId="6D3402DE" w14:textId="77777777" w:rsidR="00C7249D" w:rsidRPr="00EA3E0E" w:rsidRDefault="00C7249D">
            <w:pPr>
              <w:pStyle w:val="TableParagraph"/>
              <w:spacing w:before="10"/>
              <w:ind w:left="0"/>
              <w:jc w:val="center"/>
              <w:rPr>
                <w:rFonts w:ascii="Times New Roman" w:hAnsi="Times New Roman" w:cs="Times New Roman"/>
                <w:b/>
                <w:lang w:val="da-DK"/>
              </w:rPr>
            </w:pPr>
          </w:p>
          <w:p w14:paraId="7F5EF4BB" w14:textId="77777777" w:rsidR="00C7249D" w:rsidRPr="00EA3E0E" w:rsidRDefault="00C7249D">
            <w:pPr>
              <w:pStyle w:val="TableParagraph"/>
              <w:spacing w:before="1"/>
              <w:ind w:left="118"/>
              <w:jc w:val="center"/>
              <w:rPr>
                <w:rFonts w:ascii="Times New Roman" w:hAnsi="Times New Roman" w:cs="Times New Roman"/>
                <w:lang w:val="da-DK"/>
              </w:rPr>
            </w:pPr>
            <w:r w:rsidRPr="00EA3E0E">
              <w:rPr>
                <w:rFonts w:ascii="Times New Roman" w:hAnsi="Times New Roman" w:cs="Times New Roman"/>
                <w:lang w:val="da-DK"/>
              </w:rPr>
              <w:t>18</w:t>
            </w:r>
          </w:p>
          <w:p w14:paraId="78DFB453" w14:textId="5F323150" w:rsidR="00C7249D" w:rsidRPr="00EA3E0E" w:rsidRDefault="00C7249D">
            <w:pPr>
              <w:pStyle w:val="TableParagraph"/>
              <w:spacing w:before="1"/>
              <w:ind w:left="118"/>
              <w:jc w:val="center"/>
              <w:rPr>
                <w:rFonts w:ascii="Times New Roman" w:hAnsi="Times New Roman" w:cs="Times New Roman"/>
                <w:lang w:val="da-DK"/>
              </w:rPr>
            </w:pPr>
            <w:r w:rsidRPr="00EA3E0E">
              <w:rPr>
                <w:rFonts w:ascii="Times New Roman" w:hAnsi="Times New Roman" w:cs="Times New Roman"/>
                <w:lang w:val="da-DK"/>
              </w:rPr>
              <w:t>(1,6</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060" w:type="pct"/>
            <w:tcBorders>
              <w:top w:val="single" w:sz="4" w:space="0" w:color="000000"/>
              <w:left w:val="single" w:sz="4" w:space="0" w:color="000000"/>
              <w:bottom w:val="single" w:sz="4" w:space="0" w:color="000000"/>
              <w:right w:val="single" w:sz="4" w:space="0" w:color="000000"/>
            </w:tcBorders>
          </w:tcPr>
          <w:p w14:paraId="3915C0E0" w14:textId="77777777" w:rsidR="00C7249D" w:rsidRPr="00EA3E0E" w:rsidRDefault="00C7249D">
            <w:pPr>
              <w:pStyle w:val="TableParagraph"/>
              <w:spacing w:before="10"/>
              <w:ind w:left="0"/>
              <w:jc w:val="center"/>
              <w:rPr>
                <w:rFonts w:ascii="Times New Roman" w:hAnsi="Times New Roman" w:cs="Times New Roman"/>
                <w:b/>
                <w:lang w:val="da-DK"/>
              </w:rPr>
            </w:pPr>
          </w:p>
          <w:p w14:paraId="12951A6F" w14:textId="77777777" w:rsidR="00C7249D" w:rsidRPr="00EA3E0E" w:rsidRDefault="00C7249D">
            <w:pPr>
              <w:pStyle w:val="TableParagraph"/>
              <w:spacing w:before="1"/>
              <w:ind w:left="118"/>
              <w:jc w:val="center"/>
              <w:rPr>
                <w:rFonts w:ascii="Times New Roman" w:hAnsi="Times New Roman" w:cs="Times New Roman"/>
                <w:lang w:val="da-DK"/>
              </w:rPr>
            </w:pPr>
            <w:r w:rsidRPr="00EA3E0E">
              <w:rPr>
                <w:rFonts w:ascii="Times New Roman" w:hAnsi="Times New Roman" w:cs="Times New Roman"/>
                <w:lang w:val="da-DK"/>
              </w:rPr>
              <w:t>56</w:t>
            </w:r>
          </w:p>
          <w:p w14:paraId="7D23CB9E" w14:textId="7EAE452A" w:rsidR="00C7249D" w:rsidRPr="00EA3E0E" w:rsidRDefault="00C7249D">
            <w:pPr>
              <w:pStyle w:val="TableParagraph"/>
              <w:spacing w:before="1"/>
              <w:ind w:left="118"/>
              <w:jc w:val="center"/>
              <w:rPr>
                <w:rFonts w:ascii="Times New Roman" w:hAnsi="Times New Roman" w:cs="Times New Roman"/>
                <w:lang w:val="da-DK"/>
              </w:rPr>
            </w:pPr>
            <w:r w:rsidRPr="00EA3E0E">
              <w:rPr>
                <w:rFonts w:ascii="Times New Roman" w:hAnsi="Times New Roman" w:cs="Times New Roman"/>
                <w:lang w:val="da-DK"/>
              </w:rPr>
              <w:t>(5,0</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0BA104F2" w14:textId="77777777" w:rsidTr="00EA3E0E">
        <w:trPr>
          <w:trHeight w:val="508"/>
        </w:trPr>
        <w:tc>
          <w:tcPr>
            <w:tcW w:w="1481" w:type="pct"/>
            <w:tcBorders>
              <w:top w:val="single" w:sz="4" w:space="0" w:color="000000"/>
              <w:left w:val="single" w:sz="4" w:space="0" w:color="000000"/>
              <w:bottom w:val="single" w:sz="4" w:space="0" w:color="000000"/>
              <w:right w:val="single" w:sz="4" w:space="0" w:color="000000"/>
            </w:tcBorders>
            <w:hideMark/>
          </w:tcPr>
          <w:p w14:paraId="0C68DE55" w14:textId="77777777" w:rsidR="00C7249D" w:rsidRPr="00EA3E0E" w:rsidRDefault="00C7249D">
            <w:pPr>
              <w:pStyle w:val="TableParagraph"/>
              <w:spacing w:before="126"/>
              <w:ind w:left="141" w:right="83"/>
              <w:rPr>
                <w:rFonts w:ascii="Times New Roman" w:hAnsi="Times New Roman" w:cs="Times New Roman"/>
                <w:lang w:val="da-DK"/>
              </w:rPr>
            </w:pPr>
            <w:r w:rsidRPr="00EA3E0E">
              <w:rPr>
                <w:rFonts w:ascii="Times New Roman" w:hAnsi="Times New Roman" w:cs="Times New Roman"/>
                <w:lang w:val="da-DK"/>
              </w:rPr>
              <w:t>Større blødning</w:t>
            </w:r>
          </w:p>
        </w:tc>
        <w:tc>
          <w:tcPr>
            <w:tcW w:w="1169" w:type="pct"/>
            <w:tcBorders>
              <w:top w:val="single" w:sz="4" w:space="0" w:color="000000"/>
              <w:left w:val="single" w:sz="4" w:space="0" w:color="000000"/>
              <w:bottom w:val="single" w:sz="4" w:space="0" w:color="000000"/>
              <w:right w:val="single" w:sz="4" w:space="0" w:color="000000"/>
            </w:tcBorders>
            <w:hideMark/>
          </w:tcPr>
          <w:p w14:paraId="2E2624D1" w14:textId="77777777" w:rsidR="00C7249D" w:rsidRPr="00EA3E0E" w:rsidRDefault="00C7249D">
            <w:pPr>
              <w:pStyle w:val="TableParagraph"/>
              <w:spacing w:line="252" w:lineRule="exact"/>
              <w:ind w:left="119"/>
              <w:jc w:val="center"/>
              <w:rPr>
                <w:rFonts w:ascii="Times New Roman" w:hAnsi="Times New Roman" w:cs="Times New Roman"/>
                <w:lang w:val="da-DK"/>
              </w:rPr>
            </w:pPr>
            <w:r w:rsidRPr="00EA3E0E">
              <w:rPr>
                <w:rFonts w:ascii="Times New Roman" w:hAnsi="Times New Roman" w:cs="Times New Roman"/>
                <w:w w:val="99"/>
                <w:lang w:val="da-DK"/>
              </w:rPr>
              <w:t>6</w:t>
            </w:r>
          </w:p>
          <w:p w14:paraId="085F39C6" w14:textId="67EB5957" w:rsidR="00C7249D" w:rsidRPr="00EA3E0E" w:rsidRDefault="00C7249D">
            <w:pPr>
              <w:pStyle w:val="TableParagraph"/>
              <w:spacing w:before="1" w:line="234" w:lineRule="exact"/>
              <w:ind w:left="119"/>
              <w:jc w:val="center"/>
              <w:rPr>
                <w:rFonts w:ascii="Times New Roman" w:hAnsi="Times New Roman" w:cs="Times New Roman"/>
                <w:lang w:val="da-DK"/>
              </w:rPr>
            </w:pPr>
            <w:r w:rsidRPr="00EA3E0E">
              <w:rPr>
                <w:rFonts w:ascii="Times New Roman" w:hAnsi="Times New Roman" w:cs="Times New Roman"/>
                <w:lang w:val="da-DK"/>
              </w:rPr>
              <w:t>(0,5</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290" w:type="pct"/>
            <w:tcBorders>
              <w:top w:val="single" w:sz="4" w:space="0" w:color="000000"/>
              <w:left w:val="single" w:sz="4" w:space="0" w:color="000000"/>
              <w:bottom w:val="single" w:sz="4" w:space="0" w:color="000000"/>
              <w:right w:val="single" w:sz="4" w:space="0" w:color="000000"/>
            </w:tcBorders>
            <w:hideMark/>
          </w:tcPr>
          <w:p w14:paraId="48381E39" w14:textId="77777777" w:rsidR="00C7249D" w:rsidRPr="00EA3E0E" w:rsidRDefault="00C7249D">
            <w:pPr>
              <w:pStyle w:val="TableParagraph"/>
              <w:spacing w:line="252" w:lineRule="exact"/>
              <w:ind w:left="118"/>
              <w:jc w:val="center"/>
              <w:rPr>
                <w:rFonts w:ascii="Times New Roman" w:hAnsi="Times New Roman" w:cs="Times New Roman"/>
                <w:lang w:val="da-DK"/>
              </w:rPr>
            </w:pPr>
            <w:r w:rsidRPr="00EA3E0E">
              <w:rPr>
                <w:rFonts w:ascii="Times New Roman" w:hAnsi="Times New Roman" w:cs="Times New Roman"/>
                <w:w w:val="99"/>
                <w:lang w:val="da-DK"/>
              </w:rPr>
              <w:t>5</w:t>
            </w:r>
          </w:p>
          <w:p w14:paraId="2BEC3A83" w14:textId="0E4D15B4"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(0,4</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060" w:type="pct"/>
            <w:tcBorders>
              <w:top w:val="single" w:sz="4" w:space="0" w:color="000000"/>
              <w:left w:val="single" w:sz="4" w:space="0" w:color="000000"/>
              <w:bottom w:val="single" w:sz="4" w:space="0" w:color="000000"/>
              <w:right w:val="single" w:sz="4" w:space="0" w:color="000000"/>
            </w:tcBorders>
            <w:hideMark/>
          </w:tcPr>
          <w:p w14:paraId="208D8A36" w14:textId="77777777" w:rsidR="00C7249D" w:rsidRPr="00EA3E0E" w:rsidRDefault="00C7249D">
            <w:pPr>
              <w:pStyle w:val="TableParagraph"/>
              <w:spacing w:line="252" w:lineRule="exact"/>
              <w:ind w:left="118"/>
              <w:jc w:val="center"/>
              <w:rPr>
                <w:rFonts w:ascii="Times New Roman" w:hAnsi="Times New Roman" w:cs="Times New Roman"/>
                <w:lang w:val="da-DK"/>
              </w:rPr>
            </w:pPr>
            <w:r w:rsidRPr="00EA3E0E">
              <w:rPr>
                <w:rFonts w:ascii="Times New Roman" w:hAnsi="Times New Roman" w:cs="Times New Roman"/>
                <w:w w:val="99"/>
                <w:lang w:val="da-DK"/>
              </w:rPr>
              <w:t>3</w:t>
            </w:r>
          </w:p>
          <w:p w14:paraId="70FBEC31" w14:textId="2DACA6B7"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(0,3</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2FC6DD47" w14:textId="77777777" w:rsidTr="00EA3E0E">
        <w:trPr>
          <w:trHeight w:val="508"/>
        </w:trPr>
        <w:tc>
          <w:tcPr>
            <w:tcW w:w="1481" w:type="pct"/>
            <w:tcBorders>
              <w:top w:val="single" w:sz="4" w:space="0" w:color="000000"/>
              <w:left w:val="single" w:sz="4" w:space="0" w:color="000000"/>
              <w:bottom w:val="single" w:sz="4" w:space="0" w:color="000000"/>
              <w:right w:val="single" w:sz="4" w:space="0" w:color="000000"/>
            </w:tcBorders>
            <w:hideMark/>
          </w:tcPr>
          <w:p w14:paraId="3B47762E" w14:textId="77777777" w:rsidR="00C7249D" w:rsidRPr="00EA3E0E" w:rsidRDefault="00C7249D">
            <w:pPr>
              <w:pStyle w:val="TableParagraph"/>
              <w:spacing w:before="2" w:line="254" w:lineRule="exact"/>
              <w:ind w:right="83"/>
              <w:rPr>
                <w:rFonts w:ascii="Times New Roman" w:hAnsi="Times New Roman" w:cs="Times New Roman"/>
                <w:lang w:val="da-DK"/>
              </w:rPr>
            </w:pPr>
            <w:r w:rsidRPr="00EA3E0E">
              <w:rPr>
                <w:rFonts w:ascii="Times New Roman" w:hAnsi="Times New Roman" w:cs="Times New Roman"/>
                <w:lang w:val="da-DK"/>
              </w:rPr>
              <w:t>Klinisk relevant mindre blødning</w:t>
            </w:r>
          </w:p>
        </w:tc>
        <w:tc>
          <w:tcPr>
            <w:tcW w:w="1169" w:type="pct"/>
            <w:tcBorders>
              <w:top w:val="single" w:sz="4" w:space="0" w:color="000000"/>
              <w:left w:val="single" w:sz="4" w:space="0" w:color="000000"/>
              <w:bottom w:val="single" w:sz="4" w:space="0" w:color="000000"/>
              <w:right w:val="single" w:sz="4" w:space="0" w:color="000000"/>
            </w:tcBorders>
            <w:hideMark/>
          </w:tcPr>
          <w:p w14:paraId="3F8D9A61" w14:textId="77777777" w:rsidR="00C7249D" w:rsidRPr="00EA3E0E" w:rsidRDefault="00C7249D">
            <w:pPr>
              <w:pStyle w:val="TableParagraph"/>
              <w:spacing w:line="253" w:lineRule="exact"/>
              <w:ind w:left="119"/>
              <w:jc w:val="center"/>
              <w:rPr>
                <w:rFonts w:ascii="Times New Roman" w:hAnsi="Times New Roman" w:cs="Times New Roman"/>
                <w:lang w:val="da-DK"/>
              </w:rPr>
            </w:pPr>
            <w:r w:rsidRPr="00EA3E0E">
              <w:rPr>
                <w:rFonts w:ascii="Times New Roman" w:hAnsi="Times New Roman" w:cs="Times New Roman"/>
                <w:lang w:val="da-DK"/>
              </w:rPr>
              <w:t>30</w:t>
            </w:r>
          </w:p>
          <w:p w14:paraId="366842A5" w14:textId="1BF6909B" w:rsidR="00C7249D" w:rsidRPr="00EA3E0E" w:rsidRDefault="00C7249D">
            <w:pPr>
              <w:pStyle w:val="TableParagraph"/>
              <w:spacing w:before="1" w:line="234" w:lineRule="exact"/>
              <w:ind w:left="119"/>
              <w:jc w:val="center"/>
              <w:rPr>
                <w:rFonts w:ascii="Times New Roman" w:hAnsi="Times New Roman" w:cs="Times New Roman"/>
                <w:lang w:val="da-DK"/>
              </w:rPr>
            </w:pPr>
            <w:r w:rsidRPr="00EA3E0E">
              <w:rPr>
                <w:rFonts w:ascii="Times New Roman" w:hAnsi="Times New Roman" w:cs="Times New Roman"/>
                <w:lang w:val="da-DK"/>
              </w:rPr>
              <w:t>(2,7</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290" w:type="pct"/>
            <w:tcBorders>
              <w:top w:val="single" w:sz="4" w:space="0" w:color="000000"/>
              <w:left w:val="single" w:sz="4" w:space="0" w:color="000000"/>
              <w:bottom w:val="single" w:sz="4" w:space="0" w:color="000000"/>
              <w:right w:val="single" w:sz="4" w:space="0" w:color="000000"/>
            </w:tcBorders>
            <w:hideMark/>
          </w:tcPr>
          <w:p w14:paraId="58D191C0" w14:textId="77777777" w:rsidR="00C7249D" w:rsidRPr="00EA3E0E" w:rsidRDefault="00C7249D">
            <w:pPr>
              <w:pStyle w:val="TableParagraph"/>
              <w:spacing w:line="253" w:lineRule="exact"/>
              <w:ind w:left="118"/>
              <w:jc w:val="center"/>
              <w:rPr>
                <w:rFonts w:ascii="Times New Roman" w:hAnsi="Times New Roman" w:cs="Times New Roman"/>
                <w:lang w:val="da-DK"/>
              </w:rPr>
            </w:pPr>
            <w:r w:rsidRPr="00EA3E0E">
              <w:rPr>
                <w:rFonts w:ascii="Times New Roman" w:hAnsi="Times New Roman" w:cs="Times New Roman"/>
                <w:lang w:val="da-DK"/>
              </w:rPr>
              <w:t>22</w:t>
            </w:r>
          </w:p>
          <w:p w14:paraId="7AD15C78" w14:textId="3DF32427"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(2,0</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c>
          <w:tcPr>
            <w:tcW w:w="1060" w:type="pct"/>
            <w:tcBorders>
              <w:top w:val="single" w:sz="4" w:space="0" w:color="000000"/>
              <w:left w:val="single" w:sz="4" w:space="0" w:color="000000"/>
              <w:bottom w:val="single" w:sz="4" w:space="0" w:color="000000"/>
              <w:right w:val="single" w:sz="4" w:space="0" w:color="000000"/>
            </w:tcBorders>
            <w:hideMark/>
          </w:tcPr>
          <w:p w14:paraId="4CD5731C" w14:textId="77777777" w:rsidR="00C7249D" w:rsidRPr="00EA3E0E" w:rsidRDefault="00C7249D">
            <w:pPr>
              <w:pStyle w:val="TableParagraph"/>
              <w:spacing w:line="253" w:lineRule="exact"/>
              <w:ind w:left="118"/>
              <w:jc w:val="center"/>
              <w:rPr>
                <w:rFonts w:ascii="Times New Roman" w:hAnsi="Times New Roman" w:cs="Times New Roman"/>
                <w:lang w:val="da-DK"/>
              </w:rPr>
            </w:pPr>
            <w:r w:rsidRPr="00EA3E0E">
              <w:rPr>
                <w:rFonts w:ascii="Times New Roman" w:hAnsi="Times New Roman" w:cs="Times New Roman"/>
                <w:lang w:val="da-DK"/>
              </w:rPr>
              <w:t>20</w:t>
            </w:r>
          </w:p>
          <w:p w14:paraId="33ADDB67" w14:textId="35F62C79" w:rsidR="00C7249D" w:rsidRPr="00EA3E0E" w:rsidRDefault="00C7249D">
            <w:pPr>
              <w:pStyle w:val="TableParagraph"/>
              <w:spacing w:before="1" w:line="234" w:lineRule="exact"/>
              <w:ind w:left="118"/>
              <w:jc w:val="center"/>
              <w:rPr>
                <w:rFonts w:ascii="Times New Roman" w:hAnsi="Times New Roman" w:cs="Times New Roman"/>
                <w:lang w:val="da-DK"/>
              </w:rPr>
            </w:pPr>
            <w:r w:rsidRPr="00EA3E0E">
              <w:rPr>
                <w:rFonts w:ascii="Times New Roman" w:hAnsi="Times New Roman" w:cs="Times New Roman"/>
                <w:lang w:val="da-DK"/>
              </w:rPr>
              <w:t>(1,8</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r w:rsidR="00C7249D" w:rsidRPr="00EA3E0E" w14:paraId="4DD29A63" w14:textId="77777777" w:rsidTr="00EA3E0E">
        <w:trPr>
          <w:trHeight w:val="760"/>
        </w:trPr>
        <w:tc>
          <w:tcPr>
            <w:tcW w:w="1481" w:type="pct"/>
            <w:tcBorders>
              <w:top w:val="single" w:sz="4" w:space="0" w:color="000000"/>
              <w:left w:val="single" w:sz="4" w:space="0" w:color="000000"/>
              <w:bottom w:val="single" w:sz="4" w:space="0" w:color="000000"/>
              <w:right w:val="single" w:sz="4" w:space="0" w:color="000000"/>
            </w:tcBorders>
            <w:hideMark/>
          </w:tcPr>
          <w:p w14:paraId="7B23C4FB" w14:textId="77777777" w:rsidR="00C7249D" w:rsidRPr="00EA3E0E" w:rsidRDefault="00C7249D">
            <w:pPr>
              <w:pStyle w:val="TableParagraph"/>
              <w:spacing w:line="254" w:lineRule="exact"/>
              <w:ind w:right="83"/>
              <w:rPr>
                <w:rFonts w:ascii="Times New Roman" w:hAnsi="Times New Roman" w:cs="Times New Roman"/>
                <w:lang w:val="da-DK"/>
              </w:rPr>
            </w:pPr>
            <w:r w:rsidRPr="00EA3E0E">
              <w:rPr>
                <w:rFonts w:ascii="Times New Roman" w:hAnsi="Times New Roman" w:cs="Times New Roman"/>
                <w:lang w:val="da-DK"/>
              </w:rPr>
              <w:t>Symptomatisk recidiverende VTE eller større blødning (kliniske nettofordel)</w:t>
            </w:r>
          </w:p>
        </w:tc>
        <w:tc>
          <w:tcPr>
            <w:tcW w:w="1169" w:type="pct"/>
            <w:tcBorders>
              <w:top w:val="single" w:sz="4" w:space="0" w:color="000000"/>
              <w:left w:val="single" w:sz="4" w:space="0" w:color="000000"/>
              <w:bottom w:val="single" w:sz="4" w:space="0" w:color="000000"/>
              <w:right w:val="single" w:sz="4" w:space="0" w:color="000000"/>
            </w:tcBorders>
            <w:hideMark/>
          </w:tcPr>
          <w:p w14:paraId="2648C95F" w14:textId="77777777" w:rsidR="00C7249D" w:rsidRPr="00EA3E0E" w:rsidRDefault="00C7249D">
            <w:pPr>
              <w:pStyle w:val="TableParagraph"/>
              <w:spacing w:before="112"/>
              <w:ind w:left="119"/>
              <w:jc w:val="center"/>
              <w:rPr>
                <w:rFonts w:ascii="Times New Roman" w:hAnsi="Times New Roman" w:cs="Times New Roman"/>
                <w:lang w:val="da-DK"/>
              </w:rPr>
            </w:pPr>
            <w:r w:rsidRPr="00EA3E0E">
              <w:rPr>
                <w:rFonts w:ascii="Times New Roman" w:hAnsi="Times New Roman" w:cs="Times New Roman"/>
                <w:lang w:val="da-DK"/>
              </w:rPr>
              <w:t>23</w:t>
            </w:r>
          </w:p>
          <w:p w14:paraId="51620279" w14:textId="7D50F75A" w:rsidR="00C7249D" w:rsidRPr="00EA3E0E" w:rsidRDefault="00C7249D">
            <w:pPr>
              <w:pStyle w:val="TableParagraph"/>
              <w:spacing w:before="21"/>
              <w:ind w:left="119"/>
              <w:jc w:val="center"/>
              <w:rPr>
                <w:rFonts w:ascii="Times New Roman" w:hAnsi="Times New Roman" w:cs="Times New Roman"/>
                <w:lang w:val="da-DK"/>
              </w:rPr>
            </w:pPr>
            <w:r w:rsidRPr="00EA3E0E">
              <w:rPr>
                <w:rFonts w:ascii="Times New Roman" w:hAnsi="Times New Roman" w:cs="Times New Roman"/>
                <w:lang w:val="da-DK"/>
              </w:rPr>
              <w:t>(2,1</w:t>
            </w:r>
            <w:r w:rsidR="008E19A3" w:rsidRPr="00EA3E0E">
              <w:rPr>
                <w:rFonts w:ascii="Times New Roman" w:hAnsi="Times New Roman" w:cs="Times New Roman"/>
                <w:lang w:val="da-DK"/>
              </w:rPr>
              <w:t xml:space="preserve"> </w:t>
            </w:r>
            <w:proofErr w:type="gramStart"/>
            <w:r w:rsidR="008E19A3" w:rsidRPr="00EA3E0E">
              <w:rPr>
                <w:rFonts w:ascii="Times New Roman" w:hAnsi="Times New Roman" w:cs="Times New Roman"/>
                <w:lang w:val="da-DK"/>
              </w:rPr>
              <w:t>%</w:t>
            </w:r>
            <w:r w:rsidRPr="00EA3E0E">
              <w:rPr>
                <w:rFonts w:ascii="Times New Roman" w:hAnsi="Times New Roman" w:cs="Times New Roman"/>
                <w:lang w:val="da-DK"/>
              </w:rPr>
              <w:t>)</w:t>
            </w:r>
            <w:r w:rsidRPr="00EA3E0E">
              <w:rPr>
                <w:rFonts w:ascii="Times New Roman" w:hAnsi="Times New Roman" w:cs="Times New Roman"/>
                <w:vertAlign w:val="superscript"/>
                <w:lang w:val="da-DK"/>
              </w:rPr>
              <w:t>+</w:t>
            </w:r>
            <w:proofErr w:type="gramEnd"/>
          </w:p>
        </w:tc>
        <w:tc>
          <w:tcPr>
            <w:tcW w:w="1290" w:type="pct"/>
            <w:tcBorders>
              <w:top w:val="single" w:sz="4" w:space="0" w:color="000000"/>
              <w:left w:val="single" w:sz="4" w:space="0" w:color="000000"/>
              <w:bottom w:val="single" w:sz="4" w:space="0" w:color="000000"/>
              <w:right w:val="single" w:sz="4" w:space="0" w:color="000000"/>
            </w:tcBorders>
            <w:hideMark/>
          </w:tcPr>
          <w:p w14:paraId="3805C84E" w14:textId="77777777" w:rsidR="00C7249D" w:rsidRPr="00EA3E0E" w:rsidRDefault="00C7249D">
            <w:pPr>
              <w:pStyle w:val="TableParagraph"/>
              <w:spacing w:before="125"/>
              <w:ind w:left="119"/>
              <w:jc w:val="center"/>
              <w:rPr>
                <w:rFonts w:ascii="Times New Roman" w:hAnsi="Times New Roman" w:cs="Times New Roman"/>
                <w:lang w:val="da-DK"/>
              </w:rPr>
            </w:pPr>
            <w:r w:rsidRPr="00EA3E0E">
              <w:rPr>
                <w:rFonts w:ascii="Times New Roman" w:hAnsi="Times New Roman" w:cs="Times New Roman"/>
                <w:lang w:val="da-DK"/>
              </w:rPr>
              <w:t>17</w:t>
            </w:r>
          </w:p>
          <w:p w14:paraId="50E224D6" w14:textId="52ADEC22" w:rsidR="00C7249D" w:rsidRPr="00EA3E0E" w:rsidRDefault="00C7249D">
            <w:pPr>
              <w:pStyle w:val="TableParagraph"/>
              <w:spacing w:before="1"/>
              <w:ind w:left="119"/>
              <w:jc w:val="center"/>
              <w:rPr>
                <w:rFonts w:ascii="Times New Roman" w:hAnsi="Times New Roman" w:cs="Times New Roman"/>
                <w:lang w:val="da-DK"/>
              </w:rPr>
            </w:pPr>
            <w:r w:rsidRPr="00EA3E0E">
              <w:rPr>
                <w:rFonts w:ascii="Times New Roman" w:hAnsi="Times New Roman" w:cs="Times New Roman"/>
                <w:lang w:val="da-DK"/>
              </w:rPr>
              <w:t>(1,5</w:t>
            </w:r>
            <w:r w:rsidR="008E19A3" w:rsidRPr="00EA3E0E">
              <w:rPr>
                <w:rFonts w:ascii="Times New Roman" w:hAnsi="Times New Roman" w:cs="Times New Roman"/>
                <w:lang w:val="da-DK"/>
              </w:rPr>
              <w:t xml:space="preserve"> </w:t>
            </w:r>
            <w:proofErr w:type="gramStart"/>
            <w:r w:rsidR="008E19A3" w:rsidRPr="00EA3E0E">
              <w:rPr>
                <w:rFonts w:ascii="Times New Roman" w:hAnsi="Times New Roman" w:cs="Times New Roman"/>
                <w:lang w:val="da-DK"/>
              </w:rPr>
              <w:t>%</w:t>
            </w:r>
            <w:r w:rsidRPr="00EA3E0E">
              <w:rPr>
                <w:rFonts w:ascii="Times New Roman" w:hAnsi="Times New Roman" w:cs="Times New Roman"/>
                <w:lang w:val="da-DK"/>
              </w:rPr>
              <w:t>)</w:t>
            </w:r>
            <w:r w:rsidRPr="00EA3E0E">
              <w:rPr>
                <w:rFonts w:ascii="Times New Roman" w:hAnsi="Times New Roman" w:cs="Times New Roman"/>
                <w:vertAlign w:val="superscript"/>
                <w:lang w:val="da-DK"/>
              </w:rPr>
              <w:t>+</w:t>
            </w:r>
            <w:proofErr w:type="gramEnd"/>
            <w:r w:rsidRPr="00EA3E0E">
              <w:rPr>
                <w:rFonts w:ascii="Times New Roman" w:hAnsi="Times New Roman" w:cs="Times New Roman"/>
                <w:vertAlign w:val="superscript"/>
                <w:lang w:val="da-DK"/>
              </w:rPr>
              <w:t>+</w:t>
            </w:r>
          </w:p>
        </w:tc>
        <w:tc>
          <w:tcPr>
            <w:tcW w:w="1060" w:type="pct"/>
            <w:tcBorders>
              <w:top w:val="single" w:sz="4" w:space="0" w:color="000000"/>
              <w:left w:val="single" w:sz="4" w:space="0" w:color="000000"/>
              <w:bottom w:val="single" w:sz="4" w:space="0" w:color="000000"/>
              <w:right w:val="single" w:sz="4" w:space="0" w:color="000000"/>
            </w:tcBorders>
            <w:hideMark/>
          </w:tcPr>
          <w:p w14:paraId="0EAC110B" w14:textId="77777777" w:rsidR="00C7249D" w:rsidRPr="00EA3E0E" w:rsidRDefault="00C7249D">
            <w:pPr>
              <w:pStyle w:val="TableParagraph"/>
              <w:spacing w:before="125"/>
              <w:ind w:left="118"/>
              <w:jc w:val="center"/>
              <w:rPr>
                <w:rFonts w:ascii="Times New Roman" w:hAnsi="Times New Roman" w:cs="Times New Roman"/>
                <w:lang w:val="da-DK"/>
              </w:rPr>
            </w:pPr>
            <w:r w:rsidRPr="00EA3E0E">
              <w:rPr>
                <w:rFonts w:ascii="Times New Roman" w:hAnsi="Times New Roman" w:cs="Times New Roman"/>
                <w:lang w:val="da-DK"/>
              </w:rPr>
              <w:t>53</w:t>
            </w:r>
          </w:p>
          <w:p w14:paraId="7A168AAA" w14:textId="01C7EE89" w:rsidR="00C7249D" w:rsidRPr="00EA3E0E" w:rsidRDefault="00C7249D">
            <w:pPr>
              <w:pStyle w:val="TableParagraph"/>
              <w:spacing w:before="1"/>
              <w:ind w:left="118"/>
              <w:jc w:val="center"/>
              <w:rPr>
                <w:rFonts w:ascii="Times New Roman" w:hAnsi="Times New Roman" w:cs="Times New Roman"/>
                <w:lang w:val="da-DK"/>
              </w:rPr>
            </w:pPr>
            <w:r w:rsidRPr="00EA3E0E">
              <w:rPr>
                <w:rFonts w:ascii="Times New Roman" w:hAnsi="Times New Roman" w:cs="Times New Roman"/>
                <w:lang w:val="da-DK"/>
              </w:rPr>
              <w:t>(4,7</w:t>
            </w:r>
            <w:r w:rsidR="008E19A3" w:rsidRPr="00EA3E0E">
              <w:rPr>
                <w:rFonts w:ascii="Times New Roman" w:hAnsi="Times New Roman" w:cs="Times New Roman"/>
                <w:lang w:val="da-DK"/>
              </w:rPr>
              <w:t xml:space="preserve"> %</w:t>
            </w:r>
            <w:r w:rsidRPr="00EA3E0E">
              <w:rPr>
                <w:rFonts w:ascii="Times New Roman" w:hAnsi="Times New Roman" w:cs="Times New Roman"/>
                <w:lang w:val="da-DK"/>
              </w:rPr>
              <w:t>)</w:t>
            </w:r>
          </w:p>
        </w:tc>
      </w:tr>
    </w:tbl>
    <w:p w14:paraId="2379A0E8" w14:textId="26B0BFE2" w:rsidR="00C7249D" w:rsidRPr="00EA3E0E" w:rsidRDefault="00C7249D" w:rsidP="00EA3E0E">
      <w:pPr>
        <w:pStyle w:val="Brdtekst"/>
        <w:ind w:left="426" w:right="887" w:hanging="425"/>
        <w:rPr>
          <w:sz w:val="20"/>
          <w:szCs w:val="20"/>
          <w:lang w:val="da-DK"/>
        </w:rPr>
      </w:pPr>
      <w:r w:rsidRPr="00EA3E0E">
        <w:rPr>
          <w:sz w:val="20"/>
          <w:szCs w:val="20"/>
          <w:lang w:val="da-DK"/>
        </w:rPr>
        <w:t>*</w:t>
      </w:r>
      <w:r w:rsidRPr="00EA3E0E">
        <w:rPr>
          <w:sz w:val="20"/>
          <w:szCs w:val="20"/>
          <w:lang w:val="da-DK"/>
        </w:rPr>
        <w:tab/>
        <w:t xml:space="preserve">p &lt; 0,001(superioritet) rivaroxaban </w:t>
      </w:r>
      <w:r w:rsidR="008E19A3" w:rsidRPr="00EA3E0E">
        <w:rPr>
          <w:sz w:val="20"/>
          <w:szCs w:val="20"/>
          <w:lang w:val="da-DK"/>
        </w:rPr>
        <w:t>""</w:t>
      </w:r>
      <w:r w:rsidRPr="00EA3E0E">
        <w:rPr>
          <w:sz w:val="20"/>
          <w:szCs w:val="20"/>
          <w:lang w:val="da-DK"/>
        </w:rPr>
        <w:t xml:space="preserve">20 mg en gang daglig </w:t>
      </w:r>
      <w:r w:rsidRPr="00EA3E0E">
        <w:rPr>
          <w:i/>
          <w:sz w:val="20"/>
          <w:szCs w:val="20"/>
          <w:lang w:val="da-DK"/>
        </w:rPr>
        <w:t xml:space="preserve">vs. </w:t>
      </w:r>
      <w:r w:rsidRPr="00EA3E0E">
        <w:rPr>
          <w:sz w:val="20"/>
          <w:szCs w:val="20"/>
          <w:lang w:val="da-DK"/>
        </w:rPr>
        <w:t>ASA 100 mg en gang daglig; HR = 0,34 (0,20-0,59)</w:t>
      </w:r>
    </w:p>
    <w:p w14:paraId="0C1EAF10" w14:textId="3AE4387C" w:rsidR="00C7249D" w:rsidRPr="00EA3E0E" w:rsidRDefault="00C7249D" w:rsidP="00EA3E0E">
      <w:pPr>
        <w:pStyle w:val="Brdtekst"/>
        <w:spacing w:before="2"/>
        <w:ind w:left="426" w:right="887" w:hanging="425"/>
        <w:rPr>
          <w:sz w:val="20"/>
          <w:szCs w:val="20"/>
          <w:lang w:val="da-DK"/>
        </w:rPr>
      </w:pPr>
      <w:r w:rsidRPr="00EA3E0E">
        <w:rPr>
          <w:sz w:val="20"/>
          <w:szCs w:val="20"/>
          <w:lang w:val="da-DK"/>
        </w:rPr>
        <w:t>**</w:t>
      </w:r>
      <w:r w:rsidRPr="00EA3E0E">
        <w:rPr>
          <w:sz w:val="20"/>
          <w:szCs w:val="20"/>
          <w:lang w:val="da-DK"/>
        </w:rPr>
        <w:tab/>
        <w:t>p &lt; 0,001 (superioritet) rivaroxaban</w:t>
      </w:r>
      <w:r w:rsidR="008E19A3" w:rsidRPr="00EA3E0E">
        <w:rPr>
          <w:sz w:val="20"/>
          <w:szCs w:val="20"/>
          <w:lang w:val="da-DK"/>
        </w:rPr>
        <w:t>""</w:t>
      </w:r>
      <w:r w:rsidRPr="00EA3E0E">
        <w:rPr>
          <w:sz w:val="20"/>
          <w:szCs w:val="20"/>
          <w:lang w:val="da-DK"/>
        </w:rPr>
        <w:t xml:space="preserve"> 10 mg en gang daglig </w:t>
      </w:r>
      <w:r w:rsidRPr="00EA3E0E">
        <w:rPr>
          <w:i/>
          <w:sz w:val="20"/>
          <w:szCs w:val="20"/>
          <w:lang w:val="da-DK"/>
        </w:rPr>
        <w:t xml:space="preserve">vs. </w:t>
      </w:r>
      <w:r w:rsidRPr="00EA3E0E">
        <w:rPr>
          <w:sz w:val="20"/>
          <w:szCs w:val="20"/>
          <w:lang w:val="da-DK"/>
        </w:rPr>
        <w:t>ASA 100 mg en gang daglig; HR = 0,26 (0,14-0,47)</w:t>
      </w:r>
    </w:p>
    <w:p w14:paraId="102EB6EE" w14:textId="7F9B18DF" w:rsidR="00C7249D" w:rsidRPr="00EA3E0E" w:rsidRDefault="00C7249D" w:rsidP="00EA3E0E">
      <w:pPr>
        <w:pStyle w:val="Brdtekst"/>
        <w:spacing w:before="5" w:line="254" w:lineRule="exact"/>
        <w:ind w:left="426" w:right="887" w:hanging="425"/>
        <w:rPr>
          <w:sz w:val="20"/>
          <w:szCs w:val="20"/>
          <w:lang w:val="da-DK"/>
        </w:rPr>
      </w:pPr>
      <w:r w:rsidRPr="00EA3E0E">
        <w:rPr>
          <w:position w:val="9"/>
          <w:sz w:val="20"/>
          <w:szCs w:val="20"/>
          <w:lang w:val="da-DK"/>
        </w:rPr>
        <w:t>+</w:t>
      </w:r>
      <w:r w:rsidRPr="00EA3E0E">
        <w:rPr>
          <w:position w:val="9"/>
          <w:sz w:val="20"/>
          <w:szCs w:val="20"/>
          <w:lang w:val="da-DK"/>
        </w:rPr>
        <w:tab/>
      </w:r>
      <w:r w:rsidRPr="00EA3E0E">
        <w:rPr>
          <w:sz w:val="20"/>
          <w:szCs w:val="20"/>
          <w:lang w:val="da-DK"/>
        </w:rPr>
        <w:t xml:space="preserve">Rivaroxaban </w:t>
      </w:r>
      <w:r w:rsidR="008E19A3" w:rsidRPr="00EA3E0E">
        <w:rPr>
          <w:sz w:val="20"/>
          <w:szCs w:val="20"/>
          <w:lang w:val="da-DK"/>
        </w:rPr>
        <w:t>""</w:t>
      </w:r>
      <w:r w:rsidRPr="00EA3E0E">
        <w:rPr>
          <w:sz w:val="20"/>
          <w:szCs w:val="20"/>
          <w:lang w:val="da-DK"/>
        </w:rPr>
        <w:t xml:space="preserve">20 mg en gang daglig </w:t>
      </w:r>
      <w:r w:rsidRPr="00EA3E0E">
        <w:rPr>
          <w:i/>
          <w:sz w:val="20"/>
          <w:szCs w:val="20"/>
          <w:lang w:val="da-DK"/>
        </w:rPr>
        <w:t>vs</w:t>
      </w:r>
      <w:r w:rsidRPr="00EA3E0E">
        <w:rPr>
          <w:sz w:val="20"/>
          <w:szCs w:val="20"/>
          <w:lang w:val="da-DK"/>
        </w:rPr>
        <w:t>. ASA 100 mg en gang daglig; HR = 0,44 (0,27-0,71), p = 0,0009 (nominel)</w:t>
      </w:r>
    </w:p>
    <w:p w14:paraId="6B2C9230" w14:textId="182D40B6" w:rsidR="00C7249D" w:rsidRPr="00EA3E0E" w:rsidRDefault="00C7249D" w:rsidP="00EA3E0E">
      <w:pPr>
        <w:pStyle w:val="Brdtekst"/>
        <w:spacing w:before="1" w:line="254" w:lineRule="exact"/>
        <w:ind w:left="426" w:right="887" w:hanging="425"/>
        <w:rPr>
          <w:sz w:val="20"/>
          <w:szCs w:val="20"/>
          <w:lang w:val="da-DK"/>
        </w:rPr>
      </w:pPr>
      <w:r w:rsidRPr="00EA3E0E">
        <w:rPr>
          <w:position w:val="9"/>
          <w:sz w:val="20"/>
          <w:szCs w:val="20"/>
          <w:lang w:val="da-DK"/>
        </w:rPr>
        <w:t>++</w:t>
      </w:r>
      <w:r w:rsidRPr="00EA3E0E">
        <w:rPr>
          <w:position w:val="9"/>
          <w:sz w:val="20"/>
          <w:szCs w:val="20"/>
          <w:lang w:val="da-DK"/>
        </w:rPr>
        <w:tab/>
      </w:r>
      <w:r w:rsidRPr="00EA3E0E">
        <w:rPr>
          <w:sz w:val="20"/>
          <w:szCs w:val="20"/>
          <w:lang w:val="da-DK"/>
        </w:rPr>
        <w:t xml:space="preserve">Rivaroxaban </w:t>
      </w:r>
      <w:r w:rsidR="008E19A3" w:rsidRPr="00EA3E0E">
        <w:rPr>
          <w:sz w:val="20"/>
          <w:szCs w:val="20"/>
          <w:lang w:val="da-DK"/>
        </w:rPr>
        <w:t>""</w:t>
      </w:r>
      <w:r w:rsidRPr="00EA3E0E">
        <w:rPr>
          <w:sz w:val="20"/>
          <w:szCs w:val="20"/>
          <w:lang w:val="da-DK"/>
        </w:rPr>
        <w:t xml:space="preserve">10 mg en gang daglig </w:t>
      </w:r>
      <w:r w:rsidRPr="00EA3E0E">
        <w:rPr>
          <w:i/>
          <w:sz w:val="20"/>
          <w:szCs w:val="20"/>
          <w:lang w:val="da-DK"/>
        </w:rPr>
        <w:t>vs</w:t>
      </w:r>
      <w:r w:rsidRPr="00EA3E0E">
        <w:rPr>
          <w:sz w:val="20"/>
          <w:szCs w:val="20"/>
          <w:lang w:val="da-DK"/>
        </w:rPr>
        <w:t>. ASA 100 mg en gang daglig; HR = 0,32 (0,18-0,55), p &lt; 0,0001 (nominel)</w:t>
      </w:r>
    </w:p>
    <w:p w14:paraId="27F13174" w14:textId="77777777" w:rsidR="00C7249D" w:rsidRPr="008E19A3" w:rsidRDefault="00C7249D" w:rsidP="00C7249D">
      <w:pPr>
        <w:pStyle w:val="Brdtekst"/>
        <w:spacing w:before="2"/>
        <w:ind w:right="887"/>
        <w:rPr>
          <w:sz w:val="24"/>
          <w:szCs w:val="24"/>
          <w:lang w:val="da-DK"/>
        </w:rPr>
      </w:pPr>
    </w:p>
    <w:p w14:paraId="6B02E5E9" w14:textId="086B4F4E" w:rsidR="00C7249D" w:rsidRPr="008E19A3" w:rsidRDefault="00C7249D" w:rsidP="00C7249D">
      <w:pPr>
        <w:pStyle w:val="Brdtekst"/>
        <w:ind w:left="851" w:right="-1"/>
        <w:rPr>
          <w:sz w:val="24"/>
          <w:szCs w:val="24"/>
          <w:lang w:val="da-DK"/>
        </w:rPr>
      </w:pPr>
      <w:r w:rsidRPr="008E19A3">
        <w:rPr>
          <w:sz w:val="24"/>
          <w:szCs w:val="24"/>
          <w:lang w:val="da-DK"/>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w:t>
      </w:r>
      <w:r w:rsidR="008E19A3" w:rsidRPr="008E19A3">
        <w:rPr>
          <w:sz w:val="24"/>
          <w:szCs w:val="24"/>
          <w:lang w:val="da-DK"/>
        </w:rPr>
        <w:t xml:space="preserve"> %</w:t>
      </w:r>
      <w:r w:rsidRPr="008E19A3">
        <w:rPr>
          <w:sz w:val="24"/>
          <w:szCs w:val="24"/>
          <w:lang w:val="da-DK"/>
        </w:rPr>
        <w:t>, 1,4</w:t>
      </w:r>
      <w:r w:rsidR="008E19A3" w:rsidRPr="008E19A3">
        <w:rPr>
          <w:sz w:val="24"/>
          <w:szCs w:val="24"/>
          <w:lang w:val="da-DK"/>
        </w:rPr>
        <w:t xml:space="preserve"> %</w:t>
      </w:r>
      <w:r w:rsidRPr="008E19A3">
        <w:rPr>
          <w:sz w:val="24"/>
          <w:szCs w:val="24"/>
          <w:lang w:val="da-DK"/>
        </w:rPr>
        <w:t xml:space="preserve"> og 0,5</w:t>
      </w:r>
      <w:r w:rsidR="008E19A3" w:rsidRPr="008E19A3">
        <w:rPr>
          <w:sz w:val="24"/>
          <w:szCs w:val="24"/>
          <w:lang w:val="da-DK"/>
        </w:rPr>
        <w:t xml:space="preserve"> %</w:t>
      </w:r>
      <w:r w:rsidRPr="008E19A3">
        <w:rPr>
          <w:sz w:val="24"/>
          <w:szCs w:val="24"/>
          <w:lang w:val="da-DK"/>
        </w:rPr>
        <w:t xml:space="preserve">. Der var forskelle i </w:t>
      </w:r>
      <w:r w:rsidRPr="008E19A3">
        <w:rPr>
          <w:sz w:val="24"/>
          <w:szCs w:val="24"/>
          <w:lang w:val="da-DK"/>
        </w:rPr>
        <w:lastRenderedPageBreak/>
        <w:t xml:space="preserve">patientkarakteristika ved </w:t>
      </w:r>
      <w:r w:rsidRPr="008E19A3">
        <w:rPr>
          <w:iCs/>
          <w:sz w:val="24"/>
          <w:szCs w:val="24"/>
          <w:lang w:val="da-DK"/>
        </w:rPr>
        <w:t>baseline,</w:t>
      </w:r>
      <w:r w:rsidRPr="008E19A3">
        <w:rPr>
          <w:sz w:val="24"/>
          <w:szCs w:val="24"/>
          <w:lang w:val="da-DK"/>
        </w:rPr>
        <w:t xml:space="preserve"> herunder alder, cancer og nedsat nyrefunktion. Der blev anvendt en forudspecificeret stratificeret tendensanalyse til at justere for målte forskelle ved </w:t>
      </w:r>
      <w:r w:rsidRPr="008E19A3">
        <w:rPr>
          <w:iCs/>
          <w:sz w:val="24"/>
          <w:szCs w:val="24"/>
          <w:lang w:val="da-DK"/>
        </w:rPr>
        <w:t>baseline,</w:t>
      </w:r>
      <w:r w:rsidRPr="008E19A3">
        <w:rPr>
          <w:sz w:val="24"/>
          <w:szCs w:val="24"/>
          <w:lang w:val="da-DK"/>
        </w:rPr>
        <w:t xml:space="preserve"> men på trods af dette, kan </w:t>
      </w:r>
      <w:r w:rsidRPr="008E19A3">
        <w:rPr>
          <w:iCs/>
          <w:sz w:val="24"/>
          <w:szCs w:val="24"/>
          <w:lang w:val="da-DK"/>
        </w:rPr>
        <w:t>residual confounding</w:t>
      </w:r>
      <w:r w:rsidRPr="008E19A3">
        <w:rPr>
          <w:i/>
          <w:sz w:val="24"/>
          <w:szCs w:val="24"/>
          <w:lang w:val="da-DK"/>
        </w:rPr>
        <w:t xml:space="preserve"> </w:t>
      </w:r>
      <w:r w:rsidRPr="008E19A3">
        <w:rPr>
          <w:sz w:val="24"/>
          <w:szCs w:val="24"/>
          <w:lang w:val="da-DK"/>
        </w:rPr>
        <w:t>påvirke resultatet. Justeret HR, der sammenligner rivaroxaban og standardbehandling for alvorlige blødninger, recidiverende VTE og død uanset årsag var henholdsvis 0,77 (95</w:t>
      </w:r>
      <w:r w:rsidR="008E19A3" w:rsidRPr="008E19A3">
        <w:rPr>
          <w:sz w:val="24"/>
          <w:szCs w:val="24"/>
          <w:lang w:val="da-DK"/>
        </w:rPr>
        <w:t xml:space="preserve"> %</w:t>
      </w:r>
      <w:r w:rsidRPr="008E19A3">
        <w:rPr>
          <w:sz w:val="24"/>
          <w:szCs w:val="24"/>
          <w:lang w:val="da-DK"/>
        </w:rPr>
        <w:t xml:space="preserve"> KI 0,40 - 1,50), 0,91 (95</w:t>
      </w:r>
      <w:r w:rsidR="008E19A3" w:rsidRPr="008E19A3">
        <w:rPr>
          <w:sz w:val="24"/>
          <w:szCs w:val="24"/>
          <w:lang w:val="da-DK"/>
        </w:rPr>
        <w:t xml:space="preserve"> %</w:t>
      </w:r>
      <w:r w:rsidRPr="008E19A3">
        <w:rPr>
          <w:sz w:val="24"/>
          <w:szCs w:val="24"/>
          <w:lang w:val="da-DK"/>
        </w:rPr>
        <w:t xml:space="preserve"> KI 0,54 - 1,54) og 0,51 (95</w:t>
      </w:r>
      <w:r w:rsidR="008E19A3" w:rsidRPr="008E19A3">
        <w:rPr>
          <w:sz w:val="24"/>
          <w:szCs w:val="24"/>
          <w:lang w:val="da-DK"/>
        </w:rPr>
        <w:t xml:space="preserve"> %</w:t>
      </w:r>
      <w:r w:rsidRPr="008E19A3">
        <w:rPr>
          <w:sz w:val="24"/>
          <w:szCs w:val="24"/>
          <w:lang w:val="da-DK"/>
        </w:rPr>
        <w:t xml:space="preserve"> KI 0,24 - 1,07).</w:t>
      </w:r>
    </w:p>
    <w:p w14:paraId="693B1361" w14:textId="77777777" w:rsidR="00C7249D" w:rsidRPr="008E19A3" w:rsidRDefault="00C7249D" w:rsidP="00C7249D">
      <w:pPr>
        <w:pStyle w:val="Brdtekst"/>
        <w:ind w:left="851" w:right="-1"/>
        <w:rPr>
          <w:sz w:val="24"/>
          <w:szCs w:val="24"/>
          <w:lang w:val="da-DK"/>
        </w:rPr>
      </w:pPr>
      <w:r w:rsidRPr="008E19A3">
        <w:rPr>
          <w:sz w:val="24"/>
          <w:szCs w:val="24"/>
          <w:lang w:val="da-DK"/>
        </w:rPr>
        <w:t>Disse resultater fra patienter behandlet efter klinisk praksis er konsistente med den etablerede sikkerhedsprofil ved denne indikation.</w:t>
      </w:r>
    </w:p>
    <w:p w14:paraId="1A635445" w14:textId="77777777" w:rsidR="00C7249D" w:rsidRPr="008E19A3" w:rsidRDefault="00C7249D" w:rsidP="00C7249D">
      <w:pPr>
        <w:pStyle w:val="Brdtekst"/>
        <w:ind w:left="851" w:right="-1"/>
        <w:rPr>
          <w:sz w:val="24"/>
          <w:szCs w:val="24"/>
          <w:lang w:val="da-DK"/>
        </w:rPr>
      </w:pPr>
    </w:p>
    <w:p w14:paraId="6FA4A159" w14:textId="02AAF6FD" w:rsidR="00C7249D" w:rsidRPr="008E19A3" w:rsidRDefault="00C7249D" w:rsidP="00C7249D">
      <w:pPr>
        <w:pStyle w:val="Brdtekst"/>
        <w:ind w:left="851" w:right="-1"/>
        <w:rPr>
          <w:sz w:val="24"/>
          <w:szCs w:val="24"/>
          <w:lang w:val="da-DK"/>
        </w:rPr>
      </w:pPr>
      <w:r w:rsidRPr="008E19A3">
        <w:rPr>
          <w:sz w:val="24"/>
          <w:szCs w:val="24"/>
          <w:lang w:val="da-DK"/>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w:t>
      </w:r>
      <w:r w:rsidR="008E19A3" w:rsidRPr="008E19A3">
        <w:rPr>
          <w:sz w:val="24"/>
          <w:szCs w:val="24"/>
          <w:lang w:val="da-DK"/>
        </w:rPr>
        <w:t xml:space="preserve"> %</w:t>
      </w:r>
      <w:r w:rsidRPr="008E19A3">
        <w:rPr>
          <w:sz w:val="24"/>
          <w:szCs w:val="24"/>
          <w:lang w:val="da-DK"/>
        </w:rPr>
        <w:t xml:space="preserve"> KI 0,40 - 0,97) i Storbritannien til 2,30 (95</w:t>
      </w:r>
      <w:r w:rsidR="008E19A3" w:rsidRPr="008E19A3">
        <w:rPr>
          <w:sz w:val="24"/>
          <w:szCs w:val="24"/>
          <w:lang w:val="da-DK"/>
        </w:rPr>
        <w:t xml:space="preserve"> %</w:t>
      </w:r>
      <w:r w:rsidRPr="008E19A3">
        <w:rPr>
          <w:sz w:val="24"/>
          <w:szCs w:val="24"/>
          <w:lang w:val="da-DK"/>
        </w:rPr>
        <w:t xml:space="preserve"> KI 2,11 - 2,51) for Tyskland. Blødning, der førte til indlæggelse, forekom med hændelsesrater pr. 100 patientår på 0,31 (95</w:t>
      </w:r>
      <w:r w:rsidR="008E19A3" w:rsidRPr="008E19A3">
        <w:rPr>
          <w:sz w:val="24"/>
          <w:szCs w:val="24"/>
          <w:lang w:val="da-DK"/>
        </w:rPr>
        <w:t xml:space="preserve"> %</w:t>
      </w:r>
      <w:r w:rsidRPr="008E19A3">
        <w:rPr>
          <w:sz w:val="24"/>
          <w:szCs w:val="24"/>
          <w:lang w:val="da-DK"/>
        </w:rPr>
        <w:t xml:space="preserve"> KI 0,23 - 0,42) for intrakraniel blødning, 0,89 (95</w:t>
      </w:r>
      <w:r w:rsidR="008E19A3" w:rsidRPr="008E19A3">
        <w:rPr>
          <w:sz w:val="24"/>
          <w:szCs w:val="24"/>
          <w:lang w:val="da-DK"/>
        </w:rPr>
        <w:t xml:space="preserve"> %</w:t>
      </w:r>
      <w:r w:rsidRPr="008E19A3">
        <w:rPr>
          <w:sz w:val="24"/>
          <w:szCs w:val="24"/>
          <w:lang w:val="da-DK"/>
        </w:rPr>
        <w:t xml:space="preserve"> KI 0,67 - 1,17) for gastrointestinal blødning, 0,44 (95</w:t>
      </w:r>
      <w:r w:rsidR="008E19A3" w:rsidRPr="008E19A3">
        <w:rPr>
          <w:sz w:val="24"/>
          <w:szCs w:val="24"/>
          <w:lang w:val="da-DK"/>
        </w:rPr>
        <w:t xml:space="preserve"> %</w:t>
      </w:r>
      <w:r w:rsidRPr="008E19A3">
        <w:rPr>
          <w:sz w:val="24"/>
          <w:szCs w:val="24"/>
          <w:lang w:val="da-DK"/>
        </w:rPr>
        <w:t xml:space="preserve"> KI 0,26 - 0,74) for urogenital blødning og 0,41 (95</w:t>
      </w:r>
      <w:r w:rsidR="008E19A3" w:rsidRPr="008E19A3">
        <w:rPr>
          <w:sz w:val="24"/>
          <w:szCs w:val="24"/>
          <w:lang w:val="da-DK"/>
        </w:rPr>
        <w:t xml:space="preserve"> %</w:t>
      </w:r>
      <w:r w:rsidRPr="008E19A3">
        <w:rPr>
          <w:sz w:val="24"/>
          <w:szCs w:val="24"/>
          <w:lang w:val="da-DK"/>
        </w:rPr>
        <w:t xml:space="preserve"> KI 0,31 - 0,54) for anden blødning.</w:t>
      </w:r>
    </w:p>
    <w:p w14:paraId="19CEBBB6" w14:textId="77777777" w:rsidR="00C7249D" w:rsidRPr="008E19A3" w:rsidRDefault="00C7249D" w:rsidP="00C7249D">
      <w:pPr>
        <w:pStyle w:val="Brdtekst"/>
        <w:ind w:left="851" w:right="-1"/>
        <w:rPr>
          <w:sz w:val="24"/>
          <w:szCs w:val="24"/>
          <w:lang w:val="da-DK"/>
        </w:rPr>
      </w:pPr>
    </w:p>
    <w:p w14:paraId="2B03E9A5" w14:textId="77777777" w:rsidR="00C7249D" w:rsidRPr="008E19A3" w:rsidRDefault="00C7249D" w:rsidP="00C7249D">
      <w:pPr>
        <w:pStyle w:val="Brdtekst"/>
        <w:ind w:left="851" w:right="-1"/>
        <w:rPr>
          <w:sz w:val="24"/>
          <w:szCs w:val="24"/>
          <w:lang w:val="da-DK"/>
        </w:rPr>
      </w:pPr>
      <w:r w:rsidRPr="008E19A3">
        <w:rPr>
          <w:sz w:val="24"/>
          <w:szCs w:val="24"/>
          <w:u w:val="single"/>
          <w:lang w:val="da-DK"/>
        </w:rPr>
        <w:t>Højrisikopatienter med tredobbelt positiv antifosfolipidsyndrom</w:t>
      </w:r>
    </w:p>
    <w:p w14:paraId="50271F14" w14:textId="13E36CA6" w:rsidR="00C7249D" w:rsidRPr="008E19A3" w:rsidRDefault="00C7249D" w:rsidP="00C7249D">
      <w:pPr>
        <w:pStyle w:val="Brdtekst"/>
        <w:ind w:left="851" w:right="-1"/>
        <w:rPr>
          <w:sz w:val="24"/>
          <w:szCs w:val="24"/>
          <w:lang w:val="da-DK"/>
        </w:rPr>
      </w:pPr>
      <w:r w:rsidRPr="008E19A3">
        <w:rPr>
          <w:sz w:val="24"/>
          <w:szCs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&lt;50 mL/min), og 61 patienter var randomiseret til warfarin (INR 2,0-3,0). Der sås tromboemboliske hændelser hos 12</w:t>
      </w:r>
      <w:r w:rsidR="008E19A3" w:rsidRPr="008E19A3">
        <w:rPr>
          <w:sz w:val="24"/>
          <w:szCs w:val="24"/>
          <w:lang w:val="da-DK"/>
        </w:rPr>
        <w:t xml:space="preserve"> %</w:t>
      </w:r>
      <w:r w:rsidRPr="008E19A3">
        <w:rPr>
          <w:sz w:val="24"/>
          <w:szCs w:val="24"/>
          <w:lang w:val="da-DK"/>
        </w:rPr>
        <w:t xml:space="preserve"> af de patienter, der var randomiseret til rivaroxaban (4 iskæmiske slagtilfælde og 3 myokardieinfarkter). Der sås ingen hændelser hos de patienter, der var randomiseret til warfarin. Der sås større blødning hos 4 patienter (7</w:t>
      </w:r>
      <w:r w:rsidR="008E19A3" w:rsidRPr="008E19A3">
        <w:rPr>
          <w:sz w:val="24"/>
          <w:szCs w:val="24"/>
          <w:lang w:val="da-DK"/>
        </w:rPr>
        <w:t xml:space="preserve"> %</w:t>
      </w:r>
      <w:r w:rsidRPr="008E19A3">
        <w:rPr>
          <w:sz w:val="24"/>
          <w:szCs w:val="24"/>
          <w:lang w:val="da-DK"/>
        </w:rPr>
        <w:t>) i rivaroxaban-gruppen og hos 2 patienter (3</w:t>
      </w:r>
      <w:r w:rsidR="008E19A3" w:rsidRPr="008E19A3">
        <w:rPr>
          <w:sz w:val="24"/>
          <w:szCs w:val="24"/>
          <w:lang w:val="da-DK"/>
        </w:rPr>
        <w:t xml:space="preserve"> %</w:t>
      </w:r>
      <w:r w:rsidRPr="008E19A3">
        <w:rPr>
          <w:sz w:val="24"/>
          <w:szCs w:val="24"/>
          <w:lang w:val="da-DK"/>
        </w:rPr>
        <w:t>) i warfarin-gruppen.</w:t>
      </w:r>
    </w:p>
    <w:p w14:paraId="07E02EB1" w14:textId="77777777" w:rsidR="00C7249D" w:rsidRPr="008E19A3" w:rsidRDefault="00C7249D" w:rsidP="00C7249D">
      <w:pPr>
        <w:pStyle w:val="Brdtekst"/>
        <w:ind w:left="851" w:right="887"/>
        <w:rPr>
          <w:sz w:val="24"/>
          <w:szCs w:val="24"/>
          <w:lang w:val="da-DK"/>
        </w:rPr>
      </w:pPr>
    </w:p>
    <w:p w14:paraId="3E6BE968" w14:textId="77777777" w:rsidR="00C7249D" w:rsidRPr="008E19A3" w:rsidRDefault="00C7249D" w:rsidP="00C7249D">
      <w:pPr>
        <w:pStyle w:val="Brdtekst"/>
        <w:ind w:left="851" w:right="-1"/>
        <w:rPr>
          <w:sz w:val="24"/>
          <w:szCs w:val="24"/>
          <w:lang w:val="da-DK"/>
        </w:rPr>
      </w:pPr>
      <w:r w:rsidRPr="008E19A3">
        <w:rPr>
          <w:sz w:val="24"/>
          <w:szCs w:val="24"/>
          <w:u w:val="single"/>
          <w:lang w:val="da-DK"/>
        </w:rPr>
        <w:t>Pædiatrisk population</w:t>
      </w:r>
    </w:p>
    <w:p w14:paraId="4CE621F5" w14:textId="77777777" w:rsidR="00C7249D" w:rsidRPr="008E19A3" w:rsidRDefault="00C7249D" w:rsidP="00C7249D">
      <w:pPr>
        <w:pStyle w:val="Brdtekst"/>
        <w:ind w:left="851" w:right="-1"/>
        <w:rPr>
          <w:sz w:val="24"/>
          <w:szCs w:val="24"/>
          <w:lang w:val="da-DK"/>
        </w:rPr>
      </w:pPr>
      <w:r w:rsidRPr="008E19A3">
        <w:rPr>
          <w:sz w:val="24"/>
          <w:szCs w:val="24"/>
          <w:lang w:val="da-DK"/>
        </w:rPr>
        <w:t>Det Europæiske Lægemiddelagentur har dispenseret fra kravet om at fremlægge resultaterne af studier med referenceproduktet der indeholder rivaroxaban i alle undergrupper af den pædiatriske population ved forebyggelse af tromboemboliske hændelser (se pkt. 4.2 for oplysninger om pædiatrisk anvendelse).</w:t>
      </w:r>
    </w:p>
    <w:p w14:paraId="71FCBB8E" w14:textId="77777777" w:rsidR="009260DE" w:rsidRPr="008E19A3" w:rsidRDefault="009260DE" w:rsidP="009260DE">
      <w:pPr>
        <w:tabs>
          <w:tab w:val="left" w:pos="851"/>
        </w:tabs>
        <w:ind w:left="851"/>
        <w:rPr>
          <w:sz w:val="24"/>
          <w:szCs w:val="24"/>
        </w:rPr>
      </w:pPr>
    </w:p>
    <w:p w14:paraId="07B42CFA" w14:textId="77777777" w:rsidR="009260DE" w:rsidRPr="008E19A3" w:rsidRDefault="009260DE" w:rsidP="009260DE">
      <w:pPr>
        <w:tabs>
          <w:tab w:val="left" w:pos="851"/>
        </w:tabs>
        <w:ind w:left="851" w:hanging="851"/>
        <w:rPr>
          <w:b/>
          <w:sz w:val="24"/>
          <w:szCs w:val="24"/>
        </w:rPr>
      </w:pPr>
      <w:r w:rsidRPr="008E19A3">
        <w:rPr>
          <w:b/>
          <w:sz w:val="24"/>
          <w:szCs w:val="24"/>
        </w:rPr>
        <w:t>5.2</w:t>
      </w:r>
      <w:r w:rsidRPr="008E19A3">
        <w:rPr>
          <w:b/>
          <w:sz w:val="24"/>
          <w:szCs w:val="24"/>
        </w:rPr>
        <w:tab/>
        <w:t>Farmakokinetiske egenskaber</w:t>
      </w:r>
    </w:p>
    <w:p w14:paraId="1CAE8246" w14:textId="77777777" w:rsidR="00EA3E0E" w:rsidRDefault="00EA3E0E" w:rsidP="00C7249D">
      <w:pPr>
        <w:tabs>
          <w:tab w:val="left" w:pos="851"/>
        </w:tabs>
        <w:ind w:left="851"/>
        <w:rPr>
          <w:sz w:val="24"/>
          <w:szCs w:val="24"/>
          <w:u w:val="single"/>
        </w:rPr>
      </w:pPr>
    </w:p>
    <w:p w14:paraId="5EE263F5" w14:textId="76650645" w:rsidR="00C7249D" w:rsidRPr="008E19A3" w:rsidRDefault="00C7249D" w:rsidP="00C7249D">
      <w:pPr>
        <w:tabs>
          <w:tab w:val="left" w:pos="851"/>
        </w:tabs>
        <w:ind w:left="851"/>
        <w:rPr>
          <w:sz w:val="24"/>
          <w:szCs w:val="24"/>
        </w:rPr>
      </w:pPr>
      <w:r w:rsidRPr="008E19A3">
        <w:rPr>
          <w:sz w:val="24"/>
          <w:szCs w:val="24"/>
          <w:u w:val="single"/>
        </w:rPr>
        <w:t>Absorption</w:t>
      </w:r>
    </w:p>
    <w:p w14:paraId="2E219FF9" w14:textId="77777777" w:rsidR="00C7249D" w:rsidRPr="008E19A3" w:rsidRDefault="00C7249D" w:rsidP="00C7249D">
      <w:pPr>
        <w:tabs>
          <w:tab w:val="left" w:pos="851"/>
        </w:tabs>
        <w:ind w:left="851"/>
        <w:rPr>
          <w:sz w:val="24"/>
          <w:szCs w:val="24"/>
        </w:rPr>
      </w:pPr>
      <w:r w:rsidRPr="008E19A3">
        <w:rPr>
          <w:sz w:val="24"/>
          <w:szCs w:val="24"/>
        </w:rPr>
        <w:t>Rivaroxaban absorberes hurtigt, og den maksimale koncentration (C</w:t>
      </w:r>
      <w:r w:rsidRPr="008E19A3">
        <w:rPr>
          <w:sz w:val="24"/>
          <w:szCs w:val="24"/>
          <w:vertAlign w:val="subscript"/>
        </w:rPr>
        <w:t>max</w:t>
      </w:r>
      <w:r w:rsidRPr="008E19A3">
        <w:rPr>
          <w:sz w:val="24"/>
          <w:szCs w:val="24"/>
        </w:rPr>
        <w:t>) opnås 2 - 4 timer efter indtagelsen af kapslen.</w:t>
      </w:r>
    </w:p>
    <w:p w14:paraId="5B02D17F" w14:textId="27F40F08" w:rsidR="00C7249D" w:rsidRPr="008E19A3" w:rsidRDefault="00C7249D" w:rsidP="00C7249D">
      <w:pPr>
        <w:tabs>
          <w:tab w:val="left" w:pos="851"/>
        </w:tabs>
        <w:ind w:left="851"/>
        <w:rPr>
          <w:sz w:val="24"/>
          <w:szCs w:val="24"/>
        </w:rPr>
      </w:pPr>
      <w:r w:rsidRPr="008E19A3">
        <w:rPr>
          <w:sz w:val="24"/>
          <w:szCs w:val="24"/>
        </w:rPr>
        <w:t>Den orale absorption af rivaroxaban er næsten fuldstændig, og den orale biotilgængelighed er høj (80 - 100</w:t>
      </w:r>
      <w:r w:rsidR="008E19A3" w:rsidRPr="008E19A3">
        <w:rPr>
          <w:sz w:val="24"/>
          <w:szCs w:val="24"/>
        </w:rPr>
        <w:t xml:space="preserve"> %</w:t>
      </w:r>
      <w:r w:rsidRPr="008E19A3">
        <w:rPr>
          <w:sz w:val="24"/>
          <w:szCs w:val="24"/>
        </w:rPr>
        <w:t>) for 2,5 mg- og 10 mg rivaroxaban uafhængigt af fastende tilstand eller fødeindtagelse. Indtagelse af mad påvirker ikke rivaroxabans AUC eller C</w:t>
      </w:r>
      <w:r w:rsidRPr="008E19A3">
        <w:rPr>
          <w:sz w:val="24"/>
          <w:szCs w:val="24"/>
          <w:vertAlign w:val="subscript"/>
        </w:rPr>
        <w:t>max</w:t>
      </w:r>
      <w:r w:rsidRPr="008E19A3">
        <w:rPr>
          <w:sz w:val="24"/>
          <w:szCs w:val="24"/>
        </w:rPr>
        <w:t xml:space="preserve"> efter en 2,5 mg- og 10 mg-dosis. Rivaroxaban 2,5 mg- og 10 mg-kapsler kan tages sammen med eller uden mad. </w:t>
      </w:r>
    </w:p>
    <w:p w14:paraId="162BDE44" w14:textId="43FF3B46" w:rsidR="00C7249D" w:rsidRPr="008E19A3" w:rsidRDefault="00C7249D" w:rsidP="00C7249D">
      <w:pPr>
        <w:tabs>
          <w:tab w:val="left" w:pos="851"/>
        </w:tabs>
        <w:ind w:left="851"/>
        <w:rPr>
          <w:sz w:val="24"/>
          <w:szCs w:val="24"/>
        </w:rPr>
      </w:pPr>
      <w:r w:rsidRPr="008E19A3">
        <w:rPr>
          <w:sz w:val="24"/>
          <w:szCs w:val="24"/>
        </w:rPr>
        <w:lastRenderedPageBreak/>
        <w:t>Rivaroxabans farmakokinetik er tilnærmelsesvis lineær op til omkring 15 mg en gang daglig. Ved højere doser rivaroxaban vises en opløsningsbegrænset absorption med faldende biotillgængelighed og faldende absorptionsfrekvens ved øget dosis. Dette er tydeligere i fastende tilstand end efter indtagelse af føde. Variabiliteten i rivaroxabans farmakokinetik er moderat med en inter-individuel variabilitet (CV</w:t>
      </w:r>
      <w:r w:rsidR="008E19A3" w:rsidRPr="008E19A3">
        <w:rPr>
          <w:sz w:val="24"/>
          <w:szCs w:val="24"/>
        </w:rPr>
        <w:t xml:space="preserve"> %</w:t>
      </w:r>
      <w:r w:rsidRPr="008E19A3">
        <w:rPr>
          <w:sz w:val="24"/>
          <w:szCs w:val="24"/>
        </w:rPr>
        <w:t>), der ligger mellem 30</w:t>
      </w:r>
      <w:r w:rsidR="008E19A3" w:rsidRPr="008E19A3">
        <w:rPr>
          <w:sz w:val="24"/>
          <w:szCs w:val="24"/>
        </w:rPr>
        <w:t xml:space="preserve"> %</w:t>
      </w:r>
      <w:r w:rsidRPr="008E19A3">
        <w:rPr>
          <w:sz w:val="24"/>
          <w:szCs w:val="24"/>
        </w:rPr>
        <w:t xml:space="preserve"> og 40</w:t>
      </w:r>
      <w:r w:rsidR="008E19A3" w:rsidRPr="008E19A3">
        <w:rPr>
          <w:sz w:val="24"/>
          <w:szCs w:val="24"/>
        </w:rPr>
        <w:t xml:space="preserve"> %</w:t>
      </w:r>
      <w:r w:rsidRPr="008E19A3">
        <w:rPr>
          <w:sz w:val="24"/>
          <w:szCs w:val="24"/>
        </w:rPr>
        <w:t>, bortset fra på operationsdagen og dagen efter, hvor variabiliteten i eksponering er høj (70</w:t>
      </w:r>
      <w:r w:rsidR="008E19A3" w:rsidRPr="008E19A3">
        <w:rPr>
          <w:sz w:val="24"/>
          <w:szCs w:val="24"/>
        </w:rPr>
        <w:t xml:space="preserve"> %</w:t>
      </w:r>
      <w:r w:rsidRPr="008E19A3">
        <w:rPr>
          <w:sz w:val="24"/>
          <w:szCs w:val="24"/>
        </w:rPr>
        <w:t>).</w:t>
      </w:r>
    </w:p>
    <w:p w14:paraId="2BFA841C" w14:textId="243A5121" w:rsidR="00C7249D" w:rsidRPr="008E19A3" w:rsidRDefault="00C7249D" w:rsidP="00C7249D">
      <w:pPr>
        <w:tabs>
          <w:tab w:val="left" w:pos="851"/>
        </w:tabs>
        <w:ind w:left="851"/>
        <w:rPr>
          <w:sz w:val="24"/>
          <w:szCs w:val="24"/>
        </w:rPr>
      </w:pPr>
      <w:r w:rsidRPr="008E19A3">
        <w:rPr>
          <w:sz w:val="24"/>
          <w:szCs w:val="24"/>
        </w:rPr>
        <w:t>Absorptionen af rivaroxaban er afhængig af, hvor det frigøres i mave-tarm-kanalen. Der blev rapporteret en 29</w:t>
      </w:r>
      <w:r w:rsidR="008E19A3" w:rsidRPr="008E19A3">
        <w:rPr>
          <w:sz w:val="24"/>
          <w:szCs w:val="24"/>
        </w:rPr>
        <w:t xml:space="preserve"> %</w:t>
      </w:r>
      <w:r w:rsidRPr="008E19A3">
        <w:rPr>
          <w:sz w:val="24"/>
          <w:szCs w:val="24"/>
        </w:rPr>
        <w:t xml:space="preserve"> og 56</w:t>
      </w:r>
      <w:r w:rsidR="008E19A3" w:rsidRPr="008E19A3">
        <w:rPr>
          <w:sz w:val="24"/>
          <w:szCs w:val="24"/>
        </w:rPr>
        <w:t xml:space="preserve"> %</w:t>
      </w:r>
      <w:r w:rsidRPr="008E19A3">
        <w:rPr>
          <w:sz w:val="24"/>
          <w:szCs w:val="24"/>
        </w:rPr>
        <w:t xml:space="preserve"> reduktion i AUC og C</w:t>
      </w:r>
      <w:r w:rsidRPr="008E19A3">
        <w:rPr>
          <w:sz w:val="24"/>
          <w:szCs w:val="24"/>
          <w:vertAlign w:val="subscript"/>
        </w:rPr>
        <w:t>max</w:t>
      </w:r>
      <w:r w:rsidRPr="008E19A3">
        <w:rPr>
          <w:sz w:val="24"/>
          <w:szCs w:val="24"/>
        </w:rPr>
        <w:t>, sammenlignet med fast lægemiddelform, når rivaroxaban-granulat frigøres i den proksimale tyndtarm. Eksponeringen reduceres yde</w:t>
      </w:r>
      <w:r w:rsidR="005761FF">
        <w:rPr>
          <w:sz w:val="24"/>
          <w:szCs w:val="24"/>
        </w:rPr>
        <w:t>r</w:t>
      </w:r>
      <w:r w:rsidRPr="008E19A3">
        <w:rPr>
          <w:sz w:val="24"/>
          <w:szCs w:val="24"/>
        </w:rPr>
        <w:t>ligere, når rivaroxaban frigøres i den distale tyndtarm, eller ascenderende kolon. Derfor bør administration af rivaroxaban distalt til maven undgås, da dette kan medføre reduceret absorption og rivaroxaban-eksponering.</w:t>
      </w:r>
    </w:p>
    <w:p w14:paraId="44AB02DC" w14:textId="5F4A5A0A" w:rsidR="00C7249D" w:rsidRPr="008E19A3" w:rsidRDefault="00C7249D" w:rsidP="00C7249D">
      <w:pPr>
        <w:ind w:left="851"/>
        <w:rPr>
          <w:sz w:val="24"/>
          <w:szCs w:val="24"/>
        </w:rPr>
      </w:pPr>
      <w:r w:rsidRPr="008E19A3">
        <w:rPr>
          <w:sz w:val="24"/>
          <w:szCs w:val="24"/>
        </w:rPr>
        <w:t>Biotilgængeligheden (AUC og C</w:t>
      </w:r>
      <w:r w:rsidRPr="008E19A3">
        <w:rPr>
          <w:sz w:val="24"/>
          <w:szCs w:val="24"/>
          <w:vertAlign w:val="subscript"/>
        </w:rPr>
        <w:t>max</w:t>
      </w:r>
      <w:r w:rsidRPr="008E19A3">
        <w:rPr>
          <w:sz w:val="24"/>
          <w:szCs w:val="24"/>
        </w:rPr>
        <w:t xml:space="preserve">) var sammenlignelig mellem indholdet for Rivaroxaban </w:t>
      </w:r>
      <w:r w:rsidR="008E19A3" w:rsidRPr="008E19A3">
        <w:rPr>
          <w:sz w:val="24"/>
          <w:szCs w:val="24"/>
        </w:rPr>
        <w:t>"</w:t>
      </w:r>
      <w:r w:rsidRPr="008E19A3">
        <w:rPr>
          <w:sz w:val="24"/>
          <w:szCs w:val="24"/>
        </w:rPr>
        <w:t>Zentiva</w:t>
      </w:r>
      <w:r w:rsidR="008E19A3" w:rsidRPr="008E19A3">
        <w:rPr>
          <w:sz w:val="24"/>
          <w:szCs w:val="24"/>
        </w:rPr>
        <w:t>"</w:t>
      </w:r>
      <w:r w:rsidRPr="008E19A3">
        <w:rPr>
          <w:sz w:val="24"/>
          <w:szCs w:val="24"/>
        </w:rPr>
        <w:t xml:space="preserve"> 20 mg kapsler drysset på og administreret med æblemos og referenceprodukt (Xarelto) 20 mg tablet, knust og administreret med æblemos.</w:t>
      </w:r>
    </w:p>
    <w:p w14:paraId="6F997FD8" w14:textId="77777777" w:rsidR="00C7249D" w:rsidRPr="008E19A3" w:rsidRDefault="00C7249D" w:rsidP="00C7249D">
      <w:pPr>
        <w:tabs>
          <w:tab w:val="left" w:pos="851"/>
        </w:tabs>
        <w:ind w:left="851"/>
        <w:rPr>
          <w:sz w:val="24"/>
          <w:szCs w:val="24"/>
        </w:rPr>
      </w:pPr>
      <w:r w:rsidRPr="008E19A3">
        <w:rPr>
          <w:sz w:val="24"/>
          <w:szCs w:val="24"/>
        </w:rPr>
        <w:t>Ud fra den forudsigelige, dosisproportionale farmakokinetiske profil for rivaroxaban er det sandsynligt, at resultaterne for biotilgængelighed i dette studie også gælder for lavere rivaroxaban-doser.</w:t>
      </w:r>
    </w:p>
    <w:p w14:paraId="6ECA7E12" w14:textId="77777777" w:rsidR="00C7249D" w:rsidRPr="008E19A3" w:rsidRDefault="00C7249D" w:rsidP="00C7249D">
      <w:pPr>
        <w:tabs>
          <w:tab w:val="left" w:pos="851"/>
        </w:tabs>
        <w:ind w:left="851"/>
        <w:rPr>
          <w:sz w:val="24"/>
          <w:szCs w:val="24"/>
          <w:u w:val="single"/>
        </w:rPr>
      </w:pPr>
    </w:p>
    <w:p w14:paraId="69537B70" w14:textId="77777777" w:rsidR="00C7249D" w:rsidRPr="008E19A3" w:rsidRDefault="00C7249D" w:rsidP="00C7249D">
      <w:pPr>
        <w:tabs>
          <w:tab w:val="left" w:pos="851"/>
        </w:tabs>
        <w:ind w:left="851"/>
        <w:rPr>
          <w:sz w:val="24"/>
          <w:szCs w:val="24"/>
        </w:rPr>
      </w:pPr>
      <w:r w:rsidRPr="008E19A3">
        <w:rPr>
          <w:sz w:val="24"/>
          <w:szCs w:val="24"/>
          <w:u w:val="single"/>
        </w:rPr>
        <w:t>Fordeling</w:t>
      </w:r>
    </w:p>
    <w:p w14:paraId="42B35E1D" w14:textId="17456627" w:rsidR="00C7249D" w:rsidRPr="008E19A3" w:rsidRDefault="00C7249D" w:rsidP="00C7249D">
      <w:pPr>
        <w:tabs>
          <w:tab w:val="left" w:pos="851"/>
        </w:tabs>
        <w:ind w:left="851"/>
        <w:rPr>
          <w:sz w:val="24"/>
          <w:szCs w:val="24"/>
        </w:rPr>
      </w:pPr>
      <w:r w:rsidRPr="008E19A3">
        <w:rPr>
          <w:sz w:val="24"/>
          <w:szCs w:val="24"/>
        </w:rPr>
        <w:t>Plasmaproteinbindingen hos mennesker er høj og ligger omkring 92 - 95</w:t>
      </w:r>
      <w:r w:rsidR="008E19A3" w:rsidRPr="008E19A3">
        <w:rPr>
          <w:sz w:val="24"/>
          <w:szCs w:val="24"/>
        </w:rPr>
        <w:t xml:space="preserve"> %</w:t>
      </w:r>
      <w:r w:rsidRPr="008E19A3">
        <w:rPr>
          <w:sz w:val="24"/>
          <w:szCs w:val="24"/>
        </w:rPr>
        <w:t>. Serumalbumin er hovedkomponenten i denne binding. Fordelingsvolumenet er moderat, idet V</w:t>
      </w:r>
      <w:r w:rsidRPr="008E19A3">
        <w:rPr>
          <w:sz w:val="24"/>
          <w:szCs w:val="24"/>
          <w:vertAlign w:val="subscript"/>
        </w:rPr>
        <w:t>ss</w:t>
      </w:r>
      <w:r w:rsidRPr="008E19A3">
        <w:rPr>
          <w:sz w:val="24"/>
          <w:szCs w:val="24"/>
        </w:rPr>
        <w:t xml:space="preserve"> er cirka 50 liter.</w:t>
      </w:r>
    </w:p>
    <w:p w14:paraId="762E63FC" w14:textId="77777777" w:rsidR="00C7249D" w:rsidRPr="008E19A3" w:rsidRDefault="00C7249D" w:rsidP="00C7249D">
      <w:pPr>
        <w:tabs>
          <w:tab w:val="left" w:pos="851"/>
        </w:tabs>
        <w:ind w:left="851"/>
        <w:rPr>
          <w:sz w:val="24"/>
          <w:szCs w:val="24"/>
        </w:rPr>
      </w:pPr>
    </w:p>
    <w:p w14:paraId="6CBEB880" w14:textId="77777777" w:rsidR="00C7249D" w:rsidRPr="008E19A3" w:rsidRDefault="00C7249D" w:rsidP="00C7249D">
      <w:pPr>
        <w:tabs>
          <w:tab w:val="left" w:pos="851"/>
        </w:tabs>
        <w:ind w:left="851"/>
        <w:rPr>
          <w:sz w:val="24"/>
          <w:szCs w:val="24"/>
        </w:rPr>
      </w:pPr>
      <w:r w:rsidRPr="008E19A3">
        <w:rPr>
          <w:sz w:val="24"/>
          <w:szCs w:val="24"/>
          <w:u w:val="single"/>
        </w:rPr>
        <w:t>Biotransformation og elimination</w:t>
      </w:r>
    </w:p>
    <w:p w14:paraId="6BB8ED60" w14:textId="77777777" w:rsidR="00C7249D" w:rsidRPr="008E19A3" w:rsidRDefault="00C7249D" w:rsidP="00C7249D">
      <w:pPr>
        <w:tabs>
          <w:tab w:val="left" w:pos="851"/>
        </w:tabs>
        <w:ind w:left="851"/>
        <w:rPr>
          <w:sz w:val="24"/>
          <w:szCs w:val="24"/>
        </w:rPr>
      </w:pPr>
      <w:r w:rsidRPr="008E19A3">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307764DA" w14:textId="77777777" w:rsidR="00C7249D" w:rsidRPr="008E19A3" w:rsidRDefault="00C7249D" w:rsidP="00C7249D">
      <w:pPr>
        <w:tabs>
          <w:tab w:val="left" w:pos="851"/>
        </w:tabs>
        <w:ind w:left="851"/>
        <w:rPr>
          <w:sz w:val="24"/>
          <w:szCs w:val="24"/>
        </w:rPr>
      </w:pPr>
      <w:r w:rsidRPr="008E19A3">
        <w:rPr>
          <w:sz w:val="24"/>
          <w:szCs w:val="24"/>
        </w:rPr>
        <w:t>Rivaroxaban metaboliseres via CYP3A4, CYP2J2 og CYP-uafhængige mekanismer. Biotransformationen finder hovedsageligt sted ved oxidativ nedbrydning af morfolindelen og hydrolyse af amidbindingerne.</w:t>
      </w:r>
    </w:p>
    <w:p w14:paraId="6F64C51A" w14:textId="1E437CE8" w:rsidR="00C7249D" w:rsidRPr="008E19A3" w:rsidRDefault="00C7249D" w:rsidP="00C7249D">
      <w:pPr>
        <w:tabs>
          <w:tab w:val="left" w:pos="851"/>
        </w:tabs>
        <w:ind w:left="851"/>
        <w:rPr>
          <w:sz w:val="24"/>
          <w:szCs w:val="24"/>
        </w:rPr>
      </w:pPr>
      <w:r w:rsidRPr="008E19A3">
        <w:rPr>
          <w:i/>
          <w:sz w:val="24"/>
          <w:szCs w:val="24"/>
        </w:rPr>
        <w:t>In vitro</w:t>
      </w:r>
      <w:r w:rsidRPr="008E19A3">
        <w:rPr>
          <w:sz w:val="24"/>
          <w:szCs w:val="24"/>
        </w:rPr>
        <w:t>-undersøgelser har vist, at rivaroxaban er et substrat af transportproteinerne P-gp (P-glycoprotein) og Bcrp (brystcancer-resistensprotein).</w:t>
      </w:r>
    </w:p>
    <w:p w14:paraId="07EA6259" w14:textId="77777777" w:rsidR="00C7249D" w:rsidRPr="008E19A3" w:rsidRDefault="00C7249D" w:rsidP="00C7249D">
      <w:pPr>
        <w:tabs>
          <w:tab w:val="left" w:pos="851"/>
        </w:tabs>
        <w:ind w:left="851"/>
        <w:rPr>
          <w:sz w:val="24"/>
          <w:szCs w:val="24"/>
        </w:rPr>
      </w:pPr>
      <w:r w:rsidRPr="008E19A3">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til 9 timer hos unge og 11 til 13 timer hos ældre.</w:t>
      </w:r>
    </w:p>
    <w:p w14:paraId="45CB9306" w14:textId="77777777" w:rsidR="00C7249D" w:rsidRPr="008E19A3" w:rsidRDefault="00C7249D" w:rsidP="00C7249D">
      <w:pPr>
        <w:tabs>
          <w:tab w:val="left" w:pos="851"/>
        </w:tabs>
        <w:ind w:left="851"/>
        <w:rPr>
          <w:sz w:val="24"/>
          <w:szCs w:val="24"/>
        </w:rPr>
      </w:pPr>
    </w:p>
    <w:p w14:paraId="2DD42AD7" w14:textId="77777777" w:rsidR="00C7249D" w:rsidRPr="008E19A3" w:rsidRDefault="00C7249D" w:rsidP="00C7249D">
      <w:pPr>
        <w:tabs>
          <w:tab w:val="left" w:pos="851"/>
        </w:tabs>
        <w:ind w:left="851"/>
        <w:rPr>
          <w:sz w:val="24"/>
          <w:szCs w:val="24"/>
        </w:rPr>
      </w:pPr>
      <w:r w:rsidRPr="008E19A3">
        <w:rPr>
          <w:sz w:val="24"/>
          <w:szCs w:val="24"/>
          <w:u w:val="single"/>
        </w:rPr>
        <w:t>Særlige populationer</w:t>
      </w:r>
    </w:p>
    <w:p w14:paraId="3F7C55E5" w14:textId="77777777" w:rsidR="00C7249D" w:rsidRPr="008E19A3" w:rsidRDefault="00C7249D" w:rsidP="00C7249D">
      <w:pPr>
        <w:tabs>
          <w:tab w:val="left" w:pos="851"/>
        </w:tabs>
        <w:ind w:left="851"/>
        <w:rPr>
          <w:i/>
          <w:sz w:val="24"/>
          <w:szCs w:val="24"/>
        </w:rPr>
      </w:pPr>
      <w:r w:rsidRPr="008E19A3">
        <w:rPr>
          <w:i/>
          <w:sz w:val="24"/>
          <w:szCs w:val="24"/>
        </w:rPr>
        <w:t>Køn</w:t>
      </w:r>
    </w:p>
    <w:p w14:paraId="1FF7F93A" w14:textId="77777777" w:rsidR="00C7249D" w:rsidRPr="008E19A3" w:rsidRDefault="00C7249D" w:rsidP="00C7249D">
      <w:pPr>
        <w:tabs>
          <w:tab w:val="left" w:pos="851"/>
        </w:tabs>
        <w:ind w:left="851"/>
        <w:rPr>
          <w:sz w:val="24"/>
          <w:szCs w:val="24"/>
        </w:rPr>
      </w:pPr>
      <w:r w:rsidRPr="008E19A3">
        <w:rPr>
          <w:sz w:val="24"/>
          <w:szCs w:val="24"/>
        </w:rPr>
        <w:t>Der var ingen klinisk relevante forskelle mellem mænd og kvinder, hvad angår farmakokinetik og farmakodynamik.</w:t>
      </w:r>
    </w:p>
    <w:p w14:paraId="0720E10B" w14:textId="77777777" w:rsidR="00C7249D" w:rsidRPr="008E19A3" w:rsidRDefault="00C7249D" w:rsidP="00C7249D">
      <w:pPr>
        <w:tabs>
          <w:tab w:val="left" w:pos="851"/>
        </w:tabs>
        <w:ind w:left="851"/>
        <w:rPr>
          <w:sz w:val="24"/>
          <w:szCs w:val="24"/>
        </w:rPr>
      </w:pPr>
    </w:p>
    <w:p w14:paraId="1366149A" w14:textId="77777777" w:rsidR="00C7249D" w:rsidRPr="008E19A3" w:rsidRDefault="00C7249D" w:rsidP="00C7249D">
      <w:pPr>
        <w:tabs>
          <w:tab w:val="left" w:pos="851"/>
        </w:tabs>
        <w:ind w:left="851"/>
        <w:rPr>
          <w:i/>
          <w:sz w:val="24"/>
          <w:szCs w:val="24"/>
        </w:rPr>
      </w:pPr>
      <w:r w:rsidRPr="008E19A3">
        <w:rPr>
          <w:i/>
          <w:sz w:val="24"/>
          <w:szCs w:val="24"/>
        </w:rPr>
        <w:t>Ældre population</w:t>
      </w:r>
    </w:p>
    <w:p w14:paraId="4E3114DD" w14:textId="77777777" w:rsidR="00C7249D" w:rsidRPr="008E19A3" w:rsidRDefault="00C7249D" w:rsidP="00C7249D">
      <w:pPr>
        <w:tabs>
          <w:tab w:val="left" w:pos="851"/>
        </w:tabs>
        <w:ind w:left="851"/>
        <w:rPr>
          <w:sz w:val="24"/>
          <w:szCs w:val="24"/>
        </w:rPr>
      </w:pPr>
      <w:r w:rsidRPr="008E19A3">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4BFA2F9C" w14:textId="77777777" w:rsidR="00C7249D" w:rsidRPr="008E19A3" w:rsidRDefault="00C7249D" w:rsidP="00C7249D">
      <w:pPr>
        <w:tabs>
          <w:tab w:val="left" w:pos="851"/>
        </w:tabs>
        <w:ind w:left="851"/>
        <w:rPr>
          <w:sz w:val="24"/>
          <w:szCs w:val="24"/>
        </w:rPr>
      </w:pPr>
    </w:p>
    <w:p w14:paraId="58015EE5" w14:textId="77777777" w:rsidR="00C7249D" w:rsidRPr="008E19A3" w:rsidRDefault="00C7249D" w:rsidP="00C7249D">
      <w:pPr>
        <w:tabs>
          <w:tab w:val="left" w:pos="851"/>
        </w:tabs>
        <w:ind w:left="851"/>
        <w:rPr>
          <w:i/>
          <w:sz w:val="24"/>
          <w:szCs w:val="24"/>
        </w:rPr>
      </w:pPr>
      <w:r w:rsidRPr="008E19A3">
        <w:rPr>
          <w:i/>
          <w:sz w:val="24"/>
          <w:szCs w:val="24"/>
        </w:rPr>
        <w:t>Forskellige vægtkategorier</w:t>
      </w:r>
    </w:p>
    <w:p w14:paraId="47A24E42" w14:textId="4DF5D91D" w:rsidR="00C7249D" w:rsidRPr="008E19A3" w:rsidRDefault="00C7249D" w:rsidP="00C7249D">
      <w:pPr>
        <w:tabs>
          <w:tab w:val="left" w:pos="851"/>
        </w:tabs>
        <w:ind w:left="851"/>
        <w:rPr>
          <w:sz w:val="24"/>
          <w:szCs w:val="24"/>
        </w:rPr>
      </w:pPr>
      <w:r w:rsidRPr="008E19A3">
        <w:rPr>
          <w:sz w:val="24"/>
          <w:szCs w:val="24"/>
        </w:rPr>
        <w:t>Ekstrem legemsvægt (&lt;50 kg eller &gt;120 kg) havde kun ringe indvirkning på rivaroxabans plasmakoncentrationer (under 25</w:t>
      </w:r>
      <w:r w:rsidR="008E19A3" w:rsidRPr="008E19A3">
        <w:rPr>
          <w:sz w:val="24"/>
          <w:szCs w:val="24"/>
        </w:rPr>
        <w:t xml:space="preserve"> %</w:t>
      </w:r>
      <w:r w:rsidRPr="008E19A3">
        <w:rPr>
          <w:sz w:val="24"/>
          <w:szCs w:val="24"/>
        </w:rPr>
        <w:t>). Der kræves ingen dosisjustering.</w:t>
      </w:r>
    </w:p>
    <w:p w14:paraId="38A1165D" w14:textId="77777777" w:rsidR="00C7249D" w:rsidRPr="008E19A3" w:rsidRDefault="00C7249D" w:rsidP="00C7249D">
      <w:pPr>
        <w:tabs>
          <w:tab w:val="left" w:pos="851"/>
        </w:tabs>
        <w:ind w:left="851"/>
        <w:rPr>
          <w:sz w:val="24"/>
          <w:szCs w:val="24"/>
        </w:rPr>
      </w:pPr>
    </w:p>
    <w:p w14:paraId="16E3C634" w14:textId="77777777" w:rsidR="00C7249D" w:rsidRPr="008E19A3" w:rsidRDefault="00C7249D" w:rsidP="00C7249D">
      <w:pPr>
        <w:tabs>
          <w:tab w:val="left" w:pos="851"/>
        </w:tabs>
        <w:ind w:left="851"/>
        <w:rPr>
          <w:i/>
          <w:sz w:val="24"/>
          <w:szCs w:val="24"/>
        </w:rPr>
      </w:pPr>
      <w:r w:rsidRPr="008E19A3">
        <w:rPr>
          <w:i/>
          <w:sz w:val="24"/>
          <w:szCs w:val="24"/>
        </w:rPr>
        <w:t>Interetniske forskelle</w:t>
      </w:r>
    </w:p>
    <w:p w14:paraId="3B377941" w14:textId="77777777" w:rsidR="00C7249D" w:rsidRPr="008E19A3" w:rsidRDefault="00C7249D" w:rsidP="00C7249D">
      <w:pPr>
        <w:tabs>
          <w:tab w:val="left" w:pos="851"/>
        </w:tabs>
        <w:ind w:left="851"/>
        <w:rPr>
          <w:sz w:val="24"/>
          <w:szCs w:val="24"/>
        </w:rPr>
      </w:pPr>
      <w:r w:rsidRPr="008E19A3">
        <w:rPr>
          <w:sz w:val="24"/>
          <w:szCs w:val="24"/>
        </w:rPr>
        <w:t>Der blev ikke observeret nogen klinisk relevante interetniske forskelle mellem kaukasiske, afroamerikanske, latinamerikanske, japanske og kinesiske patienter, hvad angår rivaroxabans farmakokinetik og farmakodynamik.</w:t>
      </w:r>
    </w:p>
    <w:p w14:paraId="5A338D93" w14:textId="77777777" w:rsidR="00C7249D" w:rsidRPr="008E19A3" w:rsidRDefault="00C7249D" w:rsidP="00C7249D">
      <w:pPr>
        <w:tabs>
          <w:tab w:val="left" w:pos="851"/>
        </w:tabs>
        <w:ind w:left="851"/>
        <w:rPr>
          <w:sz w:val="24"/>
          <w:szCs w:val="24"/>
        </w:rPr>
      </w:pPr>
    </w:p>
    <w:p w14:paraId="06CB2DE0" w14:textId="77777777" w:rsidR="00C7249D" w:rsidRPr="008E19A3" w:rsidRDefault="00C7249D" w:rsidP="00C7249D">
      <w:pPr>
        <w:tabs>
          <w:tab w:val="left" w:pos="851"/>
        </w:tabs>
        <w:ind w:left="851"/>
        <w:rPr>
          <w:i/>
          <w:sz w:val="24"/>
          <w:szCs w:val="24"/>
        </w:rPr>
      </w:pPr>
      <w:r w:rsidRPr="008E19A3">
        <w:rPr>
          <w:i/>
          <w:sz w:val="24"/>
          <w:szCs w:val="24"/>
        </w:rPr>
        <w:t>Nedsat leverfunktion</w:t>
      </w:r>
    </w:p>
    <w:p w14:paraId="3BABAC50" w14:textId="77777777" w:rsidR="00C7249D" w:rsidRPr="008E19A3" w:rsidRDefault="00C7249D" w:rsidP="00C7249D">
      <w:pPr>
        <w:tabs>
          <w:tab w:val="left" w:pos="851"/>
        </w:tabs>
        <w:ind w:left="851"/>
        <w:rPr>
          <w:sz w:val="24"/>
          <w:szCs w:val="24"/>
        </w:rPr>
      </w:pPr>
      <w:r w:rsidRPr="008E19A3">
        <w:rPr>
          <w:sz w:val="24"/>
          <w:szCs w:val="24"/>
        </w:rPr>
        <w:t>Hos cirrosepatienter med let nedsat leverfunktion (klassificeret som Child-Pugh-A) sås der kun mindre ændringer i rivaroxabans farmakokinetik (gennemsnitlig stigning i AUC for rivaroxaban på 1,2 gange), hvilket næsten er sammenligneligt med den tilsvarende raske kontrolgruppe. Hos cirrosepatienter med moderat nedsat leverfunktion (klassificeret som Child-Pugh-B)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43FE4CE8" w14:textId="77777777" w:rsidR="00C7249D" w:rsidRPr="008E19A3" w:rsidRDefault="00C7249D" w:rsidP="00C7249D">
      <w:pPr>
        <w:tabs>
          <w:tab w:val="left" w:pos="851"/>
        </w:tabs>
        <w:ind w:left="851"/>
        <w:rPr>
          <w:sz w:val="24"/>
          <w:szCs w:val="24"/>
        </w:rPr>
      </w:pPr>
      <w:r w:rsidRPr="008E19A3">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0DD943F0" w14:textId="77777777" w:rsidR="00C7249D" w:rsidRPr="008E19A3" w:rsidRDefault="00C7249D" w:rsidP="00C7249D">
      <w:pPr>
        <w:tabs>
          <w:tab w:val="left" w:pos="851"/>
        </w:tabs>
        <w:ind w:left="851"/>
        <w:rPr>
          <w:sz w:val="24"/>
          <w:szCs w:val="24"/>
        </w:rPr>
      </w:pPr>
      <w:r w:rsidRPr="008E19A3">
        <w:rPr>
          <w:sz w:val="24"/>
          <w:szCs w:val="24"/>
        </w:rPr>
        <w:t>Rivaroxaban er kontraindiceret hos patienter med leversygdom, der er forbundet med koagulationsdefekt og en klinisk relevant blødningsrisiko, herunder cirrosepatienter med Child-Pugh B og C (se pkt. 4.3).</w:t>
      </w:r>
    </w:p>
    <w:p w14:paraId="631017FD" w14:textId="77777777" w:rsidR="00C7249D" w:rsidRPr="008E19A3" w:rsidRDefault="00C7249D" w:rsidP="00C7249D">
      <w:pPr>
        <w:tabs>
          <w:tab w:val="left" w:pos="851"/>
        </w:tabs>
        <w:ind w:left="851"/>
        <w:rPr>
          <w:sz w:val="24"/>
          <w:szCs w:val="24"/>
        </w:rPr>
      </w:pPr>
    </w:p>
    <w:p w14:paraId="7B7541E3" w14:textId="77777777" w:rsidR="00C7249D" w:rsidRPr="008E19A3" w:rsidRDefault="00C7249D" w:rsidP="00C7249D">
      <w:pPr>
        <w:tabs>
          <w:tab w:val="left" w:pos="851"/>
        </w:tabs>
        <w:ind w:left="851"/>
        <w:rPr>
          <w:i/>
          <w:sz w:val="24"/>
          <w:szCs w:val="24"/>
        </w:rPr>
      </w:pPr>
      <w:r w:rsidRPr="008E19A3">
        <w:rPr>
          <w:i/>
          <w:sz w:val="24"/>
          <w:szCs w:val="24"/>
        </w:rPr>
        <w:t>Nedsat nyrefunktion</w:t>
      </w:r>
    </w:p>
    <w:p w14:paraId="5C6DA0C4" w14:textId="77777777" w:rsidR="00C7249D" w:rsidRPr="008E19A3" w:rsidRDefault="00C7249D" w:rsidP="00C7249D">
      <w:pPr>
        <w:tabs>
          <w:tab w:val="left" w:pos="851"/>
        </w:tabs>
        <w:ind w:left="851"/>
        <w:rPr>
          <w:sz w:val="24"/>
          <w:szCs w:val="24"/>
        </w:rPr>
      </w:pPr>
      <w:r w:rsidRPr="008E19A3">
        <w:rPr>
          <w:sz w:val="24"/>
          <w:szCs w:val="24"/>
        </w:rPr>
        <w:t>Der sås en stigning i eksponeringen for rivaroxaban, som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&lt;15 mL/min.</w:t>
      </w:r>
    </w:p>
    <w:p w14:paraId="74BD706B" w14:textId="7DF26D05" w:rsidR="00C7249D" w:rsidRPr="008E19A3" w:rsidRDefault="00C7249D" w:rsidP="00C7249D">
      <w:pPr>
        <w:tabs>
          <w:tab w:val="left" w:pos="851"/>
        </w:tabs>
        <w:ind w:left="851"/>
        <w:rPr>
          <w:sz w:val="24"/>
          <w:szCs w:val="24"/>
        </w:rPr>
      </w:pPr>
      <w:r w:rsidRPr="008E19A3">
        <w:rPr>
          <w:sz w:val="24"/>
          <w:szCs w:val="24"/>
        </w:rPr>
        <w:t>På grund af rivaroxabans høje plasmaproteinbinding forventes det ikke, at lægemidlet er dialysabelt. Rivaroxaban bør ikke bruges til patienter med en kreatininclearance på &lt;15</w:t>
      </w:r>
      <w:r w:rsidR="005761FF">
        <w:rPr>
          <w:sz w:val="24"/>
          <w:szCs w:val="24"/>
        </w:rPr>
        <w:t> </w:t>
      </w:r>
      <w:r w:rsidRPr="008E19A3">
        <w:rPr>
          <w:sz w:val="24"/>
          <w:szCs w:val="24"/>
        </w:rPr>
        <w:t>mL/min. Rivaroxaban skal bruges med forsigtighed til patienter med en kreatininclearance på 15 - 29 mL/min (se pkt. 4.4).</w:t>
      </w:r>
    </w:p>
    <w:p w14:paraId="228EA452" w14:textId="77777777" w:rsidR="00C7249D" w:rsidRPr="008E19A3" w:rsidRDefault="00C7249D" w:rsidP="00C7249D">
      <w:pPr>
        <w:tabs>
          <w:tab w:val="left" w:pos="851"/>
        </w:tabs>
        <w:ind w:left="851"/>
        <w:rPr>
          <w:sz w:val="24"/>
          <w:szCs w:val="24"/>
        </w:rPr>
      </w:pPr>
    </w:p>
    <w:p w14:paraId="5542A38C" w14:textId="77777777" w:rsidR="00C7249D" w:rsidRPr="00EA3E0E" w:rsidRDefault="00C7249D" w:rsidP="00EA3E0E">
      <w:pPr>
        <w:ind w:left="851"/>
        <w:rPr>
          <w:sz w:val="24"/>
          <w:szCs w:val="24"/>
          <w:u w:val="single"/>
        </w:rPr>
      </w:pPr>
      <w:r w:rsidRPr="00EA3E0E">
        <w:rPr>
          <w:sz w:val="24"/>
          <w:szCs w:val="24"/>
          <w:u w:val="single"/>
        </w:rPr>
        <w:t>Farmakokinetiske data for patienter</w:t>
      </w:r>
    </w:p>
    <w:p w14:paraId="78890FD1" w14:textId="1A9E4F96" w:rsidR="00C7249D" w:rsidRPr="00EA3E0E" w:rsidRDefault="00C7249D" w:rsidP="00EA3E0E">
      <w:pPr>
        <w:ind w:left="851"/>
        <w:rPr>
          <w:sz w:val="24"/>
          <w:szCs w:val="24"/>
        </w:rPr>
      </w:pPr>
      <w:r w:rsidRPr="00EA3E0E">
        <w:rPr>
          <w:sz w:val="24"/>
          <w:szCs w:val="24"/>
        </w:rPr>
        <w:t>Hos patienter, der fik rivaroxaban 10 mg en gang daglig til forebyggelse af venøs tromboemboli (VTE), var den geometriske middelkoncentration (90</w:t>
      </w:r>
      <w:r w:rsidR="008E19A3" w:rsidRPr="00EA3E0E">
        <w:rPr>
          <w:sz w:val="24"/>
          <w:szCs w:val="24"/>
        </w:rPr>
        <w:t xml:space="preserve"> %</w:t>
      </w:r>
      <w:r w:rsidRPr="00EA3E0E">
        <w:rPr>
          <w:sz w:val="24"/>
          <w:szCs w:val="24"/>
        </w:rPr>
        <w:t xml:space="preserve"> </w:t>
      </w:r>
      <w:r w:rsidRPr="00EA3E0E">
        <w:rPr>
          <w:i/>
          <w:sz w:val="24"/>
          <w:szCs w:val="24"/>
        </w:rPr>
        <w:t>prediction</w:t>
      </w:r>
      <w:r w:rsidRPr="00EA3E0E">
        <w:rPr>
          <w:sz w:val="24"/>
          <w:szCs w:val="24"/>
        </w:rPr>
        <w:t>-interval) 2-4 timer og ca. 24 timer efter administration henholdsvis 101 (7 - 273) og 14 (4 - 51) mikrog/L, hvilket stort set svarer til maksimums- og minimumskoncentrationerne i doseringsintervallet.</w:t>
      </w:r>
    </w:p>
    <w:p w14:paraId="3D30BC96" w14:textId="77777777" w:rsidR="00C7249D" w:rsidRPr="008E19A3" w:rsidRDefault="00C7249D" w:rsidP="00C7249D">
      <w:pPr>
        <w:tabs>
          <w:tab w:val="left" w:pos="851"/>
        </w:tabs>
        <w:ind w:left="851"/>
        <w:rPr>
          <w:sz w:val="24"/>
          <w:szCs w:val="24"/>
        </w:rPr>
      </w:pPr>
    </w:p>
    <w:p w14:paraId="11BFA37B" w14:textId="77777777" w:rsidR="00C7249D" w:rsidRPr="008E19A3" w:rsidRDefault="00C7249D" w:rsidP="00C7249D">
      <w:pPr>
        <w:tabs>
          <w:tab w:val="left" w:pos="851"/>
        </w:tabs>
        <w:ind w:left="851"/>
        <w:rPr>
          <w:sz w:val="24"/>
          <w:szCs w:val="24"/>
        </w:rPr>
      </w:pPr>
      <w:r w:rsidRPr="008E19A3">
        <w:rPr>
          <w:sz w:val="24"/>
          <w:szCs w:val="24"/>
          <w:u w:val="single"/>
        </w:rPr>
        <w:lastRenderedPageBreak/>
        <w:t>Farmakokinetiske/farmakodynamiske forhold</w:t>
      </w:r>
    </w:p>
    <w:p w14:paraId="7FEF691E" w14:textId="77777777" w:rsidR="00C7249D" w:rsidRPr="008E19A3" w:rsidRDefault="00C7249D" w:rsidP="00C7249D">
      <w:pPr>
        <w:tabs>
          <w:tab w:val="left" w:pos="851"/>
        </w:tabs>
        <w:ind w:left="851"/>
        <w:rPr>
          <w:sz w:val="24"/>
          <w:szCs w:val="24"/>
        </w:rPr>
      </w:pPr>
      <w:r w:rsidRPr="008E19A3">
        <w:rPr>
          <w:sz w:val="24"/>
          <w:szCs w:val="24"/>
        </w:rPr>
        <w:t>Det farmakokinetiske/farmakodynamiske forhold (PK/PD) mellem rivaroxabans plasmakoncentrationer og forskellige PD-endepunkter (faktor Xa-hæmning, PT, aPTT, Heptest) er blevet evalueret efter indgivelse i et bredt dosisinterval (5 - 30 mg to gange daglig). Forholdet mellem koncentrationen af rivaroxaban og faktor Xa-aktiviteten blev bedst beskrevet af en E</w:t>
      </w:r>
      <w:r w:rsidRPr="008E19A3">
        <w:rPr>
          <w:sz w:val="24"/>
          <w:szCs w:val="24"/>
          <w:vertAlign w:val="subscript"/>
        </w:rPr>
        <w:t>max</w:t>
      </w:r>
      <w:r w:rsidRPr="008E19A3">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3 - 4s</w:t>
      </w:r>
      <w:proofErr w:type="gramStart"/>
      <w:r w:rsidRPr="008E19A3">
        <w:rPr>
          <w:sz w:val="24"/>
          <w:szCs w:val="24"/>
        </w:rPr>
        <w:t>/(</w:t>
      </w:r>
      <w:proofErr w:type="gramEnd"/>
      <w:r w:rsidRPr="008E19A3">
        <w:rPr>
          <w:sz w:val="24"/>
          <w:szCs w:val="24"/>
        </w:rPr>
        <w:t xml:space="preserve">100 mikrog/L). Resultaterne af PK/PD-analyserne i fase II og III var konsistente med de data, der blev fundet hos raske forsøgspersoner. Hos patienter var </w:t>
      </w:r>
      <w:r w:rsidRPr="008E19A3">
        <w:rPr>
          <w:i/>
          <w:sz w:val="24"/>
          <w:szCs w:val="24"/>
        </w:rPr>
        <w:t xml:space="preserve">baseline </w:t>
      </w:r>
      <w:r w:rsidRPr="008E19A3">
        <w:rPr>
          <w:sz w:val="24"/>
          <w:szCs w:val="24"/>
        </w:rPr>
        <w:t>faktor Xa og -PT påvirket af det kirurgiske indgreb, hvilket resulterede i en ændring i koncentration- PT-hældningen mellem dagen efter det kirurgiske indgreb og steady-state.</w:t>
      </w:r>
    </w:p>
    <w:p w14:paraId="1EA09006" w14:textId="77777777" w:rsidR="00C7249D" w:rsidRPr="008E19A3" w:rsidRDefault="00C7249D" w:rsidP="00C7249D">
      <w:pPr>
        <w:tabs>
          <w:tab w:val="left" w:pos="851"/>
        </w:tabs>
        <w:ind w:left="851"/>
        <w:rPr>
          <w:sz w:val="24"/>
          <w:szCs w:val="24"/>
        </w:rPr>
      </w:pPr>
    </w:p>
    <w:p w14:paraId="10C1EDDB" w14:textId="77777777" w:rsidR="00C7249D" w:rsidRPr="008E19A3" w:rsidRDefault="00C7249D" w:rsidP="00C7249D">
      <w:pPr>
        <w:tabs>
          <w:tab w:val="left" w:pos="851"/>
        </w:tabs>
        <w:ind w:left="851"/>
        <w:rPr>
          <w:sz w:val="24"/>
          <w:szCs w:val="24"/>
        </w:rPr>
      </w:pPr>
      <w:r w:rsidRPr="008E19A3">
        <w:rPr>
          <w:sz w:val="24"/>
          <w:szCs w:val="24"/>
          <w:u w:val="single"/>
        </w:rPr>
        <w:t>Pædiatrisk population</w:t>
      </w:r>
    </w:p>
    <w:p w14:paraId="7ACE9C75" w14:textId="77777777" w:rsidR="00C7249D" w:rsidRPr="008E19A3" w:rsidRDefault="00C7249D" w:rsidP="00C7249D">
      <w:pPr>
        <w:ind w:left="851"/>
        <w:rPr>
          <w:sz w:val="24"/>
          <w:szCs w:val="24"/>
        </w:rPr>
      </w:pPr>
      <w:r w:rsidRPr="008E19A3">
        <w:rPr>
          <w:sz w:val="24"/>
          <w:szCs w:val="24"/>
        </w:rPr>
        <w:t>Sikkerhed og virkning for indikationen primær forebyggelse af VTE hos børn og unge op til 18 år er ikke klarlagt.</w:t>
      </w:r>
    </w:p>
    <w:p w14:paraId="537483CC" w14:textId="77777777" w:rsidR="009260DE" w:rsidRPr="008E19A3" w:rsidRDefault="009260DE" w:rsidP="009260DE">
      <w:pPr>
        <w:tabs>
          <w:tab w:val="left" w:pos="851"/>
        </w:tabs>
        <w:ind w:left="851"/>
        <w:rPr>
          <w:sz w:val="24"/>
          <w:szCs w:val="24"/>
        </w:rPr>
      </w:pPr>
    </w:p>
    <w:p w14:paraId="37F112FC" w14:textId="77777777" w:rsidR="009260DE" w:rsidRPr="008E19A3" w:rsidRDefault="009260DE" w:rsidP="009260DE">
      <w:pPr>
        <w:tabs>
          <w:tab w:val="left" w:pos="851"/>
        </w:tabs>
        <w:ind w:left="851" w:hanging="851"/>
        <w:rPr>
          <w:b/>
          <w:sz w:val="24"/>
          <w:szCs w:val="24"/>
        </w:rPr>
      </w:pPr>
      <w:r w:rsidRPr="008E19A3">
        <w:rPr>
          <w:b/>
          <w:sz w:val="24"/>
          <w:szCs w:val="24"/>
        </w:rPr>
        <w:t>5.3</w:t>
      </w:r>
      <w:r w:rsidRPr="008E19A3">
        <w:rPr>
          <w:b/>
          <w:sz w:val="24"/>
          <w:szCs w:val="24"/>
        </w:rPr>
        <w:tab/>
      </w:r>
      <w:r w:rsidR="00BD7931" w:rsidRPr="008E19A3">
        <w:rPr>
          <w:b/>
          <w:sz w:val="24"/>
          <w:szCs w:val="24"/>
        </w:rPr>
        <w:t>Non-</w:t>
      </w:r>
      <w:r w:rsidRPr="008E19A3">
        <w:rPr>
          <w:b/>
          <w:sz w:val="24"/>
          <w:szCs w:val="24"/>
        </w:rPr>
        <w:t>kliniske sikkerhedsdata</w:t>
      </w:r>
    </w:p>
    <w:p w14:paraId="00E34034" w14:textId="77777777" w:rsidR="00C7249D" w:rsidRPr="008E19A3" w:rsidRDefault="00C7249D" w:rsidP="00C7249D">
      <w:pPr>
        <w:tabs>
          <w:tab w:val="left" w:pos="851"/>
        </w:tabs>
        <w:ind w:left="851"/>
        <w:rPr>
          <w:sz w:val="24"/>
          <w:szCs w:val="24"/>
        </w:rPr>
      </w:pPr>
      <w:r w:rsidRPr="008E19A3">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2922BD78" w14:textId="584D5007" w:rsidR="00C7249D" w:rsidRPr="008E19A3" w:rsidRDefault="00C7249D" w:rsidP="00C7249D">
      <w:pPr>
        <w:tabs>
          <w:tab w:val="left" w:pos="851"/>
        </w:tabs>
        <w:ind w:left="851"/>
        <w:rPr>
          <w:sz w:val="24"/>
          <w:szCs w:val="24"/>
        </w:rPr>
      </w:pPr>
      <w:r w:rsidRPr="008E19A3">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eksponeringsniveauer.</w:t>
      </w:r>
    </w:p>
    <w:p w14:paraId="34CB6F60" w14:textId="77777777" w:rsidR="00C7249D" w:rsidRPr="008E19A3" w:rsidRDefault="00C7249D" w:rsidP="00C7249D">
      <w:pPr>
        <w:tabs>
          <w:tab w:val="left" w:pos="851"/>
        </w:tabs>
        <w:ind w:left="851"/>
        <w:rPr>
          <w:sz w:val="24"/>
          <w:szCs w:val="24"/>
        </w:rPr>
      </w:pPr>
      <w:r w:rsidRPr="008E19A3">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14:paraId="5266C945" w14:textId="77777777" w:rsidR="009260DE" w:rsidRPr="008E19A3" w:rsidRDefault="009260DE" w:rsidP="009260DE">
      <w:pPr>
        <w:tabs>
          <w:tab w:val="left" w:pos="851"/>
        </w:tabs>
        <w:ind w:left="851"/>
        <w:rPr>
          <w:sz w:val="24"/>
          <w:szCs w:val="24"/>
        </w:rPr>
      </w:pPr>
    </w:p>
    <w:p w14:paraId="4C442DBD" w14:textId="77777777" w:rsidR="009260DE" w:rsidRPr="008E19A3" w:rsidRDefault="009260DE" w:rsidP="009260DE">
      <w:pPr>
        <w:tabs>
          <w:tab w:val="left" w:pos="851"/>
        </w:tabs>
        <w:ind w:left="851"/>
        <w:rPr>
          <w:sz w:val="24"/>
          <w:szCs w:val="24"/>
        </w:rPr>
      </w:pPr>
    </w:p>
    <w:p w14:paraId="6E9B850C" w14:textId="77777777" w:rsidR="009260DE" w:rsidRPr="008E19A3" w:rsidRDefault="009260DE" w:rsidP="009260DE">
      <w:pPr>
        <w:tabs>
          <w:tab w:val="left" w:pos="851"/>
        </w:tabs>
        <w:ind w:left="851" w:hanging="851"/>
        <w:rPr>
          <w:b/>
          <w:sz w:val="24"/>
          <w:szCs w:val="24"/>
        </w:rPr>
      </w:pPr>
      <w:r w:rsidRPr="008E19A3">
        <w:rPr>
          <w:b/>
          <w:sz w:val="24"/>
          <w:szCs w:val="24"/>
        </w:rPr>
        <w:t>6.</w:t>
      </w:r>
      <w:r w:rsidRPr="008E19A3">
        <w:rPr>
          <w:b/>
          <w:sz w:val="24"/>
          <w:szCs w:val="24"/>
        </w:rPr>
        <w:tab/>
        <w:t>FARMACEUTISKE OPLYSNINGER</w:t>
      </w:r>
    </w:p>
    <w:p w14:paraId="5F4C11F2" w14:textId="77777777" w:rsidR="009260DE" w:rsidRPr="008E19A3" w:rsidRDefault="009260DE" w:rsidP="009260DE">
      <w:pPr>
        <w:tabs>
          <w:tab w:val="left" w:pos="851"/>
        </w:tabs>
        <w:ind w:left="851"/>
        <w:rPr>
          <w:sz w:val="24"/>
          <w:szCs w:val="24"/>
        </w:rPr>
      </w:pPr>
    </w:p>
    <w:p w14:paraId="04596309" w14:textId="77777777" w:rsidR="009260DE" w:rsidRPr="008E19A3" w:rsidRDefault="009260DE" w:rsidP="009260DE">
      <w:pPr>
        <w:tabs>
          <w:tab w:val="left" w:pos="851"/>
        </w:tabs>
        <w:ind w:left="851" w:hanging="851"/>
        <w:rPr>
          <w:b/>
          <w:sz w:val="24"/>
          <w:szCs w:val="24"/>
        </w:rPr>
      </w:pPr>
      <w:r w:rsidRPr="008E19A3">
        <w:rPr>
          <w:b/>
          <w:sz w:val="24"/>
          <w:szCs w:val="24"/>
        </w:rPr>
        <w:t>6.1</w:t>
      </w:r>
      <w:r w:rsidRPr="008E19A3">
        <w:rPr>
          <w:b/>
          <w:sz w:val="24"/>
          <w:szCs w:val="24"/>
        </w:rPr>
        <w:tab/>
        <w:t>Hjælpestoffer</w:t>
      </w:r>
    </w:p>
    <w:p w14:paraId="5FA8F740" w14:textId="77777777" w:rsidR="00C7249D" w:rsidRPr="00EA3E0E" w:rsidRDefault="00C7249D" w:rsidP="00C7249D">
      <w:pPr>
        <w:tabs>
          <w:tab w:val="left" w:pos="851"/>
        </w:tabs>
        <w:ind w:left="851"/>
        <w:rPr>
          <w:sz w:val="24"/>
          <w:szCs w:val="24"/>
        </w:rPr>
      </w:pPr>
    </w:p>
    <w:p w14:paraId="70223D05" w14:textId="77777777" w:rsidR="00C7249D" w:rsidRPr="008E19A3" w:rsidRDefault="00C7249D" w:rsidP="00C7249D">
      <w:pPr>
        <w:tabs>
          <w:tab w:val="left" w:pos="851"/>
        </w:tabs>
        <w:ind w:left="851"/>
        <w:rPr>
          <w:sz w:val="24"/>
          <w:szCs w:val="24"/>
          <w:u w:val="single"/>
        </w:rPr>
      </w:pPr>
      <w:r w:rsidRPr="008E19A3">
        <w:rPr>
          <w:sz w:val="24"/>
          <w:szCs w:val="24"/>
          <w:u w:val="single"/>
        </w:rPr>
        <w:t>Kapslens indhold</w:t>
      </w:r>
    </w:p>
    <w:p w14:paraId="6C8BE2CC" w14:textId="77777777" w:rsidR="00C7249D" w:rsidRPr="008E19A3" w:rsidRDefault="00C7249D" w:rsidP="00C7249D">
      <w:pPr>
        <w:tabs>
          <w:tab w:val="left" w:pos="851"/>
        </w:tabs>
        <w:ind w:left="851"/>
        <w:rPr>
          <w:sz w:val="24"/>
          <w:szCs w:val="24"/>
        </w:rPr>
      </w:pPr>
      <w:r w:rsidRPr="008E19A3">
        <w:rPr>
          <w:sz w:val="24"/>
          <w:szCs w:val="24"/>
        </w:rPr>
        <w:t xml:space="preserve">Lactosemonohydrat </w:t>
      </w:r>
    </w:p>
    <w:p w14:paraId="4D88A139" w14:textId="77777777" w:rsidR="00C7249D" w:rsidRPr="00DB7D3C" w:rsidRDefault="00C7249D" w:rsidP="00C7249D">
      <w:pPr>
        <w:tabs>
          <w:tab w:val="left" w:pos="851"/>
        </w:tabs>
        <w:ind w:left="851"/>
        <w:rPr>
          <w:sz w:val="24"/>
          <w:szCs w:val="24"/>
          <w:lang w:val="en-US"/>
        </w:rPr>
      </w:pPr>
      <w:r w:rsidRPr="00DB7D3C">
        <w:rPr>
          <w:sz w:val="24"/>
          <w:szCs w:val="24"/>
          <w:lang w:val="en-US"/>
        </w:rPr>
        <w:t xml:space="preserve">Cellulose, mikrokrystallinsk </w:t>
      </w:r>
    </w:p>
    <w:p w14:paraId="0D9DDDF4" w14:textId="77777777" w:rsidR="00C7249D" w:rsidRPr="00DB7D3C" w:rsidRDefault="00C7249D" w:rsidP="00C7249D">
      <w:pPr>
        <w:tabs>
          <w:tab w:val="left" w:pos="851"/>
        </w:tabs>
        <w:ind w:left="851"/>
        <w:rPr>
          <w:sz w:val="24"/>
          <w:szCs w:val="24"/>
          <w:lang w:val="en-US"/>
        </w:rPr>
      </w:pPr>
      <w:r w:rsidRPr="00DB7D3C">
        <w:rPr>
          <w:sz w:val="24"/>
          <w:szCs w:val="24"/>
          <w:lang w:val="en-US"/>
        </w:rPr>
        <w:t>Croscarmellosenatrium</w:t>
      </w:r>
    </w:p>
    <w:p w14:paraId="7C588FBC" w14:textId="77777777" w:rsidR="00C7249D" w:rsidRPr="00DB7D3C" w:rsidRDefault="00C7249D" w:rsidP="00C7249D">
      <w:pPr>
        <w:tabs>
          <w:tab w:val="left" w:pos="851"/>
        </w:tabs>
        <w:ind w:left="851"/>
        <w:rPr>
          <w:sz w:val="24"/>
          <w:szCs w:val="24"/>
          <w:lang w:val="en-US"/>
        </w:rPr>
      </w:pPr>
      <w:r w:rsidRPr="00DB7D3C">
        <w:rPr>
          <w:sz w:val="24"/>
          <w:szCs w:val="24"/>
          <w:lang w:val="en-US"/>
        </w:rPr>
        <w:t>Hypromellose</w:t>
      </w:r>
    </w:p>
    <w:p w14:paraId="6C8F250B" w14:textId="77777777" w:rsidR="00C7249D" w:rsidRPr="00DB7D3C" w:rsidRDefault="00C7249D" w:rsidP="00C7249D">
      <w:pPr>
        <w:tabs>
          <w:tab w:val="left" w:pos="851"/>
        </w:tabs>
        <w:ind w:left="851"/>
        <w:rPr>
          <w:sz w:val="24"/>
          <w:szCs w:val="24"/>
          <w:lang w:val="en-US"/>
        </w:rPr>
      </w:pPr>
      <w:r w:rsidRPr="00DB7D3C">
        <w:rPr>
          <w:sz w:val="24"/>
          <w:szCs w:val="24"/>
          <w:lang w:val="en-US"/>
        </w:rPr>
        <w:t xml:space="preserve">Natriumlaurilsulfat </w:t>
      </w:r>
    </w:p>
    <w:p w14:paraId="4A8CF9AD" w14:textId="77777777" w:rsidR="00C7249D" w:rsidRPr="00DB7D3C" w:rsidRDefault="00C7249D" w:rsidP="00C7249D">
      <w:pPr>
        <w:tabs>
          <w:tab w:val="left" w:pos="851"/>
        </w:tabs>
        <w:ind w:left="851"/>
        <w:rPr>
          <w:sz w:val="24"/>
          <w:szCs w:val="24"/>
          <w:lang w:val="en-US"/>
        </w:rPr>
      </w:pPr>
      <w:r w:rsidRPr="00DB7D3C">
        <w:rPr>
          <w:sz w:val="24"/>
          <w:szCs w:val="24"/>
          <w:lang w:val="en-US"/>
        </w:rPr>
        <w:t>Magnesiumstearat</w:t>
      </w:r>
    </w:p>
    <w:p w14:paraId="1D53443B" w14:textId="77777777" w:rsidR="00C7249D" w:rsidRPr="00DB7D3C" w:rsidRDefault="00C7249D" w:rsidP="00C7249D">
      <w:pPr>
        <w:tabs>
          <w:tab w:val="left" w:pos="851"/>
        </w:tabs>
        <w:ind w:left="851"/>
        <w:rPr>
          <w:sz w:val="24"/>
          <w:szCs w:val="24"/>
          <w:lang w:val="en-US"/>
        </w:rPr>
      </w:pPr>
    </w:p>
    <w:p w14:paraId="1E6D51DE" w14:textId="77777777" w:rsidR="00C7249D" w:rsidRPr="008E19A3" w:rsidRDefault="00C7249D" w:rsidP="00C7249D">
      <w:pPr>
        <w:tabs>
          <w:tab w:val="left" w:pos="851"/>
        </w:tabs>
        <w:ind w:left="851"/>
        <w:rPr>
          <w:sz w:val="24"/>
          <w:szCs w:val="24"/>
          <w:u w:val="single"/>
        </w:rPr>
      </w:pPr>
      <w:r w:rsidRPr="008E19A3">
        <w:rPr>
          <w:sz w:val="24"/>
          <w:szCs w:val="24"/>
          <w:u w:val="single"/>
        </w:rPr>
        <w:t>Kapselskal</w:t>
      </w:r>
    </w:p>
    <w:p w14:paraId="62EA8198" w14:textId="77777777" w:rsidR="00C7249D" w:rsidRPr="008E19A3" w:rsidRDefault="00C7249D" w:rsidP="00C7249D">
      <w:pPr>
        <w:tabs>
          <w:tab w:val="left" w:pos="851"/>
        </w:tabs>
        <w:ind w:left="851"/>
        <w:rPr>
          <w:sz w:val="24"/>
          <w:szCs w:val="24"/>
        </w:rPr>
      </w:pPr>
      <w:r w:rsidRPr="008E19A3">
        <w:rPr>
          <w:sz w:val="24"/>
          <w:szCs w:val="24"/>
        </w:rPr>
        <w:t>Gelatine</w:t>
      </w:r>
    </w:p>
    <w:p w14:paraId="597A9D27" w14:textId="77777777" w:rsidR="00C7249D" w:rsidRPr="008E19A3" w:rsidRDefault="00C7249D" w:rsidP="00C7249D">
      <w:pPr>
        <w:tabs>
          <w:tab w:val="left" w:pos="851"/>
        </w:tabs>
        <w:ind w:left="851"/>
        <w:rPr>
          <w:sz w:val="24"/>
          <w:szCs w:val="24"/>
        </w:rPr>
      </w:pPr>
      <w:r w:rsidRPr="008E19A3">
        <w:rPr>
          <w:sz w:val="24"/>
          <w:szCs w:val="24"/>
        </w:rPr>
        <w:t>Titandioxid (E 171)</w:t>
      </w:r>
    </w:p>
    <w:p w14:paraId="4FEBC173" w14:textId="77777777" w:rsidR="00C7249D" w:rsidRPr="008E19A3" w:rsidRDefault="00C7249D" w:rsidP="00C7249D">
      <w:pPr>
        <w:tabs>
          <w:tab w:val="left" w:pos="851"/>
        </w:tabs>
        <w:ind w:left="851"/>
        <w:rPr>
          <w:sz w:val="24"/>
          <w:szCs w:val="24"/>
        </w:rPr>
      </w:pPr>
      <w:proofErr w:type="gramStart"/>
      <w:r w:rsidRPr="008E19A3">
        <w:rPr>
          <w:sz w:val="24"/>
          <w:szCs w:val="24"/>
        </w:rPr>
        <w:t>Gult jernoxid</w:t>
      </w:r>
      <w:proofErr w:type="gramEnd"/>
      <w:r w:rsidRPr="008E19A3">
        <w:rPr>
          <w:sz w:val="24"/>
          <w:szCs w:val="24"/>
        </w:rPr>
        <w:t xml:space="preserve"> (E 172)</w:t>
      </w:r>
    </w:p>
    <w:p w14:paraId="22694247" w14:textId="77777777" w:rsidR="00C7249D" w:rsidRPr="008E19A3" w:rsidRDefault="00C7249D" w:rsidP="00C7249D">
      <w:pPr>
        <w:tabs>
          <w:tab w:val="left" w:pos="851"/>
        </w:tabs>
        <w:ind w:left="851"/>
        <w:rPr>
          <w:sz w:val="24"/>
          <w:szCs w:val="24"/>
        </w:rPr>
      </w:pPr>
      <w:r w:rsidRPr="008E19A3">
        <w:rPr>
          <w:sz w:val="24"/>
          <w:szCs w:val="24"/>
        </w:rPr>
        <w:lastRenderedPageBreak/>
        <w:t>Rød jernoxid (E 172)</w:t>
      </w:r>
    </w:p>
    <w:p w14:paraId="321F81F9" w14:textId="379A5038" w:rsidR="00C7249D" w:rsidRPr="008E19A3" w:rsidRDefault="00C7249D" w:rsidP="00284FEB">
      <w:pPr>
        <w:tabs>
          <w:tab w:val="left" w:pos="851"/>
        </w:tabs>
        <w:ind w:left="851"/>
        <w:rPr>
          <w:sz w:val="24"/>
          <w:szCs w:val="24"/>
        </w:rPr>
      </w:pPr>
      <w:r w:rsidRPr="008E19A3">
        <w:rPr>
          <w:sz w:val="24"/>
          <w:szCs w:val="24"/>
        </w:rPr>
        <w:t>Sort jernoxid (E 172)</w:t>
      </w:r>
    </w:p>
    <w:p w14:paraId="483DBFFC" w14:textId="77777777" w:rsidR="009260DE" w:rsidRPr="008E19A3" w:rsidRDefault="009260DE" w:rsidP="009260DE">
      <w:pPr>
        <w:tabs>
          <w:tab w:val="left" w:pos="851"/>
        </w:tabs>
        <w:ind w:left="851"/>
        <w:rPr>
          <w:sz w:val="24"/>
          <w:szCs w:val="24"/>
        </w:rPr>
      </w:pPr>
    </w:p>
    <w:p w14:paraId="03FAFB25" w14:textId="77777777" w:rsidR="009260DE" w:rsidRPr="008E19A3" w:rsidRDefault="009260DE" w:rsidP="009260DE">
      <w:pPr>
        <w:tabs>
          <w:tab w:val="left" w:pos="851"/>
        </w:tabs>
        <w:ind w:left="851" w:hanging="851"/>
        <w:rPr>
          <w:b/>
          <w:sz w:val="24"/>
          <w:szCs w:val="24"/>
        </w:rPr>
      </w:pPr>
      <w:r w:rsidRPr="008E19A3">
        <w:rPr>
          <w:b/>
          <w:sz w:val="24"/>
          <w:szCs w:val="24"/>
        </w:rPr>
        <w:t>6.2</w:t>
      </w:r>
      <w:r w:rsidRPr="008E19A3">
        <w:rPr>
          <w:b/>
          <w:sz w:val="24"/>
          <w:szCs w:val="24"/>
        </w:rPr>
        <w:tab/>
        <w:t>Uforligeligheder</w:t>
      </w:r>
    </w:p>
    <w:p w14:paraId="5FDB4683" w14:textId="77777777" w:rsidR="00C7249D" w:rsidRPr="008E19A3" w:rsidRDefault="00C7249D" w:rsidP="00C7249D">
      <w:pPr>
        <w:tabs>
          <w:tab w:val="left" w:pos="851"/>
        </w:tabs>
        <w:ind w:left="851"/>
        <w:rPr>
          <w:sz w:val="24"/>
          <w:szCs w:val="24"/>
        </w:rPr>
      </w:pPr>
      <w:r w:rsidRPr="008E19A3">
        <w:rPr>
          <w:sz w:val="24"/>
          <w:szCs w:val="24"/>
        </w:rPr>
        <w:t>Ikke relevant.</w:t>
      </w:r>
    </w:p>
    <w:p w14:paraId="56CCFD42" w14:textId="77777777" w:rsidR="009260DE" w:rsidRPr="008E19A3" w:rsidRDefault="009260DE" w:rsidP="009260DE">
      <w:pPr>
        <w:tabs>
          <w:tab w:val="left" w:pos="851"/>
        </w:tabs>
        <w:ind w:left="851"/>
        <w:rPr>
          <w:sz w:val="24"/>
          <w:szCs w:val="24"/>
        </w:rPr>
      </w:pPr>
    </w:p>
    <w:p w14:paraId="111CA758" w14:textId="77777777" w:rsidR="009260DE" w:rsidRPr="008E19A3" w:rsidRDefault="009260DE" w:rsidP="009260DE">
      <w:pPr>
        <w:tabs>
          <w:tab w:val="left" w:pos="851"/>
        </w:tabs>
        <w:ind w:left="851" w:hanging="851"/>
        <w:rPr>
          <w:b/>
          <w:sz w:val="24"/>
          <w:szCs w:val="24"/>
        </w:rPr>
      </w:pPr>
      <w:r w:rsidRPr="008E19A3">
        <w:rPr>
          <w:b/>
          <w:sz w:val="24"/>
          <w:szCs w:val="24"/>
        </w:rPr>
        <w:t>6.3</w:t>
      </w:r>
      <w:r w:rsidRPr="008E19A3">
        <w:rPr>
          <w:b/>
          <w:sz w:val="24"/>
          <w:szCs w:val="24"/>
        </w:rPr>
        <w:tab/>
        <w:t>Opbevaringstid</w:t>
      </w:r>
    </w:p>
    <w:p w14:paraId="1AE3BF7E" w14:textId="77777777" w:rsidR="00C7249D" w:rsidRPr="008E19A3" w:rsidRDefault="00C7249D" w:rsidP="00C7249D">
      <w:pPr>
        <w:tabs>
          <w:tab w:val="left" w:pos="851"/>
        </w:tabs>
        <w:ind w:left="851" w:hanging="851"/>
        <w:rPr>
          <w:sz w:val="24"/>
          <w:szCs w:val="24"/>
        </w:rPr>
      </w:pPr>
      <w:r w:rsidRPr="008E19A3">
        <w:rPr>
          <w:sz w:val="24"/>
          <w:szCs w:val="24"/>
        </w:rPr>
        <w:tab/>
        <w:t>2 år</w:t>
      </w:r>
    </w:p>
    <w:p w14:paraId="7B57B934" w14:textId="77777777" w:rsidR="009260DE" w:rsidRPr="008E19A3" w:rsidRDefault="009260DE" w:rsidP="009260DE">
      <w:pPr>
        <w:tabs>
          <w:tab w:val="left" w:pos="851"/>
        </w:tabs>
        <w:ind w:left="851"/>
        <w:rPr>
          <w:sz w:val="24"/>
          <w:szCs w:val="24"/>
        </w:rPr>
      </w:pPr>
    </w:p>
    <w:p w14:paraId="6F68F719" w14:textId="77777777" w:rsidR="009260DE" w:rsidRPr="008E19A3" w:rsidRDefault="009260DE" w:rsidP="009260DE">
      <w:pPr>
        <w:tabs>
          <w:tab w:val="left" w:pos="851"/>
        </w:tabs>
        <w:ind w:left="851" w:hanging="851"/>
        <w:rPr>
          <w:b/>
          <w:sz w:val="24"/>
          <w:szCs w:val="24"/>
        </w:rPr>
      </w:pPr>
      <w:r w:rsidRPr="008E19A3">
        <w:rPr>
          <w:b/>
          <w:sz w:val="24"/>
          <w:szCs w:val="24"/>
        </w:rPr>
        <w:t>6.4</w:t>
      </w:r>
      <w:r w:rsidRPr="008E19A3">
        <w:rPr>
          <w:b/>
          <w:sz w:val="24"/>
          <w:szCs w:val="24"/>
        </w:rPr>
        <w:tab/>
        <w:t>Særlige opbevaringsforhold</w:t>
      </w:r>
    </w:p>
    <w:p w14:paraId="25F95D16" w14:textId="77777777" w:rsidR="00EA3E0E" w:rsidRDefault="00C7249D" w:rsidP="00C7249D">
      <w:pPr>
        <w:tabs>
          <w:tab w:val="left" w:pos="851"/>
        </w:tabs>
        <w:ind w:left="851"/>
        <w:rPr>
          <w:sz w:val="24"/>
          <w:szCs w:val="24"/>
        </w:rPr>
      </w:pPr>
      <w:r w:rsidRPr="008E19A3">
        <w:rPr>
          <w:sz w:val="24"/>
          <w:szCs w:val="24"/>
        </w:rPr>
        <w:t xml:space="preserve">PVC/PVdC/Alu blister: Opbevares under 30 °C. </w:t>
      </w:r>
    </w:p>
    <w:p w14:paraId="06B5E40C" w14:textId="3D5CA381" w:rsidR="00C7249D" w:rsidRPr="008E19A3" w:rsidRDefault="00C7249D" w:rsidP="00C7249D">
      <w:pPr>
        <w:tabs>
          <w:tab w:val="left" w:pos="851"/>
        </w:tabs>
        <w:ind w:left="851"/>
        <w:rPr>
          <w:sz w:val="24"/>
          <w:szCs w:val="24"/>
        </w:rPr>
      </w:pPr>
      <w:r w:rsidRPr="008E19A3">
        <w:rPr>
          <w:sz w:val="24"/>
          <w:szCs w:val="24"/>
        </w:rPr>
        <w:t>Opbevares i den originale pakning for at beskytte mod fugt.</w:t>
      </w:r>
    </w:p>
    <w:p w14:paraId="40E21C18" w14:textId="77777777" w:rsidR="00EA3E0E" w:rsidRDefault="00EA3E0E" w:rsidP="00C7249D">
      <w:pPr>
        <w:tabs>
          <w:tab w:val="left" w:pos="851"/>
        </w:tabs>
        <w:ind w:left="851"/>
        <w:rPr>
          <w:sz w:val="24"/>
          <w:szCs w:val="24"/>
        </w:rPr>
      </w:pPr>
    </w:p>
    <w:p w14:paraId="0AFA5676" w14:textId="27173893" w:rsidR="00C7249D" w:rsidRPr="008E19A3" w:rsidRDefault="00C7249D" w:rsidP="00C7249D">
      <w:pPr>
        <w:tabs>
          <w:tab w:val="left" w:pos="851"/>
        </w:tabs>
        <w:ind w:left="851"/>
        <w:rPr>
          <w:sz w:val="24"/>
          <w:szCs w:val="24"/>
        </w:rPr>
      </w:pPr>
      <w:r w:rsidRPr="008E19A3">
        <w:rPr>
          <w:sz w:val="24"/>
          <w:szCs w:val="24"/>
        </w:rPr>
        <w:t>Alu/Alu blister: Dette lægemiddel kræver ingen særlige forholdsregler vedrørende opbevaringen.</w:t>
      </w:r>
    </w:p>
    <w:p w14:paraId="2D4094C9" w14:textId="77777777" w:rsidR="009260DE" w:rsidRPr="008E19A3" w:rsidRDefault="009260DE" w:rsidP="009260DE">
      <w:pPr>
        <w:tabs>
          <w:tab w:val="left" w:pos="851"/>
        </w:tabs>
        <w:ind w:left="851"/>
        <w:rPr>
          <w:sz w:val="24"/>
          <w:szCs w:val="24"/>
        </w:rPr>
      </w:pPr>
    </w:p>
    <w:p w14:paraId="2198AD80" w14:textId="77777777" w:rsidR="009260DE" w:rsidRPr="008E19A3" w:rsidRDefault="009260DE" w:rsidP="009260DE">
      <w:pPr>
        <w:tabs>
          <w:tab w:val="left" w:pos="851"/>
        </w:tabs>
        <w:ind w:left="851" w:hanging="851"/>
        <w:rPr>
          <w:b/>
          <w:sz w:val="24"/>
          <w:szCs w:val="24"/>
        </w:rPr>
      </w:pPr>
      <w:r w:rsidRPr="008E19A3">
        <w:rPr>
          <w:b/>
          <w:sz w:val="24"/>
          <w:szCs w:val="24"/>
        </w:rPr>
        <w:t>6.5</w:t>
      </w:r>
      <w:r w:rsidRPr="008E19A3">
        <w:rPr>
          <w:b/>
          <w:sz w:val="24"/>
          <w:szCs w:val="24"/>
        </w:rPr>
        <w:tab/>
        <w:t>Emballagetype og pakningsstørrelser</w:t>
      </w:r>
    </w:p>
    <w:p w14:paraId="224B050A" w14:textId="77777777" w:rsidR="00C7249D" w:rsidRPr="008E19A3" w:rsidRDefault="00C7249D" w:rsidP="00C7249D">
      <w:pPr>
        <w:tabs>
          <w:tab w:val="left" w:pos="851"/>
        </w:tabs>
        <w:ind w:left="851"/>
        <w:rPr>
          <w:sz w:val="24"/>
          <w:szCs w:val="24"/>
        </w:rPr>
      </w:pPr>
      <w:r w:rsidRPr="008E19A3">
        <w:rPr>
          <w:sz w:val="24"/>
          <w:szCs w:val="24"/>
        </w:rPr>
        <w:t>De hårde kapsler er pakket i PVC/PVdC/Alu eller Alu/Alu blister.</w:t>
      </w:r>
    </w:p>
    <w:p w14:paraId="330D13D8" w14:textId="77777777" w:rsidR="00C7249D" w:rsidRPr="008E19A3" w:rsidRDefault="00C7249D" w:rsidP="00C7249D">
      <w:pPr>
        <w:tabs>
          <w:tab w:val="left" w:pos="851"/>
        </w:tabs>
        <w:ind w:left="851"/>
        <w:rPr>
          <w:sz w:val="24"/>
          <w:szCs w:val="24"/>
        </w:rPr>
      </w:pPr>
    </w:p>
    <w:p w14:paraId="17BF1CB0" w14:textId="77777777" w:rsidR="00C7249D" w:rsidRPr="008E19A3" w:rsidRDefault="00C7249D" w:rsidP="00C7249D">
      <w:pPr>
        <w:tabs>
          <w:tab w:val="left" w:pos="851"/>
        </w:tabs>
        <w:ind w:left="851"/>
        <w:rPr>
          <w:sz w:val="24"/>
          <w:szCs w:val="24"/>
        </w:rPr>
      </w:pPr>
      <w:r w:rsidRPr="008E19A3">
        <w:rPr>
          <w:sz w:val="24"/>
          <w:szCs w:val="24"/>
        </w:rPr>
        <w:t>Pakningsstørrelse: 5, 10, 15, 20, 30 og 100 hårde kapsler.</w:t>
      </w:r>
    </w:p>
    <w:p w14:paraId="19BC4FE6" w14:textId="77777777" w:rsidR="00C7249D" w:rsidRPr="008E19A3" w:rsidRDefault="00C7249D" w:rsidP="00C7249D">
      <w:pPr>
        <w:tabs>
          <w:tab w:val="left" w:pos="851"/>
        </w:tabs>
        <w:ind w:left="851"/>
        <w:rPr>
          <w:sz w:val="24"/>
          <w:szCs w:val="24"/>
        </w:rPr>
      </w:pPr>
    </w:p>
    <w:p w14:paraId="6851FABA" w14:textId="77777777" w:rsidR="00C7249D" w:rsidRPr="008E19A3" w:rsidRDefault="00C7249D" w:rsidP="00C7249D">
      <w:pPr>
        <w:tabs>
          <w:tab w:val="left" w:pos="851"/>
        </w:tabs>
        <w:ind w:left="851"/>
        <w:rPr>
          <w:sz w:val="24"/>
          <w:szCs w:val="24"/>
        </w:rPr>
      </w:pPr>
      <w:r w:rsidRPr="008E19A3">
        <w:rPr>
          <w:sz w:val="24"/>
          <w:szCs w:val="24"/>
        </w:rPr>
        <w:t>Ikke alle pakningsstørrelser er nødvendigvis markedsført.</w:t>
      </w:r>
    </w:p>
    <w:p w14:paraId="5FF07605" w14:textId="77777777" w:rsidR="009260DE" w:rsidRPr="008E19A3" w:rsidRDefault="009260DE" w:rsidP="009260DE">
      <w:pPr>
        <w:tabs>
          <w:tab w:val="left" w:pos="851"/>
        </w:tabs>
        <w:ind w:left="851"/>
        <w:rPr>
          <w:sz w:val="24"/>
          <w:szCs w:val="24"/>
        </w:rPr>
      </w:pPr>
    </w:p>
    <w:p w14:paraId="26EC9255" w14:textId="77777777" w:rsidR="009260DE" w:rsidRPr="008E19A3" w:rsidRDefault="009260DE" w:rsidP="009260DE">
      <w:pPr>
        <w:tabs>
          <w:tab w:val="left" w:pos="851"/>
        </w:tabs>
        <w:ind w:left="851" w:hanging="851"/>
        <w:rPr>
          <w:b/>
          <w:sz w:val="24"/>
          <w:szCs w:val="24"/>
        </w:rPr>
      </w:pPr>
      <w:r w:rsidRPr="008E19A3">
        <w:rPr>
          <w:b/>
          <w:sz w:val="24"/>
          <w:szCs w:val="24"/>
        </w:rPr>
        <w:t>6.6</w:t>
      </w:r>
      <w:r w:rsidRPr="008E19A3">
        <w:rPr>
          <w:b/>
          <w:sz w:val="24"/>
          <w:szCs w:val="24"/>
        </w:rPr>
        <w:tab/>
        <w:t xml:space="preserve">Regler for </w:t>
      </w:r>
      <w:r w:rsidR="00BD7931" w:rsidRPr="008E19A3">
        <w:rPr>
          <w:b/>
          <w:sz w:val="24"/>
          <w:szCs w:val="24"/>
        </w:rPr>
        <w:t>bortskaffelse</w:t>
      </w:r>
      <w:r w:rsidRPr="008E19A3">
        <w:rPr>
          <w:b/>
          <w:sz w:val="24"/>
          <w:szCs w:val="24"/>
        </w:rPr>
        <w:t xml:space="preserve"> og anden håndtering</w:t>
      </w:r>
    </w:p>
    <w:p w14:paraId="099FDDA1" w14:textId="77777777" w:rsidR="00C7249D" w:rsidRPr="008E19A3" w:rsidRDefault="00C7249D" w:rsidP="00C7249D">
      <w:pPr>
        <w:tabs>
          <w:tab w:val="left" w:pos="851"/>
        </w:tabs>
        <w:ind w:left="851"/>
        <w:rPr>
          <w:sz w:val="24"/>
          <w:szCs w:val="24"/>
        </w:rPr>
      </w:pPr>
      <w:r w:rsidRPr="008E19A3">
        <w:rPr>
          <w:sz w:val="24"/>
          <w:szCs w:val="24"/>
        </w:rPr>
        <w:t>Ikke anvendt lægemiddel samt affald heraf skal bortskaffes i henhold til lokale retningslinjer.</w:t>
      </w:r>
    </w:p>
    <w:p w14:paraId="550617F2" w14:textId="77777777" w:rsidR="00C7249D" w:rsidRPr="008E19A3" w:rsidRDefault="00C7249D" w:rsidP="00C7249D">
      <w:pPr>
        <w:tabs>
          <w:tab w:val="left" w:pos="851"/>
        </w:tabs>
        <w:ind w:left="851"/>
        <w:rPr>
          <w:sz w:val="24"/>
          <w:szCs w:val="24"/>
        </w:rPr>
      </w:pPr>
    </w:p>
    <w:p w14:paraId="65D17591" w14:textId="77777777" w:rsidR="00C7249D" w:rsidRPr="008E19A3" w:rsidRDefault="00C7249D" w:rsidP="00C7249D">
      <w:pPr>
        <w:tabs>
          <w:tab w:val="left" w:pos="851"/>
        </w:tabs>
        <w:ind w:left="851"/>
        <w:rPr>
          <w:i/>
          <w:iCs/>
          <w:sz w:val="24"/>
          <w:szCs w:val="24"/>
        </w:rPr>
      </w:pPr>
      <w:r w:rsidRPr="008E19A3">
        <w:rPr>
          <w:i/>
          <w:iCs/>
          <w:sz w:val="24"/>
          <w:szCs w:val="24"/>
        </w:rPr>
        <w:t>Åbning af kapsler</w:t>
      </w:r>
    </w:p>
    <w:p w14:paraId="2F982B52" w14:textId="77777777" w:rsidR="00C7249D" w:rsidRPr="008E19A3" w:rsidRDefault="00C7249D" w:rsidP="00C7249D">
      <w:pPr>
        <w:tabs>
          <w:tab w:val="left" w:pos="851"/>
        </w:tabs>
        <w:ind w:left="851"/>
        <w:rPr>
          <w:sz w:val="24"/>
          <w:szCs w:val="24"/>
        </w:rPr>
      </w:pPr>
      <w:r w:rsidRPr="008E19A3">
        <w:rPr>
          <w:sz w:val="24"/>
          <w:szCs w:val="24"/>
        </w:rPr>
        <w:t>Rivaroxaban kapsel kan suspenderes i 50 ml vand og administreres via en nasogastrisk sonde eller gastrisk ernæringssonde,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kapsler med 10 mg.</w:t>
      </w:r>
    </w:p>
    <w:p w14:paraId="6218C8DB" w14:textId="77777777" w:rsidR="009260DE" w:rsidRPr="008E19A3" w:rsidRDefault="009260DE" w:rsidP="000730CA">
      <w:pPr>
        <w:tabs>
          <w:tab w:val="left" w:pos="851"/>
        </w:tabs>
        <w:ind w:left="851"/>
        <w:rPr>
          <w:sz w:val="24"/>
          <w:szCs w:val="24"/>
        </w:rPr>
      </w:pPr>
    </w:p>
    <w:p w14:paraId="6BDE5A10" w14:textId="77777777" w:rsidR="009260DE" w:rsidRPr="008E19A3" w:rsidRDefault="009260DE" w:rsidP="009260DE">
      <w:pPr>
        <w:tabs>
          <w:tab w:val="left" w:pos="851"/>
        </w:tabs>
        <w:ind w:left="851" w:hanging="851"/>
        <w:rPr>
          <w:b/>
          <w:sz w:val="24"/>
          <w:szCs w:val="24"/>
        </w:rPr>
      </w:pPr>
      <w:r w:rsidRPr="008E19A3">
        <w:rPr>
          <w:b/>
          <w:sz w:val="24"/>
          <w:szCs w:val="24"/>
        </w:rPr>
        <w:t>7.</w:t>
      </w:r>
      <w:r w:rsidRPr="008E19A3">
        <w:rPr>
          <w:b/>
          <w:sz w:val="24"/>
          <w:szCs w:val="24"/>
        </w:rPr>
        <w:tab/>
        <w:t>INDEHAVER AF MARKEDSFØRINGSTILLADELSEN</w:t>
      </w:r>
    </w:p>
    <w:p w14:paraId="3803EB3C" w14:textId="77777777" w:rsidR="00C7249D" w:rsidRPr="00EA3E0E" w:rsidRDefault="00C7249D" w:rsidP="00EA3E0E">
      <w:pPr>
        <w:ind w:left="851"/>
        <w:rPr>
          <w:sz w:val="24"/>
          <w:szCs w:val="24"/>
        </w:rPr>
      </w:pPr>
      <w:r w:rsidRPr="00EA3E0E">
        <w:rPr>
          <w:sz w:val="24"/>
          <w:szCs w:val="24"/>
        </w:rPr>
        <w:t>Zentiva, k.s.</w:t>
      </w:r>
    </w:p>
    <w:p w14:paraId="09643EBB" w14:textId="77777777" w:rsidR="00C7249D" w:rsidRPr="00EA3E0E" w:rsidRDefault="00C7249D" w:rsidP="00EA3E0E">
      <w:pPr>
        <w:ind w:left="851"/>
        <w:rPr>
          <w:sz w:val="24"/>
          <w:szCs w:val="24"/>
        </w:rPr>
      </w:pPr>
      <w:r w:rsidRPr="00EA3E0E">
        <w:rPr>
          <w:sz w:val="24"/>
          <w:szCs w:val="24"/>
        </w:rPr>
        <w:t>U Kabelovny 130</w:t>
      </w:r>
    </w:p>
    <w:p w14:paraId="65C74EEB" w14:textId="77777777" w:rsidR="00C7249D" w:rsidRPr="00EA3E0E" w:rsidRDefault="00C7249D" w:rsidP="00EA3E0E">
      <w:pPr>
        <w:ind w:left="851"/>
        <w:rPr>
          <w:sz w:val="24"/>
          <w:szCs w:val="24"/>
        </w:rPr>
      </w:pPr>
      <w:r w:rsidRPr="00EA3E0E">
        <w:rPr>
          <w:sz w:val="24"/>
          <w:szCs w:val="24"/>
        </w:rPr>
        <w:t xml:space="preserve">102 37 Prag 10 </w:t>
      </w:r>
    </w:p>
    <w:p w14:paraId="2A2B760C" w14:textId="77777777" w:rsidR="00C7249D" w:rsidRPr="00EA3E0E" w:rsidRDefault="00C7249D" w:rsidP="00EA3E0E">
      <w:pPr>
        <w:ind w:left="851"/>
        <w:rPr>
          <w:sz w:val="24"/>
          <w:szCs w:val="24"/>
        </w:rPr>
      </w:pPr>
      <w:r w:rsidRPr="00EA3E0E">
        <w:rPr>
          <w:sz w:val="24"/>
          <w:szCs w:val="24"/>
        </w:rPr>
        <w:t>Tjekkiet</w:t>
      </w:r>
    </w:p>
    <w:p w14:paraId="18045FCB" w14:textId="5F40A6D9" w:rsidR="00C7249D" w:rsidRPr="00EA3E0E" w:rsidRDefault="00C7249D" w:rsidP="00284FEB">
      <w:pPr>
        <w:rPr>
          <w:sz w:val="24"/>
          <w:szCs w:val="24"/>
        </w:rPr>
      </w:pPr>
    </w:p>
    <w:p w14:paraId="56DB5A9F" w14:textId="77777777" w:rsidR="00C7249D" w:rsidRPr="008E19A3" w:rsidRDefault="00C7249D" w:rsidP="00C7249D">
      <w:pPr>
        <w:tabs>
          <w:tab w:val="left" w:pos="851"/>
        </w:tabs>
        <w:ind w:left="851"/>
        <w:rPr>
          <w:sz w:val="24"/>
          <w:szCs w:val="24"/>
        </w:rPr>
      </w:pPr>
      <w:r w:rsidRPr="008E19A3">
        <w:rPr>
          <w:b/>
          <w:sz w:val="24"/>
          <w:szCs w:val="24"/>
        </w:rPr>
        <w:t>Repræsentant</w:t>
      </w:r>
    </w:p>
    <w:p w14:paraId="383077CE" w14:textId="77777777" w:rsidR="00C7249D" w:rsidRPr="008E19A3" w:rsidRDefault="00C7249D" w:rsidP="00C7249D">
      <w:pPr>
        <w:tabs>
          <w:tab w:val="left" w:pos="851"/>
        </w:tabs>
        <w:ind w:left="851"/>
        <w:rPr>
          <w:sz w:val="24"/>
          <w:szCs w:val="24"/>
        </w:rPr>
      </w:pPr>
      <w:r w:rsidRPr="008E19A3">
        <w:rPr>
          <w:sz w:val="24"/>
          <w:szCs w:val="24"/>
        </w:rPr>
        <w:t>Zentiva Denmark ApS</w:t>
      </w:r>
    </w:p>
    <w:p w14:paraId="3670DED9" w14:textId="77777777" w:rsidR="00C7249D" w:rsidRPr="008E19A3" w:rsidRDefault="00C7249D" w:rsidP="00C7249D">
      <w:pPr>
        <w:tabs>
          <w:tab w:val="left" w:pos="851"/>
        </w:tabs>
        <w:ind w:left="851"/>
        <w:rPr>
          <w:sz w:val="24"/>
          <w:szCs w:val="24"/>
        </w:rPr>
      </w:pPr>
      <w:r w:rsidRPr="008E19A3">
        <w:rPr>
          <w:sz w:val="24"/>
          <w:szCs w:val="24"/>
        </w:rPr>
        <w:t>Høffdingsvej 34</w:t>
      </w:r>
    </w:p>
    <w:p w14:paraId="2321E979" w14:textId="77777777" w:rsidR="00C7249D" w:rsidRPr="008E19A3" w:rsidRDefault="00C7249D" w:rsidP="00C7249D">
      <w:pPr>
        <w:tabs>
          <w:tab w:val="left" w:pos="851"/>
        </w:tabs>
        <w:ind w:left="851"/>
        <w:rPr>
          <w:sz w:val="24"/>
          <w:szCs w:val="24"/>
        </w:rPr>
      </w:pPr>
      <w:r w:rsidRPr="008E19A3">
        <w:rPr>
          <w:sz w:val="24"/>
          <w:szCs w:val="24"/>
        </w:rPr>
        <w:t>2500 Valby</w:t>
      </w:r>
    </w:p>
    <w:p w14:paraId="439BA54F" w14:textId="77777777" w:rsidR="00641C65" w:rsidRPr="008E19A3" w:rsidRDefault="00641C65" w:rsidP="009260DE">
      <w:pPr>
        <w:tabs>
          <w:tab w:val="left" w:pos="851"/>
        </w:tabs>
        <w:ind w:left="851"/>
        <w:rPr>
          <w:sz w:val="24"/>
          <w:szCs w:val="24"/>
        </w:rPr>
      </w:pPr>
    </w:p>
    <w:p w14:paraId="4521B252" w14:textId="77777777" w:rsidR="009260DE" w:rsidRPr="008E19A3" w:rsidRDefault="009260DE" w:rsidP="009260DE">
      <w:pPr>
        <w:tabs>
          <w:tab w:val="left" w:pos="851"/>
        </w:tabs>
        <w:ind w:left="851" w:hanging="851"/>
        <w:rPr>
          <w:b/>
          <w:sz w:val="24"/>
          <w:szCs w:val="24"/>
        </w:rPr>
      </w:pPr>
      <w:r w:rsidRPr="008E19A3">
        <w:rPr>
          <w:b/>
          <w:sz w:val="24"/>
          <w:szCs w:val="24"/>
        </w:rPr>
        <w:t>8.</w:t>
      </w:r>
      <w:r w:rsidRPr="008E19A3">
        <w:rPr>
          <w:b/>
          <w:sz w:val="24"/>
          <w:szCs w:val="24"/>
        </w:rPr>
        <w:tab/>
        <w:t>MARKEDSFØRINGSTILLADELSESNUMMER (</w:t>
      </w:r>
      <w:r w:rsidR="00BF6243" w:rsidRPr="008E19A3">
        <w:rPr>
          <w:b/>
          <w:sz w:val="24"/>
          <w:szCs w:val="24"/>
        </w:rPr>
        <w:t>-</w:t>
      </w:r>
      <w:r w:rsidRPr="008E19A3">
        <w:rPr>
          <w:b/>
          <w:sz w:val="24"/>
          <w:szCs w:val="24"/>
        </w:rPr>
        <w:t>NUMRE)</w:t>
      </w:r>
    </w:p>
    <w:p w14:paraId="38C2DFD6" w14:textId="34E0C4FA" w:rsidR="009260DE" w:rsidRPr="008E19A3" w:rsidRDefault="00C7249D" w:rsidP="009260DE">
      <w:pPr>
        <w:tabs>
          <w:tab w:val="left" w:pos="851"/>
        </w:tabs>
        <w:ind w:left="851"/>
        <w:rPr>
          <w:sz w:val="24"/>
          <w:szCs w:val="24"/>
        </w:rPr>
      </w:pPr>
      <w:r w:rsidRPr="008E19A3">
        <w:rPr>
          <w:sz w:val="24"/>
          <w:szCs w:val="24"/>
        </w:rPr>
        <w:t>69928</w:t>
      </w:r>
    </w:p>
    <w:p w14:paraId="2711EBBC" w14:textId="77777777" w:rsidR="009260DE" w:rsidRPr="008E19A3" w:rsidRDefault="009260DE" w:rsidP="009260DE">
      <w:pPr>
        <w:tabs>
          <w:tab w:val="left" w:pos="851"/>
        </w:tabs>
        <w:ind w:left="851"/>
        <w:jc w:val="both"/>
        <w:rPr>
          <w:sz w:val="24"/>
          <w:szCs w:val="24"/>
        </w:rPr>
      </w:pPr>
    </w:p>
    <w:p w14:paraId="758D60B6" w14:textId="77777777" w:rsidR="009260DE" w:rsidRPr="008E19A3" w:rsidRDefault="009260DE" w:rsidP="00A51B0E">
      <w:pPr>
        <w:keepNext/>
        <w:tabs>
          <w:tab w:val="left" w:pos="851"/>
        </w:tabs>
        <w:ind w:left="851" w:hanging="851"/>
        <w:rPr>
          <w:b/>
          <w:sz w:val="24"/>
          <w:szCs w:val="24"/>
        </w:rPr>
      </w:pPr>
      <w:r w:rsidRPr="008E19A3">
        <w:rPr>
          <w:b/>
          <w:sz w:val="24"/>
          <w:szCs w:val="24"/>
        </w:rPr>
        <w:lastRenderedPageBreak/>
        <w:t>9.</w:t>
      </w:r>
      <w:r w:rsidRPr="008E19A3">
        <w:rPr>
          <w:b/>
          <w:sz w:val="24"/>
          <w:szCs w:val="24"/>
        </w:rPr>
        <w:tab/>
        <w:t>DATO FOR FØRSTE MARKEDSFØRINGSTILLADELSE</w:t>
      </w:r>
    </w:p>
    <w:p w14:paraId="4BC42904" w14:textId="0126D4C8" w:rsidR="009260DE" w:rsidRPr="008E19A3" w:rsidRDefault="00DB7D3C" w:rsidP="00A51B0E">
      <w:pPr>
        <w:keepNext/>
        <w:tabs>
          <w:tab w:val="left" w:pos="851"/>
        </w:tabs>
        <w:ind w:left="851"/>
        <w:rPr>
          <w:sz w:val="24"/>
          <w:szCs w:val="24"/>
        </w:rPr>
      </w:pPr>
      <w:r>
        <w:rPr>
          <w:sz w:val="24"/>
          <w:szCs w:val="24"/>
        </w:rPr>
        <w:t>6. marts 2024</w:t>
      </w:r>
    </w:p>
    <w:p w14:paraId="3F6664E1" w14:textId="77777777" w:rsidR="009260DE" w:rsidRPr="008E19A3" w:rsidRDefault="009260DE" w:rsidP="009260DE">
      <w:pPr>
        <w:tabs>
          <w:tab w:val="left" w:pos="851"/>
        </w:tabs>
        <w:ind w:left="851"/>
        <w:rPr>
          <w:sz w:val="24"/>
          <w:szCs w:val="24"/>
        </w:rPr>
      </w:pPr>
    </w:p>
    <w:p w14:paraId="5638F131" w14:textId="77777777" w:rsidR="009260DE" w:rsidRPr="008E19A3" w:rsidRDefault="009260DE" w:rsidP="009260DE">
      <w:pPr>
        <w:tabs>
          <w:tab w:val="left" w:pos="851"/>
        </w:tabs>
        <w:ind w:left="851" w:hanging="851"/>
        <w:rPr>
          <w:b/>
          <w:sz w:val="24"/>
          <w:szCs w:val="24"/>
        </w:rPr>
      </w:pPr>
      <w:r w:rsidRPr="008E19A3">
        <w:rPr>
          <w:b/>
          <w:sz w:val="24"/>
          <w:szCs w:val="24"/>
        </w:rPr>
        <w:t>10.</w:t>
      </w:r>
      <w:r w:rsidRPr="008E19A3">
        <w:rPr>
          <w:b/>
          <w:sz w:val="24"/>
          <w:szCs w:val="24"/>
        </w:rPr>
        <w:tab/>
        <w:t>DATO FOR ÆNDRING AF TEKSTEN</w:t>
      </w:r>
    </w:p>
    <w:p w14:paraId="6189BC64" w14:textId="4E60E22D" w:rsidR="009260DE" w:rsidRPr="008E19A3" w:rsidRDefault="002D2FE1" w:rsidP="009260DE">
      <w:pPr>
        <w:tabs>
          <w:tab w:val="left" w:pos="851"/>
        </w:tabs>
        <w:ind w:left="851"/>
        <w:rPr>
          <w:sz w:val="24"/>
          <w:szCs w:val="24"/>
        </w:rPr>
      </w:pPr>
      <w:r>
        <w:rPr>
          <w:sz w:val="24"/>
          <w:szCs w:val="24"/>
        </w:rPr>
        <w:t>30</w:t>
      </w:r>
      <w:bookmarkStart w:id="8" w:name="_GoBack"/>
      <w:bookmarkEnd w:id="8"/>
      <w:r w:rsidR="00284FEB">
        <w:rPr>
          <w:sz w:val="24"/>
          <w:szCs w:val="24"/>
        </w:rPr>
        <w:t xml:space="preserve">. </w:t>
      </w:r>
      <w:r w:rsidR="00A51B0E">
        <w:rPr>
          <w:sz w:val="24"/>
          <w:szCs w:val="24"/>
        </w:rPr>
        <w:t>maj</w:t>
      </w:r>
      <w:r w:rsidR="00284FEB">
        <w:rPr>
          <w:sz w:val="24"/>
          <w:szCs w:val="24"/>
        </w:rPr>
        <w:t xml:space="preserve"> 2024</w:t>
      </w:r>
    </w:p>
    <w:sectPr w:rsidR="009260DE" w:rsidRPr="008E19A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0264C" w14:textId="77777777" w:rsidR="008E19A3" w:rsidRDefault="008E19A3">
      <w:r>
        <w:separator/>
      </w:r>
    </w:p>
  </w:endnote>
  <w:endnote w:type="continuationSeparator" w:id="0">
    <w:p w14:paraId="75B8BC8E" w14:textId="77777777" w:rsidR="008E19A3" w:rsidRDefault="008E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B813C" w14:textId="77777777" w:rsidR="008E19A3" w:rsidRDefault="008E19A3">
    <w:pPr>
      <w:pStyle w:val="Sidefod"/>
      <w:pBdr>
        <w:bottom w:val="single" w:sz="6" w:space="1" w:color="auto"/>
      </w:pBdr>
    </w:pPr>
  </w:p>
  <w:p w14:paraId="3159AAF9" w14:textId="77777777" w:rsidR="008E19A3" w:rsidRDefault="008E19A3" w:rsidP="00C42586">
    <w:pPr>
      <w:pStyle w:val="Sidefod"/>
      <w:tabs>
        <w:tab w:val="clear" w:pos="4819"/>
        <w:tab w:val="left" w:pos="8505"/>
      </w:tabs>
      <w:rPr>
        <w:i/>
        <w:sz w:val="18"/>
        <w:szCs w:val="18"/>
      </w:rPr>
    </w:pPr>
  </w:p>
  <w:p w14:paraId="5800D392" w14:textId="06B3F707" w:rsidR="008E19A3" w:rsidRPr="00B373D7" w:rsidRDefault="008E19A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553F4">
      <w:rPr>
        <w:i/>
        <w:noProof/>
        <w:sz w:val="18"/>
        <w:szCs w:val="18"/>
      </w:rPr>
      <w:t>Rivaroxaban Zentiva, hårde kapsler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6F84E" w14:textId="77777777" w:rsidR="008E19A3" w:rsidRDefault="008E19A3">
      <w:r>
        <w:separator/>
      </w:r>
    </w:p>
  </w:footnote>
  <w:footnote w:type="continuationSeparator" w:id="0">
    <w:p w14:paraId="28602AD3" w14:textId="77777777" w:rsidR="008E19A3" w:rsidRDefault="008E1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074515"/>
    <w:multiLevelType w:val="hybridMultilevel"/>
    <w:tmpl w:val="94FCFC40"/>
    <w:lvl w:ilvl="0" w:tplc="1A1C2C8E">
      <w:start w:val="1"/>
      <w:numFmt w:val="lowerLetter"/>
      <w:lvlText w:val="%1)"/>
      <w:lvlJc w:val="left"/>
      <w:pPr>
        <w:ind w:left="1360" w:hanging="360"/>
      </w:pPr>
    </w:lvl>
    <w:lvl w:ilvl="1" w:tplc="08090019">
      <w:start w:val="1"/>
      <w:numFmt w:val="lowerLetter"/>
      <w:lvlText w:val="%2."/>
      <w:lvlJc w:val="left"/>
      <w:pPr>
        <w:ind w:left="2080" w:hanging="360"/>
      </w:pPr>
    </w:lvl>
    <w:lvl w:ilvl="2" w:tplc="0809001B">
      <w:start w:val="1"/>
      <w:numFmt w:val="lowerRoman"/>
      <w:lvlText w:val="%3."/>
      <w:lvlJc w:val="right"/>
      <w:pPr>
        <w:ind w:left="2800" w:hanging="180"/>
      </w:pPr>
    </w:lvl>
    <w:lvl w:ilvl="3" w:tplc="0809000F">
      <w:start w:val="1"/>
      <w:numFmt w:val="decimal"/>
      <w:lvlText w:val="%4."/>
      <w:lvlJc w:val="left"/>
      <w:pPr>
        <w:ind w:left="3520" w:hanging="360"/>
      </w:pPr>
    </w:lvl>
    <w:lvl w:ilvl="4" w:tplc="08090019">
      <w:start w:val="1"/>
      <w:numFmt w:val="lowerLetter"/>
      <w:lvlText w:val="%5."/>
      <w:lvlJc w:val="left"/>
      <w:pPr>
        <w:ind w:left="4240" w:hanging="360"/>
      </w:pPr>
    </w:lvl>
    <w:lvl w:ilvl="5" w:tplc="0809001B">
      <w:start w:val="1"/>
      <w:numFmt w:val="lowerRoman"/>
      <w:lvlText w:val="%6."/>
      <w:lvlJc w:val="right"/>
      <w:pPr>
        <w:ind w:left="4960" w:hanging="180"/>
      </w:pPr>
    </w:lvl>
    <w:lvl w:ilvl="6" w:tplc="0809000F">
      <w:start w:val="1"/>
      <w:numFmt w:val="decimal"/>
      <w:lvlText w:val="%7."/>
      <w:lvlJc w:val="left"/>
      <w:pPr>
        <w:ind w:left="5680" w:hanging="360"/>
      </w:pPr>
    </w:lvl>
    <w:lvl w:ilvl="7" w:tplc="08090019">
      <w:start w:val="1"/>
      <w:numFmt w:val="lowerLetter"/>
      <w:lvlText w:val="%8."/>
      <w:lvlJc w:val="left"/>
      <w:pPr>
        <w:ind w:left="6400" w:hanging="360"/>
      </w:pPr>
    </w:lvl>
    <w:lvl w:ilvl="8" w:tplc="0809001B">
      <w:start w:val="1"/>
      <w:numFmt w:val="lowerRoman"/>
      <w:lvlText w:val="%9."/>
      <w:lvlJc w:val="right"/>
      <w:pPr>
        <w:ind w:left="7120" w:hanging="180"/>
      </w:pPr>
    </w:lvl>
  </w:abstractNum>
  <w:abstractNum w:abstractNumId="2" w15:restartNumberingAfterBreak="0">
    <w:nsid w:val="280452DE"/>
    <w:multiLevelType w:val="hybridMultilevel"/>
    <w:tmpl w:val="AAD4229A"/>
    <w:lvl w:ilvl="0" w:tplc="BE3A4128">
      <w:numFmt w:val="bullet"/>
      <w:lvlText w:val="*"/>
      <w:lvlJc w:val="left"/>
      <w:pPr>
        <w:ind w:left="891" w:hanging="358"/>
      </w:pPr>
      <w:rPr>
        <w:rFonts w:ascii="Times New Roman" w:eastAsia="Times New Roman" w:hAnsi="Times New Roman" w:cs="Times New Roman" w:hint="default"/>
        <w:w w:val="99"/>
        <w:sz w:val="22"/>
        <w:szCs w:val="22"/>
      </w:rPr>
    </w:lvl>
    <w:lvl w:ilvl="1" w:tplc="E7BEF38E">
      <w:numFmt w:val="bullet"/>
      <w:lvlText w:val=""/>
      <w:lvlJc w:val="left"/>
      <w:pPr>
        <w:ind w:left="1426" w:hanging="568"/>
      </w:pPr>
      <w:rPr>
        <w:rFonts w:ascii="Symbol" w:eastAsia="Symbol" w:hAnsi="Symbol" w:cs="Symbol" w:hint="default"/>
        <w:w w:val="99"/>
        <w:sz w:val="22"/>
        <w:szCs w:val="22"/>
      </w:rPr>
    </w:lvl>
    <w:lvl w:ilvl="2" w:tplc="1DA0D774">
      <w:numFmt w:val="bullet"/>
      <w:lvlText w:val=""/>
      <w:lvlJc w:val="left"/>
      <w:pPr>
        <w:ind w:left="1578" w:hanging="360"/>
      </w:pPr>
      <w:rPr>
        <w:rFonts w:ascii="Symbol" w:eastAsia="Symbol" w:hAnsi="Symbol" w:cs="Symbol" w:hint="default"/>
        <w:w w:val="100"/>
        <w:sz w:val="20"/>
        <w:szCs w:val="20"/>
      </w:rPr>
    </w:lvl>
    <w:lvl w:ilvl="3" w:tplc="FC4ED97C">
      <w:numFmt w:val="bullet"/>
      <w:lvlText w:val=""/>
      <w:lvlJc w:val="left"/>
      <w:pPr>
        <w:ind w:left="2298" w:hanging="360"/>
      </w:pPr>
      <w:rPr>
        <w:rFonts w:ascii="Symbol" w:eastAsia="Symbol" w:hAnsi="Symbol" w:cs="Symbol" w:hint="default"/>
        <w:w w:val="100"/>
        <w:sz w:val="20"/>
        <w:szCs w:val="20"/>
      </w:rPr>
    </w:lvl>
    <w:lvl w:ilvl="4" w:tplc="1F9C1C54">
      <w:numFmt w:val="bullet"/>
      <w:lvlText w:val="•"/>
      <w:lvlJc w:val="left"/>
      <w:pPr>
        <w:ind w:left="3515" w:hanging="360"/>
      </w:pPr>
    </w:lvl>
    <w:lvl w:ilvl="5" w:tplc="458218F0">
      <w:numFmt w:val="bullet"/>
      <w:lvlText w:val="•"/>
      <w:lvlJc w:val="left"/>
      <w:pPr>
        <w:ind w:left="4730" w:hanging="360"/>
      </w:pPr>
    </w:lvl>
    <w:lvl w:ilvl="6" w:tplc="3558016E">
      <w:numFmt w:val="bullet"/>
      <w:lvlText w:val="•"/>
      <w:lvlJc w:val="left"/>
      <w:pPr>
        <w:ind w:left="5946" w:hanging="360"/>
      </w:pPr>
    </w:lvl>
    <w:lvl w:ilvl="7" w:tplc="4350DCAC">
      <w:numFmt w:val="bullet"/>
      <w:lvlText w:val="•"/>
      <w:lvlJc w:val="left"/>
      <w:pPr>
        <w:ind w:left="7161" w:hanging="360"/>
      </w:pPr>
    </w:lvl>
    <w:lvl w:ilvl="8" w:tplc="55E8385C">
      <w:numFmt w:val="bullet"/>
      <w:lvlText w:val="•"/>
      <w:lvlJc w:val="left"/>
      <w:pPr>
        <w:ind w:left="8376" w:hanging="360"/>
      </w:pPr>
    </w:lvl>
  </w:abstractNum>
  <w:abstractNum w:abstractNumId="3" w15:restartNumberingAfterBreak="0">
    <w:nsid w:val="315078E8"/>
    <w:multiLevelType w:val="hybridMultilevel"/>
    <w:tmpl w:val="712C0F8A"/>
    <w:lvl w:ilvl="0" w:tplc="7854A0E6">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0C3A63CE">
      <w:numFmt w:val="bullet"/>
      <w:lvlText w:val="•"/>
      <w:lvlJc w:val="left"/>
      <w:pPr>
        <w:ind w:left="2592" w:hanging="687"/>
      </w:pPr>
    </w:lvl>
    <w:lvl w:ilvl="2" w:tplc="5934AD9E">
      <w:numFmt w:val="bullet"/>
      <w:lvlText w:val="•"/>
      <w:lvlJc w:val="left"/>
      <w:pPr>
        <w:ind w:left="3505" w:hanging="687"/>
      </w:pPr>
    </w:lvl>
    <w:lvl w:ilvl="3" w:tplc="034E377A">
      <w:numFmt w:val="bullet"/>
      <w:lvlText w:val="•"/>
      <w:lvlJc w:val="left"/>
      <w:pPr>
        <w:ind w:left="4418" w:hanging="687"/>
      </w:pPr>
    </w:lvl>
    <w:lvl w:ilvl="4" w:tplc="B1EE8780">
      <w:numFmt w:val="bullet"/>
      <w:lvlText w:val="•"/>
      <w:lvlJc w:val="left"/>
      <w:pPr>
        <w:ind w:left="5331" w:hanging="687"/>
      </w:pPr>
    </w:lvl>
    <w:lvl w:ilvl="5" w:tplc="D9E22C72">
      <w:numFmt w:val="bullet"/>
      <w:lvlText w:val="•"/>
      <w:lvlJc w:val="left"/>
      <w:pPr>
        <w:ind w:left="6243" w:hanging="687"/>
      </w:pPr>
    </w:lvl>
    <w:lvl w:ilvl="6" w:tplc="83BAEF2C">
      <w:numFmt w:val="bullet"/>
      <w:lvlText w:val="•"/>
      <w:lvlJc w:val="left"/>
      <w:pPr>
        <w:ind w:left="7156" w:hanging="687"/>
      </w:pPr>
    </w:lvl>
    <w:lvl w:ilvl="7" w:tplc="1D70AF8C">
      <w:numFmt w:val="bullet"/>
      <w:lvlText w:val="•"/>
      <w:lvlJc w:val="left"/>
      <w:pPr>
        <w:ind w:left="8069" w:hanging="687"/>
      </w:pPr>
    </w:lvl>
    <w:lvl w:ilvl="8" w:tplc="3AF88CB4">
      <w:numFmt w:val="bullet"/>
      <w:lvlText w:val="•"/>
      <w:lvlJc w:val="left"/>
      <w:pPr>
        <w:ind w:left="8982" w:hanging="687"/>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647775"/>
    <w:multiLevelType w:val="hybridMultilevel"/>
    <w:tmpl w:val="1694A1A6"/>
    <w:lvl w:ilvl="0" w:tplc="DCA4FDC2">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8BE8030">
      <w:numFmt w:val="bullet"/>
      <w:lvlText w:val="•"/>
      <w:lvlJc w:val="left"/>
      <w:pPr>
        <w:ind w:left="2592" w:hanging="687"/>
      </w:pPr>
    </w:lvl>
    <w:lvl w:ilvl="2" w:tplc="13445CB2">
      <w:numFmt w:val="bullet"/>
      <w:lvlText w:val="•"/>
      <w:lvlJc w:val="left"/>
      <w:pPr>
        <w:ind w:left="3505" w:hanging="687"/>
      </w:pPr>
    </w:lvl>
    <w:lvl w:ilvl="3" w:tplc="AF32A30E">
      <w:numFmt w:val="bullet"/>
      <w:lvlText w:val="•"/>
      <w:lvlJc w:val="left"/>
      <w:pPr>
        <w:ind w:left="4418" w:hanging="687"/>
      </w:pPr>
    </w:lvl>
    <w:lvl w:ilvl="4" w:tplc="BCDE0CDA">
      <w:numFmt w:val="bullet"/>
      <w:lvlText w:val="•"/>
      <w:lvlJc w:val="left"/>
      <w:pPr>
        <w:ind w:left="5331" w:hanging="687"/>
      </w:pPr>
    </w:lvl>
    <w:lvl w:ilvl="5" w:tplc="70AAB458">
      <w:numFmt w:val="bullet"/>
      <w:lvlText w:val="•"/>
      <w:lvlJc w:val="left"/>
      <w:pPr>
        <w:ind w:left="6243" w:hanging="687"/>
      </w:pPr>
    </w:lvl>
    <w:lvl w:ilvl="6" w:tplc="108076F8">
      <w:numFmt w:val="bullet"/>
      <w:lvlText w:val="•"/>
      <w:lvlJc w:val="left"/>
      <w:pPr>
        <w:ind w:left="7156" w:hanging="687"/>
      </w:pPr>
    </w:lvl>
    <w:lvl w:ilvl="7" w:tplc="6FD6CDEC">
      <w:numFmt w:val="bullet"/>
      <w:lvlText w:val="•"/>
      <w:lvlJc w:val="left"/>
      <w:pPr>
        <w:ind w:left="8069" w:hanging="687"/>
      </w:pPr>
    </w:lvl>
    <w:lvl w:ilvl="8" w:tplc="88B07298">
      <w:numFmt w:val="bullet"/>
      <w:lvlText w:val="•"/>
      <w:lvlJc w:val="left"/>
      <w:pPr>
        <w:ind w:left="8982" w:hanging="687"/>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D0E60C5"/>
    <w:multiLevelType w:val="hybridMultilevel"/>
    <w:tmpl w:val="5EC40C10"/>
    <w:lvl w:ilvl="0" w:tplc="228234D6">
      <w:numFmt w:val="bullet"/>
      <w:lvlText w:val="*"/>
      <w:lvlJc w:val="left"/>
      <w:pPr>
        <w:ind w:left="1021" w:hanging="721"/>
      </w:pPr>
      <w:rPr>
        <w:rFonts w:ascii="Times New Roman" w:eastAsia="Times New Roman" w:hAnsi="Times New Roman" w:cs="Times New Roman" w:hint="default"/>
        <w:w w:val="99"/>
        <w:sz w:val="22"/>
        <w:szCs w:val="22"/>
      </w:rPr>
    </w:lvl>
    <w:lvl w:ilvl="1" w:tplc="5FD4A2F6">
      <w:numFmt w:val="bullet"/>
      <w:lvlText w:val="•"/>
      <w:lvlJc w:val="left"/>
      <w:pPr>
        <w:ind w:left="1998" w:hanging="721"/>
      </w:pPr>
    </w:lvl>
    <w:lvl w:ilvl="2" w:tplc="31747B74">
      <w:numFmt w:val="bullet"/>
      <w:lvlText w:val="•"/>
      <w:lvlJc w:val="left"/>
      <w:pPr>
        <w:ind w:left="2977" w:hanging="721"/>
      </w:pPr>
    </w:lvl>
    <w:lvl w:ilvl="3" w:tplc="9DB00B7A">
      <w:numFmt w:val="bullet"/>
      <w:lvlText w:val="•"/>
      <w:lvlJc w:val="left"/>
      <w:pPr>
        <w:ind w:left="3956" w:hanging="721"/>
      </w:pPr>
    </w:lvl>
    <w:lvl w:ilvl="4" w:tplc="9CE486E6">
      <w:numFmt w:val="bullet"/>
      <w:lvlText w:val="•"/>
      <w:lvlJc w:val="left"/>
      <w:pPr>
        <w:ind w:left="4935" w:hanging="721"/>
      </w:pPr>
    </w:lvl>
    <w:lvl w:ilvl="5" w:tplc="903272E4">
      <w:numFmt w:val="bullet"/>
      <w:lvlText w:val="•"/>
      <w:lvlJc w:val="left"/>
      <w:pPr>
        <w:ind w:left="5913" w:hanging="721"/>
      </w:pPr>
    </w:lvl>
    <w:lvl w:ilvl="6" w:tplc="FF26F20A">
      <w:numFmt w:val="bullet"/>
      <w:lvlText w:val="•"/>
      <w:lvlJc w:val="left"/>
      <w:pPr>
        <w:ind w:left="6892" w:hanging="721"/>
      </w:pPr>
    </w:lvl>
    <w:lvl w:ilvl="7" w:tplc="0876D7F0">
      <w:numFmt w:val="bullet"/>
      <w:lvlText w:val="•"/>
      <w:lvlJc w:val="left"/>
      <w:pPr>
        <w:ind w:left="7871" w:hanging="721"/>
      </w:pPr>
    </w:lvl>
    <w:lvl w:ilvl="8" w:tplc="C6CC13C4">
      <w:numFmt w:val="bullet"/>
      <w:lvlText w:val="•"/>
      <w:lvlJc w:val="left"/>
      <w:pPr>
        <w:ind w:left="8850" w:hanging="721"/>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F410233"/>
    <w:multiLevelType w:val="hybridMultilevel"/>
    <w:tmpl w:val="075E0E0E"/>
    <w:lvl w:ilvl="0" w:tplc="806C5718">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690E7C4">
      <w:numFmt w:val="bullet"/>
      <w:lvlText w:val="•"/>
      <w:lvlJc w:val="left"/>
      <w:pPr>
        <w:ind w:left="2592" w:hanging="687"/>
      </w:pPr>
    </w:lvl>
    <w:lvl w:ilvl="2" w:tplc="F6E8E50A">
      <w:numFmt w:val="bullet"/>
      <w:lvlText w:val="•"/>
      <w:lvlJc w:val="left"/>
      <w:pPr>
        <w:ind w:left="3505" w:hanging="687"/>
      </w:pPr>
    </w:lvl>
    <w:lvl w:ilvl="3" w:tplc="45D0A4E0">
      <w:numFmt w:val="bullet"/>
      <w:lvlText w:val="•"/>
      <w:lvlJc w:val="left"/>
      <w:pPr>
        <w:ind w:left="4418" w:hanging="687"/>
      </w:pPr>
    </w:lvl>
    <w:lvl w:ilvl="4" w:tplc="D7CC23FA">
      <w:numFmt w:val="bullet"/>
      <w:lvlText w:val="•"/>
      <w:lvlJc w:val="left"/>
      <w:pPr>
        <w:ind w:left="5331" w:hanging="687"/>
      </w:pPr>
    </w:lvl>
    <w:lvl w:ilvl="5" w:tplc="B1F80210">
      <w:numFmt w:val="bullet"/>
      <w:lvlText w:val="•"/>
      <w:lvlJc w:val="left"/>
      <w:pPr>
        <w:ind w:left="6243" w:hanging="687"/>
      </w:pPr>
    </w:lvl>
    <w:lvl w:ilvl="6" w:tplc="69E6FCEE">
      <w:numFmt w:val="bullet"/>
      <w:lvlText w:val="•"/>
      <w:lvlJc w:val="left"/>
      <w:pPr>
        <w:ind w:left="7156" w:hanging="687"/>
      </w:pPr>
    </w:lvl>
    <w:lvl w:ilvl="7" w:tplc="E4AE7AE6">
      <w:numFmt w:val="bullet"/>
      <w:lvlText w:val="•"/>
      <w:lvlJc w:val="left"/>
      <w:pPr>
        <w:ind w:left="8069" w:hanging="687"/>
      </w:pPr>
    </w:lvl>
    <w:lvl w:ilvl="8" w:tplc="6A7A6140">
      <w:numFmt w:val="bullet"/>
      <w:lvlText w:val="•"/>
      <w:lvlJc w:val="left"/>
      <w:pPr>
        <w:ind w:left="8982" w:hanging="687"/>
      </w:pPr>
    </w:lvl>
  </w:abstractNum>
  <w:abstractNum w:abstractNumId="11" w15:restartNumberingAfterBreak="0">
    <w:nsid w:val="6FF8578E"/>
    <w:multiLevelType w:val="hybridMultilevel"/>
    <w:tmpl w:val="4516E910"/>
    <w:lvl w:ilvl="0" w:tplc="D2B62D0C">
      <w:start w:val="10"/>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92"/>
    <w:rsid w:val="000259B9"/>
    <w:rsid w:val="00041491"/>
    <w:rsid w:val="00050D16"/>
    <w:rsid w:val="000730CA"/>
    <w:rsid w:val="00074F2A"/>
    <w:rsid w:val="000A1CA8"/>
    <w:rsid w:val="000A466B"/>
    <w:rsid w:val="000B058C"/>
    <w:rsid w:val="000B39CD"/>
    <w:rsid w:val="000D68B0"/>
    <w:rsid w:val="000E4EE6"/>
    <w:rsid w:val="001454E2"/>
    <w:rsid w:val="00206CE8"/>
    <w:rsid w:val="0021526C"/>
    <w:rsid w:val="00283A2B"/>
    <w:rsid w:val="00284FEB"/>
    <w:rsid w:val="002B30AD"/>
    <w:rsid w:val="002C1EC0"/>
    <w:rsid w:val="002C2C01"/>
    <w:rsid w:val="002D2FE1"/>
    <w:rsid w:val="00397118"/>
    <w:rsid w:val="003A29AE"/>
    <w:rsid w:val="003A32D7"/>
    <w:rsid w:val="003B4074"/>
    <w:rsid w:val="003C0EE9"/>
    <w:rsid w:val="003C769A"/>
    <w:rsid w:val="003D3A90"/>
    <w:rsid w:val="003F1838"/>
    <w:rsid w:val="004251C1"/>
    <w:rsid w:val="004553F4"/>
    <w:rsid w:val="0045746C"/>
    <w:rsid w:val="0049104B"/>
    <w:rsid w:val="004E3B12"/>
    <w:rsid w:val="00532310"/>
    <w:rsid w:val="00565F0F"/>
    <w:rsid w:val="005761FF"/>
    <w:rsid w:val="00594A86"/>
    <w:rsid w:val="00596D86"/>
    <w:rsid w:val="00637F5A"/>
    <w:rsid w:val="00641C65"/>
    <w:rsid w:val="006560B1"/>
    <w:rsid w:val="006756DD"/>
    <w:rsid w:val="006D75F9"/>
    <w:rsid w:val="0071241E"/>
    <w:rsid w:val="00737275"/>
    <w:rsid w:val="00740EEC"/>
    <w:rsid w:val="0078011A"/>
    <w:rsid w:val="00782AF4"/>
    <w:rsid w:val="00790EE7"/>
    <w:rsid w:val="007B6649"/>
    <w:rsid w:val="0082576E"/>
    <w:rsid w:val="00892B5B"/>
    <w:rsid w:val="0089346F"/>
    <w:rsid w:val="008E19A3"/>
    <w:rsid w:val="00907F75"/>
    <w:rsid w:val="009260DE"/>
    <w:rsid w:val="0093258A"/>
    <w:rsid w:val="00983344"/>
    <w:rsid w:val="00990AA0"/>
    <w:rsid w:val="009C7BA3"/>
    <w:rsid w:val="009D1F5A"/>
    <w:rsid w:val="00A10294"/>
    <w:rsid w:val="00A51B0E"/>
    <w:rsid w:val="00B003BF"/>
    <w:rsid w:val="00B373D7"/>
    <w:rsid w:val="00B55271"/>
    <w:rsid w:val="00B600C4"/>
    <w:rsid w:val="00BD7931"/>
    <w:rsid w:val="00BF6243"/>
    <w:rsid w:val="00C36276"/>
    <w:rsid w:val="00C42586"/>
    <w:rsid w:val="00C45F6B"/>
    <w:rsid w:val="00C60CCD"/>
    <w:rsid w:val="00C7249D"/>
    <w:rsid w:val="00C84483"/>
    <w:rsid w:val="00C95551"/>
    <w:rsid w:val="00CB20D7"/>
    <w:rsid w:val="00D020B0"/>
    <w:rsid w:val="00D11748"/>
    <w:rsid w:val="00D237F6"/>
    <w:rsid w:val="00D34D98"/>
    <w:rsid w:val="00D366CF"/>
    <w:rsid w:val="00D93992"/>
    <w:rsid w:val="00DB7D3C"/>
    <w:rsid w:val="00E108AA"/>
    <w:rsid w:val="00E3749A"/>
    <w:rsid w:val="00E637B1"/>
    <w:rsid w:val="00E7437F"/>
    <w:rsid w:val="00E865B8"/>
    <w:rsid w:val="00EA3E0E"/>
    <w:rsid w:val="00EC0B9B"/>
    <w:rsid w:val="00ED5E9F"/>
    <w:rsid w:val="00EE219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22CFB"/>
  <w15:chartTrackingRefBased/>
  <w15:docId w15:val="{F654EF1C-886A-464D-BD86-3D719385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C7249D"/>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C7249D"/>
    <w:pPr>
      <w:widowControl w:val="0"/>
      <w:autoSpaceDE w:val="0"/>
      <w:autoSpaceDN w:val="0"/>
      <w:ind w:left="1426" w:hanging="568"/>
    </w:pPr>
    <w:rPr>
      <w:sz w:val="22"/>
      <w:szCs w:val="22"/>
      <w:lang w:val="en-US"/>
    </w:rPr>
  </w:style>
  <w:style w:type="character" w:styleId="Hyperlink">
    <w:name w:val="Hyperlink"/>
    <w:basedOn w:val="Standardskrifttypeiafsnit"/>
    <w:uiPriority w:val="99"/>
    <w:semiHidden/>
    <w:unhideWhenUsed/>
    <w:rsid w:val="00C7249D"/>
    <w:rPr>
      <w:color w:val="0563C1" w:themeColor="hyperlink"/>
      <w:u w:val="single"/>
    </w:rPr>
  </w:style>
  <w:style w:type="paragraph" w:customStyle="1" w:styleId="Default">
    <w:name w:val="Default"/>
    <w:rsid w:val="00C7249D"/>
    <w:pPr>
      <w:autoSpaceDE w:val="0"/>
      <w:autoSpaceDN w:val="0"/>
      <w:adjustRightInd w:val="0"/>
    </w:pPr>
    <w:rPr>
      <w:color w:val="000000"/>
      <w:sz w:val="24"/>
      <w:szCs w:val="24"/>
      <w:lang w:val="en-US"/>
    </w:rPr>
  </w:style>
  <w:style w:type="table" w:styleId="Tabel-Gitter">
    <w:name w:val="Table Grid"/>
    <w:basedOn w:val="Tabel-Normal"/>
    <w:uiPriority w:val="59"/>
    <w:rsid w:val="00C7249D"/>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semiHidden/>
    <w:rsid w:val="00C7249D"/>
    <w:rPr>
      <w:b/>
      <w:bCs/>
      <w:sz w:val="22"/>
      <w:szCs w:val="22"/>
      <w:lang w:val="en-US" w:eastAsia="en-US"/>
    </w:rPr>
  </w:style>
  <w:style w:type="paragraph" w:styleId="Brdtekst">
    <w:name w:val="Body Text"/>
    <w:basedOn w:val="Normal"/>
    <w:link w:val="BrdtekstTegn"/>
    <w:uiPriority w:val="1"/>
    <w:semiHidden/>
    <w:unhideWhenUsed/>
    <w:qFormat/>
    <w:rsid w:val="00C7249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C7249D"/>
    <w:rPr>
      <w:sz w:val="22"/>
      <w:szCs w:val="22"/>
      <w:lang w:val="en-US" w:eastAsia="en-US"/>
    </w:rPr>
  </w:style>
  <w:style w:type="paragraph" w:customStyle="1" w:styleId="TableParagraph">
    <w:name w:val="Table Paragraph"/>
    <w:basedOn w:val="Normal"/>
    <w:uiPriority w:val="1"/>
    <w:qFormat/>
    <w:rsid w:val="00C7249D"/>
    <w:pPr>
      <w:widowControl w:val="0"/>
      <w:autoSpaceDE w:val="0"/>
      <w:autoSpaceDN w:val="0"/>
      <w:ind w:left="107"/>
    </w:pPr>
    <w:rPr>
      <w:sz w:val="22"/>
      <w:szCs w:val="22"/>
      <w:lang w:val="en-US"/>
    </w:rPr>
  </w:style>
  <w:style w:type="table" w:customStyle="1" w:styleId="TableNormal1">
    <w:name w:val="Table Normal1"/>
    <w:uiPriority w:val="2"/>
    <w:semiHidden/>
    <w:qFormat/>
    <w:rsid w:val="00C7249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5887">
      <w:bodyDiv w:val="1"/>
      <w:marLeft w:val="0"/>
      <w:marRight w:val="0"/>
      <w:marTop w:val="0"/>
      <w:marBottom w:val="0"/>
      <w:divBdr>
        <w:top w:val="none" w:sz="0" w:space="0" w:color="auto"/>
        <w:left w:val="none" w:sz="0" w:space="0" w:color="auto"/>
        <w:bottom w:val="none" w:sz="0" w:space="0" w:color="auto"/>
        <w:right w:val="none" w:sz="0" w:space="0" w:color="auto"/>
      </w:divBdr>
    </w:div>
    <w:div w:id="1504860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582168">
      <w:bodyDiv w:val="1"/>
      <w:marLeft w:val="0"/>
      <w:marRight w:val="0"/>
      <w:marTop w:val="0"/>
      <w:marBottom w:val="0"/>
      <w:divBdr>
        <w:top w:val="none" w:sz="0" w:space="0" w:color="auto"/>
        <w:left w:val="none" w:sz="0" w:space="0" w:color="auto"/>
        <w:bottom w:val="none" w:sz="0" w:space="0" w:color="auto"/>
        <w:right w:val="none" w:sz="0" w:space="0" w:color="auto"/>
      </w:divBdr>
    </w:div>
    <w:div w:id="265815374">
      <w:bodyDiv w:val="1"/>
      <w:marLeft w:val="0"/>
      <w:marRight w:val="0"/>
      <w:marTop w:val="0"/>
      <w:marBottom w:val="0"/>
      <w:divBdr>
        <w:top w:val="none" w:sz="0" w:space="0" w:color="auto"/>
        <w:left w:val="none" w:sz="0" w:space="0" w:color="auto"/>
        <w:bottom w:val="none" w:sz="0" w:space="0" w:color="auto"/>
        <w:right w:val="none" w:sz="0" w:space="0" w:color="auto"/>
      </w:divBdr>
    </w:div>
    <w:div w:id="303584836">
      <w:bodyDiv w:val="1"/>
      <w:marLeft w:val="0"/>
      <w:marRight w:val="0"/>
      <w:marTop w:val="0"/>
      <w:marBottom w:val="0"/>
      <w:divBdr>
        <w:top w:val="none" w:sz="0" w:space="0" w:color="auto"/>
        <w:left w:val="none" w:sz="0" w:space="0" w:color="auto"/>
        <w:bottom w:val="none" w:sz="0" w:space="0" w:color="auto"/>
        <w:right w:val="none" w:sz="0" w:space="0" w:color="auto"/>
      </w:divBdr>
    </w:div>
    <w:div w:id="332489456">
      <w:bodyDiv w:val="1"/>
      <w:marLeft w:val="0"/>
      <w:marRight w:val="0"/>
      <w:marTop w:val="0"/>
      <w:marBottom w:val="0"/>
      <w:divBdr>
        <w:top w:val="none" w:sz="0" w:space="0" w:color="auto"/>
        <w:left w:val="none" w:sz="0" w:space="0" w:color="auto"/>
        <w:bottom w:val="none" w:sz="0" w:space="0" w:color="auto"/>
        <w:right w:val="none" w:sz="0" w:space="0" w:color="auto"/>
      </w:divBdr>
    </w:div>
    <w:div w:id="470942835">
      <w:bodyDiv w:val="1"/>
      <w:marLeft w:val="0"/>
      <w:marRight w:val="0"/>
      <w:marTop w:val="0"/>
      <w:marBottom w:val="0"/>
      <w:divBdr>
        <w:top w:val="none" w:sz="0" w:space="0" w:color="auto"/>
        <w:left w:val="none" w:sz="0" w:space="0" w:color="auto"/>
        <w:bottom w:val="none" w:sz="0" w:space="0" w:color="auto"/>
        <w:right w:val="none" w:sz="0" w:space="0" w:color="auto"/>
      </w:divBdr>
    </w:div>
    <w:div w:id="477189263">
      <w:bodyDiv w:val="1"/>
      <w:marLeft w:val="0"/>
      <w:marRight w:val="0"/>
      <w:marTop w:val="0"/>
      <w:marBottom w:val="0"/>
      <w:divBdr>
        <w:top w:val="none" w:sz="0" w:space="0" w:color="auto"/>
        <w:left w:val="none" w:sz="0" w:space="0" w:color="auto"/>
        <w:bottom w:val="none" w:sz="0" w:space="0" w:color="auto"/>
        <w:right w:val="none" w:sz="0" w:space="0" w:color="auto"/>
      </w:divBdr>
    </w:div>
    <w:div w:id="585847689">
      <w:bodyDiv w:val="1"/>
      <w:marLeft w:val="0"/>
      <w:marRight w:val="0"/>
      <w:marTop w:val="0"/>
      <w:marBottom w:val="0"/>
      <w:divBdr>
        <w:top w:val="none" w:sz="0" w:space="0" w:color="auto"/>
        <w:left w:val="none" w:sz="0" w:space="0" w:color="auto"/>
        <w:bottom w:val="none" w:sz="0" w:space="0" w:color="auto"/>
        <w:right w:val="none" w:sz="0" w:space="0" w:color="auto"/>
      </w:divBdr>
    </w:div>
    <w:div w:id="620768034">
      <w:bodyDiv w:val="1"/>
      <w:marLeft w:val="0"/>
      <w:marRight w:val="0"/>
      <w:marTop w:val="0"/>
      <w:marBottom w:val="0"/>
      <w:divBdr>
        <w:top w:val="none" w:sz="0" w:space="0" w:color="auto"/>
        <w:left w:val="none" w:sz="0" w:space="0" w:color="auto"/>
        <w:bottom w:val="none" w:sz="0" w:space="0" w:color="auto"/>
        <w:right w:val="none" w:sz="0" w:space="0" w:color="auto"/>
      </w:divBdr>
    </w:div>
    <w:div w:id="801506174">
      <w:bodyDiv w:val="1"/>
      <w:marLeft w:val="0"/>
      <w:marRight w:val="0"/>
      <w:marTop w:val="0"/>
      <w:marBottom w:val="0"/>
      <w:divBdr>
        <w:top w:val="none" w:sz="0" w:space="0" w:color="auto"/>
        <w:left w:val="none" w:sz="0" w:space="0" w:color="auto"/>
        <w:bottom w:val="none" w:sz="0" w:space="0" w:color="auto"/>
        <w:right w:val="none" w:sz="0" w:space="0" w:color="auto"/>
      </w:divBdr>
    </w:div>
    <w:div w:id="861940779">
      <w:bodyDiv w:val="1"/>
      <w:marLeft w:val="0"/>
      <w:marRight w:val="0"/>
      <w:marTop w:val="0"/>
      <w:marBottom w:val="0"/>
      <w:divBdr>
        <w:top w:val="none" w:sz="0" w:space="0" w:color="auto"/>
        <w:left w:val="none" w:sz="0" w:space="0" w:color="auto"/>
        <w:bottom w:val="none" w:sz="0" w:space="0" w:color="auto"/>
        <w:right w:val="none" w:sz="0" w:space="0" w:color="auto"/>
      </w:divBdr>
    </w:div>
    <w:div w:id="873496358">
      <w:bodyDiv w:val="1"/>
      <w:marLeft w:val="0"/>
      <w:marRight w:val="0"/>
      <w:marTop w:val="0"/>
      <w:marBottom w:val="0"/>
      <w:divBdr>
        <w:top w:val="none" w:sz="0" w:space="0" w:color="auto"/>
        <w:left w:val="none" w:sz="0" w:space="0" w:color="auto"/>
        <w:bottom w:val="none" w:sz="0" w:space="0" w:color="auto"/>
        <w:right w:val="none" w:sz="0" w:space="0" w:color="auto"/>
      </w:divBdr>
    </w:div>
    <w:div w:id="935360601">
      <w:bodyDiv w:val="1"/>
      <w:marLeft w:val="0"/>
      <w:marRight w:val="0"/>
      <w:marTop w:val="0"/>
      <w:marBottom w:val="0"/>
      <w:divBdr>
        <w:top w:val="none" w:sz="0" w:space="0" w:color="auto"/>
        <w:left w:val="none" w:sz="0" w:space="0" w:color="auto"/>
        <w:bottom w:val="none" w:sz="0" w:space="0" w:color="auto"/>
        <w:right w:val="none" w:sz="0" w:space="0" w:color="auto"/>
      </w:divBdr>
    </w:div>
    <w:div w:id="1082066811">
      <w:bodyDiv w:val="1"/>
      <w:marLeft w:val="0"/>
      <w:marRight w:val="0"/>
      <w:marTop w:val="0"/>
      <w:marBottom w:val="0"/>
      <w:divBdr>
        <w:top w:val="none" w:sz="0" w:space="0" w:color="auto"/>
        <w:left w:val="none" w:sz="0" w:space="0" w:color="auto"/>
        <w:bottom w:val="none" w:sz="0" w:space="0" w:color="auto"/>
        <w:right w:val="none" w:sz="0" w:space="0" w:color="auto"/>
      </w:divBdr>
    </w:div>
    <w:div w:id="1116218970">
      <w:bodyDiv w:val="1"/>
      <w:marLeft w:val="0"/>
      <w:marRight w:val="0"/>
      <w:marTop w:val="0"/>
      <w:marBottom w:val="0"/>
      <w:divBdr>
        <w:top w:val="none" w:sz="0" w:space="0" w:color="auto"/>
        <w:left w:val="none" w:sz="0" w:space="0" w:color="auto"/>
        <w:bottom w:val="none" w:sz="0" w:space="0" w:color="auto"/>
        <w:right w:val="none" w:sz="0" w:space="0" w:color="auto"/>
      </w:divBdr>
    </w:div>
    <w:div w:id="1180894539">
      <w:bodyDiv w:val="1"/>
      <w:marLeft w:val="0"/>
      <w:marRight w:val="0"/>
      <w:marTop w:val="0"/>
      <w:marBottom w:val="0"/>
      <w:divBdr>
        <w:top w:val="none" w:sz="0" w:space="0" w:color="auto"/>
        <w:left w:val="none" w:sz="0" w:space="0" w:color="auto"/>
        <w:bottom w:val="none" w:sz="0" w:space="0" w:color="auto"/>
        <w:right w:val="none" w:sz="0" w:space="0" w:color="auto"/>
      </w:divBdr>
    </w:div>
    <w:div w:id="1381199550">
      <w:bodyDiv w:val="1"/>
      <w:marLeft w:val="0"/>
      <w:marRight w:val="0"/>
      <w:marTop w:val="0"/>
      <w:marBottom w:val="0"/>
      <w:divBdr>
        <w:top w:val="none" w:sz="0" w:space="0" w:color="auto"/>
        <w:left w:val="none" w:sz="0" w:space="0" w:color="auto"/>
        <w:bottom w:val="none" w:sz="0" w:space="0" w:color="auto"/>
        <w:right w:val="none" w:sz="0" w:space="0" w:color="auto"/>
      </w:divBdr>
    </w:div>
    <w:div w:id="1402946121">
      <w:bodyDiv w:val="1"/>
      <w:marLeft w:val="0"/>
      <w:marRight w:val="0"/>
      <w:marTop w:val="0"/>
      <w:marBottom w:val="0"/>
      <w:divBdr>
        <w:top w:val="none" w:sz="0" w:space="0" w:color="auto"/>
        <w:left w:val="none" w:sz="0" w:space="0" w:color="auto"/>
        <w:bottom w:val="none" w:sz="0" w:space="0" w:color="auto"/>
        <w:right w:val="none" w:sz="0" w:space="0" w:color="auto"/>
      </w:divBdr>
    </w:div>
    <w:div w:id="1424187821">
      <w:bodyDiv w:val="1"/>
      <w:marLeft w:val="0"/>
      <w:marRight w:val="0"/>
      <w:marTop w:val="0"/>
      <w:marBottom w:val="0"/>
      <w:divBdr>
        <w:top w:val="none" w:sz="0" w:space="0" w:color="auto"/>
        <w:left w:val="none" w:sz="0" w:space="0" w:color="auto"/>
        <w:bottom w:val="none" w:sz="0" w:space="0" w:color="auto"/>
        <w:right w:val="none" w:sz="0" w:space="0" w:color="auto"/>
      </w:divBdr>
    </w:div>
    <w:div w:id="16438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8</TotalTime>
  <Pages>28</Pages>
  <Words>10148</Words>
  <Characters>63502</Characters>
  <Application>Microsoft Office Word</Application>
  <DocSecurity>0</DocSecurity>
  <Lines>529</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2023102692 + 2023102695 _x000d_
pkt. 2, 3, 4.8 og 6.1.</dc:description>
  <cp:lastModifiedBy>Victoria Alexsandra Ringgaard</cp:lastModifiedBy>
  <cp:revision>4</cp:revision>
  <cp:lastPrinted>2012-08-22T08:53:00Z</cp:lastPrinted>
  <dcterms:created xsi:type="dcterms:W3CDTF">2024-05-08T11:01:00Z</dcterms:created>
  <dcterms:modified xsi:type="dcterms:W3CDTF">2024-05-30T11:52:00Z</dcterms:modified>
</cp:coreProperties>
</file>