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81958" w14:textId="2E241470" w:rsidR="009260DE" w:rsidRPr="00AD7BA1" w:rsidRDefault="0021526C" w:rsidP="00BB5D0F">
      <w:pPr>
        <w:rPr>
          <w:b/>
          <w:sz w:val="24"/>
          <w:szCs w:val="24"/>
        </w:rPr>
      </w:pPr>
      <w:r w:rsidRPr="00AD7BA1">
        <w:rPr>
          <w:noProof/>
          <w:sz w:val="24"/>
          <w:szCs w:val="24"/>
          <w:lang w:eastAsia="da-DK"/>
        </w:rPr>
        <w:drawing>
          <wp:anchor distT="0" distB="0" distL="114300" distR="114300" simplePos="0" relativeHeight="251658240" behindDoc="0" locked="0" layoutInCell="1" allowOverlap="1" wp14:anchorId="77E22207" wp14:editId="39404C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D7BA1">
        <w:rPr>
          <w:sz w:val="24"/>
          <w:szCs w:val="24"/>
        </w:rPr>
        <w:br w:type="textWrapping" w:clear="all"/>
      </w:r>
    </w:p>
    <w:p w14:paraId="4401064E" w14:textId="6EBECD5B" w:rsidR="009260DE" w:rsidRPr="00AD7BA1" w:rsidRDefault="009260DE" w:rsidP="009260DE">
      <w:pPr>
        <w:pStyle w:val="Titel"/>
        <w:tabs>
          <w:tab w:val="right" w:pos="9356"/>
        </w:tabs>
        <w:jc w:val="left"/>
        <w:rPr>
          <w:b w:val="0"/>
          <w:szCs w:val="24"/>
          <w:lang w:eastAsia="en-US"/>
        </w:rPr>
      </w:pPr>
      <w:r w:rsidRPr="00AD7BA1">
        <w:rPr>
          <w:b w:val="0"/>
          <w:szCs w:val="24"/>
          <w:lang w:eastAsia="en-US"/>
        </w:rPr>
        <w:tab/>
      </w:r>
      <w:r w:rsidR="00D1063F">
        <w:rPr>
          <w:szCs w:val="24"/>
        </w:rPr>
        <w:t>2</w:t>
      </w:r>
      <w:r w:rsidR="009C7B12">
        <w:rPr>
          <w:szCs w:val="24"/>
        </w:rPr>
        <w:t>6</w:t>
      </w:r>
      <w:r w:rsidR="007008F5">
        <w:rPr>
          <w:szCs w:val="24"/>
        </w:rPr>
        <w:t>. februar 2025</w:t>
      </w:r>
    </w:p>
    <w:p w14:paraId="765BC728" w14:textId="77777777" w:rsidR="009260DE" w:rsidRPr="00AD7BA1" w:rsidRDefault="009260DE" w:rsidP="009260DE">
      <w:pPr>
        <w:pStyle w:val="Titel"/>
        <w:tabs>
          <w:tab w:val="left" w:pos="8222"/>
        </w:tabs>
        <w:jc w:val="left"/>
        <w:rPr>
          <w:b w:val="0"/>
          <w:szCs w:val="24"/>
        </w:rPr>
      </w:pPr>
    </w:p>
    <w:p w14:paraId="39F44E28" w14:textId="77777777" w:rsidR="009260DE" w:rsidRPr="00AD7BA1" w:rsidRDefault="009260DE" w:rsidP="009260DE">
      <w:pPr>
        <w:pStyle w:val="Titel"/>
        <w:jc w:val="left"/>
        <w:rPr>
          <w:b w:val="0"/>
          <w:szCs w:val="24"/>
        </w:rPr>
      </w:pPr>
    </w:p>
    <w:p w14:paraId="6C671B7C" w14:textId="77777777" w:rsidR="009260DE" w:rsidRPr="00AD7BA1" w:rsidRDefault="009260DE" w:rsidP="009260DE">
      <w:pPr>
        <w:pStyle w:val="Titel"/>
        <w:jc w:val="left"/>
        <w:rPr>
          <w:b w:val="0"/>
          <w:szCs w:val="24"/>
        </w:rPr>
      </w:pPr>
    </w:p>
    <w:p w14:paraId="4A9664C6" w14:textId="77777777" w:rsidR="009260DE" w:rsidRPr="00AD7BA1" w:rsidRDefault="009260DE" w:rsidP="009260DE">
      <w:pPr>
        <w:jc w:val="center"/>
        <w:rPr>
          <w:b/>
          <w:sz w:val="24"/>
          <w:szCs w:val="24"/>
        </w:rPr>
      </w:pPr>
      <w:r w:rsidRPr="00AD7BA1">
        <w:rPr>
          <w:b/>
          <w:sz w:val="24"/>
          <w:szCs w:val="24"/>
        </w:rPr>
        <w:t>PRODUKTRESUMÉ</w:t>
      </w:r>
    </w:p>
    <w:p w14:paraId="06A4DC2C" w14:textId="77777777" w:rsidR="009260DE" w:rsidRPr="00AD7BA1" w:rsidRDefault="009260DE" w:rsidP="009260DE">
      <w:pPr>
        <w:jc w:val="center"/>
        <w:rPr>
          <w:b/>
          <w:sz w:val="24"/>
          <w:szCs w:val="24"/>
        </w:rPr>
      </w:pPr>
    </w:p>
    <w:p w14:paraId="7D9F2819" w14:textId="77777777" w:rsidR="009260DE" w:rsidRPr="00AD7BA1" w:rsidRDefault="009260DE" w:rsidP="009260DE">
      <w:pPr>
        <w:jc w:val="center"/>
        <w:rPr>
          <w:b/>
          <w:sz w:val="24"/>
          <w:szCs w:val="24"/>
        </w:rPr>
      </w:pPr>
      <w:r w:rsidRPr="00AD7BA1">
        <w:rPr>
          <w:b/>
          <w:sz w:val="24"/>
          <w:szCs w:val="24"/>
        </w:rPr>
        <w:t>for</w:t>
      </w:r>
    </w:p>
    <w:p w14:paraId="5DD2360D" w14:textId="77777777" w:rsidR="000B058C" w:rsidRPr="00AD7BA1" w:rsidRDefault="000B058C" w:rsidP="009260DE">
      <w:pPr>
        <w:jc w:val="center"/>
        <w:rPr>
          <w:b/>
          <w:sz w:val="24"/>
          <w:szCs w:val="24"/>
        </w:rPr>
      </w:pPr>
    </w:p>
    <w:p w14:paraId="64706B02" w14:textId="500940E1" w:rsidR="009260DE" w:rsidRPr="00AD7BA1" w:rsidRDefault="00FF112A" w:rsidP="009260DE">
      <w:pPr>
        <w:jc w:val="center"/>
        <w:rPr>
          <w:b/>
          <w:sz w:val="24"/>
          <w:szCs w:val="24"/>
        </w:rPr>
      </w:pPr>
      <w:r w:rsidRPr="00AD7BA1">
        <w:rPr>
          <w:b/>
          <w:sz w:val="24"/>
          <w:szCs w:val="24"/>
        </w:rPr>
        <w:t>Rixacam, filmovertrukne tabletter 2,5 mg</w:t>
      </w:r>
    </w:p>
    <w:p w14:paraId="47C62735" w14:textId="77777777" w:rsidR="009260DE" w:rsidRPr="00AD7BA1" w:rsidRDefault="009260DE" w:rsidP="009260DE">
      <w:pPr>
        <w:jc w:val="both"/>
        <w:rPr>
          <w:sz w:val="24"/>
          <w:szCs w:val="24"/>
        </w:rPr>
      </w:pPr>
    </w:p>
    <w:p w14:paraId="17DB0348" w14:textId="77777777" w:rsidR="009260DE" w:rsidRPr="00AD7BA1" w:rsidRDefault="009260DE" w:rsidP="009260DE">
      <w:pPr>
        <w:jc w:val="both"/>
        <w:rPr>
          <w:sz w:val="24"/>
          <w:szCs w:val="24"/>
        </w:rPr>
      </w:pPr>
    </w:p>
    <w:p w14:paraId="4819B1A1" w14:textId="77777777" w:rsidR="009260DE" w:rsidRPr="00AD7BA1" w:rsidRDefault="009260DE" w:rsidP="009260DE">
      <w:pPr>
        <w:tabs>
          <w:tab w:val="left" w:pos="851"/>
        </w:tabs>
        <w:ind w:left="851" w:hanging="851"/>
        <w:rPr>
          <w:b/>
          <w:sz w:val="24"/>
          <w:szCs w:val="24"/>
        </w:rPr>
      </w:pPr>
      <w:r w:rsidRPr="00AD7BA1">
        <w:rPr>
          <w:b/>
          <w:sz w:val="24"/>
          <w:szCs w:val="24"/>
        </w:rPr>
        <w:t>0.</w:t>
      </w:r>
      <w:r w:rsidRPr="00AD7BA1">
        <w:rPr>
          <w:b/>
          <w:sz w:val="24"/>
          <w:szCs w:val="24"/>
        </w:rPr>
        <w:tab/>
        <w:t>D.SP.NR.</w:t>
      </w:r>
    </w:p>
    <w:p w14:paraId="1CC04A7A" w14:textId="745AFF57" w:rsidR="009260DE" w:rsidRPr="00AD7BA1" w:rsidRDefault="00EF6587" w:rsidP="009260DE">
      <w:pPr>
        <w:tabs>
          <w:tab w:val="left" w:pos="851"/>
        </w:tabs>
        <w:ind w:left="851"/>
        <w:rPr>
          <w:sz w:val="24"/>
          <w:szCs w:val="24"/>
        </w:rPr>
      </w:pPr>
      <w:r w:rsidRPr="00AD7BA1">
        <w:rPr>
          <w:sz w:val="24"/>
          <w:szCs w:val="24"/>
        </w:rPr>
        <w:t>32245</w:t>
      </w:r>
    </w:p>
    <w:p w14:paraId="17F5EDC2" w14:textId="77777777" w:rsidR="009260DE" w:rsidRPr="00AD7BA1" w:rsidRDefault="009260DE" w:rsidP="009260DE">
      <w:pPr>
        <w:tabs>
          <w:tab w:val="left" w:pos="851"/>
        </w:tabs>
        <w:ind w:left="851"/>
        <w:rPr>
          <w:sz w:val="24"/>
          <w:szCs w:val="24"/>
        </w:rPr>
      </w:pPr>
    </w:p>
    <w:p w14:paraId="50AEF13C" w14:textId="77777777" w:rsidR="009260DE" w:rsidRPr="00AD7BA1" w:rsidRDefault="009260DE" w:rsidP="009260DE">
      <w:pPr>
        <w:tabs>
          <w:tab w:val="left" w:pos="851"/>
        </w:tabs>
        <w:ind w:left="851" w:hanging="851"/>
        <w:rPr>
          <w:b/>
          <w:sz w:val="24"/>
          <w:szCs w:val="24"/>
        </w:rPr>
      </w:pPr>
      <w:r w:rsidRPr="00AD7BA1">
        <w:rPr>
          <w:b/>
          <w:sz w:val="24"/>
          <w:szCs w:val="24"/>
        </w:rPr>
        <w:t>1.</w:t>
      </w:r>
      <w:r w:rsidRPr="00AD7BA1">
        <w:rPr>
          <w:b/>
          <w:sz w:val="24"/>
          <w:szCs w:val="24"/>
        </w:rPr>
        <w:tab/>
        <w:t>LÆGEMIDLETS NAVN</w:t>
      </w:r>
    </w:p>
    <w:p w14:paraId="626968C1" w14:textId="54C9E534" w:rsidR="009260DE" w:rsidRPr="00AD7BA1" w:rsidRDefault="00EF6587" w:rsidP="009260DE">
      <w:pPr>
        <w:tabs>
          <w:tab w:val="left" w:pos="851"/>
        </w:tabs>
        <w:ind w:left="851"/>
        <w:rPr>
          <w:sz w:val="24"/>
          <w:szCs w:val="24"/>
        </w:rPr>
      </w:pPr>
      <w:r w:rsidRPr="00AD7BA1">
        <w:rPr>
          <w:sz w:val="24"/>
          <w:szCs w:val="24"/>
        </w:rPr>
        <w:t>Rixacam</w:t>
      </w:r>
    </w:p>
    <w:p w14:paraId="00E4ABC7" w14:textId="77777777" w:rsidR="009260DE" w:rsidRPr="00AD7BA1" w:rsidRDefault="009260DE" w:rsidP="009260DE">
      <w:pPr>
        <w:tabs>
          <w:tab w:val="left" w:pos="851"/>
        </w:tabs>
        <w:ind w:left="851"/>
        <w:rPr>
          <w:sz w:val="24"/>
          <w:szCs w:val="24"/>
        </w:rPr>
      </w:pPr>
    </w:p>
    <w:p w14:paraId="5F9EA7D7" w14:textId="77777777" w:rsidR="009260DE" w:rsidRPr="00AD7BA1" w:rsidRDefault="009260DE" w:rsidP="009260DE">
      <w:pPr>
        <w:tabs>
          <w:tab w:val="left" w:pos="851"/>
        </w:tabs>
        <w:ind w:left="851" w:hanging="851"/>
        <w:rPr>
          <w:b/>
          <w:sz w:val="24"/>
          <w:szCs w:val="24"/>
        </w:rPr>
      </w:pPr>
      <w:r w:rsidRPr="00AD7BA1">
        <w:rPr>
          <w:b/>
          <w:sz w:val="24"/>
          <w:szCs w:val="24"/>
        </w:rPr>
        <w:t>2.</w:t>
      </w:r>
      <w:r w:rsidRPr="00AD7BA1">
        <w:rPr>
          <w:b/>
          <w:sz w:val="24"/>
          <w:szCs w:val="24"/>
        </w:rPr>
        <w:tab/>
        <w:t>KVALITATIV OG KVANTITATIV SAMMENSÆTNING</w:t>
      </w:r>
    </w:p>
    <w:p w14:paraId="1E97DE82" w14:textId="5A8E01C6" w:rsidR="0068338F" w:rsidRPr="00AD7BA1" w:rsidRDefault="009F6A93" w:rsidP="00BB5D0F">
      <w:pPr>
        <w:ind w:left="851"/>
        <w:rPr>
          <w:sz w:val="24"/>
          <w:szCs w:val="24"/>
        </w:rPr>
      </w:pPr>
      <w:r w:rsidRPr="00AD7BA1">
        <w:rPr>
          <w:sz w:val="24"/>
          <w:szCs w:val="24"/>
        </w:rPr>
        <w:t>Hver filmovertrukke</w:t>
      </w:r>
      <w:r w:rsidR="00611AD5" w:rsidRPr="00AD7BA1">
        <w:rPr>
          <w:sz w:val="24"/>
          <w:szCs w:val="24"/>
        </w:rPr>
        <w:t>t</w:t>
      </w:r>
      <w:r w:rsidRPr="00AD7BA1">
        <w:rPr>
          <w:sz w:val="24"/>
          <w:szCs w:val="24"/>
        </w:rPr>
        <w:t xml:space="preserve"> tablet indeholder 2,5 mg rivaroxaban. </w:t>
      </w:r>
    </w:p>
    <w:p w14:paraId="068D0400" w14:textId="77777777" w:rsidR="0068338F" w:rsidRPr="00AD7BA1" w:rsidRDefault="0068338F" w:rsidP="00BB5D0F">
      <w:pPr>
        <w:ind w:left="851"/>
        <w:rPr>
          <w:sz w:val="24"/>
          <w:szCs w:val="24"/>
        </w:rPr>
      </w:pPr>
    </w:p>
    <w:p w14:paraId="1145206A" w14:textId="433FEDA7" w:rsidR="009F6A93" w:rsidRPr="00AD7BA1" w:rsidRDefault="009F6A93" w:rsidP="00BB5D0F">
      <w:pPr>
        <w:ind w:left="851"/>
        <w:rPr>
          <w:sz w:val="24"/>
          <w:szCs w:val="24"/>
          <w:u w:val="single"/>
        </w:rPr>
      </w:pPr>
      <w:r w:rsidRPr="00AD7BA1">
        <w:rPr>
          <w:sz w:val="24"/>
          <w:szCs w:val="24"/>
          <w:u w:val="single"/>
        </w:rPr>
        <w:t>Hjælpestof, som behandleren skal være opmærksom på</w:t>
      </w:r>
    </w:p>
    <w:p w14:paraId="23F93490" w14:textId="0F3956A4" w:rsidR="009F6A93" w:rsidRPr="00AD7BA1" w:rsidRDefault="009F6A93" w:rsidP="00BB5D0F">
      <w:pPr>
        <w:ind w:left="851"/>
        <w:rPr>
          <w:sz w:val="24"/>
          <w:szCs w:val="24"/>
        </w:rPr>
      </w:pPr>
      <w:r w:rsidRPr="00AD7BA1">
        <w:rPr>
          <w:sz w:val="24"/>
          <w:szCs w:val="24"/>
        </w:rPr>
        <w:t>Hver filmovertrukke</w:t>
      </w:r>
      <w:r w:rsidR="0068338F" w:rsidRPr="00AD7BA1">
        <w:rPr>
          <w:sz w:val="24"/>
          <w:szCs w:val="24"/>
        </w:rPr>
        <w:t>t</w:t>
      </w:r>
      <w:r w:rsidRPr="00AD7BA1">
        <w:rPr>
          <w:sz w:val="24"/>
          <w:szCs w:val="24"/>
        </w:rPr>
        <w:t xml:space="preserve"> tablet indeholder 25,0 mg lactose (som monohydrat), se pkt. 4.4.</w:t>
      </w:r>
    </w:p>
    <w:p w14:paraId="2A6238AD" w14:textId="77777777" w:rsidR="009F6A93" w:rsidRPr="00AD7BA1" w:rsidRDefault="009F6A93" w:rsidP="00BB5D0F">
      <w:pPr>
        <w:ind w:left="851"/>
        <w:rPr>
          <w:sz w:val="24"/>
          <w:szCs w:val="24"/>
        </w:rPr>
      </w:pPr>
    </w:p>
    <w:p w14:paraId="15251FD0" w14:textId="77777777" w:rsidR="009F6A93" w:rsidRPr="00AD7BA1" w:rsidRDefault="009F6A93" w:rsidP="00BB5D0F">
      <w:pPr>
        <w:ind w:left="851"/>
        <w:rPr>
          <w:sz w:val="24"/>
          <w:szCs w:val="24"/>
        </w:rPr>
      </w:pPr>
      <w:r w:rsidRPr="00AD7BA1">
        <w:rPr>
          <w:sz w:val="24"/>
          <w:szCs w:val="24"/>
        </w:rPr>
        <w:t>Alle hjælpestoffer er anført under pkt. 6.1.</w:t>
      </w:r>
    </w:p>
    <w:p w14:paraId="7A4B5D87" w14:textId="77777777" w:rsidR="009260DE" w:rsidRPr="00AD7BA1" w:rsidRDefault="009260DE" w:rsidP="009260DE">
      <w:pPr>
        <w:tabs>
          <w:tab w:val="left" w:pos="851"/>
        </w:tabs>
        <w:ind w:left="851"/>
        <w:rPr>
          <w:sz w:val="24"/>
          <w:szCs w:val="24"/>
        </w:rPr>
      </w:pPr>
    </w:p>
    <w:p w14:paraId="384FFFFA" w14:textId="77777777" w:rsidR="009260DE" w:rsidRPr="00AD7BA1" w:rsidRDefault="009260DE" w:rsidP="009260DE">
      <w:pPr>
        <w:tabs>
          <w:tab w:val="left" w:pos="851"/>
        </w:tabs>
        <w:ind w:left="851" w:hanging="851"/>
        <w:rPr>
          <w:b/>
          <w:sz w:val="24"/>
          <w:szCs w:val="24"/>
        </w:rPr>
      </w:pPr>
      <w:r w:rsidRPr="00AD7BA1">
        <w:rPr>
          <w:b/>
          <w:sz w:val="24"/>
          <w:szCs w:val="24"/>
        </w:rPr>
        <w:t>3.</w:t>
      </w:r>
      <w:r w:rsidRPr="00AD7BA1">
        <w:rPr>
          <w:b/>
          <w:sz w:val="24"/>
          <w:szCs w:val="24"/>
        </w:rPr>
        <w:tab/>
        <w:t>LÆGEMIDDELFORM</w:t>
      </w:r>
    </w:p>
    <w:p w14:paraId="67FDE576" w14:textId="3241384F" w:rsidR="009F6A93" w:rsidRPr="00AD7BA1" w:rsidRDefault="009F6A93" w:rsidP="00BB5D0F">
      <w:pPr>
        <w:ind w:left="851"/>
        <w:rPr>
          <w:sz w:val="24"/>
          <w:szCs w:val="24"/>
        </w:rPr>
      </w:pPr>
      <w:r w:rsidRPr="00AD7BA1">
        <w:rPr>
          <w:sz w:val="24"/>
          <w:szCs w:val="24"/>
        </w:rPr>
        <w:t>Filmovertruk</w:t>
      </w:r>
      <w:r w:rsidR="0068338F" w:rsidRPr="00AD7BA1">
        <w:rPr>
          <w:sz w:val="24"/>
          <w:szCs w:val="24"/>
        </w:rPr>
        <w:t>ne</w:t>
      </w:r>
      <w:r w:rsidRPr="00AD7BA1">
        <w:rPr>
          <w:sz w:val="24"/>
          <w:szCs w:val="24"/>
        </w:rPr>
        <w:t xml:space="preserve"> tablet</w:t>
      </w:r>
      <w:r w:rsidR="0068338F" w:rsidRPr="00AD7BA1">
        <w:rPr>
          <w:sz w:val="24"/>
          <w:szCs w:val="24"/>
        </w:rPr>
        <w:t>ter</w:t>
      </w:r>
      <w:r w:rsidRPr="00AD7BA1">
        <w:rPr>
          <w:sz w:val="24"/>
          <w:szCs w:val="24"/>
        </w:rPr>
        <w:t xml:space="preserve"> (tablet)</w:t>
      </w:r>
    </w:p>
    <w:p w14:paraId="1258DF79" w14:textId="77777777" w:rsidR="009F6A93" w:rsidRPr="00AD7BA1" w:rsidRDefault="009F6A93" w:rsidP="00BB5D0F">
      <w:pPr>
        <w:ind w:left="851"/>
        <w:rPr>
          <w:sz w:val="24"/>
          <w:szCs w:val="24"/>
        </w:rPr>
      </w:pPr>
    </w:p>
    <w:p w14:paraId="7681E53E" w14:textId="77777777" w:rsidR="009F6A93" w:rsidRPr="00AD7BA1" w:rsidRDefault="009F6A93" w:rsidP="00BB5D0F">
      <w:pPr>
        <w:ind w:left="851"/>
        <w:rPr>
          <w:sz w:val="24"/>
          <w:szCs w:val="24"/>
        </w:rPr>
      </w:pPr>
      <w:r w:rsidRPr="00AD7BA1">
        <w:rPr>
          <w:sz w:val="24"/>
          <w:szCs w:val="24"/>
        </w:rPr>
        <w:t>Hvide, runde bikonvekse tabletter (6,3 mm diameter,) mærket med "2,5" på den ene side.</w:t>
      </w:r>
    </w:p>
    <w:p w14:paraId="7823914F" w14:textId="77777777" w:rsidR="009260DE" w:rsidRPr="00AD7BA1" w:rsidRDefault="009260DE" w:rsidP="00BB5D0F">
      <w:pPr>
        <w:ind w:left="851"/>
        <w:rPr>
          <w:sz w:val="24"/>
          <w:szCs w:val="24"/>
        </w:rPr>
      </w:pPr>
    </w:p>
    <w:p w14:paraId="078A8135" w14:textId="77777777" w:rsidR="009260DE" w:rsidRPr="00AD7BA1" w:rsidRDefault="009260DE" w:rsidP="009260DE">
      <w:pPr>
        <w:tabs>
          <w:tab w:val="left" w:pos="851"/>
        </w:tabs>
        <w:ind w:left="851"/>
        <w:rPr>
          <w:sz w:val="24"/>
          <w:szCs w:val="24"/>
        </w:rPr>
      </w:pPr>
    </w:p>
    <w:p w14:paraId="678B8B52" w14:textId="77777777" w:rsidR="009260DE" w:rsidRPr="00AD7BA1" w:rsidRDefault="009260DE" w:rsidP="009260DE">
      <w:pPr>
        <w:tabs>
          <w:tab w:val="left" w:pos="851"/>
        </w:tabs>
        <w:ind w:left="851" w:hanging="851"/>
        <w:rPr>
          <w:b/>
          <w:sz w:val="24"/>
          <w:szCs w:val="24"/>
        </w:rPr>
      </w:pPr>
      <w:r w:rsidRPr="00AD7BA1">
        <w:rPr>
          <w:b/>
          <w:sz w:val="24"/>
          <w:szCs w:val="24"/>
        </w:rPr>
        <w:t>4.</w:t>
      </w:r>
      <w:r w:rsidRPr="00AD7BA1">
        <w:rPr>
          <w:b/>
          <w:sz w:val="24"/>
          <w:szCs w:val="24"/>
        </w:rPr>
        <w:tab/>
        <w:t>KLINISKE OPLYSNINGER</w:t>
      </w:r>
    </w:p>
    <w:p w14:paraId="6F6CA40D" w14:textId="77777777" w:rsidR="009260DE" w:rsidRPr="00AD7BA1" w:rsidRDefault="009260DE" w:rsidP="009260DE">
      <w:pPr>
        <w:tabs>
          <w:tab w:val="left" w:pos="851"/>
        </w:tabs>
        <w:ind w:left="851"/>
        <w:rPr>
          <w:b/>
          <w:sz w:val="24"/>
          <w:szCs w:val="24"/>
        </w:rPr>
      </w:pPr>
    </w:p>
    <w:p w14:paraId="35DE69B4" w14:textId="77777777" w:rsidR="009260DE" w:rsidRPr="00AD7BA1" w:rsidRDefault="009260DE" w:rsidP="009260DE">
      <w:pPr>
        <w:tabs>
          <w:tab w:val="left" w:pos="851"/>
        </w:tabs>
        <w:ind w:left="851" w:hanging="851"/>
        <w:rPr>
          <w:b/>
          <w:sz w:val="24"/>
          <w:szCs w:val="24"/>
          <w:u w:val="single"/>
        </w:rPr>
      </w:pPr>
      <w:r w:rsidRPr="00AD7BA1">
        <w:rPr>
          <w:b/>
          <w:sz w:val="24"/>
          <w:szCs w:val="24"/>
        </w:rPr>
        <w:t>4.1</w:t>
      </w:r>
      <w:r w:rsidRPr="00AD7BA1">
        <w:rPr>
          <w:b/>
          <w:sz w:val="24"/>
          <w:szCs w:val="24"/>
        </w:rPr>
        <w:tab/>
        <w:t>Terapeutiske indikationer</w:t>
      </w:r>
    </w:p>
    <w:p w14:paraId="3D710CB9" w14:textId="77777777" w:rsidR="009F6A93" w:rsidRPr="00AD7BA1" w:rsidRDefault="009F6A93" w:rsidP="00BB5D0F">
      <w:pPr>
        <w:ind w:left="851"/>
        <w:rPr>
          <w:sz w:val="24"/>
          <w:szCs w:val="24"/>
        </w:rPr>
      </w:pPr>
      <w:r w:rsidRPr="00AD7BA1">
        <w:rPr>
          <w:sz w:val="24"/>
          <w:szCs w:val="24"/>
        </w:rPr>
        <w:t>Rixacam, i kombination med acetylsalicylsyre (ASA) eller med ASA og clopidogrel eller ticlopidin, er indiceret til forebyggelse af aterotrombotiske hændelser hos voksne patienter efter et akut koronarsyndrom (AKS) med forhøjede hjertemarkører (se pkt. 4.3, 4.4 og 5.1).</w:t>
      </w:r>
    </w:p>
    <w:p w14:paraId="3501ED40" w14:textId="77777777" w:rsidR="009F6A93" w:rsidRPr="00AD7BA1" w:rsidRDefault="009F6A93" w:rsidP="00BB5D0F">
      <w:pPr>
        <w:ind w:left="851"/>
        <w:rPr>
          <w:sz w:val="24"/>
          <w:szCs w:val="24"/>
        </w:rPr>
      </w:pPr>
    </w:p>
    <w:p w14:paraId="25F77423" w14:textId="77777777" w:rsidR="009F6A93" w:rsidRPr="00AD7BA1" w:rsidRDefault="009F6A93" w:rsidP="00BB5D0F">
      <w:pPr>
        <w:ind w:left="851"/>
        <w:rPr>
          <w:sz w:val="24"/>
          <w:szCs w:val="24"/>
        </w:rPr>
      </w:pPr>
      <w:r w:rsidRPr="00AD7BA1">
        <w:rPr>
          <w:sz w:val="24"/>
          <w:szCs w:val="24"/>
        </w:rPr>
        <w:t>Rixacam, i kombination med acetylsalicylsyre (ASA) er indiceret til forebyggelse af aterotrombotiske hændelser hos voksne patienter med koronararteriesygdom (CAD) eller symptomatisk perifer arteriesygdom (PAD) med høj risiko for iskæmiske hændelser.</w:t>
      </w:r>
    </w:p>
    <w:p w14:paraId="37BA0478" w14:textId="77777777" w:rsidR="009260DE" w:rsidRPr="00AD7BA1" w:rsidRDefault="009260DE" w:rsidP="009260DE">
      <w:pPr>
        <w:tabs>
          <w:tab w:val="left" w:pos="851"/>
        </w:tabs>
        <w:ind w:left="851"/>
        <w:rPr>
          <w:sz w:val="24"/>
          <w:szCs w:val="24"/>
        </w:rPr>
      </w:pPr>
    </w:p>
    <w:p w14:paraId="764A410A" w14:textId="4E64ECCA" w:rsidR="009260DE" w:rsidRPr="00AD7BA1" w:rsidRDefault="009260DE" w:rsidP="009260DE">
      <w:pPr>
        <w:tabs>
          <w:tab w:val="left" w:pos="851"/>
        </w:tabs>
        <w:ind w:left="851" w:hanging="851"/>
        <w:rPr>
          <w:b/>
          <w:sz w:val="24"/>
          <w:szCs w:val="24"/>
        </w:rPr>
      </w:pPr>
      <w:r w:rsidRPr="00AD7BA1">
        <w:rPr>
          <w:b/>
          <w:sz w:val="24"/>
          <w:szCs w:val="24"/>
        </w:rPr>
        <w:t>4.2</w:t>
      </w:r>
      <w:r w:rsidRPr="00AD7BA1">
        <w:rPr>
          <w:b/>
          <w:sz w:val="24"/>
          <w:szCs w:val="24"/>
        </w:rPr>
        <w:tab/>
        <w:t xml:space="preserve">Dosering og </w:t>
      </w:r>
      <w:r w:rsidR="009850F6">
        <w:rPr>
          <w:b/>
          <w:sz w:val="24"/>
          <w:szCs w:val="24"/>
        </w:rPr>
        <w:t>administration</w:t>
      </w:r>
    </w:p>
    <w:p w14:paraId="010B64B4" w14:textId="77777777" w:rsidR="0068338F" w:rsidRPr="00AD7BA1" w:rsidRDefault="0068338F" w:rsidP="00BB5D0F">
      <w:pPr>
        <w:ind w:left="851"/>
        <w:rPr>
          <w:sz w:val="24"/>
          <w:szCs w:val="24"/>
        </w:rPr>
      </w:pPr>
    </w:p>
    <w:p w14:paraId="252817CF" w14:textId="0B1A0A57" w:rsidR="009F6A93" w:rsidRPr="00AD7BA1" w:rsidRDefault="009F6A93" w:rsidP="00BB5D0F">
      <w:pPr>
        <w:ind w:left="851"/>
        <w:rPr>
          <w:sz w:val="24"/>
          <w:szCs w:val="24"/>
          <w:u w:val="single"/>
        </w:rPr>
      </w:pPr>
      <w:r w:rsidRPr="00AD7BA1">
        <w:rPr>
          <w:sz w:val="24"/>
          <w:szCs w:val="24"/>
          <w:u w:val="single"/>
        </w:rPr>
        <w:t>Dosering</w:t>
      </w:r>
    </w:p>
    <w:p w14:paraId="0E26280F" w14:textId="77777777" w:rsidR="009F6A93" w:rsidRPr="00AD7BA1" w:rsidRDefault="009F6A93" w:rsidP="00BB5D0F">
      <w:pPr>
        <w:ind w:left="851"/>
        <w:rPr>
          <w:sz w:val="24"/>
          <w:szCs w:val="24"/>
        </w:rPr>
      </w:pPr>
      <w:r w:rsidRPr="00AD7BA1">
        <w:rPr>
          <w:sz w:val="24"/>
          <w:szCs w:val="24"/>
        </w:rPr>
        <w:t>Den anbefalede dosis er 2,5 mg to gange dagligt.</w:t>
      </w:r>
    </w:p>
    <w:p w14:paraId="68DB8257" w14:textId="77777777" w:rsidR="009F6A93" w:rsidRPr="00AD7BA1" w:rsidRDefault="009F6A93" w:rsidP="00BB5D0F">
      <w:pPr>
        <w:ind w:left="851"/>
        <w:rPr>
          <w:sz w:val="24"/>
          <w:szCs w:val="24"/>
        </w:rPr>
      </w:pPr>
    </w:p>
    <w:p w14:paraId="48243AF7" w14:textId="77777777" w:rsidR="009F6A93" w:rsidRPr="00AD7BA1" w:rsidRDefault="009F6A93" w:rsidP="0068338F">
      <w:pPr>
        <w:pStyle w:val="Listeafsnit"/>
        <w:numPr>
          <w:ilvl w:val="0"/>
          <w:numId w:val="16"/>
        </w:numPr>
        <w:ind w:left="1276" w:hanging="425"/>
        <w:rPr>
          <w:i/>
          <w:sz w:val="24"/>
          <w:szCs w:val="24"/>
          <w:lang w:val="da-DK"/>
        </w:rPr>
      </w:pPr>
      <w:r w:rsidRPr="00AD7BA1">
        <w:rPr>
          <w:i/>
          <w:sz w:val="24"/>
          <w:szCs w:val="24"/>
          <w:lang w:val="da-DK"/>
        </w:rPr>
        <w:t>Akut koronarsyndrom (AKS)</w:t>
      </w:r>
    </w:p>
    <w:p w14:paraId="30F6FD22" w14:textId="070E3C8E" w:rsidR="009F6A93" w:rsidRPr="00AD7BA1" w:rsidRDefault="009F6A93" w:rsidP="00BB5D0F">
      <w:pPr>
        <w:ind w:left="851"/>
        <w:rPr>
          <w:sz w:val="24"/>
          <w:szCs w:val="24"/>
        </w:rPr>
      </w:pPr>
      <w:r w:rsidRPr="00AD7BA1">
        <w:rPr>
          <w:sz w:val="24"/>
          <w:szCs w:val="24"/>
        </w:rPr>
        <w:t xml:space="preserve">Patienter, der tager </w:t>
      </w:r>
      <w:r w:rsidR="00AF6CB0" w:rsidRPr="00AD7BA1">
        <w:rPr>
          <w:sz w:val="24"/>
          <w:szCs w:val="24"/>
        </w:rPr>
        <w:t>Rixacam</w:t>
      </w:r>
      <w:r w:rsidRPr="00AD7BA1">
        <w:rPr>
          <w:sz w:val="24"/>
          <w:szCs w:val="24"/>
        </w:rPr>
        <w:t xml:space="preserve"> 2,5 mg to gange dagligt, bør også tage en daglig dosis på 75 - 100 mg ASA eller en daglig dosis af 75 - 100 mg ASA i tillæg til enten en daglig dosis på 75 mg clopidogrel eller en daglig standarddosis af ticlopidin.</w:t>
      </w:r>
    </w:p>
    <w:p w14:paraId="0E59CE4E" w14:textId="77777777" w:rsidR="009F6A93" w:rsidRPr="00AD7BA1" w:rsidRDefault="009F6A93" w:rsidP="00BB5D0F">
      <w:pPr>
        <w:ind w:left="851"/>
        <w:rPr>
          <w:sz w:val="24"/>
          <w:szCs w:val="24"/>
        </w:rPr>
      </w:pPr>
    </w:p>
    <w:p w14:paraId="5E14C656" w14:textId="77777777" w:rsidR="00BB5D0F" w:rsidRPr="00AD7BA1" w:rsidRDefault="009F6A93" w:rsidP="00BB5D0F">
      <w:pPr>
        <w:ind w:left="851"/>
        <w:rPr>
          <w:sz w:val="24"/>
          <w:szCs w:val="24"/>
        </w:rPr>
      </w:pPr>
      <w:r w:rsidRPr="00AD7BA1">
        <w:rPr>
          <w:sz w:val="24"/>
          <w:szCs w:val="24"/>
        </w:rPr>
        <w:t>Behandlingen af den enkelte patient bør evalueres regelmæssigt, idet risikoen for iskæmiske hændelser holdes op mod risikoen for blødninger. Ved forlængelse af behandlingen ud over 12 måneder skal der foretages en vurdering af den enkelte patient, da erfaring med behandling op til 24 måneder er begrænset (se pkt. 5.1).</w:t>
      </w:r>
    </w:p>
    <w:p w14:paraId="0F49E8AF" w14:textId="6EBD2B83" w:rsidR="009F6A93" w:rsidRPr="00AD7BA1" w:rsidRDefault="009F6A93" w:rsidP="00BB5D0F">
      <w:pPr>
        <w:ind w:left="851"/>
        <w:rPr>
          <w:sz w:val="24"/>
          <w:szCs w:val="24"/>
        </w:rPr>
      </w:pPr>
      <w:r w:rsidRPr="00AD7BA1">
        <w:rPr>
          <w:sz w:val="24"/>
          <w:szCs w:val="24"/>
        </w:rPr>
        <w:t xml:space="preserve">Behandling med </w:t>
      </w:r>
      <w:r w:rsidR="00AF6CB0" w:rsidRPr="00AD7BA1">
        <w:rPr>
          <w:sz w:val="24"/>
          <w:szCs w:val="24"/>
        </w:rPr>
        <w:t>Rixacam</w:t>
      </w:r>
      <w:r w:rsidRPr="00AD7BA1">
        <w:rPr>
          <w:sz w:val="24"/>
          <w:szCs w:val="24"/>
        </w:rPr>
        <w:t xml:space="preserve"> bør startes snarest muligt efter stabilisering af AKS</w:t>
      </w:r>
      <w:r w:rsidR="00AD7BA1">
        <w:rPr>
          <w:sz w:val="24"/>
          <w:szCs w:val="24"/>
        </w:rPr>
        <w:t>-</w:t>
      </w:r>
      <w:r w:rsidRPr="00AD7BA1">
        <w:rPr>
          <w:sz w:val="24"/>
          <w:szCs w:val="24"/>
        </w:rPr>
        <w:t>hændelsen (herunder revaskularisationsprocedurer), tidligst 24 timer efter indlæggelse på hospitalet og på det tidspunkt, hvor parenteral antikoagulationsbehandling normalt ville blive seponeret.</w:t>
      </w:r>
    </w:p>
    <w:p w14:paraId="2170453D" w14:textId="77777777" w:rsidR="009F6A93" w:rsidRPr="00AD7BA1" w:rsidRDefault="009F6A93" w:rsidP="00BB5D0F">
      <w:pPr>
        <w:ind w:left="851"/>
        <w:rPr>
          <w:sz w:val="24"/>
          <w:szCs w:val="24"/>
        </w:rPr>
      </w:pPr>
    </w:p>
    <w:p w14:paraId="6B1CE975" w14:textId="77777777" w:rsidR="009F6A93" w:rsidRPr="00E10279" w:rsidRDefault="009F6A93" w:rsidP="0068338F">
      <w:pPr>
        <w:pStyle w:val="Listeafsnit"/>
        <w:numPr>
          <w:ilvl w:val="0"/>
          <w:numId w:val="16"/>
        </w:numPr>
        <w:ind w:left="1276" w:hanging="425"/>
        <w:rPr>
          <w:i/>
          <w:sz w:val="24"/>
          <w:szCs w:val="24"/>
          <w:lang w:val="sv-SE"/>
        </w:rPr>
      </w:pPr>
      <w:r w:rsidRPr="00E10279">
        <w:rPr>
          <w:i/>
          <w:sz w:val="24"/>
          <w:szCs w:val="24"/>
          <w:lang w:val="sv-SE"/>
        </w:rPr>
        <w:t>Koronararteriesygdom (CAD) /perifer arteriesygdom (PAD)</w:t>
      </w:r>
    </w:p>
    <w:p w14:paraId="4F352577" w14:textId="5C3D138E" w:rsidR="009F6A93" w:rsidRPr="00AD7BA1" w:rsidRDefault="009F6A93" w:rsidP="00BB5D0F">
      <w:pPr>
        <w:ind w:left="851"/>
        <w:rPr>
          <w:sz w:val="24"/>
          <w:szCs w:val="24"/>
        </w:rPr>
      </w:pPr>
      <w:r w:rsidRPr="00AD7BA1">
        <w:rPr>
          <w:sz w:val="24"/>
          <w:szCs w:val="24"/>
        </w:rPr>
        <w:t xml:space="preserve">Patienter, der tager </w:t>
      </w:r>
      <w:r w:rsidR="00AF6CB0" w:rsidRPr="00AD7BA1">
        <w:rPr>
          <w:sz w:val="24"/>
          <w:szCs w:val="24"/>
        </w:rPr>
        <w:t>Rixacam</w:t>
      </w:r>
      <w:r w:rsidRPr="00AD7BA1">
        <w:rPr>
          <w:sz w:val="24"/>
          <w:szCs w:val="24"/>
        </w:rPr>
        <w:t xml:space="preserve"> 2,5 mg to gange dagligt, bør også tage en daglig dosis af 75 - 100 mg ASA.</w:t>
      </w:r>
    </w:p>
    <w:p w14:paraId="44EB18BA" w14:textId="77777777" w:rsidR="009F6A93" w:rsidRPr="00AD7BA1" w:rsidRDefault="009F6A93" w:rsidP="00BB5D0F">
      <w:pPr>
        <w:ind w:left="851"/>
        <w:rPr>
          <w:sz w:val="24"/>
          <w:szCs w:val="24"/>
        </w:rPr>
      </w:pPr>
    </w:p>
    <w:p w14:paraId="0A2070E3" w14:textId="77777777" w:rsidR="009F6A93" w:rsidRPr="00AD7BA1" w:rsidRDefault="009F6A93" w:rsidP="00BB5D0F">
      <w:pPr>
        <w:ind w:left="851"/>
        <w:rPr>
          <w:sz w:val="24"/>
          <w:szCs w:val="24"/>
        </w:rPr>
      </w:pPr>
      <w:r w:rsidRPr="00AD7BA1">
        <w:rPr>
          <w:sz w:val="24"/>
          <w:szCs w:val="24"/>
        </w:rPr>
        <w:t>Hos patienter efter en vellykket revaskulariseringsprocedure i den nedre ekstremitet (kirurgisk eller endovaskulær, herunder hybridprocedurer) som følge af symptomatisk PAD, bør behandlingen ikke startes, før der er opnået hæmostase (se pkt. 5.1).</w:t>
      </w:r>
    </w:p>
    <w:p w14:paraId="19977BB9" w14:textId="77777777" w:rsidR="009F6A93" w:rsidRPr="00AD7BA1" w:rsidRDefault="009F6A93" w:rsidP="00BB5D0F">
      <w:pPr>
        <w:ind w:left="851"/>
        <w:rPr>
          <w:sz w:val="24"/>
          <w:szCs w:val="24"/>
        </w:rPr>
      </w:pPr>
    </w:p>
    <w:p w14:paraId="63723814" w14:textId="77777777" w:rsidR="009F6A93" w:rsidRPr="00AD7BA1" w:rsidRDefault="009F6A93" w:rsidP="00BB5D0F">
      <w:pPr>
        <w:ind w:left="851"/>
        <w:rPr>
          <w:sz w:val="24"/>
          <w:szCs w:val="24"/>
        </w:rPr>
      </w:pPr>
      <w:r w:rsidRPr="00AD7BA1">
        <w:rPr>
          <w:sz w:val="24"/>
          <w:szCs w:val="24"/>
        </w:rPr>
        <w:t>Behandlingsvarigheden skal bestemmes for hver enkelt patient baseret på regelmæssige evalueringer, og risikoen for trombotiske hændelser versus blødningsrisikoen skal overvejes.</w:t>
      </w:r>
    </w:p>
    <w:p w14:paraId="2FDE493C" w14:textId="77777777" w:rsidR="009F6A93" w:rsidRPr="00AD7BA1" w:rsidRDefault="009F6A93" w:rsidP="00BB5D0F">
      <w:pPr>
        <w:ind w:left="851"/>
        <w:rPr>
          <w:sz w:val="24"/>
          <w:szCs w:val="24"/>
        </w:rPr>
      </w:pPr>
    </w:p>
    <w:p w14:paraId="7DAC40D6" w14:textId="77777777" w:rsidR="009F6A93" w:rsidRPr="00AD7BA1" w:rsidRDefault="009F6A93" w:rsidP="0068338F">
      <w:pPr>
        <w:pStyle w:val="Listeafsnit"/>
        <w:numPr>
          <w:ilvl w:val="0"/>
          <w:numId w:val="16"/>
        </w:numPr>
        <w:ind w:left="1276" w:hanging="425"/>
        <w:rPr>
          <w:i/>
          <w:sz w:val="24"/>
          <w:szCs w:val="24"/>
          <w:u w:val="single"/>
          <w:lang w:val="da-DK"/>
        </w:rPr>
      </w:pPr>
      <w:r w:rsidRPr="00AD7BA1">
        <w:rPr>
          <w:i/>
          <w:sz w:val="24"/>
          <w:szCs w:val="24"/>
          <w:u w:val="single"/>
          <w:lang w:val="da-DK"/>
        </w:rPr>
        <w:t>ACS, CAD/PAD</w:t>
      </w:r>
    </w:p>
    <w:p w14:paraId="54403ADE" w14:textId="77777777" w:rsidR="009F6A93" w:rsidRPr="00AD7BA1" w:rsidRDefault="009F6A93" w:rsidP="00BB5D0F">
      <w:pPr>
        <w:ind w:left="851"/>
        <w:rPr>
          <w:sz w:val="24"/>
          <w:szCs w:val="24"/>
        </w:rPr>
      </w:pPr>
    </w:p>
    <w:p w14:paraId="3F1F2A7E" w14:textId="77777777" w:rsidR="009F6A93" w:rsidRPr="00AD7BA1" w:rsidRDefault="009F6A93" w:rsidP="00BB5D0F">
      <w:pPr>
        <w:ind w:left="851"/>
        <w:rPr>
          <w:i/>
          <w:sz w:val="24"/>
          <w:szCs w:val="24"/>
        </w:rPr>
      </w:pPr>
      <w:r w:rsidRPr="00AD7BA1">
        <w:rPr>
          <w:i/>
          <w:sz w:val="24"/>
          <w:szCs w:val="24"/>
        </w:rPr>
        <w:t>Administration sammen med antitrombotisk behandling</w:t>
      </w:r>
    </w:p>
    <w:p w14:paraId="29AE076E" w14:textId="3BD65C0F" w:rsidR="009F6A93" w:rsidRPr="00AD7BA1" w:rsidRDefault="009F6A93" w:rsidP="00BB5D0F">
      <w:pPr>
        <w:ind w:left="851"/>
        <w:rPr>
          <w:sz w:val="24"/>
          <w:szCs w:val="24"/>
        </w:rPr>
      </w:pPr>
      <w:r w:rsidRPr="00AD7BA1">
        <w:rPr>
          <w:sz w:val="24"/>
          <w:szCs w:val="24"/>
        </w:rPr>
        <w:t xml:space="preserve">Hos patienter med en akut trombotisk hændelse eller et vaskulært indgreb og et behov for dobbelt antitrombotisk behandling, skal den fortsatte behandling med </w:t>
      </w:r>
      <w:r w:rsidR="00AF6CB0" w:rsidRPr="00AD7BA1">
        <w:rPr>
          <w:sz w:val="24"/>
          <w:szCs w:val="24"/>
        </w:rPr>
        <w:t>Rixacam</w:t>
      </w:r>
      <w:r w:rsidRPr="00AD7BA1">
        <w:rPr>
          <w:sz w:val="24"/>
          <w:szCs w:val="24"/>
        </w:rPr>
        <w:t xml:space="preserve"> 2,5 mg to gange dagligt evalueres, afhængigt af hændelsestypen eller indgrebet og det antitrombotiske program.</w:t>
      </w:r>
    </w:p>
    <w:p w14:paraId="145FD0C5" w14:textId="77777777" w:rsidR="009F6A93" w:rsidRPr="00AD7BA1" w:rsidRDefault="009F6A93" w:rsidP="00BB5D0F">
      <w:pPr>
        <w:ind w:left="851"/>
        <w:rPr>
          <w:sz w:val="24"/>
          <w:szCs w:val="24"/>
        </w:rPr>
      </w:pPr>
    </w:p>
    <w:p w14:paraId="3AD8C5D2" w14:textId="0B599E07" w:rsidR="009F6A93" w:rsidRPr="00AD7BA1" w:rsidRDefault="00AF6CB0" w:rsidP="00BB5D0F">
      <w:pPr>
        <w:ind w:left="851"/>
        <w:rPr>
          <w:sz w:val="24"/>
          <w:szCs w:val="24"/>
        </w:rPr>
      </w:pPr>
      <w:r w:rsidRPr="00AD7BA1">
        <w:rPr>
          <w:sz w:val="24"/>
          <w:szCs w:val="24"/>
        </w:rPr>
        <w:t>Rixacam</w:t>
      </w:r>
      <w:r w:rsidR="009F6A93" w:rsidRPr="00AD7BA1">
        <w:rPr>
          <w:sz w:val="24"/>
          <w:szCs w:val="24"/>
        </w:rPr>
        <w:t>s sikkerhed og virkning ved 2,5 mg to gange dagligt i kombination med dobbelt antitrombotisk behandling er kun blevet undersøgt hos patienter</w:t>
      </w:r>
    </w:p>
    <w:p w14:paraId="2929E23B" w14:textId="77777777" w:rsidR="009F6A93" w:rsidRPr="00AD7BA1" w:rsidRDefault="009F6A93" w:rsidP="0068338F">
      <w:pPr>
        <w:pStyle w:val="Listeafsnit"/>
        <w:numPr>
          <w:ilvl w:val="0"/>
          <w:numId w:val="16"/>
        </w:numPr>
        <w:ind w:left="1276" w:hanging="425"/>
        <w:rPr>
          <w:sz w:val="24"/>
          <w:szCs w:val="24"/>
          <w:lang w:val="da-DK"/>
        </w:rPr>
      </w:pPr>
      <w:r w:rsidRPr="00AD7BA1">
        <w:rPr>
          <w:sz w:val="24"/>
          <w:szCs w:val="24"/>
          <w:lang w:val="da-DK"/>
        </w:rPr>
        <w:t>med nyligt ACS i kombination med ASA plus clopidogrel/ticlopidin (se pkt. 4.1), og</w:t>
      </w:r>
    </w:p>
    <w:p w14:paraId="46D8BC36" w14:textId="77777777" w:rsidR="009F6A93" w:rsidRPr="00AD7BA1" w:rsidRDefault="009F6A93" w:rsidP="0068338F">
      <w:pPr>
        <w:pStyle w:val="Listeafsnit"/>
        <w:numPr>
          <w:ilvl w:val="0"/>
          <w:numId w:val="16"/>
        </w:numPr>
        <w:ind w:left="1276" w:hanging="425"/>
        <w:rPr>
          <w:sz w:val="24"/>
          <w:szCs w:val="24"/>
          <w:lang w:val="da-DK"/>
        </w:rPr>
      </w:pPr>
      <w:r w:rsidRPr="00AD7BA1">
        <w:rPr>
          <w:sz w:val="24"/>
          <w:szCs w:val="24"/>
          <w:lang w:val="da-DK"/>
        </w:rPr>
        <w:t>efter nylig revaskulariseringsprocedure af den nedre ekstremitet som følge af symptomatisk PAD i kombination med ASA og korttidsvarende brug af clopidogrel, hvis det er relevant (se pkt. 4.4 og 5.1)</w:t>
      </w:r>
    </w:p>
    <w:p w14:paraId="760FB0CF" w14:textId="77777777" w:rsidR="009F6A93" w:rsidRPr="00AD7BA1" w:rsidRDefault="009F6A93" w:rsidP="00BB5D0F">
      <w:pPr>
        <w:ind w:left="851"/>
        <w:rPr>
          <w:sz w:val="24"/>
          <w:szCs w:val="24"/>
        </w:rPr>
      </w:pPr>
    </w:p>
    <w:p w14:paraId="52FEEB36" w14:textId="77777777" w:rsidR="009F6A93" w:rsidRPr="00AD7BA1" w:rsidRDefault="009F6A93" w:rsidP="00BB5D0F">
      <w:pPr>
        <w:ind w:left="851"/>
        <w:rPr>
          <w:i/>
          <w:sz w:val="24"/>
          <w:szCs w:val="24"/>
        </w:rPr>
      </w:pPr>
      <w:r w:rsidRPr="00AD7BA1">
        <w:rPr>
          <w:i/>
          <w:sz w:val="24"/>
          <w:szCs w:val="24"/>
        </w:rPr>
        <w:t>Glemt dosis</w:t>
      </w:r>
    </w:p>
    <w:p w14:paraId="189253C1" w14:textId="77777777" w:rsidR="009F6A93" w:rsidRPr="00AD7BA1" w:rsidRDefault="009F6A93" w:rsidP="00BB5D0F">
      <w:pPr>
        <w:ind w:left="851"/>
        <w:rPr>
          <w:sz w:val="24"/>
          <w:szCs w:val="24"/>
        </w:rPr>
      </w:pPr>
      <w:r w:rsidRPr="00AD7BA1">
        <w:rPr>
          <w:sz w:val="24"/>
          <w:szCs w:val="24"/>
        </w:rPr>
        <w:t>Hvis en dosis springes over, skal patienten fortsætte med den regelmæssige dosis som anbefalet på det næste skemalagte tidspunkt. Der må ikke tages en dobbeltdosis som erstatning for en manglende dosis.</w:t>
      </w:r>
    </w:p>
    <w:p w14:paraId="40A3E47C" w14:textId="77777777" w:rsidR="009F6A93" w:rsidRPr="00AD7BA1" w:rsidRDefault="009F6A93" w:rsidP="00BB5D0F">
      <w:pPr>
        <w:ind w:left="851"/>
        <w:rPr>
          <w:sz w:val="24"/>
          <w:szCs w:val="24"/>
        </w:rPr>
      </w:pPr>
    </w:p>
    <w:p w14:paraId="6A814CED" w14:textId="702D4CDD" w:rsidR="009F6A93" w:rsidRPr="00AD7BA1" w:rsidRDefault="009F6A93" w:rsidP="00BB5D0F">
      <w:pPr>
        <w:ind w:left="851"/>
        <w:rPr>
          <w:i/>
          <w:sz w:val="24"/>
          <w:szCs w:val="24"/>
        </w:rPr>
      </w:pPr>
      <w:r w:rsidRPr="00AD7BA1">
        <w:rPr>
          <w:i/>
          <w:sz w:val="24"/>
          <w:szCs w:val="24"/>
        </w:rPr>
        <w:t xml:space="preserve">Skift fra vitamin K-antagonister (VKA) til </w:t>
      </w:r>
      <w:r w:rsidR="00AF6CB0" w:rsidRPr="00AD7BA1">
        <w:rPr>
          <w:i/>
          <w:sz w:val="24"/>
          <w:szCs w:val="24"/>
        </w:rPr>
        <w:t>Rixacam</w:t>
      </w:r>
    </w:p>
    <w:p w14:paraId="7D70FECE" w14:textId="0DF0F344" w:rsidR="009F6A93" w:rsidRPr="00AD7BA1" w:rsidRDefault="009F6A93" w:rsidP="00BB5D0F">
      <w:pPr>
        <w:ind w:left="851"/>
        <w:rPr>
          <w:sz w:val="24"/>
          <w:szCs w:val="24"/>
        </w:rPr>
      </w:pPr>
      <w:r w:rsidRPr="00AD7BA1">
        <w:rPr>
          <w:sz w:val="24"/>
          <w:szCs w:val="24"/>
        </w:rPr>
        <w:t xml:space="preserve">Ved skift af patienter fra VKA til </w:t>
      </w:r>
      <w:r w:rsidR="00AF6CB0" w:rsidRPr="00AD7BA1">
        <w:rPr>
          <w:sz w:val="24"/>
          <w:szCs w:val="24"/>
        </w:rPr>
        <w:t>Rixacam</w:t>
      </w:r>
      <w:r w:rsidRPr="00AD7BA1">
        <w:rPr>
          <w:sz w:val="24"/>
          <w:szCs w:val="24"/>
        </w:rPr>
        <w:t xml:space="preserve"> kan der optræde en falsk stigning i International Normalised Ratio (INR)-værdien efter indtagelse af </w:t>
      </w:r>
      <w:r w:rsidR="00AF6CB0" w:rsidRPr="00AD7BA1">
        <w:rPr>
          <w:sz w:val="24"/>
          <w:szCs w:val="24"/>
        </w:rPr>
        <w:t>Rixacam</w:t>
      </w:r>
      <w:r w:rsidRPr="00AD7BA1">
        <w:rPr>
          <w:sz w:val="24"/>
          <w:szCs w:val="24"/>
        </w:rPr>
        <w:t xml:space="preserve">. INR er ikke et pålideligt mål for </w:t>
      </w:r>
      <w:r w:rsidR="00AF6CB0" w:rsidRPr="00AD7BA1">
        <w:rPr>
          <w:sz w:val="24"/>
          <w:szCs w:val="24"/>
        </w:rPr>
        <w:t>Rixacam</w:t>
      </w:r>
      <w:r w:rsidRPr="00AD7BA1">
        <w:rPr>
          <w:sz w:val="24"/>
          <w:szCs w:val="24"/>
        </w:rPr>
        <w:t>s antikoagulerende aktivitet og bør derfor ikke benyttes (se pkt. 4.5).</w:t>
      </w:r>
    </w:p>
    <w:p w14:paraId="72EC1573" w14:textId="77777777" w:rsidR="009F6A93" w:rsidRPr="00AD7BA1" w:rsidRDefault="009F6A93" w:rsidP="00BB5D0F">
      <w:pPr>
        <w:ind w:left="851"/>
        <w:rPr>
          <w:sz w:val="24"/>
          <w:szCs w:val="24"/>
        </w:rPr>
      </w:pPr>
    </w:p>
    <w:p w14:paraId="65FFDD47" w14:textId="7ACF7582" w:rsidR="009F6A93" w:rsidRPr="00AD7BA1" w:rsidRDefault="009F6A93" w:rsidP="00BB5D0F">
      <w:pPr>
        <w:ind w:left="851"/>
        <w:rPr>
          <w:i/>
          <w:sz w:val="24"/>
          <w:szCs w:val="24"/>
        </w:rPr>
      </w:pPr>
      <w:r w:rsidRPr="00AD7BA1">
        <w:rPr>
          <w:i/>
          <w:sz w:val="24"/>
          <w:szCs w:val="24"/>
        </w:rPr>
        <w:lastRenderedPageBreak/>
        <w:t xml:space="preserve">Skift fra </w:t>
      </w:r>
      <w:r w:rsidR="00AF6CB0" w:rsidRPr="00AD7BA1">
        <w:rPr>
          <w:i/>
          <w:sz w:val="24"/>
          <w:szCs w:val="24"/>
        </w:rPr>
        <w:t>Rixacam</w:t>
      </w:r>
      <w:r w:rsidRPr="00AD7BA1">
        <w:rPr>
          <w:i/>
          <w:sz w:val="24"/>
          <w:szCs w:val="24"/>
        </w:rPr>
        <w:t xml:space="preserve"> til vitamin K-antagonister (VKA)</w:t>
      </w:r>
    </w:p>
    <w:p w14:paraId="23D8DA6A" w14:textId="10872DC8" w:rsidR="009F6A93" w:rsidRPr="00AD7BA1" w:rsidRDefault="009F6A93" w:rsidP="00BB5D0F">
      <w:pPr>
        <w:ind w:left="851"/>
        <w:rPr>
          <w:sz w:val="24"/>
          <w:szCs w:val="24"/>
        </w:rPr>
      </w:pPr>
      <w:r w:rsidRPr="00AD7BA1">
        <w:rPr>
          <w:sz w:val="24"/>
          <w:szCs w:val="24"/>
        </w:rPr>
        <w:t xml:space="preserve">Der er risiko for utilstrækkelig antikoagulation under skiftet fra </w:t>
      </w:r>
      <w:r w:rsidR="00AF6CB0" w:rsidRPr="00AD7BA1">
        <w:rPr>
          <w:sz w:val="24"/>
          <w:szCs w:val="24"/>
        </w:rPr>
        <w:t>Rixacam</w:t>
      </w:r>
      <w:r w:rsidRPr="00AD7BA1">
        <w:rPr>
          <w:sz w:val="24"/>
          <w:szCs w:val="24"/>
        </w:rPr>
        <w:t xml:space="preserve"> til VKA. Tilstrækkelig, kontinuerlig antikoagulation skal sikres under skift fra et antikoagulans til et andet. Det skal bemærkes, at </w:t>
      </w:r>
      <w:r w:rsidR="00AF6CB0" w:rsidRPr="00AD7BA1">
        <w:rPr>
          <w:sz w:val="24"/>
          <w:szCs w:val="24"/>
        </w:rPr>
        <w:t>Rixacam</w:t>
      </w:r>
      <w:r w:rsidRPr="00AD7BA1">
        <w:rPr>
          <w:sz w:val="24"/>
          <w:szCs w:val="24"/>
        </w:rPr>
        <w:t xml:space="preserve"> kan medføre forhøjet INR.</w:t>
      </w:r>
    </w:p>
    <w:p w14:paraId="513FE461" w14:textId="4531541E" w:rsidR="009F6A93" w:rsidRPr="00AD7BA1" w:rsidRDefault="009F6A93" w:rsidP="00BB5D0F">
      <w:pPr>
        <w:ind w:left="851"/>
        <w:rPr>
          <w:sz w:val="24"/>
          <w:szCs w:val="24"/>
        </w:rPr>
      </w:pPr>
      <w:r w:rsidRPr="00AD7BA1">
        <w:rPr>
          <w:sz w:val="24"/>
          <w:szCs w:val="24"/>
        </w:rPr>
        <w:t xml:space="preserve">Hos patienter, der skifter fra </w:t>
      </w:r>
      <w:r w:rsidR="00AF6CB0" w:rsidRPr="00AD7BA1">
        <w:rPr>
          <w:sz w:val="24"/>
          <w:szCs w:val="24"/>
        </w:rPr>
        <w:t>Rixacam</w:t>
      </w:r>
      <w:r w:rsidRPr="00AD7BA1">
        <w:rPr>
          <w:sz w:val="24"/>
          <w:szCs w:val="24"/>
        </w:rPr>
        <w:t xml:space="preserve"> til VKA, skal VKA gives sideløbende, indtil INR ≥ 2,0. I de første to dage af skifteperioden skal standard-initialdosis af VKA benyttes, hvorefter VKA doseres ud fra INR--målinger. I den periode, hvor patienten tager både </w:t>
      </w:r>
      <w:r w:rsidR="00AF6CB0" w:rsidRPr="00AD7BA1">
        <w:rPr>
          <w:sz w:val="24"/>
          <w:szCs w:val="24"/>
        </w:rPr>
        <w:t>Rixacam</w:t>
      </w:r>
      <w:r w:rsidRPr="00AD7BA1">
        <w:rPr>
          <w:sz w:val="24"/>
          <w:szCs w:val="24"/>
        </w:rPr>
        <w:t xml:space="preserve"> og VKA, bør INR tidligst måles 24 timer efter den seneste dosis </w:t>
      </w:r>
      <w:r w:rsidR="00AF6CB0" w:rsidRPr="00AD7BA1">
        <w:rPr>
          <w:sz w:val="24"/>
          <w:szCs w:val="24"/>
        </w:rPr>
        <w:t>Rixacam</w:t>
      </w:r>
      <w:r w:rsidRPr="00AD7BA1">
        <w:rPr>
          <w:sz w:val="24"/>
          <w:szCs w:val="24"/>
        </w:rPr>
        <w:t xml:space="preserve">, men før den næste dosis. 24 timer efter seponering af </w:t>
      </w:r>
      <w:r w:rsidR="00AF6CB0" w:rsidRPr="00AD7BA1">
        <w:rPr>
          <w:sz w:val="24"/>
          <w:szCs w:val="24"/>
        </w:rPr>
        <w:t>Rixacam</w:t>
      </w:r>
      <w:r w:rsidRPr="00AD7BA1">
        <w:rPr>
          <w:sz w:val="24"/>
          <w:szCs w:val="24"/>
        </w:rPr>
        <w:t xml:space="preserve"> er det atter muligt at foretage pålidelige INR-målinger (se pkt. 4.5 og 5.2).</w:t>
      </w:r>
    </w:p>
    <w:p w14:paraId="1B294F35" w14:textId="77777777" w:rsidR="009F6A93" w:rsidRPr="00AD7BA1" w:rsidRDefault="009F6A93" w:rsidP="00BB5D0F">
      <w:pPr>
        <w:ind w:left="851"/>
        <w:rPr>
          <w:sz w:val="24"/>
          <w:szCs w:val="24"/>
        </w:rPr>
      </w:pPr>
    </w:p>
    <w:p w14:paraId="1AD0624C" w14:textId="7075971C" w:rsidR="009F6A93" w:rsidRPr="00AD7BA1" w:rsidRDefault="009F6A93" w:rsidP="00BB5D0F">
      <w:pPr>
        <w:ind w:left="851"/>
        <w:rPr>
          <w:i/>
          <w:sz w:val="24"/>
          <w:szCs w:val="24"/>
        </w:rPr>
      </w:pPr>
      <w:r w:rsidRPr="00AD7BA1">
        <w:rPr>
          <w:i/>
          <w:sz w:val="24"/>
          <w:szCs w:val="24"/>
        </w:rPr>
        <w:t xml:space="preserve">Skift fra parenterale antikoagulantia til </w:t>
      </w:r>
      <w:r w:rsidR="00AF6CB0" w:rsidRPr="00AD7BA1">
        <w:rPr>
          <w:i/>
          <w:sz w:val="24"/>
          <w:szCs w:val="24"/>
        </w:rPr>
        <w:t>Rixacam</w:t>
      </w:r>
    </w:p>
    <w:p w14:paraId="4757C05F" w14:textId="43D14AD5" w:rsidR="009F6A93" w:rsidRPr="00AD7BA1" w:rsidRDefault="009F6A93" w:rsidP="00BB5D0F">
      <w:pPr>
        <w:ind w:left="851"/>
        <w:rPr>
          <w:sz w:val="24"/>
          <w:szCs w:val="24"/>
        </w:rPr>
      </w:pPr>
      <w:r w:rsidRPr="00AD7BA1">
        <w:rPr>
          <w:sz w:val="24"/>
          <w:szCs w:val="24"/>
        </w:rPr>
        <w:t xml:space="preserve">For patienter, der aktuelt tager et parenteralt antikoagulans, skal det parenterale antikoagulans seponeres og </w:t>
      </w:r>
      <w:r w:rsidR="00AF6CB0" w:rsidRPr="00AD7BA1">
        <w:rPr>
          <w:sz w:val="24"/>
          <w:szCs w:val="24"/>
        </w:rPr>
        <w:t>Rixacam</w:t>
      </w:r>
      <w:r w:rsidRPr="00AD7BA1">
        <w:rPr>
          <w:sz w:val="24"/>
          <w:szCs w:val="24"/>
        </w:rPr>
        <w:t xml:space="preserve">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702E08CF" w14:textId="77777777" w:rsidR="0068338F" w:rsidRPr="00AD7BA1" w:rsidRDefault="0068338F" w:rsidP="00BB5D0F">
      <w:pPr>
        <w:ind w:left="851"/>
        <w:rPr>
          <w:sz w:val="24"/>
          <w:szCs w:val="24"/>
        </w:rPr>
      </w:pPr>
    </w:p>
    <w:p w14:paraId="0C7BD049" w14:textId="170212BC" w:rsidR="009F6A93" w:rsidRPr="00AD7BA1" w:rsidRDefault="009F6A93" w:rsidP="00BB5D0F">
      <w:pPr>
        <w:ind w:left="851"/>
        <w:rPr>
          <w:i/>
          <w:sz w:val="24"/>
          <w:szCs w:val="24"/>
        </w:rPr>
      </w:pPr>
      <w:r w:rsidRPr="00AD7BA1">
        <w:rPr>
          <w:i/>
          <w:sz w:val="24"/>
          <w:szCs w:val="24"/>
        </w:rPr>
        <w:t xml:space="preserve">Skift fra </w:t>
      </w:r>
      <w:r w:rsidR="00AF6CB0" w:rsidRPr="00AD7BA1">
        <w:rPr>
          <w:i/>
          <w:sz w:val="24"/>
          <w:szCs w:val="24"/>
        </w:rPr>
        <w:t>Rixacam</w:t>
      </w:r>
      <w:r w:rsidRPr="00AD7BA1">
        <w:rPr>
          <w:i/>
          <w:sz w:val="24"/>
          <w:szCs w:val="24"/>
        </w:rPr>
        <w:t xml:space="preserve"> til parenterale antikoagulantia</w:t>
      </w:r>
    </w:p>
    <w:p w14:paraId="04F236D9" w14:textId="141553EB" w:rsidR="009F6A93" w:rsidRPr="00AD7BA1" w:rsidRDefault="009F6A93" w:rsidP="00BB5D0F">
      <w:pPr>
        <w:ind w:left="851"/>
        <w:rPr>
          <w:sz w:val="24"/>
          <w:szCs w:val="24"/>
        </w:rPr>
      </w:pPr>
      <w:r w:rsidRPr="00AD7BA1">
        <w:rPr>
          <w:sz w:val="24"/>
          <w:szCs w:val="24"/>
        </w:rPr>
        <w:t xml:space="preserve">Første dosis af det parenterale antikoagulans administreres på tidspunktet for næste planlagte administration af </w:t>
      </w:r>
      <w:r w:rsidR="00AF6CB0" w:rsidRPr="00AD7BA1">
        <w:rPr>
          <w:sz w:val="24"/>
          <w:szCs w:val="24"/>
        </w:rPr>
        <w:t>Rixacam</w:t>
      </w:r>
      <w:r w:rsidRPr="00AD7BA1">
        <w:rPr>
          <w:sz w:val="24"/>
          <w:szCs w:val="24"/>
        </w:rPr>
        <w:t>.</w:t>
      </w:r>
    </w:p>
    <w:p w14:paraId="5B2ECA65" w14:textId="77777777" w:rsidR="009F6A93" w:rsidRPr="00AD7BA1" w:rsidRDefault="009F6A93" w:rsidP="00BB5D0F">
      <w:pPr>
        <w:ind w:left="851"/>
        <w:rPr>
          <w:sz w:val="24"/>
          <w:szCs w:val="24"/>
        </w:rPr>
      </w:pPr>
    </w:p>
    <w:p w14:paraId="2D175AEF" w14:textId="77777777" w:rsidR="009F6A93" w:rsidRPr="00AD7BA1" w:rsidRDefault="009F6A93" w:rsidP="00BB5D0F">
      <w:pPr>
        <w:ind w:left="851"/>
        <w:rPr>
          <w:sz w:val="24"/>
          <w:szCs w:val="24"/>
          <w:u w:val="single"/>
        </w:rPr>
      </w:pPr>
      <w:r w:rsidRPr="00AD7BA1">
        <w:rPr>
          <w:sz w:val="24"/>
          <w:szCs w:val="24"/>
          <w:u w:val="single"/>
        </w:rPr>
        <w:t>Særlige populationer</w:t>
      </w:r>
    </w:p>
    <w:p w14:paraId="74085F48" w14:textId="77777777" w:rsidR="009F6A93" w:rsidRPr="00AD7BA1" w:rsidRDefault="009F6A93" w:rsidP="00BB5D0F">
      <w:pPr>
        <w:ind w:left="851"/>
        <w:rPr>
          <w:i/>
          <w:sz w:val="24"/>
          <w:szCs w:val="24"/>
        </w:rPr>
      </w:pPr>
      <w:r w:rsidRPr="00AD7BA1">
        <w:rPr>
          <w:i/>
          <w:sz w:val="24"/>
          <w:szCs w:val="24"/>
        </w:rPr>
        <w:t>Nedsat nyrefunktion</w:t>
      </w:r>
    </w:p>
    <w:p w14:paraId="003C52E8" w14:textId="4524A289" w:rsidR="009F6A93" w:rsidRPr="00AD7BA1" w:rsidRDefault="009F6A93" w:rsidP="00BB5D0F">
      <w:pPr>
        <w:ind w:left="851"/>
        <w:rPr>
          <w:sz w:val="24"/>
          <w:szCs w:val="24"/>
        </w:rPr>
      </w:pPr>
      <w:r w:rsidRPr="00AD7BA1">
        <w:rPr>
          <w:sz w:val="24"/>
          <w:szCs w:val="24"/>
        </w:rPr>
        <w:t xml:space="preserve">Der foreligger begrænsede kliniske data for patienter med svært nedsat nyrefunktion (kreatininclearance 15 - 29 ml/min), og disse data indikerer, at plasmakoncentrationerne af rivaroxaban stiger signifikant hos denne patientgruppe. </w:t>
      </w:r>
      <w:r w:rsidR="00AF6CB0" w:rsidRPr="00AD7BA1">
        <w:rPr>
          <w:sz w:val="24"/>
          <w:szCs w:val="24"/>
        </w:rPr>
        <w:t>Rixacam</w:t>
      </w:r>
      <w:r w:rsidRPr="00AD7BA1">
        <w:rPr>
          <w:sz w:val="24"/>
          <w:szCs w:val="24"/>
        </w:rPr>
        <w:t xml:space="preserve"> skal derfor anvendes med forsigtighed hos disse patienter. </w:t>
      </w:r>
      <w:r w:rsidR="00AF6CB0" w:rsidRPr="00AD7BA1">
        <w:rPr>
          <w:sz w:val="24"/>
          <w:szCs w:val="24"/>
        </w:rPr>
        <w:t>Rixacam</w:t>
      </w:r>
      <w:r w:rsidRPr="00AD7BA1">
        <w:rPr>
          <w:sz w:val="24"/>
          <w:szCs w:val="24"/>
        </w:rPr>
        <w:t xml:space="preserve"> bør ikke anvendes til patienter med kreatininclearance &lt; 15 ml/min (se pkt. 4.4 og 5.2).</w:t>
      </w:r>
    </w:p>
    <w:p w14:paraId="6E4BB1E3" w14:textId="69A2DCA9" w:rsidR="009F6A93" w:rsidRPr="00AD7BA1" w:rsidRDefault="009F6A93" w:rsidP="00BB5D0F">
      <w:pPr>
        <w:ind w:left="851"/>
        <w:rPr>
          <w:sz w:val="24"/>
          <w:szCs w:val="24"/>
        </w:rPr>
      </w:pPr>
      <w:r w:rsidRPr="00AD7BA1">
        <w:rPr>
          <w:sz w:val="24"/>
          <w:szCs w:val="24"/>
        </w:rPr>
        <w:t>Der kræves ingen dosisjustering hos patienter med let nedsat nyrefunktion (kreatinclearance</w:t>
      </w:r>
      <w:r w:rsidR="00AF6CB0" w:rsidRPr="00AD7BA1">
        <w:rPr>
          <w:sz w:val="24"/>
          <w:szCs w:val="24"/>
        </w:rPr>
        <w:t xml:space="preserve"> </w:t>
      </w:r>
      <w:r w:rsidRPr="00AD7BA1">
        <w:rPr>
          <w:sz w:val="24"/>
          <w:szCs w:val="24"/>
        </w:rPr>
        <w:t>50 - 80 ml/min) eller moderat nedsat nyrefunktion (kreatininclearance 30 - 49 ml/min) (se pkt. 5.2).</w:t>
      </w:r>
    </w:p>
    <w:p w14:paraId="68F445AD" w14:textId="77777777" w:rsidR="009F6A93" w:rsidRPr="00AD7BA1" w:rsidRDefault="009F6A93" w:rsidP="00BB5D0F">
      <w:pPr>
        <w:ind w:left="851"/>
        <w:rPr>
          <w:sz w:val="24"/>
          <w:szCs w:val="24"/>
        </w:rPr>
      </w:pPr>
    </w:p>
    <w:p w14:paraId="7E21F38E" w14:textId="77777777" w:rsidR="009F6A93" w:rsidRPr="00AD7BA1" w:rsidRDefault="009F6A93" w:rsidP="00BB5D0F">
      <w:pPr>
        <w:ind w:left="851"/>
        <w:rPr>
          <w:i/>
          <w:sz w:val="24"/>
          <w:szCs w:val="24"/>
        </w:rPr>
      </w:pPr>
      <w:r w:rsidRPr="00AD7BA1">
        <w:rPr>
          <w:i/>
          <w:sz w:val="24"/>
          <w:szCs w:val="24"/>
        </w:rPr>
        <w:t>Nedsat leverfunktion</w:t>
      </w:r>
    </w:p>
    <w:p w14:paraId="77899C7F" w14:textId="1CF0CDE4" w:rsidR="009F6A93" w:rsidRPr="00AD7BA1" w:rsidRDefault="00AF6CB0" w:rsidP="00BB5D0F">
      <w:pPr>
        <w:ind w:left="851"/>
        <w:rPr>
          <w:sz w:val="24"/>
          <w:szCs w:val="24"/>
        </w:rPr>
      </w:pPr>
      <w:r w:rsidRPr="00AD7BA1">
        <w:rPr>
          <w:sz w:val="24"/>
          <w:szCs w:val="24"/>
        </w:rPr>
        <w:t>Rixacam</w:t>
      </w:r>
      <w:r w:rsidR="009F6A93" w:rsidRPr="00AD7BA1">
        <w:rPr>
          <w:sz w:val="24"/>
          <w:szCs w:val="24"/>
        </w:rPr>
        <w:t xml:space="preserve"> er kontraindiceret hos patienter med leversygdom, der er forbundet med koagulationsdefekt og en klinisk relevant blødningsrisiko, herunder cirrosepatienter med Child-Pugh B og C (se pkt. 4.3 og 5.2).</w:t>
      </w:r>
    </w:p>
    <w:p w14:paraId="7545B589" w14:textId="77777777" w:rsidR="009F6A93" w:rsidRPr="00AD7BA1" w:rsidRDefault="009F6A93" w:rsidP="00BB5D0F">
      <w:pPr>
        <w:ind w:left="851"/>
        <w:rPr>
          <w:sz w:val="24"/>
          <w:szCs w:val="24"/>
        </w:rPr>
      </w:pPr>
    </w:p>
    <w:p w14:paraId="0E523D49" w14:textId="77777777" w:rsidR="009F6A93" w:rsidRPr="00AD7BA1" w:rsidRDefault="009F6A93" w:rsidP="00BB5D0F">
      <w:pPr>
        <w:ind w:left="851"/>
        <w:rPr>
          <w:i/>
          <w:sz w:val="24"/>
          <w:szCs w:val="24"/>
        </w:rPr>
      </w:pPr>
      <w:r w:rsidRPr="00AD7BA1">
        <w:rPr>
          <w:i/>
          <w:sz w:val="24"/>
          <w:szCs w:val="24"/>
        </w:rPr>
        <w:t>Ældre population</w:t>
      </w:r>
    </w:p>
    <w:p w14:paraId="0405DE62" w14:textId="77777777" w:rsidR="009F6A93" w:rsidRPr="00AD7BA1" w:rsidRDefault="009F6A93" w:rsidP="00BB5D0F">
      <w:pPr>
        <w:ind w:left="851"/>
        <w:rPr>
          <w:sz w:val="24"/>
          <w:szCs w:val="24"/>
        </w:rPr>
      </w:pPr>
      <w:r w:rsidRPr="00AD7BA1">
        <w:rPr>
          <w:sz w:val="24"/>
          <w:szCs w:val="24"/>
        </w:rPr>
        <w:t>Ingen dosisjustering (se pkt. 4.4 og 5.2)</w:t>
      </w:r>
    </w:p>
    <w:p w14:paraId="7031064D" w14:textId="77777777" w:rsidR="009F6A93" w:rsidRPr="00AD7BA1" w:rsidRDefault="009F6A93" w:rsidP="00BB5D0F">
      <w:pPr>
        <w:ind w:left="851"/>
        <w:rPr>
          <w:sz w:val="24"/>
          <w:szCs w:val="24"/>
        </w:rPr>
      </w:pPr>
      <w:r w:rsidRPr="00AD7BA1">
        <w:rPr>
          <w:sz w:val="24"/>
          <w:szCs w:val="24"/>
        </w:rPr>
        <w:t>Stigende alder kan øge blødningsrisikoen (se pkt. 4.4).</w:t>
      </w:r>
    </w:p>
    <w:p w14:paraId="23CBBAB9" w14:textId="77777777" w:rsidR="009F6A93" w:rsidRPr="00AD7BA1" w:rsidRDefault="009F6A93" w:rsidP="00BB5D0F">
      <w:pPr>
        <w:ind w:left="851"/>
        <w:rPr>
          <w:sz w:val="24"/>
          <w:szCs w:val="24"/>
        </w:rPr>
      </w:pPr>
    </w:p>
    <w:p w14:paraId="59C723B2" w14:textId="77777777" w:rsidR="009F6A93" w:rsidRPr="00AD7BA1" w:rsidRDefault="009F6A93" w:rsidP="00BB5D0F">
      <w:pPr>
        <w:ind w:left="851"/>
        <w:rPr>
          <w:i/>
          <w:sz w:val="24"/>
          <w:szCs w:val="24"/>
        </w:rPr>
      </w:pPr>
      <w:r w:rsidRPr="00AD7BA1">
        <w:rPr>
          <w:i/>
          <w:sz w:val="24"/>
          <w:szCs w:val="24"/>
        </w:rPr>
        <w:t>Legemsvægt</w:t>
      </w:r>
    </w:p>
    <w:p w14:paraId="47B1515C" w14:textId="77777777" w:rsidR="009F6A93" w:rsidRPr="00AD7BA1" w:rsidRDefault="009F6A93" w:rsidP="00BB5D0F">
      <w:pPr>
        <w:ind w:left="851"/>
        <w:rPr>
          <w:sz w:val="24"/>
          <w:szCs w:val="24"/>
        </w:rPr>
      </w:pPr>
      <w:r w:rsidRPr="00AD7BA1">
        <w:rPr>
          <w:sz w:val="24"/>
          <w:szCs w:val="24"/>
        </w:rPr>
        <w:t>Ingen dosisjustering (se pkt. 4.4 og 5.2)</w:t>
      </w:r>
    </w:p>
    <w:p w14:paraId="788B0D43" w14:textId="77777777" w:rsidR="009F6A93" w:rsidRPr="00AD7BA1" w:rsidRDefault="009F6A93" w:rsidP="00BB5D0F">
      <w:pPr>
        <w:ind w:left="851"/>
        <w:rPr>
          <w:sz w:val="24"/>
          <w:szCs w:val="24"/>
        </w:rPr>
      </w:pPr>
    </w:p>
    <w:p w14:paraId="0988B130" w14:textId="77777777" w:rsidR="009F6A93" w:rsidRPr="00AD7BA1" w:rsidRDefault="009F6A93" w:rsidP="00BB5D0F">
      <w:pPr>
        <w:ind w:left="851"/>
        <w:rPr>
          <w:i/>
          <w:sz w:val="24"/>
          <w:szCs w:val="24"/>
        </w:rPr>
      </w:pPr>
      <w:r w:rsidRPr="00AD7BA1">
        <w:rPr>
          <w:i/>
          <w:sz w:val="24"/>
          <w:szCs w:val="24"/>
        </w:rPr>
        <w:t>Køn</w:t>
      </w:r>
    </w:p>
    <w:p w14:paraId="5C023D00" w14:textId="77777777" w:rsidR="009F6A93" w:rsidRPr="00AD7BA1" w:rsidRDefault="009F6A93" w:rsidP="00BB5D0F">
      <w:pPr>
        <w:ind w:left="851"/>
        <w:rPr>
          <w:sz w:val="24"/>
          <w:szCs w:val="24"/>
        </w:rPr>
      </w:pPr>
      <w:r w:rsidRPr="00AD7BA1">
        <w:rPr>
          <w:sz w:val="24"/>
          <w:szCs w:val="24"/>
        </w:rPr>
        <w:t>Ingen dosisjustering (se pkt. 5.2)</w:t>
      </w:r>
    </w:p>
    <w:p w14:paraId="5CEB1C8A" w14:textId="27F82E71" w:rsidR="00AF6CB0" w:rsidRPr="00AD7BA1" w:rsidRDefault="00AF6CB0">
      <w:pPr>
        <w:rPr>
          <w:sz w:val="24"/>
          <w:szCs w:val="24"/>
        </w:rPr>
      </w:pPr>
      <w:r w:rsidRPr="00AD7BA1">
        <w:rPr>
          <w:sz w:val="24"/>
          <w:szCs w:val="24"/>
        </w:rPr>
        <w:br w:type="page"/>
      </w:r>
    </w:p>
    <w:p w14:paraId="771A5FDE" w14:textId="77777777" w:rsidR="009F6A93" w:rsidRPr="00AD7BA1" w:rsidRDefault="009F6A93" w:rsidP="00BB5D0F">
      <w:pPr>
        <w:ind w:left="851"/>
        <w:rPr>
          <w:sz w:val="24"/>
          <w:szCs w:val="24"/>
        </w:rPr>
      </w:pPr>
    </w:p>
    <w:p w14:paraId="42B2B76B" w14:textId="77777777" w:rsidR="009F6A93" w:rsidRPr="00AD7BA1" w:rsidRDefault="009F6A93" w:rsidP="00BB5D0F">
      <w:pPr>
        <w:ind w:left="851"/>
        <w:rPr>
          <w:i/>
          <w:sz w:val="24"/>
          <w:szCs w:val="24"/>
        </w:rPr>
      </w:pPr>
      <w:r w:rsidRPr="00AD7BA1">
        <w:rPr>
          <w:i/>
          <w:sz w:val="24"/>
          <w:szCs w:val="24"/>
        </w:rPr>
        <w:t>Pædiatrisk population</w:t>
      </w:r>
    </w:p>
    <w:p w14:paraId="5D33632E" w14:textId="2092E0B1" w:rsidR="009F6A93" w:rsidRPr="00AD7BA1" w:rsidRDefault="00AF6CB0" w:rsidP="00BB5D0F">
      <w:pPr>
        <w:ind w:left="851"/>
        <w:rPr>
          <w:sz w:val="24"/>
          <w:szCs w:val="24"/>
        </w:rPr>
      </w:pPr>
      <w:r w:rsidRPr="00AD7BA1">
        <w:rPr>
          <w:sz w:val="24"/>
          <w:szCs w:val="24"/>
        </w:rPr>
        <w:t>Rixacam</w:t>
      </w:r>
      <w:r w:rsidR="009F6A93" w:rsidRPr="00AD7BA1">
        <w:rPr>
          <w:sz w:val="24"/>
          <w:szCs w:val="24"/>
        </w:rPr>
        <w:t xml:space="preserve"> 2,5 mg tabletters sikkerhed og virkning hos børn fra 0 til 18 år er ikke klarlagt. Der foreligger ingen data, og derfor bør </w:t>
      </w:r>
      <w:r w:rsidRPr="00AD7BA1">
        <w:rPr>
          <w:sz w:val="24"/>
          <w:szCs w:val="24"/>
        </w:rPr>
        <w:t>Rixacam</w:t>
      </w:r>
      <w:r w:rsidR="009F6A93" w:rsidRPr="00AD7BA1">
        <w:rPr>
          <w:sz w:val="24"/>
          <w:szCs w:val="24"/>
        </w:rPr>
        <w:t xml:space="preserve"> 2,5</w:t>
      </w:r>
      <w:r w:rsidR="00AD7BA1" w:rsidRPr="00AD7BA1">
        <w:rPr>
          <w:sz w:val="24"/>
          <w:szCs w:val="24"/>
        </w:rPr>
        <w:t xml:space="preserve"> </w:t>
      </w:r>
      <w:r w:rsidR="009F6A93" w:rsidRPr="00AD7BA1">
        <w:rPr>
          <w:sz w:val="24"/>
          <w:szCs w:val="24"/>
        </w:rPr>
        <w:t>mg tabletter ikke anvendes til børn eller unge under 18 år.</w:t>
      </w:r>
    </w:p>
    <w:p w14:paraId="1770B75A" w14:textId="77777777" w:rsidR="009F6A93" w:rsidRPr="00AD7BA1" w:rsidRDefault="009F6A93" w:rsidP="00BB5D0F">
      <w:pPr>
        <w:ind w:left="851"/>
        <w:rPr>
          <w:sz w:val="24"/>
          <w:szCs w:val="24"/>
        </w:rPr>
      </w:pPr>
    </w:p>
    <w:p w14:paraId="5A36B0CA" w14:textId="77777777" w:rsidR="009F6A93" w:rsidRPr="00AD7BA1" w:rsidRDefault="009F6A93" w:rsidP="00BB5D0F">
      <w:pPr>
        <w:ind w:left="851"/>
        <w:rPr>
          <w:sz w:val="24"/>
          <w:szCs w:val="24"/>
          <w:u w:val="single"/>
        </w:rPr>
      </w:pPr>
      <w:r w:rsidRPr="00AD7BA1">
        <w:rPr>
          <w:sz w:val="24"/>
          <w:szCs w:val="24"/>
          <w:u w:val="single"/>
        </w:rPr>
        <w:t>Administration</w:t>
      </w:r>
    </w:p>
    <w:p w14:paraId="7F291EF4" w14:textId="7095AFA9" w:rsidR="009F6A93" w:rsidRPr="00AD7BA1" w:rsidRDefault="00AF6CB0" w:rsidP="00BB5D0F">
      <w:pPr>
        <w:ind w:left="851"/>
        <w:rPr>
          <w:sz w:val="24"/>
          <w:szCs w:val="24"/>
        </w:rPr>
      </w:pPr>
      <w:r w:rsidRPr="00AD7BA1">
        <w:rPr>
          <w:sz w:val="24"/>
          <w:szCs w:val="24"/>
        </w:rPr>
        <w:t>Rixacam</w:t>
      </w:r>
      <w:r w:rsidR="009F6A93" w:rsidRPr="00AD7BA1">
        <w:rPr>
          <w:sz w:val="24"/>
          <w:szCs w:val="24"/>
        </w:rPr>
        <w:t xml:space="preserve"> er til oral anvendelse.</w:t>
      </w:r>
    </w:p>
    <w:p w14:paraId="67957438" w14:textId="77777777" w:rsidR="009F6A93" w:rsidRPr="00AD7BA1" w:rsidRDefault="009F6A93" w:rsidP="00BB5D0F">
      <w:pPr>
        <w:ind w:left="851"/>
        <w:rPr>
          <w:sz w:val="24"/>
          <w:szCs w:val="24"/>
        </w:rPr>
      </w:pPr>
      <w:r w:rsidRPr="00AD7BA1">
        <w:rPr>
          <w:sz w:val="24"/>
          <w:szCs w:val="24"/>
        </w:rPr>
        <w:t>Tabletterne kan tages sammen med eller uden mad (se pkt. 4.5 og 5.2).</w:t>
      </w:r>
    </w:p>
    <w:p w14:paraId="6B9872AA" w14:textId="77777777" w:rsidR="009F6A93" w:rsidRPr="00AD7BA1" w:rsidRDefault="009F6A93" w:rsidP="00BB5D0F">
      <w:pPr>
        <w:ind w:left="851"/>
        <w:rPr>
          <w:sz w:val="24"/>
          <w:szCs w:val="24"/>
        </w:rPr>
      </w:pPr>
    </w:p>
    <w:p w14:paraId="5273DA4B" w14:textId="77777777" w:rsidR="009F6A93" w:rsidRPr="00AD7BA1" w:rsidRDefault="009F6A93" w:rsidP="00BB5D0F">
      <w:pPr>
        <w:ind w:left="851"/>
        <w:rPr>
          <w:i/>
          <w:sz w:val="24"/>
          <w:szCs w:val="24"/>
        </w:rPr>
      </w:pPr>
      <w:r w:rsidRPr="00AD7BA1">
        <w:rPr>
          <w:i/>
          <w:sz w:val="24"/>
          <w:szCs w:val="24"/>
        </w:rPr>
        <w:t>Knusning af tabletter</w:t>
      </w:r>
    </w:p>
    <w:p w14:paraId="418A56DF" w14:textId="1D9795E3" w:rsidR="009F6A93" w:rsidRPr="00AD7BA1" w:rsidRDefault="009F6A93" w:rsidP="00BB5D0F">
      <w:pPr>
        <w:ind w:left="851"/>
        <w:rPr>
          <w:sz w:val="24"/>
          <w:szCs w:val="24"/>
        </w:rPr>
      </w:pPr>
      <w:r w:rsidRPr="00AD7BA1">
        <w:rPr>
          <w:sz w:val="24"/>
          <w:szCs w:val="24"/>
        </w:rPr>
        <w:t xml:space="preserve">Hos patienter, der ikke er i stand til at sluge hele tabletter, kan </w:t>
      </w:r>
      <w:r w:rsidR="00AF6CB0" w:rsidRPr="00AD7BA1">
        <w:rPr>
          <w:sz w:val="24"/>
          <w:szCs w:val="24"/>
        </w:rPr>
        <w:t>Rixacam</w:t>
      </w:r>
      <w:r w:rsidRPr="00AD7BA1">
        <w:rPr>
          <w:sz w:val="24"/>
          <w:szCs w:val="24"/>
        </w:rPr>
        <w:t xml:space="preserve"> administreres oralt ved at knuse tabletten og blande den med vand eller æblemos umiddelbart før indtagelse.</w:t>
      </w:r>
    </w:p>
    <w:p w14:paraId="73338ADE" w14:textId="77777777" w:rsidR="009F6A93" w:rsidRPr="00AD7BA1" w:rsidRDefault="009F6A93" w:rsidP="00BB5D0F">
      <w:pPr>
        <w:ind w:left="851"/>
        <w:rPr>
          <w:sz w:val="24"/>
          <w:szCs w:val="24"/>
        </w:rPr>
      </w:pPr>
      <w:r w:rsidRPr="00AD7BA1">
        <w:rPr>
          <w:sz w:val="24"/>
          <w:szCs w:val="24"/>
        </w:rPr>
        <w:t>Den knuste tablet kan også gives via en ventrikelsonde (se pkt. 5.2 og 6.6).</w:t>
      </w:r>
    </w:p>
    <w:p w14:paraId="4461D46C" w14:textId="77777777" w:rsidR="009260DE" w:rsidRPr="00AD7BA1" w:rsidRDefault="009260DE" w:rsidP="009260DE">
      <w:pPr>
        <w:tabs>
          <w:tab w:val="left" w:pos="851"/>
        </w:tabs>
        <w:ind w:left="851"/>
        <w:rPr>
          <w:sz w:val="24"/>
          <w:szCs w:val="24"/>
        </w:rPr>
      </w:pPr>
    </w:p>
    <w:p w14:paraId="781F0BCC" w14:textId="77777777" w:rsidR="009260DE" w:rsidRPr="00AD7BA1" w:rsidRDefault="009260DE" w:rsidP="009260DE">
      <w:pPr>
        <w:tabs>
          <w:tab w:val="left" w:pos="851"/>
        </w:tabs>
        <w:ind w:left="851" w:hanging="851"/>
        <w:rPr>
          <w:b/>
          <w:sz w:val="24"/>
          <w:szCs w:val="24"/>
        </w:rPr>
      </w:pPr>
      <w:r w:rsidRPr="00AD7BA1">
        <w:rPr>
          <w:b/>
          <w:sz w:val="24"/>
          <w:szCs w:val="24"/>
        </w:rPr>
        <w:t>4.3</w:t>
      </w:r>
      <w:r w:rsidRPr="00AD7BA1">
        <w:rPr>
          <w:b/>
          <w:sz w:val="24"/>
          <w:szCs w:val="24"/>
        </w:rPr>
        <w:tab/>
        <w:t>Kontraindikationer</w:t>
      </w:r>
    </w:p>
    <w:p w14:paraId="0B5754FF" w14:textId="77777777" w:rsidR="0068338F" w:rsidRPr="00AD7BA1" w:rsidRDefault="009F6A93" w:rsidP="00BB5D0F">
      <w:pPr>
        <w:ind w:left="851"/>
        <w:rPr>
          <w:sz w:val="24"/>
          <w:szCs w:val="24"/>
        </w:rPr>
      </w:pPr>
      <w:r w:rsidRPr="00AD7BA1">
        <w:rPr>
          <w:sz w:val="24"/>
          <w:szCs w:val="24"/>
        </w:rPr>
        <w:t xml:space="preserve">Overfølsomhed over for det aktive stof eller over for et eller flere af hjælpestofferne anført i pkt. 6.1. </w:t>
      </w:r>
    </w:p>
    <w:p w14:paraId="1726489E" w14:textId="77777777" w:rsidR="0068338F" w:rsidRPr="00AD7BA1" w:rsidRDefault="0068338F" w:rsidP="00BB5D0F">
      <w:pPr>
        <w:ind w:left="851"/>
        <w:rPr>
          <w:sz w:val="24"/>
          <w:szCs w:val="24"/>
        </w:rPr>
      </w:pPr>
    </w:p>
    <w:p w14:paraId="7E17253F" w14:textId="3064693E" w:rsidR="009F6A93" w:rsidRPr="00AD7BA1" w:rsidRDefault="009F6A93" w:rsidP="00BB5D0F">
      <w:pPr>
        <w:ind w:left="851"/>
        <w:rPr>
          <w:sz w:val="24"/>
          <w:szCs w:val="24"/>
        </w:rPr>
      </w:pPr>
      <w:r w:rsidRPr="00AD7BA1">
        <w:rPr>
          <w:sz w:val="24"/>
          <w:szCs w:val="24"/>
        </w:rPr>
        <w:t>Aktiv, klinisk signifikant blødning.</w:t>
      </w:r>
    </w:p>
    <w:p w14:paraId="05B0ACFE" w14:textId="77777777" w:rsidR="0068338F" w:rsidRPr="00AD7BA1" w:rsidRDefault="0068338F" w:rsidP="00BB5D0F">
      <w:pPr>
        <w:ind w:left="851"/>
        <w:rPr>
          <w:sz w:val="24"/>
          <w:szCs w:val="24"/>
        </w:rPr>
      </w:pPr>
    </w:p>
    <w:p w14:paraId="7773EE1B" w14:textId="32BC87C0" w:rsidR="00BB5D0F" w:rsidRPr="00AD7BA1" w:rsidRDefault="009F6A93" w:rsidP="00BB5D0F">
      <w:pPr>
        <w:ind w:left="851"/>
        <w:rPr>
          <w:sz w:val="24"/>
          <w:szCs w:val="24"/>
        </w:rPr>
      </w:pPr>
      <w:r w:rsidRPr="00AD7BA1">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3DF234EF" w14:textId="77777777" w:rsidR="0068338F" w:rsidRPr="00AD7BA1" w:rsidRDefault="0068338F" w:rsidP="00BB5D0F">
      <w:pPr>
        <w:ind w:left="851"/>
        <w:rPr>
          <w:sz w:val="24"/>
          <w:szCs w:val="24"/>
        </w:rPr>
      </w:pPr>
    </w:p>
    <w:p w14:paraId="40ABAF4D" w14:textId="65E93063" w:rsidR="009F6A93" w:rsidRPr="00AD7BA1" w:rsidRDefault="009F6A93" w:rsidP="00BB5D0F">
      <w:pPr>
        <w:ind w:left="851"/>
        <w:rPr>
          <w:sz w:val="24"/>
          <w:szCs w:val="24"/>
        </w:rPr>
      </w:pPr>
      <w:r w:rsidRPr="00AD7BA1">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antikoagulantionsbehandling (se pkt. 4.2), eller når UFH gives i doser, der er nødvendige for at holde et centralt vene- eller arteriekateter åbent (se pkt. 4.5).</w:t>
      </w:r>
    </w:p>
    <w:p w14:paraId="1571019B" w14:textId="77777777" w:rsidR="009F6A93" w:rsidRPr="00AD7BA1" w:rsidRDefault="009F6A93" w:rsidP="00BB5D0F">
      <w:pPr>
        <w:ind w:left="851"/>
        <w:rPr>
          <w:sz w:val="24"/>
          <w:szCs w:val="24"/>
        </w:rPr>
      </w:pPr>
    </w:p>
    <w:p w14:paraId="2B57489D" w14:textId="77777777" w:rsidR="009F6A93" w:rsidRPr="00AD7BA1" w:rsidRDefault="009F6A93" w:rsidP="00BB5D0F">
      <w:pPr>
        <w:ind w:left="851"/>
        <w:rPr>
          <w:sz w:val="24"/>
          <w:szCs w:val="24"/>
        </w:rPr>
      </w:pPr>
      <w:r w:rsidRPr="00AD7BA1">
        <w:rPr>
          <w:sz w:val="24"/>
          <w:szCs w:val="24"/>
        </w:rPr>
        <w:t>Samtidig behandling af AKS med antitrombotisk medicin hos patienter med forudgående apopleksi eller forbigående iskæmisk anfald (TIA) (se pkt. 4.4).</w:t>
      </w:r>
    </w:p>
    <w:p w14:paraId="4E897671" w14:textId="77777777" w:rsidR="009F6A93" w:rsidRPr="00AD7BA1" w:rsidRDefault="009F6A93" w:rsidP="00BB5D0F">
      <w:pPr>
        <w:ind w:left="851"/>
        <w:rPr>
          <w:sz w:val="24"/>
          <w:szCs w:val="24"/>
        </w:rPr>
      </w:pPr>
    </w:p>
    <w:p w14:paraId="0A91AADD" w14:textId="77777777" w:rsidR="009F6A93" w:rsidRPr="00AD7BA1" w:rsidRDefault="009F6A93" w:rsidP="00BB5D0F">
      <w:pPr>
        <w:ind w:left="851"/>
        <w:rPr>
          <w:sz w:val="24"/>
          <w:szCs w:val="24"/>
        </w:rPr>
      </w:pPr>
      <w:r w:rsidRPr="00AD7BA1">
        <w:rPr>
          <w:sz w:val="24"/>
          <w:szCs w:val="24"/>
        </w:rPr>
        <w:t>Samtidig behandling af koronararteriesygdom (CAD) /perifer arteriesygdom (PAD) med ASA hos patienter med tidligere hæmoragisk eller lakunær apopleksi, eller enhver form for apopleksi inden for en måned (se pkt. 4.4).</w:t>
      </w:r>
    </w:p>
    <w:p w14:paraId="1154A3A6" w14:textId="77777777" w:rsidR="009F6A93" w:rsidRPr="00AD7BA1" w:rsidRDefault="009F6A93" w:rsidP="00BB5D0F">
      <w:pPr>
        <w:ind w:left="851"/>
        <w:rPr>
          <w:sz w:val="24"/>
          <w:szCs w:val="24"/>
        </w:rPr>
      </w:pPr>
    </w:p>
    <w:p w14:paraId="7716D617" w14:textId="77777777" w:rsidR="009F6A93" w:rsidRPr="00AD7BA1" w:rsidRDefault="009F6A93" w:rsidP="00BB5D0F">
      <w:pPr>
        <w:ind w:left="851"/>
        <w:rPr>
          <w:sz w:val="24"/>
          <w:szCs w:val="24"/>
        </w:rPr>
      </w:pPr>
      <w:r w:rsidRPr="00AD7BA1">
        <w:rPr>
          <w:sz w:val="24"/>
          <w:szCs w:val="24"/>
        </w:rPr>
        <w:t>Leversygdom, der er forbundet med koagulationsdefekt og en klinisk relevant blødningsrisiko, herunder cirrosepatienter med Child-Pugh B og C (se pkt. 5.2).</w:t>
      </w:r>
    </w:p>
    <w:p w14:paraId="422038CD" w14:textId="77777777" w:rsidR="009F6A93" w:rsidRPr="00AD7BA1" w:rsidRDefault="009F6A93" w:rsidP="00BB5D0F">
      <w:pPr>
        <w:ind w:left="851"/>
        <w:rPr>
          <w:sz w:val="24"/>
          <w:szCs w:val="24"/>
        </w:rPr>
      </w:pPr>
    </w:p>
    <w:p w14:paraId="692FE178" w14:textId="77777777" w:rsidR="009F6A93" w:rsidRPr="00AD7BA1" w:rsidRDefault="009F6A93" w:rsidP="00BB5D0F">
      <w:pPr>
        <w:ind w:left="851"/>
        <w:rPr>
          <w:sz w:val="24"/>
          <w:szCs w:val="24"/>
        </w:rPr>
      </w:pPr>
      <w:r w:rsidRPr="00AD7BA1">
        <w:rPr>
          <w:sz w:val="24"/>
          <w:szCs w:val="24"/>
        </w:rPr>
        <w:t>Graviditet og amning (se pkt. 4.6).</w:t>
      </w:r>
    </w:p>
    <w:p w14:paraId="605CCFB9" w14:textId="77777777" w:rsidR="009260DE" w:rsidRPr="00AD7BA1" w:rsidRDefault="009260DE" w:rsidP="009260DE">
      <w:pPr>
        <w:tabs>
          <w:tab w:val="left" w:pos="851"/>
        </w:tabs>
        <w:ind w:left="851"/>
        <w:rPr>
          <w:sz w:val="24"/>
          <w:szCs w:val="24"/>
        </w:rPr>
      </w:pPr>
    </w:p>
    <w:p w14:paraId="6399E165" w14:textId="77777777" w:rsidR="009260DE" w:rsidRPr="00AD7BA1" w:rsidRDefault="009260DE" w:rsidP="009260DE">
      <w:pPr>
        <w:tabs>
          <w:tab w:val="left" w:pos="851"/>
        </w:tabs>
        <w:ind w:left="851" w:hanging="851"/>
        <w:rPr>
          <w:b/>
          <w:sz w:val="24"/>
          <w:szCs w:val="24"/>
        </w:rPr>
      </w:pPr>
      <w:r w:rsidRPr="00AD7BA1">
        <w:rPr>
          <w:b/>
          <w:sz w:val="24"/>
          <w:szCs w:val="24"/>
        </w:rPr>
        <w:t>4.4</w:t>
      </w:r>
      <w:r w:rsidRPr="00AD7BA1">
        <w:rPr>
          <w:b/>
          <w:sz w:val="24"/>
          <w:szCs w:val="24"/>
        </w:rPr>
        <w:tab/>
        <w:t>Særlige advarsler og forsigtighedsregler vedrørende brugen</w:t>
      </w:r>
    </w:p>
    <w:p w14:paraId="3A5F1B31" w14:textId="3A3308E8" w:rsidR="009F6A93" w:rsidRPr="00AD7BA1" w:rsidRDefault="009F6A93" w:rsidP="00BB5D0F">
      <w:pPr>
        <w:ind w:left="851"/>
        <w:rPr>
          <w:sz w:val="24"/>
          <w:szCs w:val="24"/>
        </w:rPr>
      </w:pPr>
      <w:r w:rsidRPr="00AD7BA1">
        <w:rPr>
          <w:sz w:val="24"/>
          <w:szCs w:val="24"/>
        </w:rPr>
        <w:t xml:space="preserve">Hos patienter med akut koronarsyndrom (AKS) er virkningen af og sikkerheden af </w:t>
      </w:r>
      <w:r w:rsidR="00AF6CB0" w:rsidRPr="00AD7BA1">
        <w:rPr>
          <w:sz w:val="24"/>
          <w:szCs w:val="24"/>
        </w:rPr>
        <w:t>Rixacam</w:t>
      </w:r>
      <w:r w:rsidRPr="00AD7BA1">
        <w:rPr>
          <w:sz w:val="24"/>
          <w:szCs w:val="24"/>
        </w:rPr>
        <w:t xml:space="preserve"> ved 2,5 mg to gange dagligt undersøgt i kombination med de antitrombotiske stoffer ASA alene eller ASA plus clopidogrel/ticlopidin.</w:t>
      </w:r>
    </w:p>
    <w:p w14:paraId="6DA30A9A" w14:textId="6041ADAB" w:rsidR="009F6A93" w:rsidRPr="00AD7BA1" w:rsidRDefault="009F6A93" w:rsidP="00BB5D0F">
      <w:pPr>
        <w:ind w:left="851"/>
        <w:rPr>
          <w:sz w:val="24"/>
          <w:szCs w:val="24"/>
        </w:rPr>
      </w:pPr>
      <w:r w:rsidRPr="00AD7BA1">
        <w:rPr>
          <w:sz w:val="24"/>
          <w:szCs w:val="24"/>
        </w:rPr>
        <w:lastRenderedPageBreak/>
        <w:t xml:space="preserve">Hos patienter med en høj risiko for iskæmiske hændelser med koronararteriesygdom (CAD) /perifer arteriesygdom (PAD) er </w:t>
      </w:r>
      <w:r w:rsidR="00AF6CB0" w:rsidRPr="00AD7BA1">
        <w:rPr>
          <w:sz w:val="24"/>
          <w:szCs w:val="24"/>
        </w:rPr>
        <w:t>Rixacam</w:t>
      </w:r>
      <w:r w:rsidRPr="00AD7BA1">
        <w:rPr>
          <w:sz w:val="24"/>
          <w:szCs w:val="24"/>
        </w:rPr>
        <w:t>s virkning og sikkerhed ved 2,5 mg to gange dagligt blevet undersøgt i kombination med ASA.</w:t>
      </w:r>
    </w:p>
    <w:p w14:paraId="22DAB40D" w14:textId="562B6255" w:rsidR="009F6A93" w:rsidRPr="00AD7BA1" w:rsidRDefault="009F6A93" w:rsidP="00BB5D0F">
      <w:pPr>
        <w:ind w:left="851"/>
        <w:rPr>
          <w:sz w:val="24"/>
          <w:szCs w:val="24"/>
        </w:rPr>
      </w:pPr>
      <w:r w:rsidRPr="00AD7BA1">
        <w:rPr>
          <w:sz w:val="24"/>
          <w:szCs w:val="24"/>
        </w:rPr>
        <w:t xml:space="preserve">Hos patienter efter nylig revaskulariseringsprocedure af den nedre ekstremitet som følge af symptomatisk PAD, er sikkerheden og virkningen af </w:t>
      </w:r>
      <w:r w:rsidR="00AF6CB0" w:rsidRPr="00AD7BA1">
        <w:rPr>
          <w:sz w:val="24"/>
          <w:szCs w:val="24"/>
        </w:rPr>
        <w:t>Rixacam</w:t>
      </w:r>
      <w:r w:rsidRPr="00AD7BA1">
        <w:rPr>
          <w:sz w:val="24"/>
          <w:szCs w:val="24"/>
        </w:rPr>
        <w:t xml:space="preserve"> 2,5 mg to gange dagligt blevet undersøgt i kombination med antitrombotisk ASA alene eller ASA plus korttidsvarende brug af clopidogrel. Hvis det er nødvendigt, bør dobbelt antitrombotisk behandling med clopidogrel være kortvarig. Langvarig dobbelt antitrombotisk behandling bør undgås (se pkt. 5.1).</w:t>
      </w:r>
    </w:p>
    <w:p w14:paraId="3B3A252C" w14:textId="77777777" w:rsidR="009F6A93" w:rsidRPr="00AD7BA1" w:rsidRDefault="009F6A93" w:rsidP="00BB5D0F">
      <w:pPr>
        <w:ind w:left="851"/>
        <w:rPr>
          <w:sz w:val="24"/>
          <w:szCs w:val="24"/>
        </w:rPr>
      </w:pPr>
    </w:p>
    <w:p w14:paraId="40B0E9A4" w14:textId="77777777" w:rsidR="009F6A93" w:rsidRPr="00AD7BA1" w:rsidRDefault="009F6A93" w:rsidP="00BB5D0F">
      <w:pPr>
        <w:ind w:left="851"/>
        <w:rPr>
          <w:sz w:val="24"/>
          <w:szCs w:val="24"/>
        </w:rPr>
      </w:pPr>
      <w:r w:rsidRPr="00AD7BA1">
        <w:rPr>
          <w:sz w:val="24"/>
          <w:szCs w:val="24"/>
        </w:rPr>
        <w:t>Behandling i kombination med andre antitrombotika, f.eks. prasugrel eller ticagrelor, er ikke blevet undersøgt, og anbefales ikke.</w:t>
      </w:r>
    </w:p>
    <w:p w14:paraId="74AD40C8" w14:textId="77777777" w:rsidR="0068338F" w:rsidRPr="00AD7BA1" w:rsidRDefault="0068338F" w:rsidP="00BB5D0F">
      <w:pPr>
        <w:ind w:left="851"/>
        <w:rPr>
          <w:sz w:val="24"/>
          <w:szCs w:val="24"/>
        </w:rPr>
      </w:pPr>
    </w:p>
    <w:p w14:paraId="1BB96616" w14:textId="77777777" w:rsidR="0068338F" w:rsidRPr="00AD7BA1" w:rsidRDefault="009F6A93" w:rsidP="00BB5D0F">
      <w:pPr>
        <w:ind w:left="851"/>
        <w:rPr>
          <w:sz w:val="24"/>
          <w:szCs w:val="24"/>
        </w:rPr>
      </w:pPr>
      <w:r w:rsidRPr="00AD7BA1">
        <w:rPr>
          <w:sz w:val="24"/>
          <w:szCs w:val="24"/>
        </w:rPr>
        <w:t xml:space="preserve">Sædvanlig klinisk antikoagulationsovervågning anbefales i hele behandlingsperioden. </w:t>
      </w:r>
    </w:p>
    <w:p w14:paraId="11BE02B4" w14:textId="77777777" w:rsidR="0068338F" w:rsidRPr="00AD7BA1" w:rsidRDefault="0068338F" w:rsidP="00BB5D0F">
      <w:pPr>
        <w:ind w:left="851"/>
        <w:rPr>
          <w:sz w:val="24"/>
          <w:szCs w:val="24"/>
        </w:rPr>
      </w:pPr>
    </w:p>
    <w:p w14:paraId="5E001E8E" w14:textId="328E2213" w:rsidR="009F6A93" w:rsidRPr="00AD7BA1" w:rsidRDefault="009F6A93" w:rsidP="00BB5D0F">
      <w:pPr>
        <w:ind w:left="851"/>
        <w:rPr>
          <w:sz w:val="24"/>
          <w:szCs w:val="24"/>
          <w:u w:val="single"/>
        </w:rPr>
      </w:pPr>
      <w:r w:rsidRPr="00AD7BA1">
        <w:rPr>
          <w:sz w:val="24"/>
          <w:szCs w:val="24"/>
          <w:u w:val="single"/>
        </w:rPr>
        <w:t>Blødningsrisiko</w:t>
      </w:r>
    </w:p>
    <w:p w14:paraId="4EE0042C" w14:textId="73EA7FED" w:rsidR="009F6A93" w:rsidRPr="00AD7BA1" w:rsidRDefault="009F6A93" w:rsidP="00BB5D0F">
      <w:pPr>
        <w:ind w:left="851"/>
        <w:rPr>
          <w:sz w:val="24"/>
          <w:szCs w:val="24"/>
        </w:rPr>
      </w:pPr>
      <w:r w:rsidRPr="00AD7BA1">
        <w:rPr>
          <w:sz w:val="24"/>
          <w:szCs w:val="24"/>
        </w:rPr>
        <w:t xml:space="preserve">Som ved andre antikoagulantia bør patienter, som får </w:t>
      </w:r>
      <w:r w:rsidR="00AF6CB0" w:rsidRPr="00AD7BA1">
        <w:rPr>
          <w:sz w:val="24"/>
          <w:szCs w:val="24"/>
        </w:rPr>
        <w:t>Rixacam</w:t>
      </w:r>
      <w:r w:rsidRPr="00AD7BA1">
        <w:rPr>
          <w:sz w:val="24"/>
          <w:szCs w:val="24"/>
        </w:rPr>
        <w:t>, overvåges nøje for tegn på blødning. I</w:t>
      </w:r>
      <w:r w:rsidR="0068338F" w:rsidRPr="00AD7BA1">
        <w:rPr>
          <w:sz w:val="24"/>
          <w:szCs w:val="24"/>
        </w:rPr>
        <w:t xml:space="preserve"> </w:t>
      </w:r>
      <w:r w:rsidRPr="00AD7BA1">
        <w:rPr>
          <w:sz w:val="24"/>
          <w:szCs w:val="24"/>
        </w:rPr>
        <w:t xml:space="preserve">tilfælde med øget risiko for blødning bør </w:t>
      </w:r>
      <w:r w:rsidR="00AF6CB0" w:rsidRPr="00AD7BA1">
        <w:rPr>
          <w:sz w:val="24"/>
          <w:szCs w:val="24"/>
        </w:rPr>
        <w:t>Rixacam</w:t>
      </w:r>
      <w:r w:rsidRPr="00AD7BA1">
        <w:rPr>
          <w:sz w:val="24"/>
          <w:szCs w:val="24"/>
        </w:rPr>
        <w:t xml:space="preserve"> anvendes med forsigtighed. Behandlingen med </w:t>
      </w:r>
      <w:r w:rsidR="00AF6CB0" w:rsidRPr="00AD7BA1">
        <w:rPr>
          <w:sz w:val="24"/>
          <w:szCs w:val="24"/>
        </w:rPr>
        <w:t>Rixacam</w:t>
      </w:r>
      <w:r w:rsidRPr="00AD7BA1">
        <w:rPr>
          <w:sz w:val="24"/>
          <w:szCs w:val="24"/>
        </w:rPr>
        <w:t xml:space="preserve"> bør afbrydes, hvis der opstår svær blødning (se pkt. 4.9).</w:t>
      </w:r>
    </w:p>
    <w:p w14:paraId="030CF08B" w14:textId="77777777" w:rsidR="009F6A93" w:rsidRPr="00AD7BA1" w:rsidRDefault="009F6A93" w:rsidP="00BB5D0F">
      <w:pPr>
        <w:ind w:left="851"/>
        <w:rPr>
          <w:sz w:val="24"/>
          <w:szCs w:val="24"/>
        </w:rPr>
      </w:pPr>
    </w:p>
    <w:p w14:paraId="2274AED5" w14:textId="77777777" w:rsidR="009F6A93" w:rsidRPr="00AD7BA1" w:rsidRDefault="009F6A93" w:rsidP="00BB5D0F">
      <w:pPr>
        <w:ind w:left="851"/>
        <w:rPr>
          <w:sz w:val="24"/>
          <w:szCs w:val="24"/>
        </w:rPr>
      </w:pPr>
      <w:r w:rsidRPr="00AD7BA1">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tillæg til enkelt eller dobbelt antitrombotisk behandling. Derfor kan det, hvis det skønnes nødvendigt, være af værdi ud over den kliniske overvågning at undersøge hæmoglobin/hæmatokrit for at konstatere okkult blødning og kvantificere den kliniske relevans af synlig blødning.</w:t>
      </w:r>
    </w:p>
    <w:p w14:paraId="7163ECE8" w14:textId="77777777" w:rsidR="009F6A93" w:rsidRPr="00AD7BA1" w:rsidRDefault="009F6A93" w:rsidP="00BB5D0F">
      <w:pPr>
        <w:ind w:left="851"/>
        <w:rPr>
          <w:sz w:val="24"/>
          <w:szCs w:val="24"/>
        </w:rPr>
      </w:pPr>
    </w:p>
    <w:p w14:paraId="218474B9" w14:textId="1206142C" w:rsidR="009F6A93" w:rsidRPr="00AD7BA1" w:rsidRDefault="009F6A93" w:rsidP="00BB5D0F">
      <w:pPr>
        <w:ind w:left="851"/>
        <w:rPr>
          <w:sz w:val="24"/>
          <w:szCs w:val="24"/>
        </w:rPr>
      </w:pPr>
      <w:r w:rsidRPr="00AD7BA1">
        <w:rPr>
          <w:sz w:val="24"/>
          <w:szCs w:val="24"/>
        </w:rPr>
        <w:t xml:space="preserve">Flere patientgrupper har, som beskrevet nedenfor, øget risiko for blødning. Derfor skal brugen af </w:t>
      </w:r>
      <w:r w:rsidR="00AF6CB0" w:rsidRPr="00AD7BA1">
        <w:rPr>
          <w:sz w:val="24"/>
          <w:szCs w:val="24"/>
        </w:rPr>
        <w:t>Rixacam</w:t>
      </w:r>
      <w:r w:rsidRPr="00AD7BA1">
        <w:rPr>
          <w:sz w:val="24"/>
          <w:szCs w:val="24"/>
        </w:rPr>
        <w:t xml:space="preserve"> i kombination med dobbelt antitrombotisk behandling hos patienter med en kendt øget risiko for blødning opvejes mod fordelen med hensyn til forebyggelse af aterotrombotiske hændelser.</w:t>
      </w:r>
    </w:p>
    <w:p w14:paraId="0F18421F" w14:textId="3DC2A192" w:rsidR="009F6A93" w:rsidRPr="00AD7BA1" w:rsidRDefault="009F6A93" w:rsidP="00BB5D0F">
      <w:pPr>
        <w:ind w:left="851"/>
        <w:rPr>
          <w:sz w:val="24"/>
          <w:szCs w:val="24"/>
        </w:rPr>
      </w:pPr>
      <w:r w:rsidRPr="00AD7BA1">
        <w:rPr>
          <w:sz w:val="24"/>
          <w:szCs w:val="24"/>
        </w:rPr>
        <w:t>Desuden skal disse patienter omhyggeligt overvåges for tegn og symptomer på blødningskomplikationer og anæmi efter indledning af behandlingen (se pkt. 4.8). Ethvert fald i hæmoglobin eller blodtryk bør medføre søgning efter blødningskilde.</w:t>
      </w:r>
      <w:r w:rsidR="00AD7BA1" w:rsidRPr="00AD7BA1">
        <w:rPr>
          <w:sz w:val="24"/>
          <w:szCs w:val="24"/>
        </w:rPr>
        <w:t xml:space="preserve"> </w:t>
      </w:r>
      <w:r w:rsidRPr="00AD7BA1">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30AD6326" w14:textId="77777777" w:rsidR="009F6A93" w:rsidRPr="00AD7BA1" w:rsidRDefault="009F6A93" w:rsidP="00BB5D0F">
      <w:pPr>
        <w:ind w:left="851"/>
        <w:rPr>
          <w:sz w:val="24"/>
          <w:szCs w:val="24"/>
        </w:rPr>
      </w:pPr>
    </w:p>
    <w:p w14:paraId="06C17203" w14:textId="77777777" w:rsidR="009F6A93" w:rsidRPr="00AD7BA1" w:rsidRDefault="009F6A93" w:rsidP="00BB5D0F">
      <w:pPr>
        <w:ind w:left="851"/>
        <w:rPr>
          <w:sz w:val="24"/>
          <w:szCs w:val="24"/>
          <w:u w:val="single"/>
        </w:rPr>
      </w:pPr>
      <w:r w:rsidRPr="00AD7BA1">
        <w:rPr>
          <w:sz w:val="24"/>
          <w:szCs w:val="24"/>
          <w:u w:val="single"/>
        </w:rPr>
        <w:t>Nedsat nyrefunktion</w:t>
      </w:r>
    </w:p>
    <w:p w14:paraId="12431DB3" w14:textId="14F10C64" w:rsidR="009F6A93" w:rsidRPr="00AD7BA1" w:rsidRDefault="009F6A93" w:rsidP="00BB5D0F">
      <w:pPr>
        <w:ind w:left="851"/>
        <w:rPr>
          <w:sz w:val="24"/>
          <w:szCs w:val="24"/>
        </w:rPr>
      </w:pPr>
      <w:r w:rsidRPr="00AD7BA1">
        <w:rPr>
          <w:sz w:val="24"/>
          <w:szCs w:val="24"/>
        </w:rPr>
        <w:t xml:space="preserve">Hos patienter med svært nedsat nyrefunktion (kreatininclearance &lt; 30 ml/min) kan plasmakoncentrationerne af rivaroxaban være signifikant forhøjet (i gennemsnit 1,6 gange), hvilket kan medføre en øget blødningsrisiko. </w:t>
      </w:r>
      <w:r w:rsidR="00AF6CB0" w:rsidRPr="00AD7BA1">
        <w:rPr>
          <w:sz w:val="24"/>
          <w:szCs w:val="24"/>
        </w:rPr>
        <w:t>Rixacam</w:t>
      </w:r>
      <w:r w:rsidRPr="00AD7BA1">
        <w:rPr>
          <w:sz w:val="24"/>
          <w:szCs w:val="24"/>
        </w:rPr>
        <w:t xml:space="preserve"> skal bruges med forsigtighed til patienter med en kreatininclearance på 15 - 29 ml/min. </w:t>
      </w:r>
      <w:r w:rsidR="00AF6CB0" w:rsidRPr="00AD7BA1">
        <w:rPr>
          <w:sz w:val="24"/>
          <w:szCs w:val="24"/>
        </w:rPr>
        <w:t>Rixacam</w:t>
      </w:r>
      <w:r w:rsidRPr="00AD7BA1">
        <w:rPr>
          <w:sz w:val="24"/>
          <w:szCs w:val="24"/>
        </w:rPr>
        <w:t xml:space="preserve"> bør ikke anvendes til patienter med kreatininclearance</w:t>
      </w:r>
      <w:r w:rsidR="0068338F" w:rsidRPr="00AD7BA1">
        <w:rPr>
          <w:sz w:val="24"/>
          <w:szCs w:val="24"/>
        </w:rPr>
        <w:t xml:space="preserve"> </w:t>
      </w:r>
      <w:r w:rsidRPr="00AD7BA1">
        <w:rPr>
          <w:sz w:val="24"/>
          <w:szCs w:val="24"/>
        </w:rPr>
        <w:t>&lt; 15 ml/min (se pkt. 4.2 og 5.2).</w:t>
      </w:r>
    </w:p>
    <w:p w14:paraId="33D723CF" w14:textId="6E9729DF" w:rsidR="009F6A93" w:rsidRPr="00AD7BA1" w:rsidRDefault="00AF6CB0" w:rsidP="00BB5D0F">
      <w:pPr>
        <w:ind w:left="851"/>
        <w:rPr>
          <w:sz w:val="24"/>
          <w:szCs w:val="24"/>
        </w:rPr>
      </w:pPr>
      <w:r w:rsidRPr="00AD7BA1">
        <w:rPr>
          <w:sz w:val="24"/>
          <w:szCs w:val="24"/>
        </w:rPr>
        <w:t>Rixacam</w:t>
      </w:r>
      <w:r w:rsidR="009F6A93" w:rsidRPr="00AD7BA1">
        <w:rPr>
          <w:sz w:val="24"/>
          <w:szCs w:val="24"/>
        </w:rPr>
        <w:t xml:space="preserve"> anvendes med forsigtighed hos patienter med moderat nedsat nyrefunktion (kreatininclearance 30 - 49 ml/min), der samtidig får andre lægemidler, som øger plasmakoncentrationen af rivaroxaban (se pkt. 4.5)</w:t>
      </w:r>
    </w:p>
    <w:p w14:paraId="5F85967C" w14:textId="77777777" w:rsidR="009F6A93" w:rsidRPr="00AD7BA1" w:rsidRDefault="009F6A93" w:rsidP="00BB5D0F">
      <w:pPr>
        <w:ind w:left="851"/>
        <w:rPr>
          <w:sz w:val="24"/>
          <w:szCs w:val="24"/>
        </w:rPr>
      </w:pPr>
    </w:p>
    <w:p w14:paraId="22EB0E88" w14:textId="77777777" w:rsidR="009F6A93" w:rsidRPr="00AD7BA1" w:rsidRDefault="009F6A93" w:rsidP="00BB5D0F">
      <w:pPr>
        <w:ind w:left="851"/>
        <w:rPr>
          <w:sz w:val="24"/>
          <w:szCs w:val="24"/>
          <w:u w:val="single"/>
        </w:rPr>
      </w:pPr>
      <w:r w:rsidRPr="00AD7BA1">
        <w:rPr>
          <w:sz w:val="24"/>
          <w:szCs w:val="24"/>
          <w:u w:val="single"/>
        </w:rPr>
        <w:lastRenderedPageBreak/>
        <w:t>Interaktion med andre lægemidler</w:t>
      </w:r>
    </w:p>
    <w:p w14:paraId="2E993812" w14:textId="623B7193" w:rsidR="009F6A93" w:rsidRPr="00AD7BA1" w:rsidRDefault="00AF6CB0" w:rsidP="00BB5D0F">
      <w:pPr>
        <w:ind w:left="851"/>
        <w:rPr>
          <w:sz w:val="24"/>
          <w:szCs w:val="24"/>
        </w:rPr>
      </w:pPr>
      <w:r w:rsidRPr="00AD7BA1">
        <w:rPr>
          <w:sz w:val="24"/>
          <w:szCs w:val="24"/>
        </w:rPr>
        <w:t>Rixacam</w:t>
      </w:r>
      <w:r w:rsidR="009F6A93" w:rsidRPr="00AD7BA1">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4708DB03" w14:textId="77777777" w:rsidR="009F6A93" w:rsidRPr="00AD7BA1" w:rsidRDefault="009F6A93" w:rsidP="00BB5D0F">
      <w:pPr>
        <w:ind w:left="851"/>
        <w:rPr>
          <w:sz w:val="24"/>
          <w:szCs w:val="24"/>
        </w:rPr>
      </w:pPr>
    </w:p>
    <w:p w14:paraId="39C6DF14" w14:textId="77777777" w:rsidR="009F6A93" w:rsidRPr="00AD7BA1" w:rsidRDefault="009F6A93" w:rsidP="00BB5D0F">
      <w:pPr>
        <w:ind w:left="851"/>
        <w:rPr>
          <w:sz w:val="24"/>
          <w:szCs w:val="24"/>
        </w:rPr>
      </w:pPr>
      <w:r w:rsidRPr="00AD7BA1">
        <w:rPr>
          <w:sz w:val="24"/>
          <w:szCs w:val="24"/>
        </w:rPr>
        <w:t>Der skal udvises forsigtighed, hvis patienten samtidig bliver behandlet med lægemidler, der påvirker hæmostasen, f.eks. non-steroide antiinflammatoriske lægemidler (NSAID), acetylsalicylsyre (ASA) og trombocytaggregationshæmmere eller selektive serotoninreuptake-hæmmere (SSRI-præparater) og serotonin-/noradrenalinreuptake-hæmmere (SNRI-præparater). Hos patienter, der har risiko for at få gastrointestinal ulceration, bør passende profylakse overvejes (se pkt. 4.5 og pkt. 5.1).</w:t>
      </w:r>
    </w:p>
    <w:p w14:paraId="1D68C5B4" w14:textId="5F07625A" w:rsidR="009F6A93" w:rsidRPr="00AD7BA1" w:rsidRDefault="009F6A93" w:rsidP="00BB5D0F">
      <w:pPr>
        <w:ind w:left="851"/>
        <w:rPr>
          <w:sz w:val="24"/>
          <w:szCs w:val="24"/>
        </w:rPr>
      </w:pPr>
      <w:r w:rsidRPr="00AD7BA1">
        <w:rPr>
          <w:sz w:val="24"/>
          <w:szCs w:val="24"/>
        </w:rPr>
        <w:t xml:space="preserve">Patienter behandlet med </w:t>
      </w:r>
      <w:r w:rsidR="00AF6CB0" w:rsidRPr="00AD7BA1">
        <w:rPr>
          <w:sz w:val="24"/>
          <w:szCs w:val="24"/>
        </w:rPr>
        <w:t>Rixacam</w:t>
      </w:r>
      <w:r w:rsidRPr="00AD7BA1">
        <w:rPr>
          <w:sz w:val="24"/>
          <w:szCs w:val="24"/>
        </w:rPr>
        <w:t xml:space="preserve"> og ASA eller med </w:t>
      </w:r>
      <w:r w:rsidR="00AF6CB0" w:rsidRPr="00AD7BA1">
        <w:rPr>
          <w:sz w:val="24"/>
          <w:szCs w:val="24"/>
        </w:rPr>
        <w:t>Rixacam</w:t>
      </w:r>
      <w:r w:rsidRPr="00AD7BA1">
        <w:rPr>
          <w:sz w:val="24"/>
          <w:szCs w:val="24"/>
        </w:rPr>
        <w:t xml:space="preserve"> og antitrombotika bør kun få samtidig behandling med NSAID, hvis fordelen opvejer blødningsrisikoen.</w:t>
      </w:r>
    </w:p>
    <w:p w14:paraId="57755026" w14:textId="77777777" w:rsidR="009F6A93" w:rsidRPr="00AD7BA1" w:rsidRDefault="009F6A93" w:rsidP="00BB5D0F">
      <w:pPr>
        <w:ind w:left="851"/>
        <w:rPr>
          <w:sz w:val="24"/>
          <w:szCs w:val="24"/>
        </w:rPr>
      </w:pPr>
    </w:p>
    <w:p w14:paraId="4A909FC4" w14:textId="77777777" w:rsidR="009F6A93" w:rsidRPr="00AD7BA1" w:rsidRDefault="009F6A93" w:rsidP="00BB5D0F">
      <w:pPr>
        <w:ind w:left="851"/>
        <w:rPr>
          <w:sz w:val="24"/>
          <w:szCs w:val="24"/>
          <w:u w:val="single"/>
        </w:rPr>
      </w:pPr>
      <w:r w:rsidRPr="00AD7BA1">
        <w:rPr>
          <w:sz w:val="24"/>
          <w:szCs w:val="24"/>
          <w:u w:val="single"/>
        </w:rPr>
        <w:t>Andre risikofaktorer for blødning</w:t>
      </w:r>
    </w:p>
    <w:p w14:paraId="294DF381" w14:textId="77777777" w:rsidR="009F6A93" w:rsidRPr="00AD7BA1" w:rsidRDefault="009F6A93" w:rsidP="00BB5D0F">
      <w:pPr>
        <w:ind w:left="851"/>
        <w:rPr>
          <w:sz w:val="24"/>
          <w:szCs w:val="24"/>
        </w:rPr>
      </w:pPr>
      <w:r w:rsidRPr="00AD7BA1">
        <w:rPr>
          <w:sz w:val="24"/>
          <w:szCs w:val="24"/>
        </w:rPr>
        <w:t>Som ved andre antitrombotika anbefales rivaroxaban ikke til patienter med øget blødningsrisiko, f.eks. i tilfælde af:</w:t>
      </w:r>
    </w:p>
    <w:p w14:paraId="2E83526A" w14:textId="77777777" w:rsidR="009F6A93" w:rsidRPr="00AD7BA1" w:rsidRDefault="009F6A93" w:rsidP="0068338F">
      <w:pPr>
        <w:pStyle w:val="Listeafsnit"/>
        <w:numPr>
          <w:ilvl w:val="0"/>
          <w:numId w:val="17"/>
        </w:numPr>
        <w:ind w:left="1276" w:hanging="425"/>
        <w:rPr>
          <w:sz w:val="24"/>
          <w:szCs w:val="24"/>
          <w:lang w:val="da-DK"/>
        </w:rPr>
      </w:pPr>
      <w:r w:rsidRPr="00AD7BA1">
        <w:rPr>
          <w:sz w:val="24"/>
          <w:szCs w:val="24"/>
          <w:lang w:val="da-DK"/>
        </w:rPr>
        <w:t>medfødte eller erhvervede blødningsforstyrrelser</w:t>
      </w:r>
    </w:p>
    <w:p w14:paraId="7EFD68F9" w14:textId="77777777" w:rsidR="009F6A93" w:rsidRPr="00AD7BA1" w:rsidRDefault="009F6A93" w:rsidP="0068338F">
      <w:pPr>
        <w:pStyle w:val="Listeafsnit"/>
        <w:numPr>
          <w:ilvl w:val="0"/>
          <w:numId w:val="17"/>
        </w:numPr>
        <w:ind w:left="1276" w:hanging="425"/>
        <w:rPr>
          <w:sz w:val="24"/>
          <w:szCs w:val="24"/>
          <w:lang w:val="da-DK"/>
        </w:rPr>
      </w:pPr>
      <w:r w:rsidRPr="00AD7BA1">
        <w:rPr>
          <w:sz w:val="24"/>
          <w:szCs w:val="24"/>
          <w:lang w:val="da-DK"/>
        </w:rPr>
        <w:t>ukontrolleret, svær arteriel hypertension</w:t>
      </w:r>
    </w:p>
    <w:p w14:paraId="5AB108B3" w14:textId="77777777" w:rsidR="009F6A93" w:rsidRPr="00AD7BA1" w:rsidRDefault="009F6A93" w:rsidP="0068338F">
      <w:pPr>
        <w:pStyle w:val="Listeafsnit"/>
        <w:numPr>
          <w:ilvl w:val="0"/>
          <w:numId w:val="17"/>
        </w:numPr>
        <w:ind w:left="1276" w:hanging="425"/>
        <w:rPr>
          <w:sz w:val="24"/>
          <w:szCs w:val="24"/>
          <w:lang w:val="da-DK"/>
        </w:rPr>
      </w:pPr>
      <w:r w:rsidRPr="00AD7BA1">
        <w:rPr>
          <w:sz w:val="24"/>
          <w:szCs w:val="24"/>
          <w:lang w:val="da-DK"/>
        </w:rPr>
        <w:t>anden gastrointestinal sygdom uden aktiv ulceration, der potentielt kan medføre blødningskomplikationer (f.eks. inflammatorisk tarmsygdom, øsofagitis, gastritis og gastroøsofageal refluks)</w:t>
      </w:r>
    </w:p>
    <w:p w14:paraId="54A798C3" w14:textId="77777777" w:rsidR="009F6A93" w:rsidRPr="00AD7BA1" w:rsidRDefault="009F6A93" w:rsidP="0068338F">
      <w:pPr>
        <w:pStyle w:val="Listeafsnit"/>
        <w:numPr>
          <w:ilvl w:val="0"/>
          <w:numId w:val="17"/>
        </w:numPr>
        <w:ind w:left="1276" w:hanging="425"/>
        <w:rPr>
          <w:sz w:val="24"/>
          <w:szCs w:val="24"/>
          <w:lang w:val="da-DK"/>
        </w:rPr>
      </w:pPr>
      <w:r w:rsidRPr="00AD7BA1">
        <w:rPr>
          <w:sz w:val="24"/>
          <w:szCs w:val="24"/>
          <w:lang w:val="da-DK"/>
        </w:rPr>
        <w:t>vaskulær retinopati</w:t>
      </w:r>
    </w:p>
    <w:p w14:paraId="3C9C5399" w14:textId="77777777" w:rsidR="009F6A93" w:rsidRPr="00AD7BA1" w:rsidRDefault="009F6A93" w:rsidP="0068338F">
      <w:pPr>
        <w:pStyle w:val="Listeafsnit"/>
        <w:numPr>
          <w:ilvl w:val="0"/>
          <w:numId w:val="17"/>
        </w:numPr>
        <w:ind w:left="1276" w:hanging="425"/>
        <w:rPr>
          <w:sz w:val="24"/>
          <w:szCs w:val="24"/>
          <w:lang w:val="da-DK"/>
        </w:rPr>
      </w:pPr>
      <w:r w:rsidRPr="00AD7BA1">
        <w:rPr>
          <w:sz w:val="24"/>
          <w:szCs w:val="24"/>
          <w:lang w:val="da-DK"/>
        </w:rPr>
        <w:t>bronkiektase eller lungeblødning i anamnesen</w:t>
      </w:r>
    </w:p>
    <w:p w14:paraId="543FD77E" w14:textId="77777777" w:rsidR="009F6A93" w:rsidRPr="00AD7BA1" w:rsidRDefault="009F6A93" w:rsidP="00BB5D0F">
      <w:pPr>
        <w:ind w:left="851"/>
        <w:rPr>
          <w:sz w:val="24"/>
          <w:szCs w:val="24"/>
        </w:rPr>
      </w:pPr>
    </w:p>
    <w:p w14:paraId="303ADE7B" w14:textId="77777777" w:rsidR="009F6A93" w:rsidRPr="00AD7BA1" w:rsidRDefault="009F6A93" w:rsidP="00BB5D0F">
      <w:pPr>
        <w:ind w:left="851"/>
        <w:rPr>
          <w:sz w:val="24"/>
          <w:szCs w:val="24"/>
        </w:rPr>
      </w:pPr>
      <w:r w:rsidRPr="00AD7BA1">
        <w:rPr>
          <w:sz w:val="24"/>
          <w:szCs w:val="24"/>
        </w:rPr>
        <w:t>Det bør anvendes med forsigtighed hos patienter med akut koronarsyndrom (AKS) og patienter med koronararteriesygdom (CAD) /perifer arteriesygdom (PAD):</w:t>
      </w:r>
    </w:p>
    <w:p w14:paraId="5D75E920" w14:textId="77777777" w:rsidR="009F6A93" w:rsidRPr="00AD7BA1" w:rsidRDefault="009F6A93" w:rsidP="0068338F">
      <w:pPr>
        <w:pStyle w:val="Listeafsnit"/>
        <w:numPr>
          <w:ilvl w:val="0"/>
          <w:numId w:val="18"/>
        </w:numPr>
        <w:ind w:left="1276" w:hanging="425"/>
        <w:rPr>
          <w:sz w:val="24"/>
          <w:szCs w:val="24"/>
          <w:lang w:val="da-DK"/>
        </w:rPr>
      </w:pPr>
      <w:r w:rsidRPr="00AD7BA1">
        <w:rPr>
          <w:sz w:val="24"/>
          <w:szCs w:val="24"/>
          <w:lang w:val="da-DK"/>
        </w:rPr>
        <w:t>≥ 75 år, hvis det administreres i kombination med ASA eller med ASA og clopidogrel eller ticlopidin. Benefit/risk-forholdet for behandlingen skal vurderes individuelt regelmæssigt.</w:t>
      </w:r>
    </w:p>
    <w:p w14:paraId="0F7D65AB" w14:textId="77777777" w:rsidR="009F6A93" w:rsidRPr="00AD7BA1" w:rsidRDefault="009F6A93" w:rsidP="0068338F">
      <w:pPr>
        <w:pStyle w:val="Listeafsnit"/>
        <w:numPr>
          <w:ilvl w:val="0"/>
          <w:numId w:val="18"/>
        </w:numPr>
        <w:ind w:left="1276" w:hanging="425"/>
        <w:rPr>
          <w:sz w:val="24"/>
          <w:szCs w:val="24"/>
          <w:lang w:val="da-DK"/>
        </w:rPr>
      </w:pPr>
      <w:r w:rsidRPr="00AD7BA1">
        <w:rPr>
          <w:sz w:val="24"/>
          <w:szCs w:val="24"/>
          <w:lang w:val="da-DK"/>
        </w:rPr>
        <w:t>som har en lavere kropsvægt (&lt; 60 kg), hvis det administreres i kombination med ASA alene eller med ASA og clopidogrel eller ticlopidin.</w:t>
      </w:r>
    </w:p>
    <w:p w14:paraId="58B1F9F5" w14:textId="77777777" w:rsidR="009F6A93" w:rsidRPr="00AD7BA1" w:rsidRDefault="009F6A93" w:rsidP="0068338F">
      <w:pPr>
        <w:pStyle w:val="Listeafsnit"/>
        <w:numPr>
          <w:ilvl w:val="0"/>
          <w:numId w:val="18"/>
        </w:numPr>
        <w:ind w:left="1276" w:hanging="425"/>
        <w:rPr>
          <w:sz w:val="24"/>
          <w:szCs w:val="24"/>
          <w:lang w:val="da-DK"/>
        </w:rPr>
      </w:pPr>
      <w:proofErr w:type="gramStart"/>
      <w:r w:rsidRPr="00AD7BA1">
        <w:rPr>
          <w:sz w:val="24"/>
          <w:szCs w:val="24"/>
          <w:lang w:val="da-DK"/>
        </w:rPr>
        <w:t>CAD patienter</w:t>
      </w:r>
      <w:proofErr w:type="gramEnd"/>
      <w:r w:rsidRPr="00AD7BA1">
        <w:rPr>
          <w:sz w:val="24"/>
          <w:szCs w:val="24"/>
          <w:lang w:val="da-DK"/>
        </w:rPr>
        <w:t xml:space="preserve"> med alvorlig symptomatisk hjertesvigt. Data fra studier indikerer, at disse patienter kan have mindre gavn af behandling med rivaroxaban (se pkt. 5.1).</w:t>
      </w:r>
    </w:p>
    <w:p w14:paraId="27176188" w14:textId="77777777" w:rsidR="009F6A93" w:rsidRPr="00AD7BA1" w:rsidRDefault="009F6A93" w:rsidP="00BB5D0F">
      <w:pPr>
        <w:ind w:left="851"/>
        <w:rPr>
          <w:sz w:val="24"/>
          <w:szCs w:val="24"/>
        </w:rPr>
      </w:pPr>
    </w:p>
    <w:p w14:paraId="47055DCC" w14:textId="77777777" w:rsidR="009F6A93" w:rsidRPr="00AD7BA1" w:rsidRDefault="009F6A93" w:rsidP="00BB5D0F">
      <w:pPr>
        <w:ind w:left="851"/>
        <w:rPr>
          <w:sz w:val="24"/>
          <w:szCs w:val="24"/>
          <w:u w:val="single"/>
        </w:rPr>
      </w:pPr>
      <w:r w:rsidRPr="00AD7BA1">
        <w:rPr>
          <w:sz w:val="24"/>
          <w:szCs w:val="24"/>
          <w:u w:val="single"/>
        </w:rPr>
        <w:t>Patienter med cancer</w:t>
      </w:r>
    </w:p>
    <w:p w14:paraId="33EC2836" w14:textId="77777777" w:rsidR="009F6A93" w:rsidRPr="00AD7BA1" w:rsidRDefault="009F6A93" w:rsidP="00BB5D0F">
      <w:pPr>
        <w:ind w:left="851"/>
        <w:rPr>
          <w:sz w:val="24"/>
          <w:szCs w:val="24"/>
        </w:rPr>
      </w:pPr>
      <w:r w:rsidRPr="00AD7BA1">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05CF75F0" w14:textId="77777777" w:rsidR="009F6A93" w:rsidRPr="00AD7BA1" w:rsidRDefault="009F6A93" w:rsidP="00BB5D0F">
      <w:pPr>
        <w:ind w:left="851"/>
        <w:rPr>
          <w:sz w:val="24"/>
          <w:szCs w:val="24"/>
        </w:rPr>
      </w:pPr>
      <w:r w:rsidRPr="00AD7BA1">
        <w:rPr>
          <w:sz w:val="24"/>
          <w:szCs w:val="24"/>
        </w:rPr>
        <w:t>Hos patienter med maligne neoplasmer med en høj blødningsrisiko, er anvendelsen af rivaroxaban kontraindiceret (se pkt. 4.3).</w:t>
      </w:r>
    </w:p>
    <w:p w14:paraId="02EC3542" w14:textId="77777777" w:rsidR="009F6A93" w:rsidRPr="00AD7BA1" w:rsidRDefault="009F6A93" w:rsidP="00BB5D0F">
      <w:pPr>
        <w:ind w:left="851"/>
        <w:rPr>
          <w:sz w:val="24"/>
          <w:szCs w:val="24"/>
        </w:rPr>
      </w:pPr>
    </w:p>
    <w:p w14:paraId="3AC3D9E0" w14:textId="77777777" w:rsidR="009F6A93" w:rsidRPr="00AD7BA1" w:rsidRDefault="009F6A93" w:rsidP="00BB5D0F">
      <w:pPr>
        <w:ind w:left="851"/>
        <w:rPr>
          <w:sz w:val="24"/>
          <w:szCs w:val="24"/>
          <w:u w:val="single"/>
        </w:rPr>
      </w:pPr>
      <w:r w:rsidRPr="00AD7BA1">
        <w:rPr>
          <w:sz w:val="24"/>
          <w:szCs w:val="24"/>
          <w:u w:val="single"/>
        </w:rPr>
        <w:t>Patienter med kunstige hjerteklapper</w:t>
      </w:r>
    </w:p>
    <w:p w14:paraId="068A495D" w14:textId="674793D4" w:rsidR="009F6A93" w:rsidRPr="00AD7BA1" w:rsidRDefault="009F6A93" w:rsidP="00BB5D0F">
      <w:pPr>
        <w:ind w:left="851"/>
        <w:rPr>
          <w:sz w:val="24"/>
          <w:szCs w:val="24"/>
        </w:rPr>
      </w:pPr>
      <w:r w:rsidRPr="00AD7BA1">
        <w:rPr>
          <w:sz w:val="24"/>
          <w:szCs w:val="24"/>
        </w:rPr>
        <w:t xml:space="preserve">Rivaroxaban bør ikke anvendes til tromboseprofylakse hos patienter, der for nyligt har gennemgået transkateterbaseret hjerteklapudskiftning (transcatheter aortic valve replacement, TAVR). Sikkerheden og virkningen af </w:t>
      </w:r>
      <w:r w:rsidR="00AF6CB0" w:rsidRPr="00AD7BA1">
        <w:rPr>
          <w:sz w:val="24"/>
          <w:szCs w:val="24"/>
        </w:rPr>
        <w:t>Rixacam</w:t>
      </w:r>
      <w:r w:rsidRPr="00AD7BA1">
        <w:rPr>
          <w:sz w:val="24"/>
          <w:szCs w:val="24"/>
        </w:rPr>
        <w:t xml:space="preserve"> er ikke undersøgt hos patienter med kunstige hjerteklapper. Der foreligger derfor ingen data, der kan dokumentere, at </w:t>
      </w:r>
      <w:r w:rsidR="00AF6CB0" w:rsidRPr="00AD7BA1">
        <w:rPr>
          <w:sz w:val="24"/>
          <w:szCs w:val="24"/>
        </w:rPr>
        <w:t>Rixacam</w:t>
      </w:r>
      <w:r w:rsidRPr="00AD7BA1">
        <w:rPr>
          <w:sz w:val="24"/>
          <w:szCs w:val="24"/>
        </w:rPr>
        <w:t xml:space="preserve"> giver tilstrækkelig antikoagulation for denne patientpopulation. Behandling med </w:t>
      </w:r>
      <w:r w:rsidR="00AF6CB0" w:rsidRPr="00AD7BA1">
        <w:rPr>
          <w:sz w:val="24"/>
          <w:szCs w:val="24"/>
        </w:rPr>
        <w:t>Rixacam</w:t>
      </w:r>
      <w:r w:rsidRPr="00AD7BA1">
        <w:rPr>
          <w:sz w:val="24"/>
          <w:szCs w:val="24"/>
        </w:rPr>
        <w:t xml:space="preserve"> frarådes for disse patienter.</w:t>
      </w:r>
    </w:p>
    <w:p w14:paraId="022D16E2" w14:textId="77777777" w:rsidR="009F6A93" w:rsidRPr="00AD7BA1" w:rsidRDefault="009F6A93" w:rsidP="00BB5D0F">
      <w:pPr>
        <w:ind w:left="851"/>
        <w:rPr>
          <w:sz w:val="24"/>
          <w:szCs w:val="24"/>
        </w:rPr>
      </w:pPr>
    </w:p>
    <w:p w14:paraId="16D38205" w14:textId="77777777" w:rsidR="009F6A93" w:rsidRPr="00AD7BA1" w:rsidRDefault="009F6A93" w:rsidP="00BB5D0F">
      <w:pPr>
        <w:ind w:left="851"/>
        <w:rPr>
          <w:sz w:val="24"/>
          <w:szCs w:val="24"/>
          <w:u w:val="single"/>
        </w:rPr>
      </w:pPr>
      <w:r w:rsidRPr="00AD7BA1">
        <w:rPr>
          <w:sz w:val="24"/>
          <w:szCs w:val="24"/>
          <w:u w:val="single"/>
        </w:rPr>
        <w:t>Patienter med antifosfolipidsyndrom</w:t>
      </w:r>
    </w:p>
    <w:p w14:paraId="4B2FA9D9" w14:textId="77777777" w:rsidR="009F6A93" w:rsidRPr="00AD7BA1" w:rsidRDefault="009F6A93" w:rsidP="00BB5D0F">
      <w:pPr>
        <w:ind w:left="851"/>
        <w:rPr>
          <w:sz w:val="24"/>
          <w:szCs w:val="24"/>
        </w:rPr>
      </w:pPr>
      <w:r w:rsidRPr="00AD7BA1">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E93C4DE" w14:textId="77777777" w:rsidR="009F6A93" w:rsidRPr="00AD7BA1" w:rsidRDefault="009F6A93" w:rsidP="00BB5D0F">
      <w:pPr>
        <w:ind w:left="851"/>
        <w:rPr>
          <w:sz w:val="24"/>
          <w:szCs w:val="24"/>
        </w:rPr>
      </w:pPr>
    </w:p>
    <w:p w14:paraId="05F46D17" w14:textId="77777777" w:rsidR="009F6A93" w:rsidRPr="00AD7BA1" w:rsidRDefault="009F6A93" w:rsidP="00BB5D0F">
      <w:pPr>
        <w:ind w:left="851"/>
        <w:rPr>
          <w:sz w:val="24"/>
          <w:szCs w:val="24"/>
          <w:u w:val="single"/>
        </w:rPr>
      </w:pPr>
      <w:r w:rsidRPr="00AD7BA1">
        <w:rPr>
          <w:sz w:val="24"/>
          <w:szCs w:val="24"/>
          <w:u w:val="single"/>
        </w:rPr>
        <w:t>Patienter med forudgående apopleksi og/eller TIA</w:t>
      </w:r>
    </w:p>
    <w:p w14:paraId="0D09C953" w14:textId="77777777" w:rsidR="009F6A93" w:rsidRPr="00E10279" w:rsidRDefault="009F6A93" w:rsidP="00BB5D0F">
      <w:pPr>
        <w:ind w:left="851"/>
        <w:rPr>
          <w:i/>
          <w:sz w:val="24"/>
          <w:szCs w:val="24"/>
          <w:lang w:val="sv-SE"/>
        </w:rPr>
      </w:pPr>
      <w:r w:rsidRPr="00E10279">
        <w:rPr>
          <w:i/>
          <w:sz w:val="24"/>
          <w:szCs w:val="24"/>
          <w:lang w:val="sv-SE"/>
        </w:rPr>
        <w:t>Patienter med akut koronarsyndrom (AKS)</w:t>
      </w:r>
    </w:p>
    <w:p w14:paraId="4B7D30F2" w14:textId="3B2513F5" w:rsidR="009F6A93" w:rsidRPr="00AD7BA1" w:rsidRDefault="00AF6CB0" w:rsidP="00BB5D0F">
      <w:pPr>
        <w:ind w:left="851"/>
        <w:rPr>
          <w:sz w:val="24"/>
          <w:szCs w:val="24"/>
        </w:rPr>
      </w:pPr>
      <w:r w:rsidRPr="00AD7BA1">
        <w:rPr>
          <w:sz w:val="24"/>
          <w:szCs w:val="24"/>
        </w:rPr>
        <w:t>Rixacam</w:t>
      </w:r>
      <w:r w:rsidR="009F6A93" w:rsidRPr="00AD7BA1">
        <w:rPr>
          <w:sz w:val="24"/>
          <w:szCs w:val="24"/>
        </w:rPr>
        <w:t xml:space="preserve"> 2,5 mg er kontraindiceret til behandling af AKS hos patienter med forudgående apopleksi eller TIA (se pkt. 4.3). Få AKS-patienter med forudgående apopleksi eller TIA er blevet undersøgt, men de begrænsede tilgængelige data for virkning indikerer, at disse patienter ikke drager fordel af behandlingen.</w:t>
      </w:r>
    </w:p>
    <w:p w14:paraId="1CCB8BCF" w14:textId="77777777" w:rsidR="009F6A93" w:rsidRPr="00AD7BA1" w:rsidRDefault="009F6A93" w:rsidP="00BB5D0F">
      <w:pPr>
        <w:ind w:left="851"/>
        <w:rPr>
          <w:sz w:val="24"/>
          <w:szCs w:val="24"/>
        </w:rPr>
      </w:pPr>
    </w:p>
    <w:p w14:paraId="47BF3A26" w14:textId="77777777" w:rsidR="009F6A93" w:rsidRPr="00E10279" w:rsidRDefault="009F6A93" w:rsidP="00BB5D0F">
      <w:pPr>
        <w:ind w:left="851"/>
        <w:rPr>
          <w:i/>
          <w:sz w:val="24"/>
          <w:szCs w:val="24"/>
          <w:lang w:val="sv-SE"/>
        </w:rPr>
      </w:pPr>
      <w:r w:rsidRPr="00E10279">
        <w:rPr>
          <w:i/>
          <w:sz w:val="24"/>
          <w:szCs w:val="24"/>
          <w:lang w:val="sv-SE"/>
        </w:rPr>
        <w:t>Patienter med koronararteriesygdom (CAD) /perifer arteriesygdom (PAD)</w:t>
      </w:r>
    </w:p>
    <w:p w14:paraId="0E269541" w14:textId="77777777" w:rsidR="009F6A93" w:rsidRPr="00AD7BA1" w:rsidRDefault="009F6A93" w:rsidP="00BB5D0F">
      <w:pPr>
        <w:ind w:left="851"/>
        <w:rPr>
          <w:sz w:val="24"/>
          <w:szCs w:val="24"/>
        </w:rPr>
      </w:pPr>
      <w:r w:rsidRPr="00AD7BA1">
        <w:rPr>
          <w:sz w:val="24"/>
          <w:szCs w:val="24"/>
        </w:rPr>
        <w:t>CAD/PAD-patienter med tidligere hæmoragisk eller lakunær apopleksi, eller iskæmisk, ikke-lakunær apopleksi inden for den sidste måned blev ikke undersøgt (se pkt. 4.3).</w:t>
      </w:r>
    </w:p>
    <w:p w14:paraId="7938A318" w14:textId="516425A7" w:rsidR="009F6A93" w:rsidRPr="00AD7BA1" w:rsidRDefault="009F6A93" w:rsidP="00BB5D0F">
      <w:pPr>
        <w:ind w:left="851"/>
        <w:rPr>
          <w:sz w:val="24"/>
          <w:szCs w:val="24"/>
        </w:rPr>
      </w:pPr>
      <w:r w:rsidRPr="00AD7BA1">
        <w:rPr>
          <w:sz w:val="24"/>
          <w:szCs w:val="24"/>
        </w:rPr>
        <w:t xml:space="preserve">Patienter efter nylige revaskulariseringsprocedurer af den nedre ekstremitet, som følge af symptomatisk PAD med tidligere slagtilfælde eller TIA, blev ikke undersøgt. Behandling med </w:t>
      </w:r>
      <w:r w:rsidR="00AF6CB0" w:rsidRPr="00AD7BA1">
        <w:rPr>
          <w:sz w:val="24"/>
          <w:szCs w:val="24"/>
        </w:rPr>
        <w:t>Rixacam</w:t>
      </w:r>
      <w:r w:rsidRPr="00AD7BA1">
        <w:rPr>
          <w:sz w:val="24"/>
          <w:szCs w:val="24"/>
        </w:rPr>
        <w:t xml:space="preserve"> 2,5 mg bør undgås hos disse patienter, der får dobbelt antitrombotisk behandling.</w:t>
      </w:r>
    </w:p>
    <w:p w14:paraId="0CD5D0AC" w14:textId="77777777" w:rsidR="009F6A93" w:rsidRPr="00AD7BA1" w:rsidRDefault="009F6A93" w:rsidP="00BB5D0F">
      <w:pPr>
        <w:ind w:left="851"/>
        <w:rPr>
          <w:sz w:val="24"/>
          <w:szCs w:val="24"/>
        </w:rPr>
      </w:pPr>
    </w:p>
    <w:p w14:paraId="01B32131" w14:textId="77777777" w:rsidR="009F6A93" w:rsidRPr="00AD7BA1" w:rsidRDefault="009F6A93" w:rsidP="00BB5D0F">
      <w:pPr>
        <w:ind w:left="851"/>
        <w:rPr>
          <w:sz w:val="24"/>
          <w:szCs w:val="24"/>
          <w:u w:val="single"/>
        </w:rPr>
      </w:pPr>
      <w:r w:rsidRPr="00AD7BA1">
        <w:rPr>
          <w:sz w:val="24"/>
          <w:szCs w:val="24"/>
          <w:u w:val="single"/>
        </w:rPr>
        <w:t>Spinal/epiduralanæstesi eller -punktur</w:t>
      </w:r>
    </w:p>
    <w:p w14:paraId="500D0BF3" w14:textId="49DCB80A" w:rsidR="009F6A93" w:rsidRPr="00AD7BA1" w:rsidRDefault="009F6A93" w:rsidP="00BB5D0F">
      <w:pPr>
        <w:ind w:left="851"/>
        <w:rPr>
          <w:sz w:val="24"/>
          <w:szCs w:val="24"/>
        </w:rPr>
      </w:pPr>
      <w:r w:rsidRPr="00AD7BA1">
        <w:rPr>
          <w:sz w:val="24"/>
          <w:szCs w:val="24"/>
        </w:rPr>
        <w:t>I forbindelse med neuraksial anæstesi (spinal/epiduralanæstesi) eller spinal/epidural</w:t>
      </w:r>
      <w:r w:rsidR="00AF6CB0" w:rsidRPr="00AD7BA1">
        <w:rPr>
          <w:sz w:val="24"/>
          <w:szCs w:val="24"/>
        </w:rPr>
        <w:softHyphen/>
      </w:r>
      <w:r w:rsidRPr="00AD7BA1">
        <w:rPr>
          <w:sz w:val="24"/>
          <w:szCs w:val="24"/>
        </w:rPr>
        <w:t>punktur har patienter, som får antitrombotika til forebyggelse af tromboemboliske komplikationer, risiko for at udvikle epiduralt eller spinalt hæmatom, hvilket kan føre til langvarig eller permanent paralyse.</w:t>
      </w:r>
    </w:p>
    <w:p w14:paraId="1F903722" w14:textId="09231941" w:rsidR="009F6A93" w:rsidRPr="00AD7BA1" w:rsidRDefault="009F6A93" w:rsidP="00BB5D0F">
      <w:pPr>
        <w:ind w:left="851"/>
        <w:rPr>
          <w:sz w:val="24"/>
          <w:szCs w:val="24"/>
        </w:rPr>
      </w:pPr>
      <w:r w:rsidRPr="00AD7BA1">
        <w:rPr>
          <w:sz w:val="24"/>
          <w:szCs w:val="24"/>
        </w:rPr>
        <w:t xml:space="preserve">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2,5 mg </w:t>
      </w:r>
      <w:r w:rsidR="00AF6CB0" w:rsidRPr="00AD7BA1">
        <w:rPr>
          <w:sz w:val="24"/>
          <w:szCs w:val="24"/>
        </w:rPr>
        <w:t>Rixacam</w:t>
      </w:r>
      <w:r w:rsidRPr="00AD7BA1">
        <w:rPr>
          <w:sz w:val="24"/>
          <w:szCs w:val="24"/>
        </w:rPr>
        <w:t xml:space="preserve"> og antitrombotika i disse situationer. Trombocytaggregationshæmmere bør seponeres, som foreslået i fremstillerens ordinationsinformation.</w:t>
      </w:r>
    </w:p>
    <w:p w14:paraId="7A9FD343" w14:textId="77777777" w:rsidR="009F6A93" w:rsidRPr="00AD7BA1" w:rsidRDefault="009F6A93" w:rsidP="00BB5D0F">
      <w:pPr>
        <w:ind w:left="851"/>
        <w:rPr>
          <w:sz w:val="24"/>
          <w:szCs w:val="24"/>
        </w:rPr>
      </w:pPr>
      <w:r w:rsidRPr="00AD7BA1">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(se pkt. 5.2). Det vides imidlertid ikke, præcist hvornår en tilstrækkelig lav antikoagulerende virkning nås hos den enkelte patient.</w:t>
      </w:r>
    </w:p>
    <w:p w14:paraId="6078AF38" w14:textId="77777777" w:rsidR="009F6A93" w:rsidRPr="00AD7BA1" w:rsidRDefault="009F6A93" w:rsidP="00BB5D0F">
      <w:pPr>
        <w:ind w:left="851"/>
        <w:rPr>
          <w:sz w:val="24"/>
          <w:szCs w:val="24"/>
        </w:rPr>
      </w:pPr>
    </w:p>
    <w:p w14:paraId="10E6D72E" w14:textId="77777777" w:rsidR="009F6A93" w:rsidRPr="00AD7BA1" w:rsidRDefault="009F6A93" w:rsidP="00BB5D0F">
      <w:pPr>
        <w:ind w:left="851"/>
        <w:rPr>
          <w:sz w:val="24"/>
          <w:szCs w:val="24"/>
          <w:u w:val="single"/>
        </w:rPr>
      </w:pPr>
      <w:r w:rsidRPr="00AD7BA1">
        <w:rPr>
          <w:sz w:val="24"/>
          <w:szCs w:val="24"/>
          <w:u w:val="single"/>
        </w:rPr>
        <w:t>Doseringsanbefaling før og efter invasive indgreb og kirurgi</w:t>
      </w:r>
    </w:p>
    <w:p w14:paraId="76909507" w14:textId="338D4328" w:rsidR="009F6A93" w:rsidRPr="00AD7BA1" w:rsidRDefault="009F6A93" w:rsidP="00BB5D0F">
      <w:pPr>
        <w:ind w:left="851"/>
        <w:rPr>
          <w:sz w:val="24"/>
          <w:szCs w:val="24"/>
        </w:rPr>
      </w:pPr>
      <w:r w:rsidRPr="00AD7BA1">
        <w:rPr>
          <w:sz w:val="24"/>
          <w:szCs w:val="24"/>
        </w:rPr>
        <w:t xml:space="preserve">Såfremt der er behov for invasive indgreb eller kirurgi, skal </w:t>
      </w:r>
      <w:r w:rsidR="00AF6CB0" w:rsidRPr="00AD7BA1">
        <w:rPr>
          <w:sz w:val="24"/>
          <w:szCs w:val="24"/>
        </w:rPr>
        <w:t>Rixacam</w:t>
      </w:r>
      <w:r w:rsidRPr="00AD7BA1">
        <w:rPr>
          <w:sz w:val="24"/>
          <w:szCs w:val="24"/>
        </w:rPr>
        <w:t xml:space="preserve"> 2,5 mg så vidt muligt seponeres mindst 12 timer før indgrebet baseret på den behandlende læges kliniske vurdering. Hvis en patient skal gennemgå elektiv kirurgi og der ikke ønskes en antitrombotisk virkning, bør</w:t>
      </w:r>
      <w:r w:rsidR="0068338F" w:rsidRPr="00AD7BA1">
        <w:rPr>
          <w:sz w:val="24"/>
          <w:szCs w:val="24"/>
        </w:rPr>
        <w:t xml:space="preserve"> </w:t>
      </w:r>
      <w:r w:rsidRPr="00AD7BA1">
        <w:rPr>
          <w:sz w:val="24"/>
          <w:szCs w:val="24"/>
        </w:rPr>
        <w:t>trombocytaggregationshæmmere seponeres efter retning</w:t>
      </w:r>
      <w:r w:rsidR="00AF6CB0" w:rsidRPr="00AD7BA1">
        <w:rPr>
          <w:sz w:val="24"/>
          <w:szCs w:val="24"/>
        </w:rPr>
        <w:t>s</w:t>
      </w:r>
      <w:r w:rsidRPr="00AD7BA1">
        <w:rPr>
          <w:sz w:val="24"/>
          <w:szCs w:val="24"/>
        </w:rPr>
        <w:t>linjerne fra fremstillerens ordinationsinformation.</w:t>
      </w:r>
    </w:p>
    <w:p w14:paraId="23B219BE" w14:textId="77777777" w:rsidR="009F6A93" w:rsidRPr="00AD7BA1" w:rsidRDefault="009F6A93" w:rsidP="00BB5D0F">
      <w:pPr>
        <w:ind w:left="851"/>
        <w:rPr>
          <w:sz w:val="24"/>
          <w:szCs w:val="24"/>
        </w:rPr>
      </w:pPr>
      <w:r w:rsidRPr="00AD7BA1">
        <w:rPr>
          <w:sz w:val="24"/>
          <w:szCs w:val="24"/>
        </w:rPr>
        <w:t>Såfremt indgrebet ikke kan udskydes, må den øgede blødningsrisiko afvejes mod behovet for hurtig intervention.</w:t>
      </w:r>
    </w:p>
    <w:p w14:paraId="029263AC" w14:textId="5E7F30E3" w:rsidR="009F6A93" w:rsidRPr="00AD7BA1" w:rsidRDefault="009F6A93" w:rsidP="00BB5D0F">
      <w:pPr>
        <w:ind w:left="851"/>
        <w:rPr>
          <w:sz w:val="24"/>
          <w:szCs w:val="24"/>
        </w:rPr>
      </w:pPr>
      <w:r w:rsidRPr="00AD7BA1">
        <w:rPr>
          <w:sz w:val="24"/>
          <w:szCs w:val="24"/>
        </w:rPr>
        <w:t xml:space="preserve">Efter invasive indgreb eller kirurgi skal </w:t>
      </w:r>
      <w:r w:rsidR="00AF6CB0" w:rsidRPr="00AD7BA1">
        <w:rPr>
          <w:sz w:val="24"/>
          <w:szCs w:val="24"/>
        </w:rPr>
        <w:t>Rixacam</w:t>
      </w:r>
      <w:r w:rsidRPr="00AD7BA1">
        <w:rPr>
          <w:sz w:val="24"/>
          <w:szCs w:val="24"/>
        </w:rPr>
        <w:t xml:space="preserve"> startes op igen hurtigst muligt, forudsat patientens kliniske tilstand tillader det, og der efter den behandlende læges vurdering er sikret tilstrækkelig hæmostase (se pkt. 5.2).</w:t>
      </w:r>
    </w:p>
    <w:p w14:paraId="45066233" w14:textId="77777777" w:rsidR="009F6A93" w:rsidRPr="00AD7BA1" w:rsidRDefault="009F6A93" w:rsidP="00BB5D0F">
      <w:pPr>
        <w:ind w:left="851"/>
        <w:rPr>
          <w:sz w:val="24"/>
          <w:szCs w:val="24"/>
        </w:rPr>
      </w:pPr>
    </w:p>
    <w:p w14:paraId="20F21885" w14:textId="77777777" w:rsidR="009F6A93" w:rsidRPr="00AD7BA1" w:rsidRDefault="009F6A93" w:rsidP="00BB5D0F">
      <w:pPr>
        <w:ind w:left="851"/>
        <w:rPr>
          <w:sz w:val="24"/>
          <w:szCs w:val="24"/>
          <w:u w:val="single"/>
        </w:rPr>
      </w:pPr>
      <w:r w:rsidRPr="00AD7BA1">
        <w:rPr>
          <w:sz w:val="24"/>
          <w:szCs w:val="24"/>
          <w:u w:val="single"/>
        </w:rPr>
        <w:t>Ældre population</w:t>
      </w:r>
    </w:p>
    <w:p w14:paraId="02A37692" w14:textId="77777777" w:rsidR="009F6A93" w:rsidRPr="00AD7BA1" w:rsidRDefault="009F6A93" w:rsidP="00BB5D0F">
      <w:pPr>
        <w:ind w:left="851"/>
        <w:rPr>
          <w:sz w:val="24"/>
          <w:szCs w:val="24"/>
        </w:rPr>
      </w:pPr>
      <w:r w:rsidRPr="00AD7BA1">
        <w:rPr>
          <w:sz w:val="24"/>
          <w:szCs w:val="24"/>
        </w:rPr>
        <w:t>Stigende alder kan øge blødningsrisikoen (se pkt. 5.1 og 5.2).</w:t>
      </w:r>
    </w:p>
    <w:p w14:paraId="540860C2" w14:textId="77777777" w:rsidR="009F6A93" w:rsidRPr="00AD7BA1" w:rsidRDefault="009F6A93" w:rsidP="00BB5D0F">
      <w:pPr>
        <w:ind w:left="851"/>
        <w:rPr>
          <w:sz w:val="24"/>
          <w:szCs w:val="24"/>
        </w:rPr>
      </w:pPr>
    </w:p>
    <w:p w14:paraId="6074C247" w14:textId="77777777" w:rsidR="009F6A93" w:rsidRPr="00AD7BA1" w:rsidRDefault="009F6A93" w:rsidP="00BB5D0F">
      <w:pPr>
        <w:ind w:left="851"/>
        <w:rPr>
          <w:sz w:val="24"/>
          <w:szCs w:val="24"/>
          <w:u w:val="single"/>
        </w:rPr>
      </w:pPr>
      <w:r w:rsidRPr="00AD7BA1">
        <w:rPr>
          <w:sz w:val="24"/>
          <w:szCs w:val="24"/>
          <w:u w:val="single"/>
        </w:rPr>
        <w:t>Dermatologiske reaktioner</w:t>
      </w:r>
    </w:p>
    <w:p w14:paraId="7A4DF96D" w14:textId="4D56221C" w:rsidR="009F6A93" w:rsidRPr="00AD7BA1" w:rsidRDefault="009F6A93" w:rsidP="00BB5D0F">
      <w:pPr>
        <w:ind w:left="851"/>
        <w:rPr>
          <w:sz w:val="24"/>
          <w:szCs w:val="24"/>
        </w:rPr>
      </w:pPr>
      <w:r w:rsidRPr="00AD7BA1">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AF6CB0" w:rsidRPr="00AD7BA1">
        <w:rPr>
          <w:sz w:val="24"/>
          <w:szCs w:val="24"/>
        </w:rPr>
        <w:t>.</w:t>
      </w:r>
      <w:r w:rsidRPr="00AD7BA1">
        <w:rPr>
          <w:sz w:val="24"/>
          <w:szCs w:val="24"/>
        </w:rPr>
        <w:t xml:space="preserve"> spredning, svært udslæt og/eller blisterdannelse) eller andre tegn på overfølsomhed i forbindelse med slimhindelæsioner.</w:t>
      </w:r>
    </w:p>
    <w:p w14:paraId="1C66D06C" w14:textId="77777777" w:rsidR="009F6A93" w:rsidRPr="00AD7BA1" w:rsidRDefault="009F6A93" w:rsidP="00BB5D0F">
      <w:pPr>
        <w:ind w:left="851"/>
        <w:rPr>
          <w:sz w:val="24"/>
          <w:szCs w:val="24"/>
        </w:rPr>
      </w:pPr>
    </w:p>
    <w:p w14:paraId="2F568299" w14:textId="77777777" w:rsidR="009F6A93" w:rsidRPr="00AD7BA1" w:rsidRDefault="009F6A93" w:rsidP="00BB5D0F">
      <w:pPr>
        <w:ind w:left="851"/>
        <w:rPr>
          <w:sz w:val="24"/>
          <w:szCs w:val="24"/>
          <w:u w:val="single"/>
        </w:rPr>
      </w:pPr>
      <w:r w:rsidRPr="00AD7BA1">
        <w:rPr>
          <w:sz w:val="24"/>
          <w:szCs w:val="24"/>
          <w:u w:val="single"/>
        </w:rPr>
        <w:t>Oplysninger om hjælpestofferne</w:t>
      </w:r>
    </w:p>
    <w:p w14:paraId="24DCE660" w14:textId="5AD55BAF" w:rsidR="009F6A93" w:rsidRPr="00AD7BA1" w:rsidRDefault="00AF6CB0" w:rsidP="00BB5D0F">
      <w:pPr>
        <w:ind w:left="851"/>
        <w:rPr>
          <w:sz w:val="24"/>
          <w:szCs w:val="24"/>
        </w:rPr>
      </w:pPr>
      <w:r w:rsidRPr="00AD7BA1">
        <w:rPr>
          <w:sz w:val="24"/>
          <w:szCs w:val="24"/>
        </w:rPr>
        <w:t>Rixacam</w:t>
      </w:r>
      <w:r w:rsidR="009F6A93" w:rsidRPr="00AD7BA1">
        <w:rPr>
          <w:sz w:val="24"/>
          <w:szCs w:val="24"/>
        </w:rPr>
        <w:t xml:space="preserve"> indeholder lactose. Bør ikke anvendes til patienter med hereditær galactoseintolerans, total lactasemangel eller glucose/galactosemalabsorption.</w:t>
      </w:r>
    </w:p>
    <w:p w14:paraId="497EAC98" w14:textId="77777777" w:rsidR="009F6A93" w:rsidRPr="00AD7BA1" w:rsidRDefault="009F6A93" w:rsidP="00BB5D0F">
      <w:pPr>
        <w:ind w:left="851"/>
        <w:rPr>
          <w:sz w:val="24"/>
          <w:szCs w:val="24"/>
        </w:rPr>
      </w:pPr>
      <w:r w:rsidRPr="00AD7BA1">
        <w:rPr>
          <w:sz w:val="24"/>
          <w:szCs w:val="24"/>
        </w:rPr>
        <w:t>Dette lægemiddel indeholder mindre end 1 mmol (23 mg) natrium pr. dosisenhed, dvs. det er i det væsentlige natriumfrit.</w:t>
      </w:r>
    </w:p>
    <w:p w14:paraId="4A20E263" w14:textId="77777777" w:rsidR="009260DE" w:rsidRPr="00AD7BA1" w:rsidRDefault="009260DE" w:rsidP="009260DE">
      <w:pPr>
        <w:tabs>
          <w:tab w:val="left" w:pos="851"/>
        </w:tabs>
        <w:ind w:left="851"/>
        <w:rPr>
          <w:sz w:val="24"/>
          <w:szCs w:val="24"/>
        </w:rPr>
      </w:pPr>
    </w:p>
    <w:p w14:paraId="6A99D3D8" w14:textId="77777777" w:rsidR="009260DE" w:rsidRPr="00AD7BA1" w:rsidRDefault="009260DE" w:rsidP="009260DE">
      <w:pPr>
        <w:tabs>
          <w:tab w:val="left" w:pos="851"/>
        </w:tabs>
        <w:ind w:left="851" w:hanging="851"/>
        <w:rPr>
          <w:b/>
          <w:sz w:val="24"/>
          <w:szCs w:val="24"/>
        </w:rPr>
      </w:pPr>
      <w:r w:rsidRPr="00AD7BA1">
        <w:rPr>
          <w:b/>
          <w:sz w:val="24"/>
          <w:szCs w:val="24"/>
        </w:rPr>
        <w:t>4.5</w:t>
      </w:r>
      <w:r w:rsidRPr="00AD7BA1">
        <w:rPr>
          <w:b/>
          <w:sz w:val="24"/>
          <w:szCs w:val="24"/>
        </w:rPr>
        <w:tab/>
        <w:t>Interaktion med andre lægemidler og andre former for interaktion</w:t>
      </w:r>
    </w:p>
    <w:p w14:paraId="193FB8F5" w14:textId="77777777" w:rsidR="0068338F" w:rsidRPr="00AD7BA1" w:rsidRDefault="0068338F" w:rsidP="00BB5D0F">
      <w:pPr>
        <w:ind w:left="851"/>
        <w:rPr>
          <w:sz w:val="24"/>
          <w:szCs w:val="24"/>
        </w:rPr>
      </w:pPr>
    </w:p>
    <w:p w14:paraId="038F718A" w14:textId="00DF800A" w:rsidR="009D21A2" w:rsidRPr="00AD7BA1" w:rsidRDefault="009D21A2" w:rsidP="00BB5D0F">
      <w:pPr>
        <w:ind w:left="851"/>
        <w:rPr>
          <w:sz w:val="24"/>
          <w:szCs w:val="24"/>
          <w:u w:val="single"/>
        </w:rPr>
      </w:pPr>
      <w:r w:rsidRPr="00AD7BA1">
        <w:rPr>
          <w:sz w:val="24"/>
          <w:szCs w:val="24"/>
          <w:u w:val="single"/>
        </w:rPr>
        <w:t>CYP3A4- og P-gp-hæmmere</w:t>
      </w:r>
    </w:p>
    <w:p w14:paraId="310370EF" w14:textId="027D4F89" w:rsidR="009D21A2" w:rsidRPr="00AD7BA1" w:rsidRDefault="009D21A2" w:rsidP="00BB5D0F">
      <w:pPr>
        <w:ind w:left="851"/>
        <w:rPr>
          <w:sz w:val="24"/>
          <w:szCs w:val="24"/>
        </w:rPr>
      </w:pPr>
      <w:r w:rsidRPr="00AD7BA1">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AD7BA1">
        <w:rPr>
          <w:sz w:val="24"/>
          <w:szCs w:val="24"/>
          <w:vertAlign w:val="subscript"/>
        </w:rPr>
        <w:t>max</w:t>
      </w:r>
      <w:r w:rsidRPr="00AD7BA1">
        <w:rPr>
          <w:sz w:val="24"/>
          <w:szCs w:val="24"/>
        </w:rPr>
        <w:t xml:space="preserve"> for rivaroxaban med en signifikant stigning i de farmakodynamiske effekter, der kan medføre øget risiko for blødning. </w:t>
      </w:r>
      <w:r w:rsidR="00AF6CB0" w:rsidRPr="00AD7BA1">
        <w:rPr>
          <w:sz w:val="24"/>
          <w:szCs w:val="24"/>
        </w:rPr>
        <w:t>Rixacam</w:t>
      </w:r>
      <w:r w:rsidRPr="00AD7BA1">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6C104455" w14:textId="77777777" w:rsidR="009D21A2" w:rsidRPr="00AD7BA1" w:rsidRDefault="009D21A2" w:rsidP="00BB5D0F">
      <w:pPr>
        <w:ind w:left="851"/>
        <w:rPr>
          <w:sz w:val="24"/>
          <w:szCs w:val="24"/>
        </w:rPr>
      </w:pPr>
    </w:p>
    <w:p w14:paraId="471A63F8" w14:textId="77777777" w:rsidR="009D21A2" w:rsidRPr="00AD7BA1" w:rsidRDefault="009D21A2" w:rsidP="00BB5D0F">
      <w:pPr>
        <w:ind w:left="851"/>
        <w:rPr>
          <w:sz w:val="24"/>
          <w:szCs w:val="24"/>
        </w:rPr>
      </w:pPr>
      <w:r w:rsidRPr="00AD7BA1">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AD7BA1">
        <w:rPr>
          <w:sz w:val="24"/>
          <w:szCs w:val="24"/>
          <w:vertAlign w:val="subscript"/>
        </w:rPr>
        <w:t>max</w:t>
      </w:r>
      <w:r w:rsidRPr="00AD7BA1">
        <w:rPr>
          <w:sz w:val="24"/>
          <w:szCs w:val="24"/>
        </w:rPr>
        <w:t xml:space="preserve"> med en faktor 1,4. Interaktionen med clarithromycin er sandsynligvis ikke klinisk relevant hos de fleste patienter, men kan potentielt være signifikant hos højrisikopatienter (for patienter med nedsat nyrefunktion: Se</w:t>
      </w:r>
    </w:p>
    <w:p w14:paraId="5A79FAEE" w14:textId="77777777" w:rsidR="009D21A2" w:rsidRPr="00AD7BA1" w:rsidRDefault="009D21A2" w:rsidP="00BB5D0F">
      <w:pPr>
        <w:ind w:left="851"/>
        <w:rPr>
          <w:sz w:val="24"/>
          <w:szCs w:val="24"/>
        </w:rPr>
      </w:pPr>
      <w:r w:rsidRPr="00AD7BA1">
        <w:rPr>
          <w:sz w:val="24"/>
          <w:szCs w:val="24"/>
        </w:rPr>
        <w:t>pkt. 4.4).</w:t>
      </w:r>
    </w:p>
    <w:p w14:paraId="149C7480" w14:textId="77777777" w:rsidR="009D21A2" w:rsidRPr="00AD7BA1" w:rsidRDefault="009D21A2" w:rsidP="00BB5D0F">
      <w:pPr>
        <w:ind w:left="851"/>
        <w:rPr>
          <w:sz w:val="24"/>
          <w:szCs w:val="24"/>
        </w:rPr>
      </w:pPr>
    </w:p>
    <w:p w14:paraId="512E0587" w14:textId="77777777" w:rsidR="009D21A2" w:rsidRPr="00AD7BA1" w:rsidRDefault="009D21A2" w:rsidP="00BB5D0F">
      <w:pPr>
        <w:ind w:left="851"/>
        <w:rPr>
          <w:sz w:val="24"/>
          <w:szCs w:val="24"/>
        </w:rPr>
      </w:pPr>
      <w:r w:rsidRPr="00AD7BA1">
        <w:rPr>
          <w:sz w:val="24"/>
          <w:szCs w:val="24"/>
        </w:rPr>
        <w:t>Erythromycin (500 mg tre gange dagligt), der hæmmer CYP3A4 og P-gp i moderat grad, medførte en stigning på 1,3 gange i det gennemsnitlige AUC og C</w:t>
      </w:r>
      <w:r w:rsidRPr="00AD7BA1">
        <w:rPr>
          <w:sz w:val="24"/>
          <w:szCs w:val="24"/>
          <w:vertAlign w:val="subscript"/>
        </w:rPr>
        <w:t>max</w:t>
      </w:r>
      <w:r w:rsidRPr="00AD7BA1">
        <w:rPr>
          <w:sz w:val="24"/>
          <w:szCs w:val="24"/>
        </w:rPr>
        <w:t xml:space="preserve"> for rivaroxaban. Interaktionen med erythromycin er sandsynligvis ikke klinisk relevant hos de fleste patienter, men kan potentielt være signifikant hos højrisikopatienter.</w:t>
      </w:r>
    </w:p>
    <w:p w14:paraId="001354FA" w14:textId="43D7B156" w:rsidR="00BB5D0F" w:rsidRPr="00AD7BA1" w:rsidRDefault="009D21A2" w:rsidP="00BB5D0F">
      <w:pPr>
        <w:ind w:left="851"/>
        <w:rPr>
          <w:sz w:val="24"/>
          <w:szCs w:val="24"/>
        </w:rPr>
      </w:pPr>
      <w:r w:rsidRPr="00AD7BA1">
        <w:rPr>
          <w:sz w:val="24"/>
          <w:szCs w:val="24"/>
        </w:rPr>
        <w:t>Hos personer med let nedsat nyrefunktion medførte erythromycin (500 mg tre gange dagligt) en 1,8 gange forhøjelse i gennemsnitlig rivaroxaban-AUC og en 1,6 gange forhøjelse i C</w:t>
      </w:r>
      <w:r w:rsidRPr="00AD7BA1">
        <w:rPr>
          <w:sz w:val="24"/>
          <w:szCs w:val="24"/>
          <w:vertAlign w:val="subscript"/>
        </w:rPr>
        <w:t>max</w:t>
      </w:r>
      <w:r w:rsidRPr="00AD7BA1">
        <w:rPr>
          <w:sz w:val="24"/>
          <w:szCs w:val="24"/>
        </w:rPr>
        <w:t xml:space="preserve"> sammenlignet med personer med normal nyrefunktion. Hos personer med moderat nedsat</w:t>
      </w:r>
      <w:r w:rsidR="00CA18FD">
        <w:rPr>
          <w:sz w:val="24"/>
          <w:szCs w:val="24"/>
        </w:rPr>
        <w:t xml:space="preserve"> </w:t>
      </w:r>
      <w:r w:rsidRPr="00AD7BA1">
        <w:rPr>
          <w:sz w:val="24"/>
          <w:szCs w:val="24"/>
        </w:rPr>
        <w:t>nyrefunktion medførte erythromycin en 2,0 gange forhøjelse i gennemsnitlig rivaroxaban-AUC og en 1,6 gange forhøjelse i C</w:t>
      </w:r>
      <w:r w:rsidRPr="00AD7BA1">
        <w:rPr>
          <w:sz w:val="24"/>
          <w:szCs w:val="24"/>
          <w:vertAlign w:val="subscript"/>
        </w:rPr>
        <w:t>max</w:t>
      </w:r>
      <w:r w:rsidRPr="00AD7BA1">
        <w:rPr>
          <w:sz w:val="24"/>
          <w:szCs w:val="24"/>
        </w:rPr>
        <w:t>, sammenlignet med personer med normal nyrefunktion. Virkningen af erythromycin og virkningen af nedsat nyrefunktion er additive (se pkt. 4.4).</w:t>
      </w:r>
    </w:p>
    <w:p w14:paraId="6FCC9974" w14:textId="3E8499F6" w:rsidR="009D21A2" w:rsidRPr="00AD7BA1" w:rsidRDefault="009D21A2" w:rsidP="00BB5D0F">
      <w:pPr>
        <w:ind w:left="851"/>
        <w:rPr>
          <w:sz w:val="24"/>
          <w:szCs w:val="24"/>
        </w:rPr>
      </w:pPr>
      <w:r w:rsidRPr="00AD7BA1">
        <w:rPr>
          <w:sz w:val="24"/>
          <w:szCs w:val="24"/>
        </w:rPr>
        <w:t>Fluconazol (400 mg én gang dagligt), der anses for at være en moderat CYP3A4-hæmmer, medførte en stigning i gennemsnitlig rivaroxaban-AUC med en faktor 1,4 og en stigning i gennemsnitlig C</w:t>
      </w:r>
      <w:r w:rsidRPr="00AD7BA1">
        <w:rPr>
          <w:sz w:val="24"/>
          <w:szCs w:val="24"/>
          <w:vertAlign w:val="subscript"/>
        </w:rPr>
        <w:t xml:space="preserve">max </w:t>
      </w:r>
      <w:r w:rsidRPr="00AD7BA1">
        <w:rPr>
          <w:sz w:val="24"/>
          <w:szCs w:val="24"/>
        </w:rPr>
        <w:t>med en faktor 1,3. Interaktionen med fluconazol er sandsynligvis ikke klinisk relevant hos de fleste patienter, men kan potentielt være signifikant hos højrisikopatienter (for patienter med nedsat nyrefunktion, se pkt. 4.4).</w:t>
      </w:r>
    </w:p>
    <w:p w14:paraId="1727EE0E" w14:textId="77777777" w:rsidR="009D21A2" w:rsidRPr="00AD7BA1" w:rsidRDefault="009D21A2" w:rsidP="00BB5D0F">
      <w:pPr>
        <w:ind w:left="851"/>
        <w:rPr>
          <w:sz w:val="24"/>
          <w:szCs w:val="24"/>
        </w:rPr>
      </w:pPr>
    </w:p>
    <w:p w14:paraId="71E44CC0" w14:textId="77777777" w:rsidR="009D21A2" w:rsidRPr="00AD7BA1" w:rsidRDefault="009D21A2" w:rsidP="00BB5D0F">
      <w:pPr>
        <w:ind w:left="851"/>
        <w:rPr>
          <w:sz w:val="24"/>
          <w:szCs w:val="24"/>
        </w:rPr>
      </w:pPr>
      <w:r w:rsidRPr="00AD7BA1">
        <w:rPr>
          <w:sz w:val="24"/>
          <w:szCs w:val="24"/>
        </w:rPr>
        <w:t>Da der kun er begrænsede kliniske data vedrørende dronedaron, bør det ikke gives sammen med rivaroxaban.</w:t>
      </w:r>
    </w:p>
    <w:p w14:paraId="5E614E65" w14:textId="77777777" w:rsidR="009D21A2" w:rsidRPr="00AD7BA1" w:rsidRDefault="009D21A2" w:rsidP="00BB5D0F">
      <w:pPr>
        <w:ind w:left="851"/>
        <w:rPr>
          <w:sz w:val="24"/>
          <w:szCs w:val="24"/>
        </w:rPr>
      </w:pPr>
    </w:p>
    <w:p w14:paraId="56096137" w14:textId="77777777" w:rsidR="009D21A2" w:rsidRPr="00AD7BA1" w:rsidRDefault="009D21A2" w:rsidP="00BB5D0F">
      <w:pPr>
        <w:ind w:left="851"/>
        <w:rPr>
          <w:sz w:val="24"/>
          <w:szCs w:val="24"/>
          <w:u w:val="single"/>
        </w:rPr>
      </w:pPr>
      <w:r w:rsidRPr="00AD7BA1">
        <w:rPr>
          <w:sz w:val="24"/>
          <w:szCs w:val="24"/>
          <w:u w:val="single"/>
        </w:rPr>
        <w:t>Antikoagulantia</w:t>
      </w:r>
    </w:p>
    <w:p w14:paraId="40E363BB" w14:textId="77777777" w:rsidR="009D21A2" w:rsidRPr="00AD7BA1" w:rsidRDefault="009D21A2" w:rsidP="00BB5D0F">
      <w:pPr>
        <w:ind w:left="851"/>
        <w:rPr>
          <w:sz w:val="24"/>
          <w:szCs w:val="24"/>
        </w:rPr>
      </w:pPr>
      <w:r w:rsidRPr="00AD7BA1">
        <w:rPr>
          <w:sz w:val="24"/>
          <w:szCs w:val="24"/>
        </w:rPr>
        <w:t xml:space="preserve">Efter kombineret indtagelse af enoxaparin (enkeltdosis på 40 mg) og rivaroxaban (enkeltdosis på 10 mg) blev der observeret en </w:t>
      </w:r>
      <w:proofErr w:type="gramStart"/>
      <w:r w:rsidRPr="00AD7BA1">
        <w:rPr>
          <w:sz w:val="24"/>
          <w:szCs w:val="24"/>
        </w:rPr>
        <w:t>additiv indvirkning</w:t>
      </w:r>
      <w:proofErr w:type="gramEnd"/>
      <w:r w:rsidRPr="00AD7BA1">
        <w:rPr>
          <w:sz w:val="24"/>
          <w:szCs w:val="24"/>
        </w:rPr>
        <w:t xml:space="preserve"> på anti-faktor Xa-aktiviteten uden yderligere indvirkning på koagulationsparametrene (PT, aPTT). Enoxaparin påvirkede ikke rivaroxabans farmakokinetik.</w:t>
      </w:r>
    </w:p>
    <w:p w14:paraId="6E75D439" w14:textId="77777777" w:rsidR="009D21A2" w:rsidRPr="00AD7BA1" w:rsidRDefault="009D21A2" w:rsidP="00BB5D0F">
      <w:pPr>
        <w:ind w:left="851"/>
        <w:rPr>
          <w:sz w:val="24"/>
          <w:szCs w:val="24"/>
        </w:rPr>
      </w:pPr>
      <w:r w:rsidRPr="00AD7BA1">
        <w:rPr>
          <w:sz w:val="24"/>
          <w:szCs w:val="24"/>
        </w:rPr>
        <w:t>På grund af den øgede blødningsrisiko skal der udvises forsigtighed hos patienter, der får samtidig behandling med andre antikoagulantia (se pkt. 4.3 og 4.4).</w:t>
      </w:r>
    </w:p>
    <w:p w14:paraId="395B8000" w14:textId="77777777" w:rsidR="009D21A2" w:rsidRPr="00AD7BA1" w:rsidRDefault="009D21A2" w:rsidP="00BB5D0F">
      <w:pPr>
        <w:ind w:left="851"/>
        <w:rPr>
          <w:sz w:val="24"/>
          <w:szCs w:val="24"/>
        </w:rPr>
      </w:pPr>
    </w:p>
    <w:p w14:paraId="064A4C0E" w14:textId="77777777" w:rsidR="009D21A2" w:rsidRPr="00AD7BA1" w:rsidRDefault="009D21A2" w:rsidP="00BB5D0F">
      <w:pPr>
        <w:ind w:left="851"/>
        <w:rPr>
          <w:sz w:val="24"/>
          <w:szCs w:val="24"/>
          <w:u w:val="single"/>
        </w:rPr>
      </w:pPr>
      <w:r w:rsidRPr="00AD7BA1">
        <w:rPr>
          <w:sz w:val="24"/>
          <w:szCs w:val="24"/>
          <w:u w:val="single"/>
        </w:rPr>
        <w:t>NSAID'er/trombocytaggregationshæmmere</w:t>
      </w:r>
    </w:p>
    <w:p w14:paraId="6B547692" w14:textId="77777777" w:rsidR="009D21A2" w:rsidRPr="00AD7BA1" w:rsidRDefault="009D21A2" w:rsidP="00BB5D0F">
      <w:pPr>
        <w:ind w:left="851"/>
        <w:rPr>
          <w:sz w:val="24"/>
          <w:szCs w:val="24"/>
        </w:rPr>
      </w:pPr>
      <w:r w:rsidRPr="00AD7BA1">
        <w:rPr>
          <w:sz w:val="24"/>
          <w:szCs w:val="24"/>
        </w:rPr>
        <w:t>Der blev ikke observeret en klinisk relevant forlængelse af blødningstiden efter samtidig indtagelse af rivaroxaban (15 mg) og 500 mg naproxen. Hos nogle patienter kan der dog opstå en mere udtalt farmakodynamisk respons.</w:t>
      </w:r>
    </w:p>
    <w:p w14:paraId="2255B5CD" w14:textId="77777777" w:rsidR="009D21A2" w:rsidRPr="00AD7BA1" w:rsidRDefault="009D21A2" w:rsidP="00BB5D0F">
      <w:pPr>
        <w:ind w:left="851"/>
        <w:rPr>
          <w:sz w:val="24"/>
          <w:szCs w:val="24"/>
        </w:rPr>
      </w:pPr>
      <w:r w:rsidRPr="00AD7BA1">
        <w:rPr>
          <w:sz w:val="24"/>
          <w:szCs w:val="24"/>
        </w:rPr>
        <w:t>Der blev ikke observeret nogen klinisk signifikante farmakokinetiske eller farmakodynamiske interaktioner ved samtidig indtagelse af rivaroxaban og 500 mg acetylsalicylsyre.</w:t>
      </w:r>
    </w:p>
    <w:p w14:paraId="4D2C4F91" w14:textId="77777777" w:rsidR="009D21A2" w:rsidRPr="00AD7BA1" w:rsidRDefault="009D21A2" w:rsidP="00BB5D0F">
      <w:pPr>
        <w:ind w:left="851"/>
        <w:rPr>
          <w:sz w:val="24"/>
          <w:szCs w:val="24"/>
        </w:rPr>
      </w:pPr>
      <w:r w:rsidRPr="00AD7BA1">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37F53C34" w14:textId="77777777" w:rsidR="009D21A2" w:rsidRPr="00AD7BA1" w:rsidRDefault="009D21A2" w:rsidP="00BB5D0F">
      <w:pPr>
        <w:ind w:left="851"/>
        <w:rPr>
          <w:sz w:val="24"/>
          <w:szCs w:val="24"/>
        </w:rPr>
      </w:pPr>
      <w:r w:rsidRPr="00AD7BA1">
        <w:rPr>
          <w:sz w:val="24"/>
          <w:szCs w:val="24"/>
        </w:rPr>
        <w:t>Der skal udvises forsigtighed hos patienter, der får samtidig behandling med NSAID'er (herunder acetylsalicylsyre) og trombocytaggregationshæmmere, da disse lægemidler typisk øger blødningsrisikoen (se pkt. 4.4).</w:t>
      </w:r>
    </w:p>
    <w:p w14:paraId="56135827" w14:textId="77777777" w:rsidR="009D21A2" w:rsidRPr="00AD7BA1" w:rsidRDefault="009D21A2" w:rsidP="00BB5D0F">
      <w:pPr>
        <w:ind w:left="851"/>
        <w:rPr>
          <w:sz w:val="24"/>
          <w:szCs w:val="24"/>
        </w:rPr>
      </w:pPr>
    </w:p>
    <w:p w14:paraId="3F29B206" w14:textId="77777777" w:rsidR="009D21A2" w:rsidRPr="00AD7BA1" w:rsidRDefault="009D21A2" w:rsidP="00BB5D0F">
      <w:pPr>
        <w:ind w:left="851"/>
        <w:rPr>
          <w:sz w:val="24"/>
          <w:szCs w:val="24"/>
          <w:u w:val="single"/>
        </w:rPr>
      </w:pPr>
      <w:r w:rsidRPr="00AD7BA1">
        <w:rPr>
          <w:sz w:val="24"/>
          <w:szCs w:val="24"/>
          <w:u w:val="single"/>
        </w:rPr>
        <w:t>SSRI-/SNRI-præparater</w:t>
      </w:r>
    </w:p>
    <w:p w14:paraId="3D9F7290" w14:textId="77777777" w:rsidR="009D21A2" w:rsidRPr="00AD7BA1" w:rsidRDefault="009D21A2" w:rsidP="00BB5D0F">
      <w:pPr>
        <w:ind w:left="851"/>
        <w:rPr>
          <w:sz w:val="24"/>
          <w:szCs w:val="24"/>
        </w:rPr>
      </w:pPr>
      <w:r w:rsidRPr="00AD7BA1">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28FAC4BF" w14:textId="77777777" w:rsidR="009D21A2" w:rsidRPr="00AD7BA1" w:rsidRDefault="009D21A2" w:rsidP="00BB5D0F">
      <w:pPr>
        <w:ind w:left="851"/>
        <w:rPr>
          <w:sz w:val="24"/>
          <w:szCs w:val="24"/>
        </w:rPr>
      </w:pPr>
    </w:p>
    <w:p w14:paraId="375AA356" w14:textId="77777777" w:rsidR="009D21A2" w:rsidRPr="00AD7BA1" w:rsidRDefault="009D21A2" w:rsidP="00BB5D0F">
      <w:pPr>
        <w:ind w:left="851"/>
        <w:rPr>
          <w:sz w:val="24"/>
          <w:szCs w:val="24"/>
          <w:u w:val="single"/>
        </w:rPr>
      </w:pPr>
      <w:r w:rsidRPr="00AD7BA1">
        <w:rPr>
          <w:sz w:val="24"/>
          <w:szCs w:val="24"/>
          <w:u w:val="single"/>
        </w:rPr>
        <w:t>Warfarin</w:t>
      </w:r>
    </w:p>
    <w:p w14:paraId="2B38ECD1" w14:textId="77777777" w:rsidR="009D21A2" w:rsidRPr="00AD7BA1" w:rsidRDefault="009D21A2" w:rsidP="00BB5D0F">
      <w:pPr>
        <w:ind w:left="851"/>
        <w:rPr>
          <w:sz w:val="24"/>
          <w:szCs w:val="24"/>
        </w:rPr>
      </w:pPr>
      <w:r w:rsidRPr="00AD7BA1">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41E1C7D8" w14:textId="77777777" w:rsidR="009D21A2" w:rsidRPr="00AD7BA1" w:rsidRDefault="009D21A2" w:rsidP="00BB5D0F">
      <w:pPr>
        <w:ind w:left="851"/>
        <w:rPr>
          <w:sz w:val="24"/>
          <w:szCs w:val="24"/>
        </w:rPr>
      </w:pPr>
      <w:r w:rsidRPr="00AD7BA1">
        <w:rPr>
          <w:sz w:val="24"/>
          <w:szCs w:val="24"/>
        </w:rPr>
        <w:t>Såfremt den farmakodynamiske virkning af rivaroxaban ønskes undersøgt i skifteperioden, kan anti- faktor Xa-aktiviteten, PiCT og Heptest benyttes, idet disse test ikke påvirkes af warfarin. På dag 4 efter sidste dosis warfarin afspejler samtlige test (herunder PT, aPTT, hæmning af faktor Xa-aktivitet og ETP) kun effekten af rivaroxaban.</w:t>
      </w:r>
    </w:p>
    <w:p w14:paraId="0DBC92F9" w14:textId="77777777" w:rsidR="009D21A2" w:rsidRPr="00AD7BA1" w:rsidRDefault="009D21A2" w:rsidP="00BB5D0F">
      <w:pPr>
        <w:ind w:left="851"/>
        <w:rPr>
          <w:sz w:val="24"/>
          <w:szCs w:val="24"/>
        </w:rPr>
      </w:pPr>
      <w:r w:rsidRPr="00AD7BA1">
        <w:rPr>
          <w:sz w:val="24"/>
          <w:szCs w:val="24"/>
        </w:rPr>
        <w:t>Såfremt den farmakodynamiske virkning af warfarin ønskes undersøgt i skifteperioden, kan INR- måling benyttes ved rivaroxabans Cdal (24 timer efter seneste indtagelse af rivaroxaban), idet denne test på dette tidspunkt påvirkes minimalt af rivaroxaban.</w:t>
      </w:r>
    </w:p>
    <w:p w14:paraId="165F0458" w14:textId="77777777" w:rsidR="009D21A2" w:rsidRPr="00AD7BA1" w:rsidRDefault="009D21A2" w:rsidP="00BB5D0F">
      <w:pPr>
        <w:ind w:left="851"/>
        <w:rPr>
          <w:sz w:val="24"/>
          <w:szCs w:val="24"/>
        </w:rPr>
      </w:pPr>
      <w:r w:rsidRPr="00AD7BA1">
        <w:rPr>
          <w:sz w:val="24"/>
          <w:szCs w:val="24"/>
        </w:rPr>
        <w:t>Der er ikke iagttaget nogen farmakokinetisk interaktion mellem warfarin og rivaroxaban.</w:t>
      </w:r>
    </w:p>
    <w:p w14:paraId="56366C0C" w14:textId="77777777" w:rsidR="009D21A2" w:rsidRPr="00AD7BA1" w:rsidRDefault="009D21A2" w:rsidP="00BB5D0F">
      <w:pPr>
        <w:ind w:left="851"/>
        <w:rPr>
          <w:sz w:val="24"/>
          <w:szCs w:val="24"/>
        </w:rPr>
      </w:pPr>
    </w:p>
    <w:p w14:paraId="00DBFE87" w14:textId="77777777" w:rsidR="009D21A2" w:rsidRPr="00AD7BA1" w:rsidRDefault="009D21A2" w:rsidP="00BB5D0F">
      <w:pPr>
        <w:ind w:left="851"/>
        <w:rPr>
          <w:sz w:val="24"/>
          <w:szCs w:val="24"/>
          <w:u w:val="single"/>
        </w:rPr>
      </w:pPr>
      <w:r w:rsidRPr="00AD7BA1">
        <w:rPr>
          <w:sz w:val="24"/>
          <w:szCs w:val="24"/>
          <w:u w:val="single"/>
        </w:rPr>
        <w:t>CYP3A4-induktorer</w:t>
      </w:r>
    </w:p>
    <w:p w14:paraId="55E7F6BE" w14:textId="23AAAAD1" w:rsidR="009D21A2" w:rsidRPr="00AD7BA1" w:rsidRDefault="009D21A2" w:rsidP="00BB5D0F">
      <w:pPr>
        <w:ind w:left="851"/>
        <w:rPr>
          <w:sz w:val="24"/>
          <w:szCs w:val="24"/>
        </w:rPr>
      </w:pPr>
      <w:r w:rsidRPr="00AD7BA1">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(Hypericum perforatum)) kan også medføre et</w:t>
      </w:r>
      <w:r w:rsidR="00AF6CB0" w:rsidRPr="00AD7BA1">
        <w:rPr>
          <w:sz w:val="24"/>
          <w:szCs w:val="24"/>
        </w:rPr>
        <w:t xml:space="preserve"> </w:t>
      </w:r>
      <w:r w:rsidRPr="00AD7BA1">
        <w:rPr>
          <w:sz w:val="24"/>
          <w:szCs w:val="24"/>
        </w:rPr>
        <w:t>fald i plasmakoncentrationerne af rivaroxaban. Samtidig indtagelse af stærke CYP3A4-induktorer bør derfor undgås, medmindre patienten observeres nøje for tegn og symptomer på trombose.</w:t>
      </w:r>
    </w:p>
    <w:p w14:paraId="3EF1BD00" w14:textId="77777777" w:rsidR="009D21A2" w:rsidRPr="00AD7BA1" w:rsidRDefault="009D21A2" w:rsidP="00BB5D0F">
      <w:pPr>
        <w:ind w:left="851"/>
        <w:rPr>
          <w:sz w:val="24"/>
          <w:szCs w:val="24"/>
        </w:rPr>
      </w:pPr>
    </w:p>
    <w:p w14:paraId="5AEC8B01" w14:textId="77777777" w:rsidR="009D21A2" w:rsidRPr="00AD7BA1" w:rsidRDefault="009D21A2" w:rsidP="00BB5D0F">
      <w:pPr>
        <w:ind w:left="851"/>
        <w:rPr>
          <w:sz w:val="24"/>
          <w:szCs w:val="24"/>
          <w:u w:val="single"/>
        </w:rPr>
      </w:pPr>
      <w:r w:rsidRPr="00AD7BA1">
        <w:rPr>
          <w:sz w:val="24"/>
          <w:szCs w:val="24"/>
          <w:u w:val="single"/>
        </w:rPr>
        <w:t>Anden samtidig behandling</w:t>
      </w:r>
    </w:p>
    <w:p w14:paraId="3F9D95AE" w14:textId="77777777" w:rsidR="009D21A2" w:rsidRPr="00AD7BA1" w:rsidRDefault="009D21A2" w:rsidP="00BB5D0F">
      <w:pPr>
        <w:ind w:left="851"/>
        <w:rPr>
          <w:sz w:val="24"/>
          <w:szCs w:val="24"/>
        </w:rPr>
      </w:pPr>
      <w:r w:rsidRPr="00AD7BA1">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1B8418C4" w14:textId="77777777" w:rsidR="009D21A2" w:rsidRPr="00AD7BA1" w:rsidRDefault="009D21A2" w:rsidP="00BB5D0F">
      <w:pPr>
        <w:ind w:left="851"/>
        <w:rPr>
          <w:sz w:val="24"/>
          <w:szCs w:val="24"/>
        </w:rPr>
      </w:pPr>
      <w:r w:rsidRPr="00AD7BA1">
        <w:rPr>
          <w:sz w:val="24"/>
          <w:szCs w:val="24"/>
        </w:rPr>
        <w:t>Ingen klinisk relevant interaktion sammen med mad blev observeret (se pkt. 4.2).</w:t>
      </w:r>
    </w:p>
    <w:p w14:paraId="35B6E7E7" w14:textId="77777777" w:rsidR="009D21A2" w:rsidRPr="00AD7BA1" w:rsidRDefault="009D21A2" w:rsidP="00BB5D0F">
      <w:pPr>
        <w:ind w:left="851"/>
        <w:rPr>
          <w:sz w:val="24"/>
          <w:szCs w:val="24"/>
        </w:rPr>
      </w:pPr>
    </w:p>
    <w:p w14:paraId="44EB5472" w14:textId="77777777" w:rsidR="009D21A2" w:rsidRPr="00AD7BA1" w:rsidRDefault="009D21A2" w:rsidP="00BB5D0F">
      <w:pPr>
        <w:ind w:left="851"/>
        <w:rPr>
          <w:sz w:val="24"/>
          <w:szCs w:val="24"/>
          <w:u w:val="single"/>
        </w:rPr>
      </w:pPr>
      <w:r w:rsidRPr="00AD7BA1">
        <w:rPr>
          <w:sz w:val="24"/>
          <w:szCs w:val="24"/>
          <w:u w:val="single"/>
        </w:rPr>
        <w:t>Laboratorieparametre</w:t>
      </w:r>
    </w:p>
    <w:p w14:paraId="131376DA" w14:textId="77777777" w:rsidR="009D21A2" w:rsidRPr="00AD7BA1" w:rsidRDefault="009D21A2" w:rsidP="00BB5D0F">
      <w:pPr>
        <w:ind w:left="851"/>
        <w:rPr>
          <w:sz w:val="24"/>
          <w:szCs w:val="24"/>
        </w:rPr>
      </w:pPr>
      <w:r w:rsidRPr="00AD7BA1">
        <w:rPr>
          <w:sz w:val="24"/>
          <w:szCs w:val="24"/>
        </w:rPr>
        <w:t>Koagulationsparametrene (f.eks. PT, aPTT, Heptest) påvirkes som forventet af rivaroxabans virkningsmekanisme (se pkt. 5.1).</w:t>
      </w:r>
    </w:p>
    <w:p w14:paraId="621E82F7" w14:textId="77777777" w:rsidR="009260DE" w:rsidRPr="00AD7BA1" w:rsidRDefault="009260DE" w:rsidP="009260DE">
      <w:pPr>
        <w:tabs>
          <w:tab w:val="left" w:pos="851"/>
        </w:tabs>
        <w:ind w:left="851"/>
        <w:rPr>
          <w:sz w:val="24"/>
          <w:szCs w:val="24"/>
        </w:rPr>
      </w:pPr>
    </w:p>
    <w:p w14:paraId="479317CB" w14:textId="3A5186E0" w:rsidR="009260DE" w:rsidRPr="00AD7BA1" w:rsidRDefault="009260DE" w:rsidP="009260DE">
      <w:pPr>
        <w:tabs>
          <w:tab w:val="left" w:pos="851"/>
        </w:tabs>
        <w:ind w:left="851" w:hanging="851"/>
        <w:rPr>
          <w:b/>
          <w:sz w:val="24"/>
          <w:szCs w:val="24"/>
        </w:rPr>
      </w:pPr>
      <w:r w:rsidRPr="00AD7BA1">
        <w:rPr>
          <w:b/>
          <w:sz w:val="24"/>
          <w:szCs w:val="24"/>
        </w:rPr>
        <w:t>4.6</w:t>
      </w:r>
      <w:r w:rsidRPr="00AD7BA1">
        <w:rPr>
          <w:b/>
          <w:sz w:val="24"/>
          <w:szCs w:val="24"/>
        </w:rPr>
        <w:tab/>
      </w:r>
      <w:r w:rsidR="009850F6">
        <w:rPr>
          <w:b/>
          <w:sz w:val="24"/>
          <w:szCs w:val="24"/>
        </w:rPr>
        <w:t>Fertilitet, g</w:t>
      </w:r>
      <w:r w:rsidRPr="00AD7BA1">
        <w:rPr>
          <w:b/>
          <w:sz w:val="24"/>
          <w:szCs w:val="24"/>
        </w:rPr>
        <w:t>raviditet og amning</w:t>
      </w:r>
    </w:p>
    <w:p w14:paraId="020B44A0" w14:textId="77777777" w:rsidR="00384A09" w:rsidRPr="00AD7BA1" w:rsidRDefault="00384A09" w:rsidP="00BB5D0F">
      <w:pPr>
        <w:ind w:left="851"/>
        <w:rPr>
          <w:sz w:val="24"/>
          <w:szCs w:val="24"/>
        </w:rPr>
      </w:pPr>
    </w:p>
    <w:p w14:paraId="42658003" w14:textId="7EAB05D2" w:rsidR="009D21A2" w:rsidRPr="00AD7BA1" w:rsidRDefault="009D21A2" w:rsidP="00BB5D0F">
      <w:pPr>
        <w:ind w:left="851"/>
        <w:rPr>
          <w:sz w:val="24"/>
          <w:szCs w:val="24"/>
          <w:u w:val="single"/>
        </w:rPr>
      </w:pPr>
      <w:r w:rsidRPr="00AD7BA1">
        <w:rPr>
          <w:sz w:val="24"/>
          <w:szCs w:val="24"/>
          <w:u w:val="single"/>
        </w:rPr>
        <w:t>Graviditet</w:t>
      </w:r>
    </w:p>
    <w:p w14:paraId="4AECC0B7" w14:textId="58BB1242" w:rsidR="009D21A2" w:rsidRPr="00AD7BA1" w:rsidRDefault="00AF6CB0" w:rsidP="00BB5D0F">
      <w:pPr>
        <w:ind w:left="851"/>
        <w:rPr>
          <w:sz w:val="24"/>
          <w:szCs w:val="24"/>
        </w:rPr>
      </w:pPr>
      <w:r w:rsidRPr="00AD7BA1">
        <w:rPr>
          <w:sz w:val="24"/>
          <w:szCs w:val="24"/>
        </w:rPr>
        <w:t>Rixacam</w:t>
      </w:r>
      <w:r w:rsidR="009D21A2" w:rsidRPr="00AD7BA1">
        <w:rPr>
          <w:sz w:val="24"/>
          <w:szCs w:val="24"/>
        </w:rPr>
        <w:t xml:space="preserve">s sikkerhed og virkning hos gravide kvinder er ikke klarlagt. Dyrestudier har vist reproduktiv toksicitet (se pkt. 5.3). </w:t>
      </w:r>
      <w:r w:rsidRPr="00AD7BA1">
        <w:rPr>
          <w:sz w:val="24"/>
          <w:szCs w:val="24"/>
        </w:rPr>
        <w:t>Rixacam</w:t>
      </w:r>
      <w:r w:rsidR="009D21A2" w:rsidRPr="00AD7BA1">
        <w:rPr>
          <w:sz w:val="24"/>
          <w:szCs w:val="24"/>
        </w:rPr>
        <w:t xml:space="preserve"> er kontraindiceret under graviditet på grund af den potentielle reproduktionstoksicitet, risikoen for blødning og evidens for, at rivaroxaban passerer placenta (se pkt. 4.3).</w:t>
      </w:r>
    </w:p>
    <w:p w14:paraId="77AA0D36" w14:textId="77777777" w:rsidR="009D21A2" w:rsidRPr="00AD7BA1" w:rsidRDefault="009D21A2" w:rsidP="00BB5D0F">
      <w:pPr>
        <w:ind w:left="851"/>
        <w:rPr>
          <w:sz w:val="24"/>
          <w:szCs w:val="24"/>
        </w:rPr>
      </w:pPr>
      <w:r w:rsidRPr="00AD7BA1">
        <w:rPr>
          <w:sz w:val="24"/>
          <w:szCs w:val="24"/>
        </w:rPr>
        <w:t>Fertile kvinder bør undgå at blive gravide under behandling med rivaroxaban.</w:t>
      </w:r>
    </w:p>
    <w:p w14:paraId="51C9BD90" w14:textId="77777777" w:rsidR="009D21A2" w:rsidRPr="00AD7BA1" w:rsidRDefault="009D21A2" w:rsidP="00BB5D0F">
      <w:pPr>
        <w:ind w:left="851"/>
        <w:rPr>
          <w:sz w:val="24"/>
          <w:szCs w:val="24"/>
        </w:rPr>
      </w:pPr>
    </w:p>
    <w:p w14:paraId="437A1B59" w14:textId="77777777" w:rsidR="009D21A2" w:rsidRPr="00AD7BA1" w:rsidRDefault="009D21A2" w:rsidP="00BB5D0F">
      <w:pPr>
        <w:ind w:left="851"/>
        <w:rPr>
          <w:sz w:val="24"/>
          <w:szCs w:val="24"/>
          <w:u w:val="single"/>
        </w:rPr>
      </w:pPr>
      <w:r w:rsidRPr="00AD7BA1">
        <w:rPr>
          <w:sz w:val="24"/>
          <w:szCs w:val="24"/>
          <w:u w:val="single"/>
        </w:rPr>
        <w:t>Amning</w:t>
      </w:r>
    </w:p>
    <w:p w14:paraId="3E77FD99" w14:textId="76C99B61" w:rsidR="009D21A2" w:rsidRPr="00AD7BA1" w:rsidRDefault="00AF6CB0" w:rsidP="00BB5D0F">
      <w:pPr>
        <w:ind w:left="851"/>
        <w:rPr>
          <w:sz w:val="24"/>
          <w:szCs w:val="24"/>
        </w:rPr>
      </w:pPr>
      <w:r w:rsidRPr="00AD7BA1">
        <w:rPr>
          <w:sz w:val="24"/>
          <w:szCs w:val="24"/>
        </w:rPr>
        <w:t>Rixacam</w:t>
      </w:r>
      <w:r w:rsidR="009D21A2" w:rsidRPr="00AD7BA1">
        <w:rPr>
          <w:sz w:val="24"/>
          <w:szCs w:val="24"/>
        </w:rPr>
        <w:t xml:space="preserve">s sikkerhed og virkning hos ammende kvinder er ikke klarlagt. Data fra dyrestudier indikerer, at rivaroxaban udskilles i mælk. </w:t>
      </w:r>
      <w:r w:rsidRPr="00AD7BA1">
        <w:rPr>
          <w:sz w:val="24"/>
          <w:szCs w:val="24"/>
        </w:rPr>
        <w:t>Rixacam</w:t>
      </w:r>
      <w:r w:rsidR="009D21A2" w:rsidRPr="00AD7BA1">
        <w:rPr>
          <w:sz w:val="24"/>
          <w:szCs w:val="24"/>
        </w:rPr>
        <w:t xml:space="preserve"> er derfor kontraindiceret under amning (se pkt. 4.3). Det må besluttes enten at afbryde amningen eller at afbryde/undgå behandlingen.</w:t>
      </w:r>
    </w:p>
    <w:p w14:paraId="1C48AF60" w14:textId="77777777" w:rsidR="009D21A2" w:rsidRPr="00AD7BA1" w:rsidRDefault="009D21A2" w:rsidP="00BB5D0F">
      <w:pPr>
        <w:ind w:left="851"/>
        <w:rPr>
          <w:sz w:val="24"/>
          <w:szCs w:val="24"/>
        </w:rPr>
      </w:pPr>
    </w:p>
    <w:p w14:paraId="2B7CB2B8" w14:textId="77777777" w:rsidR="009D21A2" w:rsidRPr="00AD7BA1" w:rsidRDefault="009D21A2" w:rsidP="00BB5D0F">
      <w:pPr>
        <w:ind w:left="851"/>
        <w:rPr>
          <w:sz w:val="24"/>
          <w:szCs w:val="24"/>
          <w:u w:val="single"/>
        </w:rPr>
      </w:pPr>
      <w:r w:rsidRPr="00AD7BA1">
        <w:rPr>
          <w:sz w:val="24"/>
          <w:szCs w:val="24"/>
          <w:u w:val="single"/>
        </w:rPr>
        <w:t>Fertilitet</w:t>
      </w:r>
    </w:p>
    <w:p w14:paraId="69E10333" w14:textId="77777777" w:rsidR="009D21A2" w:rsidRPr="00AD7BA1" w:rsidRDefault="009D21A2" w:rsidP="00BB5D0F">
      <w:pPr>
        <w:ind w:left="851"/>
        <w:rPr>
          <w:sz w:val="24"/>
          <w:szCs w:val="24"/>
        </w:rPr>
      </w:pPr>
      <w:r w:rsidRPr="00AD7BA1">
        <w:rPr>
          <w:sz w:val="24"/>
          <w:szCs w:val="24"/>
        </w:rPr>
        <w:t>Der er ikke foretaget specifikke studier hos mennesker for at evaluere virkningen på fertiliteten. I et fertilitetsstudie hos han- og hunrotter sås ingen virkninger (se pkt. 5.3).</w:t>
      </w:r>
    </w:p>
    <w:p w14:paraId="5B7A162D" w14:textId="77777777" w:rsidR="009260DE" w:rsidRPr="00AD7BA1" w:rsidRDefault="009260DE" w:rsidP="009260DE">
      <w:pPr>
        <w:tabs>
          <w:tab w:val="left" w:pos="851"/>
        </w:tabs>
        <w:ind w:left="851"/>
        <w:rPr>
          <w:sz w:val="24"/>
          <w:szCs w:val="24"/>
        </w:rPr>
      </w:pPr>
    </w:p>
    <w:p w14:paraId="75B1B20F" w14:textId="0C46B97C" w:rsidR="009260DE" w:rsidRPr="00AD7BA1" w:rsidRDefault="009260DE" w:rsidP="009260DE">
      <w:pPr>
        <w:tabs>
          <w:tab w:val="left" w:pos="851"/>
        </w:tabs>
        <w:ind w:left="851" w:hanging="851"/>
        <w:rPr>
          <w:b/>
          <w:sz w:val="24"/>
          <w:szCs w:val="24"/>
        </w:rPr>
      </w:pPr>
      <w:r w:rsidRPr="00AD7BA1">
        <w:rPr>
          <w:b/>
          <w:sz w:val="24"/>
          <w:szCs w:val="24"/>
        </w:rPr>
        <w:t>4.7</w:t>
      </w:r>
      <w:r w:rsidRPr="00AD7BA1">
        <w:rPr>
          <w:b/>
          <w:sz w:val="24"/>
          <w:szCs w:val="24"/>
        </w:rPr>
        <w:tab/>
        <w:t xml:space="preserve">Virkning på evnen til at føre motorkøretøj </w:t>
      </w:r>
      <w:r w:rsidR="009850F6">
        <w:rPr>
          <w:b/>
          <w:sz w:val="24"/>
          <w:szCs w:val="24"/>
        </w:rPr>
        <w:t>og</w:t>
      </w:r>
      <w:r w:rsidRPr="00AD7BA1">
        <w:rPr>
          <w:b/>
          <w:sz w:val="24"/>
          <w:szCs w:val="24"/>
        </w:rPr>
        <w:t xml:space="preserve"> betjene maskiner</w:t>
      </w:r>
    </w:p>
    <w:p w14:paraId="7B406093" w14:textId="397A6FF2" w:rsidR="009D21A2" w:rsidRPr="00AD7BA1" w:rsidRDefault="00835E55" w:rsidP="00BB5D0F">
      <w:pPr>
        <w:ind w:left="851"/>
        <w:rPr>
          <w:sz w:val="24"/>
          <w:szCs w:val="24"/>
        </w:rPr>
      </w:pPr>
      <w:r w:rsidRPr="00AD7BA1">
        <w:rPr>
          <w:sz w:val="24"/>
          <w:szCs w:val="24"/>
        </w:rPr>
        <w:t>Ikke mærkning.</w:t>
      </w:r>
    </w:p>
    <w:p w14:paraId="6FC5CF1A" w14:textId="4BBDF255" w:rsidR="009D21A2" w:rsidRPr="00AD7BA1" w:rsidRDefault="00AF6CB0" w:rsidP="00BB5D0F">
      <w:pPr>
        <w:ind w:left="851"/>
        <w:rPr>
          <w:sz w:val="24"/>
          <w:szCs w:val="24"/>
        </w:rPr>
      </w:pPr>
      <w:r w:rsidRPr="00AD7BA1">
        <w:rPr>
          <w:sz w:val="24"/>
          <w:szCs w:val="24"/>
        </w:rPr>
        <w:t>Rixacam</w:t>
      </w:r>
      <w:r w:rsidR="009D21A2" w:rsidRPr="00AD7BA1">
        <w:rPr>
          <w:sz w:val="24"/>
          <w:szCs w:val="24"/>
        </w:rPr>
        <w:t xml:space="preserve">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1646C80A" w14:textId="77777777" w:rsidR="009260DE" w:rsidRPr="00AD7BA1" w:rsidRDefault="009260DE" w:rsidP="009260DE">
      <w:pPr>
        <w:tabs>
          <w:tab w:val="left" w:pos="851"/>
        </w:tabs>
        <w:ind w:left="851"/>
        <w:rPr>
          <w:sz w:val="24"/>
          <w:szCs w:val="24"/>
        </w:rPr>
      </w:pPr>
    </w:p>
    <w:p w14:paraId="3474F5B6" w14:textId="77777777" w:rsidR="009260DE" w:rsidRPr="00AD7BA1" w:rsidRDefault="009260DE" w:rsidP="009260DE">
      <w:pPr>
        <w:tabs>
          <w:tab w:val="left" w:pos="851"/>
        </w:tabs>
        <w:ind w:left="851" w:hanging="851"/>
        <w:rPr>
          <w:b/>
          <w:sz w:val="24"/>
          <w:szCs w:val="24"/>
        </w:rPr>
      </w:pPr>
      <w:r w:rsidRPr="00AD7BA1">
        <w:rPr>
          <w:b/>
          <w:sz w:val="24"/>
          <w:szCs w:val="24"/>
        </w:rPr>
        <w:t>4.8</w:t>
      </w:r>
      <w:r w:rsidRPr="00AD7BA1">
        <w:rPr>
          <w:b/>
          <w:sz w:val="24"/>
          <w:szCs w:val="24"/>
        </w:rPr>
        <w:tab/>
        <w:t>Bivirkninger</w:t>
      </w:r>
    </w:p>
    <w:p w14:paraId="111A23A8" w14:textId="77777777" w:rsidR="00384A09" w:rsidRPr="00AD7BA1" w:rsidRDefault="00384A09" w:rsidP="00BB5D0F">
      <w:pPr>
        <w:ind w:left="851"/>
        <w:rPr>
          <w:sz w:val="24"/>
          <w:szCs w:val="24"/>
        </w:rPr>
      </w:pPr>
    </w:p>
    <w:p w14:paraId="58E1C881" w14:textId="05546101" w:rsidR="009D21A2" w:rsidRPr="00AD7BA1" w:rsidRDefault="009D21A2" w:rsidP="00BB5D0F">
      <w:pPr>
        <w:ind w:left="851"/>
        <w:rPr>
          <w:sz w:val="24"/>
          <w:szCs w:val="24"/>
          <w:u w:val="single"/>
        </w:rPr>
      </w:pPr>
      <w:r w:rsidRPr="00AD7BA1">
        <w:rPr>
          <w:sz w:val="24"/>
          <w:szCs w:val="24"/>
          <w:u w:val="single"/>
        </w:rPr>
        <w:t>Sammendrag af sikkerhedsprofilen</w:t>
      </w:r>
    </w:p>
    <w:p w14:paraId="68D5DD72" w14:textId="77777777" w:rsidR="009D21A2" w:rsidRPr="00AD7BA1" w:rsidRDefault="009D21A2" w:rsidP="00BB5D0F">
      <w:pPr>
        <w:ind w:left="851"/>
        <w:rPr>
          <w:sz w:val="24"/>
          <w:szCs w:val="24"/>
        </w:rPr>
      </w:pPr>
      <w:r w:rsidRPr="00AD7BA1">
        <w:rPr>
          <w:sz w:val="24"/>
          <w:szCs w:val="24"/>
        </w:rPr>
        <w:t>Sikkerheden af rivaroxaban er blevet undersøgt i 13 pivotale fase III-studier (se tabel 1).</w:t>
      </w:r>
    </w:p>
    <w:p w14:paraId="6F9D3D6C" w14:textId="77777777" w:rsidR="009D21A2" w:rsidRPr="00AD7BA1" w:rsidRDefault="009D21A2" w:rsidP="00BB5D0F">
      <w:pPr>
        <w:ind w:left="851"/>
        <w:rPr>
          <w:sz w:val="24"/>
          <w:szCs w:val="24"/>
        </w:rPr>
      </w:pPr>
    </w:p>
    <w:p w14:paraId="70D59C21" w14:textId="77777777" w:rsidR="00616601" w:rsidRDefault="00616601" w:rsidP="00616601">
      <w:pPr>
        <w:ind w:left="851"/>
        <w:rPr>
          <w:sz w:val="24"/>
          <w:szCs w:val="24"/>
        </w:rPr>
      </w:pPr>
      <w:r>
        <w:rPr>
          <w:sz w:val="24"/>
          <w:szCs w:val="24"/>
        </w:rPr>
        <w:t xml:space="preserve">Samlet blev 69.608 voksne patienter i 19 fase III-studier, og </w:t>
      </w:r>
      <w:r>
        <w:t>488</w:t>
      </w:r>
      <w:r>
        <w:rPr>
          <w:sz w:val="24"/>
          <w:szCs w:val="24"/>
        </w:rPr>
        <w:t xml:space="preserve"> pædiatriske patienter i to fase II- studier og </w:t>
      </w:r>
      <w:r>
        <w:t>to</w:t>
      </w:r>
      <w:r>
        <w:rPr>
          <w:sz w:val="24"/>
          <w:szCs w:val="24"/>
        </w:rPr>
        <w:t xml:space="preserve"> fase III-studie eksponeret for rivaroxaban.</w:t>
      </w:r>
    </w:p>
    <w:p w14:paraId="6D1A78F4" w14:textId="77777777" w:rsidR="00BB5D0F" w:rsidRPr="00AD7BA1" w:rsidRDefault="00BB5D0F" w:rsidP="00BB5D0F">
      <w:pPr>
        <w:ind w:left="851"/>
        <w:rPr>
          <w:sz w:val="24"/>
          <w:szCs w:val="24"/>
        </w:rPr>
      </w:pPr>
    </w:p>
    <w:p w14:paraId="25599ACF" w14:textId="089C3E9B" w:rsidR="009D21A2" w:rsidRPr="00AD7BA1" w:rsidRDefault="009D21A2" w:rsidP="00BB5D0F">
      <w:pPr>
        <w:rPr>
          <w:b/>
          <w:sz w:val="24"/>
          <w:szCs w:val="24"/>
        </w:rPr>
      </w:pPr>
      <w:r w:rsidRPr="00AD7BA1">
        <w:rPr>
          <w:b/>
          <w:sz w:val="24"/>
          <w:szCs w:val="24"/>
        </w:rPr>
        <w:t>Tabel 1: Antal undersøgte patienter, total daglig dosis og maksimal behandlingsvarighed i fase III-studier hos voksne og pædiatriske patienter</w:t>
      </w:r>
    </w:p>
    <w:p w14:paraId="7994B8FC" w14:textId="77777777" w:rsidR="009D21A2" w:rsidRPr="00AD7BA1" w:rsidRDefault="009D21A2" w:rsidP="009D21A2">
      <w:pPr>
        <w:pStyle w:val="Brdtekst"/>
        <w:rPr>
          <w:b/>
          <w:sz w:val="24"/>
          <w:szCs w:val="24"/>
          <w:lang w:val="da-DK"/>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49"/>
        <w:gridCol w:w="1253"/>
        <w:gridCol w:w="2261"/>
        <w:gridCol w:w="2165"/>
      </w:tblGrid>
      <w:tr w:rsidR="009D21A2" w:rsidRPr="00AD7BA1" w14:paraId="4A9A89BD" w14:textId="77777777" w:rsidTr="00BB5D0F">
        <w:trPr>
          <w:trHeight w:val="505"/>
        </w:trPr>
        <w:tc>
          <w:tcPr>
            <w:tcW w:w="2055" w:type="pct"/>
          </w:tcPr>
          <w:p w14:paraId="59899352" w14:textId="77777777" w:rsidR="009D21A2" w:rsidRPr="00AD7BA1" w:rsidRDefault="009D21A2" w:rsidP="00384A09">
            <w:pPr>
              <w:pStyle w:val="TableParagraph"/>
              <w:spacing w:before="1"/>
              <w:rPr>
                <w:rFonts w:ascii="Times New Roman" w:hAnsi="Times New Roman" w:cs="Times New Roman"/>
                <w:b/>
                <w:sz w:val="24"/>
                <w:szCs w:val="24"/>
                <w:lang w:val="da-DK"/>
              </w:rPr>
            </w:pPr>
            <w:r w:rsidRPr="00AD7BA1">
              <w:rPr>
                <w:rFonts w:ascii="Times New Roman" w:hAnsi="Times New Roman" w:cs="Times New Roman"/>
                <w:b/>
                <w:sz w:val="24"/>
                <w:szCs w:val="24"/>
                <w:lang w:val="da-DK"/>
              </w:rPr>
              <w:t>Indikation</w:t>
            </w:r>
          </w:p>
        </w:tc>
        <w:tc>
          <w:tcPr>
            <w:tcW w:w="655" w:type="pct"/>
          </w:tcPr>
          <w:p w14:paraId="0DE58516" w14:textId="77777777" w:rsidR="009D21A2" w:rsidRPr="00AD7BA1" w:rsidRDefault="009D21A2" w:rsidP="009D21A2">
            <w:pPr>
              <w:pStyle w:val="TableParagraph"/>
              <w:spacing w:before="4" w:line="252" w:lineRule="exact"/>
              <w:ind w:left="140"/>
              <w:rPr>
                <w:rFonts w:ascii="Times New Roman" w:hAnsi="Times New Roman" w:cs="Times New Roman"/>
                <w:b/>
                <w:sz w:val="24"/>
                <w:szCs w:val="24"/>
                <w:lang w:val="da-DK"/>
              </w:rPr>
            </w:pPr>
            <w:r w:rsidRPr="00AD7BA1">
              <w:rPr>
                <w:rFonts w:ascii="Times New Roman" w:hAnsi="Times New Roman" w:cs="Times New Roman"/>
                <w:b/>
                <w:sz w:val="24"/>
                <w:szCs w:val="24"/>
                <w:lang w:val="da-DK"/>
              </w:rPr>
              <w:t xml:space="preserve">Antal </w:t>
            </w:r>
            <w:r w:rsidRPr="00AD7BA1">
              <w:rPr>
                <w:rFonts w:ascii="Times New Roman" w:hAnsi="Times New Roman" w:cs="Times New Roman"/>
                <w:b/>
                <w:w w:val="95"/>
                <w:sz w:val="24"/>
                <w:szCs w:val="24"/>
                <w:lang w:val="da-DK"/>
              </w:rPr>
              <w:t>patienter*</w:t>
            </w:r>
          </w:p>
        </w:tc>
        <w:tc>
          <w:tcPr>
            <w:tcW w:w="1162" w:type="pct"/>
          </w:tcPr>
          <w:p w14:paraId="392F5DBB" w14:textId="77777777" w:rsidR="009D21A2" w:rsidRPr="00AD7BA1" w:rsidRDefault="009D21A2" w:rsidP="009D21A2">
            <w:pPr>
              <w:pStyle w:val="TableParagraph"/>
              <w:spacing w:before="1"/>
              <w:ind w:left="139"/>
              <w:rPr>
                <w:rFonts w:ascii="Times New Roman" w:hAnsi="Times New Roman" w:cs="Times New Roman"/>
                <w:b/>
                <w:sz w:val="24"/>
                <w:szCs w:val="24"/>
                <w:lang w:val="da-DK"/>
              </w:rPr>
            </w:pPr>
            <w:r w:rsidRPr="00AD7BA1">
              <w:rPr>
                <w:rFonts w:ascii="Times New Roman" w:hAnsi="Times New Roman" w:cs="Times New Roman"/>
                <w:b/>
                <w:sz w:val="24"/>
                <w:szCs w:val="24"/>
                <w:lang w:val="da-DK"/>
              </w:rPr>
              <w:t>Total daglig dosis</w:t>
            </w:r>
          </w:p>
        </w:tc>
        <w:tc>
          <w:tcPr>
            <w:tcW w:w="1128" w:type="pct"/>
          </w:tcPr>
          <w:p w14:paraId="692BA65F" w14:textId="77777777" w:rsidR="009D21A2" w:rsidRPr="00AD7BA1" w:rsidRDefault="009D21A2" w:rsidP="009D21A2">
            <w:pPr>
              <w:pStyle w:val="TableParagraph"/>
              <w:spacing w:before="4" w:line="252" w:lineRule="exact"/>
              <w:ind w:left="139" w:right="98"/>
              <w:rPr>
                <w:rFonts w:ascii="Times New Roman" w:hAnsi="Times New Roman" w:cs="Times New Roman"/>
                <w:b/>
                <w:sz w:val="24"/>
                <w:szCs w:val="24"/>
                <w:lang w:val="da-DK"/>
              </w:rPr>
            </w:pPr>
            <w:r w:rsidRPr="00AD7BA1">
              <w:rPr>
                <w:rFonts w:ascii="Times New Roman" w:hAnsi="Times New Roman" w:cs="Times New Roman"/>
                <w:b/>
                <w:sz w:val="24"/>
                <w:szCs w:val="24"/>
                <w:lang w:val="da-DK"/>
              </w:rPr>
              <w:t>Maksimal varighed af behandlingen</w:t>
            </w:r>
          </w:p>
        </w:tc>
      </w:tr>
      <w:tr w:rsidR="009D21A2" w:rsidRPr="00AD7BA1" w14:paraId="18EAEC01" w14:textId="77777777" w:rsidTr="00BB5D0F">
        <w:trPr>
          <w:trHeight w:val="1010"/>
        </w:trPr>
        <w:tc>
          <w:tcPr>
            <w:tcW w:w="2055" w:type="pct"/>
          </w:tcPr>
          <w:p w14:paraId="25A301D6" w14:textId="77777777" w:rsidR="009D21A2" w:rsidRPr="00AD7BA1" w:rsidRDefault="009D21A2" w:rsidP="00384A09">
            <w:pPr>
              <w:pStyle w:val="TableParagraph"/>
              <w:ind w:right="363"/>
              <w:rPr>
                <w:rFonts w:ascii="Times New Roman" w:hAnsi="Times New Roman" w:cs="Times New Roman"/>
                <w:sz w:val="24"/>
                <w:szCs w:val="24"/>
                <w:lang w:val="da-DK"/>
              </w:rPr>
            </w:pPr>
            <w:r w:rsidRPr="00AD7BA1">
              <w:rPr>
                <w:rFonts w:ascii="Times New Roman" w:hAnsi="Times New Roman" w:cs="Times New Roman"/>
                <w:sz w:val="24"/>
                <w:szCs w:val="24"/>
                <w:lang w:val="da-DK"/>
              </w:rPr>
              <w:t>Forebyggelse af venøs tromboemboli (VTE) hos voksne patienter, der gennemgår planlagt hofteleds- eller</w:t>
            </w:r>
          </w:p>
          <w:p w14:paraId="798A30FA" w14:textId="77777777" w:rsidR="009D21A2" w:rsidRPr="00AD7BA1" w:rsidRDefault="009D21A2" w:rsidP="00384A09">
            <w:pPr>
              <w:pStyle w:val="TableParagraph"/>
              <w:spacing w:line="233" w:lineRule="exact"/>
              <w:rPr>
                <w:rFonts w:ascii="Times New Roman" w:hAnsi="Times New Roman" w:cs="Times New Roman"/>
                <w:sz w:val="24"/>
                <w:szCs w:val="24"/>
                <w:lang w:val="da-DK"/>
              </w:rPr>
            </w:pPr>
            <w:r w:rsidRPr="00AD7BA1">
              <w:rPr>
                <w:rFonts w:ascii="Times New Roman" w:hAnsi="Times New Roman" w:cs="Times New Roman"/>
                <w:sz w:val="24"/>
                <w:szCs w:val="24"/>
                <w:lang w:val="da-DK"/>
              </w:rPr>
              <w:t>knæledsalloplastik</w:t>
            </w:r>
          </w:p>
        </w:tc>
        <w:tc>
          <w:tcPr>
            <w:tcW w:w="655" w:type="pct"/>
          </w:tcPr>
          <w:p w14:paraId="4585D68A" w14:textId="77777777" w:rsidR="009D21A2" w:rsidRPr="00AD7BA1" w:rsidRDefault="009D21A2" w:rsidP="009D21A2">
            <w:pPr>
              <w:pStyle w:val="TableParagraph"/>
              <w:spacing w:line="252"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6.097</w:t>
            </w:r>
          </w:p>
        </w:tc>
        <w:tc>
          <w:tcPr>
            <w:tcW w:w="1162" w:type="pct"/>
          </w:tcPr>
          <w:p w14:paraId="3A843F61" w14:textId="77777777" w:rsidR="009D21A2" w:rsidRPr="00AD7BA1" w:rsidRDefault="009D21A2" w:rsidP="009D21A2">
            <w:pPr>
              <w:pStyle w:val="TableParagraph"/>
              <w:spacing w:line="252"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10 mg</w:t>
            </w:r>
          </w:p>
        </w:tc>
        <w:tc>
          <w:tcPr>
            <w:tcW w:w="1128" w:type="pct"/>
          </w:tcPr>
          <w:p w14:paraId="7E803E82" w14:textId="77777777" w:rsidR="009D21A2" w:rsidRPr="00AD7BA1" w:rsidRDefault="009D21A2" w:rsidP="009D21A2">
            <w:pPr>
              <w:pStyle w:val="TableParagraph"/>
              <w:spacing w:line="252"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39 dage</w:t>
            </w:r>
          </w:p>
        </w:tc>
      </w:tr>
      <w:tr w:rsidR="009D21A2" w:rsidRPr="00AD7BA1" w14:paraId="0F2207D8" w14:textId="77777777" w:rsidTr="00BB5D0F">
        <w:trPr>
          <w:trHeight w:val="506"/>
        </w:trPr>
        <w:tc>
          <w:tcPr>
            <w:tcW w:w="2055" w:type="pct"/>
          </w:tcPr>
          <w:p w14:paraId="076C8FB3" w14:textId="77777777" w:rsidR="009D21A2" w:rsidRPr="00AD7BA1" w:rsidRDefault="009D21A2" w:rsidP="00384A09">
            <w:pPr>
              <w:pStyle w:val="TableParagraph"/>
              <w:spacing w:before="2" w:line="254" w:lineRule="exact"/>
              <w:ind w:right="430"/>
              <w:rPr>
                <w:rFonts w:ascii="Times New Roman" w:hAnsi="Times New Roman" w:cs="Times New Roman"/>
                <w:sz w:val="24"/>
                <w:szCs w:val="24"/>
                <w:lang w:val="da-DK"/>
              </w:rPr>
            </w:pPr>
            <w:r w:rsidRPr="00AD7BA1">
              <w:rPr>
                <w:rFonts w:ascii="Times New Roman" w:hAnsi="Times New Roman" w:cs="Times New Roman"/>
                <w:sz w:val="24"/>
                <w:szCs w:val="24"/>
                <w:lang w:val="da-DK"/>
              </w:rPr>
              <w:t>Forebyggelse af VTE hos medicinsk syge patienter</w:t>
            </w:r>
          </w:p>
        </w:tc>
        <w:tc>
          <w:tcPr>
            <w:tcW w:w="655" w:type="pct"/>
          </w:tcPr>
          <w:p w14:paraId="6AD17561" w14:textId="77777777" w:rsidR="009D21A2" w:rsidRPr="00AD7BA1" w:rsidRDefault="009D21A2" w:rsidP="009D21A2">
            <w:pPr>
              <w:pStyle w:val="TableParagraph"/>
              <w:spacing w:line="253"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3.997</w:t>
            </w:r>
          </w:p>
        </w:tc>
        <w:tc>
          <w:tcPr>
            <w:tcW w:w="1162" w:type="pct"/>
          </w:tcPr>
          <w:p w14:paraId="009102A7"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10 mg</w:t>
            </w:r>
          </w:p>
        </w:tc>
        <w:tc>
          <w:tcPr>
            <w:tcW w:w="1128" w:type="pct"/>
          </w:tcPr>
          <w:p w14:paraId="561F703F"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39 dage</w:t>
            </w:r>
          </w:p>
        </w:tc>
      </w:tr>
      <w:tr w:rsidR="009D21A2" w:rsidRPr="00AD7BA1" w14:paraId="5282B320" w14:textId="77777777" w:rsidTr="00BB5D0F">
        <w:trPr>
          <w:trHeight w:val="1513"/>
        </w:trPr>
        <w:tc>
          <w:tcPr>
            <w:tcW w:w="2055" w:type="pct"/>
          </w:tcPr>
          <w:p w14:paraId="27939813" w14:textId="77777777" w:rsidR="009D21A2" w:rsidRPr="00AD7BA1" w:rsidRDefault="009D21A2" w:rsidP="00384A09">
            <w:pPr>
              <w:pStyle w:val="TableParagraph"/>
              <w:ind w:right="729"/>
              <w:rPr>
                <w:rFonts w:ascii="Times New Roman" w:hAnsi="Times New Roman" w:cs="Times New Roman"/>
                <w:sz w:val="24"/>
                <w:szCs w:val="24"/>
                <w:lang w:val="da-DK"/>
              </w:rPr>
            </w:pPr>
            <w:r w:rsidRPr="00AD7BA1">
              <w:rPr>
                <w:rFonts w:ascii="Times New Roman" w:hAnsi="Times New Roman" w:cs="Times New Roman"/>
                <w:sz w:val="24"/>
                <w:szCs w:val="24"/>
                <w:lang w:val="da-DK"/>
              </w:rPr>
              <w:t>Behandling af dyb venetrombose (DVT), lungeemboli (PE) og forebyggelse af recidiv</w:t>
            </w:r>
          </w:p>
        </w:tc>
        <w:tc>
          <w:tcPr>
            <w:tcW w:w="655" w:type="pct"/>
          </w:tcPr>
          <w:p w14:paraId="643DE9FD" w14:textId="77777777" w:rsidR="009D21A2" w:rsidRPr="00AD7BA1" w:rsidRDefault="009D21A2" w:rsidP="009D21A2">
            <w:pPr>
              <w:pStyle w:val="TableParagraph"/>
              <w:spacing w:line="249"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6.790</w:t>
            </w:r>
          </w:p>
        </w:tc>
        <w:tc>
          <w:tcPr>
            <w:tcW w:w="1162" w:type="pct"/>
          </w:tcPr>
          <w:p w14:paraId="36468DFD" w14:textId="77777777" w:rsidR="009D21A2" w:rsidRPr="00AD7BA1" w:rsidRDefault="009D21A2" w:rsidP="009D21A2">
            <w:pPr>
              <w:pStyle w:val="TableParagraph"/>
              <w:ind w:left="139" w:right="277"/>
              <w:rPr>
                <w:rFonts w:ascii="Times New Roman" w:hAnsi="Times New Roman" w:cs="Times New Roman"/>
                <w:sz w:val="24"/>
                <w:szCs w:val="24"/>
                <w:lang w:val="da-DK"/>
              </w:rPr>
            </w:pPr>
            <w:r w:rsidRPr="00AD7BA1">
              <w:rPr>
                <w:rFonts w:ascii="Times New Roman" w:hAnsi="Times New Roman" w:cs="Times New Roman"/>
                <w:sz w:val="24"/>
                <w:szCs w:val="24"/>
                <w:lang w:val="da-DK"/>
              </w:rPr>
              <w:t>Dag 1 - 21: 30 mg Fra og med dag 22: 20 mg</w:t>
            </w:r>
          </w:p>
          <w:p w14:paraId="4BC1FF26"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Efter mindst</w:t>
            </w:r>
          </w:p>
          <w:p w14:paraId="6C661F48"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6 måneder: 10 mg</w:t>
            </w:r>
          </w:p>
          <w:p w14:paraId="24CAFC21" w14:textId="77777777" w:rsidR="009D21A2" w:rsidRPr="00AD7BA1" w:rsidRDefault="009D21A2" w:rsidP="009D21A2">
            <w:pPr>
              <w:pStyle w:val="TableParagraph"/>
              <w:spacing w:line="23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eller 20 mg</w:t>
            </w:r>
          </w:p>
        </w:tc>
        <w:tc>
          <w:tcPr>
            <w:tcW w:w="1128" w:type="pct"/>
          </w:tcPr>
          <w:p w14:paraId="1A3731EB" w14:textId="77777777" w:rsidR="009D21A2" w:rsidRPr="00AD7BA1" w:rsidRDefault="009D21A2" w:rsidP="009D21A2">
            <w:pPr>
              <w:pStyle w:val="TableParagraph"/>
              <w:spacing w:line="249"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21 måneder</w:t>
            </w:r>
          </w:p>
        </w:tc>
      </w:tr>
      <w:tr w:rsidR="009D21A2" w:rsidRPr="00AD7BA1" w14:paraId="13D82D93" w14:textId="77777777" w:rsidTr="00BB5D0F">
        <w:trPr>
          <w:trHeight w:val="2277"/>
        </w:trPr>
        <w:tc>
          <w:tcPr>
            <w:tcW w:w="2055" w:type="pct"/>
          </w:tcPr>
          <w:p w14:paraId="64C50C24" w14:textId="5EEB4BF1" w:rsidR="009D21A2" w:rsidRPr="00AD7BA1" w:rsidRDefault="009D21A2" w:rsidP="00AF6CB0">
            <w:pPr>
              <w:pStyle w:val="TableParagraph"/>
              <w:ind w:right="247"/>
              <w:rPr>
                <w:rFonts w:ascii="Times New Roman" w:hAnsi="Times New Roman" w:cs="Times New Roman"/>
                <w:sz w:val="24"/>
                <w:szCs w:val="24"/>
                <w:lang w:val="da-DK"/>
              </w:rPr>
            </w:pPr>
            <w:r w:rsidRPr="00AD7BA1">
              <w:rPr>
                <w:rFonts w:ascii="Times New Roman" w:hAnsi="Times New Roman" w:cs="Times New Roman"/>
                <w:sz w:val="24"/>
                <w:szCs w:val="24"/>
                <w:lang w:val="da-DK"/>
              </w:rPr>
              <w:t>Behandling af VTE og forebyggelse af recidiverende VTE hos spædbørn født til terminen og børn i alderen under</w:t>
            </w:r>
            <w:r w:rsidR="00AF6CB0" w:rsidRPr="00AD7BA1">
              <w:rPr>
                <w:rFonts w:ascii="Times New Roman" w:hAnsi="Times New Roman" w:cs="Times New Roman"/>
                <w:sz w:val="24"/>
                <w:szCs w:val="24"/>
                <w:lang w:val="da-DK"/>
              </w:rPr>
              <w:t xml:space="preserve"> </w:t>
            </w:r>
            <w:r w:rsidRPr="00AD7BA1">
              <w:rPr>
                <w:rFonts w:ascii="Times New Roman" w:hAnsi="Times New Roman" w:cs="Times New Roman"/>
                <w:sz w:val="24"/>
                <w:szCs w:val="24"/>
                <w:lang w:val="da-DK"/>
              </w:rPr>
              <w:t>18 år, efter standard antikoagulerende behandling blev påbegyndt</w:t>
            </w:r>
          </w:p>
        </w:tc>
        <w:tc>
          <w:tcPr>
            <w:tcW w:w="655" w:type="pct"/>
          </w:tcPr>
          <w:p w14:paraId="766F9E36" w14:textId="77777777" w:rsidR="009D21A2" w:rsidRPr="00AD7BA1" w:rsidRDefault="009D21A2" w:rsidP="009D21A2">
            <w:pPr>
              <w:pStyle w:val="TableParagraph"/>
              <w:spacing w:line="253"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329</w:t>
            </w:r>
          </w:p>
        </w:tc>
        <w:tc>
          <w:tcPr>
            <w:tcW w:w="1162" w:type="pct"/>
          </w:tcPr>
          <w:p w14:paraId="3315755B" w14:textId="77777777" w:rsidR="009D21A2" w:rsidRPr="00AD7BA1" w:rsidRDefault="009D21A2" w:rsidP="009D21A2">
            <w:pPr>
              <w:pStyle w:val="TableParagraph"/>
              <w:ind w:left="139" w:right="277"/>
              <w:rPr>
                <w:rFonts w:ascii="Times New Roman" w:hAnsi="Times New Roman" w:cs="Times New Roman"/>
                <w:sz w:val="24"/>
                <w:szCs w:val="24"/>
                <w:lang w:val="da-DK"/>
              </w:rPr>
            </w:pPr>
            <w:r w:rsidRPr="00AD7BA1">
              <w:rPr>
                <w:rFonts w:ascii="Times New Roman" w:hAnsi="Times New Roman" w:cs="Times New Roman"/>
                <w:w w:val="95"/>
                <w:sz w:val="24"/>
                <w:szCs w:val="24"/>
                <w:lang w:val="da-DK"/>
              </w:rPr>
              <w:t xml:space="preserve">Legemsvægtjusteret </w:t>
            </w:r>
            <w:r w:rsidRPr="00AD7BA1">
              <w:rPr>
                <w:rFonts w:ascii="Times New Roman" w:hAnsi="Times New Roman" w:cs="Times New Roman"/>
                <w:sz w:val="24"/>
                <w:szCs w:val="24"/>
                <w:lang w:val="da-DK"/>
              </w:rPr>
              <w:t>dosis til at opnå en eksponering, der svarer til eksponeringen hos voksne behandlet mod DVT</w:t>
            </w:r>
            <w:r w:rsidRPr="00AD7BA1">
              <w:rPr>
                <w:rFonts w:ascii="Times New Roman" w:hAnsi="Times New Roman" w:cs="Times New Roman"/>
                <w:spacing w:val="-2"/>
                <w:sz w:val="24"/>
                <w:szCs w:val="24"/>
                <w:lang w:val="da-DK"/>
              </w:rPr>
              <w:t xml:space="preserve"> </w:t>
            </w:r>
            <w:r w:rsidRPr="00AD7BA1">
              <w:rPr>
                <w:rFonts w:ascii="Times New Roman" w:hAnsi="Times New Roman" w:cs="Times New Roman"/>
                <w:sz w:val="24"/>
                <w:szCs w:val="24"/>
                <w:lang w:val="da-DK"/>
              </w:rPr>
              <w:t>med</w:t>
            </w:r>
          </w:p>
          <w:p w14:paraId="5943E1B9" w14:textId="77777777" w:rsidR="009D21A2" w:rsidRPr="00AD7BA1" w:rsidRDefault="009D21A2" w:rsidP="009D21A2">
            <w:pPr>
              <w:pStyle w:val="TableParagraph"/>
              <w:spacing w:line="250" w:lineRule="atLeast"/>
              <w:ind w:left="139" w:right="327" w:hanging="1"/>
              <w:rPr>
                <w:rFonts w:ascii="Times New Roman" w:hAnsi="Times New Roman" w:cs="Times New Roman"/>
                <w:sz w:val="24"/>
                <w:szCs w:val="24"/>
                <w:lang w:val="da-DK"/>
              </w:rPr>
            </w:pPr>
            <w:r w:rsidRPr="00AD7BA1">
              <w:rPr>
                <w:rFonts w:ascii="Times New Roman" w:hAnsi="Times New Roman" w:cs="Times New Roman"/>
                <w:sz w:val="24"/>
                <w:szCs w:val="24"/>
                <w:lang w:val="da-DK"/>
              </w:rPr>
              <w:t>20 mg rivaroxaban én gang</w:t>
            </w:r>
            <w:r w:rsidRPr="00AD7BA1">
              <w:rPr>
                <w:rFonts w:ascii="Times New Roman" w:hAnsi="Times New Roman" w:cs="Times New Roman"/>
                <w:spacing w:val="-2"/>
                <w:sz w:val="24"/>
                <w:szCs w:val="24"/>
                <w:lang w:val="da-DK"/>
              </w:rPr>
              <w:t xml:space="preserve"> </w:t>
            </w:r>
            <w:r w:rsidRPr="00AD7BA1">
              <w:rPr>
                <w:rFonts w:ascii="Times New Roman" w:hAnsi="Times New Roman" w:cs="Times New Roman"/>
                <w:sz w:val="24"/>
                <w:szCs w:val="24"/>
                <w:lang w:val="da-DK"/>
              </w:rPr>
              <w:t>dagligt</w:t>
            </w:r>
          </w:p>
        </w:tc>
        <w:tc>
          <w:tcPr>
            <w:tcW w:w="1128" w:type="pct"/>
          </w:tcPr>
          <w:p w14:paraId="1C3762DB"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12 måneder</w:t>
            </w:r>
          </w:p>
        </w:tc>
      </w:tr>
      <w:tr w:rsidR="009D21A2" w:rsidRPr="00AD7BA1" w14:paraId="31D80030" w14:textId="77777777" w:rsidTr="00BB5D0F">
        <w:trPr>
          <w:trHeight w:val="759"/>
        </w:trPr>
        <w:tc>
          <w:tcPr>
            <w:tcW w:w="2055" w:type="pct"/>
          </w:tcPr>
          <w:p w14:paraId="675914DA" w14:textId="77777777" w:rsidR="009D21A2" w:rsidRPr="00AD7BA1" w:rsidRDefault="009D21A2" w:rsidP="00384A09">
            <w:pPr>
              <w:pStyle w:val="TableParagraph"/>
              <w:spacing w:before="2" w:line="254" w:lineRule="exact"/>
              <w:ind w:right="154"/>
              <w:rPr>
                <w:rFonts w:ascii="Times New Roman" w:hAnsi="Times New Roman" w:cs="Times New Roman"/>
                <w:sz w:val="24"/>
                <w:szCs w:val="24"/>
                <w:lang w:val="da-DK"/>
              </w:rPr>
            </w:pPr>
            <w:r w:rsidRPr="00AD7BA1">
              <w:rPr>
                <w:rFonts w:ascii="Times New Roman" w:hAnsi="Times New Roman" w:cs="Times New Roman"/>
                <w:sz w:val="24"/>
                <w:szCs w:val="24"/>
                <w:lang w:val="da-DK"/>
              </w:rPr>
              <w:t>Forebyggelse af apopleksi og systemisk emboli hos patienter med ikke-valvulær atrieflimren</w:t>
            </w:r>
          </w:p>
        </w:tc>
        <w:tc>
          <w:tcPr>
            <w:tcW w:w="655" w:type="pct"/>
          </w:tcPr>
          <w:p w14:paraId="5F81CEBA" w14:textId="77777777" w:rsidR="009D21A2" w:rsidRPr="00AD7BA1" w:rsidRDefault="009D21A2" w:rsidP="009D21A2">
            <w:pPr>
              <w:pStyle w:val="TableParagraph"/>
              <w:spacing w:line="253"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7.750</w:t>
            </w:r>
          </w:p>
        </w:tc>
        <w:tc>
          <w:tcPr>
            <w:tcW w:w="1162" w:type="pct"/>
          </w:tcPr>
          <w:p w14:paraId="11E4A61E"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20 mg</w:t>
            </w:r>
          </w:p>
        </w:tc>
        <w:tc>
          <w:tcPr>
            <w:tcW w:w="1128" w:type="pct"/>
          </w:tcPr>
          <w:p w14:paraId="0BC579A2"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41 måneder</w:t>
            </w:r>
          </w:p>
        </w:tc>
      </w:tr>
      <w:tr w:rsidR="009D21A2" w:rsidRPr="00AD7BA1" w14:paraId="703E8A46" w14:textId="77777777" w:rsidTr="00BB5D0F">
        <w:trPr>
          <w:trHeight w:val="2524"/>
        </w:trPr>
        <w:tc>
          <w:tcPr>
            <w:tcW w:w="2055" w:type="pct"/>
          </w:tcPr>
          <w:p w14:paraId="468BFE17" w14:textId="77777777" w:rsidR="009D21A2" w:rsidRPr="00AD7BA1" w:rsidRDefault="009D21A2" w:rsidP="00384A09">
            <w:pPr>
              <w:pStyle w:val="TableParagraph"/>
              <w:ind w:right="693"/>
              <w:rPr>
                <w:rFonts w:ascii="Times New Roman" w:hAnsi="Times New Roman" w:cs="Times New Roman"/>
                <w:sz w:val="24"/>
                <w:szCs w:val="24"/>
                <w:lang w:val="da-DK"/>
              </w:rPr>
            </w:pPr>
            <w:r w:rsidRPr="00AD7BA1">
              <w:rPr>
                <w:rFonts w:ascii="Times New Roman" w:hAnsi="Times New Roman" w:cs="Times New Roman"/>
                <w:sz w:val="24"/>
                <w:szCs w:val="24"/>
                <w:lang w:val="da-DK"/>
              </w:rPr>
              <w:t xml:space="preserve">Forebyggelse af aterotrombotiske hændelser hos patienter efter akut koronarsyndrom </w:t>
            </w:r>
            <w:r w:rsidRPr="00AD7BA1">
              <w:rPr>
                <w:rFonts w:ascii="Times New Roman" w:hAnsi="Times New Roman" w:cs="Times New Roman"/>
                <w:i/>
                <w:sz w:val="24"/>
                <w:szCs w:val="24"/>
                <w:lang w:val="da-DK"/>
              </w:rPr>
              <w:t>(</w:t>
            </w:r>
            <w:r w:rsidRPr="00AD7BA1">
              <w:rPr>
                <w:rFonts w:ascii="Times New Roman" w:hAnsi="Times New Roman" w:cs="Times New Roman"/>
                <w:sz w:val="24"/>
                <w:szCs w:val="24"/>
                <w:lang w:val="da-DK"/>
              </w:rPr>
              <w:t>AKS)</w:t>
            </w:r>
          </w:p>
        </w:tc>
        <w:tc>
          <w:tcPr>
            <w:tcW w:w="655" w:type="pct"/>
          </w:tcPr>
          <w:p w14:paraId="039F8B3B" w14:textId="77777777" w:rsidR="009D21A2" w:rsidRPr="00AD7BA1" w:rsidRDefault="009D21A2" w:rsidP="009D21A2">
            <w:pPr>
              <w:pStyle w:val="TableParagraph"/>
              <w:spacing w:line="248"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10.225</w:t>
            </w:r>
          </w:p>
        </w:tc>
        <w:tc>
          <w:tcPr>
            <w:tcW w:w="1162" w:type="pct"/>
          </w:tcPr>
          <w:p w14:paraId="1AAD05DE" w14:textId="77777777" w:rsidR="009D21A2" w:rsidRPr="00AD7BA1" w:rsidRDefault="009D21A2" w:rsidP="009D21A2">
            <w:pPr>
              <w:pStyle w:val="TableParagraph"/>
              <w:ind w:left="139" w:right="115"/>
              <w:rPr>
                <w:rFonts w:ascii="Times New Roman" w:hAnsi="Times New Roman" w:cs="Times New Roman"/>
                <w:sz w:val="24"/>
                <w:szCs w:val="24"/>
                <w:lang w:val="da-DK"/>
              </w:rPr>
            </w:pPr>
            <w:r w:rsidRPr="00AD7BA1">
              <w:rPr>
                <w:rFonts w:ascii="Times New Roman" w:hAnsi="Times New Roman" w:cs="Times New Roman"/>
                <w:sz w:val="24"/>
                <w:szCs w:val="24"/>
                <w:lang w:val="da-DK"/>
              </w:rPr>
              <w:t>Henholdsvis 5 mg eller 10 mg ved samtidig administration med enten acetylsalicylsyre eller acetylsalicylsyre</w:t>
            </w:r>
            <w:r w:rsidRPr="00AD7BA1">
              <w:rPr>
                <w:rFonts w:ascii="Times New Roman" w:hAnsi="Times New Roman" w:cs="Times New Roman"/>
                <w:spacing w:val="-8"/>
                <w:sz w:val="24"/>
                <w:szCs w:val="24"/>
                <w:lang w:val="da-DK"/>
              </w:rPr>
              <w:t xml:space="preserve"> </w:t>
            </w:r>
            <w:r w:rsidRPr="00AD7BA1">
              <w:rPr>
                <w:rFonts w:ascii="Times New Roman" w:hAnsi="Times New Roman" w:cs="Times New Roman"/>
                <w:sz w:val="24"/>
                <w:szCs w:val="24"/>
                <w:lang w:val="da-DK"/>
              </w:rPr>
              <w:t>plus</w:t>
            </w:r>
          </w:p>
          <w:p w14:paraId="7AC6C84C" w14:textId="77777777" w:rsidR="009D21A2" w:rsidRPr="00AD7BA1" w:rsidRDefault="009D21A2" w:rsidP="009D21A2">
            <w:pPr>
              <w:pStyle w:val="TableParagraph"/>
              <w:spacing w:line="254" w:lineRule="exact"/>
              <w:ind w:left="139" w:right="540"/>
              <w:rPr>
                <w:rFonts w:ascii="Times New Roman" w:hAnsi="Times New Roman" w:cs="Times New Roman"/>
                <w:sz w:val="24"/>
                <w:szCs w:val="24"/>
                <w:lang w:val="da-DK"/>
              </w:rPr>
            </w:pPr>
            <w:r w:rsidRPr="00AD7BA1">
              <w:rPr>
                <w:rFonts w:ascii="Times New Roman" w:hAnsi="Times New Roman" w:cs="Times New Roman"/>
                <w:sz w:val="24"/>
                <w:szCs w:val="24"/>
                <w:lang w:val="da-DK"/>
              </w:rPr>
              <w:t>clopidogrel eller ticlopidin</w:t>
            </w:r>
          </w:p>
        </w:tc>
        <w:tc>
          <w:tcPr>
            <w:tcW w:w="1128" w:type="pct"/>
          </w:tcPr>
          <w:p w14:paraId="36FF03B8" w14:textId="77777777" w:rsidR="009D21A2" w:rsidRPr="00AD7BA1" w:rsidRDefault="009D21A2" w:rsidP="009D21A2">
            <w:pPr>
              <w:pStyle w:val="TableParagraph"/>
              <w:spacing w:line="248"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31 måneder</w:t>
            </w:r>
          </w:p>
        </w:tc>
      </w:tr>
      <w:tr w:rsidR="009D21A2" w:rsidRPr="00AD7BA1" w14:paraId="273AD0AB" w14:textId="77777777" w:rsidTr="00BB5D0F">
        <w:trPr>
          <w:trHeight w:val="752"/>
        </w:trPr>
        <w:tc>
          <w:tcPr>
            <w:tcW w:w="2055" w:type="pct"/>
            <w:vMerge w:val="restart"/>
          </w:tcPr>
          <w:p w14:paraId="2A4B96DE" w14:textId="77777777" w:rsidR="009D21A2" w:rsidRPr="00AD7BA1" w:rsidRDefault="009D21A2" w:rsidP="00384A09">
            <w:pPr>
              <w:pStyle w:val="TableParagraph"/>
              <w:ind w:right="333"/>
              <w:rPr>
                <w:rFonts w:ascii="Times New Roman" w:hAnsi="Times New Roman" w:cs="Times New Roman"/>
                <w:sz w:val="24"/>
                <w:szCs w:val="24"/>
                <w:lang w:val="da-DK"/>
              </w:rPr>
            </w:pPr>
            <w:r w:rsidRPr="00AD7BA1">
              <w:rPr>
                <w:rFonts w:ascii="Times New Roman" w:hAnsi="Times New Roman" w:cs="Times New Roman"/>
                <w:sz w:val="24"/>
                <w:szCs w:val="24"/>
                <w:lang w:val="da-DK"/>
              </w:rPr>
              <w:t>Forebyggelse af aterotrombotiske hændelser hos patienter med koronararteriesygdom (CAD) /perifer arteriesygdom (PAD)</w:t>
            </w:r>
          </w:p>
        </w:tc>
        <w:tc>
          <w:tcPr>
            <w:tcW w:w="655" w:type="pct"/>
          </w:tcPr>
          <w:p w14:paraId="30E78ACE" w14:textId="77777777" w:rsidR="009D21A2" w:rsidRPr="00AD7BA1" w:rsidRDefault="009D21A2" w:rsidP="009D21A2">
            <w:pPr>
              <w:pStyle w:val="TableParagraph"/>
              <w:spacing w:line="245"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18.244</w:t>
            </w:r>
          </w:p>
        </w:tc>
        <w:tc>
          <w:tcPr>
            <w:tcW w:w="1162" w:type="pct"/>
          </w:tcPr>
          <w:p w14:paraId="3DC4D79A" w14:textId="77777777" w:rsidR="009D21A2" w:rsidRPr="00AD7BA1" w:rsidRDefault="009D21A2" w:rsidP="009D21A2">
            <w:pPr>
              <w:pStyle w:val="TableParagraph"/>
              <w:spacing w:line="245"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5 mg administreret</w:t>
            </w:r>
          </w:p>
          <w:p w14:paraId="439015D2" w14:textId="77777777" w:rsidR="009D21A2" w:rsidRPr="00AD7BA1" w:rsidRDefault="009D21A2" w:rsidP="009D21A2">
            <w:pPr>
              <w:pStyle w:val="TableParagraph"/>
              <w:spacing w:line="250" w:lineRule="atLeast"/>
              <w:ind w:left="139" w:right="325"/>
              <w:rPr>
                <w:rFonts w:ascii="Times New Roman" w:hAnsi="Times New Roman" w:cs="Times New Roman"/>
                <w:sz w:val="24"/>
                <w:szCs w:val="24"/>
                <w:lang w:val="da-DK"/>
              </w:rPr>
            </w:pPr>
            <w:r w:rsidRPr="00AD7BA1">
              <w:rPr>
                <w:rFonts w:ascii="Times New Roman" w:hAnsi="Times New Roman" w:cs="Times New Roman"/>
                <w:sz w:val="24"/>
                <w:szCs w:val="24"/>
                <w:lang w:val="da-DK"/>
              </w:rPr>
              <w:t>sammen med ASA eller 10 mg alene</w:t>
            </w:r>
          </w:p>
        </w:tc>
        <w:tc>
          <w:tcPr>
            <w:tcW w:w="1128" w:type="pct"/>
          </w:tcPr>
          <w:p w14:paraId="09A20231" w14:textId="77777777" w:rsidR="009D21A2" w:rsidRPr="00AD7BA1" w:rsidRDefault="009D21A2" w:rsidP="009D21A2">
            <w:pPr>
              <w:pStyle w:val="TableParagraph"/>
              <w:spacing w:line="245"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47 måneder</w:t>
            </w:r>
          </w:p>
        </w:tc>
      </w:tr>
      <w:tr w:rsidR="009D21A2" w:rsidRPr="00AD7BA1" w14:paraId="719E7583" w14:textId="77777777" w:rsidTr="00BB5D0F">
        <w:trPr>
          <w:trHeight w:val="505"/>
        </w:trPr>
        <w:tc>
          <w:tcPr>
            <w:tcW w:w="2055" w:type="pct"/>
            <w:vMerge/>
            <w:tcBorders>
              <w:top w:val="nil"/>
            </w:tcBorders>
          </w:tcPr>
          <w:p w14:paraId="1663F2CF" w14:textId="77777777" w:rsidR="009D21A2" w:rsidRPr="00AD7BA1" w:rsidRDefault="009D21A2" w:rsidP="00384A09">
            <w:pPr>
              <w:rPr>
                <w:rFonts w:ascii="Times New Roman" w:hAnsi="Times New Roman" w:cs="Times New Roman"/>
                <w:sz w:val="24"/>
                <w:szCs w:val="24"/>
                <w:lang w:val="da-DK"/>
              </w:rPr>
            </w:pPr>
          </w:p>
        </w:tc>
        <w:tc>
          <w:tcPr>
            <w:tcW w:w="655" w:type="pct"/>
          </w:tcPr>
          <w:p w14:paraId="1366BC01" w14:textId="77777777" w:rsidR="009D21A2" w:rsidRPr="00AD7BA1" w:rsidRDefault="009D21A2" w:rsidP="009D21A2">
            <w:pPr>
              <w:pStyle w:val="TableParagraph"/>
              <w:spacing w:line="253"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3.256**</w:t>
            </w:r>
          </w:p>
        </w:tc>
        <w:tc>
          <w:tcPr>
            <w:tcW w:w="1162" w:type="pct"/>
          </w:tcPr>
          <w:p w14:paraId="67472CCE" w14:textId="77777777" w:rsidR="009D21A2" w:rsidRPr="00AD7BA1" w:rsidRDefault="009D21A2" w:rsidP="009D21A2">
            <w:pPr>
              <w:pStyle w:val="TableParagraph"/>
              <w:spacing w:before="1" w:line="254" w:lineRule="exact"/>
              <w:ind w:left="139" w:right="325"/>
              <w:rPr>
                <w:rFonts w:ascii="Times New Roman" w:hAnsi="Times New Roman" w:cs="Times New Roman"/>
                <w:sz w:val="24"/>
                <w:szCs w:val="24"/>
                <w:lang w:val="da-DK"/>
              </w:rPr>
            </w:pPr>
            <w:r w:rsidRPr="00AD7BA1">
              <w:rPr>
                <w:rFonts w:ascii="Times New Roman" w:hAnsi="Times New Roman" w:cs="Times New Roman"/>
                <w:sz w:val="24"/>
                <w:szCs w:val="24"/>
                <w:lang w:val="da-DK"/>
              </w:rPr>
              <w:t>5 mg administreret sammen med ASA</w:t>
            </w:r>
          </w:p>
        </w:tc>
        <w:tc>
          <w:tcPr>
            <w:tcW w:w="1128" w:type="pct"/>
          </w:tcPr>
          <w:p w14:paraId="308ECEC0"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42 måneder</w:t>
            </w:r>
          </w:p>
        </w:tc>
      </w:tr>
    </w:tbl>
    <w:p w14:paraId="670F13A8" w14:textId="3A7437C7" w:rsidR="009D21A2" w:rsidRPr="00AD7BA1" w:rsidRDefault="00384A09" w:rsidP="00384A09">
      <w:pPr>
        <w:ind w:left="284" w:hanging="284"/>
        <w:rPr>
          <w:sz w:val="24"/>
          <w:szCs w:val="24"/>
        </w:rPr>
      </w:pPr>
      <w:r w:rsidRPr="00AD7BA1">
        <w:rPr>
          <w:sz w:val="24"/>
          <w:szCs w:val="24"/>
        </w:rPr>
        <w:t>*</w:t>
      </w:r>
      <w:r w:rsidRPr="00AD7BA1">
        <w:rPr>
          <w:sz w:val="24"/>
          <w:szCs w:val="24"/>
        </w:rPr>
        <w:tab/>
      </w:r>
      <w:r w:rsidR="009D21A2" w:rsidRPr="00AD7BA1">
        <w:rPr>
          <w:sz w:val="24"/>
          <w:szCs w:val="24"/>
        </w:rPr>
        <w:t>Patienter, der har fået mindst én dosis rivaroxaban</w:t>
      </w:r>
    </w:p>
    <w:p w14:paraId="4871F19E" w14:textId="77777777" w:rsidR="009D21A2" w:rsidRPr="00AD7BA1" w:rsidRDefault="009D21A2" w:rsidP="00384A09">
      <w:pPr>
        <w:ind w:left="284" w:hanging="284"/>
        <w:rPr>
          <w:sz w:val="24"/>
          <w:szCs w:val="24"/>
        </w:rPr>
      </w:pPr>
      <w:r w:rsidRPr="00AD7BA1">
        <w:rPr>
          <w:sz w:val="24"/>
          <w:szCs w:val="24"/>
        </w:rPr>
        <w:t>**</w:t>
      </w:r>
      <w:r w:rsidRPr="00AD7BA1">
        <w:rPr>
          <w:sz w:val="24"/>
          <w:szCs w:val="24"/>
        </w:rPr>
        <w:tab/>
        <w:t>Fra VOYAGER PAD-studiet</w:t>
      </w:r>
    </w:p>
    <w:p w14:paraId="564F0F37" w14:textId="77777777" w:rsidR="009D21A2" w:rsidRPr="00AD7BA1" w:rsidRDefault="009D21A2" w:rsidP="00BB5D0F">
      <w:pPr>
        <w:rPr>
          <w:sz w:val="24"/>
          <w:szCs w:val="24"/>
        </w:rPr>
      </w:pPr>
    </w:p>
    <w:p w14:paraId="44C32B26" w14:textId="2D9E6471" w:rsidR="00BB5D0F" w:rsidRPr="00AD7BA1" w:rsidRDefault="009D21A2" w:rsidP="00BB5D0F">
      <w:pPr>
        <w:ind w:left="851"/>
        <w:rPr>
          <w:sz w:val="24"/>
          <w:szCs w:val="24"/>
        </w:rPr>
      </w:pPr>
      <w:r w:rsidRPr="00AD7BA1">
        <w:rPr>
          <w:sz w:val="24"/>
          <w:szCs w:val="24"/>
        </w:rPr>
        <w:t xml:space="preserve">De hyppigst rapporterede bivirkninger hos patienter, der fik rivaroxaban, var blødning (tabel 2) (se også pkt. 4.4. </w:t>
      </w:r>
      <w:r w:rsidR="00AD7BA1">
        <w:rPr>
          <w:sz w:val="24"/>
          <w:szCs w:val="24"/>
        </w:rPr>
        <w:t>”</w:t>
      </w:r>
      <w:r w:rsidRPr="00AD7BA1">
        <w:rPr>
          <w:sz w:val="24"/>
          <w:szCs w:val="24"/>
        </w:rPr>
        <w:t>Beskrivelse af udvalgte bivirkninger” nedenfor). De hyppigst rapporterede blødninger var epistaxis (4,5 %) og blødning fra mave-tarm-kanalen (3,8 %).</w:t>
      </w:r>
    </w:p>
    <w:p w14:paraId="582148E6" w14:textId="77777777" w:rsidR="00BB5D0F" w:rsidRPr="00AD7BA1" w:rsidRDefault="00BB5D0F" w:rsidP="00BB5D0F">
      <w:pPr>
        <w:rPr>
          <w:sz w:val="24"/>
          <w:szCs w:val="24"/>
        </w:rPr>
      </w:pPr>
    </w:p>
    <w:p w14:paraId="7AD64B34" w14:textId="0E5B1AD6" w:rsidR="009D21A2" w:rsidRPr="00AD7BA1" w:rsidRDefault="009D21A2" w:rsidP="00BB5D0F">
      <w:pPr>
        <w:rPr>
          <w:b/>
          <w:sz w:val="24"/>
          <w:szCs w:val="24"/>
        </w:rPr>
      </w:pPr>
      <w:r w:rsidRPr="00AD7BA1">
        <w:rPr>
          <w:b/>
          <w:sz w:val="24"/>
          <w:szCs w:val="24"/>
        </w:rPr>
        <w:t>Tabel 2: Forekomst af blødning* og anæmi hos patienter eksponeret for rivaroxaban i alle gennemførte fase III-studier hos voksne og pædiatriske patienter</w:t>
      </w:r>
    </w:p>
    <w:p w14:paraId="0A1001C8" w14:textId="77777777" w:rsidR="009D21A2" w:rsidRPr="00AD7BA1" w:rsidRDefault="009D21A2" w:rsidP="009D21A2">
      <w:pPr>
        <w:pStyle w:val="Brdtekst"/>
        <w:rPr>
          <w:b/>
          <w:sz w:val="24"/>
          <w:szCs w:val="24"/>
          <w:lang w:val="da-DK"/>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57"/>
        <w:gridCol w:w="2498"/>
        <w:gridCol w:w="2673"/>
      </w:tblGrid>
      <w:tr w:rsidR="009D21A2" w:rsidRPr="00AD7BA1" w14:paraId="7ABED254" w14:textId="77777777" w:rsidTr="00BB5D0F">
        <w:trPr>
          <w:trHeight w:val="253"/>
        </w:trPr>
        <w:tc>
          <w:tcPr>
            <w:tcW w:w="2315" w:type="pct"/>
          </w:tcPr>
          <w:p w14:paraId="2320FABF" w14:textId="77777777" w:rsidR="009D21A2" w:rsidRPr="00AD7BA1" w:rsidRDefault="009D21A2" w:rsidP="009D21A2">
            <w:pPr>
              <w:pStyle w:val="TableParagraph"/>
              <w:spacing w:before="1" w:line="233" w:lineRule="exact"/>
              <w:rPr>
                <w:rFonts w:ascii="Times New Roman" w:hAnsi="Times New Roman" w:cs="Times New Roman"/>
                <w:b/>
                <w:sz w:val="24"/>
                <w:szCs w:val="24"/>
                <w:lang w:val="da-DK"/>
              </w:rPr>
            </w:pPr>
            <w:r w:rsidRPr="00AD7BA1">
              <w:rPr>
                <w:rFonts w:ascii="Times New Roman" w:hAnsi="Times New Roman" w:cs="Times New Roman"/>
                <w:b/>
                <w:sz w:val="24"/>
                <w:szCs w:val="24"/>
                <w:lang w:val="da-DK"/>
              </w:rPr>
              <w:t>Indikation</w:t>
            </w:r>
          </w:p>
        </w:tc>
        <w:tc>
          <w:tcPr>
            <w:tcW w:w="1297" w:type="pct"/>
          </w:tcPr>
          <w:p w14:paraId="434047DB" w14:textId="77777777" w:rsidR="009D21A2" w:rsidRPr="00AD7BA1" w:rsidRDefault="009D21A2" w:rsidP="009D21A2">
            <w:pPr>
              <w:pStyle w:val="TableParagraph"/>
              <w:spacing w:before="1" w:line="233" w:lineRule="exact"/>
              <w:ind w:left="140"/>
              <w:rPr>
                <w:rFonts w:ascii="Times New Roman" w:hAnsi="Times New Roman" w:cs="Times New Roman"/>
                <w:b/>
                <w:sz w:val="24"/>
                <w:szCs w:val="24"/>
                <w:lang w:val="da-DK"/>
              </w:rPr>
            </w:pPr>
            <w:r w:rsidRPr="00AD7BA1">
              <w:rPr>
                <w:rFonts w:ascii="Times New Roman" w:hAnsi="Times New Roman" w:cs="Times New Roman"/>
                <w:b/>
                <w:sz w:val="24"/>
                <w:szCs w:val="24"/>
                <w:lang w:val="da-DK"/>
              </w:rPr>
              <w:t>Blødning</w:t>
            </w:r>
          </w:p>
        </w:tc>
        <w:tc>
          <w:tcPr>
            <w:tcW w:w="1388" w:type="pct"/>
          </w:tcPr>
          <w:p w14:paraId="14116791" w14:textId="77777777" w:rsidR="009D21A2" w:rsidRPr="00AD7BA1" w:rsidRDefault="009D21A2" w:rsidP="009D21A2">
            <w:pPr>
              <w:pStyle w:val="TableParagraph"/>
              <w:spacing w:before="1" w:line="233" w:lineRule="exact"/>
              <w:ind w:left="139"/>
              <w:rPr>
                <w:rFonts w:ascii="Times New Roman" w:hAnsi="Times New Roman" w:cs="Times New Roman"/>
                <w:b/>
                <w:sz w:val="24"/>
                <w:szCs w:val="24"/>
                <w:lang w:val="da-DK"/>
              </w:rPr>
            </w:pPr>
            <w:r w:rsidRPr="00AD7BA1">
              <w:rPr>
                <w:rFonts w:ascii="Times New Roman" w:hAnsi="Times New Roman" w:cs="Times New Roman"/>
                <w:b/>
                <w:sz w:val="24"/>
                <w:szCs w:val="24"/>
                <w:lang w:val="da-DK"/>
              </w:rPr>
              <w:t>Anæmi</w:t>
            </w:r>
          </w:p>
        </w:tc>
      </w:tr>
      <w:tr w:rsidR="009D21A2" w:rsidRPr="00AD7BA1" w14:paraId="6DF829E6" w14:textId="77777777" w:rsidTr="00BB5D0F">
        <w:trPr>
          <w:trHeight w:val="758"/>
        </w:trPr>
        <w:tc>
          <w:tcPr>
            <w:tcW w:w="2315" w:type="pct"/>
          </w:tcPr>
          <w:p w14:paraId="0597EA9D" w14:textId="77777777" w:rsidR="009D21A2" w:rsidRPr="00AD7BA1" w:rsidRDefault="009D21A2" w:rsidP="009D21A2">
            <w:pPr>
              <w:pStyle w:val="TableParagraph"/>
              <w:spacing w:line="253" w:lineRule="exact"/>
              <w:rPr>
                <w:rFonts w:ascii="Times New Roman" w:hAnsi="Times New Roman" w:cs="Times New Roman"/>
                <w:sz w:val="24"/>
                <w:szCs w:val="24"/>
                <w:lang w:val="da-DK"/>
              </w:rPr>
            </w:pPr>
            <w:r w:rsidRPr="00AD7BA1">
              <w:rPr>
                <w:rFonts w:ascii="Times New Roman" w:hAnsi="Times New Roman" w:cs="Times New Roman"/>
                <w:sz w:val="24"/>
                <w:szCs w:val="24"/>
                <w:lang w:val="da-DK"/>
              </w:rPr>
              <w:t>Forebyggelse af VTE hos voksne</w:t>
            </w:r>
          </w:p>
          <w:p w14:paraId="30103385" w14:textId="77777777" w:rsidR="009D21A2" w:rsidRPr="00AD7BA1" w:rsidRDefault="009D21A2" w:rsidP="009D21A2">
            <w:pPr>
              <w:pStyle w:val="TableParagraph"/>
              <w:spacing w:before="4" w:line="252" w:lineRule="exact"/>
              <w:ind w:right="373"/>
              <w:rPr>
                <w:rFonts w:ascii="Times New Roman" w:hAnsi="Times New Roman" w:cs="Times New Roman"/>
                <w:sz w:val="24"/>
                <w:szCs w:val="24"/>
                <w:lang w:val="da-DK"/>
              </w:rPr>
            </w:pPr>
            <w:r w:rsidRPr="00AD7BA1">
              <w:rPr>
                <w:rFonts w:ascii="Times New Roman" w:hAnsi="Times New Roman" w:cs="Times New Roman"/>
                <w:sz w:val="24"/>
                <w:szCs w:val="24"/>
                <w:lang w:val="da-DK"/>
              </w:rPr>
              <w:t>patienter, der gennemgår planlagt hofteleds- eller knæledsalloplastik</w:t>
            </w:r>
          </w:p>
        </w:tc>
        <w:tc>
          <w:tcPr>
            <w:tcW w:w="1297" w:type="pct"/>
          </w:tcPr>
          <w:p w14:paraId="78954EC7" w14:textId="77777777" w:rsidR="009D21A2" w:rsidRPr="00AD7BA1" w:rsidRDefault="009D21A2" w:rsidP="009D21A2">
            <w:pPr>
              <w:pStyle w:val="TableParagraph"/>
              <w:ind w:left="140" w:right="837"/>
              <w:rPr>
                <w:rFonts w:ascii="Times New Roman" w:hAnsi="Times New Roman" w:cs="Times New Roman"/>
                <w:sz w:val="24"/>
                <w:szCs w:val="24"/>
                <w:lang w:val="da-DK"/>
              </w:rPr>
            </w:pPr>
            <w:r w:rsidRPr="00AD7BA1">
              <w:rPr>
                <w:rFonts w:ascii="Times New Roman" w:hAnsi="Times New Roman" w:cs="Times New Roman"/>
                <w:sz w:val="24"/>
                <w:szCs w:val="24"/>
                <w:lang w:val="da-DK"/>
              </w:rPr>
              <w:t>6,8 % af patienterne</w:t>
            </w:r>
          </w:p>
        </w:tc>
        <w:tc>
          <w:tcPr>
            <w:tcW w:w="1388" w:type="pct"/>
          </w:tcPr>
          <w:p w14:paraId="12FC23DA"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5,9 % af patienterne</w:t>
            </w:r>
          </w:p>
        </w:tc>
      </w:tr>
      <w:tr w:rsidR="009D21A2" w:rsidRPr="00AD7BA1" w14:paraId="1EB4E5FB" w14:textId="77777777" w:rsidTr="00BB5D0F">
        <w:trPr>
          <w:trHeight w:val="503"/>
        </w:trPr>
        <w:tc>
          <w:tcPr>
            <w:tcW w:w="2315" w:type="pct"/>
          </w:tcPr>
          <w:p w14:paraId="646C563D" w14:textId="77777777" w:rsidR="009D21A2" w:rsidRPr="00AD7BA1" w:rsidRDefault="009D21A2" w:rsidP="009D21A2">
            <w:pPr>
              <w:pStyle w:val="TableParagraph"/>
              <w:spacing w:before="2" w:line="252" w:lineRule="exact"/>
              <w:ind w:right="160"/>
              <w:rPr>
                <w:rFonts w:ascii="Times New Roman" w:hAnsi="Times New Roman" w:cs="Times New Roman"/>
                <w:sz w:val="24"/>
                <w:szCs w:val="24"/>
                <w:lang w:val="da-DK"/>
              </w:rPr>
            </w:pPr>
            <w:r w:rsidRPr="00AD7BA1">
              <w:rPr>
                <w:rFonts w:ascii="Times New Roman" w:hAnsi="Times New Roman" w:cs="Times New Roman"/>
                <w:sz w:val="24"/>
                <w:szCs w:val="24"/>
                <w:lang w:val="da-DK"/>
              </w:rPr>
              <w:t>Forebyggelse af VTE hos medicinsk syge patienter</w:t>
            </w:r>
          </w:p>
        </w:tc>
        <w:tc>
          <w:tcPr>
            <w:tcW w:w="1297" w:type="pct"/>
          </w:tcPr>
          <w:p w14:paraId="2B353B67" w14:textId="77777777" w:rsidR="009D21A2" w:rsidRPr="00AD7BA1" w:rsidRDefault="009D21A2" w:rsidP="009D21A2">
            <w:pPr>
              <w:pStyle w:val="TableParagraph"/>
              <w:spacing w:line="251"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12,6 % af</w:t>
            </w:r>
          </w:p>
          <w:p w14:paraId="34349EB5" w14:textId="77777777" w:rsidR="009D21A2" w:rsidRPr="00AD7BA1" w:rsidRDefault="009D21A2" w:rsidP="009D21A2">
            <w:pPr>
              <w:pStyle w:val="TableParagraph"/>
              <w:spacing w:line="233"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patienterne</w:t>
            </w:r>
          </w:p>
        </w:tc>
        <w:tc>
          <w:tcPr>
            <w:tcW w:w="1388" w:type="pct"/>
          </w:tcPr>
          <w:p w14:paraId="61B959BF" w14:textId="77777777" w:rsidR="009D21A2" w:rsidRPr="00AD7BA1" w:rsidRDefault="009D21A2" w:rsidP="009D21A2">
            <w:pPr>
              <w:pStyle w:val="TableParagraph"/>
              <w:spacing w:line="251"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2,1 % af patienterne</w:t>
            </w:r>
          </w:p>
        </w:tc>
      </w:tr>
      <w:tr w:rsidR="009D21A2" w:rsidRPr="00AD7BA1" w14:paraId="1E4131FD" w14:textId="77777777" w:rsidTr="00BB5D0F">
        <w:trPr>
          <w:trHeight w:val="1515"/>
        </w:trPr>
        <w:tc>
          <w:tcPr>
            <w:tcW w:w="2315" w:type="pct"/>
          </w:tcPr>
          <w:p w14:paraId="1CE78FC0" w14:textId="77777777" w:rsidR="009D21A2" w:rsidRPr="00AD7BA1" w:rsidRDefault="009D21A2" w:rsidP="009D21A2">
            <w:pPr>
              <w:pStyle w:val="TableParagraph"/>
              <w:spacing w:line="254" w:lineRule="exact"/>
              <w:ind w:right="184"/>
              <w:rPr>
                <w:rFonts w:ascii="Times New Roman" w:hAnsi="Times New Roman" w:cs="Times New Roman"/>
                <w:sz w:val="24"/>
                <w:szCs w:val="24"/>
                <w:lang w:val="da-DK"/>
              </w:rPr>
            </w:pPr>
            <w:r w:rsidRPr="00AD7BA1">
              <w:rPr>
                <w:rFonts w:ascii="Times New Roman" w:hAnsi="Times New Roman" w:cs="Times New Roman"/>
                <w:sz w:val="24"/>
                <w:szCs w:val="24"/>
                <w:lang w:val="da-DK"/>
              </w:rPr>
              <w:t>Behandling af VTE og forebyggelse af recidiverende VTE hos spædbørn født til terminen og børn i alderen under 18 år, efter standard antikoagulerende behandling blev påbegyndt</w:t>
            </w:r>
          </w:p>
        </w:tc>
        <w:tc>
          <w:tcPr>
            <w:tcW w:w="1297" w:type="pct"/>
          </w:tcPr>
          <w:p w14:paraId="7A8269C0" w14:textId="77777777" w:rsidR="009D21A2" w:rsidRPr="00AD7BA1" w:rsidRDefault="009D21A2" w:rsidP="009D21A2">
            <w:pPr>
              <w:pStyle w:val="TableParagraph"/>
              <w:spacing w:line="250"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39,5 % af</w:t>
            </w:r>
          </w:p>
          <w:p w14:paraId="781FE302" w14:textId="77777777" w:rsidR="009D21A2" w:rsidRPr="00AD7BA1" w:rsidRDefault="009D21A2" w:rsidP="009D21A2">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patienterne</w:t>
            </w:r>
          </w:p>
        </w:tc>
        <w:tc>
          <w:tcPr>
            <w:tcW w:w="1388" w:type="pct"/>
          </w:tcPr>
          <w:p w14:paraId="7A54B218" w14:textId="77777777" w:rsidR="009D21A2" w:rsidRPr="00AD7BA1" w:rsidRDefault="009D21A2" w:rsidP="009D21A2">
            <w:pPr>
              <w:pStyle w:val="TableParagraph"/>
              <w:spacing w:line="250"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4,6 % af patienterne</w:t>
            </w:r>
          </w:p>
        </w:tc>
      </w:tr>
      <w:tr w:rsidR="009D21A2" w:rsidRPr="00AD7BA1" w14:paraId="51B0DFDF" w14:textId="77777777" w:rsidTr="00BB5D0F">
        <w:trPr>
          <w:trHeight w:val="749"/>
        </w:trPr>
        <w:tc>
          <w:tcPr>
            <w:tcW w:w="2315" w:type="pct"/>
          </w:tcPr>
          <w:p w14:paraId="462786B5" w14:textId="77777777" w:rsidR="009D21A2" w:rsidRPr="00AD7BA1" w:rsidRDefault="009D21A2" w:rsidP="009D21A2">
            <w:pPr>
              <w:pStyle w:val="TableParagraph"/>
              <w:spacing w:line="245" w:lineRule="exact"/>
              <w:rPr>
                <w:rFonts w:ascii="Times New Roman" w:hAnsi="Times New Roman" w:cs="Times New Roman"/>
                <w:sz w:val="24"/>
                <w:szCs w:val="24"/>
                <w:lang w:val="da-DK"/>
              </w:rPr>
            </w:pPr>
            <w:r w:rsidRPr="00AD7BA1">
              <w:rPr>
                <w:rFonts w:ascii="Times New Roman" w:hAnsi="Times New Roman" w:cs="Times New Roman"/>
                <w:sz w:val="24"/>
                <w:szCs w:val="24"/>
                <w:lang w:val="da-DK"/>
              </w:rPr>
              <w:t>Behandling af dyb venetrombose</w:t>
            </w:r>
          </w:p>
          <w:p w14:paraId="7567B8C0" w14:textId="77777777" w:rsidR="009D21A2" w:rsidRPr="00AD7BA1" w:rsidRDefault="009D21A2" w:rsidP="009D21A2">
            <w:pPr>
              <w:pStyle w:val="TableParagraph"/>
              <w:spacing w:before="4" w:line="252" w:lineRule="exact"/>
              <w:ind w:right="716"/>
              <w:rPr>
                <w:rFonts w:ascii="Times New Roman" w:hAnsi="Times New Roman" w:cs="Times New Roman"/>
                <w:sz w:val="24"/>
                <w:szCs w:val="24"/>
                <w:lang w:val="da-DK"/>
              </w:rPr>
            </w:pPr>
            <w:r w:rsidRPr="00AD7BA1">
              <w:rPr>
                <w:rFonts w:ascii="Times New Roman" w:hAnsi="Times New Roman" w:cs="Times New Roman"/>
                <w:sz w:val="24"/>
                <w:szCs w:val="24"/>
                <w:lang w:val="da-DK"/>
              </w:rPr>
              <w:t>(DVT), PE og forebyggelse af recidiv</w:t>
            </w:r>
          </w:p>
        </w:tc>
        <w:tc>
          <w:tcPr>
            <w:tcW w:w="1297" w:type="pct"/>
          </w:tcPr>
          <w:p w14:paraId="27278647" w14:textId="77777777" w:rsidR="009D21A2" w:rsidRPr="00AD7BA1" w:rsidRDefault="009D21A2" w:rsidP="009D21A2">
            <w:pPr>
              <w:pStyle w:val="TableParagraph"/>
              <w:spacing w:line="245"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23 % af patienterne</w:t>
            </w:r>
          </w:p>
        </w:tc>
        <w:tc>
          <w:tcPr>
            <w:tcW w:w="1388" w:type="pct"/>
          </w:tcPr>
          <w:p w14:paraId="32571441" w14:textId="77777777" w:rsidR="009D21A2" w:rsidRPr="00AD7BA1" w:rsidRDefault="009D21A2" w:rsidP="009D21A2">
            <w:pPr>
              <w:pStyle w:val="TableParagraph"/>
              <w:spacing w:line="245"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1,6 % af patienterne</w:t>
            </w:r>
          </w:p>
        </w:tc>
      </w:tr>
      <w:tr w:rsidR="009D21A2" w:rsidRPr="00AD7BA1" w14:paraId="2BAC9ABF" w14:textId="77777777" w:rsidTr="00BB5D0F">
        <w:trPr>
          <w:trHeight w:val="756"/>
        </w:trPr>
        <w:tc>
          <w:tcPr>
            <w:tcW w:w="2315" w:type="pct"/>
          </w:tcPr>
          <w:p w14:paraId="09895B30" w14:textId="77777777" w:rsidR="009D21A2" w:rsidRPr="00AD7BA1" w:rsidRDefault="009D21A2" w:rsidP="009D21A2">
            <w:pPr>
              <w:pStyle w:val="TableParagraph"/>
              <w:spacing w:line="254" w:lineRule="exact"/>
              <w:ind w:right="239"/>
              <w:rPr>
                <w:rFonts w:ascii="Times New Roman" w:hAnsi="Times New Roman" w:cs="Times New Roman"/>
                <w:sz w:val="24"/>
                <w:szCs w:val="24"/>
                <w:lang w:val="da-DK"/>
              </w:rPr>
            </w:pPr>
            <w:r w:rsidRPr="00AD7BA1">
              <w:rPr>
                <w:rFonts w:ascii="Times New Roman" w:hAnsi="Times New Roman" w:cs="Times New Roman"/>
                <w:sz w:val="24"/>
                <w:szCs w:val="24"/>
                <w:lang w:val="da-DK"/>
              </w:rPr>
              <w:t>Forebyggelse af apopleksi og systemisk emboli hos patienter med ikke-valvulær atrieflimren</w:t>
            </w:r>
          </w:p>
        </w:tc>
        <w:tc>
          <w:tcPr>
            <w:tcW w:w="1297" w:type="pct"/>
          </w:tcPr>
          <w:p w14:paraId="757BE680" w14:textId="77777777" w:rsidR="009D21A2" w:rsidRPr="00AD7BA1" w:rsidRDefault="009D21A2" w:rsidP="009D21A2">
            <w:pPr>
              <w:pStyle w:val="TableParagraph"/>
              <w:spacing w:line="250"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28 per</w:t>
            </w:r>
          </w:p>
          <w:p w14:paraId="2D46A0D5" w14:textId="77777777" w:rsidR="009D21A2" w:rsidRPr="00AD7BA1" w:rsidRDefault="009D21A2" w:rsidP="009D21A2">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100 patientår</w:t>
            </w:r>
          </w:p>
        </w:tc>
        <w:tc>
          <w:tcPr>
            <w:tcW w:w="1388" w:type="pct"/>
          </w:tcPr>
          <w:p w14:paraId="0994C740" w14:textId="77777777" w:rsidR="009D21A2" w:rsidRPr="00AD7BA1" w:rsidRDefault="009D21A2" w:rsidP="009D21A2">
            <w:pPr>
              <w:pStyle w:val="TableParagraph"/>
              <w:spacing w:line="250"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2,5 per 100 patientår</w:t>
            </w:r>
          </w:p>
        </w:tc>
      </w:tr>
      <w:tr w:rsidR="009D21A2" w:rsidRPr="00AD7BA1" w14:paraId="616528C2" w14:textId="77777777" w:rsidTr="00BB5D0F">
        <w:trPr>
          <w:trHeight w:val="754"/>
        </w:trPr>
        <w:tc>
          <w:tcPr>
            <w:tcW w:w="2315" w:type="pct"/>
          </w:tcPr>
          <w:p w14:paraId="17B96995" w14:textId="77777777" w:rsidR="009D21A2" w:rsidRPr="00AD7BA1" w:rsidRDefault="009D21A2" w:rsidP="009D21A2">
            <w:pPr>
              <w:pStyle w:val="TableParagraph"/>
              <w:ind w:right="405"/>
              <w:rPr>
                <w:rFonts w:ascii="Times New Roman" w:hAnsi="Times New Roman" w:cs="Times New Roman"/>
                <w:sz w:val="24"/>
                <w:szCs w:val="24"/>
                <w:lang w:val="da-DK"/>
              </w:rPr>
            </w:pPr>
            <w:r w:rsidRPr="00AD7BA1">
              <w:rPr>
                <w:rFonts w:ascii="Times New Roman" w:hAnsi="Times New Roman" w:cs="Times New Roman"/>
                <w:sz w:val="24"/>
                <w:szCs w:val="24"/>
                <w:lang w:val="da-DK"/>
              </w:rPr>
              <w:t>Forebyggelse af aterotrombotiske hændelser hos patienter efter akut</w:t>
            </w:r>
          </w:p>
          <w:p w14:paraId="3F142496" w14:textId="77777777" w:rsidR="009D21A2" w:rsidRPr="00AD7BA1" w:rsidRDefault="009D21A2" w:rsidP="009D21A2">
            <w:pPr>
              <w:pStyle w:val="TableParagraph"/>
              <w:spacing w:line="233" w:lineRule="exact"/>
              <w:rPr>
                <w:rFonts w:ascii="Times New Roman" w:hAnsi="Times New Roman" w:cs="Times New Roman"/>
                <w:sz w:val="24"/>
                <w:szCs w:val="24"/>
                <w:lang w:val="da-DK"/>
              </w:rPr>
            </w:pPr>
            <w:r w:rsidRPr="00AD7BA1">
              <w:rPr>
                <w:rFonts w:ascii="Times New Roman" w:hAnsi="Times New Roman" w:cs="Times New Roman"/>
                <w:sz w:val="24"/>
                <w:szCs w:val="24"/>
                <w:lang w:val="da-DK"/>
              </w:rPr>
              <w:t xml:space="preserve">koronarsyndrom </w:t>
            </w:r>
            <w:r w:rsidRPr="00AD7BA1">
              <w:rPr>
                <w:rFonts w:ascii="Times New Roman" w:hAnsi="Times New Roman" w:cs="Times New Roman"/>
                <w:i/>
                <w:sz w:val="24"/>
                <w:szCs w:val="24"/>
                <w:lang w:val="da-DK"/>
              </w:rPr>
              <w:t>(</w:t>
            </w:r>
            <w:r w:rsidRPr="00AD7BA1">
              <w:rPr>
                <w:rFonts w:ascii="Times New Roman" w:hAnsi="Times New Roman" w:cs="Times New Roman"/>
                <w:sz w:val="24"/>
                <w:szCs w:val="24"/>
                <w:lang w:val="da-DK"/>
              </w:rPr>
              <w:t>AKS)</w:t>
            </w:r>
          </w:p>
        </w:tc>
        <w:tc>
          <w:tcPr>
            <w:tcW w:w="1297" w:type="pct"/>
          </w:tcPr>
          <w:p w14:paraId="02CC75D3" w14:textId="77777777" w:rsidR="009D21A2" w:rsidRPr="00AD7BA1" w:rsidRDefault="009D21A2" w:rsidP="009D21A2">
            <w:pPr>
              <w:pStyle w:val="TableParagraph"/>
              <w:spacing w:line="247"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22 per</w:t>
            </w:r>
          </w:p>
          <w:p w14:paraId="78D0BF45" w14:textId="77777777" w:rsidR="009D21A2" w:rsidRPr="00AD7BA1" w:rsidRDefault="009D21A2" w:rsidP="009D21A2">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100 patientår</w:t>
            </w:r>
          </w:p>
        </w:tc>
        <w:tc>
          <w:tcPr>
            <w:tcW w:w="1388" w:type="pct"/>
          </w:tcPr>
          <w:p w14:paraId="7B46ACEE" w14:textId="77777777" w:rsidR="009D21A2" w:rsidRPr="00AD7BA1" w:rsidRDefault="009D21A2" w:rsidP="009D21A2">
            <w:pPr>
              <w:pStyle w:val="TableParagraph"/>
              <w:spacing w:line="247"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1,4 per 100 patientår</w:t>
            </w:r>
          </w:p>
        </w:tc>
      </w:tr>
      <w:tr w:rsidR="009D21A2" w:rsidRPr="00AD7BA1" w14:paraId="46926860" w14:textId="77777777" w:rsidTr="00BB5D0F">
        <w:trPr>
          <w:trHeight w:val="506"/>
        </w:trPr>
        <w:tc>
          <w:tcPr>
            <w:tcW w:w="2315" w:type="pct"/>
            <w:vMerge w:val="restart"/>
          </w:tcPr>
          <w:p w14:paraId="00D995E3" w14:textId="77777777" w:rsidR="009D21A2" w:rsidRPr="00AD7BA1" w:rsidRDefault="009D21A2" w:rsidP="009D21A2">
            <w:pPr>
              <w:pStyle w:val="TableParagraph"/>
              <w:ind w:right="417"/>
              <w:rPr>
                <w:rFonts w:ascii="Times New Roman" w:hAnsi="Times New Roman" w:cs="Times New Roman"/>
                <w:sz w:val="24"/>
                <w:szCs w:val="24"/>
                <w:lang w:val="da-DK"/>
              </w:rPr>
            </w:pPr>
            <w:r w:rsidRPr="00AD7BA1">
              <w:rPr>
                <w:rFonts w:ascii="Times New Roman" w:hAnsi="Times New Roman" w:cs="Times New Roman"/>
                <w:sz w:val="24"/>
                <w:szCs w:val="24"/>
                <w:lang w:val="da-DK"/>
              </w:rPr>
              <w:t>Forebyggelse af aterotrombotiske hændelser hos patienter med koronararteriesygdom</w:t>
            </w:r>
            <w:r w:rsidRPr="00AD7BA1">
              <w:rPr>
                <w:rFonts w:ascii="Times New Roman" w:hAnsi="Times New Roman" w:cs="Times New Roman"/>
                <w:spacing w:val="-3"/>
                <w:sz w:val="24"/>
                <w:szCs w:val="24"/>
                <w:lang w:val="da-DK"/>
              </w:rPr>
              <w:t xml:space="preserve"> </w:t>
            </w:r>
            <w:r w:rsidRPr="00AD7BA1">
              <w:rPr>
                <w:rFonts w:ascii="Times New Roman" w:hAnsi="Times New Roman" w:cs="Times New Roman"/>
                <w:sz w:val="24"/>
                <w:szCs w:val="24"/>
                <w:lang w:val="da-DK"/>
              </w:rPr>
              <w:t>(CAD)</w:t>
            </w:r>
          </w:p>
          <w:p w14:paraId="3657DF29" w14:textId="77777777" w:rsidR="009D21A2" w:rsidRPr="00AD7BA1" w:rsidRDefault="009D21A2" w:rsidP="009D21A2">
            <w:pPr>
              <w:pStyle w:val="TableParagraph"/>
              <w:spacing w:line="243" w:lineRule="exact"/>
              <w:rPr>
                <w:rFonts w:ascii="Times New Roman" w:hAnsi="Times New Roman" w:cs="Times New Roman"/>
                <w:sz w:val="24"/>
                <w:szCs w:val="24"/>
                <w:lang w:val="da-DK"/>
              </w:rPr>
            </w:pPr>
            <w:r w:rsidRPr="00AD7BA1">
              <w:rPr>
                <w:rFonts w:ascii="Times New Roman" w:hAnsi="Times New Roman" w:cs="Times New Roman"/>
                <w:sz w:val="24"/>
                <w:szCs w:val="24"/>
                <w:lang w:val="da-DK"/>
              </w:rPr>
              <w:t>/perifer arteriesygdom</w:t>
            </w:r>
            <w:r w:rsidRPr="00AD7BA1">
              <w:rPr>
                <w:rFonts w:ascii="Times New Roman" w:hAnsi="Times New Roman" w:cs="Times New Roman"/>
                <w:spacing w:val="-14"/>
                <w:sz w:val="24"/>
                <w:szCs w:val="24"/>
                <w:lang w:val="da-DK"/>
              </w:rPr>
              <w:t xml:space="preserve"> </w:t>
            </w:r>
            <w:r w:rsidRPr="00AD7BA1">
              <w:rPr>
                <w:rFonts w:ascii="Times New Roman" w:hAnsi="Times New Roman" w:cs="Times New Roman"/>
                <w:sz w:val="24"/>
                <w:szCs w:val="24"/>
                <w:lang w:val="da-DK"/>
              </w:rPr>
              <w:t>(PAD)</w:t>
            </w:r>
          </w:p>
        </w:tc>
        <w:tc>
          <w:tcPr>
            <w:tcW w:w="1297" w:type="pct"/>
          </w:tcPr>
          <w:p w14:paraId="6418FC7D" w14:textId="77777777" w:rsidR="009D21A2" w:rsidRPr="00AD7BA1" w:rsidRDefault="009D21A2" w:rsidP="009D21A2">
            <w:pPr>
              <w:pStyle w:val="TableParagraph"/>
              <w:spacing w:line="253"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6,7 per</w:t>
            </w:r>
          </w:p>
          <w:p w14:paraId="2D9B2F7D" w14:textId="77777777" w:rsidR="009D21A2" w:rsidRPr="00AD7BA1" w:rsidRDefault="009D21A2" w:rsidP="009D21A2">
            <w:pPr>
              <w:pStyle w:val="TableParagraph"/>
              <w:spacing w:line="233"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100 patientår</w:t>
            </w:r>
          </w:p>
        </w:tc>
        <w:tc>
          <w:tcPr>
            <w:tcW w:w="1388" w:type="pct"/>
          </w:tcPr>
          <w:p w14:paraId="35798D5A"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0,15 per</w:t>
            </w:r>
          </w:p>
          <w:p w14:paraId="13307F5A" w14:textId="77777777" w:rsidR="009D21A2" w:rsidRPr="00AD7BA1" w:rsidRDefault="009D21A2" w:rsidP="009D21A2">
            <w:pPr>
              <w:pStyle w:val="TableParagraph"/>
              <w:spacing w:line="23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100 patientår**</w:t>
            </w:r>
          </w:p>
        </w:tc>
      </w:tr>
      <w:tr w:rsidR="009D21A2" w:rsidRPr="00AD7BA1" w14:paraId="497D5341" w14:textId="77777777" w:rsidTr="00BB5D0F">
        <w:trPr>
          <w:trHeight w:val="506"/>
        </w:trPr>
        <w:tc>
          <w:tcPr>
            <w:tcW w:w="2315" w:type="pct"/>
            <w:vMerge/>
            <w:tcBorders>
              <w:top w:val="nil"/>
            </w:tcBorders>
          </w:tcPr>
          <w:p w14:paraId="79BB0C0E" w14:textId="77777777" w:rsidR="009D21A2" w:rsidRPr="00AD7BA1" w:rsidRDefault="009D21A2" w:rsidP="009D21A2">
            <w:pPr>
              <w:rPr>
                <w:rFonts w:ascii="Times New Roman" w:hAnsi="Times New Roman" w:cs="Times New Roman"/>
                <w:sz w:val="24"/>
                <w:szCs w:val="24"/>
                <w:lang w:val="da-DK"/>
              </w:rPr>
            </w:pPr>
          </w:p>
        </w:tc>
        <w:tc>
          <w:tcPr>
            <w:tcW w:w="1297" w:type="pct"/>
          </w:tcPr>
          <w:p w14:paraId="17CA657B" w14:textId="77777777" w:rsidR="009D21A2" w:rsidRPr="00AD7BA1" w:rsidRDefault="009D21A2" w:rsidP="009D21A2">
            <w:pPr>
              <w:pStyle w:val="TableParagraph"/>
              <w:spacing w:line="253"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8,38 per</w:t>
            </w:r>
          </w:p>
          <w:p w14:paraId="4AA3E4D8" w14:textId="77777777" w:rsidR="009D21A2" w:rsidRPr="00AD7BA1" w:rsidRDefault="009D21A2" w:rsidP="009D21A2">
            <w:pPr>
              <w:pStyle w:val="TableParagraph"/>
              <w:spacing w:line="233" w:lineRule="exact"/>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 xml:space="preserve">100 patientår </w:t>
            </w:r>
            <w:r w:rsidRPr="00AD7BA1">
              <w:rPr>
                <w:rFonts w:ascii="Times New Roman" w:hAnsi="Times New Roman" w:cs="Times New Roman"/>
                <w:sz w:val="24"/>
                <w:szCs w:val="24"/>
                <w:vertAlign w:val="superscript"/>
                <w:lang w:val="da-DK"/>
              </w:rPr>
              <w:t>#</w:t>
            </w:r>
          </w:p>
        </w:tc>
        <w:tc>
          <w:tcPr>
            <w:tcW w:w="1388" w:type="pct"/>
          </w:tcPr>
          <w:p w14:paraId="0C8EFF0D" w14:textId="77777777" w:rsidR="009D21A2" w:rsidRPr="00AD7BA1" w:rsidRDefault="009D21A2" w:rsidP="009D21A2">
            <w:pPr>
              <w:pStyle w:val="TableParagraph"/>
              <w:spacing w:line="25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0,74 per</w:t>
            </w:r>
          </w:p>
          <w:p w14:paraId="64DB3B43" w14:textId="77777777" w:rsidR="009D21A2" w:rsidRPr="00AD7BA1" w:rsidRDefault="009D21A2" w:rsidP="009D21A2">
            <w:pPr>
              <w:pStyle w:val="TableParagraph"/>
              <w:spacing w:line="233" w:lineRule="exact"/>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 xml:space="preserve">100 patientår *** </w:t>
            </w:r>
            <w:r w:rsidRPr="00AD7BA1">
              <w:rPr>
                <w:rFonts w:ascii="Times New Roman" w:hAnsi="Times New Roman" w:cs="Times New Roman"/>
                <w:sz w:val="24"/>
                <w:szCs w:val="24"/>
                <w:vertAlign w:val="superscript"/>
                <w:lang w:val="da-DK"/>
              </w:rPr>
              <w:t>#</w:t>
            </w:r>
          </w:p>
        </w:tc>
      </w:tr>
    </w:tbl>
    <w:p w14:paraId="67EFBD40" w14:textId="77777777" w:rsidR="009D21A2" w:rsidRPr="00AD7BA1" w:rsidRDefault="009D21A2" w:rsidP="00384A09">
      <w:pPr>
        <w:ind w:left="426" w:hanging="426"/>
        <w:rPr>
          <w:sz w:val="24"/>
          <w:szCs w:val="24"/>
        </w:rPr>
      </w:pPr>
      <w:r w:rsidRPr="00AD7BA1">
        <w:rPr>
          <w:sz w:val="24"/>
          <w:szCs w:val="24"/>
        </w:rPr>
        <w:t>*</w:t>
      </w:r>
      <w:r w:rsidRPr="00AD7BA1">
        <w:rPr>
          <w:sz w:val="24"/>
          <w:szCs w:val="24"/>
        </w:rPr>
        <w:tab/>
        <w:t>For alle rivaroxabanstudierne blev alle blødningshændelser indsamlet, rapporteret og bedømt.</w:t>
      </w:r>
    </w:p>
    <w:p w14:paraId="733C3BE1" w14:textId="77777777" w:rsidR="009D21A2" w:rsidRPr="00AD7BA1" w:rsidRDefault="009D21A2" w:rsidP="00384A09">
      <w:pPr>
        <w:ind w:left="426" w:hanging="426"/>
        <w:rPr>
          <w:sz w:val="24"/>
          <w:szCs w:val="24"/>
        </w:rPr>
      </w:pPr>
      <w:r w:rsidRPr="00AD7BA1">
        <w:rPr>
          <w:sz w:val="24"/>
          <w:szCs w:val="24"/>
        </w:rPr>
        <w:t>**</w:t>
      </w:r>
      <w:r w:rsidRPr="00AD7BA1">
        <w:rPr>
          <w:sz w:val="24"/>
          <w:szCs w:val="24"/>
        </w:rPr>
        <w:tab/>
        <w:t>I COMPASS-studiet er der en lav forekomst af anæmi, da der blev benyttet en selektiv metode for indsamlingen af uønskede hændelser</w:t>
      </w:r>
    </w:p>
    <w:p w14:paraId="36A0D354" w14:textId="77777777" w:rsidR="00384A09" w:rsidRPr="00AD7BA1" w:rsidRDefault="009D21A2" w:rsidP="00384A09">
      <w:pPr>
        <w:ind w:left="426" w:hanging="426"/>
        <w:rPr>
          <w:sz w:val="24"/>
          <w:szCs w:val="24"/>
        </w:rPr>
      </w:pPr>
      <w:r w:rsidRPr="00AD7BA1">
        <w:rPr>
          <w:sz w:val="24"/>
          <w:szCs w:val="24"/>
        </w:rPr>
        <w:t>***</w:t>
      </w:r>
      <w:r w:rsidRPr="00AD7BA1">
        <w:rPr>
          <w:sz w:val="24"/>
          <w:szCs w:val="24"/>
        </w:rPr>
        <w:tab/>
        <w:t xml:space="preserve">En selektiv indfaldsvinkel til indsamling af bivirkninger blev anvendt </w:t>
      </w:r>
    </w:p>
    <w:p w14:paraId="68D21BB3" w14:textId="044DFCF9" w:rsidR="009D21A2" w:rsidRPr="00AD7BA1" w:rsidRDefault="009D21A2" w:rsidP="00384A09">
      <w:pPr>
        <w:ind w:left="426" w:hanging="426"/>
        <w:rPr>
          <w:sz w:val="24"/>
          <w:szCs w:val="24"/>
        </w:rPr>
      </w:pPr>
      <w:r w:rsidRPr="00AD7BA1">
        <w:rPr>
          <w:sz w:val="24"/>
          <w:szCs w:val="24"/>
        </w:rPr>
        <w:t>#</w:t>
      </w:r>
      <w:r w:rsidRPr="00AD7BA1">
        <w:rPr>
          <w:sz w:val="24"/>
          <w:szCs w:val="24"/>
        </w:rPr>
        <w:tab/>
        <w:t>Fra VOYAGER PAD-studiet</w:t>
      </w:r>
    </w:p>
    <w:p w14:paraId="5F7D90B2" w14:textId="77777777" w:rsidR="009D21A2" w:rsidRPr="00AD7BA1" w:rsidRDefault="009D21A2" w:rsidP="00BB5D0F">
      <w:pPr>
        <w:rPr>
          <w:sz w:val="24"/>
          <w:szCs w:val="24"/>
        </w:rPr>
      </w:pPr>
    </w:p>
    <w:p w14:paraId="6F24E15D" w14:textId="77777777" w:rsidR="009D21A2" w:rsidRPr="00AD7BA1" w:rsidRDefault="009D21A2" w:rsidP="00BB5D0F">
      <w:pPr>
        <w:ind w:left="709"/>
        <w:rPr>
          <w:sz w:val="24"/>
          <w:szCs w:val="24"/>
          <w:u w:val="single"/>
        </w:rPr>
      </w:pPr>
      <w:r w:rsidRPr="00AD7BA1">
        <w:rPr>
          <w:sz w:val="24"/>
          <w:szCs w:val="24"/>
          <w:u w:val="single"/>
        </w:rPr>
        <w:t>Oversigt over bivirkninger i tabelform</w:t>
      </w:r>
    </w:p>
    <w:p w14:paraId="74E6B1C8" w14:textId="005CD1D7" w:rsidR="009D21A2" w:rsidRPr="00AD7BA1" w:rsidRDefault="009D21A2" w:rsidP="00BB5D0F">
      <w:pPr>
        <w:ind w:left="709"/>
        <w:rPr>
          <w:sz w:val="24"/>
          <w:szCs w:val="24"/>
        </w:rPr>
      </w:pPr>
      <w:r w:rsidRPr="00AD7BA1">
        <w:rPr>
          <w:sz w:val="24"/>
          <w:szCs w:val="24"/>
        </w:rPr>
        <w:t xml:space="preserve">Hyppighederne af de bivirkninger, der er indberettet for </w:t>
      </w:r>
      <w:r w:rsidR="00AF6CB0" w:rsidRPr="00AD7BA1">
        <w:rPr>
          <w:sz w:val="24"/>
          <w:szCs w:val="24"/>
        </w:rPr>
        <w:t>Rixacam</w:t>
      </w:r>
      <w:r w:rsidRPr="00AD7BA1">
        <w:rPr>
          <w:sz w:val="24"/>
          <w:szCs w:val="24"/>
        </w:rPr>
        <w:t xml:space="preserve"> hos voksne og pædiatriske patienter, fremgår af tabel 3 nedenfor opdelt efter systemorganklasse (i MedDRA) og hyppighed.</w:t>
      </w:r>
    </w:p>
    <w:p w14:paraId="513F2F61" w14:textId="77777777" w:rsidR="009D21A2" w:rsidRPr="00AD7BA1" w:rsidRDefault="009D21A2" w:rsidP="00BB5D0F">
      <w:pPr>
        <w:ind w:left="709"/>
        <w:rPr>
          <w:sz w:val="24"/>
          <w:szCs w:val="24"/>
        </w:rPr>
      </w:pPr>
    </w:p>
    <w:p w14:paraId="00098178" w14:textId="77777777" w:rsidR="009D21A2" w:rsidRPr="00AD7BA1" w:rsidRDefault="009D21A2" w:rsidP="00BB5D0F">
      <w:pPr>
        <w:ind w:left="709"/>
        <w:rPr>
          <w:sz w:val="24"/>
          <w:szCs w:val="24"/>
        </w:rPr>
      </w:pPr>
      <w:r w:rsidRPr="00AD7BA1">
        <w:rPr>
          <w:sz w:val="24"/>
          <w:szCs w:val="24"/>
        </w:rPr>
        <w:t>Hyppighed defineres som:</w:t>
      </w:r>
    </w:p>
    <w:p w14:paraId="07B89B49" w14:textId="77777777" w:rsidR="009D21A2" w:rsidRPr="00AD7BA1" w:rsidRDefault="009D21A2" w:rsidP="00BB5D0F">
      <w:pPr>
        <w:ind w:left="709"/>
        <w:rPr>
          <w:sz w:val="24"/>
          <w:szCs w:val="24"/>
        </w:rPr>
      </w:pPr>
      <w:r w:rsidRPr="00AD7BA1">
        <w:rPr>
          <w:sz w:val="24"/>
          <w:szCs w:val="24"/>
        </w:rPr>
        <w:t>Meget almindelig (≥ 1/10)</w:t>
      </w:r>
    </w:p>
    <w:p w14:paraId="5029E5F5" w14:textId="77777777" w:rsidR="009D21A2" w:rsidRPr="00AD7BA1" w:rsidRDefault="009D21A2" w:rsidP="00BB5D0F">
      <w:pPr>
        <w:ind w:left="709"/>
        <w:rPr>
          <w:sz w:val="24"/>
          <w:szCs w:val="24"/>
        </w:rPr>
      </w:pPr>
      <w:r w:rsidRPr="00AD7BA1">
        <w:rPr>
          <w:sz w:val="24"/>
          <w:szCs w:val="24"/>
        </w:rPr>
        <w:t>Almindelig (≥ 1/100 til &lt; 1/10)</w:t>
      </w:r>
    </w:p>
    <w:p w14:paraId="2D17BCD1" w14:textId="77777777" w:rsidR="006E2C6D" w:rsidRPr="00AD7BA1" w:rsidRDefault="009D21A2" w:rsidP="00BB5D0F">
      <w:pPr>
        <w:ind w:left="709"/>
        <w:rPr>
          <w:sz w:val="24"/>
          <w:szCs w:val="24"/>
        </w:rPr>
      </w:pPr>
      <w:r w:rsidRPr="00AD7BA1">
        <w:rPr>
          <w:sz w:val="24"/>
          <w:szCs w:val="24"/>
        </w:rPr>
        <w:t xml:space="preserve">Ikke almindelig (≥ 1/1.000 til &lt; 1/100) </w:t>
      </w:r>
    </w:p>
    <w:p w14:paraId="36AAF28B" w14:textId="77777777" w:rsidR="006E2C6D" w:rsidRPr="00AD7BA1" w:rsidRDefault="009D21A2" w:rsidP="00BB5D0F">
      <w:pPr>
        <w:ind w:left="709"/>
        <w:rPr>
          <w:sz w:val="24"/>
          <w:szCs w:val="24"/>
        </w:rPr>
      </w:pPr>
      <w:r w:rsidRPr="00AD7BA1">
        <w:rPr>
          <w:sz w:val="24"/>
          <w:szCs w:val="24"/>
        </w:rPr>
        <w:t xml:space="preserve">Sjælden (≥ 1/10.000 til &lt; 1/1.000) </w:t>
      </w:r>
    </w:p>
    <w:p w14:paraId="7267D677" w14:textId="02B3615E" w:rsidR="009D21A2" w:rsidRPr="00AD7BA1" w:rsidRDefault="009D21A2" w:rsidP="00BB5D0F">
      <w:pPr>
        <w:ind w:left="709"/>
        <w:rPr>
          <w:sz w:val="24"/>
          <w:szCs w:val="24"/>
        </w:rPr>
      </w:pPr>
      <w:r w:rsidRPr="00AD7BA1">
        <w:rPr>
          <w:sz w:val="24"/>
          <w:szCs w:val="24"/>
        </w:rPr>
        <w:t>Meget sjælden (&lt; 1/10.000)</w:t>
      </w:r>
    </w:p>
    <w:p w14:paraId="149B8187" w14:textId="19DD8394" w:rsidR="009D21A2" w:rsidRPr="00AD7BA1" w:rsidRDefault="009D21A2" w:rsidP="00BB5D0F">
      <w:pPr>
        <w:ind w:left="709"/>
        <w:rPr>
          <w:sz w:val="24"/>
          <w:szCs w:val="24"/>
        </w:rPr>
      </w:pPr>
      <w:r w:rsidRPr="00AD7BA1">
        <w:rPr>
          <w:sz w:val="24"/>
          <w:szCs w:val="24"/>
        </w:rPr>
        <w:t>Ikke kendt (kan ikke estimeres ud fra de forhåndenværende data)</w:t>
      </w:r>
    </w:p>
    <w:p w14:paraId="620D86DA" w14:textId="3BFB3AFA" w:rsidR="00BB5D0F" w:rsidRPr="00AD7BA1" w:rsidRDefault="00BB5D0F" w:rsidP="00BB5D0F">
      <w:pPr>
        <w:rPr>
          <w:sz w:val="24"/>
          <w:szCs w:val="24"/>
        </w:rPr>
      </w:pPr>
    </w:p>
    <w:p w14:paraId="02B0ED93" w14:textId="77777777" w:rsidR="00616601" w:rsidRDefault="00616601" w:rsidP="00616601">
      <w:pPr>
        <w:rPr>
          <w:b/>
          <w:sz w:val="24"/>
          <w:szCs w:val="24"/>
        </w:rPr>
      </w:pPr>
      <w:r>
        <w:rPr>
          <w:b/>
          <w:sz w:val="24"/>
          <w:szCs w:val="24"/>
        </w:rPr>
        <w:t>Tabel 3: Alle indberettede bivirkninger hos voksne patienter i kliniske fase III-studier eller efter markedsføring* og i 2 fase II-studier og 2 fase III-studie hos pædiatriske patienter</w:t>
      </w:r>
    </w:p>
    <w:p w14:paraId="2CC4D9E8" w14:textId="77777777" w:rsidR="009D21A2" w:rsidRPr="00AD7BA1" w:rsidRDefault="009D21A2" w:rsidP="006E2C6D">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5"/>
        <w:gridCol w:w="1925"/>
        <w:gridCol w:w="1926"/>
        <w:gridCol w:w="1926"/>
        <w:gridCol w:w="1926"/>
      </w:tblGrid>
      <w:tr w:rsidR="009D21A2" w:rsidRPr="00AD7BA1" w14:paraId="1FFD282F" w14:textId="77777777" w:rsidTr="00BB5D0F">
        <w:trPr>
          <w:trHeight w:val="252"/>
        </w:trPr>
        <w:tc>
          <w:tcPr>
            <w:tcW w:w="1000" w:type="pct"/>
            <w:shd w:val="clear" w:color="auto" w:fill="B3B3B3"/>
          </w:tcPr>
          <w:p w14:paraId="68E04420" w14:textId="4716E47F" w:rsidR="009D21A2" w:rsidRPr="00AD7BA1" w:rsidRDefault="00BB5D0F" w:rsidP="006E2C6D">
            <w:pPr>
              <w:rPr>
                <w:rFonts w:ascii="Times New Roman" w:hAnsi="Times New Roman" w:cs="Times New Roman"/>
                <w:b/>
                <w:sz w:val="24"/>
                <w:szCs w:val="24"/>
                <w:lang w:val="da-DK"/>
              </w:rPr>
            </w:pPr>
            <w:r w:rsidRPr="00AD7BA1">
              <w:rPr>
                <w:rFonts w:ascii="Times New Roman" w:hAnsi="Times New Roman" w:cs="Times New Roman"/>
                <w:b/>
                <w:sz w:val="24"/>
                <w:szCs w:val="24"/>
                <w:lang w:val="da-DK"/>
              </w:rPr>
              <w:t>Almindelig</w:t>
            </w:r>
          </w:p>
        </w:tc>
        <w:tc>
          <w:tcPr>
            <w:tcW w:w="1000" w:type="pct"/>
            <w:shd w:val="clear" w:color="auto" w:fill="B3B3B3"/>
          </w:tcPr>
          <w:p w14:paraId="7EA28020" w14:textId="77777777" w:rsidR="009D21A2" w:rsidRPr="00AD7BA1" w:rsidRDefault="009D21A2" w:rsidP="006E2C6D">
            <w:pPr>
              <w:rPr>
                <w:rFonts w:ascii="Times New Roman" w:hAnsi="Times New Roman" w:cs="Times New Roman"/>
                <w:b/>
                <w:sz w:val="24"/>
                <w:szCs w:val="24"/>
                <w:lang w:val="da-DK"/>
              </w:rPr>
            </w:pPr>
            <w:r w:rsidRPr="00AD7BA1">
              <w:rPr>
                <w:rFonts w:ascii="Times New Roman" w:hAnsi="Times New Roman" w:cs="Times New Roman"/>
                <w:b/>
                <w:sz w:val="24"/>
                <w:szCs w:val="24"/>
                <w:lang w:val="da-DK"/>
              </w:rPr>
              <w:t>Ikke almindelig</w:t>
            </w:r>
          </w:p>
        </w:tc>
        <w:tc>
          <w:tcPr>
            <w:tcW w:w="1000" w:type="pct"/>
            <w:shd w:val="clear" w:color="auto" w:fill="B3B3B3"/>
          </w:tcPr>
          <w:p w14:paraId="3B1A392C" w14:textId="77777777" w:rsidR="009D21A2" w:rsidRPr="00AD7BA1" w:rsidRDefault="009D21A2" w:rsidP="006E2C6D">
            <w:pPr>
              <w:rPr>
                <w:rFonts w:ascii="Times New Roman" w:hAnsi="Times New Roman" w:cs="Times New Roman"/>
                <w:b/>
                <w:sz w:val="24"/>
                <w:szCs w:val="24"/>
                <w:lang w:val="da-DK"/>
              </w:rPr>
            </w:pPr>
            <w:r w:rsidRPr="00AD7BA1">
              <w:rPr>
                <w:rFonts w:ascii="Times New Roman" w:hAnsi="Times New Roman" w:cs="Times New Roman"/>
                <w:b/>
                <w:sz w:val="24"/>
                <w:szCs w:val="24"/>
                <w:lang w:val="da-DK"/>
              </w:rPr>
              <w:t>Sjælden</w:t>
            </w:r>
          </w:p>
        </w:tc>
        <w:tc>
          <w:tcPr>
            <w:tcW w:w="1000" w:type="pct"/>
            <w:shd w:val="clear" w:color="auto" w:fill="B3B3B3"/>
          </w:tcPr>
          <w:p w14:paraId="78101609" w14:textId="77777777" w:rsidR="009D21A2" w:rsidRPr="00AD7BA1" w:rsidRDefault="009D21A2" w:rsidP="006E2C6D">
            <w:pPr>
              <w:rPr>
                <w:rFonts w:ascii="Times New Roman" w:hAnsi="Times New Roman" w:cs="Times New Roman"/>
                <w:b/>
                <w:sz w:val="24"/>
                <w:szCs w:val="24"/>
                <w:lang w:val="da-DK"/>
              </w:rPr>
            </w:pPr>
            <w:r w:rsidRPr="00AD7BA1">
              <w:rPr>
                <w:rFonts w:ascii="Times New Roman" w:hAnsi="Times New Roman" w:cs="Times New Roman"/>
                <w:b/>
                <w:sz w:val="24"/>
                <w:szCs w:val="24"/>
                <w:lang w:val="da-DK"/>
              </w:rPr>
              <w:t>Meget sjælden</w:t>
            </w:r>
          </w:p>
        </w:tc>
        <w:tc>
          <w:tcPr>
            <w:tcW w:w="1000" w:type="pct"/>
            <w:shd w:val="clear" w:color="auto" w:fill="B3B3B3"/>
          </w:tcPr>
          <w:p w14:paraId="1C2A5B4C" w14:textId="77777777" w:rsidR="009D21A2" w:rsidRPr="00AD7BA1" w:rsidRDefault="009D21A2" w:rsidP="006E2C6D">
            <w:pPr>
              <w:rPr>
                <w:rFonts w:ascii="Times New Roman" w:hAnsi="Times New Roman" w:cs="Times New Roman"/>
                <w:b/>
                <w:sz w:val="24"/>
                <w:szCs w:val="24"/>
                <w:lang w:val="da-DK"/>
              </w:rPr>
            </w:pPr>
            <w:r w:rsidRPr="00AD7BA1">
              <w:rPr>
                <w:rFonts w:ascii="Times New Roman" w:hAnsi="Times New Roman" w:cs="Times New Roman"/>
                <w:b/>
                <w:sz w:val="24"/>
                <w:szCs w:val="24"/>
                <w:lang w:val="da-DK"/>
              </w:rPr>
              <w:t>Ikke kendt</w:t>
            </w:r>
          </w:p>
        </w:tc>
      </w:tr>
      <w:tr w:rsidR="009D21A2" w:rsidRPr="00AD7BA1" w14:paraId="40D34716" w14:textId="77777777" w:rsidTr="00BB5D0F">
        <w:trPr>
          <w:trHeight w:val="252"/>
        </w:trPr>
        <w:tc>
          <w:tcPr>
            <w:tcW w:w="5000" w:type="pct"/>
            <w:gridSpan w:val="5"/>
          </w:tcPr>
          <w:p w14:paraId="4DFB680B"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Blod og lymfesystem</w:t>
            </w:r>
          </w:p>
        </w:tc>
      </w:tr>
      <w:tr w:rsidR="009D21A2" w:rsidRPr="00AD7BA1" w14:paraId="674C8808" w14:textId="77777777" w:rsidTr="00BB5D0F">
        <w:trPr>
          <w:trHeight w:val="1012"/>
        </w:trPr>
        <w:tc>
          <w:tcPr>
            <w:tcW w:w="1000" w:type="pct"/>
          </w:tcPr>
          <w:p w14:paraId="045AEFB6" w14:textId="77777777" w:rsidR="009D21A2" w:rsidRPr="00AD7BA1" w:rsidRDefault="009D21A2" w:rsidP="00BB5D0F">
            <w:pPr>
              <w:pStyle w:val="TableParagraph"/>
              <w:ind w:left="63" w:right="179"/>
              <w:rPr>
                <w:rFonts w:ascii="Times New Roman" w:hAnsi="Times New Roman" w:cs="Times New Roman"/>
                <w:sz w:val="24"/>
                <w:szCs w:val="24"/>
                <w:lang w:val="da-DK"/>
              </w:rPr>
            </w:pPr>
            <w:r w:rsidRPr="00AD7BA1">
              <w:rPr>
                <w:rFonts w:ascii="Times New Roman" w:hAnsi="Times New Roman" w:cs="Times New Roman"/>
                <w:sz w:val="24"/>
                <w:szCs w:val="24"/>
                <w:lang w:val="da-DK"/>
              </w:rPr>
              <w:t>Anæmi (herunder respektive laboratorie-</w:t>
            </w:r>
          </w:p>
          <w:p w14:paraId="2FAACEFE"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parametre)</w:t>
            </w:r>
          </w:p>
        </w:tc>
        <w:tc>
          <w:tcPr>
            <w:tcW w:w="1000" w:type="pct"/>
          </w:tcPr>
          <w:p w14:paraId="46D3B0C1" w14:textId="77777777" w:rsidR="009D21A2" w:rsidRPr="00AD7BA1" w:rsidRDefault="009D21A2" w:rsidP="00BB5D0F">
            <w:pPr>
              <w:pStyle w:val="TableParagraph"/>
              <w:ind w:left="63" w:right="364"/>
              <w:rPr>
                <w:rFonts w:ascii="Times New Roman" w:hAnsi="Times New Roman" w:cs="Times New Roman"/>
                <w:sz w:val="24"/>
                <w:szCs w:val="24"/>
                <w:lang w:val="da-DK"/>
              </w:rPr>
            </w:pPr>
            <w:r w:rsidRPr="00AD7BA1">
              <w:rPr>
                <w:rFonts w:ascii="Times New Roman" w:hAnsi="Times New Roman" w:cs="Times New Roman"/>
                <w:sz w:val="24"/>
                <w:szCs w:val="24"/>
                <w:lang w:val="da-DK"/>
              </w:rPr>
              <w:t xml:space="preserve">Trombocytose (inkl. forhøjet </w:t>
            </w:r>
            <w:proofErr w:type="gramStart"/>
            <w:r w:rsidRPr="00AD7BA1">
              <w:rPr>
                <w:rFonts w:ascii="Times New Roman" w:hAnsi="Times New Roman" w:cs="Times New Roman"/>
                <w:sz w:val="24"/>
                <w:szCs w:val="24"/>
                <w:lang w:val="da-DK"/>
              </w:rPr>
              <w:t>trombocyttal)</w:t>
            </w:r>
            <w:r w:rsidRPr="00AD7BA1">
              <w:rPr>
                <w:rFonts w:ascii="Times New Roman" w:hAnsi="Times New Roman" w:cs="Times New Roman"/>
                <w:sz w:val="24"/>
                <w:szCs w:val="24"/>
                <w:vertAlign w:val="superscript"/>
                <w:lang w:val="da-DK"/>
              </w:rPr>
              <w:t>A</w:t>
            </w:r>
            <w:proofErr w:type="gramEnd"/>
            <w:r w:rsidRPr="00AD7BA1">
              <w:rPr>
                <w:rFonts w:ascii="Times New Roman" w:hAnsi="Times New Roman" w:cs="Times New Roman"/>
                <w:sz w:val="24"/>
                <w:szCs w:val="24"/>
                <w:lang w:val="da-DK"/>
              </w:rPr>
              <w:t>,</w:t>
            </w:r>
          </w:p>
          <w:p w14:paraId="4230A4B8"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trombocytopeni</w:t>
            </w:r>
          </w:p>
        </w:tc>
        <w:tc>
          <w:tcPr>
            <w:tcW w:w="1000" w:type="pct"/>
          </w:tcPr>
          <w:p w14:paraId="5F2C010E"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36316A9A"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20D35ABB"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198A698D" w14:textId="77777777" w:rsidTr="00BB5D0F">
        <w:trPr>
          <w:trHeight w:val="252"/>
        </w:trPr>
        <w:tc>
          <w:tcPr>
            <w:tcW w:w="5000" w:type="pct"/>
            <w:gridSpan w:val="5"/>
          </w:tcPr>
          <w:p w14:paraId="7E0B7B69"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Immunsystemet</w:t>
            </w:r>
          </w:p>
        </w:tc>
      </w:tr>
      <w:tr w:rsidR="009D21A2" w:rsidRPr="00AD7BA1" w14:paraId="15CC8B51" w14:textId="77777777" w:rsidTr="00BB5D0F">
        <w:trPr>
          <w:trHeight w:val="1264"/>
        </w:trPr>
        <w:tc>
          <w:tcPr>
            <w:tcW w:w="1000" w:type="pct"/>
          </w:tcPr>
          <w:p w14:paraId="6E000A2E"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12937D40" w14:textId="77777777" w:rsidR="009D21A2" w:rsidRPr="00AD7BA1" w:rsidRDefault="009D21A2" w:rsidP="00BB5D0F">
            <w:pPr>
              <w:pStyle w:val="TableParagraph"/>
              <w:ind w:left="63" w:right="70"/>
              <w:rPr>
                <w:rFonts w:ascii="Times New Roman" w:hAnsi="Times New Roman" w:cs="Times New Roman"/>
                <w:sz w:val="24"/>
                <w:szCs w:val="24"/>
                <w:lang w:val="da-DK"/>
              </w:rPr>
            </w:pPr>
            <w:r w:rsidRPr="00AD7BA1">
              <w:rPr>
                <w:rFonts w:ascii="Times New Roman" w:hAnsi="Times New Roman" w:cs="Times New Roman"/>
                <w:sz w:val="24"/>
                <w:szCs w:val="24"/>
                <w:lang w:val="da-DK"/>
              </w:rPr>
              <w:t>Allergisk reaktion, allergisk dermatitis,</w:t>
            </w:r>
          </w:p>
          <w:p w14:paraId="3F38C183" w14:textId="77777777" w:rsidR="009D21A2" w:rsidRPr="00AD7BA1" w:rsidRDefault="009D21A2" w:rsidP="00BB5D0F">
            <w:pPr>
              <w:pStyle w:val="TableParagraph"/>
              <w:ind w:left="63" w:right="418"/>
              <w:rPr>
                <w:rFonts w:ascii="Times New Roman" w:hAnsi="Times New Roman" w:cs="Times New Roman"/>
                <w:sz w:val="24"/>
                <w:szCs w:val="24"/>
                <w:lang w:val="da-DK"/>
              </w:rPr>
            </w:pPr>
            <w:r w:rsidRPr="00AD7BA1">
              <w:rPr>
                <w:rFonts w:ascii="Times New Roman" w:hAnsi="Times New Roman" w:cs="Times New Roman"/>
                <w:sz w:val="24"/>
                <w:szCs w:val="24"/>
                <w:lang w:val="da-DK"/>
              </w:rPr>
              <w:t>angioødem og allergisk ødem</w:t>
            </w:r>
          </w:p>
        </w:tc>
        <w:tc>
          <w:tcPr>
            <w:tcW w:w="1000" w:type="pct"/>
          </w:tcPr>
          <w:p w14:paraId="7F64A071"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526C17CB" w14:textId="77777777" w:rsidR="009D21A2" w:rsidRPr="00AD7BA1" w:rsidRDefault="009D21A2" w:rsidP="00BB5D0F">
            <w:pPr>
              <w:pStyle w:val="TableParagraph"/>
              <w:ind w:left="62" w:right="186"/>
              <w:rPr>
                <w:rFonts w:ascii="Times New Roman" w:hAnsi="Times New Roman" w:cs="Times New Roman"/>
                <w:sz w:val="24"/>
                <w:szCs w:val="24"/>
                <w:lang w:val="da-DK"/>
              </w:rPr>
            </w:pPr>
            <w:r w:rsidRPr="00AD7BA1">
              <w:rPr>
                <w:rFonts w:ascii="Times New Roman" w:hAnsi="Times New Roman" w:cs="Times New Roman"/>
                <w:sz w:val="24"/>
                <w:szCs w:val="24"/>
                <w:lang w:val="da-DK"/>
              </w:rPr>
              <w:t>Anafylaktiske reaktioner, herunder anafylatisk shock</w:t>
            </w:r>
          </w:p>
        </w:tc>
        <w:tc>
          <w:tcPr>
            <w:tcW w:w="1000" w:type="pct"/>
          </w:tcPr>
          <w:p w14:paraId="17D9B39F"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7C3C2207" w14:textId="77777777" w:rsidTr="00BB5D0F">
        <w:trPr>
          <w:trHeight w:val="254"/>
        </w:trPr>
        <w:tc>
          <w:tcPr>
            <w:tcW w:w="5000" w:type="pct"/>
            <w:gridSpan w:val="5"/>
          </w:tcPr>
          <w:p w14:paraId="630970E0"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Nervesystemet</w:t>
            </w:r>
          </w:p>
        </w:tc>
      </w:tr>
      <w:tr w:rsidR="009D21A2" w:rsidRPr="00AD7BA1" w14:paraId="78BD1CD3" w14:textId="77777777" w:rsidTr="00BB5D0F">
        <w:trPr>
          <w:trHeight w:val="1011"/>
        </w:trPr>
        <w:tc>
          <w:tcPr>
            <w:tcW w:w="1000" w:type="pct"/>
          </w:tcPr>
          <w:p w14:paraId="29F272E3"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w w:val="95"/>
                <w:sz w:val="24"/>
                <w:szCs w:val="24"/>
                <w:lang w:val="da-DK"/>
              </w:rPr>
              <w:t xml:space="preserve">Svimmelhed, </w:t>
            </w:r>
            <w:r w:rsidRPr="00AD7BA1">
              <w:rPr>
                <w:rFonts w:ascii="Times New Roman" w:hAnsi="Times New Roman" w:cs="Times New Roman"/>
                <w:sz w:val="24"/>
                <w:szCs w:val="24"/>
                <w:lang w:val="da-DK"/>
              </w:rPr>
              <w:t>hovedpine</w:t>
            </w:r>
          </w:p>
        </w:tc>
        <w:tc>
          <w:tcPr>
            <w:tcW w:w="1000" w:type="pct"/>
          </w:tcPr>
          <w:p w14:paraId="552E2A2F" w14:textId="77777777" w:rsidR="009D21A2" w:rsidRPr="00AD7BA1" w:rsidRDefault="009D21A2" w:rsidP="00BB5D0F">
            <w:pPr>
              <w:pStyle w:val="TableParagraph"/>
              <w:ind w:left="63" w:right="687"/>
              <w:rPr>
                <w:rFonts w:ascii="Times New Roman" w:hAnsi="Times New Roman" w:cs="Times New Roman"/>
                <w:sz w:val="24"/>
                <w:szCs w:val="24"/>
                <w:lang w:val="da-DK"/>
              </w:rPr>
            </w:pPr>
            <w:r w:rsidRPr="00AD7BA1">
              <w:rPr>
                <w:rFonts w:ascii="Times New Roman" w:hAnsi="Times New Roman" w:cs="Times New Roman"/>
                <w:sz w:val="24"/>
                <w:szCs w:val="24"/>
                <w:lang w:val="da-DK"/>
              </w:rPr>
              <w:t>Cerebral og intrakraniel</w:t>
            </w:r>
          </w:p>
          <w:p w14:paraId="67151DFF" w14:textId="77777777" w:rsidR="009D21A2" w:rsidRPr="00AD7BA1" w:rsidRDefault="009D21A2" w:rsidP="00BB5D0F">
            <w:pPr>
              <w:pStyle w:val="TableParagraph"/>
              <w:ind w:left="63" w:right="882"/>
              <w:rPr>
                <w:rFonts w:ascii="Times New Roman" w:hAnsi="Times New Roman" w:cs="Times New Roman"/>
                <w:sz w:val="24"/>
                <w:szCs w:val="24"/>
                <w:lang w:val="da-DK"/>
              </w:rPr>
            </w:pPr>
            <w:r w:rsidRPr="00AD7BA1">
              <w:rPr>
                <w:rFonts w:ascii="Times New Roman" w:hAnsi="Times New Roman" w:cs="Times New Roman"/>
                <w:sz w:val="24"/>
                <w:szCs w:val="24"/>
                <w:lang w:val="da-DK"/>
              </w:rPr>
              <w:t>blødning, synkope</w:t>
            </w:r>
          </w:p>
        </w:tc>
        <w:tc>
          <w:tcPr>
            <w:tcW w:w="1000" w:type="pct"/>
          </w:tcPr>
          <w:p w14:paraId="302CA012"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3B05A39D"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6262860A"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656EA2CA" w14:textId="77777777" w:rsidTr="00BB5D0F">
        <w:trPr>
          <w:trHeight w:val="249"/>
        </w:trPr>
        <w:tc>
          <w:tcPr>
            <w:tcW w:w="5000" w:type="pct"/>
            <w:gridSpan w:val="5"/>
          </w:tcPr>
          <w:p w14:paraId="0A07B9C6"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Øjne</w:t>
            </w:r>
          </w:p>
        </w:tc>
      </w:tr>
      <w:tr w:rsidR="009D21A2" w:rsidRPr="00AD7BA1" w14:paraId="7390232C" w14:textId="77777777" w:rsidTr="00BB5D0F">
        <w:trPr>
          <w:trHeight w:val="759"/>
        </w:trPr>
        <w:tc>
          <w:tcPr>
            <w:tcW w:w="1000" w:type="pct"/>
          </w:tcPr>
          <w:p w14:paraId="6068129F" w14:textId="77777777" w:rsidR="009D21A2" w:rsidRPr="00AD7BA1" w:rsidRDefault="009D21A2" w:rsidP="00BB5D0F">
            <w:pPr>
              <w:pStyle w:val="TableParagraph"/>
              <w:ind w:left="63" w:right="400"/>
              <w:rPr>
                <w:rFonts w:ascii="Times New Roman" w:hAnsi="Times New Roman" w:cs="Times New Roman"/>
                <w:sz w:val="24"/>
                <w:szCs w:val="24"/>
                <w:lang w:val="da-DK"/>
              </w:rPr>
            </w:pPr>
            <w:r w:rsidRPr="00AD7BA1">
              <w:rPr>
                <w:rFonts w:ascii="Times New Roman" w:hAnsi="Times New Roman" w:cs="Times New Roman"/>
                <w:sz w:val="24"/>
                <w:szCs w:val="24"/>
                <w:lang w:val="da-DK"/>
              </w:rPr>
              <w:t>Blødning i øjet (herunder</w:t>
            </w:r>
          </w:p>
          <w:p w14:paraId="139F458A"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konjunktiva)</w:t>
            </w:r>
          </w:p>
        </w:tc>
        <w:tc>
          <w:tcPr>
            <w:tcW w:w="1000" w:type="pct"/>
          </w:tcPr>
          <w:p w14:paraId="603B8890"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66F2D673"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0D19E753"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35CC240F"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188BE6D0" w14:textId="77777777" w:rsidTr="00BB5D0F">
        <w:trPr>
          <w:trHeight w:val="252"/>
        </w:trPr>
        <w:tc>
          <w:tcPr>
            <w:tcW w:w="5000" w:type="pct"/>
            <w:gridSpan w:val="5"/>
          </w:tcPr>
          <w:p w14:paraId="7BA23303"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Hjerte</w:t>
            </w:r>
          </w:p>
        </w:tc>
      </w:tr>
      <w:tr w:rsidR="009D21A2" w:rsidRPr="00AD7BA1" w14:paraId="61258451" w14:textId="77777777" w:rsidTr="00BB5D0F">
        <w:trPr>
          <w:trHeight w:val="252"/>
        </w:trPr>
        <w:tc>
          <w:tcPr>
            <w:tcW w:w="1000" w:type="pct"/>
          </w:tcPr>
          <w:p w14:paraId="4A22829E"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28F9C50F"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Takykardi</w:t>
            </w:r>
          </w:p>
        </w:tc>
        <w:tc>
          <w:tcPr>
            <w:tcW w:w="1000" w:type="pct"/>
          </w:tcPr>
          <w:p w14:paraId="1109AC3D"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3B216731"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0B80A423"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1F0BBF15" w14:textId="77777777" w:rsidTr="00BB5D0F">
        <w:trPr>
          <w:trHeight w:val="253"/>
        </w:trPr>
        <w:tc>
          <w:tcPr>
            <w:tcW w:w="5000" w:type="pct"/>
            <w:gridSpan w:val="5"/>
          </w:tcPr>
          <w:p w14:paraId="7751FAB4"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Vaskulære sygdomme</w:t>
            </w:r>
          </w:p>
        </w:tc>
      </w:tr>
      <w:tr w:rsidR="009D21A2" w:rsidRPr="00AD7BA1" w14:paraId="3681FAB8" w14:textId="77777777" w:rsidTr="00BB5D0F">
        <w:trPr>
          <w:trHeight w:val="506"/>
        </w:trPr>
        <w:tc>
          <w:tcPr>
            <w:tcW w:w="1000" w:type="pct"/>
          </w:tcPr>
          <w:p w14:paraId="20AE4D7E"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Hypotension,</w:t>
            </w:r>
          </w:p>
          <w:p w14:paraId="59DF8B7A"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hæmatom</w:t>
            </w:r>
          </w:p>
        </w:tc>
        <w:tc>
          <w:tcPr>
            <w:tcW w:w="1000" w:type="pct"/>
          </w:tcPr>
          <w:p w14:paraId="6FF6A3B4"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63F32F2B"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03656B5A"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64D4104B"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3CE89A80" w14:textId="77777777" w:rsidTr="00BB5D0F">
        <w:trPr>
          <w:trHeight w:val="252"/>
        </w:trPr>
        <w:tc>
          <w:tcPr>
            <w:tcW w:w="5000" w:type="pct"/>
            <w:gridSpan w:val="5"/>
          </w:tcPr>
          <w:p w14:paraId="337C26C8"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Luftveje, thorax og mediastinum</w:t>
            </w:r>
          </w:p>
        </w:tc>
      </w:tr>
      <w:tr w:rsidR="009D21A2" w:rsidRPr="00AD7BA1" w14:paraId="326CE8DE" w14:textId="77777777" w:rsidTr="00BB5D0F">
        <w:trPr>
          <w:trHeight w:val="506"/>
        </w:trPr>
        <w:tc>
          <w:tcPr>
            <w:tcW w:w="1000" w:type="pct"/>
          </w:tcPr>
          <w:p w14:paraId="427C0428"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Epistaxis,</w:t>
            </w:r>
          </w:p>
          <w:p w14:paraId="2AB83C56"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hæmoptyse</w:t>
            </w:r>
          </w:p>
        </w:tc>
        <w:tc>
          <w:tcPr>
            <w:tcW w:w="1000" w:type="pct"/>
          </w:tcPr>
          <w:p w14:paraId="78EF85DB"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17EF21DD"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7CB8237D" w14:textId="77777777" w:rsidR="00616601" w:rsidRPr="00616601" w:rsidRDefault="00616601" w:rsidP="00616601">
            <w:pPr>
              <w:pStyle w:val="Default"/>
              <w:ind w:left="63"/>
              <w:rPr>
                <w:rFonts w:ascii="Times New Roman" w:hAnsi="Times New Roman" w:cs="Times New Roman"/>
                <w:color w:val="auto"/>
                <w:lang w:val="da-DK" w:eastAsia="da-DK"/>
              </w:rPr>
            </w:pPr>
            <w:r w:rsidRPr="00616601">
              <w:rPr>
                <w:rFonts w:ascii="Times New Roman" w:hAnsi="Times New Roman" w:cs="Times New Roman"/>
                <w:color w:val="auto"/>
                <w:lang w:val="da-DK"/>
              </w:rPr>
              <w:t xml:space="preserve">Eosinofil pneumoni </w:t>
            </w:r>
          </w:p>
          <w:p w14:paraId="4BF2E623"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4073B82A"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68A60C06" w14:textId="77777777" w:rsidTr="00BB5D0F">
        <w:trPr>
          <w:trHeight w:val="252"/>
        </w:trPr>
        <w:tc>
          <w:tcPr>
            <w:tcW w:w="5000" w:type="pct"/>
            <w:gridSpan w:val="5"/>
          </w:tcPr>
          <w:p w14:paraId="172E5CAD"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Mave-tarm-kanalen</w:t>
            </w:r>
          </w:p>
        </w:tc>
      </w:tr>
      <w:tr w:rsidR="009D21A2" w:rsidRPr="00AD7BA1" w14:paraId="759E1985" w14:textId="77777777" w:rsidTr="00BB5D0F">
        <w:trPr>
          <w:trHeight w:val="2782"/>
        </w:trPr>
        <w:tc>
          <w:tcPr>
            <w:tcW w:w="1000" w:type="pct"/>
          </w:tcPr>
          <w:p w14:paraId="45281E57" w14:textId="44BB068F" w:rsidR="009D21A2" w:rsidRPr="00AD7BA1" w:rsidRDefault="009D21A2" w:rsidP="00BB5D0F">
            <w:pPr>
              <w:pStyle w:val="TableParagraph"/>
              <w:ind w:left="63" w:right="20"/>
              <w:rPr>
                <w:rFonts w:ascii="Times New Roman" w:hAnsi="Times New Roman" w:cs="Times New Roman"/>
                <w:sz w:val="24"/>
                <w:szCs w:val="24"/>
                <w:lang w:val="da-DK"/>
              </w:rPr>
            </w:pPr>
            <w:r w:rsidRPr="00AD7BA1">
              <w:rPr>
                <w:rFonts w:ascii="Times New Roman" w:hAnsi="Times New Roman" w:cs="Times New Roman"/>
                <w:sz w:val="24"/>
                <w:szCs w:val="24"/>
                <w:lang w:val="da-DK"/>
              </w:rPr>
              <w:t>Gingival blødning, blødning fra mave-tarm-kanalen (herunder rektal blødning), gastrointestinale og abdominale smerter, dyspepsi, nausea,</w:t>
            </w:r>
          </w:p>
          <w:p w14:paraId="2F20D97B" w14:textId="77777777" w:rsidR="009D21A2" w:rsidRPr="00AD7BA1" w:rsidRDefault="009D21A2" w:rsidP="00BB5D0F">
            <w:pPr>
              <w:pStyle w:val="TableParagraph"/>
              <w:ind w:left="63" w:right="36"/>
              <w:rPr>
                <w:rFonts w:ascii="Times New Roman" w:hAnsi="Times New Roman" w:cs="Times New Roman"/>
                <w:sz w:val="24"/>
                <w:szCs w:val="24"/>
                <w:lang w:val="da-DK"/>
              </w:rPr>
            </w:pPr>
            <w:r w:rsidRPr="00AD7BA1">
              <w:rPr>
                <w:rFonts w:ascii="Times New Roman" w:hAnsi="Times New Roman" w:cs="Times New Roman"/>
                <w:sz w:val="24"/>
                <w:szCs w:val="24"/>
                <w:lang w:val="da-DK"/>
              </w:rPr>
              <w:t>obstipation</w:t>
            </w:r>
            <w:r w:rsidRPr="00AD7BA1">
              <w:rPr>
                <w:rFonts w:ascii="Times New Roman" w:hAnsi="Times New Roman" w:cs="Times New Roman"/>
                <w:sz w:val="24"/>
                <w:szCs w:val="24"/>
                <w:vertAlign w:val="superscript"/>
                <w:lang w:val="da-DK"/>
              </w:rPr>
              <w:t>A</w:t>
            </w:r>
            <w:r w:rsidRPr="00AD7BA1">
              <w:rPr>
                <w:rFonts w:ascii="Times New Roman" w:hAnsi="Times New Roman" w:cs="Times New Roman"/>
                <w:sz w:val="24"/>
                <w:szCs w:val="24"/>
                <w:lang w:val="da-DK"/>
              </w:rPr>
              <w:t>, diarré, opkastning</w:t>
            </w:r>
            <w:r w:rsidRPr="00AD7BA1">
              <w:rPr>
                <w:rFonts w:ascii="Times New Roman" w:hAnsi="Times New Roman" w:cs="Times New Roman"/>
                <w:sz w:val="24"/>
                <w:szCs w:val="24"/>
                <w:vertAlign w:val="superscript"/>
                <w:lang w:val="da-DK"/>
              </w:rPr>
              <w:t>A</w:t>
            </w:r>
          </w:p>
        </w:tc>
        <w:tc>
          <w:tcPr>
            <w:tcW w:w="1000" w:type="pct"/>
          </w:tcPr>
          <w:p w14:paraId="1A44106A"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Mundtørhed</w:t>
            </w:r>
          </w:p>
        </w:tc>
        <w:tc>
          <w:tcPr>
            <w:tcW w:w="1000" w:type="pct"/>
          </w:tcPr>
          <w:p w14:paraId="403665FC"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01F34639"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6CD9ABBB"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135AC78C" w14:textId="77777777" w:rsidTr="00BB5D0F">
        <w:trPr>
          <w:trHeight w:val="250"/>
        </w:trPr>
        <w:tc>
          <w:tcPr>
            <w:tcW w:w="5000" w:type="pct"/>
            <w:gridSpan w:val="5"/>
          </w:tcPr>
          <w:p w14:paraId="4D460C82"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Lever og galdeveje</w:t>
            </w:r>
          </w:p>
        </w:tc>
      </w:tr>
      <w:tr w:rsidR="009D21A2" w:rsidRPr="00AD7BA1" w14:paraId="24E9577A" w14:textId="77777777" w:rsidTr="00BB5D0F">
        <w:trPr>
          <w:trHeight w:val="2277"/>
        </w:trPr>
        <w:tc>
          <w:tcPr>
            <w:tcW w:w="1000" w:type="pct"/>
          </w:tcPr>
          <w:p w14:paraId="1CA6040D" w14:textId="77777777" w:rsidR="009D21A2" w:rsidRPr="00AD7BA1" w:rsidRDefault="009D21A2" w:rsidP="00BB5D0F">
            <w:pPr>
              <w:pStyle w:val="TableParagraph"/>
              <w:ind w:left="29"/>
              <w:rPr>
                <w:rFonts w:ascii="Times New Roman" w:hAnsi="Times New Roman" w:cs="Times New Roman"/>
                <w:sz w:val="24"/>
                <w:szCs w:val="24"/>
                <w:lang w:val="da-DK"/>
              </w:rPr>
            </w:pPr>
            <w:r w:rsidRPr="00AD7BA1">
              <w:rPr>
                <w:rFonts w:ascii="Times New Roman" w:hAnsi="Times New Roman" w:cs="Times New Roman"/>
                <w:sz w:val="24"/>
                <w:szCs w:val="24"/>
                <w:lang w:val="da-DK"/>
              </w:rPr>
              <w:t xml:space="preserve">Forhøjede </w:t>
            </w:r>
            <w:r w:rsidRPr="00AD7BA1">
              <w:rPr>
                <w:rFonts w:ascii="Times New Roman" w:hAnsi="Times New Roman" w:cs="Times New Roman"/>
                <w:w w:val="95"/>
                <w:sz w:val="24"/>
                <w:szCs w:val="24"/>
                <w:lang w:val="da-DK"/>
              </w:rPr>
              <w:t>aminotransferaser</w:t>
            </w:r>
          </w:p>
        </w:tc>
        <w:tc>
          <w:tcPr>
            <w:tcW w:w="1000" w:type="pct"/>
          </w:tcPr>
          <w:p w14:paraId="27F6376C" w14:textId="77777777" w:rsidR="009D21A2" w:rsidRPr="00AD7BA1" w:rsidRDefault="009D21A2" w:rsidP="00BB5D0F">
            <w:pPr>
              <w:pStyle w:val="TableParagraph"/>
              <w:ind w:left="63" w:right="155"/>
              <w:rPr>
                <w:rFonts w:ascii="Times New Roman" w:hAnsi="Times New Roman" w:cs="Times New Roman"/>
                <w:sz w:val="24"/>
                <w:szCs w:val="24"/>
                <w:lang w:val="da-DK"/>
              </w:rPr>
            </w:pPr>
            <w:r w:rsidRPr="00AD7BA1">
              <w:rPr>
                <w:rFonts w:ascii="Times New Roman" w:hAnsi="Times New Roman" w:cs="Times New Roman"/>
                <w:sz w:val="24"/>
                <w:szCs w:val="24"/>
                <w:lang w:val="da-DK"/>
              </w:rPr>
              <w:t>Nedsat leverfunktion, forhøjet bilirubin, forhøjet basisk serumfosfatase</w:t>
            </w:r>
            <w:r w:rsidRPr="00AD7BA1">
              <w:rPr>
                <w:rFonts w:ascii="Times New Roman" w:hAnsi="Times New Roman" w:cs="Times New Roman"/>
                <w:sz w:val="24"/>
                <w:szCs w:val="24"/>
                <w:vertAlign w:val="superscript"/>
                <w:lang w:val="da-DK"/>
              </w:rPr>
              <w:t>A</w:t>
            </w:r>
            <w:r w:rsidRPr="00AD7BA1">
              <w:rPr>
                <w:rFonts w:ascii="Times New Roman" w:hAnsi="Times New Roman" w:cs="Times New Roman"/>
                <w:sz w:val="24"/>
                <w:szCs w:val="24"/>
                <w:lang w:val="da-DK"/>
              </w:rPr>
              <w:t>, forhøjet GGT</w:t>
            </w:r>
            <w:r w:rsidRPr="00AD7BA1">
              <w:rPr>
                <w:rFonts w:ascii="Times New Roman" w:hAnsi="Times New Roman" w:cs="Times New Roman"/>
                <w:sz w:val="24"/>
                <w:szCs w:val="24"/>
                <w:vertAlign w:val="superscript"/>
                <w:lang w:val="da-DK"/>
              </w:rPr>
              <w:t>A</w:t>
            </w:r>
          </w:p>
        </w:tc>
        <w:tc>
          <w:tcPr>
            <w:tcW w:w="1000" w:type="pct"/>
          </w:tcPr>
          <w:p w14:paraId="2BB8F5C3" w14:textId="77777777" w:rsidR="009D21A2" w:rsidRPr="00AD7BA1" w:rsidRDefault="009D21A2" w:rsidP="00BB5D0F">
            <w:pPr>
              <w:pStyle w:val="TableParagraph"/>
              <w:ind w:left="62" w:right="9"/>
              <w:rPr>
                <w:rFonts w:ascii="Times New Roman" w:hAnsi="Times New Roman" w:cs="Times New Roman"/>
                <w:sz w:val="24"/>
                <w:szCs w:val="24"/>
                <w:lang w:val="da-DK"/>
              </w:rPr>
            </w:pPr>
            <w:r w:rsidRPr="00AD7BA1">
              <w:rPr>
                <w:rFonts w:ascii="Times New Roman" w:hAnsi="Times New Roman" w:cs="Times New Roman"/>
                <w:sz w:val="24"/>
                <w:szCs w:val="24"/>
                <w:lang w:val="da-DK"/>
              </w:rPr>
              <w:t>Gulsot, stigning i konjungeret bilirubin (med eller uden samtidig stigning i ALAT), koletase, hepatitis (inklusive</w:t>
            </w:r>
          </w:p>
          <w:p w14:paraId="71B91746" w14:textId="77777777" w:rsidR="009D21A2" w:rsidRPr="00AD7BA1" w:rsidRDefault="009D21A2" w:rsidP="00BB5D0F">
            <w:pPr>
              <w:pStyle w:val="TableParagraph"/>
              <w:ind w:left="62"/>
              <w:rPr>
                <w:rFonts w:ascii="Times New Roman" w:hAnsi="Times New Roman" w:cs="Times New Roman"/>
                <w:sz w:val="24"/>
                <w:szCs w:val="24"/>
                <w:lang w:val="da-DK"/>
              </w:rPr>
            </w:pPr>
            <w:r w:rsidRPr="00AD7BA1">
              <w:rPr>
                <w:rFonts w:ascii="Times New Roman" w:hAnsi="Times New Roman" w:cs="Times New Roman"/>
                <w:w w:val="95"/>
                <w:sz w:val="24"/>
                <w:szCs w:val="24"/>
                <w:lang w:val="da-DK"/>
              </w:rPr>
              <w:t xml:space="preserve">hepatocellulær </w:t>
            </w:r>
            <w:r w:rsidRPr="00AD7BA1">
              <w:rPr>
                <w:rFonts w:ascii="Times New Roman" w:hAnsi="Times New Roman" w:cs="Times New Roman"/>
                <w:sz w:val="24"/>
                <w:szCs w:val="24"/>
                <w:lang w:val="da-DK"/>
              </w:rPr>
              <w:t>skade)</w:t>
            </w:r>
          </w:p>
        </w:tc>
        <w:tc>
          <w:tcPr>
            <w:tcW w:w="1000" w:type="pct"/>
          </w:tcPr>
          <w:p w14:paraId="64BEC5AC"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05B25166"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38302102" w14:textId="77777777" w:rsidTr="00BB5D0F">
        <w:trPr>
          <w:trHeight w:val="252"/>
        </w:trPr>
        <w:tc>
          <w:tcPr>
            <w:tcW w:w="5000" w:type="pct"/>
            <w:gridSpan w:val="5"/>
          </w:tcPr>
          <w:p w14:paraId="26CD973F"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Hud og subkutane væv</w:t>
            </w:r>
          </w:p>
        </w:tc>
      </w:tr>
      <w:tr w:rsidR="009D21A2" w:rsidRPr="009C7B12" w14:paraId="21524E3E" w14:textId="77777777" w:rsidTr="00BB5D0F">
        <w:trPr>
          <w:trHeight w:val="2024"/>
        </w:trPr>
        <w:tc>
          <w:tcPr>
            <w:tcW w:w="1000" w:type="pct"/>
          </w:tcPr>
          <w:p w14:paraId="08F4E124" w14:textId="77777777" w:rsidR="009D21A2" w:rsidRPr="00AD7BA1" w:rsidRDefault="009D21A2" w:rsidP="00BB5D0F">
            <w:pPr>
              <w:pStyle w:val="TableParagraph"/>
              <w:ind w:left="63" w:right="113"/>
              <w:rPr>
                <w:rFonts w:ascii="Times New Roman" w:hAnsi="Times New Roman" w:cs="Times New Roman"/>
                <w:sz w:val="24"/>
                <w:szCs w:val="24"/>
                <w:lang w:val="da-DK"/>
              </w:rPr>
            </w:pPr>
            <w:r w:rsidRPr="00AD7BA1">
              <w:rPr>
                <w:rFonts w:ascii="Times New Roman" w:hAnsi="Times New Roman" w:cs="Times New Roman"/>
                <w:sz w:val="24"/>
                <w:szCs w:val="24"/>
                <w:lang w:val="da-DK"/>
              </w:rPr>
              <w:t>Pruritus (herunder ikke almindelige tilfælde af generaliseret pruritus), udslæt, ekkymose,</w:t>
            </w:r>
          </w:p>
          <w:p w14:paraId="356DDE8C" w14:textId="77777777" w:rsidR="009D21A2" w:rsidRPr="00AD7BA1" w:rsidRDefault="009D21A2" w:rsidP="00BB5D0F">
            <w:pPr>
              <w:pStyle w:val="TableParagraph"/>
              <w:ind w:left="63" w:right="106"/>
              <w:rPr>
                <w:rFonts w:ascii="Times New Roman" w:hAnsi="Times New Roman" w:cs="Times New Roman"/>
                <w:sz w:val="24"/>
                <w:szCs w:val="24"/>
                <w:lang w:val="da-DK"/>
              </w:rPr>
            </w:pPr>
            <w:r w:rsidRPr="00AD7BA1">
              <w:rPr>
                <w:rFonts w:ascii="Times New Roman" w:hAnsi="Times New Roman" w:cs="Times New Roman"/>
                <w:sz w:val="24"/>
                <w:szCs w:val="24"/>
                <w:lang w:val="da-DK"/>
              </w:rPr>
              <w:t>kutan og subkutan blødning</w:t>
            </w:r>
          </w:p>
        </w:tc>
        <w:tc>
          <w:tcPr>
            <w:tcW w:w="1000" w:type="pct"/>
          </w:tcPr>
          <w:p w14:paraId="52FF6ABD"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Urticaria</w:t>
            </w:r>
          </w:p>
        </w:tc>
        <w:tc>
          <w:tcPr>
            <w:tcW w:w="1000" w:type="pct"/>
          </w:tcPr>
          <w:p w14:paraId="2BAEB23F"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67F8EFB4" w14:textId="77777777" w:rsidR="009D21A2" w:rsidRPr="00E10279" w:rsidRDefault="009D21A2" w:rsidP="00BB5D0F">
            <w:pPr>
              <w:pStyle w:val="TableParagraph"/>
              <w:ind w:left="62" w:right="70"/>
              <w:rPr>
                <w:rFonts w:ascii="Times New Roman" w:hAnsi="Times New Roman" w:cs="Times New Roman"/>
                <w:sz w:val="24"/>
                <w:szCs w:val="24"/>
                <w:lang w:val="sv-SE"/>
              </w:rPr>
            </w:pPr>
            <w:r w:rsidRPr="00E10279">
              <w:rPr>
                <w:rFonts w:ascii="Times New Roman" w:hAnsi="Times New Roman" w:cs="Times New Roman"/>
                <w:sz w:val="24"/>
                <w:szCs w:val="24"/>
                <w:lang w:val="sv-SE"/>
              </w:rPr>
              <w:t>Stevens-Johnsons syndrom/toksisk epidermal nekrolyse, DRESS syndrom</w:t>
            </w:r>
          </w:p>
        </w:tc>
        <w:tc>
          <w:tcPr>
            <w:tcW w:w="1000" w:type="pct"/>
          </w:tcPr>
          <w:p w14:paraId="5410BDE8" w14:textId="77777777" w:rsidR="009D21A2" w:rsidRPr="00E10279" w:rsidRDefault="009D21A2" w:rsidP="00BB5D0F">
            <w:pPr>
              <w:pStyle w:val="TableParagraph"/>
              <w:ind w:left="0"/>
              <w:rPr>
                <w:rFonts w:ascii="Times New Roman" w:hAnsi="Times New Roman" w:cs="Times New Roman"/>
                <w:sz w:val="24"/>
                <w:szCs w:val="24"/>
                <w:lang w:val="sv-SE"/>
              </w:rPr>
            </w:pPr>
          </w:p>
        </w:tc>
      </w:tr>
      <w:tr w:rsidR="009D21A2" w:rsidRPr="00AD7BA1" w14:paraId="553292D3" w14:textId="77777777" w:rsidTr="00BB5D0F">
        <w:trPr>
          <w:trHeight w:val="252"/>
        </w:trPr>
        <w:tc>
          <w:tcPr>
            <w:tcW w:w="5000" w:type="pct"/>
            <w:gridSpan w:val="5"/>
          </w:tcPr>
          <w:p w14:paraId="6D9055A5"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Knogler, led, muskler og bindevæv</w:t>
            </w:r>
          </w:p>
        </w:tc>
      </w:tr>
      <w:tr w:rsidR="009D21A2" w:rsidRPr="00AD7BA1" w14:paraId="68AB57F9" w14:textId="77777777" w:rsidTr="00BB5D0F">
        <w:trPr>
          <w:trHeight w:val="1012"/>
        </w:trPr>
        <w:tc>
          <w:tcPr>
            <w:tcW w:w="1000" w:type="pct"/>
          </w:tcPr>
          <w:p w14:paraId="10379A79"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w w:val="95"/>
                <w:sz w:val="24"/>
                <w:szCs w:val="24"/>
                <w:lang w:val="da-DK"/>
              </w:rPr>
              <w:t xml:space="preserve">Ekstremitets- </w:t>
            </w:r>
            <w:r w:rsidRPr="00AD7BA1">
              <w:rPr>
                <w:rFonts w:ascii="Times New Roman" w:hAnsi="Times New Roman" w:cs="Times New Roman"/>
                <w:sz w:val="24"/>
                <w:szCs w:val="24"/>
                <w:lang w:val="da-DK"/>
              </w:rPr>
              <w:t>smerter</w:t>
            </w:r>
            <w:r w:rsidRPr="00AD7BA1">
              <w:rPr>
                <w:rFonts w:ascii="Times New Roman" w:hAnsi="Times New Roman" w:cs="Times New Roman"/>
                <w:sz w:val="24"/>
                <w:szCs w:val="24"/>
                <w:vertAlign w:val="superscript"/>
                <w:lang w:val="da-DK"/>
              </w:rPr>
              <w:t>A</w:t>
            </w:r>
          </w:p>
        </w:tc>
        <w:tc>
          <w:tcPr>
            <w:tcW w:w="1000" w:type="pct"/>
          </w:tcPr>
          <w:p w14:paraId="402DC410"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Hæmartrose</w:t>
            </w:r>
          </w:p>
        </w:tc>
        <w:tc>
          <w:tcPr>
            <w:tcW w:w="1000" w:type="pct"/>
          </w:tcPr>
          <w:p w14:paraId="36C764D1" w14:textId="77777777" w:rsidR="009D21A2" w:rsidRPr="00AD7BA1" w:rsidRDefault="009D21A2" w:rsidP="00BB5D0F">
            <w:pPr>
              <w:pStyle w:val="TableParagraph"/>
              <w:ind w:left="62"/>
              <w:rPr>
                <w:rFonts w:ascii="Times New Roman" w:hAnsi="Times New Roman" w:cs="Times New Roman"/>
                <w:sz w:val="24"/>
                <w:szCs w:val="24"/>
                <w:lang w:val="da-DK"/>
              </w:rPr>
            </w:pPr>
            <w:r w:rsidRPr="00AD7BA1">
              <w:rPr>
                <w:rFonts w:ascii="Times New Roman" w:hAnsi="Times New Roman" w:cs="Times New Roman"/>
                <w:sz w:val="24"/>
                <w:szCs w:val="24"/>
                <w:lang w:val="da-DK"/>
              </w:rPr>
              <w:t>Muskelblødning</w:t>
            </w:r>
          </w:p>
        </w:tc>
        <w:tc>
          <w:tcPr>
            <w:tcW w:w="1000" w:type="pct"/>
          </w:tcPr>
          <w:p w14:paraId="1A7378F3"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5AF3BFA4" w14:textId="77777777" w:rsidR="009D21A2" w:rsidRPr="00AD7BA1" w:rsidRDefault="009D21A2" w:rsidP="00BB5D0F">
            <w:pPr>
              <w:pStyle w:val="TableParagraph"/>
              <w:ind w:left="62" w:right="186"/>
              <w:rPr>
                <w:rFonts w:ascii="Times New Roman" w:hAnsi="Times New Roman" w:cs="Times New Roman"/>
                <w:sz w:val="24"/>
                <w:szCs w:val="24"/>
                <w:lang w:val="da-DK"/>
              </w:rPr>
            </w:pPr>
            <w:r w:rsidRPr="00AD7BA1">
              <w:rPr>
                <w:rFonts w:ascii="Times New Roman" w:hAnsi="Times New Roman" w:cs="Times New Roman"/>
                <w:w w:val="95"/>
                <w:sz w:val="24"/>
                <w:szCs w:val="24"/>
                <w:lang w:val="da-DK"/>
              </w:rPr>
              <w:t xml:space="preserve">Kompartment- </w:t>
            </w:r>
            <w:r w:rsidRPr="00AD7BA1">
              <w:rPr>
                <w:rFonts w:ascii="Times New Roman" w:hAnsi="Times New Roman" w:cs="Times New Roman"/>
                <w:sz w:val="24"/>
                <w:szCs w:val="24"/>
                <w:lang w:val="da-DK"/>
              </w:rPr>
              <w:t>syndrom sekundært til</w:t>
            </w:r>
          </w:p>
          <w:p w14:paraId="540BEDB7" w14:textId="77777777" w:rsidR="009D21A2" w:rsidRPr="00AD7BA1" w:rsidRDefault="009D21A2" w:rsidP="00BB5D0F">
            <w:pPr>
              <w:pStyle w:val="TableParagraph"/>
              <w:ind w:left="62"/>
              <w:rPr>
                <w:rFonts w:ascii="Times New Roman" w:hAnsi="Times New Roman" w:cs="Times New Roman"/>
                <w:sz w:val="24"/>
                <w:szCs w:val="24"/>
                <w:lang w:val="da-DK"/>
              </w:rPr>
            </w:pPr>
            <w:r w:rsidRPr="00AD7BA1">
              <w:rPr>
                <w:rFonts w:ascii="Times New Roman" w:hAnsi="Times New Roman" w:cs="Times New Roman"/>
                <w:sz w:val="24"/>
                <w:szCs w:val="24"/>
                <w:lang w:val="da-DK"/>
              </w:rPr>
              <w:t>blødning</w:t>
            </w:r>
          </w:p>
        </w:tc>
      </w:tr>
      <w:tr w:rsidR="009D21A2" w:rsidRPr="00AD7BA1" w14:paraId="0AFB64FA" w14:textId="77777777" w:rsidTr="00BB5D0F">
        <w:trPr>
          <w:trHeight w:val="252"/>
        </w:trPr>
        <w:tc>
          <w:tcPr>
            <w:tcW w:w="5000" w:type="pct"/>
            <w:gridSpan w:val="5"/>
          </w:tcPr>
          <w:p w14:paraId="105AEB23"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Nyrer og urinveje</w:t>
            </w:r>
          </w:p>
        </w:tc>
      </w:tr>
      <w:tr w:rsidR="009D21A2" w:rsidRPr="00AD7BA1" w14:paraId="2BB8C16C" w14:textId="77777777" w:rsidTr="00BB5D0F">
        <w:trPr>
          <w:trHeight w:val="2277"/>
        </w:trPr>
        <w:tc>
          <w:tcPr>
            <w:tcW w:w="1000" w:type="pct"/>
          </w:tcPr>
          <w:p w14:paraId="695D7454" w14:textId="77777777" w:rsidR="009D21A2" w:rsidRPr="00AD7BA1" w:rsidRDefault="009D21A2" w:rsidP="00BB5D0F">
            <w:pPr>
              <w:pStyle w:val="TableParagraph"/>
              <w:ind w:left="63" w:right="60"/>
              <w:rPr>
                <w:rFonts w:ascii="Times New Roman" w:hAnsi="Times New Roman" w:cs="Times New Roman"/>
                <w:sz w:val="24"/>
                <w:szCs w:val="24"/>
                <w:lang w:val="da-DK"/>
              </w:rPr>
            </w:pPr>
            <w:r w:rsidRPr="00AD7BA1">
              <w:rPr>
                <w:rFonts w:ascii="Times New Roman" w:hAnsi="Times New Roman" w:cs="Times New Roman"/>
                <w:sz w:val="24"/>
                <w:szCs w:val="24"/>
                <w:lang w:val="da-DK"/>
              </w:rPr>
              <w:t>Blødning i urogenitalkanalen (herunder hæmaturi og menoragi</w:t>
            </w:r>
            <w:r w:rsidRPr="00AD7BA1">
              <w:rPr>
                <w:rFonts w:ascii="Times New Roman" w:hAnsi="Times New Roman" w:cs="Times New Roman"/>
                <w:sz w:val="24"/>
                <w:szCs w:val="24"/>
                <w:vertAlign w:val="superscript"/>
                <w:lang w:val="da-DK"/>
              </w:rPr>
              <w:t>B</w:t>
            </w:r>
            <w:r w:rsidRPr="00AD7BA1">
              <w:rPr>
                <w:rFonts w:ascii="Times New Roman" w:hAnsi="Times New Roman" w:cs="Times New Roman"/>
                <w:sz w:val="24"/>
                <w:szCs w:val="24"/>
                <w:lang w:val="da-DK"/>
              </w:rPr>
              <w:t>), nedsat nyrefunktion (herunder forhøjet blod-kreatinin og</w:t>
            </w:r>
          </w:p>
          <w:p w14:paraId="4144AC7B"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blod-urinstof)</w:t>
            </w:r>
          </w:p>
        </w:tc>
        <w:tc>
          <w:tcPr>
            <w:tcW w:w="1000" w:type="pct"/>
          </w:tcPr>
          <w:p w14:paraId="0299CF17"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61AA681D"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61691AAB"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7589AD7B" w14:textId="77777777" w:rsidR="009850F6" w:rsidRPr="009850F6" w:rsidRDefault="009850F6" w:rsidP="009850F6">
            <w:pPr>
              <w:pStyle w:val="TableParagraph"/>
              <w:ind w:left="62" w:right="167"/>
              <w:rPr>
                <w:rFonts w:ascii="Times New Roman" w:hAnsi="Times New Roman" w:cs="Times New Roman"/>
                <w:sz w:val="24"/>
                <w:szCs w:val="24"/>
                <w:lang w:val="da-DK"/>
              </w:rPr>
            </w:pPr>
            <w:r w:rsidRPr="009850F6">
              <w:rPr>
                <w:rFonts w:ascii="Times New Roman" w:hAnsi="Times New Roman" w:cs="Times New Roman"/>
                <w:sz w:val="24"/>
                <w:szCs w:val="24"/>
                <w:lang w:val="da-DK"/>
              </w:rPr>
              <w:t xml:space="preserve">Nyresvigt/akut nyresvigt sekundært til blødning, der er tilstrækkelig til at medføre hypoperfusion, </w:t>
            </w:r>
          </w:p>
          <w:p w14:paraId="3DD1395A" w14:textId="77777777" w:rsidR="009850F6" w:rsidRPr="009850F6" w:rsidRDefault="009850F6" w:rsidP="009850F6">
            <w:pPr>
              <w:pStyle w:val="Default"/>
              <w:rPr>
                <w:rFonts w:ascii="Times New Roman" w:hAnsi="Times New Roman" w:cs="Times New Roman"/>
                <w:color w:val="auto"/>
                <w:lang w:val="da-DK"/>
              </w:rPr>
            </w:pPr>
            <w:r w:rsidRPr="009850F6">
              <w:rPr>
                <w:rFonts w:ascii="Times New Roman" w:hAnsi="Times New Roman" w:cs="Times New Roman"/>
                <w:color w:val="auto"/>
                <w:lang w:val="da-DK"/>
              </w:rPr>
              <w:t xml:space="preserve">antikoagulantia-relateret nefropati </w:t>
            </w:r>
          </w:p>
          <w:p w14:paraId="183105D0" w14:textId="3243FE90" w:rsidR="009D21A2" w:rsidRPr="00AD7BA1" w:rsidRDefault="009D21A2" w:rsidP="00BB5D0F">
            <w:pPr>
              <w:pStyle w:val="TableParagraph"/>
              <w:ind w:left="62" w:right="167"/>
              <w:rPr>
                <w:rFonts w:ascii="Times New Roman" w:hAnsi="Times New Roman" w:cs="Times New Roman"/>
                <w:sz w:val="24"/>
                <w:szCs w:val="24"/>
                <w:lang w:val="da-DK"/>
              </w:rPr>
            </w:pPr>
          </w:p>
        </w:tc>
      </w:tr>
      <w:tr w:rsidR="009D21A2" w:rsidRPr="00AD7BA1" w14:paraId="7D141D5B" w14:textId="77777777" w:rsidTr="00BB5D0F">
        <w:trPr>
          <w:trHeight w:val="465"/>
        </w:trPr>
        <w:tc>
          <w:tcPr>
            <w:tcW w:w="5000" w:type="pct"/>
            <w:gridSpan w:val="5"/>
          </w:tcPr>
          <w:p w14:paraId="69E1234C"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Almene symptomer og reaktioner på administrationsstedet</w:t>
            </w:r>
          </w:p>
        </w:tc>
      </w:tr>
      <w:tr w:rsidR="009D21A2" w:rsidRPr="00AD7BA1" w14:paraId="00F187DC" w14:textId="77777777" w:rsidTr="00BB5D0F">
        <w:trPr>
          <w:trHeight w:val="1265"/>
        </w:trPr>
        <w:tc>
          <w:tcPr>
            <w:tcW w:w="1000" w:type="pct"/>
          </w:tcPr>
          <w:p w14:paraId="07B72AD7" w14:textId="77777777" w:rsidR="009D21A2" w:rsidRPr="00AD7BA1" w:rsidRDefault="009D21A2" w:rsidP="00BB5D0F">
            <w:pPr>
              <w:pStyle w:val="TableParagraph"/>
              <w:ind w:left="63" w:right="205"/>
              <w:rPr>
                <w:rFonts w:ascii="Times New Roman" w:hAnsi="Times New Roman" w:cs="Times New Roman"/>
                <w:sz w:val="24"/>
                <w:szCs w:val="24"/>
                <w:lang w:val="da-DK"/>
              </w:rPr>
            </w:pPr>
            <w:r w:rsidRPr="00AD7BA1">
              <w:rPr>
                <w:rFonts w:ascii="Times New Roman" w:hAnsi="Times New Roman" w:cs="Times New Roman"/>
                <w:sz w:val="24"/>
                <w:szCs w:val="24"/>
                <w:lang w:val="da-DK"/>
              </w:rPr>
              <w:t>Feber</w:t>
            </w:r>
            <w:r w:rsidRPr="00AD7BA1">
              <w:rPr>
                <w:rFonts w:ascii="Times New Roman" w:hAnsi="Times New Roman" w:cs="Times New Roman"/>
                <w:sz w:val="24"/>
                <w:szCs w:val="24"/>
                <w:vertAlign w:val="superscript"/>
                <w:lang w:val="da-DK"/>
              </w:rPr>
              <w:t>A</w:t>
            </w:r>
            <w:r w:rsidRPr="00AD7BA1">
              <w:rPr>
                <w:rFonts w:ascii="Times New Roman" w:hAnsi="Times New Roman" w:cs="Times New Roman"/>
                <w:sz w:val="24"/>
                <w:szCs w:val="24"/>
                <w:lang w:val="da-DK"/>
              </w:rPr>
              <w:t>, perifert ødem, nedsat generel styrke og energi (herunder</w:t>
            </w:r>
          </w:p>
          <w:p w14:paraId="18F33A79"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træthed og asteni)</w:t>
            </w:r>
          </w:p>
        </w:tc>
        <w:tc>
          <w:tcPr>
            <w:tcW w:w="1000" w:type="pct"/>
          </w:tcPr>
          <w:p w14:paraId="4616E88F"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Utilpashed</w:t>
            </w:r>
          </w:p>
        </w:tc>
        <w:tc>
          <w:tcPr>
            <w:tcW w:w="1000" w:type="pct"/>
          </w:tcPr>
          <w:p w14:paraId="77E47D0E" w14:textId="77777777" w:rsidR="009D21A2" w:rsidRPr="00AD7BA1" w:rsidRDefault="009D21A2" w:rsidP="00BB5D0F">
            <w:pPr>
              <w:pStyle w:val="TableParagraph"/>
              <w:ind w:left="62"/>
              <w:rPr>
                <w:rFonts w:ascii="Times New Roman" w:hAnsi="Times New Roman" w:cs="Times New Roman"/>
                <w:sz w:val="24"/>
                <w:szCs w:val="24"/>
                <w:lang w:val="da-DK"/>
              </w:rPr>
            </w:pPr>
            <w:r w:rsidRPr="00AD7BA1">
              <w:rPr>
                <w:rFonts w:ascii="Times New Roman" w:hAnsi="Times New Roman" w:cs="Times New Roman"/>
                <w:sz w:val="24"/>
                <w:szCs w:val="24"/>
                <w:lang w:val="da-DK"/>
              </w:rPr>
              <w:t>Lokaliseret ødem</w:t>
            </w:r>
            <w:r w:rsidRPr="00AD7BA1">
              <w:rPr>
                <w:rFonts w:ascii="Times New Roman" w:hAnsi="Times New Roman" w:cs="Times New Roman"/>
                <w:sz w:val="24"/>
                <w:szCs w:val="24"/>
                <w:vertAlign w:val="superscript"/>
                <w:lang w:val="da-DK"/>
              </w:rPr>
              <w:t>A</w:t>
            </w:r>
          </w:p>
        </w:tc>
        <w:tc>
          <w:tcPr>
            <w:tcW w:w="1000" w:type="pct"/>
          </w:tcPr>
          <w:p w14:paraId="139E6A64"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3F642BCF"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06FC1468" w14:textId="77777777" w:rsidTr="00BB5D0F">
        <w:trPr>
          <w:trHeight w:val="252"/>
        </w:trPr>
        <w:tc>
          <w:tcPr>
            <w:tcW w:w="5000" w:type="pct"/>
            <w:gridSpan w:val="5"/>
          </w:tcPr>
          <w:p w14:paraId="4CF5A65D"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Undersøgelser</w:t>
            </w:r>
          </w:p>
        </w:tc>
      </w:tr>
      <w:tr w:rsidR="009D21A2" w:rsidRPr="00AD7BA1" w14:paraId="1BAD498C" w14:textId="77777777" w:rsidTr="00BB5D0F">
        <w:trPr>
          <w:trHeight w:val="759"/>
        </w:trPr>
        <w:tc>
          <w:tcPr>
            <w:tcW w:w="1000" w:type="pct"/>
          </w:tcPr>
          <w:p w14:paraId="0FA797D3"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2B783C6A" w14:textId="77777777" w:rsidR="009D21A2" w:rsidRPr="00AD7BA1" w:rsidRDefault="009D21A2" w:rsidP="00BB5D0F">
            <w:pPr>
              <w:pStyle w:val="TableParagraph"/>
              <w:ind w:left="63" w:right="297"/>
              <w:rPr>
                <w:rFonts w:ascii="Times New Roman" w:hAnsi="Times New Roman" w:cs="Times New Roman"/>
                <w:sz w:val="24"/>
                <w:szCs w:val="24"/>
                <w:lang w:val="da-DK"/>
              </w:rPr>
            </w:pPr>
            <w:r w:rsidRPr="00AD7BA1">
              <w:rPr>
                <w:rFonts w:ascii="Times New Roman" w:hAnsi="Times New Roman" w:cs="Times New Roman"/>
                <w:sz w:val="24"/>
                <w:szCs w:val="24"/>
                <w:lang w:val="da-DK"/>
              </w:rPr>
              <w:t>Forhøjet LDH</w:t>
            </w:r>
            <w:r w:rsidRPr="00AD7BA1">
              <w:rPr>
                <w:rFonts w:ascii="Times New Roman" w:hAnsi="Times New Roman" w:cs="Times New Roman"/>
                <w:sz w:val="24"/>
                <w:szCs w:val="24"/>
                <w:vertAlign w:val="superscript"/>
                <w:lang w:val="da-DK"/>
              </w:rPr>
              <w:t>A</w:t>
            </w:r>
            <w:r w:rsidRPr="00AD7BA1">
              <w:rPr>
                <w:rFonts w:ascii="Times New Roman" w:hAnsi="Times New Roman" w:cs="Times New Roman"/>
                <w:sz w:val="24"/>
                <w:szCs w:val="24"/>
                <w:lang w:val="da-DK"/>
              </w:rPr>
              <w:t>, forhøjet lipase</w:t>
            </w:r>
            <w:r w:rsidRPr="00AD7BA1">
              <w:rPr>
                <w:rFonts w:ascii="Times New Roman" w:hAnsi="Times New Roman" w:cs="Times New Roman"/>
                <w:sz w:val="24"/>
                <w:szCs w:val="24"/>
                <w:vertAlign w:val="superscript"/>
                <w:lang w:val="da-DK"/>
              </w:rPr>
              <w:t>A</w:t>
            </w:r>
            <w:r w:rsidRPr="00AD7BA1">
              <w:rPr>
                <w:rFonts w:ascii="Times New Roman" w:hAnsi="Times New Roman" w:cs="Times New Roman"/>
                <w:sz w:val="24"/>
                <w:szCs w:val="24"/>
                <w:lang w:val="da-DK"/>
              </w:rPr>
              <w:t>,</w:t>
            </w:r>
          </w:p>
          <w:p w14:paraId="3EB28247"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forhøjet amylase</w:t>
            </w:r>
            <w:r w:rsidRPr="00AD7BA1">
              <w:rPr>
                <w:rFonts w:ascii="Times New Roman" w:hAnsi="Times New Roman" w:cs="Times New Roman"/>
                <w:sz w:val="24"/>
                <w:szCs w:val="24"/>
                <w:vertAlign w:val="superscript"/>
                <w:lang w:val="da-DK"/>
              </w:rPr>
              <w:t>A</w:t>
            </w:r>
          </w:p>
        </w:tc>
        <w:tc>
          <w:tcPr>
            <w:tcW w:w="1000" w:type="pct"/>
          </w:tcPr>
          <w:p w14:paraId="613CBA7A"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71CACE9B"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0C650CEB" w14:textId="77777777" w:rsidR="009D21A2" w:rsidRPr="00AD7BA1" w:rsidRDefault="009D21A2" w:rsidP="00BB5D0F">
            <w:pPr>
              <w:pStyle w:val="TableParagraph"/>
              <w:ind w:left="0"/>
              <w:rPr>
                <w:rFonts w:ascii="Times New Roman" w:hAnsi="Times New Roman" w:cs="Times New Roman"/>
                <w:sz w:val="24"/>
                <w:szCs w:val="24"/>
                <w:lang w:val="da-DK"/>
              </w:rPr>
            </w:pPr>
          </w:p>
        </w:tc>
      </w:tr>
      <w:tr w:rsidR="009D21A2" w:rsidRPr="00AD7BA1" w14:paraId="18FD4652" w14:textId="77777777" w:rsidTr="00BB5D0F">
        <w:trPr>
          <w:trHeight w:val="252"/>
        </w:trPr>
        <w:tc>
          <w:tcPr>
            <w:tcW w:w="5000" w:type="pct"/>
            <w:gridSpan w:val="5"/>
          </w:tcPr>
          <w:p w14:paraId="61EB3FD9" w14:textId="77777777" w:rsidR="009D21A2" w:rsidRPr="00AD7BA1" w:rsidRDefault="009D21A2" w:rsidP="00BB5D0F">
            <w:pPr>
              <w:pStyle w:val="TableParagraph"/>
              <w:ind w:left="63"/>
              <w:rPr>
                <w:rFonts w:ascii="Times New Roman" w:hAnsi="Times New Roman" w:cs="Times New Roman"/>
                <w:b/>
                <w:sz w:val="24"/>
                <w:szCs w:val="24"/>
                <w:lang w:val="da-DK"/>
              </w:rPr>
            </w:pPr>
            <w:r w:rsidRPr="00AD7BA1">
              <w:rPr>
                <w:rFonts w:ascii="Times New Roman" w:hAnsi="Times New Roman" w:cs="Times New Roman"/>
                <w:b/>
                <w:sz w:val="24"/>
                <w:szCs w:val="24"/>
                <w:lang w:val="da-DK"/>
              </w:rPr>
              <w:t>Traumer, forgiftninger og behandlingskomplikationer</w:t>
            </w:r>
          </w:p>
        </w:tc>
      </w:tr>
      <w:tr w:rsidR="009D21A2" w:rsidRPr="00AD7BA1" w14:paraId="245F2628" w14:textId="77777777" w:rsidTr="00BB5D0F">
        <w:trPr>
          <w:trHeight w:val="1770"/>
        </w:trPr>
        <w:tc>
          <w:tcPr>
            <w:tcW w:w="1000" w:type="pct"/>
          </w:tcPr>
          <w:p w14:paraId="477F6D23" w14:textId="77777777" w:rsidR="009D21A2" w:rsidRPr="00AD7BA1" w:rsidRDefault="009D21A2" w:rsidP="00BB5D0F">
            <w:pPr>
              <w:pStyle w:val="TableParagraph"/>
              <w:ind w:left="63" w:right="36"/>
              <w:rPr>
                <w:rFonts w:ascii="Times New Roman" w:hAnsi="Times New Roman" w:cs="Times New Roman"/>
                <w:sz w:val="24"/>
                <w:szCs w:val="24"/>
                <w:lang w:val="da-DK"/>
              </w:rPr>
            </w:pPr>
            <w:r w:rsidRPr="00AD7BA1">
              <w:rPr>
                <w:rFonts w:ascii="Times New Roman" w:hAnsi="Times New Roman" w:cs="Times New Roman"/>
                <w:sz w:val="24"/>
                <w:szCs w:val="24"/>
                <w:lang w:val="da-DK"/>
              </w:rPr>
              <w:t>Blødning efter procedurer (herunder postoperativ anæmi og blødning fra sår),</w:t>
            </w:r>
            <w:r w:rsidRPr="00AD7BA1">
              <w:rPr>
                <w:rFonts w:ascii="Times New Roman" w:hAnsi="Times New Roman" w:cs="Times New Roman"/>
                <w:spacing w:val="-6"/>
                <w:sz w:val="24"/>
                <w:szCs w:val="24"/>
                <w:lang w:val="da-DK"/>
              </w:rPr>
              <w:t xml:space="preserve"> </w:t>
            </w:r>
            <w:r w:rsidRPr="00AD7BA1">
              <w:rPr>
                <w:rFonts w:ascii="Times New Roman" w:hAnsi="Times New Roman" w:cs="Times New Roman"/>
                <w:sz w:val="24"/>
                <w:szCs w:val="24"/>
                <w:lang w:val="da-DK"/>
              </w:rPr>
              <w:t>kontusion,</w:t>
            </w:r>
          </w:p>
          <w:p w14:paraId="7E8ABE23" w14:textId="77777777" w:rsidR="009D21A2" w:rsidRPr="00AD7BA1" w:rsidRDefault="009D21A2" w:rsidP="00BB5D0F">
            <w:pPr>
              <w:pStyle w:val="TableParagraph"/>
              <w:ind w:left="63"/>
              <w:rPr>
                <w:rFonts w:ascii="Times New Roman" w:hAnsi="Times New Roman" w:cs="Times New Roman"/>
                <w:sz w:val="24"/>
                <w:szCs w:val="24"/>
                <w:lang w:val="da-DK"/>
              </w:rPr>
            </w:pPr>
            <w:r w:rsidRPr="00AD7BA1">
              <w:rPr>
                <w:rFonts w:ascii="Times New Roman" w:hAnsi="Times New Roman" w:cs="Times New Roman"/>
                <w:sz w:val="24"/>
                <w:szCs w:val="24"/>
                <w:lang w:val="da-DK"/>
              </w:rPr>
              <w:t>sårsekretion</w:t>
            </w:r>
            <w:r w:rsidRPr="00AD7BA1">
              <w:rPr>
                <w:rFonts w:ascii="Times New Roman" w:hAnsi="Times New Roman" w:cs="Times New Roman"/>
                <w:sz w:val="24"/>
                <w:szCs w:val="24"/>
                <w:vertAlign w:val="superscript"/>
                <w:lang w:val="da-DK"/>
              </w:rPr>
              <w:t>A</w:t>
            </w:r>
          </w:p>
        </w:tc>
        <w:tc>
          <w:tcPr>
            <w:tcW w:w="1000" w:type="pct"/>
          </w:tcPr>
          <w:p w14:paraId="2BAD5088"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32F74926" w14:textId="77777777" w:rsidR="009D21A2" w:rsidRPr="00AD7BA1" w:rsidRDefault="009D21A2" w:rsidP="00BB5D0F">
            <w:pPr>
              <w:pStyle w:val="TableParagraph"/>
              <w:ind w:left="62"/>
              <w:rPr>
                <w:rFonts w:ascii="Times New Roman" w:hAnsi="Times New Roman" w:cs="Times New Roman"/>
                <w:sz w:val="24"/>
                <w:szCs w:val="24"/>
                <w:lang w:val="da-DK"/>
              </w:rPr>
            </w:pPr>
            <w:r w:rsidRPr="00AD7BA1">
              <w:rPr>
                <w:rFonts w:ascii="Times New Roman" w:hAnsi="Times New Roman" w:cs="Times New Roman"/>
                <w:sz w:val="24"/>
                <w:szCs w:val="24"/>
                <w:lang w:val="da-DK"/>
              </w:rPr>
              <w:t>Vaskulær pseudoaneurisme</w:t>
            </w:r>
            <w:r w:rsidRPr="00AD7BA1">
              <w:rPr>
                <w:rFonts w:ascii="Times New Roman" w:hAnsi="Times New Roman" w:cs="Times New Roman"/>
                <w:sz w:val="24"/>
                <w:szCs w:val="24"/>
                <w:vertAlign w:val="superscript"/>
                <w:lang w:val="da-DK"/>
              </w:rPr>
              <w:t>C</w:t>
            </w:r>
          </w:p>
        </w:tc>
        <w:tc>
          <w:tcPr>
            <w:tcW w:w="1000" w:type="pct"/>
          </w:tcPr>
          <w:p w14:paraId="53BE052E" w14:textId="77777777" w:rsidR="009D21A2" w:rsidRPr="00AD7BA1" w:rsidRDefault="009D21A2" w:rsidP="00BB5D0F">
            <w:pPr>
              <w:pStyle w:val="TableParagraph"/>
              <w:ind w:left="0"/>
              <w:rPr>
                <w:rFonts w:ascii="Times New Roman" w:hAnsi="Times New Roman" w:cs="Times New Roman"/>
                <w:sz w:val="24"/>
                <w:szCs w:val="24"/>
                <w:lang w:val="da-DK"/>
              </w:rPr>
            </w:pPr>
          </w:p>
        </w:tc>
        <w:tc>
          <w:tcPr>
            <w:tcW w:w="1000" w:type="pct"/>
          </w:tcPr>
          <w:p w14:paraId="3BD98F67" w14:textId="77777777" w:rsidR="009D21A2" w:rsidRPr="00AD7BA1" w:rsidRDefault="009D21A2" w:rsidP="00BB5D0F">
            <w:pPr>
              <w:pStyle w:val="TableParagraph"/>
              <w:ind w:left="0"/>
              <w:rPr>
                <w:rFonts w:ascii="Times New Roman" w:hAnsi="Times New Roman" w:cs="Times New Roman"/>
                <w:sz w:val="24"/>
                <w:szCs w:val="24"/>
                <w:lang w:val="da-DK"/>
              </w:rPr>
            </w:pPr>
          </w:p>
        </w:tc>
      </w:tr>
    </w:tbl>
    <w:p w14:paraId="714787CC" w14:textId="77777777" w:rsidR="009D21A2" w:rsidRPr="00AD7BA1" w:rsidRDefault="009D21A2" w:rsidP="00BB5D0F">
      <w:pPr>
        <w:pStyle w:val="Listeafsnit"/>
        <w:numPr>
          <w:ilvl w:val="0"/>
          <w:numId w:val="8"/>
        </w:numPr>
        <w:ind w:left="426" w:right="989" w:hanging="426"/>
        <w:rPr>
          <w:sz w:val="24"/>
          <w:szCs w:val="24"/>
          <w:lang w:val="da-DK"/>
        </w:rPr>
      </w:pPr>
      <w:r w:rsidRPr="00AD7BA1">
        <w:rPr>
          <w:sz w:val="24"/>
          <w:szCs w:val="24"/>
          <w:lang w:val="da-DK"/>
        </w:rPr>
        <w:t>Iagttaget ved forebyggelse af VTE hos voksne patienter, som gennemgår elektiv hofte- eller knæledsalloplastik</w:t>
      </w:r>
    </w:p>
    <w:p w14:paraId="603190F2" w14:textId="77777777" w:rsidR="009D21A2" w:rsidRPr="00AD7BA1" w:rsidRDefault="009D21A2" w:rsidP="00BB5D0F">
      <w:pPr>
        <w:pStyle w:val="Listeafsnit"/>
        <w:numPr>
          <w:ilvl w:val="0"/>
          <w:numId w:val="8"/>
        </w:numPr>
        <w:ind w:left="426" w:right="1078" w:hanging="426"/>
        <w:rPr>
          <w:sz w:val="24"/>
          <w:szCs w:val="24"/>
          <w:lang w:val="da-DK"/>
        </w:rPr>
      </w:pPr>
      <w:r w:rsidRPr="00AD7BA1">
        <w:rPr>
          <w:sz w:val="24"/>
          <w:szCs w:val="24"/>
          <w:lang w:val="da-DK"/>
        </w:rPr>
        <w:t>Iagttaget ved behandling af DVT, PE og forebyggelse af recidiv som meget almindelig hos kvinder &lt; 55</w:t>
      </w:r>
      <w:r w:rsidRPr="00AD7BA1">
        <w:rPr>
          <w:spacing w:val="-3"/>
          <w:sz w:val="24"/>
          <w:szCs w:val="24"/>
          <w:lang w:val="da-DK"/>
        </w:rPr>
        <w:t xml:space="preserve"> </w:t>
      </w:r>
      <w:r w:rsidRPr="00AD7BA1">
        <w:rPr>
          <w:sz w:val="24"/>
          <w:szCs w:val="24"/>
          <w:lang w:val="da-DK"/>
        </w:rPr>
        <w:t>år.</w:t>
      </w:r>
    </w:p>
    <w:p w14:paraId="68928D39" w14:textId="77777777" w:rsidR="009D21A2" w:rsidRPr="00AD7BA1" w:rsidRDefault="009D21A2" w:rsidP="00BB5D0F">
      <w:pPr>
        <w:pStyle w:val="Listeafsnit"/>
        <w:numPr>
          <w:ilvl w:val="0"/>
          <w:numId w:val="8"/>
        </w:numPr>
        <w:ind w:left="426" w:right="1287" w:hanging="426"/>
        <w:rPr>
          <w:sz w:val="24"/>
          <w:szCs w:val="24"/>
          <w:lang w:val="da-DK"/>
        </w:rPr>
      </w:pPr>
      <w:r w:rsidRPr="00AD7BA1">
        <w:rPr>
          <w:sz w:val="24"/>
          <w:szCs w:val="24"/>
          <w:lang w:val="da-DK"/>
        </w:rPr>
        <w:t>Iagttaget som ikke almindelig ved forebyggelse af aterotrombotiske hændelser efter akut koronarsyndrom (efter perkutan</w:t>
      </w:r>
      <w:r w:rsidRPr="00AD7BA1">
        <w:rPr>
          <w:spacing w:val="-2"/>
          <w:sz w:val="24"/>
          <w:szCs w:val="24"/>
          <w:lang w:val="da-DK"/>
        </w:rPr>
        <w:t xml:space="preserve"> </w:t>
      </w:r>
      <w:r w:rsidRPr="00AD7BA1">
        <w:rPr>
          <w:sz w:val="24"/>
          <w:szCs w:val="24"/>
          <w:lang w:val="da-DK"/>
        </w:rPr>
        <w:t>koronarintervention)</w:t>
      </w:r>
    </w:p>
    <w:p w14:paraId="5940A078" w14:textId="77777777" w:rsidR="009D21A2" w:rsidRPr="00AD7BA1" w:rsidRDefault="009D21A2" w:rsidP="00BB5D0F">
      <w:pPr>
        <w:pStyle w:val="Listeafsnit"/>
        <w:numPr>
          <w:ilvl w:val="0"/>
          <w:numId w:val="9"/>
        </w:numPr>
        <w:ind w:left="426" w:right="755" w:hanging="426"/>
        <w:rPr>
          <w:sz w:val="24"/>
          <w:szCs w:val="24"/>
          <w:lang w:val="da-DK"/>
        </w:rPr>
      </w:pPr>
      <w:r w:rsidRPr="00AD7BA1">
        <w:rPr>
          <w:sz w:val="24"/>
          <w:szCs w:val="24"/>
          <w:lang w:val="da-DK"/>
        </w:rPr>
        <w:t>En præspecificeret selektiv indfaldsvinkel til indsamling af uønskede hændelser blev anvendt i udvalgte fase III-studier. Forekomsten af bivirkninger steg ikke, og der blev ikke identificeret nogen ny bivirkning efter analyse af disse</w:t>
      </w:r>
      <w:r w:rsidRPr="00AD7BA1">
        <w:rPr>
          <w:spacing w:val="-5"/>
          <w:sz w:val="24"/>
          <w:szCs w:val="24"/>
          <w:lang w:val="da-DK"/>
        </w:rPr>
        <w:t xml:space="preserve"> </w:t>
      </w:r>
      <w:r w:rsidRPr="00AD7BA1">
        <w:rPr>
          <w:sz w:val="24"/>
          <w:szCs w:val="24"/>
          <w:lang w:val="da-DK"/>
        </w:rPr>
        <w:t>studier.</w:t>
      </w:r>
    </w:p>
    <w:p w14:paraId="1F58F07D" w14:textId="77777777" w:rsidR="009D21A2" w:rsidRPr="00AD7BA1" w:rsidRDefault="009D21A2" w:rsidP="00BB5D0F">
      <w:pPr>
        <w:ind w:left="851"/>
        <w:rPr>
          <w:sz w:val="24"/>
          <w:szCs w:val="24"/>
        </w:rPr>
      </w:pPr>
    </w:p>
    <w:p w14:paraId="320EBD88" w14:textId="77777777" w:rsidR="009D21A2" w:rsidRPr="00AD7BA1" w:rsidRDefault="009D21A2" w:rsidP="00BB5D0F">
      <w:pPr>
        <w:ind w:left="851"/>
        <w:rPr>
          <w:sz w:val="24"/>
          <w:szCs w:val="24"/>
          <w:u w:val="single"/>
        </w:rPr>
      </w:pPr>
      <w:r w:rsidRPr="00AD7BA1">
        <w:rPr>
          <w:sz w:val="24"/>
          <w:szCs w:val="24"/>
          <w:u w:val="single"/>
        </w:rPr>
        <w:t>Beskrivelse af udvalgte bivirkninger</w:t>
      </w:r>
    </w:p>
    <w:p w14:paraId="0D0F30B0" w14:textId="76BCFD2E" w:rsidR="009D21A2" w:rsidRPr="00AD7BA1" w:rsidRDefault="009D21A2" w:rsidP="00BB5D0F">
      <w:pPr>
        <w:ind w:left="851"/>
        <w:rPr>
          <w:sz w:val="24"/>
          <w:szCs w:val="24"/>
        </w:rPr>
      </w:pPr>
      <w:r w:rsidRPr="00AD7BA1">
        <w:rPr>
          <w:sz w:val="24"/>
          <w:szCs w:val="24"/>
        </w:rPr>
        <w:t xml:space="preserve">På grund af </w:t>
      </w:r>
      <w:r w:rsidR="00AF6CB0" w:rsidRPr="00AD7BA1">
        <w:rPr>
          <w:sz w:val="24"/>
          <w:szCs w:val="24"/>
        </w:rPr>
        <w:t>Rixacam</w:t>
      </w:r>
      <w:r w:rsidRPr="00AD7BA1">
        <w:rPr>
          <w:sz w:val="24"/>
          <w:szCs w:val="24"/>
        </w:rPr>
        <w:t xml:space="preserve">s farmakologiske virkningsmekanisme kan brugen af </w:t>
      </w:r>
      <w:r w:rsidR="00AF6CB0" w:rsidRPr="00AD7BA1">
        <w:rPr>
          <w:sz w:val="24"/>
          <w:szCs w:val="24"/>
        </w:rPr>
        <w:t>Rixacam</w:t>
      </w:r>
      <w:r w:rsidRPr="00AD7BA1">
        <w:rPr>
          <w:sz w:val="24"/>
          <w:szCs w:val="24"/>
        </w:rPr>
        <w:t xml:space="preserve"> være forbundet med en øget risiko for okkult eller synlig blødning fra alle væv eller organer, hvilket kan medføre</w:t>
      </w:r>
      <w:r w:rsidR="00BB5D0F" w:rsidRPr="00AD7BA1">
        <w:rPr>
          <w:sz w:val="24"/>
          <w:szCs w:val="24"/>
        </w:rPr>
        <w:t xml:space="preserve"> </w:t>
      </w:r>
      <w:r w:rsidRPr="00AD7BA1">
        <w:rPr>
          <w:sz w:val="24"/>
          <w:szCs w:val="24"/>
        </w:rPr>
        <w:t>posthæmoragisk anæmi. Symptomerne og sværhedsgraden (herunder mulig letal udgang) varierer i forhold til blødningens placering og graden eller omfanget af blødningen og/eller anæmien (se</w:t>
      </w:r>
      <w:r w:rsidR="006E2C6D" w:rsidRPr="00AD7BA1">
        <w:rPr>
          <w:sz w:val="24"/>
          <w:szCs w:val="24"/>
        </w:rPr>
        <w:t xml:space="preserve"> </w:t>
      </w:r>
      <w:r w:rsidRPr="00AD7BA1">
        <w:rPr>
          <w:sz w:val="24"/>
          <w:szCs w:val="24"/>
        </w:rPr>
        <w:t>pkt. 4.9). I de kliniske studier sås slimhindeblødning</w:t>
      </w:r>
      <w:r w:rsidR="00AF6CB0" w:rsidRPr="00AD7BA1">
        <w:rPr>
          <w:sz w:val="24"/>
          <w:szCs w:val="24"/>
        </w:rPr>
        <w:t>e</w:t>
      </w:r>
      <w:r w:rsidRPr="00AD7BA1">
        <w:rPr>
          <w:sz w:val="24"/>
          <w:szCs w:val="24"/>
        </w:rPr>
        <w:t>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14:paraId="1ACB79AD" w14:textId="4B49D1CF" w:rsidR="009D21A2" w:rsidRPr="00AD7BA1" w:rsidRDefault="009D21A2" w:rsidP="00BB5D0F">
      <w:pPr>
        <w:ind w:left="851"/>
        <w:rPr>
          <w:sz w:val="24"/>
          <w:szCs w:val="24"/>
        </w:rPr>
      </w:pPr>
      <w:r w:rsidRPr="00AD7BA1">
        <w:rPr>
          <w:sz w:val="24"/>
          <w:szCs w:val="24"/>
        </w:rPr>
        <w:t>Risikoen for blødning kan være øget hos visse patientgrupper, f.eks. hos patienter med ukontrolleret, svær arteriel hypertension, og/eller som samtidig får anden behandling, der påvirker hæmostasen (se pkt</w:t>
      </w:r>
      <w:r w:rsidR="00AF6CB0" w:rsidRPr="00AD7BA1">
        <w:rPr>
          <w:sz w:val="24"/>
          <w:szCs w:val="24"/>
        </w:rPr>
        <w:t>.</w:t>
      </w:r>
      <w:r w:rsidRPr="00AD7BA1">
        <w:rPr>
          <w:sz w:val="24"/>
          <w:szCs w:val="24"/>
        </w:rPr>
        <w:t xml:space="preserve"> 4.4 ”Blødningsrisiko”). Menstruationsblødningen kan være kraftigere og/eller forlænget.</w:t>
      </w:r>
    </w:p>
    <w:p w14:paraId="0B079BFF" w14:textId="77777777" w:rsidR="009D21A2" w:rsidRPr="00AD7BA1" w:rsidRDefault="009D21A2" w:rsidP="00BB5D0F">
      <w:pPr>
        <w:ind w:left="851"/>
        <w:rPr>
          <w:sz w:val="24"/>
          <w:szCs w:val="24"/>
        </w:rPr>
      </w:pPr>
      <w:r w:rsidRPr="00AD7BA1">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6B4E90FB" w14:textId="77777777" w:rsidR="009850F6" w:rsidRDefault="009D21A2" w:rsidP="009850F6">
      <w:pPr>
        <w:ind w:left="851"/>
        <w:rPr>
          <w:sz w:val="24"/>
          <w:szCs w:val="24"/>
        </w:rPr>
      </w:pPr>
      <w:r w:rsidRPr="00AD7BA1">
        <w:rPr>
          <w:sz w:val="24"/>
          <w:szCs w:val="24"/>
        </w:rPr>
        <w:t xml:space="preserve">Der er for </w:t>
      </w:r>
      <w:r w:rsidR="00AF6CB0" w:rsidRPr="00AD7BA1">
        <w:rPr>
          <w:sz w:val="24"/>
          <w:szCs w:val="24"/>
        </w:rPr>
        <w:t>Rixacam</w:t>
      </w:r>
      <w:r w:rsidRPr="00AD7BA1">
        <w:rPr>
          <w:sz w:val="24"/>
          <w:szCs w:val="24"/>
        </w:rPr>
        <w:t xml:space="preserve"> indberettet kendte komplikationer sekundære til svær blødning som </w:t>
      </w:r>
      <w:r w:rsidR="009850F6">
        <w:rPr>
          <w:sz w:val="24"/>
          <w:szCs w:val="24"/>
        </w:rPr>
        <w:t>f.eks. kompartmentsyndrom og nyresvigt som følge af hypoperfusion eller antikoagulantia-relateret nefropati. Der skal derfor tages højde for risikoen for blødning, når tilstanden hos en patient, der får antikoagulans, evalueres.</w:t>
      </w:r>
    </w:p>
    <w:p w14:paraId="16ECE045" w14:textId="1706649D" w:rsidR="009D21A2" w:rsidRPr="00AD7BA1" w:rsidRDefault="009D21A2" w:rsidP="00BB5D0F">
      <w:pPr>
        <w:ind w:left="851"/>
        <w:rPr>
          <w:sz w:val="24"/>
          <w:szCs w:val="24"/>
        </w:rPr>
      </w:pPr>
    </w:p>
    <w:p w14:paraId="18647C61" w14:textId="77777777" w:rsidR="009D21A2" w:rsidRPr="00AD7BA1" w:rsidRDefault="009D21A2" w:rsidP="00BB5D0F">
      <w:pPr>
        <w:ind w:left="851"/>
        <w:rPr>
          <w:sz w:val="24"/>
          <w:szCs w:val="24"/>
          <w:u w:val="single"/>
        </w:rPr>
      </w:pPr>
      <w:r w:rsidRPr="00AD7BA1">
        <w:rPr>
          <w:sz w:val="24"/>
          <w:szCs w:val="24"/>
          <w:u w:val="single"/>
        </w:rPr>
        <w:t>Indberetning af formodede bivirkninger</w:t>
      </w:r>
    </w:p>
    <w:p w14:paraId="62044963" w14:textId="4902FEFC" w:rsidR="009D21A2" w:rsidRPr="00AD7BA1" w:rsidRDefault="009D21A2" w:rsidP="00BB5D0F">
      <w:pPr>
        <w:ind w:left="851"/>
        <w:rPr>
          <w:sz w:val="24"/>
          <w:szCs w:val="24"/>
        </w:rPr>
      </w:pPr>
      <w:r w:rsidRPr="00AD7BA1">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12FCD561" w14:textId="77777777" w:rsidR="006E2C6D" w:rsidRPr="00AD7BA1" w:rsidRDefault="006E2C6D" w:rsidP="00BB5D0F">
      <w:pPr>
        <w:ind w:left="851"/>
        <w:rPr>
          <w:sz w:val="24"/>
          <w:szCs w:val="24"/>
        </w:rPr>
      </w:pPr>
    </w:p>
    <w:p w14:paraId="598044FD" w14:textId="77777777" w:rsidR="009D21A2" w:rsidRPr="00AD7BA1" w:rsidRDefault="009D21A2" w:rsidP="00BB5D0F">
      <w:pPr>
        <w:ind w:left="851"/>
        <w:rPr>
          <w:rFonts w:eastAsia="Calibri"/>
          <w:sz w:val="24"/>
          <w:szCs w:val="24"/>
        </w:rPr>
      </w:pPr>
      <w:r w:rsidRPr="00AD7BA1">
        <w:rPr>
          <w:sz w:val="24"/>
          <w:szCs w:val="24"/>
        </w:rPr>
        <w:t>Lægemiddelstyrelsen</w:t>
      </w:r>
    </w:p>
    <w:p w14:paraId="28E37893" w14:textId="77777777" w:rsidR="009D21A2" w:rsidRPr="00AD7BA1" w:rsidRDefault="009D21A2" w:rsidP="00BB5D0F">
      <w:pPr>
        <w:ind w:left="851"/>
        <w:rPr>
          <w:rFonts w:eastAsia="Calibri"/>
          <w:sz w:val="24"/>
          <w:szCs w:val="24"/>
        </w:rPr>
      </w:pPr>
      <w:r w:rsidRPr="00AD7BA1">
        <w:rPr>
          <w:rFonts w:eastAsia="Calibri"/>
          <w:sz w:val="24"/>
          <w:szCs w:val="24"/>
        </w:rPr>
        <w:t>Axel Heides Gade 1</w:t>
      </w:r>
    </w:p>
    <w:p w14:paraId="39957100" w14:textId="77777777" w:rsidR="009D21A2" w:rsidRPr="00AD7BA1" w:rsidRDefault="009D21A2" w:rsidP="00BB5D0F">
      <w:pPr>
        <w:ind w:left="851"/>
        <w:rPr>
          <w:rFonts w:eastAsia="Calibri"/>
          <w:sz w:val="24"/>
          <w:szCs w:val="24"/>
        </w:rPr>
      </w:pPr>
      <w:r w:rsidRPr="00AD7BA1">
        <w:rPr>
          <w:rFonts w:eastAsia="Calibri"/>
          <w:sz w:val="24"/>
          <w:szCs w:val="24"/>
        </w:rPr>
        <w:t>DK-2300 København S</w:t>
      </w:r>
    </w:p>
    <w:p w14:paraId="351CDF6C" w14:textId="77777777" w:rsidR="009D21A2" w:rsidRPr="00AD7BA1" w:rsidRDefault="009D21A2" w:rsidP="00BB5D0F">
      <w:pPr>
        <w:ind w:left="851"/>
        <w:rPr>
          <w:rFonts w:eastAsia="Calibri"/>
          <w:sz w:val="24"/>
          <w:szCs w:val="24"/>
        </w:rPr>
      </w:pPr>
      <w:r w:rsidRPr="00AD7BA1">
        <w:rPr>
          <w:rFonts w:eastAsia="Calibri"/>
          <w:sz w:val="24"/>
          <w:szCs w:val="24"/>
        </w:rPr>
        <w:t xml:space="preserve">Websted: </w:t>
      </w:r>
      <w:hyperlink r:id="rId8" w:history="1">
        <w:r w:rsidRPr="00AD7BA1">
          <w:rPr>
            <w:rStyle w:val="Hyperlink"/>
            <w:rFonts w:eastAsia="Calibri"/>
            <w:sz w:val="24"/>
            <w:szCs w:val="24"/>
          </w:rPr>
          <w:t>www.meldenbivirkning.dk</w:t>
        </w:r>
      </w:hyperlink>
      <w:hyperlink r:id="rId9" w:history="1"/>
    </w:p>
    <w:p w14:paraId="3CE1190B" w14:textId="77777777" w:rsidR="009260DE" w:rsidRPr="00AD7BA1" w:rsidRDefault="009260DE" w:rsidP="00A10294">
      <w:pPr>
        <w:tabs>
          <w:tab w:val="left" w:pos="851"/>
        </w:tabs>
        <w:ind w:left="851"/>
        <w:rPr>
          <w:sz w:val="24"/>
          <w:szCs w:val="24"/>
        </w:rPr>
      </w:pPr>
    </w:p>
    <w:p w14:paraId="228A9B22" w14:textId="77777777" w:rsidR="009260DE" w:rsidRPr="00AD7BA1" w:rsidRDefault="009260DE" w:rsidP="009260DE">
      <w:pPr>
        <w:tabs>
          <w:tab w:val="left" w:pos="851"/>
        </w:tabs>
        <w:ind w:left="851" w:hanging="851"/>
        <w:rPr>
          <w:b/>
          <w:sz w:val="24"/>
          <w:szCs w:val="24"/>
        </w:rPr>
      </w:pPr>
      <w:r w:rsidRPr="00AD7BA1">
        <w:rPr>
          <w:b/>
          <w:sz w:val="24"/>
          <w:szCs w:val="24"/>
        </w:rPr>
        <w:t>4.9</w:t>
      </w:r>
      <w:r w:rsidRPr="00AD7BA1">
        <w:rPr>
          <w:b/>
          <w:sz w:val="24"/>
          <w:szCs w:val="24"/>
        </w:rPr>
        <w:tab/>
        <w:t>Overdosering</w:t>
      </w:r>
    </w:p>
    <w:p w14:paraId="7BFAA011" w14:textId="77777777" w:rsidR="009D21A2" w:rsidRPr="00AD7BA1" w:rsidRDefault="009D21A2" w:rsidP="00BB5D0F">
      <w:pPr>
        <w:ind w:left="851"/>
        <w:rPr>
          <w:sz w:val="24"/>
          <w:szCs w:val="24"/>
        </w:rPr>
      </w:pPr>
      <w:r w:rsidRPr="00AD7BA1">
        <w:rPr>
          <w:sz w:val="24"/>
          <w:szCs w:val="24"/>
        </w:rPr>
        <w:t>Der er indberettet sjældne tilfælde af overdosering på op til 1.960 mg. I tilfælde af overdosering, skal patienten observeres tæt for blødningskomplikationer eller andre bivirkninger (se pkt. ”Behandling af blødning”). Den begrænsede absorption forventes at medføre en ceiling-effekt uden yderligere stigning i den gennemsnitlige plasmakoncentration ved supraterapeutiske doser på 50 mg rivaroxaban eller højere.</w:t>
      </w:r>
    </w:p>
    <w:p w14:paraId="58DB9F0A" w14:textId="6A02D507" w:rsidR="009D21A2" w:rsidRPr="00AD7BA1" w:rsidRDefault="009D21A2" w:rsidP="00BB5D0F">
      <w:pPr>
        <w:ind w:left="851"/>
        <w:rPr>
          <w:sz w:val="24"/>
          <w:szCs w:val="24"/>
        </w:rPr>
      </w:pPr>
      <w:r w:rsidRPr="00AD7BA1">
        <w:rPr>
          <w:sz w:val="24"/>
          <w:szCs w:val="24"/>
        </w:rPr>
        <w:t>Der findes en specifik antidot (andexanet alfa), der antagoniserer rivaroxabans farmakodynamiske virkning (se produktresuméet for andexanet alfa).</w:t>
      </w:r>
    </w:p>
    <w:p w14:paraId="7C712E00" w14:textId="77777777" w:rsidR="009D21A2" w:rsidRPr="00AD7BA1" w:rsidRDefault="009D21A2" w:rsidP="00BB5D0F">
      <w:pPr>
        <w:ind w:left="851"/>
        <w:rPr>
          <w:sz w:val="24"/>
          <w:szCs w:val="24"/>
        </w:rPr>
      </w:pPr>
      <w:r w:rsidRPr="00AD7BA1">
        <w:rPr>
          <w:sz w:val="24"/>
          <w:szCs w:val="24"/>
        </w:rPr>
        <w:t>Ved overdosering med rivaroxaban kan det overvejes at bruge aktivt kul til at reducere absorptionen.</w:t>
      </w:r>
    </w:p>
    <w:p w14:paraId="1CFEC15E" w14:textId="77777777" w:rsidR="009D21A2" w:rsidRPr="00AD7BA1" w:rsidRDefault="009D21A2" w:rsidP="00BB5D0F">
      <w:pPr>
        <w:ind w:left="851"/>
        <w:rPr>
          <w:sz w:val="24"/>
          <w:szCs w:val="24"/>
        </w:rPr>
      </w:pPr>
    </w:p>
    <w:p w14:paraId="744D074A" w14:textId="77777777" w:rsidR="009D21A2" w:rsidRPr="00AD7BA1" w:rsidRDefault="009D21A2" w:rsidP="00BB5D0F">
      <w:pPr>
        <w:ind w:left="851"/>
        <w:rPr>
          <w:sz w:val="24"/>
          <w:szCs w:val="24"/>
          <w:u w:val="single"/>
        </w:rPr>
      </w:pPr>
      <w:r w:rsidRPr="00AD7BA1">
        <w:rPr>
          <w:sz w:val="24"/>
          <w:szCs w:val="24"/>
          <w:u w:val="single"/>
        </w:rPr>
        <w:t>Behandling af blødning</w:t>
      </w:r>
    </w:p>
    <w:p w14:paraId="4A1DA169" w14:textId="77777777" w:rsidR="009D21A2" w:rsidRPr="00AD7BA1" w:rsidRDefault="009D21A2" w:rsidP="00BB5D0F">
      <w:pPr>
        <w:ind w:left="851"/>
        <w:rPr>
          <w:sz w:val="24"/>
          <w:szCs w:val="24"/>
        </w:rPr>
      </w:pPr>
      <w:r w:rsidRPr="00AD7BA1">
        <w:rPr>
          <w:sz w:val="24"/>
          <w:szCs w:val="24"/>
        </w:rPr>
        <w:t>Såfremt der optræder blødningskomplikationer hos en patient, der får rivaroxaban, skal næste rivaroxaban-administration udsættes eller behandlingen seponeres efter lægens vurdering.</w:t>
      </w:r>
    </w:p>
    <w:p w14:paraId="6DC618FA" w14:textId="77777777" w:rsidR="009D21A2" w:rsidRPr="00AD7BA1" w:rsidRDefault="009D21A2" w:rsidP="00BB5D0F">
      <w:pPr>
        <w:ind w:left="851"/>
        <w:rPr>
          <w:sz w:val="24"/>
          <w:szCs w:val="24"/>
        </w:rPr>
      </w:pPr>
      <w:r w:rsidRPr="00AD7BA1">
        <w:rPr>
          <w:sz w:val="24"/>
          <w:szCs w:val="24"/>
        </w:rPr>
        <w:t>Rivaroxaban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63B914DF" w14:textId="77777777" w:rsidR="009D21A2" w:rsidRPr="00AD7BA1" w:rsidRDefault="009D21A2" w:rsidP="00BB5D0F">
      <w:pPr>
        <w:ind w:left="851"/>
        <w:rPr>
          <w:sz w:val="24"/>
          <w:szCs w:val="24"/>
        </w:rPr>
      </w:pPr>
      <w:r w:rsidRPr="00AD7BA1">
        <w:rPr>
          <w:sz w:val="24"/>
          <w:szCs w:val="24"/>
        </w:rPr>
        <w:t>Såfremt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Der er imidlertid på nuværende tidspunkt yderst begrænsede erfaringer med brug af disse lægemidler hos personer,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4E629823" w14:textId="77777777" w:rsidR="009D21A2" w:rsidRPr="00AD7BA1" w:rsidRDefault="009D21A2" w:rsidP="00BB5D0F">
      <w:pPr>
        <w:ind w:left="851"/>
        <w:rPr>
          <w:sz w:val="24"/>
          <w:szCs w:val="24"/>
        </w:rPr>
      </w:pPr>
    </w:p>
    <w:p w14:paraId="5CFD53BB" w14:textId="7AB0D30C" w:rsidR="009D21A2" w:rsidRPr="00AD7BA1" w:rsidRDefault="009D21A2" w:rsidP="00BB5D0F">
      <w:pPr>
        <w:ind w:left="851"/>
        <w:rPr>
          <w:sz w:val="24"/>
          <w:szCs w:val="24"/>
        </w:rPr>
      </w:pPr>
      <w:r w:rsidRPr="00AD7BA1">
        <w:rPr>
          <w:sz w:val="24"/>
          <w:szCs w:val="24"/>
        </w:rPr>
        <w:t>Protaminsulfat og vitamin K forventes ikke at påvirke rivaroxabans antikoagulerende aktivitet. Der er begrænset erfaring med tranexamsyre og ingen erfaringer med aminocapronsyre og aprotinin hos</w:t>
      </w:r>
      <w:r w:rsidR="006E2C6D" w:rsidRPr="00AD7BA1">
        <w:rPr>
          <w:sz w:val="24"/>
          <w:szCs w:val="24"/>
        </w:rPr>
        <w:t xml:space="preserve"> </w:t>
      </w:r>
      <w:r w:rsidRPr="00AD7BA1">
        <w:rPr>
          <w:sz w:val="24"/>
          <w:szCs w:val="24"/>
        </w:rPr>
        <w:t>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2D4A25B7" w14:textId="77777777" w:rsidR="009260DE" w:rsidRPr="00AD7BA1" w:rsidRDefault="009260DE" w:rsidP="009260DE">
      <w:pPr>
        <w:tabs>
          <w:tab w:val="left" w:pos="851"/>
        </w:tabs>
        <w:ind w:left="851"/>
        <w:rPr>
          <w:sz w:val="24"/>
          <w:szCs w:val="24"/>
        </w:rPr>
      </w:pPr>
    </w:p>
    <w:p w14:paraId="1095A4D1" w14:textId="77777777" w:rsidR="009260DE" w:rsidRPr="00AD7BA1" w:rsidRDefault="009260DE" w:rsidP="009260DE">
      <w:pPr>
        <w:tabs>
          <w:tab w:val="left" w:pos="851"/>
        </w:tabs>
        <w:ind w:left="851" w:hanging="851"/>
        <w:rPr>
          <w:b/>
          <w:sz w:val="24"/>
          <w:szCs w:val="24"/>
        </w:rPr>
      </w:pPr>
      <w:r w:rsidRPr="00AD7BA1">
        <w:rPr>
          <w:b/>
          <w:sz w:val="24"/>
          <w:szCs w:val="24"/>
        </w:rPr>
        <w:t>4.10</w:t>
      </w:r>
      <w:r w:rsidRPr="00AD7BA1">
        <w:rPr>
          <w:b/>
          <w:sz w:val="24"/>
          <w:szCs w:val="24"/>
        </w:rPr>
        <w:tab/>
        <w:t>Udlevering</w:t>
      </w:r>
    </w:p>
    <w:p w14:paraId="57E09667" w14:textId="19CE73AA" w:rsidR="009260DE" w:rsidRPr="00AD7BA1" w:rsidRDefault="00835E55" w:rsidP="009260DE">
      <w:pPr>
        <w:tabs>
          <w:tab w:val="left" w:pos="851"/>
        </w:tabs>
        <w:ind w:left="851"/>
        <w:rPr>
          <w:sz w:val="24"/>
          <w:szCs w:val="24"/>
        </w:rPr>
      </w:pPr>
      <w:r w:rsidRPr="00AD7BA1">
        <w:rPr>
          <w:sz w:val="24"/>
          <w:szCs w:val="24"/>
        </w:rPr>
        <w:t>B</w:t>
      </w:r>
    </w:p>
    <w:p w14:paraId="5DF6DB43" w14:textId="77777777" w:rsidR="009260DE" w:rsidRPr="00AD7BA1" w:rsidRDefault="009260DE" w:rsidP="009260DE">
      <w:pPr>
        <w:tabs>
          <w:tab w:val="left" w:pos="851"/>
        </w:tabs>
        <w:ind w:left="851"/>
        <w:rPr>
          <w:sz w:val="24"/>
          <w:szCs w:val="24"/>
        </w:rPr>
      </w:pPr>
    </w:p>
    <w:p w14:paraId="62467E1E" w14:textId="77777777" w:rsidR="009260DE" w:rsidRPr="00AD7BA1" w:rsidRDefault="009260DE" w:rsidP="009260DE">
      <w:pPr>
        <w:tabs>
          <w:tab w:val="left" w:pos="851"/>
        </w:tabs>
        <w:ind w:left="851"/>
        <w:rPr>
          <w:sz w:val="24"/>
          <w:szCs w:val="24"/>
        </w:rPr>
      </w:pPr>
    </w:p>
    <w:p w14:paraId="45612A80" w14:textId="77777777" w:rsidR="009260DE" w:rsidRPr="00AD7BA1" w:rsidRDefault="009260DE" w:rsidP="009260DE">
      <w:pPr>
        <w:tabs>
          <w:tab w:val="left" w:pos="851"/>
        </w:tabs>
        <w:ind w:left="851" w:hanging="851"/>
        <w:rPr>
          <w:b/>
          <w:sz w:val="24"/>
          <w:szCs w:val="24"/>
        </w:rPr>
      </w:pPr>
      <w:r w:rsidRPr="00AD7BA1">
        <w:rPr>
          <w:b/>
          <w:sz w:val="24"/>
          <w:szCs w:val="24"/>
        </w:rPr>
        <w:t>5.</w:t>
      </w:r>
      <w:r w:rsidRPr="00AD7BA1">
        <w:rPr>
          <w:b/>
          <w:sz w:val="24"/>
          <w:szCs w:val="24"/>
        </w:rPr>
        <w:tab/>
        <w:t>FARMAKOLOGISKE EGENSKABER</w:t>
      </w:r>
    </w:p>
    <w:p w14:paraId="3BA85607" w14:textId="77777777" w:rsidR="009260DE" w:rsidRPr="00AD7BA1" w:rsidRDefault="009260DE" w:rsidP="009260DE">
      <w:pPr>
        <w:tabs>
          <w:tab w:val="left" w:pos="851"/>
        </w:tabs>
        <w:ind w:left="851"/>
        <w:rPr>
          <w:sz w:val="24"/>
          <w:szCs w:val="24"/>
        </w:rPr>
      </w:pPr>
    </w:p>
    <w:p w14:paraId="33053E4A" w14:textId="77777777" w:rsidR="009260DE" w:rsidRPr="00AD7BA1" w:rsidRDefault="009260DE" w:rsidP="009260DE">
      <w:pPr>
        <w:tabs>
          <w:tab w:val="num" w:pos="851"/>
        </w:tabs>
        <w:ind w:left="851" w:hanging="851"/>
        <w:rPr>
          <w:b/>
          <w:sz w:val="24"/>
          <w:szCs w:val="24"/>
        </w:rPr>
      </w:pPr>
      <w:r w:rsidRPr="00AD7BA1">
        <w:rPr>
          <w:b/>
          <w:sz w:val="24"/>
          <w:szCs w:val="24"/>
        </w:rPr>
        <w:t>5.1</w:t>
      </w:r>
      <w:r w:rsidRPr="00AD7BA1">
        <w:rPr>
          <w:b/>
          <w:sz w:val="24"/>
          <w:szCs w:val="24"/>
        </w:rPr>
        <w:tab/>
        <w:t>Farmakodynamiske egenskaber</w:t>
      </w:r>
    </w:p>
    <w:p w14:paraId="6EA97598" w14:textId="1FE58643" w:rsidR="006E2C6D" w:rsidRDefault="009850F6" w:rsidP="00BB5D0F">
      <w:pPr>
        <w:ind w:left="851"/>
        <w:rPr>
          <w:sz w:val="24"/>
          <w:szCs w:val="24"/>
        </w:rPr>
      </w:pPr>
      <w:r w:rsidRPr="00C922B2">
        <w:rPr>
          <w:sz w:val="24"/>
          <w:szCs w:val="24"/>
        </w:rPr>
        <w:t>Farmakoterapeutisk klassifikation:</w:t>
      </w:r>
      <w:r>
        <w:rPr>
          <w:sz w:val="24"/>
          <w:szCs w:val="24"/>
        </w:rPr>
        <w:t xml:space="preserve"> </w:t>
      </w:r>
      <w:r w:rsidRPr="00AD7BA1">
        <w:rPr>
          <w:sz w:val="24"/>
          <w:szCs w:val="24"/>
        </w:rPr>
        <w:t>Antitrombosemidler, direkte faktor Xa-hæmmere</w:t>
      </w:r>
      <w:r>
        <w:rPr>
          <w:sz w:val="24"/>
          <w:szCs w:val="24"/>
        </w:rPr>
        <w:t xml:space="preserve">, </w:t>
      </w:r>
      <w:r w:rsidRPr="00AD7BA1">
        <w:rPr>
          <w:sz w:val="24"/>
          <w:szCs w:val="24"/>
        </w:rPr>
        <w:t>ATC-kode: B 01 AF 01.</w:t>
      </w:r>
    </w:p>
    <w:p w14:paraId="435C7734" w14:textId="77777777" w:rsidR="009850F6" w:rsidRPr="00AD7BA1" w:rsidRDefault="009850F6" w:rsidP="00BB5D0F">
      <w:pPr>
        <w:ind w:left="851"/>
        <w:rPr>
          <w:sz w:val="24"/>
          <w:szCs w:val="24"/>
        </w:rPr>
      </w:pPr>
    </w:p>
    <w:p w14:paraId="2D40B83E" w14:textId="6C9D6E9D" w:rsidR="009D21A2" w:rsidRPr="00AD7BA1" w:rsidRDefault="009D21A2" w:rsidP="00BB5D0F">
      <w:pPr>
        <w:ind w:left="851"/>
        <w:rPr>
          <w:sz w:val="24"/>
          <w:szCs w:val="24"/>
          <w:u w:val="single"/>
        </w:rPr>
      </w:pPr>
      <w:r w:rsidRPr="00AD7BA1">
        <w:rPr>
          <w:sz w:val="24"/>
          <w:szCs w:val="24"/>
          <w:u w:val="single"/>
        </w:rPr>
        <w:t>Virkningsmekanisme</w:t>
      </w:r>
    </w:p>
    <w:p w14:paraId="26E8E1B1" w14:textId="77777777" w:rsidR="009D21A2" w:rsidRPr="00AD7BA1" w:rsidRDefault="009D21A2" w:rsidP="00BB5D0F">
      <w:pPr>
        <w:ind w:left="851"/>
        <w:rPr>
          <w:sz w:val="24"/>
          <w:szCs w:val="24"/>
        </w:rPr>
      </w:pPr>
      <w:r w:rsidRPr="00AD7BA1">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4F26FB7F" w14:textId="77777777" w:rsidR="009D21A2" w:rsidRPr="00AD7BA1" w:rsidRDefault="009D21A2" w:rsidP="00BB5D0F">
      <w:pPr>
        <w:ind w:left="851"/>
        <w:rPr>
          <w:sz w:val="24"/>
          <w:szCs w:val="24"/>
        </w:rPr>
      </w:pPr>
    </w:p>
    <w:p w14:paraId="258B19D2" w14:textId="77777777" w:rsidR="009D21A2" w:rsidRPr="00AD7BA1" w:rsidRDefault="009D21A2" w:rsidP="00BB5D0F">
      <w:pPr>
        <w:ind w:left="851"/>
        <w:rPr>
          <w:sz w:val="24"/>
          <w:szCs w:val="24"/>
          <w:u w:val="single"/>
        </w:rPr>
      </w:pPr>
      <w:r w:rsidRPr="00AD7BA1">
        <w:rPr>
          <w:sz w:val="24"/>
          <w:szCs w:val="24"/>
          <w:u w:val="single"/>
        </w:rPr>
        <w:t>Farmakodynamisk virkning</w:t>
      </w:r>
    </w:p>
    <w:p w14:paraId="646A493B" w14:textId="77777777" w:rsidR="009D21A2" w:rsidRPr="00AD7BA1" w:rsidRDefault="009D21A2" w:rsidP="00BB5D0F">
      <w:pPr>
        <w:ind w:left="851"/>
        <w:rPr>
          <w:sz w:val="24"/>
          <w:szCs w:val="24"/>
        </w:rPr>
      </w:pPr>
      <w:r w:rsidRPr="00AD7BA1">
        <w:rPr>
          <w:sz w:val="24"/>
          <w:szCs w:val="24"/>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coumariner og ikke kan anvendes i forbindelse med andre antikoagulantia.</w:t>
      </w:r>
    </w:p>
    <w:p w14:paraId="7262D868" w14:textId="4121C59B" w:rsidR="009D21A2" w:rsidRPr="00AD7BA1" w:rsidRDefault="009D21A2" w:rsidP="00BB5D0F">
      <w:pPr>
        <w:ind w:left="851"/>
        <w:rPr>
          <w:sz w:val="24"/>
          <w:szCs w:val="24"/>
        </w:rPr>
      </w:pPr>
      <w:r w:rsidRPr="00AD7BA1">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w:t>
      </w:r>
      <w:r w:rsidR="00AF6CB0" w:rsidRPr="00AD7BA1">
        <w:rPr>
          <w:sz w:val="24"/>
          <w:szCs w:val="24"/>
        </w:rPr>
        <w:t xml:space="preserve"> </w:t>
      </w:r>
      <w:r w:rsidRPr="00AD7BA1">
        <w:rPr>
          <w:sz w:val="24"/>
          <w:szCs w:val="24"/>
        </w:rPr>
        <w:t>30 minutter sammenlignet med reduktioner på ca. 3,5 sekunder observeret med 4-faktor PCC'en. Til gengæld havde 3-faktor PCC'en en større og hurtigere samlet effekt på ophævelse af ændringer i endogen trombingenerering end 4-faktor PCC'en (se pkt. 4.9).</w:t>
      </w:r>
    </w:p>
    <w:p w14:paraId="55150657" w14:textId="6754E6A7" w:rsidR="009D21A2" w:rsidRPr="00AD7BA1" w:rsidRDefault="009D21A2" w:rsidP="00BB5D0F">
      <w:pPr>
        <w:ind w:left="851"/>
        <w:rPr>
          <w:sz w:val="24"/>
          <w:szCs w:val="24"/>
        </w:rPr>
      </w:pPr>
      <w:r w:rsidRPr="00AD7BA1">
        <w:rPr>
          <w:sz w:val="24"/>
          <w:szCs w:val="24"/>
        </w:rPr>
        <w:t>Den aktiverede partielle tromboplastintid (aPTT) og Heptest forlænges også i forhold til dosis, men de anbefales ikke til vurdering af rivaroxabans farmakodynamiske virkning. Det er ikke nødvendigt at overvåge koagulationsparametrene under behandling med rivaroxaban som klinisk rutine. Hvis det imidlertid er klinisk indiceret, kan rivaroxaban-niveauerne måles ved kalibrerede kvantitative anti-faktor Xa-test (se pkt. 5.2).</w:t>
      </w:r>
    </w:p>
    <w:p w14:paraId="22A11B7D" w14:textId="77777777" w:rsidR="009D21A2" w:rsidRPr="00AD7BA1" w:rsidRDefault="009D21A2" w:rsidP="00BB5D0F">
      <w:pPr>
        <w:ind w:left="851"/>
        <w:rPr>
          <w:sz w:val="24"/>
          <w:szCs w:val="24"/>
        </w:rPr>
      </w:pPr>
    </w:p>
    <w:p w14:paraId="19A842C2" w14:textId="77777777" w:rsidR="009D21A2" w:rsidRPr="00AD7BA1" w:rsidRDefault="009D21A2" w:rsidP="00BB5D0F">
      <w:pPr>
        <w:ind w:left="851"/>
        <w:rPr>
          <w:sz w:val="24"/>
          <w:szCs w:val="24"/>
          <w:u w:val="single"/>
        </w:rPr>
      </w:pPr>
      <w:r w:rsidRPr="00AD7BA1">
        <w:rPr>
          <w:sz w:val="24"/>
          <w:szCs w:val="24"/>
          <w:u w:val="single"/>
        </w:rPr>
        <w:t>Klinisk virkning og sikkerhed</w:t>
      </w:r>
    </w:p>
    <w:p w14:paraId="6715D6BA" w14:textId="77777777" w:rsidR="009D21A2" w:rsidRPr="00AD7BA1" w:rsidRDefault="009D21A2" w:rsidP="00BB5D0F">
      <w:pPr>
        <w:ind w:left="851"/>
        <w:rPr>
          <w:i/>
          <w:sz w:val="24"/>
          <w:szCs w:val="24"/>
        </w:rPr>
      </w:pPr>
      <w:r w:rsidRPr="00AD7BA1">
        <w:rPr>
          <w:i/>
          <w:sz w:val="24"/>
          <w:szCs w:val="24"/>
        </w:rPr>
        <w:t>Akut koronarsyndrom (AKS)</w:t>
      </w:r>
    </w:p>
    <w:p w14:paraId="43492637" w14:textId="3D2650E8" w:rsidR="009D21A2" w:rsidRPr="00AD7BA1" w:rsidRDefault="009D21A2" w:rsidP="00BB5D0F">
      <w:pPr>
        <w:ind w:left="851"/>
        <w:rPr>
          <w:sz w:val="24"/>
          <w:szCs w:val="24"/>
        </w:rPr>
      </w:pPr>
      <w:r w:rsidRPr="00AD7BA1">
        <w:rPr>
          <w:sz w:val="24"/>
          <w:szCs w:val="24"/>
        </w:rPr>
        <w:t xml:space="preserve">Det kliniske rivaroxaban-program var udformet med henblik på at påvise virkningen af rivaroxaban til forebyggelse af kardiovaskulær (CV) død, myokardieinfarkt (MI) eller apopleksi hos personer med nyligt AKS (ST-elevations-myokardieinfarkt [STEMI], non-ST-elevations-myokardieinfarkt [NSTEMI] eller ustabil angina [UA]). I </w:t>
      </w:r>
      <w:proofErr w:type="gramStart"/>
      <w:r w:rsidRPr="00AD7BA1">
        <w:rPr>
          <w:sz w:val="24"/>
          <w:szCs w:val="24"/>
        </w:rPr>
        <w:t>det pivotale</w:t>
      </w:r>
      <w:proofErr w:type="gramEnd"/>
      <w:r w:rsidRPr="00AD7BA1">
        <w:rPr>
          <w:sz w:val="24"/>
          <w:szCs w:val="24"/>
        </w:rPr>
        <w:t xml:space="preserve"> dobbeltblindede ATLAS ACS 2 TIMI 51-studie blev 15.526 patienter randomiseret i forholdet 1:1:1 til en af tre behandlingsgrupper: rivaroxaban</w:t>
      </w:r>
      <w:r w:rsidR="007C75B5" w:rsidRPr="00AD7BA1">
        <w:rPr>
          <w:sz w:val="24"/>
          <w:szCs w:val="24"/>
        </w:rPr>
        <w:t xml:space="preserve"> </w:t>
      </w:r>
      <w:r w:rsidRPr="00AD7BA1">
        <w:rPr>
          <w:sz w:val="24"/>
          <w:szCs w:val="24"/>
        </w:rPr>
        <w:t>2,5 mg oralt to gange dagligt, 5 mg oralt to gange dagligt eller til placebo to gange dagligt givet samtidig med ASA alene eller med ASA og en thienopyridin (clopidogrel eller ticlopidin). Patienter med AKS under 55 år skulle enten have diabetes mellitus eller tidligere have haft et myokardieinfarkt. Mediantiden i behandling var 13 måneder, og den samlede behandlingsvarighed var op til næsten 3 år. 93,2 % af patienterne fik ASA samtidigt plus thienopyridin-behandling, og 6.8</w:t>
      </w:r>
      <w:r w:rsidR="00AD7BA1">
        <w:rPr>
          <w:sz w:val="24"/>
          <w:szCs w:val="24"/>
        </w:rPr>
        <w:t> </w:t>
      </w:r>
      <w:r w:rsidRPr="00AD7BA1">
        <w:rPr>
          <w:sz w:val="24"/>
          <w:szCs w:val="24"/>
        </w:rPr>
        <w:t>% fik ASA alene.</w:t>
      </w:r>
    </w:p>
    <w:p w14:paraId="1DE8D7E4" w14:textId="0434F1DC" w:rsidR="00BB5D0F" w:rsidRPr="00AD7BA1" w:rsidRDefault="009D21A2" w:rsidP="00BB5D0F">
      <w:pPr>
        <w:ind w:left="851"/>
        <w:rPr>
          <w:sz w:val="24"/>
          <w:szCs w:val="24"/>
        </w:rPr>
      </w:pPr>
      <w:r w:rsidRPr="00AD7BA1">
        <w:rPr>
          <w:sz w:val="24"/>
          <w:szCs w:val="24"/>
        </w:rPr>
        <w:t>Blandt patienterne, som fik dobbelt antitrombotisk behandling, fik 98,8 % clopidogrel, 0,9</w:t>
      </w:r>
      <w:r w:rsidR="00AD7BA1">
        <w:rPr>
          <w:sz w:val="24"/>
          <w:szCs w:val="24"/>
        </w:rPr>
        <w:t> </w:t>
      </w:r>
      <w:r w:rsidRPr="00AD7BA1">
        <w:rPr>
          <w:sz w:val="24"/>
          <w:szCs w:val="24"/>
        </w:rPr>
        <w:t>% fik ticlopidin og 0,3 % fik prasugrel. Patienterne fik den første dosis rivaroxaban mindst 24 timer og op til 7 dage (gennemsnitligt 4,7 dage) efter indlæggelse på hospitalet, men snarest muligt efter stabilisering af AKS-hændelsen, herunder revaskularisations</w:t>
      </w:r>
      <w:r w:rsidR="00AD7BA1">
        <w:rPr>
          <w:sz w:val="24"/>
          <w:szCs w:val="24"/>
        </w:rPr>
        <w:softHyphen/>
      </w:r>
      <w:r w:rsidRPr="00AD7BA1">
        <w:rPr>
          <w:sz w:val="24"/>
          <w:szCs w:val="24"/>
        </w:rPr>
        <w:t>procedurer og når parenteral antikoagulationsbehandling normalt ville blive seponeret.</w:t>
      </w:r>
    </w:p>
    <w:p w14:paraId="3E2E5986" w14:textId="77777777" w:rsidR="00BB5D0F" w:rsidRPr="00AD7BA1" w:rsidRDefault="00BB5D0F" w:rsidP="00BB5D0F">
      <w:pPr>
        <w:ind w:left="851"/>
        <w:rPr>
          <w:sz w:val="24"/>
          <w:szCs w:val="24"/>
        </w:rPr>
      </w:pPr>
    </w:p>
    <w:p w14:paraId="2ABD4D74" w14:textId="7E2F3E27" w:rsidR="009D21A2" w:rsidRPr="00AD7BA1" w:rsidRDefault="009D21A2" w:rsidP="00BB5D0F">
      <w:pPr>
        <w:ind w:left="851"/>
        <w:rPr>
          <w:sz w:val="24"/>
          <w:szCs w:val="24"/>
        </w:rPr>
      </w:pPr>
      <w:r w:rsidRPr="00AD7BA1">
        <w:rPr>
          <w:sz w:val="24"/>
          <w:szCs w:val="24"/>
        </w:rPr>
        <w:t>Både behandlingsprogrammerne med 2,5 mg rivaroxaban to gange dagligt og 5 mg to gange dagligt var effektive til at reducere forekomsten af CV-hændelser yderligere på baggrund af standard-antitrombocytbehandling. Behandlingsprogrammet med 2,5 mg to gange dagligt reducerede mortalitet, og der er evidens for, at den lavere dosis medførte en lavere blødningsrisiko. Derfor anbefales administration af rivaroxaban 2,5 mg to gange dagligt sammen med acetylsalicylsyre (ASA) alene eller sammen med ASA plus clopidogrel eller ticlopidin til forebyggelse af aterotrombotiske hændelser hos voksne patienter efter et AKS med forhøjede hjerte-biomarkører.</w:t>
      </w:r>
    </w:p>
    <w:p w14:paraId="3B513607" w14:textId="77777777" w:rsidR="009D21A2" w:rsidRPr="00AD7BA1" w:rsidRDefault="009D21A2" w:rsidP="00BB5D0F">
      <w:pPr>
        <w:ind w:left="851"/>
        <w:rPr>
          <w:sz w:val="24"/>
          <w:szCs w:val="24"/>
        </w:rPr>
      </w:pPr>
    </w:p>
    <w:p w14:paraId="52D33F6B" w14:textId="3F218164" w:rsidR="009D21A2" w:rsidRPr="00AD7BA1" w:rsidRDefault="009D21A2" w:rsidP="00BB5D0F">
      <w:pPr>
        <w:ind w:left="851"/>
        <w:rPr>
          <w:sz w:val="24"/>
          <w:szCs w:val="24"/>
        </w:rPr>
      </w:pPr>
      <w:r w:rsidRPr="00AD7BA1">
        <w:rPr>
          <w:sz w:val="24"/>
          <w:szCs w:val="24"/>
        </w:rPr>
        <w:t>I forhold til placebo reducerede rivaroxaban signifikant det primære sammensatte endepunkt af CV-død, MI eller apopleksi. Dette skyldtes primært en reduktion i kardiovaskulære dødsfald og myokardieinfarkter og optrådte hurtigt med en konstant behandlingseffekt over hele behandlingsperioden (se tabel 4 og figur 1). Det første sekundære endepunkt (dødsfald uanset årsag, MI eller apopleksi) blev også reduceret signifikant. En yderligere retrospektiv analyse viste en nominelt signifikant reduktion i hyppigheden af stenttrombose sammenlignet med placebo (se</w:t>
      </w:r>
      <w:r w:rsidR="007C75B5" w:rsidRPr="00AD7BA1">
        <w:rPr>
          <w:sz w:val="24"/>
          <w:szCs w:val="24"/>
        </w:rPr>
        <w:t xml:space="preserve"> </w:t>
      </w:r>
      <w:r w:rsidRPr="00AD7BA1">
        <w:rPr>
          <w:sz w:val="24"/>
          <w:szCs w:val="24"/>
        </w:rPr>
        <w:t>tabel 4). Hyppigheden af det primære sikkerhedsudfald (ikke-koronar bypass kiru</w:t>
      </w:r>
      <w:r w:rsidR="00D1063F">
        <w:rPr>
          <w:sz w:val="24"/>
          <w:szCs w:val="24"/>
        </w:rPr>
        <w:t>r</w:t>
      </w:r>
      <w:r w:rsidRPr="00AD7BA1">
        <w:rPr>
          <w:sz w:val="24"/>
          <w:szCs w:val="24"/>
        </w:rPr>
        <w:t>gi (CABG) TIMI større blødningshændelser) var højere for patienter i behandling med rivaroxaban end for patienter, der fik placebo (se tabel 6). Hyppighederne var imidlertid afbalancerede mellem rivaroxaban og placebo for komponenterne af dødelige</w:t>
      </w:r>
      <w:r w:rsidR="007C75B5" w:rsidRPr="00AD7BA1">
        <w:rPr>
          <w:sz w:val="24"/>
          <w:szCs w:val="24"/>
        </w:rPr>
        <w:t xml:space="preserve"> </w:t>
      </w:r>
      <w:r w:rsidRPr="00AD7BA1">
        <w:rPr>
          <w:sz w:val="24"/>
          <w:szCs w:val="24"/>
        </w:rPr>
        <w:t>blødnings</w:t>
      </w:r>
      <w:r w:rsidR="007C75B5" w:rsidRPr="00AD7BA1">
        <w:rPr>
          <w:sz w:val="24"/>
          <w:szCs w:val="24"/>
        </w:rPr>
        <w:softHyphen/>
      </w:r>
      <w:r w:rsidRPr="00AD7BA1">
        <w:rPr>
          <w:sz w:val="24"/>
          <w:szCs w:val="24"/>
        </w:rPr>
        <w:t>hændelser, hypotension, der krævede behandling med intravenøse inotrope stoffer og kirurgisk intervention for vedvarende blødning.</w:t>
      </w:r>
    </w:p>
    <w:p w14:paraId="0D34BF58" w14:textId="77777777" w:rsidR="009D21A2" w:rsidRPr="00AD7BA1" w:rsidRDefault="009D21A2" w:rsidP="00BB5D0F">
      <w:pPr>
        <w:ind w:left="851"/>
        <w:rPr>
          <w:sz w:val="24"/>
          <w:szCs w:val="24"/>
        </w:rPr>
      </w:pPr>
    </w:p>
    <w:p w14:paraId="3B9D53C8" w14:textId="77777777" w:rsidR="009D21A2" w:rsidRPr="00AD7BA1" w:rsidRDefault="009D21A2" w:rsidP="00BB5D0F">
      <w:pPr>
        <w:ind w:left="851"/>
        <w:rPr>
          <w:sz w:val="24"/>
          <w:szCs w:val="24"/>
        </w:rPr>
      </w:pPr>
      <w:r w:rsidRPr="00AD7BA1">
        <w:rPr>
          <w:sz w:val="24"/>
          <w:szCs w:val="24"/>
        </w:rPr>
        <w:t>Tabel 5 er en oversigt over virkningsresultaterne hos de patienter, der gennemgik en perkutan koronar intervention (PCI). Sikkerhedsresultaterne i denne undergruppe af patienter, der gennemgik en PCI, var sammenlignelige med de samlede sikkerhedsresultater.</w:t>
      </w:r>
    </w:p>
    <w:p w14:paraId="1DA3FE11" w14:textId="77777777" w:rsidR="009D21A2" w:rsidRPr="00AD7BA1" w:rsidRDefault="009D21A2" w:rsidP="00BB5D0F">
      <w:pPr>
        <w:ind w:left="851"/>
        <w:rPr>
          <w:sz w:val="24"/>
          <w:szCs w:val="24"/>
        </w:rPr>
      </w:pPr>
    </w:p>
    <w:p w14:paraId="3756A6EC" w14:textId="77777777" w:rsidR="009D21A2" w:rsidRPr="00AD7BA1" w:rsidRDefault="009D21A2" w:rsidP="00BB5D0F">
      <w:pPr>
        <w:ind w:left="851"/>
        <w:rPr>
          <w:sz w:val="24"/>
          <w:szCs w:val="24"/>
        </w:rPr>
      </w:pPr>
      <w:r w:rsidRPr="00AD7BA1">
        <w:rPr>
          <w:sz w:val="24"/>
          <w:szCs w:val="24"/>
        </w:rPr>
        <w:t>Patienter med forhøjede biomarkører (troponin eller CK-MB) og uden tidligere slagtilfælde/TIA udgjorde 80 % af studiepopulationen. Resultaterne i denne patientpopulation var også konsistente med de samlede resultater for virkning og sikkerhed.</w:t>
      </w:r>
    </w:p>
    <w:p w14:paraId="124E6FEC" w14:textId="77777777" w:rsidR="009D21A2" w:rsidRPr="00AD7BA1" w:rsidRDefault="009D21A2" w:rsidP="00BB5D0F">
      <w:pPr>
        <w:ind w:left="851"/>
        <w:rPr>
          <w:sz w:val="24"/>
          <w:szCs w:val="24"/>
        </w:rPr>
      </w:pPr>
    </w:p>
    <w:p w14:paraId="66286F73" w14:textId="305C1392" w:rsidR="009D21A2" w:rsidRPr="00AD7BA1" w:rsidRDefault="009D21A2" w:rsidP="00BB5D0F">
      <w:pPr>
        <w:rPr>
          <w:b/>
          <w:sz w:val="24"/>
          <w:szCs w:val="24"/>
        </w:rPr>
      </w:pPr>
      <w:r w:rsidRPr="00AD7BA1">
        <w:rPr>
          <w:b/>
          <w:sz w:val="24"/>
          <w:szCs w:val="24"/>
        </w:rPr>
        <w:t>Tabel 4: Virkningsresultater fra fase III ATLAS ACS 2 TIMI 51</w:t>
      </w:r>
    </w:p>
    <w:p w14:paraId="57678661" w14:textId="77777777" w:rsidR="00BB5D0F" w:rsidRPr="00AD7BA1" w:rsidRDefault="00BB5D0F" w:rsidP="00BB5D0F">
      <w:pPr>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59"/>
        <w:gridCol w:w="4529"/>
        <w:gridCol w:w="1340"/>
      </w:tblGrid>
      <w:tr w:rsidR="009D21A2" w:rsidRPr="00AD7BA1" w14:paraId="727A5F11" w14:textId="77777777" w:rsidTr="00BB5D0F">
        <w:trPr>
          <w:trHeight w:val="519"/>
        </w:trPr>
        <w:tc>
          <w:tcPr>
            <w:tcW w:w="1952" w:type="pct"/>
          </w:tcPr>
          <w:p w14:paraId="384869E4" w14:textId="77777777" w:rsidR="009D21A2" w:rsidRPr="00AD7BA1" w:rsidRDefault="009D21A2" w:rsidP="00BF59EE">
            <w:pPr>
              <w:pStyle w:val="TableParagraph"/>
              <w:rPr>
                <w:rFonts w:ascii="Times New Roman" w:hAnsi="Times New Roman" w:cs="Times New Roman"/>
                <w:b/>
                <w:sz w:val="24"/>
                <w:szCs w:val="24"/>
                <w:lang w:val="da-DK"/>
              </w:rPr>
            </w:pPr>
            <w:r w:rsidRPr="00AD7BA1">
              <w:rPr>
                <w:rFonts w:ascii="Times New Roman" w:hAnsi="Times New Roman" w:cs="Times New Roman"/>
                <w:b/>
                <w:sz w:val="24"/>
                <w:szCs w:val="24"/>
                <w:lang w:val="da-DK"/>
              </w:rPr>
              <w:t>Studiepopulation</w:t>
            </w:r>
          </w:p>
        </w:tc>
        <w:tc>
          <w:tcPr>
            <w:tcW w:w="3048" w:type="pct"/>
            <w:gridSpan w:val="2"/>
          </w:tcPr>
          <w:p w14:paraId="4D1324DF" w14:textId="77777777" w:rsidR="009D21A2" w:rsidRPr="00AD7BA1" w:rsidRDefault="009D21A2" w:rsidP="00BF59EE">
            <w:pPr>
              <w:pStyle w:val="TableParagraph"/>
              <w:ind w:left="140"/>
              <w:rPr>
                <w:rFonts w:ascii="Times New Roman" w:hAnsi="Times New Roman" w:cs="Times New Roman"/>
                <w:b/>
                <w:sz w:val="24"/>
                <w:szCs w:val="24"/>
                <w:lang w:val="da-DK"/>
              </w:rPr>
            </w:pPr>
            <w:r w:rsidRPr="00AD7BA1">
              <w:rPr>
                <w:rFonts w:ascii="Times New Roman" w:hAnsi="Times New Roman" w:cs="Times New Roman"/>
                <w:b/>
                <w:sz w:val="24"/>
                <w:szCs w:val="24"/>
                <w:lang w:val="da-DK"/>
              </w:rPr>
              <w:t>Patienter med et nyligt akut koronarsyndrom</w:t>
            </w:r>
            <w:r w:rsidRPr="00AD7BA1">
              <w:rPr>
                <w:rFonts w:ascii="Times New Roman" w:hAnsi="Times New Roman" w:cs="Times New Roman"/>
                <w:b/>
                <w:sz w:val="24"/>
                <w:szCs w:val="24"/>
                <w:vertAlign w:val="superscript"/>
                <w:lang w:val="da-DK"/>
              </w:rPr>
              <w:t xml:space="preserve"> a)</w:t>
            </w:r>
          </w:p>
        </w:tc>
      </w:tr>
      <w:tr w:rsidR="009D21A2" w:rsidRPr="00AD7BA1" w14:paraId="1193F9BA" w14:textId="77777777" w:rsidTr="00BB5D0F">
        <w:trPr>
          <w:trHeight w:val="1011"/>
        </w:trPr>
        <w:tc>
          <w:tcPr>
            <w:tcW w:w="1952" w:type="pct"/>
          </w:tcPr>
          <w:p w14:paraId="5B9E0A22" w14:textId="77777777" w:rsidR="009D21A2" w:rsidRPr="00AD7BA1" w:rsidRDefault="009D21A2" w:rsidP="00BF59EE">
            <w:pPr>
              <w:pStyle w:val="TableParagraph"/>
              <w:rPr>
                <w:rFonts w:ascii="Times New Roman" w:hAnsi="Times New Roman" w:cs="Times New Roman"/>
                <w:b/>
                <w:sz w:val="24"/>
                <w:szCs w:val="24"/>
                <w:lang w:val="da-DK"/>
              </w:rPr>
            </w:pPr>
            <w:r w:rsidRPr="00AD7BA1">
              <w:rPr>
                <w:rFonts w:ascii="Times New Roman" w:hAnsi="Times New Roman" w:cs="Times New Roman"/>
                <w:b/>
                <w:sz w:val="24"/>
                <w:szCs w:val="24"/>
                <w:lang w:val="da-DK"/>
              </w:rPr>
              <w:t>Behandlingsdosis</w:t>
            </w:r>
          </w:p>
        </w:tc>
        <w:tc>
          <w:tcPr>
            <w:tcW w:w="2352" w:type="pct"/>
          </w:tcPr>
          <w:p w14:paraId="58F79709" w14:textId="77777777" w:rsidR="009D21A2" w:rsidRPr="00AD7BA1" w:rsidRDefault="009D21A2" w:rsidP="00BF59EE">
            <w:pPr>
              <w:pStyle w:val="TableParagraph"/>
              <w:ind w:left="140"/>
              <w:rPr>
                <w:rFonts w:ascii="Times New Roman" w:hAnsi="Times New Roman" w:cs="Times New Roman"/>
                <w:b/>
                <w:sz w:val="24"/>
                <w:szCs w:val="24"/>
                <w:lang w:val="da-DK"/>
              </w:rPr>
            </w:pPr>
            <w:r w:rsidRPr="00AD7BA1">
              <w:rPr>
                <w:rFonts w:ascii="Times New Roman" w:hAnsi="Times New Roman" w:cs="Times New Roman"/>
                <w:b/>
                <w:sz w:val="24"/>
                <w:szCs w:val="24"/>
                <w:lang w:val="da-DK"/>
              </w:rPr>
              <w:t>Rivaroxaban 2,5 mg, to gange dagligt,</w:t>
            </w:r>
          </w:p>
          <w:p w14:paraId="2D6A288F" w14:textId="77777777" w:rsidR="009D21A2" w:rsidRPr="00AD7BA1" w:rsidRDefault="009D21A2" w:rsidP="00BF59EE">
            <w:pPr>
              <w:pStyle w:val="TableParagraph"/>
              <w:ind w:left="140" w:right="3317"/>
              <w:rPr>
                <w:rFonts w:ascii="Times New Roman" w:hAnsi="Times New Roman" w:cs="Times New Roman"/>
                <w:b/>
                <w:sz w:val="24"/>
                <w:szCs w:val="24"/>
                <w:lang w:val="da-DK"/>
              </w:rPr>
            </w:pPr>
            <w:r w:rsidRPr="00AD7BA1">
              <w:rPr>
                <w:rFonts w:ascii="Times New Roman" w:hAnsi="Times New Roman" w:cs="Times New Roman"/>
                <w:b/>
                <w:sz w:val="24"/>
                <w:szCs w:val="24"/>
                <w:lang w:val="da-DK"/>
              </w:rPr>
              <w:t>N=5.114 n (%)</w:t>
            </w:r>
          </w:p>
          <w:p w14:paraId="5CA2CC31" w14:textId="77777777" w:rsidR="009D21A2" w:rsidRPr="00AD7BA1" w:rsidRDefault="009D21A2" w:rsidP="00BF59EE">
            <w:pPr>
              <w:pStyle w:val="TableParagraph"/>
              <w:ind w:left="140"/>
              <w:rPr>
                <w:rFonts w:ascii="Times New Roman" w:hAnsi="Times New Roman" w:cs="Times New Roman"/>
                <w:b/>
                <w:sz w:val="24"/>
                <w:szCs w:val="24"/>
                <w:lang w:val="da-DK"/>
              </w:rPr>
            </w:pPr>
            <w:r w:rsidRPr="00AD7BA1">
              <w:rPr>
                <w:rFonts w:ascii="Times New Roman" w:hAnsi="Times New Roman" w:cs="Times New Roman"/>
                <w:b/>
                <w:i/>
                <w:sz w:val="24"/>
                <w:szCs w:val="24"/>
                <w:lang w:val="da-DK"/>
              </w:rPr>
              <w:t xml:space="preserve">Hazard </w:t>
            </w:r>
            <w:r w:rsidRPr="00AD7BA1">
              <w:rPr>
                <w:rFonts w:ascii="Times New Roman" w:hAnsi="Times New Roman" w:cs="Times New Roman"/>
                <w:b/>
                <w:sz w:val="24"/>
                <w:szCs w:val="24"/>
                <w:lang w:val="da-DK"/>
              </w:rPr>
              <w:t xml:space="preserve">ratio (HR) (95 % KI) p-værdi </w:t>
            </w:r>
            <w:r w:rsidRPr="00AD7BA1">
              <w:rPr>
                <w:rFonts w:ascii="Times New Roman" w:hAnsi="Times New Roman" w:cs="Times New Roman"/>
                <w:b/>
                <w:sz w:val="24"/>
                <w:szCs w:val="24"/>
                <w:vertAlign w:val="superscript"/>
                <w:lang w:val="da-DK"/>
              </w:rPr>
              <w:t>b)</w:t>
            </w:r>
          </w:p>
        </w:tc>
        <w:tc>
          <w:tcPr>
            <w:tcW w:w="696" w:type="pct"/>
          </w:tcPr>
          <w:p w14:paraId="6C805043" w14:textId="77777777" w:rsidR="009D21A2" w:rsidRPr="00AD7BA1" w:rsidRDefault="009D21A2" w:rsidP="00BF59EE">
            <w:pPr>
              <w:pStyle w:val="TableParagraph"/>
              <w:ind w:left="140" w:right="330"/>
              <w:jc w:val="both"/>
              <w:rPr>
                <w:rFonts w:ascii="Times New Roman" w:hAnsi="Times New Roman" w:cs="Times New Roman"/>
                <w:b/>
                <w:sz w:val="24"/>
                <w:szCs w:val="24"/>
                <w:lang w:val="da-DK"/>
              </w:rPr>
            </w:pPr>
            <w:r w:rsidRPr="00AD7BA1">
              <w:rPr>
                <w:rFonts w:ascii="Times New Roman" w:hAnsi="Times New Roman" w:cs="Times New Roman"/>
                <w:b/>
                <w:sz w:val="24"/>
                <w:szCs w:val="24"/>
                <w:lang w:val="da-DK"/>
              </w:rPr>
              <w:t>Placebo N=5.113 n (%)</w:t>
            </w:r>
          </w:p>
        </w:tc>
      </w:tr>
      <w:tr w:rsidR="009D21A2" w:rsidRPr="00AD7BA1" w14:paraId="79F70F12" w14:textId="77777777" w:rsidTr="00BB5D0F">
        <w:trPr>
          <w:trHeight w:val="759"/>
        </w:trPr>
        <w:tc>
          <w:tcPr>
            <w:tcW w:w="1952" w:type="pct"/>
          </w:tcPr>
          <w:p w14:paraId="74E010E2" w14:textId="77777777" w:rsidR="009D21A2" w:rsidRPr="00AD7BA1" w:rsidRDefault="009D21A2" w:rsidP="00BF59EE">
            <w:pPr>
              <w:pStyle w:val="TableParagraph"/>
              <w:ind w:right="755"/>
              <w:rPr>
                <w:rFonts w:ascii="Times New Roman" w:hAnsi="Times New Roman" w:cs="Times New Roman"/>
                <w:sz w:val="24"/>
                <w:szCs w:val="24"/>
                <w:lang w:val="da-DK"/>
              </w:rPr>
            </w:pPr>
            <w:r w:rsidRPr="00AD7BA1">
              <w:rPr>
                <w:rFonts w:ascii="Times New Roman" w:hAnsi="Times New Roman" w:cs="Times New Roman"/>
                <w:sz w:val="24"/>
                <w:szCs w:val="24"/>
                <w:lang w:val="da-DK"/>
              </w:rPr>
              <w:t>Kardiovaskulær død, MI eller apopleksi</w:t>
            </w:r>
          </w:p>
        </w:tc>
        <w:tc>
          <w:tcPr>
            <w:tcW w:w="2352" w:type="pct"/>
          </w:tcPr>
          <w:p w14:paraId="52F4B6C5"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313 (6,1 %)</w:t>
            </w:r>
          </w:p>
          <w:p w14:paraId="11148966"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0,84 (0,72; 0,97) p = 0,020*</w:t>
            </w:r>
          </w:p>
        </w:tc>
        <w:tc>
          <w:tcPr>
            <w:tcW w:w="696" w:type="pct"/>
          </w:tcPr>
          <w:p w14:paraId="5BE7BBC2"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376</w:t>
            </w:r>
          </w:p>
          <w:p w14:paraId="641AFA09"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(7,4 %)</w:t>
            </w:r>
          </w:p>
        </w:tc>
      </w:tr>
      <w:tr w:rsidR="009D21A2" w:rsidRPr="00AD7BA1" w14:paraId="3910D3C3" w14:textId="77777777" w:rsidTr="00BB5D0F">
        <w:trPr>
          <w:trHeight w:val="621"/>
        </w:trPr>
        <w:tc>
          <w:tcPr>
            <w:tcW w:w="1952" w:type="pct"/>
          </w:tcPr>
          <w:p w14:paraId="160A23A5"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Død uanset årsag, MI eller apopleksi</w:t>
            </w:r>
          </w:p>
        </w:tc>
        <w:tc>
          <w:tcPr>
            <w:tcW w:w="2352" w:type="pct"/>
          </w:tcPr>
          <w:p w14:paraId="1E063F65"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320 (6,3 %)</w:t>
            </w:r>
          </w:p>
          <w:p w14:paraId="70BABFFC"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0,83 (0,72; 0,97) p = 0,016*</w:t>
            </w:r>
          </w:p>
        </w:tc>
        <w:tc>
          <w:tcPr>
            <w:tcW w:w="696" w:type="pct"/>
          </w:tcPr>
          <w:p w14:paraId="47640C86"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386</w:t>
            </w:r>
          </w:p>
          <w:p w14:paraId="644152C2"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(7,5 %)</w:t>
            </w:r>
          </w:p>
        </w:tc>
      </w:tr>
      <w:tr w:rsidR="009D21A2" w:rsidRPr="00AD7BA1" w14:paraId="0986A2DC" w14:textId="77777777" w:rsidTr="00BB5D0F">
        <w:trPr>
          <w:trHeight w:val="759"/>
        </w:trPr>
        <w:tc>
          <w:tcPr>
            <w:tcW w:w="1952" w:type="pct"/>
          </w:tcPr>
          <w:p w14:paraId="5598C046"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Kardiovaskulær død</w:t>
            </w:r>
          </w:p>
        </w:tc>
        <w:tc>
          <w:tcPr>
            <w:tcW w:w="2352" w:type="pct"/>
          </w:tcPr>
          <w:p w14:paraId="60150E80"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94 (1,8 %)</w:t>
            </w:r>
          </w:p>
          <w:p w14:paraId="22DA32DF"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0,66 (0,51; 0,86) p = 0,002**</w:t>
            </w:r>
          </w:p>
        </w:tc>
        <w:tc>
          <w:tcPr>
            <w:tcW w:w="696" w:type="pct"/>
          </w:tcPr>
          <w:p w14:paraId="27DE5DD8"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143</w:t>
            </w:r>
          </w:p>
          <w:p w14:paraId="18C2F03A"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(2,8 %)</w:t>
            </w:r>
          </w:p>
        </w:tc>
      </w:tr>
      <w:tr w:rsidR="009D21A2" w:rsidRPr="00AD7BA1" w14:paraId="07531FB8" w14:textId="77777777" w:rsidTr="00BB5D0F">
        <w:trPr>
          <w:trHeight w:val="505"/>
        </w:trPr>
        <w:tc>
          <w:tcPr>
            <w:tcW w:w="1952" w:type="pct"/>
          </w:tcPr>
          <w:p w14:paraId="0D2297D5"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Død uanset årsag</w:t>
            </w:r>
          </w:p>
        </w:tc>
        <w:tc>
          <w:tcPr>
            <w:tcW w:w="2352" w:type="pct"/>
          </w:tcPr>
          <w:p w14:paraId="03278BEB"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103 (2,0 %)</w:t>
            </w:r>
          </w:p>
          <w:p w14:paraId="1F2F5911"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0,68 (0,53; 0,87) p = 0,002**</w:t>
            </w:r>
          </w:p>
        </w:tc>
        <w:tc>
          <w:tcPr>
            <w:tcW w:w="696" w:type="pct"/>
          </w:tcPr>
          <w:p w14:paraId="76789879"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153</w:t>
            </w:r>
          </w:p>
          <w:p w14:paraId="0B7E4CC0"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(3,0 %)</w:t>
            </w:r>
          </w:p>
        </w:tc>
      </w:tr>
      <w:tr w:rsidR="009D21A2" w:rsidRPr="00AD7BA1" w14:paraId="72AA5088" w14:textId="77777777" w:rsidTr="00BB5D0F">
        <w:trPr>
          <w:trHeight w:val="506"/>
        </w:trPr>
        <w:tc>
          <w:tcPr>
            <w:tcW w:w="1952" w:type="pct"/>
          </w:tcPr>
          <w:p w14:paraId="1AF491A4"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MI</w:t>
            </w:r>
          </w:p>
        </w:tc>
        <w:tc>
          <w:tcPr>
            <w:tcW w:w="2352" w:type="pct"/>
          </w:tcPr>
          <w:p w14:paraId="3383F21B"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205 (4,0 %)</w:t>
            </w:r>
          </w:p>
          <w:p w14:paraId="67EBD21E"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0,90 (0,75; 1,09) p = 0,270</w:t>
            </w:r>
          </w:p>
        </w:tc>
        <w:tc>
          <w:tcPr>
            <w:tcW w:w="696" w:type="pct"/>
          </w:tcPr>
          <w:p w14:paraId="5CE8C0B5"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229</w:t>
            </w:r>
          </w:p>
          <w:p w14:paraId="6835CA99"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(4,5 %)</w:t>
            </w:r>
          </w:p>
        </w:tc>
      </w:tr>
      <w:tr w:rsidR="009D21A2" w:rsidRPr="00AD7BA1" w14:paraId="2F3C0B3A" w14:textId="77777777" w:rsidTr="00BB5D0F">
        <w:trPr>
          <w:trHeight w:val="506"/>
        </w:trPr>
        <w:tc>
          <w:tcPr>
            <w:tcW w:w="1952" w:type="pct"/>
          </w:tcPr>
          <w:p w14:paraId="0AE06267"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Apopleksi</w:t>
            </w:r>
          </w:p>
        </w:tc>
        <w:tc>
          <w:tcPr>
            <w:tcW w:w="2352" w:type="pct"/>
          </w:tcPr>
          <w:p w14:paraId="5D2BB998"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46 (0,9 %)</w:t>
            </w:r>
          </w:p>
          <w:p w14:paraId="717BF48D"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1,13 (0,74; 1,73) p = 0,562</w:t>
            </w:r>
          </w:p>
        </w:tc>
        <w:tc>
          <w:tcPr>
            <w:tcW w:w="696" w:type="pct"/>
          </w:tcPr>
          <w:p w14:paraId="3B61BA7C" w14:textId="77777777" w:rsidR="009D21A2" w:rsidRPr="00AD7BA1" w:rsidRDefault="009D21A2" w:rsidP="00BF59EE">
            <w:pPr>
              <w:pStyle w:val="TableParagraph"/>
              <w:ind w:left="121" w:right="156"/>
              <w:jc w:val="center"/>
              <w:rPr>
                <w:rFonts w:ascii="Times New Roman" w:hAnsi="Times New Roman" w:cs="Times New Roman"/>
                <w:sz w:val="24"/>
                <w:szCs w:val="24"/>
                <w:lang w:val="da-DK"/>
              </w:rPr>
            </w:pPr>
            <w:r w:rsidRPr="00AD7BA1">
              <w:rPr>
                <w:rFonts w:ascii="Times New Roman" w:hAnsi="Times New Roman" w:cs="Times New Roman"/>
                <w:sz w:val="24"/>
                <w:szCs w:val="24"/>
                <w:lang w:val="da-DK"/>
              </w:rPr>
              <w:t>41 (0,8 %)</w:t>
            </w:r>
          </w:p>
        </w:tc>
      </w:tr>
      <w:tr w:rsidR="009D21A2" w:rsidRPr="00AD7BA1" w14:paraId="6CF98C3E" w14:textId="77777777" w:rsidTr="00BB5D0F">
        <w:trPr>
          <w:trHeight w:val="504"/>
        </w:trPr>
        <w:tc>
          <w:tcPr>
            <w:tcW w:w="1952" w:type="pct"/>
          </w:tcPr>
          <w:p w14:paraId="2D87844B"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Stenttrombose</w:t>
            </w:r>
          </w:p>
        </w:tc>
        <w:tc>
          <w:tcPr>
            <w:tcW w:w="2352" w:type="pct"/>
          </w:tcPr>
          <w:p w14:paraId="42EAEB04"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61 (1,2 %)</w:t>
            </w:r>
          </w:p>
          <w:p w14:paraId="4946D404"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0,70 (0,51; 0,97) p = 0,033**</w:t>
            </w:r>
          </w:p>
        </w:tc>
        <w:tc>
          <w:tcPr>
            <w:tcW w:w="696" w:type="pct"/>
          </w:tcPr>
          <w:p w14:paraId="3D4075F2" w14:textId="77777777" w:rsidR="009D21A2" w:rsidRPr="00AD7BA1" w:rsidRDefault="009D21A2" w:rsidP="00BF59EE">
            <w:pPr>
              <w:pStyle w:val="TableParagraph"/>
              <w:ind w:left="121" w:right="156"/>
              <w:jc w:val="center"/>
              <w:rPr>
                <w:rFonts w:ascii="Times New Roman" w:hAnsi="Times New Roman" w:cs="Times New Roman"/>
                <w:sz w:val="24"/>
                <w:szCs w:val="24"/>
                <w:lang w:val="da-DK"/>
              </w:rPr>
            </w:pPr>
            <w:r w:rsidRPr="00AD7BA1">
              <w:rPr>
                <w:rFonts w:ascii="Times New Roman" w:hAnsi="Times New Roman" w:cs="Times New Roman"/>
                <w:sz w:val="24"/>
                <w:szCs w:val="24"/>
                <w:lang w:val="da-DK"/>
              </w:rPr>
              <w:t>87 (1,7 %)</w:t>
            </w:r>
          </w:p>
        </w:tc>
      </w:tr>
    </w:tbl>
    <w:p w14:paraId="0115847F" w14:textId="77777777" w:rsidR="009D21A2" w:rsidRPr="00AD7BA1" w:rsidRDefault="009D21A2" w:rsidP="007C75B5">
      <w:pPr>
        <w:pStyle w:val="Listeafsnit"/>
        <w:numPr>
          <w:ilvl w:val="0"/>
          <w:numId w:val="13"/>
        </w:numPr>
        <w:ind w:left="426" w:hanging="426"/>
        <w:rPr>
          <w:sz w:val="24"/>
          <w:szCs w:val="24"/>
          <w:lang w:val="da-DK"/>
        </w:rPr>
      </w:pPr>
      <w:r w:rsidRPr="00AD7BA1">
        <w:rPr>
          <w:sz w:val="24"/>
          <w:szCs w:val="24"/>
          <w:lang w:val="da-DK"/>
        </w:rPr>
        <w:t>modificeret intent-to-treat-analysesæt (samlet intent-to-treat-analysesæt for</w:t>
      </w:r>
      <w:r w:rsidRPr="00AD7BA1">
        <w:rPr>
          <w:spacing w:val="-6"/>
          <w:sz w:val="24"/>
          <w:szCs w:val="24"/>
          <w:lang w:val="da-DK"/>
        </w:rPr>
        <w:t xml:space="preserve"> </w:t>
      </w:r>
      <w:r w:rsidRPr="00AD7BA1">
        <w:rPr>
          <w:sz w:val="24"/>
          <w:szCs w:val="24"/>
          <w:lang w:val="da-DK"/>
        </w:rPr>
        <w:t>stenttrombose)</w:t>
      </w:r>
    </w:p>
    <w:p w14:paraId="31889B29" w14:textId="77777777" w:rsidR="009D21A2" w:rsidRPr="00AD7BA1" w:rsidRDefault="009D21A2" w:rsidP="007C75B5">
      <w:pPr>
        <w:pStyle w:val="Listeafsnit"/>
        <w:numPr>
          <w:ilvl w:val="0"/>
          <w:numId w:val="13"/>
        </w:numPr>
        <w:ind w:left="426" w:hanging="426"/>
        <w:rPr>
          <w:sz w:val="24"/>
          <w:szCs w:val="24"/>
          <w:lang w:val="da-DK"/>
        </w:rPr>
      </w:pPr>
      <w:r w:rsidRPr="00AD7BA1">
        <w:rPr>
          <w:sz w:val="24"/>
          <w:szCs w:val="24"/>
          <w:lang w:val="da-DK"/>
        </w:rPr>
        <w:t>vs</w:t>
      </w:r>
      <w:r w:rsidRPr="00AD7BA1">
        <w:rPr>
          <w:i/>
          <w:sz w:val="24"/>
          <w:szCs w:val="24"/>
          <w:lang w:val="da-DK"/>
        </w:rPr>
        <w:t xml:space="preserve">. </w:t>
      </w:r>
      <w:r w:rsidRPr="00AD7BA1">
        <w:rPr>
          <w:sz w:val="24"/>
          <w:szCs w:val="24"/>
          <w:lang w:val="da-DK"/>
        </w:rPr>
        <w:t>placebo, Log-Rank</w:t>
      </w:r>
      <w:r w:rsidRPr="00AD7BA1">
        <w:rPr>
          <w:spacing w:val="-2"/>
          <w:sz w:val="24"/>
          <w:szCs w:val="24"/>
          <w:lang w:val="da-DK"/>
        </w:rPr>
        <w:t xml:space="preserve"> </w:t>
      </w:r>
      <w:r w:rsidRPr="00AD7BA1">
        <w:rPr>
          <w:sz w:val="24"/>
          <w:szCs w:val="24"/>
          <w:lang w:val="da-DK"/>
        </w:rPr>
        <w:t>p-værdi</w:t>
      </w:r>
    </w:p>
    <w:p w14:paraId="60B52F03" w14:textId="77777777" w:rsidR="009D21A2" w:rsidRPr="00AD7BA1" w:rsidRDefault="009D21A2" w:rsidP="007C75B5">
      <w:pPr>
        <w:pStyle w:val="Brdtekst"/>
        <w:ind w:left="426" w:hanging="426"/>
        <w:rPr>
          <w:sz w:val="24"/>
          <w:szCs w:val="24"/>
          <w:lang w:val="da-DK"/>
        </w:rPr>
      </w:pPr>
      <w:r w:rsidRPr="00AD7BA1">
        <w:rPr>
          <w:sz w:val="24"/>
          <w:szCs w:val="24"/>
          <w:lang w:val="da-DK"/>
        </w:rPr>
        <w:t>*</w:t>
      </w:r>
      <w:r w:rsidRPr="00AD7BA1">
        <w:rPr>
          <w:sz w:val="24"/>
          <w:szCs w:val="24"/>
          <w:lang w:val="da-DK"/>
        </w:rPr>
        <w:tab/>
        <w:t>statistisk</w:t>
      </w:r>
      <w:r w:rsidRPr="00AD7BA1">
        <w:rPr>
          <w:spacing w:val="-1"/>
          <w:sz w:val="24"/>
          <w:szCs w:val="24"/>
          <w:lang w:val="da-DK"/>
        </w:rPr>
        <w:t xml:space="preserve"> </w:t>
      </w:r>
      <w:r w:rsidRPr="00AD7BA1">
        <w:rPr>
          <w:sz w:val="24"/>
          <w:szCs w:val="24"/>
          <w:lang w:val="da-DK"/>
        </w:rPr>
        <w:t>bedre</w:t>
      </w:r>
    </w:p>
    <w:p w14:paraId="21D9777F" w14:textId="221028C9" w:rsidR="009D21A2" w:rsidRPr="00AD7BA1" w:rsidRDefault="009D21A2" w:rsidP="007C75B5">
      <w:pPr>
        <w:pStyle w:val="Brdtekst"/>
        <w:ind w:left="426" w:hanging="426"/>
        <w:rPr>
          <w:sz w:val="24"/>
          <w:szCs w:val="24"/>
          <w:lang w:val="da-DK"/>
        </w:rPr>
      </w:pPr>
      <w:r w:rsidRPr="00AD7BA1">
        <w:rPr>
          <w:sz w:val="24"/>
          <w:szCs w:val="24"/>
          <w:lang w:val="da-DK"/>
        </w:rPr>
        <w:t xml:space="preserve">** </w:t>
      </w:r>
      <w:r w:rsidR="007C75B5" w:rsidRPr="00AD7BA1">
        <w:rPr>
          <w:sz w:val="24"/>
          <w:szCs w:val="24"/>
          <w:lang w:val="da-DK"/>
        </w:rPr>
        <w:tab/>
      </w:r>
      <w:r w:rsidRPr="00AD7BA1">
        <w:rPr>
          <w:sz w:val="24"/>
          <w:szCs w:val="24"/>
          <w:lang w:val="da-DK"/>
        </w:rPr>
        <w:t>nominelt signifikant</w:t>
      </w:r>
    </w:p>
    <w:p w14:paraId="2ECA066C" w14:textId="77777777" w:rsidR="009D21A2" w:rsidRPr="00AD7BA1" w:rsidRDefault="009D21A2" w:rsidP="009D21A2">
      <w:pPr>
        <w:pStyle w:val="Brdtekst"/>
        <w:spacing w:before="1"/>
        <w:rPr>
          <w:sz w:val="24"/>
          <w:szCs w:val="24"/>
          <w:lang w:val="da-DK"/>
        </w:rPr>
      </w:pPr>
    </w:p>
    <w:p w14:paraId="17653B6C" w14:textId="399B15E0" w:rsidR="009D21A2" w:rsidRPr="00AD7BA1" w:rsidRDefault="009D21A2" w:rsidP="00BB5D0F">
      <w:pPr>
        <w:rPr>
          <w:b/>
          <w:sz w:val="24"/>
          <w:szCs w:val="24"/>
        </w:rPr>
      </w:pPr>
      <w:r w:rsidRPr="00AD7BA1">
        <w:rPr>
          <w:b/>
          <w:sz w:val="24"/>
          <w:szCs w:val="24"/>
        </w:rPr>
        <w:t>Tabel 5: Virkningsresultater fra fase III ATLAS ACS 2 TIMI 51 hos patienter, der gennemgik PCI</w:t>
      </w:r>
    </w:p>
    <w:p w14:paraId="0DA2F5AA" w14:textId="77777777" w:rsidR="00BB5D0F" w:rsidRPr="00AD7BA1" w:rsidRDefault="00BB5D0F" w:rsidP="00BB5D0F">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65"/>
        <w:gridCol w:w="3909"/>
        <w:gridCol w:w="2054"/>
      </w:tblGrid>
      <w:tr w:rsidR="009D21A2" w:rsidRPr="00AD7BA1" w14:paraId="662152BB" w14:textId="77777777" w:rsidTr="00BB5D0F">
        <w:trPr>
          <w:trHeight w:val="504"/>
        </w:trPr>
        <w:tc>
          <w:tcPr>
            <w:tcW w:w="1904" w:type="pct"/>
          </w:tcPr>
          <w:p w14:paraId="21A55E13" w14:textId="77777777" w:rsidR="009D21A2" w:rsidRPr="00AD7BA1" w:rsidRDefault="009D21A2" w:rsidP="00BF59EE">
            <w:pPr>
              <w:pStyle w:val="TableParagraph"/>
              <w:ind w:left="142"/>
              <w:rPr>
                <w:rFonts w:ascii="Times New Roman" w:hAnsi="Times New Roman" w:cs="Times New Roman"/>
                <w:b/>
                <w:sz w:val="24"/>
                <w:szCs w:val="24"/>
                <w:lang w:val="da-DK"/>
              </w:rPr>
            </w:pPr>
            <w:r w:rsidRPr="00AD7BA1">
              <w:rPr>
                <w:rFonts w:ascii="Times New Roman" w:hAnsi="Times New Roman" w:cs="Times New Roman"/>
                <w:b/>
                <w:sz w:val="24"/>
                <w:szCs w:val="24"/>
                <w:lang w:val="da-DK"/>
              </w:rPr>
              <w:t>Studiepopulation</w:t>
            </w:r>
          </w:p>
        </w:tc>
        <w:tc>
          <w:tcPr>
            <w:tcW w:w="3096" w:type="pct"/>
            <w:gridSpan w:val="2"/>
          </w:tcPr>
          <w:p w14:paraId="6016CF73" w14:textId="77777777" w:rsidR="009D21A2" w:rsidRPr="00AD7BA1" w:rsidRDefault="009D21A2" w:rsidP="00BF59EE">
            <w:pPr>
              <w:pStyle w:val="TableParagraph"/>
              <w:ind w:left="142" w:right="121"/>
              <w:rPr>
                <w:rFonts w:ascii="Times New Roman" w:hAnsi="Times New Roman" w:cs="Times New Roman"/>
                <w:b/>
                <w:sz w:val="24"/>
                <w:szCs w:val="24"/>
                <w:lang w:val="da-DK"/>
              </w:rPr>
            </w:pPr>
            <w:r w:rsidRPr="00AD7BA1">
              <w:rPr>
                <w:rFonts w:ascii="Times New Roman" w:hAnsi="Times New Roman" w:cs="Times New Roman"/>
                <w:b/>
                <w:sz w:val="24"/>
                <w:szCs w:val="24"/>
                <w:lang w:val="da-DK"/>
              </w:rPr>
              <w:t xml:space="preserve">Patienter med nyligt akut koronarsyndrom, der gennemgik PCI </w:t>
            </w:r>
            <w:r w:rsidRPr="00AD7BA1">
              <w:rPr>
                <w:rFonts w:ascii="Times New Roman" w:hAnsi="Times New Roman" w:cs="Times New Roman"/>
                <w:b/>
                <w:position w:val="8"/>
                <w:sz w:val="24"/>
                <w:szCs w:val="24"/>
                <w:lang w:val="da-DK"/>
              </w:rPr>
              <w:t>a)</w:t>
            </w:r>
          </w:p>
        </w:tc>
      </w:tr>
      <w:tr w:rsidR="009D21A2" w:rsidRPr="00AD7BA1" w14:paraId="325814FD" w14:textId="77777777" w:rsidTr="007C75B5">
        <w:trPr>
          <w:trHeight w:val="1010"/>
        </w:trPr>
        <w:tc>
          <w:tcPr>
            <w:tcW w:w="1904" w:type="pct"/>
            <w:vAlign w:val="center"/>
          </w:tcPr>
          <w:p w14:paraId="03970E2C" w14:textId="77777777" w:rsidR="009D21A2" w:rsidRPr="00AD7BA1" w:rsidRDefault="009D21A2" w:rsidP="00BF59EE">
            <w:pPr>
              <w:pStyle w:val="TableParagraph"/>
              <w:ind w:left="142"/>
              <w:rPr>
                <w:rFonts w:ascii="Times New Roman" w:hAnsi="Times New Roman" w:cs="Times New Roman"/>
                <w:b/>
                <w:sz w:val="24"/>
                <w:szCs w:val="24"/>
                <w:lang w:val="da-DK"/>
              </w:rPr>
            </w:pPr>
            <w:r w:rsidRPr="00AD7BA1">
              <w:rPr>
                <w:rFonts w:ascii="Times New Roman" w:hAnsi="Times New Roman" w:cs="Times New Roman"/>
                <w:b/>
                <w:sz w:val="24"/>
                <w:szCs w:val="24"/>
                <w:lang w:val="da-DK"/>
              </w:rPr>
              <w:t>Behandlingsdosis</w:t>
            </w:r>
          </w:p>
        </w:tc>
        <w:tc>
          <w:tcPr>
            <w:tcW w:w="2030" w:type="pct"/>
          </w:tcPr>
          <w:p w14:paraId="5507620F" w14:textId="77777777" w:rsidR="009D21A2" w:rsidRPr="00AD7BA1" w:rsidRDefault="009D21A2" w:rsidP="00BF59EE">
            <w:pPr>
              <w:pStyle w:val="TableParagraph"/>
              <w:ind w:left="142" w:right="810"/>
              <w:rPr>
                <w:rFonts w:ascii="Times New Roman" w:hAnsi="Times New Roman" w:cs="Times New Roman"/>
                <w:b/>
                <w:sz w:val="24"/>
                <w:szCs w:val="24"/>
                <w:lang w:val="da-DK"/>
              </w:rPr>
            </w:pPr>
            <w:r w:rsidRPr="00AD7BA1">
              <w:rPr>
                <w:rFonts w:ascii="Times New Roman" w:hAnsi="Times New Roman" w:cs="Times New Roman"/>
                <w:b/>
                <w:sz w:val="24"/>
                <w:szCs w:val="24"/>
                <w:lang w:val="da-DK"/>
              </w:rPr>
              <w:t>Rivaroxaban 2,5 mg, to gange dagligt, N=3.114</w:t>
            </w:r>
          </w:p>
          <w:p w14:paraId="1749BC82" w14:textId="77777777" w:rsidR="009D21A2" w:rsidRPr="00AD7BA1" w:rsidRDefault="009D21A2" w:rsidP="00BF59EE">
            <w:pPr>
              <w:pStyle w:val="TableParagraph"/>
              <w:ind w:left="142"/>
              <w:rPr>
                <w:rFonts w:ascii="Times New Roman" w:hAnsi="Times New Roman" w:cs="Times New Roman"/>
                <w:b/>
                <w:sz w:val="24"/>
                <w:szCs w:val="24"/>
                <w:lang w:val="da-DK"/>
              </w:rPr>
            </w:pPr>
            <w:r w:rsidRPr="00AD7BA1">
              <w:rPr>
                <w:rFonts w:ascii="Times New Roman" w:hAnsi="Times New Roman" w:cs="Times New Roman"/>
                <w:b/>
                <w:sz w:val="24"/>
                <w:szCs w:val="24"/>
                <w:lang w:val="da-DK"/>
              </w:rPr>
              <w:t>n (%)</w:t>
            </w:r>
          </w:p>
          <w:p w14:paraId="02D17FA7" w14:textId="77777777" w:rsidR="009D21A2" w:rsidRPr="00AD7BA1" w:rsidRDefault="009D21A2" w:rsidP="00BF59EE">
            <w:pPr>
              <w:pStyle w:val="TableParagraph"/>
              <w:ind w:left="142"/>
              <w:rPr>
                <w:rFonts w:ascii="Times New Roman" w:hAnsi="Times New Roman" w:cs="Times New Roman"/>
                <w:b/>
                <w:sz w:val="24"/>
                <w:szCs w:val="24"/>
                <w:lang w:val="da-DK"/>
              </w:rPr>
            </w:pPr>
            <w:r w:rsidRPr="00AD7BA1">
              <w:rPr>
                <w:rFonts w:ascii="Times New Roman" w:hAnsi="Times New Roman" w:cs="Times New Roman"/>
                <w:b/>
                <w:sz w:val="24"/>
                <w:szCs w:val="24"/>
                <w:lang w:val="da-DK"/>
              </w:rPr>
              <w:t xml:space="preserve">HR (95% KI) p-værdi </w:t>
            </w:r>
            <w:r w:rsidRPr="00AD7BA1">
              <w:rPr>
                <w:rFonts w:ascii="Times New Roman" w:hAnsi="Times New Roman" w:cs="Times New Roman"/>
                <w:b/>
                <w:position w:val="8"/>
                <w:sz w:val="24"/>
                <w:szCs w:val="24"/>
                <w:lang w:val="da-DK"/>
              </w:rPr>
              <w:t>b)</w:t>
            </w:r>
          </w:p>
        </w:tc>
        <w:tc>
          <w:tcPr>
            <w:tcW w:w="1066" w:type="pct"/>
          </w:tcPr>
          <w:p w14:paraId="3A1AD487" w14:textId="77777777" w:rsidR="009D21A2" w:rsidRPr="00AD7BA1" w:rsidRDefault="009D21A2" w:rsidP="00BF59EE">
            <w:pPr>
              <w:pStyle w:val="TableParagraph"/>
              <w:ind w:left="142" w:right="1051"/>
              <w:jc w:val="both"/>
              <w:rPr>
                <w:rFonts w:ascii="Times New Roman" w:hAnsi="Times New Roman" w:cs="Times New Roman"/>
                <w:b/>
                <w:sz w:val="24"/>
                <w:szCs w:val="24"/>
                <w:lang w:val="da-DK"/>
              </w:rPr>
            </w:pPr>
            <w:r w:rsidRPr="00AD7BA1">
              <w:rPr>
                <w:rFonts w:ascii="Times New Roman" w:hAnsi="Times New Roman" w:cs="Times New Roman"/>
                <w:b/>
                <w:sz w:val="24"/>
                <w:szCs w:val="24"/>
                <w:lang w:val="da-DK"/>
              </w:rPr>
              <w:t>Placebo N=3.096 n (%)</w:t>
            </w:r>
          </w:p>
        </w:tc>
      </w:tr>
      <w:tr w:rsidR="009D21A2" w:rsidRPr="00AD7BA1" w14:paraId="34EC8540" w14:textId="77777777" w:rsidTr="00BB5D0F">
        <w:trPr>
          <w:trHeight w:val="505"/>
        </w:trPr>
        <w:tc>
          <w:tcPr>
            <w:tcW w:w="1904" w:type="pct"/>
          </w:tcPr>
          <w:p w14:paraId="782A0580" w14:textId="77777777" w:rsidR="009D21A2" w:rsidRPr="00AD7BA1" w:rsidRDefault="009D21A2" w:rsidP="00BF59EE">
            <w:pPr>
              <w:pStyle w:val="TableParagraph"/>
              <w:ind w:left="142" w:right="501"/>
              <w:rPr>
                <w:rFonts w:ascii="Times New Roman" w:hAnsi="Times New Roman" w:cs="Times New Roman"/>
                <w:sz w:val="24"/>
                <w:szCs w:val="24"/>
                <w:lang w:val="da-DK"/>
              </w:rPr>
            </w:pPr>
            <w:r w:rsidRPr="00AD7BA1">
              <w:rPr>
                <w:rFonts w:ascii="Times New Roman" w:hAnsi="Times New Roman" w:cs="Times New Roman"/>
                <w:sz w:val="24"/>
                <w:szCs w:val="24"/>
                <w:lang w:val="da-DK"/>
              </w:rPr>
              <w:t>Kardiovaskulær død, myokardieinfarkt eller apopleksi</w:t>
            </w:r>
          </w:p>
        </w:tc>
        <w:tc>
          <w:tcPr>
            <w:tcW w:w="2030" w:type="pct"/>
          </w:tcPr>
          <w:p w14:paraId="7F21E64C"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153 (4,9 %)</w:t>
            </w:r>
          </w:p>
          <w:p w14:paraId="528CF9E7"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0,94 (0,75; 1,17) p = 0,572</w:t>
            </w:r>
          </w:p>
        </w:tc>
        <w:tc>
          <w:tcPr>
            <w:tcW w:w="1066" w:type="pct"/>
          </w:tcPr>
          <w:p w14:paraId="055BFC59"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165 (5,3 %)</w:t>
            </w:r>
          </w:p>
        </w:tc>
      </w:tr>
      <w:tr w:rsidR="009D21A2" w:rsidRPr="00AD7BA1" w14:paraId="7BD0E751" w14:textId="77777777" w:rsidTr="00BB5D0F">
        <w:trPr>
          <w:trHeight w:val="503"/>
        </w:trPr>
        <w:tc>
          <w:tcPr>
            <w:tcW w:w="1904" w:type="pct"/>
          </w:tcPr>
          <w:p w14:paraId="70C0B473"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Kardiovaskulær død</w:t>
            </w:r>
          </w:p>
        </w:tc>
        <w:tc>
          <w:tcPr>
            <w:tcW w:w="2030" w:type="pct"/>
          </w:tcPr>
          <w:p w14:paraId="2BD79591"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24 (0,8 %)</w:t>
            </w:r>
          </w:p>
          <w:p w14:paraId="0891A3D6"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0,54 (0,33; 0,89) p = 0,013**</w:t>
            </w:r>
          </w:p>
        </w:tc>
        <w:tc>
          <w:tcPr>
            <w:tcW w:w="1066" w:type="pct"/>
          </w:tcPr>
          <w:p w14:paraId="5646F925"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45 (1,5 %)</w:t>
            </w:r>
          </w:p>
        </w:tc>
      </w:tr>
      <w:tr w:rsidR="009D21A2" w:rsidRPr="00AD7BA1" w14:paraId="387A2333" w14:textId="77777777" w:rsidTr="00BB5D0F">
        <w:trPr>
          <w:trHeight w:val="506"/>
        </w:trPr>
        <w:tc>
          <w:tcPr>
            <w:tcW w:w="1904" w:type="pct"/>
          </w:tcPr>
          <w:p w14:paraId="1846F754"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Død uanset årsag</w:t>
            </w:r>
          </w:p>
        </w:tc>
        <w:tc>
          <w:tcPr>
            <w:tcW w:w="2030" w:type="pct"/>
          </w:tcPr>
          <w:p w14:paraId="758B1061"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31 (1,0 %)</w:t>
            </w:r>
          </w:p>
          <w:p w14:paraId="73004249"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0,64 (0,41; 1,01) p = 0,053</w:t>
            </w:r>
          </w:p>
        </w:tc>
        <w:tc>
          <w:tcPr>
            <w:tcW w:w="1066" w:type="pct"/>
          </w:tcPr>
          <w:p w14:paraId="6BFBDDD5"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49 (1,6 %)</w:t>
            </w:r>
          </w:p>
        </w:tc>
      </w:tr>
      <w:tr w:rsidR="009D21A2" w:rsidRPr="00AD7BA1" w14:paraId="61564405" w14:textId="77777777" w:rsidTr="00BB5D0F">
        <w:trPr>
          <w:trHeight w:val="505"/>
        </w:trPr>
        <w:tc>
          <w:tcPr>
            <w:tcW w:w="1904" w:type="pct"/>
          </w:tcPr>
          <w:p w14:paraId="40A527E1"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Myokardieinfarkt</w:t>
            </w:r>
          </w:p>
        </w:tc>
        <w:tc>
          <w:tcPr>
            <w:tcW w:w="2030" w:type="pct"/>
          </w:tcPr>
          <w:p w14:paraId="1AF7C01A"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115 (3,7 %)</w:t>
            </w:r>
          </w:p>
          <w:p w14:paraId="2D91655C"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1,03 (0,79; 1,33) p = 0,829</w:t>
            </w:r>
          </w:p>
        </w:tc>
        <w:tc>
          <w:tcPr>
            <w:tcW w:w="1066" w:type="pct"/>
          </w:tcPr>
          <w:p w14:paraId="3DEA51F0"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113 (3,6 %)</w:t>
            </w:r>
          </w:p>
        </w:tc>
      </w:tr>
      <w:tr w:rsidR="009D21A2" w:rsidRPr="00AD7BA1" w14:paraId="5F776E00" w14:textId="77777777" w:rsidTr="00BB5D0F">
        <w:trPr>
          <w:trHeight w:val="506"/>
        </w:trPr>
        <w:tc>
          <w:tcPr>
            <w:tcW w:w="1904" w:type="pct"/>
          </w:tcPr>
          <w:p w14:paraId="457C59DE"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Apopleksi</w:t>
            </w:r>
          </w:p>
        </w:tc>
        <w:tc>
          <w:tcPr>
            <w:tcW w:w="2030" w:type="pct"/>
          </w:tcPr>
          <w:p w14:paraId="4E90829F"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27 (0,9 %)</w:t>
            </w:r>
          </w:p>
          <w:p w14:paraId="18EFF9F6"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1,30 (0,74; 2,31) p = 0,360</w:t>
            </w:r>
          </w:p>
        </w:tc>
        <w:tc>
          <w:tcPr>
            <w:tcW w:w="1066" w:type="pct"/>
          </w:tcPr>
          <w:p w14:paraId="495510EF"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21 (0,7 %)</w:t>
            </w:r>
          </w:p>
        </w:tc>
      </w:tr>
      <w:tr w:rsidR="009D21A2" w:rsidRPr="00AD7BA1" w14:paraId="3B173159" w14:textId="77777777" w:rsidTr="00BB5D0F">
        <w:trPr>
          <w:trHeight w:val="505"/>
        </w:trPr>
        <w:tc>
          <w:tcPr>
            <w:tcW w:w="1904" w:type="pct"/>
          </w:tcPr>
          <w:p w14:paraId="03C3D34A"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Stenttrombose</w:t>
            </w:r>
          </w:p>
        </w:tc>
        <w:tc>
          <w:tcPr>
            <w:tcW w:w="2030" w:type="pct"/>
          </w:tcPr>
          <w:p w14:paraId="0A8D76D5"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47 (1,5 %)</w:t>
            </w:r>
          </w:p>
          <w:p w14:paraId="70147EA6"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0,66 (0,46; 0,95) p = 0,026**</w:t>
            </w:r>
          </w:p>
        </w:tc>
        <w:tc>
          <w:tcPr>
            <w:tcW w:w="1066" w:type="pct"/>
          </w:tcPr>
          <w:p w14:paraId="5D4BAC20" w14:textId="77777777" w:rsidR="009D21A2" w:rsidRPr="00AD7BA1" w:rsidRDefault="009D21A2" w:rsidP="00BF59EE">
            <w:pPr>
              <w:pStyle w:val="TableParagraph"/>
              <w:ind w:left="142"/>
              <w:rPr>
                <w:rFonts w:ascii="Times New Roman" w:hAnsi="Times New Roman" w:cs="Times New Roman"/>
                <w:sz w:val="24"/>
                <w:szCs w:val="24"/>
                <w:lang w:val="da-DK"/>
              </w:rPr>
            </w:pPr>
            <w:r w:rsidRPr="00AD7BA1">
              <w:rPr>
                <w:rFonts w:ascii="Times New Roman" w:hAnsi="Times New Roman" w:cs="Times New Roman"/>
                <w:sz w:val="24"/>
                <w:szCs w:val="24"/>
                <w:lang w:val="da-DK"/>
              </w:rPr>
              <w:t>71 (2,3 %)</w:t>
            </w:r>
          </w:p>
        </w:tc>
      </w:tr>
    </w:tbl>
    <w:p w14:paraId="03CD087D" w14:textId="77777777" w:rsidR="009D21A2" w:rsidRPr="00AD7BA1" w:rsidRDefault="009D21A2" w:rsidP="0068338F">
      <w:pPr>
        <w:pStyle w:val="Listeafsnit"/>
        <w:numPr>
          <w:ilvl w:val="1"/>
          <w:numId w:val="13"/>
        </w:numPr>
        <w:ind w:left="426" w:hanging="426"/>
        <w:rPr>
          <w:sz w:val="24"/>
          <w:szCs w:val="24"/>
          <w:lang w:val="da-DK"/>
        </w:rPr>
      </w:pPr>
      <w:r w:rsidRPr="00AD7BA1">
        <w:rPr>
          <w:sz w:val="24"/>
          <w:szCs w:val="24"/>
          <w:lang w:val="da-DK"/>
        </w:rPr>
        <w:t>modificeret intent-to-treat-analysesæt (samlet intent-to-treat-analysesæt for</w:t>
      </w:r>
      <w:r w:rsidRPr="00AD7BA1">
        <w:rPr>
          <w:spacing w:val="-7"/>
          <w:sz w:val="24"/>
          <w:szCs w:val="24"/>
          <w:lang w:val="da-DK"/>
        </w:rPr>
        <w:t xml:space="preserve"> </w:t>
      </w:r>
      <w:r w:rsidRPr="00AD7BA1">
        <w:rPr>
          <w:sz w:val="24"/>
          <w:szCs w:val="24"/>
          <w:lang w:val="da-DK"/>
        </w:rPr>
        <w:t>stenttrombose)</w:t>
      </w:r>
    </w:p>
    <w:p w14:paraId="6BCB5F20" w14:textId="4E23807C" w:rsidR="009D21A2" w:rsidRPr="00AD7BA1" w:rsidRDefault="0068338F" w:rsidP="0068338F">
      <w:pPr>
        <w:ind w:left="426" w:hanging="426"/>
        <w:rPr>
          <w:sz w:val="24"/>
          <w:szCs w:val="24"/>
        </w:rPr>
      </w:pPr>
      <w:r w:rsidRPr="00AD7BA1">
        <w:rPr>
          <w:sz w:val="24"/>
          <w:szCs w:val="24"/>
        </w:rPr>
        <w:t>*</w:t>
      </w:r>
      <w:r w:rsidRPr="00AD7BA1">
        <w:rPr>
          <w:sz w:val="24"/>
          <w:szCs w:val="24"/>
        </w:rPr>
        <w:tab/>
      </w:r>
      <w:r w:rsidR="009D21A2" w:rsidRPr="00AD7BA1">
        <w:rPr>
          <w:sz w:val="24"/>
          <w:szCs w:val="24"/>
        </w:rPr>
        <w:t>vs</w:t>
      </w:r>
      <w:r w:rsidR="009D21A2" w:rsidRPr="00AD7BA1">
        <w:rPr>
          <w:i/>
          <w:sz w:val="24"/>
          <w:szCs w:val="24"/>
        </w:rPr>
        <w:t xml:space="preserve">. </w:t>
      </w:r>
      <w:r w:rsidR="009D21A2" w:rsidRPr="00AD7BA1">
        <w:rPr>
          <w:sz w:val="24"/>
          <w:szCs w:val="24"/>
        </w:rPr>
        <w:t>placebo, Log-Rank</w:t>
      </w:r>
      <w:r w:rsidR="009D21A2" w:rsidRPr="00AD7BA1">
        <w:rPr>
          <w:spacing w:val="-2"/>
          <w:sz w:val="24"/>
          <w:szCs w:val="24"/>
        </w:rPr>
        <w:t xml:space="preserve"> </w:t>
      </w:r>
      <w:r w:rsidR="009D21A2" w:rsidRPr="00AD7BA1">
        <w:rPr>
          <w:sz w:val="24"/>
          <w:szCs w:val="24"/>
        </w:rPr>
        <w:t>p-værdi</w:t>
      </w:r>
    </w:p>
    <w:p w14:paraId="740D45E8" w14:textId="743A3EA7" w:rsidR="009D21A2" w:rsidRPr="00AD7BA1" w:rsidRDefault="009D21A2" w:rsidP="0068338F">
      <w:pPr>
        <w:pStyle w:val="Brdtekst"/>
        <w:tabs>
          <w:tab w:val="left" w:pos="1408"/>
        </w:tabs>
        <w:ind w:left="426" w:hanging="426"/>
        <w:rPr>
          <w:sz w:val="24"/>
          <w:szCs w:val="24"/>
          <w:lang w:val="da-DK"/>
        </w:rPr>
      </w:pPr>
      <w:r w:rsidRPr="00AD7BA1">
        <w:rPr>
          <w:sz w:val="24"/>
          <w:szCs w:val="24"/>
          <w:lang w:val="da-DK"/>
        </w:rPr>
        <w:t>**</w:t>
      </w:r>
      <w:r w:rsidRPr="00AD7BA1">
        <w:rPr>
          <w:sz w:val="24"/>
          <w:szCs w:val="24"/>
          <w:lang w:val="da-DK"/>
        </w:rPr>
        <w:tab/>
        <w:t>nominelt</w:t>
      </w:r>
      <w:r w:rsidRPr="00AD7BA1">
        <w:rPr>
          <w:spacing w:val="-2"/>
          <w:sz w:val="24"/>
          <w:szCs w:val="24"/>
          <w:lang w:val="da-DK"/>
        </w:rPr>
        <w:t xml:space="preserve"> </w:t>
      </w:r>
      <w:r w:rsidRPr="00AD7BA1">
        <w:rPr>
          <w:sz w:val="24"/>
          <w:szCs w:val="24"/>
          <w:lang w:val="da-DK"/>
        </w:rPr>
        <w:t>signifi</w:t>
      </w:r>
      <w:r w:rsidR="00AD7BA1">
        <w:rPr>
          <w:sz w:val="24"/>
          <w:szCs w:val="24"/>
          <w:lang w:val="da-DK"/>
        </w:rPr>
        <w:t>k</w:t>
      </w:r>
      <w:r w:rsidRPr="00AD7BA1">
        <w:rPr>
          <w:sz w:val="24"/>
          <w:szCs w:val="24"/>
          <w:lang w:val="da-DK"/>
        </w:rPr>
        <w:t>ant</w:t>
      </w:r>
    </w:p>
    <w:p w14:paraId="3C3FDC14" w14:textId="77777777" w:rsidR="009D21A2" w:rsidRPr="00AD7BA1" w:rsidRDefault="009D21A2" w:rsidP="0068338F">
      <w:pPr>
        <w:rPr>
          <w:sz w:val="24"/>
          <w:szCs w:val="24"/>
        </w:rPr>
      </w:pPr>
    </w:p>
    <w:p w14:paraId="78EABC69" w14:textId="79827317" w:rsidR="009D21A2" w:rsidRPr="00AD7BA1" w:rsidRDefault="009D21A2" w:rsidP="0068338F">
      <w:pPr>
        <w:rPr>
          <w:b/>
          <w:sz w:val="24"/>
          <w:szCs w:val="24"/>
        </w:rPr>
      </w:pPr>
      <w:r w:rsidRPr="00AD7BA1">
        <w:rPr>
          <w:b/>
          <w:sz w:val="24"/>
          <w:szCs w:val="24"/>
        </w:rPr>
        <w:t>Tabel 6: Sikkerhedsresul</w:t>
      </w:r>
      <w:r w:rsidR="00AD7BA1">
        <w:rPr>
          <w:b/>
          <w:sz w:val="24"/>
          <w:szCs w:val="24"/>
        </w:rPr>
        <w:t>t</w:t>
      </w:r>
      <w:r w:rsidRPr="00AD7BA1">
        <w:rPr>
          <w:b/>
          <w:sz w:val="24"/>
          <w:szCs w:val="24"/>
        </w:rPr>
        <w:t>ater fra fase III ATLAS ACS 2 TIMI 51</w:t>
      </w:r>
    </w:p>
    <w:p w14:paraId="799A9673" w14:textId="77777777" w:rsidR="0068338F" w:rsidRPr="00AD7BA1" w:rsidRDefault="0068338F" w:rsidP="0068338F">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4361"/>
        <w:gridCol w:w="1539"/>
      </w:tblGrid>
      <w:tr w:rsidR="009D21A2" w:rsidRPr="009C7B12" w14:paraId="57729559" w14:textId="77777777" w:rsidTr="0068338F">
        <w:trPr>
          <w:trHeight w:val="252"/>
        </w:trPr>
        <w:tc>
          <w:tcPr>
            <w:tcW w:w="1936" w:type="pct"/>
          </w:tcPr>
          <w:p w14:paraId="604AFD7B" w14:textId="77777777" w:rsidR="009D21A2" w:rsidRPr="00AD7BA1" w:rsidRDefault="009D21A2" w:rsidP="00BF59EE">
            <w:pPr>
              <w:pStyle w:val="TableParagraph"/>
              <w:rPr>
                <w:rFonts w:ascii="Times New Roman" w:hAnsi="Times New Roman" w:cs="Times New Roman"/>
                <w:b/>
                <w:sz w:val="24"/>
                <w:szCs w:val="24"/>
                <w:lang w:val="da-DK"/>
              </w:rPr>
            </w:pPr>
            <w:r w:rsidRPr="00AD7BA1">
              <w:rPr>
                <w:rFonts w:ascii="Times New Roman" w:hAnsi="Times New Roman" w:cs="Times New Roman"/>
                <w:b/>
                <w:sz w:val="24"/>
                <w:szCs w:val="24"/>
                <w:lang w:val="da-DK"/>
              </w:rPr>
              <w:t>Studiepopulation</w:t>
            </w:r>
          </w:p>
        </w:tc>
        <w:tc>
          <w:tcPr>
            <w:tcW w:w="3064" w:type="pct"/>
            <w:gridSpan w:val="2"/>
          </w:tcPr>
          <w:p w14:paraId="37EB42E8" w14:textId="77777777" w:rsidR="009D21A2" w:rsidRPr="00E10279" w:rsidRDefault="009D21A2" w:rsidP="00BF59EE">
            <w:pPr>
              <w:pStyle w:val="TableParagraph"/>
              <w:rPr>
                <w:rFonts w:ascii="Times New Roman" w:hAnsi="Times New Roman" w:cs="Times New Roman"/>
                <w:b/>
                <w:sz w:val="24"/>
                <w:szCs w:val="24"/>
                <w:lang w:val="sv-SE"/>
              </w:rPr>
            </w:pPr>
            <w:r w:rsidRPr="00E10279">
              <w:rPr>
                <w:rFonts w:ascii="Times New Roman" w:hAnsi="Times New Roman" w:cs="Times New Roman"/>
                <w:b/>
                <w:sz w:val="24"/>
                <w:szCs w:val="24"/>
                <w:lang w:val="sv-SE"/>
              </w:rPr>
              <w:t xml:space="preserve">Patienter med nyligt akut koronarsyndrom </w:t>
            </w:r>
            <w:r w:rsidRPr="00E10279">
              <w:rPr>
                <w:rFonts w:ascii="Times New Roman" w:hAnsi="Times New Roman" w:cs="Times New Roman"/>
                <w:b/>
                <w:position w:val="8"/>
                <w:sz w:val="24"/>
                <w:szCs w:val="24"/>
                <w:lang w:val="sv-SE"/>
              </w:rPr>
              <w:t>a)</w:t>
            </w:r>
          </w:p>
        </w:tc>
      </w:tr>
      <w:tr w:rsidR="009D21A2" w:rsidRPr="00AD7BA1" w14:paraId="6D110E93" w14:textId="77777777" w:rsidTr="0068338F">
        <w:trPr>
          <w:trHeight w:val="1012"/>
        </w:trPr>
        <w:tc>
          <w:tcPr>
            <w:tcW w:w="1936" w:type="pct"/>
          </w:tcPr>
          <w:p w14:paraId="61D853B8" w14:textId="77777777" w:rsidR="009D21A2" w:rsidRPr="00E10279" w:rsidRDefault="009D21A2" w:rsidP="00BF59EE">
            <w:pPr>
              <w:pStyle w:val="TableParagraph"/>
              <w:ind w:left="0"/>
              <w:rPr>
                <w:rFonts w:ascii="Times New Roman" w:hAnsi="Times New Roman" w:cs="Times New Roman"/>
                <w:b/>
                <w:sz w:val="24"/>
                <w:szCs w:val="24"/>
                <w:lang w:val="sv-SE"/>
              </w:rPr>
            </w:pPr>
          </w:p>
          <w:p w14:paraId="43109242" w14:textId="77777777" w:rsidR="009D21A2" w:rsidRPr="00AD7BA1" w:rsidRDefault="009D21A2" w:rsidP="00BF59EE">
            <w:pPr>
              <w:pStyle w:val="TableParagraph"/>
              <w:rPr>
                <w:rFonts w:ascii="Times New Roman" w:hAnsi="Times New Roman" w:cs="Times New Roman"/>
                <w:b/>
                <w:sz w:val="24"/>
                <w:szCs w:val="24"/>
                <w:lang w:val="da-DK"/>
              </w:rPr>
            </w:pPr>
            <w:r w:rsidRPr="00AD7BA1">
              <w:rPr>
                <w:rFonts w:ascii="Times New Roman" w:hAnsi="Times New Roman" w:cs="Times New Roman"/>
                <w:b/>
                <w:sz w:val="24"/>
                <w:szCs w:val="24"/>
                <w:lang w:val="da-DK"/>
              </w:rPr>
              <w:t>Behandlingsdosis</w:t>
            </w:r>
          </w:p>
        </w:tc>
        <w:tc>
          <w:tcPr>
            <w:tcW w:w="2265" w:type="pct"/>
          </w:tcPr>
          <w:p w14:paraId="6DC7D4B3" w14:textId="77777777" w:rsidR="009D21A2" w:rsidRPr="00AD7BA1" w:rsidRDefault="009D21A2" w:rsidP="00BF59EE">
            <w:pPr>
              <w:pStyle w:val="TableParagraph"/>
              <w:rPr>
                <w:rFonts w:ascii="Times New Roman" w:hAnsi="Times New Roman" w:cs="Times New Roman"/>
                <w:b/>
                <w:sz w:val="24"/>
                <w:szCs w:val="24"/>
                <w:lang w:val="da-DK"/>
              </w:rPr>
            </w:pPr>
            <w:r w:rsidRPr="00AD7BA1">
              <w:rPr>
                <w:rFonts w:ascii="Times New Roman" w:hAnsi="Times New Roman" w:cs="Times New Roman"/>
                <w:b/>
                <w:sz w:val="24"/>
                <w:szCs w:val="24"/>
                <w:lang w:val="da-DK"/>
              </w:rPr>
              <w:t>Rivaroxaban 2,5 mg, to gange dagligt,</w:t>
            </w:r>
          </w:p>
          <w:p w14:paraId="2637D85B" w14:textId="77777777" w:rsidR="009D21A2" w:rsidRPr="00AD7BA1" w:rsidRDefault="009D21A2" w:rsidP="00BF59EE">
            <w:pPr>
              <w:pStyle w:val="TableParagraph"/>
              <w:ind w:right="3195"/>
              <w:rPr>
                <w:rFonts w:ascii="Times New Roman" w:hAnsi="Times New Roman" w:cs="Times New Roman"/>
                <w:b/>
                <w:sz w:val="24"/>
                <w:szCs w:val="24"/>
                <w:lang w:val="da-DK"/>
              </w:rPr>
            </w:pPr>
            <w:r w:rsidRPr="00AD7BA1">
              <w:rPr>
                <w:rFonts w:ascii="Times New Roman" w:hAnsi="Times New Roman" w:cs="Times New Roman"/>
                <w:b/>
                <w:sz w:val="24"/>
                <w:szCs w:val="24"/>
                <w:lang w:val="da-DK"/>
              </w:rPr>
              <w:t>N=5.115 n (%)</w:t>
            </w:r>
          </w:p>
          <w:p w14:paraId="4773E251" w14:textId="77777777" w:rsidR="009D21A2" w:rsidRPr="00AD7BA1" w:rsidRDefault="009D21A2" w:rsidP="00BF59EE">
            <w:pPr>
              <w:pStyle w:val="TableParagraph"/>
              <w:rPr>
                <w:rFonts w:ascii="Times New Roman" w:hAnsi="Times New Roman" w:cs="Times New Roman"/>
                <w:b/>
                <w:sz w:val="24"/>
                <w:szCs w:val="24"/>
                <w:lang w:val="da-DK"/>
              </w:rPr>
            </w:pPr>
            <w:r w:rsidRPr="00AD7BA1">
              <w:rPr>
                <w:rFonts w:ascii="Times New Roman" w:hAnsi="Times New Roman" w:cs="Times New Roman"/>
                <w:b/>
                <w:sz w:val="24"/>
                <w:szCs w:val="24"/>
                <w:lang w:val="da-DK"/>
              </w:rPr>
              <w:t>HR (95 % KI) p-værdi</w:t>
            </w:r>
            <w:r w:rsidRPr="00AD7BA1">
              <w:rPr>
                <w:rFonts w:ascii="Times New Roman" w:hAnsi="Times New Roman" w:cs="Times New Roman"/>
                <w:b/>
                <w:position w:val="8"/>
                <w:sz w:val="24"/>
                <w:szCs w:val="24"/>
                <w:lang w:val="da-DK"/>
              </w:rPr>
              <w:t>b)</w:t>
            </w:r>
          </w:p>
        </w:tc>
        <w:tc>
          <w:tcPr>
            <w:tcW w:w="800" w:type="pct"/>
          </w:tcPr>
          <w:p w14:paraId="43BE0D4D" w14:textId="77777777" w:rsidR="009D21A2" w:rsidRPr="00AD7BA1" w:rsidRDefault="009D21A2" w:rsidP="00BF59EE">
            <w:pPr>
              <w:pStyle w:val="TableParagraph"/>
              <w:ind w:left="139" w:right="532"/>
              <w:jc w:val="both"/>
              <w:rPr>
                <w:rFonts w:ascii="Times New Roman" w:hAnsi="Times New Roman" w:cs="Times New Roman"/>
                <w:b/>
                <w:sz w:val="24"/>
                <w:szCs w:val="24"/>
                <w:lang w:val="da-DK"/>
              </w:rPr>
            </w:pPr>
            <w:r w:rsidRPr="00AD7BA1">
              <w:rPr>
                <w:rFonts w:ascii="Times New Roman" w:hAnsi="Times New Roman" w:cs="Times New Roman"/>
                <w:b/>
                <w:sz w:val="24"/>
                <w:szCs w:val="24"/>
                <w:lang w:val="da-DK"/>
              </w:rPr>
              <w:t>Placebo N=5.125 n (%)</w:t>
            </w:r>
          </w:p>
        </w:tc>
      </w:tr>
      <w:tr w:rsidR="009D21A2" w:rsidRPr="00AD7BA1" w14:paraId="10D6B959" w14:textId="77777777" w:rsidTr="0068338F">
        <w:trPr>
          <w:trHeight w:val="506"/>
        </w:trPr>
        <w:tc>
          <w:tcPr>
            <w:tcW w:w="1936" w:type="pct"/>
          </w:tcPr>
          <w:p w14:paraId="426901CE" w14:textId="77777777" w:rsidR="009D21A2" w:rsidRPr="00AD7BA1" w:rsidRDefault="009D21A2" w:rsidP="00BF59EE">
            <w:pPr>
              <w:pStyle w:val="TableParagraph"/>
              <w:ind w:right="1222"/>
              <w:rPr>
                <w:rFonts w:ascii="Times New Roman" w:hAnsi="Times New Roman" w:cs="Times New Roman"/>
                <w:sz w:val="24"/>
                <w:szCs w:val="24"/>
                <w:lang w:val="da-DK"/>
              </w:rPr>
            </w:pPr>
            <w:r w:rsidRPr="00AD7BA1">
              <w:rPr>
                <w:rFonts w:ascii="Times New Roman" w:hAnsi="Times New Roman" w:cs="Times New Roman"/>
                <w:sz w:val="24"/>
                <w:szCs w:val="24"/>
                <w:lang w:val="da-DK"/>
              </w:rPr>
              <w:t>Non-CABG TIMI større blødningshændelse</w:t>
            </w:r>
          </w:p>
        </w:tc>
        <w:tc>
          <w:tcPr>
            <w:tcW w:w="2265" w:type="pct"/>
          </w:tcPr>
          <w:p w14:paraId="517724F6"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65 (1,3 %)</w:t>
            </w:r>
          </w:p>
          <w:p w14:paraId="62D1C523"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3,46 (2,08; 5,77) p = &lt; 0,001*</w:t>
            </w:r>
          </w:p>
        </w:tc>
        <w:tc>
          <w:tcPr>
            <w:tcW w:w="800" w:type="pct"/>
          </w:tcPr>
          <w:p w14:paraId="2484AC67" w14:textId="77777777" w:rsidR="009D21A2" w:rsidRPr="00AD7BA1" w:rsidRDefault="009D21A2" w:rsidP="00BF59EE">
            <w:pPr>
              <w:pStyle w:val="TableParagraph"/>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19 (0,4 %)</w:t>
            </w:r>
          </w:p>
        </w:tc>
      </w:tr>
      <w:tr w:rsidR="009D21A2" w:rsidRPr="00AD7BA1" w14:paraId="0A657CFC" w14:textId="77777777" w:rsidTr="0068338F">
        <w:trPr>
          <w:trHeight w:val="500"/>
        </w:trPr>
        <w:tc>
          <w:tcPr>
            <w:tcW w:w="1936" w:type="pct"/>
          </w:tcPr>
          <w:p w14:paraId="18913B37"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Dødelige blødningshændelse</w:t>
            </w:r>
          </w:p>
        </w:tc>
        <w:tc>
          <w:tcPr>
            <w:tcW w:w="2265" w:type="pct"/>
          </w:tcPr>
          <w:p w14:paraId="16996315"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6 (0,1 %)</w:t>
            </w:r>
          </w:p>
          <w:p w14:paraId="157AD5A7"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0,67 (0,24; 1,89) p = 0,450</w:t>
            </w:r>
          </w:p>
        </w:tc>
        <w:tc>
          <w:tcPr>
            <w:tcW w:w="800" w:type="pct"/>
          </w:tcPr>
          <w:p w14:paraId="246323EA" w14:textId="77777777" w:rsidR="009D21A2" w:rsidRPr="00AD7BA1" w:rsidRDefault="009D21A2" w:rsidP="00BF59EE">
            <w:pPr>
              <w:pStyle w:val="TableParagraph"/>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9 (0,2 %)</w:t>
            </w:r>
          </w:p>
        </w:tc>
      </w:tr>
      <w:tr w:rsidR="009D21A2" w:rsidRPr="00AD7BA1" w14:paraId="0489FAD3" w14:textId="77777777" w:rsidTr="0068338F">
        <w:trPr>
          <w:trHeight w:val="505"/>
        </w:trPr>
        <w:tc>
          <w:tcPr>
            <w:tcW w:w="1936" w:type="pct"/>
          </w:tcPr>
          <w:p w14:paraId="72789321"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Symptomatisk intrakranial blødning</w:t>
            </w:r>
          </w:p>
        </w:tc>
        <w:tc>
          <w:tcPr>
            <w:tcW w:w="2265" w:type="pct"/>
          </w:tcPr>
          <w:p w14:paraId="16B1530D"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14 (0,3 %)</w:t>
            </w:r>
          </w:p>
          <w:p w14:paraId="2BCBC927" w14:textId="77777777" w:rsidR="009D21A2" w:rsidRPr="00AD7BA1" w:rsidRDefault="009D21A2" w:rsidP="00BF59EE">
            <w:pPr>
              <w:pStyle w:val="TableParagraph"/>
              <w:ind w:left="140"/>
              <w:rPr>
                <w:rFonts w:ascii="Times New Roman" w:hAnsi="Times New Roman" w:cs="Times New Roman"/>
                <w:sz w:val="24"/>
                <w:szCs w:val="24"/>
                <w:lang w:val="da-DK"/>
              </w:rPr>
            </w:pPr>
            <w:r w:rsidRPr="00AD7BA1">
              <w:rPr>
                <w:rFonts w:ascii="Times New Roman" w:hAnsi="Times New Roman" w:cs="Times New Roman"/>
                <w:sz w:val="24"/>
                <w:szCs w:val="24"/>
                <w:lang w:val="da-DK"/>
              </w:rPr>
              <w:t>2,83 (1,02; 7,86) p = 0,037</w:t>
            </w:r>
          </w:p>
        </w:tc>
        <w:tc>
          <w:tcPr>
            <w:tcW w:w="800" w:type="pct"/>
          </w:tcPr>
          <w:p w14:paraId="43F0B62F" w14:textId="77777777" w:rsidR="009D21A2" w:rsidRPr="00AD7BA1" w:rsidRDefault="009D21A2" w:rsidP="00BF59EE">
            <w:pPr>
              <w:pStyle w:val="TableParagraph"/>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5 (0,1 %)</w:t>
            </w:r>
          </w:p>
        </w:tc>
      </w:tr>
      <w:tr w:rsidR="009D21A2" w:rsidRPr="00AD7BA1" w14:paraId="5291F9E3" w14:textId="77777777" w:rsidTr="0068338F">
        <w:trPr>
          <w:trHeight w:val="506"/>
        </w:trPr>
        <w:tc>
          <w:tcPr>
            <w:tcW w:w="1936" w:type="pct"/>
          </w:tcPr>
          <w:p w14:paraId="3C682AA6" w14:textId="77777777" w:rsidR="009D21A2" w:rsidRPr="00AD7BA1" w:rsidRDefault="009D21A2" w:rsidP="00BF59EE">
            <w:pPr>
              <w:pStyle w:val="TableParagraph"/>
              <w:ind w:right="159"/>
              <w:rPr>
                <w:rFonts w:ascii="Times New Roman" w:hAnsi="Times New Roman" w:cs="Times New Roman"/>
                <w:sz w:val="24"/>
                <w:szCs w:val="24"/>
                <w:lang w:val="da-DK"/>
              </w:rPr>
            </w:pPr>
            <w:r w:rsidRPr="00AD7BA1">
              <w:rPr>
                <w:rFonts w:ascii="Times New Roman" w:hAnsi="Times New Roman" w:cs="Times New Roman"/>
                <w:sz w:val="24"/>
                <w:szCs w:val="24"/>
                <w:lang w:val="da-DK"/>
              </w:rPr>
              <w:t>Hypotension, der kræver behandling med intravenøse inotrope stoffer</w:t>
            </w:r>
          </w:p>
        </w:tc>
        <w:tc>
          <w:tcPr>
            <w:tcW w:w="2265" w:type="pct"/>
          </w:tcPr>
          <w:p w14:paraId="0338EC6A"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3 (0,1 %)</w:t>
            </w:r>
          </w:p>
        </w:tc>
        <w:tc>
          <w:tcPr>
            <w:tcW w:w="800" w:type="pct"/>
          </w:tcPr>
          <w:p w14:paraId="39D24446" w14:textId="77777777" w:rsidR="009D21A2" w:rsidRPr="00AD7BA1" w:rsidRDefault="009D21A2" w:rsidP="00BF59EE">
            <w:pPr>
              <w:pStyle w:val="TableParagraph"/>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3 (0,1 %)</w:t>
            </w:r>
          </w:p>
        </w:tc>
      </w:tr>
      <w:tr w:rsidR="009D21A2" w:rsidRPr="00AD7BA1" w14:paraId="41F945AC" w14:textId="77777777" w:rsidTr="0068338F">
        <w:trPr>
          <w:trHeight w:val="503"/>
        </w:trPr>
        <w:tc>
          <w:tcPr>
            <w:tcW w:w="1936" w:type="pct"/>
          </w:tcPr>
          <w:p w14:paraId="452C5CBF" w14:textId="77777777" w:rsidR="009D21A2" w:rsidRPr="00AD7BA1" w:rsidRDefault="009D21A2" w:rsidP="00BF59EE">
            <w:pPr>
              <w:pStyle w:val="TableParagraph"/>
              <w:ind w:right="1100"/>
              <w:rPr>
                <w:rFonts w:ascii="Times New Roman" w:hAnsi="Times New Roman" w:cs="Times New Roman"/>
                <w:sz w:val="24"/>
                <w:szCs w:val="24"/>
                <w:lang w:val="da-DK"/>
              </w:rPr>
            </w:pPr>
            <w:r w:rsidRPr="00AD7BA1">
              <w:rPr>
                <w:rFonts w:ascii="Times New Roman" w:hAnsi="Times New Roman" w:cs="Times New Roman"/>
                <w:sz w:val="24"/>
                <w:szCs w:val="24"/>
                <w:lang w:val="da-DK"/>
              </w:rPr>
              <w:t>Kirurgisk intervention for vedvarende blødning</w:t>
            </w:r>
          </w:p>
        </w:tc>
        <w:tc>
          <w:tcPr>
            <w:tcW w:w="2265" w:type="pct"/>
          </w:tcPr>
          <w:p w14:paraId="51EED8B6"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7 (0,1 %)</w:t>
            </w:r>
          </w:p>
        </w:tc>
        <w:tc>
          <w:tcPr>
            <w:tcW w:w="800" w:type="pct"/>
          </w:tcPr>
          <w:p w14:paraId="52FCA957" w14:textId="77777777" w:rsidR="009D21A2" w:rsidRPr="00AD7BA1" w:rsidRDefault="009D21A2" w:rsidP="00BF59EE">
            <w:pPr>
              <w:pStyle w:val="TableParagraph"/>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9 (0,2 %)</w:t>
            </w:r>
          </w:p>
        </w:tc>
      </w:tr>
      <w:tr w:rsidR="009D21A2" w:rsidRPr="00AD7BA1" w14:paraId="2F072263" w14:textId="77777777" w:rsidTr="0068338F">
        <w:trPr>
          <w:trHeight w:val="757"/>
        </w:trPr>
        <w:tc>
          <w:tcPr>
            <w:tcW w:w="1936" w:type="pct"/>
          </w:tcPr>
          <w:p w14:paraId="12F2B3E0" w14:textId="77777777" w:rsidR="009D21A2" w:rsidRPr="00AD7BA1" w:rsidRDefault="009D21A2" w:rsidP="00BF59EE">
            <w:pPr>
              <w:pStyle w:val="TableParagraph"/>
              <w:ind w:right="276"/>
              <w:rPr>
                <w:rFonts w:ascii="Times New Roman" w:hAnsi="Times New Roman" w:cs="Times New Roman"/>
                <w:sz w:val="24"/>
                <w:szCs w:val="24"/>
                <w:lang w:val="da-DK"/>
              </w:rPr>
            </w:pPr>
            <w:r w:rsidRPr="00AD7BA1">
              <w:rPr>
                <w:rFonts w:ascii="Times New Roman" w:hAnsi="Times New Roman" w:cs="Times New Roman"/>
                <w:sz w:val="24"/>
                <w:szCs w:val="24"/>
                <w:lang w:val="da-DK"/>
              </w:rPr>
              <w:t>Transfusion af 4 eller flere enheder af blod i løbet af en 48-timers</w:t>
            </w:r>
          </w:p>
          <w:p w14:paraId="03EB4A6E"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periode</w:t>
            </w:r>
          </w:p>
        </w:tc>
        <w:tc>
          <w:tcPr>
            <w:tcW w:w="2265" w:type="pct"/>
          </w:tcPr>
          <w:p w14:paraId="74931E52" w14:textId="77777777" w:rsidR="009D21A2" w:rsidRPr="00AD7BA1" w:rsidRDefault="009D21A2" w:rsidP="00BF59EE">
            <w:pPr>
              <w:pStyle w:val="TableParagraph"/>
              <w:ind w:left="0"/>
              <w:rPr>
                <w:rFonts w:ascii="Times New Roman" w:hAnsi="Times New Roman" w:cs="Times New Roman"/>
                <w:b/>
                <w:sz w:val="24"/>
                <w:szCs w:val="24"/>
                <w:lang w:val="da-DK"/>
              </w:rPr>
            </w:pPr>
          </w:p>
          <w:p w14:paraId="4AFF311D" w14:textId="77777777" w:rsidR="009D21A2" w:rsidRPr="00AD7BA1" w:rsidRDefault="009D21A2" w:rsidP="00BF59EE">
            <w:pPr>
              <w:pStyle w:val="TableParagraph"/>
              <w:rPr>
                <w:rFonts w:ascii="Times New Roman" w:hAnsi="Times New Roman" w:cs="Times New Roman"/>
                <w:sz w:val="24"/>
                <w:szCs w:val="24"/>
                <w:lang w:val="da-DK"/>
              </w:rPr>
            </w:pPr>
            <w:r w:rsidRPr="00AD7BA1">
              <w:rPr>
                <w:rFonts w:ascii="Times New Roman" w:hAnsi="Times New Roman" w:cs="Times New Roman"/>
                <w:sz w:val="24"/>
                <w:szCs w:val="24"/>
                <w:lang w:val="da-DK"/>
              </w:rPr>
              <w:t>19 (0,4 %)</w:t>
            </w:r>
          </w:p>
        </w:tc>
        <w:tc>
          <w:tcPr>
            <w:tcW w:w="800" w:type="pct"/>
          </w:tcPr>
          <w:p w14:paraId="3B0C1328" w14:textId="77777777" w:rsidR="009D21A2" w:rsidRPr="00AD7BA1" w:rsidRDefault="009D21A2" w:rsidP="00BF59EE">
            <w:pPr>
              <w:pStyle w:val="TableParagraph"/>
              <w:ind w:left="0"/>
              <w:rPr>
                <w:rFonts w:ascii="Times New Roman" w:hAnsi="Times New Roman" w:cs="Times New Roman"/>
                <w:b/>
                <w:sz w:val="24"/>
                <w:szCs w:val="24"/>
                <w:lang w:val="da-DK"/>
              </w:rPr>
            </w:pPr>
          </w:p>
          <w:p w14:paraId="5947B567" w14:textId="77777777" w:rsidR="009D21A2" w:rsidRPr="00AD7BA1" w:rsidRDefault="009D21A2" w:rsidP="00BF59EE">
            <w:pPr>
              <w:pStyle w:val="TableParagraph"/>
              <w:ind w:left="139"/>
              <w:rPr>
                <w:rFonts w:ascii="Times New Roman" w:hAnsi="Times New Roman" w:cs="Times New Roman"/>
                <w:sz w:val="24"/>
                <w:szCs w:val="24"/>
                <w:lang w:val="da-DK"/>
              </w:rPr>
            </w:pPr>
            <w:r w:rsidRPr="00AD7BA1">
              <w:rPr>
                <w:rFonts w:ascii="Times New Roman" w:hAnsi="Times New Roman" w:cs="Times New Roman"/>
                <w:sz w:val="24"/>
                <w:szCs w:val="24"/>
                <w:lang w:val="da-DK"/>
              </w:rPr>
              <w:t>6 (0,1 %)</w:t>
            </w:r>
          </w:p>
        </w:tc>
      </w:tr>
    </w:tbl>
    <w:p w14:paraId="1ABD857E" w14:textId="33AB117B" w:rsidR="009D21A2" w:rsidRPr="00AD7BA1" w:rsidRDefault="009D21A2" w:rsidP="00E1181E">
      <w:pPr>
        <w:pStyle w:val="Listeafsnit"/>
        <w:numPr>
          <w:ilvl w:val="0"/>
          <w:numId w:val="19"/>
        </w:numPr>
        <w:ind w:left="284" w:hanging="284"/>
        <w:rPr>
          <w:sz w:val="24"/>
          <w:szCs w:val="24"/>
          <w:lang w:val="da-DK"/>
        </w:rPr>
      </w:pPr>
      <w:r w:rsidRPr="00AD7BA1">
        <w:rPr>
          <w:sz w:val="24"/>
          <w:szCs w:val="24"/>
          <w:lang w:val="da-DK"/>
        </w:rPr>
        <w:t>sikkerhedspopulation, i behandling</w:t>
      </w:r>
    </w:p>
    <w:p w14:paraId="73B6E02D" w14:textId="0DB2F749" w:rsidR="009D21A2" w:rsidRPr="00AD7BA1" w:rsidRDefault="00E1181E" w:rsidP="00E1181E">
      <w:pPr>
        <w:ind w:left="284" w:hanging="284"/>
        <w:rPr>
          <w:sz w:val="24"/>
          <w:szCs w:val="24"/>
        </w:rPr>
      </w:pPr>
      <w:r w:rsidRPr="00AD7BA1">
        <w:rPr>
          <w:sz w:val="24"/>
          <w:szCs w:val="24"/>
        </w:rPr>
        <w:t>b)</w:t>
      </w:r>
      <w:r w:rsidRPr="00AD7BA1">
        <w:rPr>
          <w:sz w:val="24"/>
          <w:szCs w:val="24"/>
        </w:rPr>
        <w:tab/>
      </w:r>
      <w:r w:rsidR="009D21A2" w:rsidRPr="00AD7BA1">
        <w:rPr>
          <w:sz w:val="24"/>
          <w:szCs w:val="24"/>
        </w:rPr>
        <w:t>vs. placebo, Log-Rank p-værdi</w:t>
      </w:r>
    </w:p>
    <w:p w14:paraId="49C32166" w14:textId="77777777" w:rsidR="009D21A2" w:rsidRPr="00AD7BA1" w:rsidRDefault="009D21A2" w:rsidP="00E1181E">
      <w:pPr>
        <w:ind w:left="284" w:hanging="284"/>
        <w:rPr>
          <w:sz w:val="24"/>
          <w:szCs w:val="24"/>
        </w:rPr>
      </w:pPr>
      <w:r w:rsidRPr="00AD7BA1">
        <w:rPr>
          <w:sz w:val="24"/>
          <w:szCs w:val="24"/>
        </w:rPr>
        <w:t>*</w:t>
      </w:r>
      <w:r w:rsidRPr="00AD7BA1">
        <w:rPr>
          <w:sz w:val="24"/>
          <w:szCs w:val="24"/>
        </w:rPr>
        <w:tab/>
        <w:t>statistisk signifikant</w:t>
      </w:r>
    </w:p>
    <w:p w14:paraId="14FF5CC0" w14:textId="56AA3038" w:rsidR="009D21A2" w:rsidRPr="00AD7BA1" w:rsidRDefault="009D21A2" w:rsidP="0068338F">
      <w:pPr>
        <w:ind w:left="851"/>
        <w:rPr>
          <w:sz w:val="24"/>
          <w:szCs w:val="24"/>
        </w:rPr>
      </w:pPr>
    </w:p>
    <w:p w14:paraId="1B11C71C" w14:textId="77777777" w:rsidR="00C335FE" w:rsidRPr="00AD7BA1" w:rsidRDefault="00C335FE" w:rsidP="00C335FE">
      <w:pPr>
        <w:keepNext/>
        <w:rPr>
          <w:b/>
          <w:sz w:val="24"/>
          <w:szCs w:val="24"/>
        </w:rPr>
      </w:pPr>
      <w:r w:rsidRPr="00AD7BA1">
        <w:rPr>
          <w:b/>
          <w:sz w:val="24"/>
          <w:szCs w:val="24"/>
        </w:rPr>
        <w:t>Figur 1: Tid til første forekomst af det primære effektendepunkt (kardiovaskulær død, myokardieinfarkt eller apopleksi)</w:t>
      </w:r>
    </w:p>
    <w:p w14:paraId="5A08B4ED" w14:textId="77777777" w:rsidR="00C335FE" w:rsidRPr="00AD7BA1" w:rsidRDefault="00C335FE" w:rsidP="00C335FE">
      <w:pPr>
        <w:keepNext/>
        <w:rPr>
          <w:b/>
          <w:sz w:val="24"/>
          <w:szCs w:val="24"/>
        </w:rPr>
      </w:pPr>
    </w:p>
    <w:p w14:paraId="0F1EA624" w14:textId="71D6C0AA" w:rsidR="00C335FE" w:rsidRPr="00AD7BA1" w:rsidRDefault="00C335FE" w:rsidP="00C335FE">
      <w:pPr>
        <w:pStyle w:val="Overskrift2"/>
        <w:spacing w:before="1" w:line="242" w:lineRule="auto"/>
        <w:ind w:right="887"/>
      </w:pPr>
      <w:r w:rsidRPr="00AD7BA1">
        <w:rPr>
          <w:noProof/>
        </w:rPr>
        <w:drawing>
          <wp:inline distT="0" distB="0" distL="0" distR="0" wp14:anchorId="2975D0DF" wp14:editId="1DBCE209">
            <wp:extent cx="6120130" cy="417576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175760"/>
                    </a:xfrm>
                    <a:prstGeom prst="rect">
                      <a:avLst/>
                    </a:prstGeom>
                    <a:noFill/>
                  </pic:spPr>
                </pic:pic>
              </a:graphicData>
            </a:graphic>
          </wp:inline>
        </w:drawing>
      </w:r>
    </w:p>
    <w:p w14:paraId="25D8668E" w14:textId="77777777" w:rsidR="00C335FE" w:rsidRPr="00AD7BA1" w:rsidRDefault="00C335FE" w:rsidP="00C335FE">
      <w:pPr>
        <w:pStyle w:val="Brdtekst"/>
        <w:keepNext/>
        <w:widowControl/>
        <w:spacing w:before="5"/>
        <w:ind w:left="284" w:right="887"/>
        <w:jc w:val="center"/>
        <w:rPr>
          <w:b/>
          <w:sz w:val="12"/>
          <w:lang w:val="da-DK"/>
        </w:rPr>
      </w:pPr>
    </w:p>
    <w:tbl>
      <w:tblPr>
        <w:tblStyle w:val="Tabel-Git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1"/>
        <w:gridCol w:w="708"/>
        <w:gridCol w:w="708"/>
        <w:gridCol w:w="708"/>
        <w:gridCol w:w="708"/>
        <w:gridCol w:w="708"/>
        <w:gridCol w:w="708"/>
        <w:gridCol w:w="708"/>
        <w:gridCol w:w="708"/>
        <w:gridCol w:w="708"/>
        <w:gridCol w:w="708"/>
      </w:tblGrid>
      <w:tr w:rsidR="00C335FE" w:rsidRPr="00AD7BA1" w14:paraId="1A65E85E" w14:textId="77777777" w:rsidTr="00C335FE">
        <w:trPr>
          <w:trHeight w:val="316"/>
        </w:trPr>
        <w:tc>
          <w:tcPr>
            <w:tcW w:w="8911" w:type="dxa"/>
            <w:gridSpan w:val="11"/>
            <w:vAlign w:val="center"/>
            <w:hideMark/>
          </w:tcPr>
          <w:p w14:paraId="79E32741" w14:textId="77777777" w:rsidR="00C335FE" w:rsidRPr="00AD7BA1" w:rsidRDefault="00C335FE" w:rsidP="00C335FE">
            <w:pPr>
              <w:keepNext/>
              <w:widowControl/>
              <w:ind w:right="13"/>
              <w:rPr>
                <w:iCs/>
                <w:sz w:val="18"/>
                <w:szCs w:val="18"/>
                <w:u w:val="single"/>
                <w:lang w:val="da-DK"/>
              </w:rPr>
            </w:pPr>
            <w:r w:rsidRPr="00AD7BA1">
              <w:rPr>
                <w:iCs/>
                <w:sz w:val="18"/>
                <w:szCs w:val="18"/>
                <w:u w:val="single"/>
                <w:lang w:val="da-DK"/>
              </w:rPr>
              <w:t>Antal af patienter i risiko</w:t>
            </w:r>
          </w:p>
        </w:tc>
      </w:tr>
      <w:tr w:rsidR="00C335FE" w:rsidRPr="00AD7BA1" w14:paraId="2EBF2242" w14:textId="77777777" w:rsidTr="00C335FE">
        <w:trPr>
          <w:trHeight w:val="280"/>
        </w:trPr>
        <w:tc>
          <w:tcPr>
            <w:tcW w:w="1831" w:type="dxa"/>
            <w:hideMark/>
          </w:tcPr>
          <w:p w14:paraId="52902C73" w14:textId="77777777" w:rsidR="00C335FE" w:rsidRPr="00AD7BA1" w:rsidRDefault="00C335FE" w:rsidP="00C335FE">
            <w:pPr>
              <w:keepNext/>
              <w:widowControl/>
              <w:rPr>
                <w:iCs/>
                <w:sz w:val="18"/>
                <w:szCs w:val="18"/>
                <w:u w:val="single"/>
                <w:lang w:val="da-DK"/>
              </w:rPr>
            </w:pPr>
            <w:r w:rsidRPr="00AD7BA1">
              <w:rPr>
                <w:iCs/>
                <w:sz w:val="18"/>
                <w:szCs w:val="18"/>
                <w:u w:val="single"/>
                <w:lang w:val="da-DK"/>
              </w:rPr>
              <w:t>Rivaroxaban</w:t>
            </w:r>
          </w:p>
        </w:tc>
        <w:tc>
          <w:tcPr>
            <w:tcW w:w="708" w:type="dxa"/>
            <w:hideMark/>
          </w:tcPr>
          <w:p w14:paraId="00060A81"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5114</w:t>
            </w:r>
          </w:p>
        </w:tc>
        <w:tc>
          <w:tcPr>
            <w:tcW w:w="708" w:type="dxa"/>
            <w:hideMark/>
          </w:tcPr>
          <w:p w14:paraId="02CD985C"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4431</w:t>
            </w:r>
          </w:p>
        </w:tc>
        <w:tc>
          <w:tcPr>
            <w:tcW w:w="708" w:type="dxa"/>
            <w:hideMark/>
          </w:tcPr>
          <w:p w14:paraId="245ABC52"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3943</w:t>
            </w:r>
          </w:p>
        </w:tc>
        <w:tc>
          <w:tcPr>
            <w:tcW w:w="708" w:type="dxa"/>
            <w:hideMark/>
          </w:tcPr>
          <w:p w14:paraId="47F74E14"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3199</w:t>
            </w:r>
          </w:p>
        </w:tc>
        <w:tc>
          <w:tcPr>
            <w:tcW w:w="708" w:type="dxa"/>
            <w:hideMark/>
          </w:tcPr>
          <w:p w14:paraId="757B370B"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2609</w:t>
            </w:r>
          </w:p>
        </w:tc>
        <w:tc>
          <w:tcPr>
            <w:tcW w:w="708" w:type="dxa"/>
            <w:hideMark/>
          </w:tcPr>
          <w:p w14:paraId="12FBA2C6"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2005</w:t>
            </w:r>
          </w:p>
        </w:tc>
        <w:tc>
          <w:tcPr>
            <w:tcW w:w="708" w:type="dxa"/>
            <w:hideMark/>
          </w:tcPr>
          <w:p w14:paraId="5AA0507B"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1425</w:t>
            </w:r>
          </w:p>
        </w:tc>
        <w:tc>
          <w:tcPr>
            <w:tcW w:w="708" w:type="dxa"/>
            <w:hideMark/>
          </w:tcPr>
          <w:p w14:paraId="533C749F"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878</w:t>
            </w:r>
          </w:p>
        </w:tc>
        <w:tc>
          <w:tcPr>
            <w:tcW w:w="708" w:type="dxa"/>
            <w:hideMark/>
          </w:tcPr>
          <w:p w14:paraId="5152CDDB"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415</w:t>
            </w:r>
          </w:p>
        </w:tc>
        <w:tc>
          <w:tcPr>
            <w:tcW w:w="708" w:type="dxa"/>
            <w:hideMark/>
          </w:tcPr>
          <w:p w14:paraId="70B01915"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89</w:t>
            </w:r>
          </w:p>
        </w:tc>
      </w:tr>
      <w:tr w:rsidR="00C335FE" w:rsidRPr="00AD7BA1" w14:paraId="3B94E4F5" w14:textId="77777777" w:rsidTr="00C335FE">
        <w:trPr>
          <w:trHeight w:val="64"/>
        </w:trPr>
        <w:tc>
          <w:tcPr>
            <w:tcW w:w="1831" w:type="dxa"/>
            <w:hideMark/>
          </w:tcPr>
          <w:p w14:paraId="7591F98B" w14:textId="77777777" w:rsidR="00C335FE" w:rsidRPr="00AD7BA1" w:rsidRDefault="00C335FE" w:rsidP="00C335FE">
            <w:pPr>
              <w:keepNext/>
              <w:widowControl/>
              <w:ind w:right="887"/>
              <w:rPr>
                <w:iCs/>
                <w:sz w:val="18"/>
                <w:szCs w:val="18"/>
                <w:u w:val="single"/>
                <w:lang w:val="da-DK"/>
              </w:rPr>
            </w:pPr>
            <w:r w:rsidRPr="00AD7BA1">
              <w:rPr>
                <w:iCs/>
                <w:sz w:val="18"/>
                <w:szCs w:val="18"/>
                <w:u w:val="single"/>
                <w:lang w:val="da-DK"/>
              </w:rPr>
              <w:t>Placebo</w:t>
            </w:r>
          </w:p>
        </w:tc>
        <w:tc>
          <w:tcPr>
            <w:tcW w:w="708" w:type="dxa"/>
            <w:hideMark/>
          </w:tcPr>
          <w:p w14:paraId="7C1F32D8"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5113</w:t>
            </w:r>
          </w:p>
        </w:tc>
        <w:tc>
          <w:tcPr>
            <w:tcW w:w="708" w:type="dxa"/>
            <w:hideMark/>
          </w:tcPr>
          <w:p w14:paraId="53EE714B"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4437</w:t>
            </w:r>
          </w:p>
        </w:tc>
        <w:tc>
          <w:tcPr>
            <w:tcW w:w="708" w:type="dxa"/>
            <w:hideMark/>
          </w:tcPr>
          <w:p w14:paraId="7D7D2894"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3974</w:t>
            </w:r>
          </w:p>
        </w:tc>
        <w:tc>
          <w:tcPr>
            <w:tcW w:w="708" w:type="dxa"/>
            <w:hideMark/>
          </w:tcPr>
          <w:p w14:paraId="458AA9E8"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3253</w:t>
            </w:r>
          </w:p>
        </w:tc>
        <w:tc>
          <w:tcPr>
            <w:tcW w:w="708" w:type="dxa"/>
            <w:hideMark/>
          </w:tcPr>
          <w:p w14:paraId="73A4F1BC"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2664</w:t>
            </w:r>
          </w:p>
        </w:tc>
        <w:tc>
          <w:tcPr>
            <w:tcW w:w="708" w:type="dxa"/>
            <w:hideMark/>
          </w:tcPr>
          <w:p w14:paraId="19DAABF1"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2059</w:t>
            </w:r>
          </w:p>
        </w:tc>
        <w:tc>
          <w:tcPr>
            <w:tcW w:w="708" w:type="dxa"/>
            <w:hideMark/>
          </w:tcPr>
          <w:p w14:paraId="7502ECBA"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1460</w:t>
            </w:r>
          </w:p>
        </w:tc>
        <w:tc>
          <w:tcPr>
            <w:tcW w:w="708" w:type="dxa"/>
            <w:hideMark/>
          </w:tcPr>
          <w:p w14:paraId="0C4093E9"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878</w:t>
            </w:r>
          </w:p>
        </w:tc>
        <w:tc>
          <w:tcPr>
            <w:tcW w:w="708" w:type="dxa"/>
            <w:hideMark/>
          </w:tcPr>
          <w:p w14:paraId="2476FA55"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421</w:t>
            </w:r>
          </w:p>
        </w:tc>
        <w:tc>
          <w:tcPr>
            <w:tcW w:w="708" w:type="dxa"/>
            <w:hideMark/>
          </w:tcPr>
          <w:p w14:paraId="036E5A8F" w14:textId="77777777" w:rsidR="00C335FE" w:rsidRPr="00AD7BA1" w:rsidRDefault="00C335FE" w:rsidP="00C335FE">
            <w:pPr>
              <w:keepNext/>
              <w:widowControl/>
              <w:jc w:val="center"/>
              <w:rPr>
                <w:iCs/>
                <w:sz w:val="18"/>
                <w:szCs w:val="18"/>
                <w:u w:val="single"/>
                <w:lang w:val="da-DK"/>
              </w:rPr>
            </w:pPr>
            <w:r w:rsidRPr="00AD7BA1">
              <w:rPr>
                <w:iCs/>
                <w:sz w:val="18"/>
                <w:szCs w:val="18"/>
                <w:u w:val="single"/>
                <w:lang w:val="da-DK"/>
              </w:rPr>
              <w:t>87</w:t>
            </w:r>
          </w:p>
        </w:tc>
      </w:tr>
    </w:tbl>
    <w:p w14:paraId="5A207002" w14:textId="77777777" w:rsidR="00C335FE" w:rsidRPr="00AD7BA1" w:rsidRDefault="00C335FE" w:rsidP="00C335FE">
      <w:pPr>
        <w:keepNext/>
        <w:spacing w:before="74"/>
        <w:ind w:left="858" w:right="887"/>
        <w:rPr>
          <w:i/>
          <w:sz w:val="24"/>
          <w:szCs w:val="24"/>
          <w:u w:val="single"/>
        </w:rPr>
      </w:pPr>
    </w:p>
    <w:p w14:paraId="4FAEE6A7" w14:textId="574A0862" w:rsidR="009D21A2" w:rsidRPr="00E10279" w:rsidRDefault="009D21A2" w:rsidP="0068338F">
      <w:pPr>
        <w:ind w:left="851"/>
        <w:rPr>
          <w:i/>
          <w:sz w:val="24"/>
          <w:szCs w:val="24"/>
          <w:lang w:val="sv-SE"/>
        </w:rPr>
      </w:pPr>
      <w:r w:rsidRPr="00E10279">
        <w:rPr>
          <w:i/>
          <w:sz w:val="24"/>
          <w:szCs w:val="24"/>
          <w:lang w:val="sv-SE"/>
        </w:rPr>
        <w:t>Koronararteriesygdom (CAD) /perifer arteriesygdom (PAD)</w:t>
      </w:r>
    </w:p>
    <w:p w14:paraId="03D36CA4" w14:textId="37C4DF73" w:rsidR="009D21A2" w:rsidRPr="00AD7BA1" w:rsidRDefault="009D21A2" w:rsidP="0068338F">
      <w:pPr>
        <w:ind w:left="851"/>
        <w:rPr>
          <w:sz w:val="24"/>
          <w:szCs w:val="24"/>
        </w:rPr>
      </w:pPr>
      <w:r w:rsidRPr="00AD7BA1">
        <w:rPr>
          <w:sz w:val="24"/>
          <w:szCs w:val="24"/>
        </w:rPr>
        <w:t>Fase III COMPASS-studiet (27.395 patienter, 78,0 % mænd, 22,0 % kvinder) påviste rivaroxabans</w:t>
      </w:r>
      <w:r w:rsidR="00BF59EE" w:rsidRPr="00AD7BA1">
        <w:rPr>
          <w:sz w:val="24"/>
          <w:szCs w:val="24"/>
        </w:rPr>
        <w:t xml:space="preserve"> </w:t>
      </w:r>
      <w:r w:rsidRPr="00AD7BA1">
        <w:rPr>
          <w:sz w:val="24"/>
          <w:szCs w:val="24"/>
        </w:rPr>
        <w:t>virkning og sikkerhed til at forebygge sammensatte tilfælde af CV-død, MI, apopleksi hos patienter med koronararteriesygdom (CAD) eller symptomatisk perifer arteriesygdom (PAD) med høj risiko for iskæmiske hændelser. Patienterne blev fulgt i en mediantid på 23 måneder og maksimalt i 3,9 år.</w:t>
      </w:r>
    </w:p>
    <w:p w14:paraId="60FB7198" w14:textId="77777777" w:rsidR="009D21A2" w:rsidRPr="00AD7BA1" w:rsidRDefault="009D21A2" w:rsidP="0068338F">
      <w:pPr>
        <w:ind w:left="851"/>
        <w:rPr>
          <w:sz w:val="24"/>
          <w:szCs w:val="24"/>
        </w:rPr>
      </w:pPr>
    </w:p>
    <w:p w14:paraId="2941BFE4" w14:textId="77777777" w:rsidR="009D21A2" w:rsidRPr="00AD7BA1" w:rsidRDefault="009D21A2" w:rsidP="0068338F">
      <w:pPr>
        <w:ind w:left="851"/>
        <w:rPr>
          <w:sz w:val="24"/>
          <w:szCs w:val="24"/>
        </w:rPr>
      </w:pPr>
      <w:r w:rsidRPr="00AD7BA1">
        <w:rPr>
          <w:sz w:val="24"/>
          <w:szCs w:val="24"/>
        </w:rPr>
        <w:t>Personer uden et vedvarende behov for behandling med en protonpumpehæmmer blev randomiseret til pantoprazol eller placebo. Alle patienter blev dernæst randomiseret i forholdet 1:1:1 til rivaroxaban 2,5 mg to gange dagligt/ASA 100 mg én gang dagligt, rivaroxaban 5 mg to gange dagligt eller ASA 100 mg én gang dagligt alene, og deres matchende placebo.</w:t>
      </w:r>
    </w:p>
    <w:p w14:paraId="5A6B6857" w14:textId="77777777" w:rsidR="009D21A2" w:rsidRPr="00AD7BA1" w:rsidRDefault="009D21A2" w:rsidP="0068338F">
      <w:pPr>
        <w:ind w:left="851"/>
        <w:rPr>
          <w:sz w:val="24"/>
          <w:szCs w:val="24"/>
        </w:rPr>
      </w:pPr>
    </w:p>
    <w:p w14:paraId="658EBBA1" w14:textId="77777777" w:rsidR="009D21A2" w:rsidRPr="00AD7BA1" w:rsidRDefault="009D21A2" w:rsidP="0068338F">
      <w:pPr>
        <w:ind w:left="851"/>
        <w:rPr>
          <w:sz w:val="24"/>
          <w:szCs w:val="24"/>
        </w:rPr>
      </w:pPr>
      <w:r w:rsidRPr="00AD7BA1">
        <w:rPr>
          <w:sz w:val="24"/>
          <w:szCs w:val="24"/>
        </w:rPr>
        <w:t>CAD-patienterne havde CAD i flere kar og/eller tidligere MI. For patienter &lt; 65 år var det nødvendigt med aterosklerose i mindst to karsystemer eller mindst to ekstra kardiovaskulære risikofaktorer.</w:t>
      </w:r>
    </w:p>
    <w:p w14:paraId="2FC0EA27" w14:textId="77777777" w:rsidR="009D21A2" w:rsidRPr="00AD7BA1" w:rsidRDefault="009D21A2" w:rsidP="0068338F">
      <w:pPr>
        <w:ind w:left="851"/>
        <w:rPr>
          <w:sz w:val="24"/>
          <w:szCs w:val="24"/>
        </w:rPr>
      </w:pPr>
    </w:p>
    <w:p w14:paraId="16E3ABC5" w14:textId="77777777" w:rsidR="009D21A2" w:rsidRPr="00AD7BA1" w:rsidRDefault="009D21A2" w:rsidP="0068338F">
      <w:pPr>
        <w:ind w:left="851"/>
        <w:rPr>
          <w:sz w:val="24"/>
          <w:szCs w:val="24"/>
        </w:rPr>
      </w:pPr>
      <w:r w:rsidRPr="00AD7BA1">
        <w:rPr>
          <w:sz w:val="24"/>
          <w:szCs w:val="24"/>
        </w:rPr>
        <w:t>PAD-patienterne havde tidligere fået foretaget indgreb, såsom bypass-operation eller perkutan transluminal angioplastik eller amputation af en ekstremitet eller en fod på grund af arteriel vaskulær sygdom eller claudicatio intermittens med et blodtryksforhold i ankel/arm på &lt; 0,90 og/eller signifikant perifer arteriestenose eller tidligere carotis revaskularisering eller asymptomatisk carotidarteriestenose ≥ 50 %.</w:t>
      </w:r>
    </w:p>
    <w:p w14:paraId="374150A0" w14:textId="77777777" w:rsidR="009D21A2" w:rsidRPr="00AD7BA1" w:rsidRDefault="009D21A2" w:rsidP="0068338F">
      <w:pPr>
        <w:ind w:left="851"/>
        <w:rPr>
          <w:sz w:val="24"/>
          <w:szCs w:val="24"/>
        </w:rPr>
      </w:pPr>
    </w:p>
    <w:p w14:paraId="5FBEDC78" w14:textId="77777777" w:rsidR="009D21A2" w:rsidRPr="00AD7BA1" w:rsidRDefault="009D21A2" w:rsidP="0068338F">
      <w:pPr>
        <w:ind w:left="851"/>
        <w:rPr>
          <w:sz w:val="24"/>
          <w:szCs w:val="24"/>
        </w:rPr>
      </w:pPr>
      <w:r w:rsidRPr="00AD7BA1">
        <w:rPr>
          <w:sz w:val="24"/>
          <w:szCs w:val="24"/>
        </w:rPr>
        <w:t>Eksklusionskriterierne omfattede behovet for dobbelt antitrombocytbehandling eller anden ikke-ASA antitrombocytbehandling eller behandling med orale antikoagulantia og patienter med høj blødningsrisiko, eller hjerteinsufficiens med uddrivningsfraktion &lt; 30 % eller New York Heart Association klasse III eller IV, eller alle iskæmiske, ikke-lakunære apopleksier inden for én måned eller tidligere hæmoragisk eller lakunær apopleksi.</w:t>
      </w:r>
    </w:p>
    <w:p w14:paraId="381CD956" w14:textId="77777777" w:rsidR="009D21A2" w:rsidRPr="00AD7BA1" w:rsidRDefault="009D21A2" w:rsidP="0068338F">
      <w:pPr>
        <w:ind w:left="851"/>
        <w:rPr>
          <w:sz w:val="24"/>
          <w:szCs w:val="24"/>
        </w:rPr>
      </w:pPr>
    </w:p>
    <w:p w14:paraId="45CA87BE" w14:textId="77777777" w:rsidR="009D21A2" w:rsidRPr="00AD7BA1" w:rsidRDefault="009D21A2" w:rsidP="0068338F">
      <w:pPr>
        <w:ind w:left="851"/>
        <w:rPr>
          <w:sz w:val="24"/>
          <w:szCs w:val="24"/>
        </w:rPr>
      </w:pPr>
      <w:r w:rsidRPr="00AD7BA1">
        <w:rPr>
          <w:sz w:val="24"/>
          <w:szCs w:val="24"/>
        </w:rPr>
        <w:t>Rivaroxaban 2,5 mg to gange dagligt i kombination med ASA 100 mg én gang dagligt var bedre end ASA 100 mg til at reducere det primære sammensatte endepunkt af CV-død, MI, apopleksi (se tabel 7 og figur 2).</w:t>
      </w:r>
    </w:p>
    <w:p w14:paraId="05C65327" w14:textId="77777777" w:rsidR="009D21A2" w:rsidRPr="00AD7BA1" w:rsidRDefault="009D21A2" w:rsidP="0068338F">
      <w:pPr>
        <w:ind w:left="851"/>
        <w:rPr>
          <w:sz w:val="24"/>
          <w:szCs w:val="24"/>
        </w:rPr>
      </w:pPr>
    </w:p>
    <w:p w14:paraId="2470AB74" w14:textId="77777777" w:rsidR="009D21A2" w:rsidRPr="00AD7BA1" w:rsidRDefault="009D21A2" w:rsidP="0068338F">
      <w:pPr>
        <w:ind w:left="851"/>
        <w:rPr>
          <w:sz w:val="24"/>
          <w:szCs w:val="24"/>
        </w:rPr>
      </w:pPr>
      <w:r w:rsidRPr="00AD7BA1">
        <w:rPr>
          <w:sz w:val="24"/>
          <w:szCs w:val="24"/>
        </w:rPr>
        <w:t>Der var en signifikant stigning i det primære sikkerhedsendepunkt (modificerede ISTH større blødningshændelser) hos patienter i behandling med rivaroxaban 2,5 mg to gange dagligt i kombination med ASA 100 mg én gang dagligt, sammenlignet med patienter, der fik ASA 100 mg (se tabel 8).</w:t>
      </w:r>
    </w:p>
    <w:p w14:paraId="4DE7EBEC" w14:textId="1C6EE73D" w:rsidR="009D21A2" w:rsidRPr="00AD7BA1" w:rsidRDefault="009D21A2" w:rsidP="0068338F">
      <w:pPr>
        <w:ind w:left="851"/>
        <w:rPr>
          <w:sz w:val="24"/>
          <w:szCs w:val="24"/>
        </w:rPr>
      </w:pPr>
      <w:r w:rsidRPr="00AD7BA1">
        <w:rPr>
          <w:sz w:val="24"/>
          <w:szCs w:val="24"/>
        </w:rPr>
        <w:t>For det primære effektendepunkt var den observerede fordel ved rivaroxaban 2,5 mg to gange dagligt plus ASA 100 mg én gang dagligt, sammenlignet med ASA 100 mg én gang dagligt HR = 0,89 (95 % KI 0,7-1,1) hos patienter ≥ 75 år (incidens: 6,3 % vs. 7,0 %) og HR = 0,70 (95 % KI 0,6-0,8) hos patienter &lt; 75 år (3,6 % vs. 5,0 %). For modificeret ISTH større blødning var den observerede risiko HR = 2,12 (95 % KI 1,5-3,0) hos patienter ≥ 75 år (5,2 % vs. 2,5 %) og HR = 1,53 (95 % KI</w:t>
      </w:r>
      <w:r w:rsidR="00D1063F">
        <w:rPr>
          <w:sz w:val="24"/>
          <w:szCs w:val="24"/>
        </w:rPr>
        <w:t xml:space="preserve"> </w:t>
      </w:r>
      <w:r w:rsidRPr="00AD7BA1">
        <w:rPr>
          <w:sz w:val="24"/>
          <w:szCs w:val="24"/>
        </w:rPr>
        <w:t>1,</w:t>
      </w:r>
      <w:r w:rsidR="00CA18FD">
        <w:rPr>
          <w:sz w:val="24"/>
          <w:szCs w:val="24"/>
        </w:rPr>
        <w:t xml:space="preserve"> </w:t>
      </w:r>
      <w:r w:rsidRPr="00AD7BA1">
        <w:rPr>
          <w:sz w:val="24"/>
          <w:szCs w:val="24"/>
        </w:rPr>
        <w:t>2-1,9) hos patienter &lt;75 år (2,6 % vs. 1,7</w:t>
      </w:r>
      <w:r w:rsidR="00D1063F">
        <w:rPr>
          <w:sz w:val="24"/>
          <w:szCs w:val="24"/>
        </w:rPr>
        <w:t> </w:t>
      </w:r>
      <w:r w:rsidRPr="00AD7BA1">
        <w:rPr>
          <w:sz w:val="24"/>
          <w:szCs w:val="24"/>
        </w:rPr>
        <w:t>%).</w:t>
      </w:r>
    </w:p>
    <w:p w14:paraId="55528D5B" w14:textId="77777777" w:rsidR="009D21A2" w:rsidRPr="00AD7BA1" w:rsidRDefault="009D21A2" w:rsidP="0068338F">
      <w:pPr>
        <w:ind w:left="851"/>
        <w:rPr>
          <w:sz w:val="24"/>
          <w:szCs w:val="24"/>
        </w:rPr>
      </w:pPr>
    </w:p>
    <w:p w14:paraId="5D7BCEDD" w14:textId="77777777" w:rsidR="00BB5D0F" w:rsidRPr="00AD7BA1" w:rsidRDefault="009D21A2" w:rsidP="0068338F">
      <w:pPr>
        <w:ind w:left="851"/>
        <w:rPr>
          <w:sz w:val="24"/>
          <w:szCs w:val="24"/>
        </w:rPr>
      </w:pPr>
      <w:r w:rsidRPr="00AD7BA1">
        <w:rPr>
          <w:sz w:val="24"/>
          <w:szCs w:val="24"/>
        </w:rPr>
        <w:t>Anvendelse af pantoprazol 40 mg én gang dagligt sammen med antitrombotisk studiemedicin hos patienter uden klinisk behov for en protonpumpehæmmer viste ingen fordel i forebyggelsen af øvre gastrointestinale hændelser (dvs. øvre gastrointestinal blødning, øvre gastrointestinal ulceration eller øvre gastrointestinal obstruktion/perforation); incidensen af øvre gastrointestinale hændelser var 0,39/100 patientår i gruppen med 40 mg pantoprazol én gang dagligt og 0,44/100 patientår i gruppen med placebo én gang dagligt.</w:t>
      </w:r>
    </w:p>
    <w:p w14:paraId="50AB0796" w14:textId="77777777" w:rsidR="00BB5D0F" w:rsidRPr="00AD7BA1" w:rsidRDefault="00BB5D0F" w:rsidP="0068338F">
      <w:pPr>
        <w:ind w:left="851"/>
        <w:rPr>
          <w:sz w:val="24"/>
          <w:szCs w:val="24"/>
        </w:rPr>
      </w:pPr>
    </w:p>
    <w:p w14:paraId="6FEB7B87" w14:textId="5F003AB1" w:rsidR="009D21A2" w:rsidRPr="00AD7BA1" w:rsidRDefault="009D21A2" w:rsidP="0068338F">
      <w:pPr>
        <w:rPr>
          <w:b/>
          <w:sz w:val="24"/>
          <w:szCs w:val="24"/>
        </w:rPr>
      </w:pPr>
      <w:r w:rsidRPr="00AD7BA1">
        <w:rPr>
          <w:b/>
          <w:sz w:val="24"/>
          <w:szCs w:val="24"/>
        </w:rPr>
        <w:t>Tabel 7: Virkningsresultater fra fase III COMPASS</w:t>
      </w:r>
    </w:p>
    <w:p w14:paraId="26D887F2" w14:textId="77777777" w:rsidR="00E1181E" w:rsidRPr="00AD7BA1" w:rsidRDefault="00E1181E" w:rsidP="0068338F">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3"/>
        <w:gridCol w:w="1542"/>
        <w:gridCol w:w="1040"/>
        <w:gridCol w:w="1338"/>
        <w:gridCol w:w="1040"/>
        <w:gridCol w:w="1338"/>
        <w:gridCol w:w="1487"/>
      </w:tblGrid>
      <w:tr w:rsidR="009D21A2" w:rsidRPr="009C7B12" w14:paraId="56A1D99A" w14:textId="77777777" w:rsidTr="0068338F">
        <w:trPr>
          <w:trHeight w:val="506"/>
        </w:trPr>
        <w:tc>
          <w:tcPr>
            <w:tcW w:w="957" w:type="pct"/>
          </w:tcPr>
          <w:p w14:paraId="37EEE753" w14:textId="77777777" w:rsidR="009D21A2" w:rsidRPr="00AD7BA1" w:rsidRDefault="009D21A2" w:rsidP="00BF59EE">
            <w:pPr>
              <w:pStyle w:val="TableParagraph"/>
              <w:ind w:left="107" w:right="605"/>
              <w:rPr>
                <w:rFonts w:ascii="Times New Roman" w:hAnsi="Times New Roman" w:cs="Times New Roman"/>
                <w:b/>
                <w:lang w:val="da-DK"/>
              </w:rPr>
            </w:pPr>
            <w:r w:rsidRPr="00AD7BA1">
              <w:rPr>
                <w:rFonts w:ascii="Times New Roman" w:hAnsi="Times New Roman" w:cs="Times New Roman"/>
                <w:b/>
                <w:lang w:val="da-DK"/>
              </w:rPr>
              <w:t>Studie- population</w:t>
            </w:r>
          </w:p>
        </w:tc>
        <w:tc>
          <w:tcPr>
            <w:tcW w:w="4043" w:type="pct"/>
            <w:gridSpan w:val="6"/>
          </w:tcPr>
          <w:p w14:paraId="632D299A" w14:textId="34051AC5" w:rsidR="009D21A2" w:rsidRPr="00E10279" w:rsidRDefault="009D21A2" w:rsidP="00BF59EE">
            <w:pPr>
              <w:pStyle w:val="TableParagraph"/>
              <w:ind w:left="107"/>
              <w:rPr>
                <w:rFonts w:ascii="Times New Roman" w:hAnsi="Times New Roman" w:cs="Times New Roman"/>
                <w:b/>
                <w:lang w:val="sv-SE"/>
              </w:rPr>
            </w:pPr>
            <w:r w:rsidRPr="00E10279">
              <w:rPr>
                <w:rFonts w:ascii="Times New Roman" w:hAnsi="Times New Roman" w:cs="Times New Roman"/>
                <w:b/>
                <w:lang w:val="sv-SE"/>
              </w:rPr>
              <w:t>Patienter med koronararteriesygdom (CAD) /perifer arteriesygdom (PAD)</w:t>
            </w:r>
            <w:r w:rsidRPr="00E10279">
              <w:rPr>
                <w:rFonts w:ascii="Times New Roman" w:hAnsi="Times New Roman" w:cs="Times New Roman"/>
                <w:b/>
                <w:position w:val="8"/>
                <w:lang w:val="sv-SE"/>
              </w:rPr>
              <w:t>a)</w:t>
            </w:r>
          </w:p>
        </w:tc>
      </w:tr>
      <w:tr w:rsidR="009D21A2" w:rsidRPr="00AD7BA1" w14:paraId="35CE4815" w14:textId="77777777" w:rsidTr="0068338F">
        <w:trPr>
          <w:trHeight w:val="1261"/>
        </w:trPr>
        <w:tc>
          <w:tcPr>
            <w:tcW w:w="957" w:type="pct"/>
          </w:tcPr>
          <w:p w14:paraId="1A25CEED" w14:textId="77777777" w:rsidR="009D21A2" w:rsidRPr="00AD7BA1" w:rsidRDefault="009D21A2" w:rsidP="00BF59EE">
            <w:pPr>
              <w:pStyle w:val="TableParagraph"/>
              <w:ind w:left="107" w:right="385"/>
              <w:rPr>
                <w:rFonts w:ascii="Times New Roman" w:hAnsi="Times New Roman" w:cs="Times New Roman"/>
                <w:b/>
                <w:lang w:val="da-DK"/>
              </w:rPr>
            </w:pPr>
            <w:r w:rsidRPr="00AD7BA1">
              <w:rPr>
                <w:rFonts w:ascii="Times New Roman" w:hAnsi="Times New Roman" w:cs="Times New Roman"/>
                <w:b/>
                <w:lang w:val="da-DK"/>
              </w:rPr>
              <w:t>Behandlings- dosis</w:t>
            </w:r>
          </w:p>
        </w:tc>
        <w:tc>
          <w:tcPr>
            <w:tcW w:w="1341" w:type="pct"/>
            <w:gridSpan w:val="2"/>
          </w:tcPr>
          <w:p w14:paraId="378015BE" w14:textId="77777777" w:rsidR="009D21A2" w:rsidRPr="00AD7BA1" w:rsidRDefault="009D21A2" w:rsidP="00BF59EE">
            <w:pPr>
              <w:pStyle w:val="TableParagraph"/>
              <w:ind w:left="107" w:right="173"/>
              <w:rPr>
                <w:rFonts w:ascii="Times New Roman" w:hAnsi="Times New Roman" w:cs="Times New Roman"/>
                <w:b/>
                <w:lang w:val="da-DK"/>
              </w:rPr>
            </w:pPr>
            <w:r w:rsidRPr="00AD7BA1">
              <w:rPr>
                <w:rFonts w:ascii="Times New Roman" w:hAnsi="Times New Roman" w:cs="Times New Roman"/>
                <w:b/>
                <w:lang w:val="da-DK"/>
              </w:rPr>
              <w:t>Rivaroxaban 2,5 mg to gange dagligt i kombination med ASA</w:t>
            </w:r>
          </w:p>
          <w:p w14:paraId="47CEE3FA" w14:textId="77777777" w:rsidR="009D21A2" w:rsidRPr="00AD7BA1" w:rsidRDefault="009D21A2" w:rsidP="00BF59EE">
            <w:pPr>
              <w:pStyle w:val="TableParagraph"/>
              <w:ind w:left="107" w:right="161"/>
              <w:rPr>
                <w:rFonts w:ascii="Times New Roman" w:hAnsi="Times New Roman" w:cs="Times New Roman"/>
                <w:b/>
                <w:lang w:val="da-DK"/>
              </w:rPr>
            </w:pPr>
            <w:r w:rsidRPr="00AD7BA1">
              <w:rPr>
                <w:rFonts w:ascii="Times New Roman" w:hAnsi="Times New Roman" w:cs="Times New Roman"/>
                <w:b/>
                <w:lang w:val="da-DK"/>
              </w:rPr>
              <w:t>100 mg én gang dagligt N = 9.152</w:t>
            </w:r>
          </w:p>
        </w:tc>
        <w:tc>
          <w:tcPr>
            <w:tcW w:w="1235" w:type="pct"/>
            <w:gridSpan w:val="2"/>
          </w:tcPr>
          <w:p w14:paraId="670CD25F" w14:textId="77777777" w:rsidR="009D21A2" w:rsidRPr="00AD7BA1" w:rsidRDefault="009D21A2" w:rsidP="00BF59EE">
            <w:pPr>
              <w:pStyle w:val="TableParagraph"/>
              <w:ind w:left="107" w:right="174"/>
              <w:rPr>
                <w:rFonts w:ascii="Times New Roman" w:hAnsi="Times New Roman" w:cs="Times New Roman"/>
                <w:b/>
                <w:lang w:val="da-DK"/>
              </w:rPr>
            </w:pPr>
            <w:r w:rsidRPr="00AD7BA1">
              <w:rPr>
                <w:rFonts w:ascii="Times New Roman" w:hAnsi="Times New Roman" w:cs="Times New Roman"/>
                <w:b/>
                <w:lang w:val="da-DK"/>
              </w:rPr>
              <w:t>ASA 100 mg én gang dagligt</w:t>
            </w:r>
          </w:p>
          <w:p w14:paraId="71EF7D92" w14:textId="77777777" w:rsidR="009D21A2" w:rsidRPr="00AD7BA1" w:rsidRDefault="009D21A2" w:rsidP="00BF59EE">
            <w:pPr>
              <w:pStyle w:val="TableParagraph"/>
              <w:ind w:left="0"/>
              <w:rPr>
                <w:rFonts w:ascii="Times New Roman" w:hAnsi="Times New Roman" w:cs="Times New Roman"/>
                <w:b/>
                <w:lang w:val="da-DK"/>
              </w:rPr>
            </w:pPr>
          </w:p>
          <w:p w14:paraId="0BB13BEF" w14:textId="77777777" w:rsidR="009D21A2" w:rsidRPr="00AD7BA1" w:rsidRDefault="009D21A2" w:rsidP="00BF59EE">
            <w:pPr>
              <w:pStyle w:val="TableParagraph"/>
              <w:ind w:left="0"/>
              <w:rPr>
                <w:rFonts w:ascii="Times New Roman" w:hAnsi="Times New Roman" w:cs="Times New Roman"/>
                <w:b/>
                <w:lang w:val="da-DK"/>
              </w:rPr>
            </w:pPr>
          </w:p>
          <w:p w14:paraId="2954F6E6" w14:textId="77777777" w:rsidR="009D21A2" w:rsidRPr="00AD7BA1" w:rsidRDefault="009D21A2" w:rsidP="00BF59EE">
            <w:pPr>
              <w:pStyle w:val="TableParagraph"/>
              <w:ind w:left="107"/>
              <w:rPr>
                <w:rFonts w:ascii="Times New Roman" w:hAnsi="Times New Roman" w:cs="Times New Roman"/>
                <w:b/>
                <w:lang w:val="da-DK"/>
              </w:rPr>
            </w:pPr>
            <w:r w:rsidRPr="00AD7BA1">
              <w:rPr>
                <w:rFonts w:ascii="Times New Roman" w:hAnsi="Times New Roman" w:cs="Times New Roman"/>
                <w:b/>
                <w:lang w:val="da-DK"/>
              </w:rPr>
              <w:t>N = 9.126</w:t>
            </w:r>
          </w:p>
        </w:tc>
        <w:tc>
          <w:tcPr>
            <w:tcW w:w="1467" w:type="pct"/>
            <w:gridSpan w:val="2"/>
          </w:tcPr>
          <w:p w14:paraId="3B909C70" w14:textId="77777777" w:rsidR="009D21A2" w:rsidRPr="00AD7BA1" w:rsidRDefault="009D21A2" w:rsidP="00BF59EE">
            <w:pPr>
              <w:pStyle w:val="TableParagraph"/>
              <w:ind w:left="0"/>
              <w:rPr>
                <w:rFonts w:ascii="Times New Roman" w:hAnsi="Times New Roman" w:cs="Times New Roman"/>
                <w:lang w:val="da-DK"/>
              </w:rPr>
            </w:pPr>
          </w:p>
        </w:tc>
      </w:tr>
      <w:tr w:rsidR="009D21A2" w:rsidRPr="00AD7BA1" w14:paraId="35492CDB" w14:textId="77777777" w:rsidTr="0068338F">
        <w:trPr>
          <w:trHeight w:val="753"/>
        </w:trPr>
        <w:tc>
          <w:tcPr>
            <w:tcW w:w="957" w:type="pct"/>
          </w:tcPr>
          <w:p w14:paraId="45B02DD6" w14:textId="77777777" w:rsidR="009D21A2" w:rsidRPr="00AD7BA1" w:rsidRDefault="009D21A2" w:rsidP="00BF59EE">
            <w:pPr>
              <w:pStyle w:val="TableParagraph"/>
              <w:ind w:left="0"/>
              <w:rPr>
                <w:rFonts w:ascii="Times New Roman" w:hAnsi="Times New Roman" w:cs="Times New Roman"/>
                <w:lang w:val="da-DK"/>
              </w:rPr>
            </w:pPr>
          </w:p>
        </w:tc>
        <w:tc>
          <w:tcPr>
            <w:tcW w:w="801" w:type="pct"/>
          </w:tcPr>
          <w:p w14:paraId="12DB4D47" w14:textId="77777777" w:rsidR="009D21A2" w:rsidRPr="00AD7BA1" w:rsidRDefault="009D21A2" w:rsidP="00BF59EE">
            <w:pPr>
              <w:pStyle w:val="TableParagraph"/>
              <w:ind w:left="107" w:right="465"/>
              <w:rPr>
                <w:rFonts w:ascii="Times New Roman" w:hAnsi="Times New Roman" w:cs="Times New Roman"/>
                <w:b/>
                <w:lang w:val="da-DK"/>
              </w:rPr>
            </w:pPr>
            <w:r w:rsidRPr="00AD7BA1">
              <w:rPr>
                <w:rFonts w:ascii="Times New Roman" w:hAnsi="Times New Roman" w:cs="Times New Roman"/>
                <w:b/>
                <w:lang w:val="da-DK"/>
              </w:rPr>
              <w:t>Patienter med</w:t>
            </w:r>
          </w:p>
          <w:p w14:paraId="02304ACE" w14:textId="77777777" w:rsidR="009D21A2" w:rsidRPr="00AD7BA1" w:rsidRDefault="009D21A2" w:rsidP="00BF59EE">
            <w:pPr>
              <w:pStyle w:val="TableParagraph"/>
              <w:ind w:left="107"/>
              <w:rPr>
                <w:rFonts w:ascii="Times New Roman" w:hAnsi="Times New Roman" w:cs="Times New Roman"/>
                <w:b/>
                <w:lang w:val="da-DK"/>
              </w:rPr>
            </w:pPr>
            <w:r w:rsidRPr="00AD7BA1">
              <w:rPr>
                <w:rFonts w:ascii="Times New Roman" w:hAnsi="Times New Roman" w:cs="Times New Roman"/>
                <w:b/>
                <w:lang w:val="da-DK"/>
              </w:rPr>
              <w:t>hændelser</w:t>
            </w:r>
          </w:p>
        </w:tc>
        <w:tc>
          <w:tcPr>
            <w:tcW w:w="540" w:type="pct"/>
          </w:tcPr>
          <w:p w14:paraId="11B2622F" w14:textId="77777777" w:rsidR="009D21A2" w:rsidRPr="00AD7BA1" w:rsidRDefault="009D21A2" w:rsidP="00BF59EE">
            <w:pPr>
              <w:pStyle w:val="TableParagraph"/>
              <w:ind w:left="107"/>
              <w:rPr>
                <w:rFonts w:ascii="Times New Roman" w:hAnsi="Times New Roman" w:cs="Times New Roman"/>
                <w:b/>
                <w:lang w:val="da-DK"/>
              </w:rPr>
            </w:pPr>
            <w:r w:rsidRPr="00AD7BA1">
              <w:rPr>
                <w:rFonts w:ascii="Times New Roman" w:hAnsi="Times New Roman" w:cs="Times New Roman"/>
                <w:b/>
                <w:lang w:val="da-DK"/>
              </w:rPr>
              <w:t>KM %</w:t>
            </w:r>
          </w:p>
        </w:tc>
        <w:tc>
          <w:tcPr>
            <w:tcW w:w="695" w:type="pct"/>
          </w:tcPr>
          <w:p w14:paraId="036D520A" w14:textId="77777777" w:rsidR="009D21A2" w:rsidRPr="00AD7BA1" w:rsidRDefault="009D21A2" w:rsidP="00BF59EE">
            <w:pPr>
              <w:pStyle w:val="TableParagraph"/>
              <w:ind w:left="107" w:right="270"/>
              <w:rPr>
                <w:rFonts w:ascii="Times New Roman" w:hAnsi="Times New Roman" w:cs="Times New Roman"/>
                <w:b/>
                <w:lang w:val="da-DK"/>
              </w:rPr>
            </w:pPr>
            <w:r w:rsidRPr="00AD7BA1">
              <w:rPr>
                <w:rFonts w:ascii="Times New Roman" w:hAnsi="Times New Roman" w:cs="Times New Roman"/>
                <w:b/>
                <w:lang w:val="da-DK"/>
              </w:rPr>
              <w:t>Patienter med</w:t>
            </w:r>
          </w:p>
          <w:p w14:paraId="13F0ED27" w14:textId="77777777" w:rsidR="009D21A2" w:rsidRPr="00AD7BA1" w:rsidRDefault="009D21A2" w:rsidP="00BF59EE">
            <w:pPr>
              <w:pStyle w:val="TableParagraph"/>
              <w:ind w:left="107"/>
              <w:rPr>
                <w:rFonts w:ascii="Times New Roman" w:hAnsi="Times New Roman" w:cs="Times New Roman"/>
                <w:b/>
                <w:lang w:val="da-DK"/>
              </w:rPr>
            </w:pPr>
            <w:r w:rsidRPr="00AD7BA1">
              <w:rPr>
                <w:rFonts w:ascii="Times New Roman" w:hAnsi="Times New Roman" w:cs="Times New Roman"/>
                <w:b/>
                <w:lang w:val="da-DK"/>
              </w:rPr>
              <w:t>hændelser</w:t>
            </w:r>
          </w:p>
        </w:tc>
        <w:tc>
          <w:tcPr>
            <w:tcW w:w="540" w:type="pct"/>
          </w:tcPr>
          <w:p w14:paraId="1CC6A865" w14:textId="77777777" w:rsidR="009D21A2" w:rsidRPr="00AD7BA1" w:rsidRDefault="009D21A2" w:rsidP="00BF59EE">
            <w:pPr>
              <w:pStyle w:val="TableParagraph"/>
              <w:ind w:left="108"/>
              <w:rPr>
                <w:rFonts w:ascii="Times New Roman" w:hAnsi="Times New Roman" w:cs="Times New Roman"/>
                <w:b/>
                <w:lang w:val="da-DK"/>
              </w:rPr>
            </w:pPr>
            <w:r w:rsidRPr="00AD7BA1">
              <w:rPr>
                <w:rFonts w:ascii="Times New Roman" w:hAnsi="Times New Roman" w:cs="Times New Roman"/>
                <w:b/>
                <w:lang w:val="da-DK"/>
              </w:rPr>
              <w:t>KM %</w:t>
            </w:r>
          </w:p>
        </w:tc>
        <w:tc>
          <w:tcPr>
            <w:tcW w:w="695" w:type="pct"/>
          </w:tcPr>
          <w:p w14:paraId="0C36D927" w14:textId="77777777" w:rsidR="009D21A2" w:rsidRPr="00AD7BA1" w:rsidRDefault="009D21A2" w:rsidP="00BF59EE">
            <w:pPr>
              <w:pStyle w:val="TableParagraph"/>
              <w:ind w:left="108"/>
              <w:rPr>
                <w:rFonts w:ascii="Times New Roman" w:hAnsi="Times New Roman" w:cs="Times New Roman"/>
                <w:b/>
                <w:lang w:val="da-DK"/>
              </w:rPr>
            </w:pPr>
            <w:r w:rsidRPr="00AD7BA1">
              <w:rPr>
                <w:rFonts w:ascii="Times New Roman" w:hAnsi="Times New Roman" w:cs="Times New Roman"/>
                <w:b/>
                <w:lang w:val="da-DK"/>
              </w:rPr>
              <w:t>HR</w:t>
            </w:r>
          </w:p>
          <w:p w14:paraId="2F3551F6" w14:textId="77777777" w:rsidR="009D21A2" w:rsidRPr="00AD7BA1" w:rsidRDefault="009D21A2" w:rsidP="00BF59EE">
            <w:pPr>
              <w:pStyle w:val="TableParagraph"/>
              <w:ind w:left="108"/>
              <w:rPr>
                <w:rFonts w:ascii="Times New Roman" w:hAnsi="Times New Roman" w:cs="Times New Roman"/>
                <w:b/>
                <w:lang w:val="da-DK"/>
              </w:rPr>
            </w:pPr>
            <w:r w:rsidRPr="00AD7BA1">
              <w:rPr>
                <w:rFonts w:ascii="Times New Roman" w:hAnsi="Times New Roman" w:cs="Times New Roman"/>
                <w:b/>
                <w:lang w:val="da-DK"/>
              </w:rPr>
              <w:t>(95 % CI)</w:t>
            </w:r>
          </w:p>
        </w:tc>
        <w:tc>
          <w:tcPr>
            <w:tcW w:w="772" w:type="pct"/>
          </w:tcPr>
          <w:p w14:paraId="2B9604F6" w14:textId="77777777" w:rsidR="009D21A2" w:rsidRPr="00AD7BA1" w:rsidRDefault="009D21A2" w:rsidP="00BF59EE">
            <w:pPr>
              <w:pStyle w:val="TableParagraph"/>
              <w:ind w:left="109"/>
              <w:rPr>
                <w:rFonts w:ascii="Times New Roman" w:hAnsi="Times New Roman" w:cs="Times New Roman"/>
                <w:b/>
                <w:lang w:val="da-DK"/>
              </w:rPr>
            </w:pPr>
            <w:r w:rsidRPr="00AD7BA1">
              <w:rPr>
                <w:rFonts w:ascii="Times New Roman" w:hAnsi="Times New Roman" w:cs="Times New Roman"/>
                <w:b/>
                <w:lang w:val="da-DK"/>
              </w:rPr>
              <w:t xml:space="preserve">p-værdi </w:t>
            </w:r>
            <w:r w:rsidRPr="00AD7BA1">
              <w:rPr>
                <w:rFonts w:ascii="Times New Roman" w:hAnsi="Times New Roman" w:cs="Times New Roman"/>
                <w:b/>
                <w:position w:val="8"/>
                <w:lang w:val="da-DK"/>
              </w:rPr>
              <w:t>b)</w:t>
            </w:r>
          </w:p>
        </w:tc>
      </w:tr>
      <w:tr w:rsidR="009D21A2" w:rsidRPr="00AD7BA1" w14:paraId="70C5B414" w14:textId="77777777" w:rsidTr="0068338F">
        <w:trPr>
          <w:trHeight w:val="252"/>
        </w:trPr>
        <w:tc>
          <w:tcPr>
            <w:tcW w:w="5000" w:type="pct"/>
            <w:gridSpan w:val="7"/>
          </w:tcPr>
          <w:p w14:paraId="534A9F14" w14:textId="77777777" w:rsidR="009D21A2" w:rsidRPr="00AD7BA1" w:rsidRDefault="009D21A2" w:rsidP="00BF59EE">
            <w:pPr>
              <w:pStyle w:val="TableParagraph"/>
              <w:ind w:left="0"/>
              <w:rPr>
                <w:rFonts w:ascii="Times New Roman" w:hAnsi="Times New Roman" w:cs="Times New Roman"/>
                <w:lang w:val="da-DK"/>
              </w:rPr>
            </w:pPr>
          </w:p>
        </w:tc>
      </w:tr>
      <w:tr w:rsidR="009D21A2" w:rsidRPr="00AD7BA1" w14:paraId="543646EE" w14:textId="77777777" w:rsidTr="0068338F">
        <w:trPr>
          <w:trHeight w:val="506"/>
        </w:trPr>
        <w:tc>
          <w:tcPr>
            <w:tcW w:w="957" w:type="pct"/>
          </w:tcPr>
          <w:p w14:paraId="6B9A6018" w14:textId="77777777" w:rsidR="009D21A2" w:rsidRPr="00AD7BA1" w:rsidRDefault="009D21A2" w:rsidP="00BF59EE">
            <w:pPr>
              <w:pStyle w:val="TableParagraph"/>
              <w:ind w:left="107" w:right="336"/>
              <w:rPr>
                <w:rFonts w:ascii="Times New Roman" w:hAnsi="Times New Roman" w:cs="Times New Roman"/>
                <w:lang w:val="da-DK"/>
              </w:rPr>
            </w:pPr>
            <w:r w:rsidRPr="00AD7BA1">
              <w:rPr>
                <w:rFonts w:ascii="Times New Roman" w:hAnsi="Times New Roman" w:cs="Times New Roman"/>
                <w:lang w:val="da-DK"/>
              </w:rPr>
              <w:t>Apopleksi, MI eller CV-død</w:t>
            </w:r>
          </w:p>
        </w:tc>
        <w:tc>
          <w:tcPr>
            <w:tcW w:w="801" w:type="pct"/>
          </w:tcPr>
          <w:p w14:paraId="1C656A3D"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379 (4,1 %)</w:t>
            </w:r>
          </w:p>
        </w:tc>
        <w:tc>
          <w:tcPr>
            <w:tcW w:w="540" w:type="pct"/>
          </w:tcPr>
          <w:p w14:paraId="79A960D3"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5,20 %</w:t>
            </w:r>
          </w:p>
        </w:tc>
        <w:tc>
          <w:tcPr>
            <w:tcW w:w="695" w:type="pct"/>
          </w:tcPr>
          <w:p w14:paraId="71F48778" w14:textId="77777777" w:rsidR="009D21A2" w:rsidRPr="00AD7BA1" w:rsidRDefault="009D21A2" w:rsidP="00BF59EE">
            <w:pPr>
              <w:pStyle w:val="TableParagraph"/>
              <w:ind w:left="89" w:right="91"/>
              <w:jc w:val="center"/>
              <w:rPr>
                <w:rFonts w:ascii="Times New Roman" w:hAnsi="Times New Roman" w:cs="Times New Roman"/>
                <w:lang w:val="da-DK"/>
              </w:rPr>
            </w:pPr>
            <w:r w:rsidRPr="00AD7BA1">
              <w:rPr>
                <w:rFonts w:ascii="Times New Roman" w:hAnsi="Times New Roman" w:cs="Times New Roman"/>
                <w:lang w:val="da-DK"/>
              </w:rPr>
              <w:t>496 (5,4 %)</w:t>
            </w:r>
          </w:p>
        </w:tc>
        <w:tc>
          <w:tcPr>
            <w:tcW w:w="540" w:type="pct"/>
          </w:tcPr>
          <w:p w14:paraId="4CFDFA82"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7,17 %</w:t>
            </w:r>
          </w:p>
        </w:tc>
        <w:tc>
          <w:tcPr>
            <w:tcW w:w="695" w:type="pct"/>
          </w:tcPr>
          <w:p w14:paraId="46802711"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0,76</w:t>
            </w:r>
          </w:p>
          <w:p w14:paraId="3D6788D9"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(0,66;0,86)</w:t>
            </w:r>
          </w:p>
        </w:tc>
        <w:tc>
          <w:tcPr>
            <w:tcW w:w="772" w:type="pct"/>
          </w:tcPr>
          <w:p w14:paraId="47F9C639" w14:textId="77777777" w:rsidR="009D21A2" w:rsidRPr="00AD7BA1" w:rsidRDefault="009D21A2" w:rsidP="00BF59EE">
            <w:pPr>
              <w:pStyle w:val="TableParagraph"/>
              <w:ind w:left="109"/>
              <w:rPr>
                <w:rFonts w:ascii="Times New Roman" w:hAnsi="Times New Roman" w:cs="Times New Roman"/>
                <w:lang w:val="da-DK"/>
              </w:rPr>
            </w:pPr>
            <w:r w:rsidRPr="00AD7BA1">
              <w:rPr>
                <w:rFonts w:ascii="Times New Roman" w:hAnsi="Times New Roman" w:cs="Times New Roman"/>
                <w:lang w:val="da-DK"/>
              </w:rPr>
              <w:t>p = 0,00004*</w:t>
            </w:r>
          </w:p>
        </w:tc>
      </w:tr>
      <w:tr w:rsidR="009D21A2" w:rsidRPr="00AD7BA1" w14:paraId="7BE9054A" w14:textId="77777777" w:rsidTr="0068338F">
        <w:trPr>
          <w:trHeight w:val="502"/>
        </w:trPr>
        <w:tc>
          <w:tcPr>
            <w:tcW w:w="957" w:type="pct"/>
          </w:tcPr>
          <w:p w14:paraId="414C0A94" w14:textId="77777777" w:rsidR="009D21A2" w:rsidRPr="00AD7BA1" w:rsidRDefault="009D21A2" w:rsidP="00BF59EE">
            <w:pPr>
              <w:pStyle w:val="TableParagraph"/>
              <w:tabs>
                <w:tab w:val="left" w:pos="633"/>
              </w:tabs>
              <w:ind w:left="273"/>
              <w:rPr>
                <w:rFonts w:ascii="Times New Roman" w:hAnsi="Times New Roman" w:cs="Times New Roman"/>
                <w:lang w:val="da-DK"/>
              </w:rPr>
            </w:pPr>
            <w:r w:rsidRPr="00AD7BA1">
              <w:rPr>
                <w:rFonts w:ascii="Times New Roman" w:hAnsi="Times New Roman" w:cs="Times New Roman"/>
                <w:lang w:val="da-DK"/>
              </w:rPr>
              <w:t>-</w:t>
            </w:r>
            <w:r w:rsidRPr="00AD7BA1">
              <w:rPr>
                <w:rFonts w:ascii="Times New Roman" w:hAnsi="Times New Roman" w:cs="Times New Roman"/>
                <w:lang w:val="da-DK"/>
              </w:rPr>
              <w:tab/>
              <w:t>Apopleksi</w:t>
            </w:r>
          </w:p>
        </w:tc>
        <w:tc>
          <w:tcPr>
            <w:tcW w:w="801" w:type="pct"/>
          </w:tcPr>
          <w:p w14:paraId="1D3E9BBF"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83 (0,9 %)</w:t>
            </w:r>
          </w:p>
        </w:tc>
        <w:tc>
          <w:tcPr>
            <w:tcW w:w="540" w:type="pct"/>
          </w:tcPr>
          <w:p w14:paraId="05E9A8E9"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1,17 %</w:t>
            </w:r>
          </w:p>
        </w:tc>
        <w:tc>
          <w:tcPr>
            <w:tcW w:w="695" w:type="pct"/>
          </w:tcPr>
          <w:p w14:paraId="7001A0CC" w14:textId="77777777" w:rsidR="009D21A2" w:rsidRPr="00AD7BA1" w:rsidRDefault="009D21A2" w:rsidP="00BF59EE">
            <w:pPr>
              <w:pStyle w:val="TableParagraph"/>
              <w:ind w:left="89" w:right="91"/>
              <w:jc w:val="center"/>
              <w:rPr>
                <w:rFonts w:ascii="Times New Roman" w:hAnsi="Times New Roman" w:cs="Times New Roman"/>
                <w:lang w:val="da-DK"/>
              </w:rPr>
            </w:pPr>
            <w:r w:rsidRPr="00AD7BA1">
              <w:rPr>
                <w:rFonts w:ascii="Times New Roman" w:hAnsi="Times New Roman" w:cs="Times New Roman"/>
                <w:lang w:val="da-DK"/>
              </w:rPr>
              <w:t>142 (1,6 %)</w:t>
            </w:r>
          </w:p>
        </w:tc>
        <w:tc>
          <w:tcPr>
            <w:tcW w:w="540" w:type="pct"/>
          </w:tcPr>
          <w:p w14:paraId="0982AE1F"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2,23 %</w:t>
            </w:r>
          </w:p>
        </w:tc>
        <w:tc>
          <w:tcPr>
            <w:tcW w:w="695" w:type="pct"/>
          </w:tcPr>
          <w:p w14:paraId="755E800C"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0,58</w:t>
            </w:r>
          </w:p>
          <w:p w14:paraId="456353AE"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(0,44;0,76)</w:t>
            </w:r>
          </w:p>
        </w:tc>
        <w:tc>
          <w:tcPr>
            <w:tcW w:w="772" w:type="pct"/>
          </w:tcPr>
          <w:p w14:paraId="0E8E15DA" w14:textId="77777777" w:rsidR="009D21A2" w:rsidRPr="00AD7BA1" w:rsidRDefault="009D21A2" w:rsidP="00BF59EE">
            <w:pPr>
              <w:pStyle w:val="TableParagraph"/>
              <w:ind w:left="109"/>
              <w:rPr>
                <w:rFonts w:ascii="Times New Roman" w:hAnsi="Times New Roman" w:cs="Times New Roman"/>
                <w:lang w:val="da-DK"/>
              </w:rPr>
            </w:pPr>
            <w:r w:rsidRPr="00AD7BA1">
              <w:rPr>
                <w:rFonts w:ascii="Times New Roman" w:hAnsi="Times New Roman" w:cs="Times New Roman"/>
                <w:lang w:val="da-DK"/>
              </w:rPr>
              <w:t>p = 0,00006</w:t>
            </w:r>
          </w:p>
        </w:tc>
      </w:tr>
      <w:tr w:rsidR="009D21A2" w:rsidRPr="00AD7BA1" w14:paraId="5C89E03D" w14:textId="77777777" w:rsidTr="0068338F">
        <w:trPr>
          <w:trHeight w:val="506"/>
        </w:trPr>
        <w:tc>
          <w:tcPr>
            <w:tcW w:w="957" w:type="pct"/>
          </w:tcPr>
          <w:p w14:paraId="357CD175" w14:textId="77777777" w:rsidR="009D21A2" w:rsidRPr="00AD7BA1" w:rsidRDefault="009D21A2" w:rsidP="00BF59EE">
            <w:pPr>
              <w:pStyle w:val="TableParagraph"/>
              <w:tabs>
                <w:tab w:val="left" w:pos="633"/>
              </w:tabs>
              <w:ind w:left="273"/>
              <w:rPr>
                <w:rFonts w:ascii="Times New Roman" w:hAnsi="Times New Roman" w:cs="Times New Roman"/>
                <w:lang w:val="da-DK"/>
              </w:rPr>
            </w:pPr>
            <w:r w:rsidRPr="00AD7BA1">
              <w:rPr>
                <w:rFonts w:ascii="Times New Roman" w:hAnsi="Times New Roman" w:cs="Times New Roman"/>
                <w:lang w:val="da-DK"/>
              </w:rPr>
              <w:t>-</w:t>
            </w:r>
            <w:r w:rsidRPr="00AD7BA1">
              <w:rPr>
                <w:rFonts w:ascii="Times New Roman" w:hAnsi="Times New Roman" w:cs="Times New Roman"/>
                <w:lang w:val="da-DK"/>
              </w:rPr>
              <w:tab/>
              <w:t>MI</w:t>
            </w:r>
          </w:p>
        </w:tc>
        <w:tc>
          <w:tcPr>
            <w:tcW w:w="801" w:type="pct"/>
          </w:tcPr>
          <w:p w14:paraId="107C4CCC"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178 (1,9 %)</w:t>
            </w:r>
          </w:p>
        </w:tc>
        <w:tc>
          <w:tcPr>
            <w:tcW w:w="540" w:type="pct"/>
          </w:tcPr>
          <w:p w14:paraId="0B9AF90B"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2,46 %</w:t>
            </w:r>
          </w:p>
        </w:tc>
        <w:tc>
          <w:tcPr>
            <w:tcW w:w="695" w:type="pct"/>
          </w:tcPr>
          <w:p w14:paraId="5350C0AF" w14:textId="77777777" w:rsidR="009D21A2" w:rsidRPr="00AD7BA1" w:rsidRDefault="009D21A2" w:rsidP="00BF59EE">
            <w:pPr>
              <w:pStyle w:val="TableParagraph"/>
              <w:ind w:left="89" w:right="91"/>
              <w:jc w:val="center"/>
              <w:rPr>
                <w:rFonts w:ascii="Times New Roman" w:hAnsi="Times New Roman" w:cs="Times New Roman"/>
                <w:lang w:val="da-DK"/>
              </w:rPr>
            </w:pPr>
            <w:r w:rsidRPr="00AD7BA1">
              <w:rPr>
                <w:rFonts w:ascii="Times New Roman" w:hAnsi="Times New Roman" w:cs="Times New Roman"/>
                <w:lang w:val="da-DK"/>
              </w:rPr>
              <w:t>205 (2,2 %)</w:t>
            </w:r>
          </w:p>
        </w:tc>
        <w:tc>
          <w:tcPr>
            <w:tcW w:w="540" w:type="pct"/>
          </w:tcPr>
          <w:p w14:paraId="5BFCE16C"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2,94 %</w:t>
            </w:r>
          </w:p>
        </w:tc>
        <w:tc>
          <w:tcPr>
            <w:tcW w:w="695" w:type="pct"/>
          </w:tcPr>
          <w:p w14:paraId="0F60E300"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0,86</w:t>
            </w:r>
          </w:p>
          <w:p w14:paraId="12F126A8"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(0,70;1,05)</w:t>
            </w:r>
          </w:p>
        </w:tc>
        <w:tc>
          <w:tcPr>
            <w:tcW w:w="772" w:type="pct"/>
          </w:tcPr>
          <w:p w14:paraId="4864C296" w14:textId="77777777" w:rsidR="009D21A2" w:rsidRPr="00AD7BA1" w:rsidRDefault="009D21A2" w:rsidP="00BF59EE">
            <w:pPr>
              <w:pStyle w:val="TableParagraph"/>
              <w:ind w:left="109"/>
              <w:rPr>
                <w:rFonts w:ascii="Times New Roman" w:hAnsi="Times New Roman" w:cs="Times New Roman"/>
                <w:lang w:val="da-DK"/>
              </w:rPr>
            </w:pPr>
            <w:r w:rsidRPr="00AD7BA1">
              <w:rPr>
                <w:rFonts w:ascii="Times New Roman" w:hAnsi="Times New Roman" w:cs="Times New Roman"/>
                <w:lang w:val="da-DK"/>
              </w:rPr>
              <w:t>p = 0,14458</w:t>
            </w:r>
          </w:p>
        </w:tc>
      </w:tr>
      <w:tr w:rsidR="009D21A2" w:rsidRPr="00AD7BA1" w14:paraId="41C7208B" w14:textId="77777777" w:rsidTr="0068338F">
        <w:trPr>
          <w:trHeight w:val="505"/>
        </w:trPr>
        <w:tc>
          <w:tcPr>
            <w:tcW w:w="957" w:type="pct"/>
          </w:tcPr>
          <w:p w14:paraId="306C65A5" w14:textId="77777777" w:rsidR="009D21A2" w:rsidRPr="00AD7BA1" w:rsidRDefault="009D21A2" w:rsidP="00BF59EE">
            <w:pPr>
              <w:pStyle w:val="TableParagraph"/>
              <w:tabs>
                <w:tab w:val="left" w:pos="633"/>
              </w:tabs>
              <w:ind w:left="273"/>
              <w:rPr>
                <w:rFonts w:ascii="Times New Roman" w:hAnsi="Times New Roman" w:cs="Times New Roman"/>
                <w:lang w:val="da-DK"/>
              </w:rPr>
            </w:pPr>
            <w:r w:rsidRPr="00AD7BA1">
              <w:rPr>
                <w:rFonts w:ascii="Times New Roman" w:hAnsi="Times New Roman" w:cs="Times New Roman"/>
                <w:lang w:val="da-DK"/>
              </w:rPr>
              <w:t>-</w:t>
            </w:r>
            <w:r w:rsidRPr="00AD7BA1">
              <w:rPr>
                <w:rFonts w:ascii="Times New Roman" w:hAnsi="Times New Roman" w:cs="Times New Roman"/>
                <w:lang w:val="da-DK"/>
              </w:rPr>
              <w:tab/>
              <w:t>CV-død</w:t>
            </w:r>
          </w:p>
        </w:tc>
        <w:tc>
          <w:tcPr>
            <w:tcW w:w="801" w:type="pct"/>
          </w:tcPr>
          <w:p w14:paraId="49842A7B"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160 (1,7 %)</w:t>
            </w:r>
          </w:p>
        </w:tc>
        <w:tc>
          <w:tcPr>
            <w:tcW w:w="540" w:type="pct"/>
          </w:tcPr>
          <w:p w14:paraId="6E5E8BB8"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2,19 %</w:t>
            </w:r>
          </w:p>
        </w:tc>
        <w:tc>
          <w:tcPr>
            <w:tcW w:w="695" w:type="pct"/>
          </w:tcPr>
          <w:p w14:paraId="3C230648" w14:textId="77777777" w:rsidR="009D21A2" w:rsidRPr="00AD7BA1" w:rsidRDefault="009D21A2" w:rsidP="00BF59EE">
            <w:pPr>
              <w:pStyle w:val="TableParagraph"/>
              <w:ind w:left="89" w:right="91"/>
              <w:jc w:val="center"/>
              <w:rPr>
                <w:rFonts w:ascii="Times New Roman" w:hAnsi="Times New Roman" w:cs="Times New Roman"/>
                <w:lang w:val="da-DK"/>
              </w:rPr>
            </w:pPr>
            <w:r w:rsidRPr="00AD7BA1">
              <w:rPr>
                <w:rFonts w:ascii="Times New Roman" w:hAnsi="Times New Roman" w:cs="Times New Roman"/>
                <w:lang w:val="da-DK"/>
              </w:rPr>
              <w:t>203 (2,2 %)</w:t>
            </w:r>
          </w:p>
        </w:tc>
        <w:tc>
          <w:tcPr>
            <w:tcW w:w="540" w:type="pct"/>
          </w:tcPr>
          <w:p w14:paraId="26B4DC7D"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2,88 %</w:t>
            </w:r>
          </w:p>
        </w:tc>
        <w:tc>
          <w:tcPr>
            <w:tcW w:w="695" w:type="pct"/>
          </w:tcPr>
          <w:p w14:paraId="037B6335"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0,78</w:t>
            </w:r>
          </w:p>
          <w:p w14:paraId="2F9999C8"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(0,64;0,96)</w:t>
            </w:r>
          </w:p>
        </w:tc>
        <w:tc>
          <w:tcPr>
            <w:tcW w:w="772" w:type="pct"/>
          </w:tcPr>
          <w:p w14:paraId="32AD69F8" w14:textId="77777777" w:rsidR="009D21A2" w:rsidRPr="00AD7BA1" w:rsidRDefault="009D21A2" w:rsidP="00BF59EE">
            <w:pPr>
              <w:pStyle w:val="TableParagraph"/>
              <w:ind w:left="109"/>
              <w:rPr>
                <w:rFonts w:ascii="Times New Roman" w:hAnsi="Times New Roman" w:cs="Times New Roman"/>
                <w:lang w:val="da-DK"/>
              </w:rPr>
            </w:pPr>
            <w:r w:rsidRPr="00AD7BA1">
              <w:rPr>
                <w:rFonts w:ascii="Times New Roman" w:hAnsi="Times New Roman" w:cs="Times New Roman"/>
                <w:lang w:val="da-DK"/>
              </w:rPr>
              <w:t>p = 0,02053</w:t>
            </w:r>
          </w:p>
        </w:tc>
      </w:tr>
      <w:tr w:rsidR="009D21A2" w:rsidRPr="00AD7BA1" w14:paraId="7AEECFC5" w14:textId="77777777" w:rsidTr="0068338F">
        <w:trPr>
          <w:trHeight w:val="252"/>
        </w:trPr>
        <w:tc>
          <w:tcPr>
            <w:tcW w:w="5000" w:type="pct"/>
            <w:gridSpan w:val="7"/>
          </w:tcPr>
          <w:p w14:paraId="0F3838FC" w14:textId="77777777" w:rsidR="009D21A2" w:rsidRPr="00AD7BA1" w:rsidRDefault="009D21A2" w:rsidP="00BF59EE">
            <w:pPr>
              <w:pStyle w:val="TableParagraph"/>
              <w:ind w:left="0"/>
              <w:rPr>
                <w:rFonts w:ascii="Times New Roman" w:hAnsi="Times New Roman" w:cs="Times New Roman"/>
                <w:lang w:val="da-DK"/>
              </w:rPr>
            </w:pPr>
          </w:p>
        </w:tc>
      </w:tr>
      <w:tr w:rsidR="009D21A2" w:rsidRPr="00AD7BA1" w14:paraId="65FCF75C" w14:textId="77777777" w:rsidTr="0068338F">
        <w:trPr>
          <w:trHeight w:val="505"/>
        </w:trPr>
        <w:tc>
          <w:tcPr>
            <w:tcW w:w="957" w:type="pct"/>
          </w:tcPr>
          <w:p w14:paraId="36A5A98F"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Død uanset årsag</w:t>
            </w:r>
          </w:p>
        </w:tc>
        <w:tc>
          <w:tcPr>
            <w:tcW w:w="801" w:type="pct"/>
          </w:tcPr>
          <w:p w14:paraId="0C66A97F"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313 (3,4 %)</w:t>
            </w:r>
          </w:p>
        </w:tc>
        <w:tc>
          <w:tcPr>
            <w:tcW w:w="540" w:type="pct"/>
          </w:tcPr>
          <w:p w14:paraId="598118BE"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4,50 %</w:t>
            </w:r>
          </w:p>
        </w:tc>
        <w:tc>
          <w:tcPr>
            <w:tcW w:w="695" w:type="pct"/>
          </w:tcPr>
          <w:p w14:paraId="489F2649" w14:textId="77777777" w:rsidR="009D21A2" w:rsidRPr="00AD7BA1" w:rsidRDefault="009D21A2" w:rsidP="00BF59EE">
            <w:pPr>
              <w:pStyle w:val="TableParagraph"/>
              <w:ind w:left="89" w:right="91"/>
              <w:jc w:val="center"/>
              <w:rPr>
                <w:rFonts w:ascii="Times New Roman" w:hAnsi="Times New Roman" w:cs="Times New Roman"/>
                <w:lang w:val="da-DK"/>
              </w:rPr>
            </w:pPr>
            <w:r w:rsidRPr="00AD7BA1">
              <w:rPr>
                <w:rFonts w:ascii="Times New Roman" w:hAnsi="Times New Roman" w:cs="Times New Roman"/>
                <w:lang w:val="da-DK"/>
              </w:rPr>
              <w:t>378 (4,1 %)</w:t>
            </w:r>
          </w:p>
        </w:tc>
        <w:tc>
          <w:tcPr>
            <w:tcW w:w="540" w:type="pct"/>
          </w:tcPr>
          <w:p w14:paraId="1C8CA2A0"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5,57 %</w:t>
            </w:r>
          </w:p>
        </w:tc>
        <w:tc>
          <w:tcPr>
            <w:tcW w:w="695" w:type="pct"/>
          </w:tcPr>
          <w:p w14:paraId="5A47A160"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0,82</w:t>
            </w:r>
          </w:p>
          <w:p w14:paraId="0906C422"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(0,71;0,96)</w:t>
            </w:r>
          </w:p>
        </w:tc>
        <w:tc>
          <w:tcPr>
            <w:tcW w:w="772" w:type="pct"/>
          </w:tcPr>
          <w:p w14:paraId="639F012D" w14:textId="77777777" w:rsidR="009D21A2" w:rsidRPr="00AD7BA1" w:rsidRDefault="009D21A2" w:rsidP="00BF59EE">
            <w:pPr>
              <w:pStyle w:val="TableParagraph"/>
              <w:ind w:left="0"/>
              <w:rPr>
                <w:rFonts w:ascii="Times New Roman" w:hAnsi="Times New Roman" w:cs="Times New Roman"/>
                <w:lang w:val="da-DK"/>
              </w:rPr>
            </w:pPr>
          </w:p>
        </w:tc>
      </w:tr>
      <w:tr w:rsidR="009D21A2" w:rsidRPr="00AD7BA1" w14:paraId="592CB6E6" w14:textId="77777777" w:rsidTr="0068338F">
        <w:trPr>
          <w:trHeight w:val="506"/>
        </w:trPr>
        <w:tc>
          <w:tcPr>
            <w:tcW w:w="957" w:type="pct"/>
          </w:tcPr>
          <w:p w14:paraId="34AA605C" w14:textId="77777777" w:rsidR="009D21A2" w:rsidRPr="00AD7BA1" w:rsidRDefault="009D21A2" w:rsidP="00BF59EE">
            <w:pPr>
              <w:pStyle w:val="TableParagraph"/>
              <w:ind w:left="107" w:right="373"/>
              <w:rPr>
                <w:rFonts w:ascii="Times New Roman" w:hAnsi="Times New Roman" w:cs="Times New Roman"/>
                <w:lang w:val="da-DK"/>
              </w:rPr>
            </w:pPr>
            <w:r w:rsidRPr="00AD7BA1">
              <w:rPr>
                <w:rFonts w:ascii="Times New Roman" w:hAnsi="Times New Roman" w:cs="Times New Roman"/>
                <w:lang w:val="da-DK"/>
              </w:rPr>
              <w:t>Akut iskæmi i ekstremiteter</w:t>
            </w:r>
          </w:p>
        </w:tc>
        <w:tc>
          <w:tcPr>
            <w:tcW w:w="801" w:type="pct"/>
          </w:tcPr>
          <w:p w14:paraId="073F7E65"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22 (0,2 %)</w:t>
            </w:r>
          </w:p>
        </w:tc>
        <w:tc>
          <w:tcPr>
            <w:tcW w:w="540" w:type="pct"/>
          </w:tcPr>
          <w:p w14:paraId="29E09B6B"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0,27 %</w:t>
            </w:r>
          </w:p>
        </w:tc>
        <w:tc>
          <w:tcPr>
            <w:tcW w:w="695" w:type="pct"/>
          </w:tcPr>
          <w:p w14:paraId="28B73097" w14:textId="77777777" w:rsidR="009D21A2" w:rsidRPr="00AD7BA1" w:rsidRDefault="009D21A2" w:rsidP="00BF59EE">
            <w:pPr>
              <w:pStyle w:val="TableParagraph"/>
              <w:ind w:left="89" w:right="201"/>
              <w:jc w:val="center"/>
              <w:rPr>
                <w:rFonts w:ascii="Times New Roman" w:hAnsi="Times New Roman" w:cs="Times New Roman"/>
                <w:lang w:val="da-DK"/>
              </w:rPr>
            </w:pPr>
            <w:r w:rsidRPr="00AD7BA1">
              <w:rPr>
                <w:rFonts w:ascii="Times New Roman" w:hAnsi="Times New Roman" w:cs="Times New Roman"/>
                <w:lang w:val="da-DK"/>
              </w:rPr>
              <w:t>40 (0,4 %)</w:t>
            </w:r>
          </w:p>
        </w:tc>
        <w:tc>
          <w:tcPr>
            <w:tcW w:w="540" w:type="pct"/>
          </w:tcPr>
          <w:p w14:paraId="16CFC6BB"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0,60 %</w:t>
            </w:r>
          </w:p>
        </w:tc>
        <w:tc>
          <w:tcPr>
            <w:tcW w:w="695" w:type="pct"/>
          </w:tcPr>
          <w:p w14:paraId="3C07BE6A"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0,55</w:t>
            </w:r>
          </w:p>
          <w:p w14:paraId="1020B11E" w14:textId="77777777" w:rsidR="009D21A2" w:rsidRPr="00AD7BA1" w:rsidRDefault="009D21A2" w:rsidP="00BF59EE">
            <w:pPr>
              <w:pStyle w:val="TableParagraph"/>
              <w:ind w:left="108"/>
              <w:rPr>
                <w:rFonts w:ascii="Times New Roman" w:hAnsi="Times New Roman" w:cs="Times New Roman"/>
                <w:lang w:val="da-DK"/>
              </w:rPr>
            </w:pPr>
            <w:r w:rsidRPr="00AD7BA1">
              <w:rPr>
                <w:rFonts w:ascii="Times New Roman" w:hAnsi="Times New Roman" w:cs="Times New Roman"/>
                <w:lang w:val="da-DK"/>
              </w:rPr>
              <w:t>(0,32;0,92)</w:t>
            </w:r>
          </w:p>
        </w:tc>
        <w:tc>
          <w:tcPr>
            <w:tcW w:w="772" w:type="pct"/>
          </w:tcPr>
          <w:p w14:paraId="51377FC0" w14:textId="77777777" w:rsidR="009D21A2" w:rsidRPr="00AD7BA1" w:rsidRDefault="009D21A2" w:rsidP="00BF59EE">
            <w:pPr>
              <w:pStyle w:val="TableParagraph"/>
              <w:ind w:left="0"/>
              <w:rPr>
                <w:rFonts w:ascii="Times New Roman" w:hAnsi="Times New Roman" w:cs="Times New Roman"/>
                <w:lang w:val="da-DK"/>
              </w:rPr>
            </w:pPr>
          </w:p>
        </w:tc>
      </w:tr>
    </w:tbl>
    <w:p w14:paraId="237180B4" w14:textId="50863421" w:rsidR="009D21A2" w:rsidRPr="00AD7BA1" w:rsidRDefault="009D21A2" w:rsidP="00E1181E">
      <w:pPr>
        <w:pStyle w:val="Listeafsnit"/>
        <w:numPr>
          <w:ilvl w:val="0"/>
          <w:numId w:val="20"/>
        </w:numPr>
        <w:ind w:left="426" w:hanging="426"/>
        <w:rPr>
          <w:sz w:val="24"/>
          <w:szCs w:val="24"/>
          <w:lang w:val="da-DK"/>
        </w:rPr>
      </w:pPr>
      <w:r w:rsidRPr="00AD7BA1">
        <w:rPr>
          <w:sz w:val="24"/>
          <w:szCs w:val="24"/>
          <w:lang w:val="da-DK"/>
        </w:rPr>
        <w:t>intent-to-treat-analysesæt, primære analyser</w:t>
      </w:r>
    </w:p>
    <w:p w14:paraId="5463497D" w14:textId="48484556" w:rsidR="009D21A2" w:rsidRPr="00AD7BA1" w:rsidRDefault="00E1181E" w:rsidP="00E1181E">
      <w:pPr>
        <w:ind w:left="426" w:hanging="426"/>
        <w:rPr>
          <w:sz w:val="24"/>
          <w:szCs w:val="24"/>
        </w:rPr>
      </w:pPr>
      <w:r w:rsidRPr="00AD7BA1">
        <w:rPr>
          <w:sz w:val="24"/>
          <w:szCs w:val="24"/>
        </w:rPr>
        <w:t>b)</w:t>
      </w:r>
      <w:r w:rsidRPr="00AD7BA1">
        <w:rPr>
          <w:sz w:val="24"/>
          <w:szCs w:val="24"/>
        </w:rPr>
        <w:tab/>
      </w:r>
      <w:r w:rsidR="009D21A2" w:rsidRPr="00AD7BA1">
        <w:rPr>
          <w:sz w:val="24"/>
          <w:szCs w:val="24"/>
        </w:rPr>
        <w:t>vs. ASA 100 mg; Log-Rank p-værdi</w:t>
      </w:r>
    </w:p>
    <w:p w14:paraId="000720EC" w14:textId="77777777" w:rsidR="009D21A2" w:rsidRPr="00AD7BA1" w:rsidRDefault="009D21A2" w:rsidP="00E1181E">
      <w:pPr>
        <w:ind w:left="426" w:hanging="426"/>
        <w:rPr>
          <w:sz w:val="24"/>
          <w:szCs w:val="24"/>
        </w:rPr>
      </w:pPr>
      <w:r w:rsidRPr="00AD7BA1">
        <w:rPr>
          <w:sz w:val="24"/>
          <w:szCs w:val="24"/>
        </w:rPr>
        <w:t>*</w:t>
      </w:r>
      <w:r w:rsidRPr="00AD7BA1">
        <w:rPr>
          <w:sz w:val="24"/>
          <w:szCs w:val="24"/>
        </w:rPr>
        <w:tab/>
        <w:t>Reduktionen i det primære effektendepunkt var statistisk bedre.</w:t>
      </w:r>
    </w:p>
    <w:p w14:paraId="2C86AF6A" w14:textId="77777777" w:rsidR="009D21A2" w:rsidRPr="00AD7BA1" w:rsidRDefault="009D21A2" w:rsidP="0068338F">
      <w:pPr>
        <w:rPr>
          <w:sz w:val="24"/>
          <w:szCs w:val="24"/>
        </w:rPr>
      </w:pPr>
      <w:r w:rsidRPr="00AD7BA1">
        <w:rPr>
          <w:sz w:val="24"/>
          <w:szCs w:val="24"/>
        </w:rPr>
        <w:t>CI: konfidensinterval, KM %: Kaplan-Meier-estimater for den kumulative risiko for forekomst beregnet efter 900 dage, CV: kardiovaskulær, MI: myokardieinfarkt</w:t>
      </w:r>
    </w:p>
    <w:p w14:paraId="2B1AAE89" w14:textId="77777777" w:rsidR="009D21A2" w:rsidRPr="00AD7BA1" w:rsidRDefault="009D21A2" w:rsidP="0068338F">
      <w:pPr>
        <w:rPr>
          <w:sz w:val="24"/>
          <w:szCs w:val="24"/>
        </w:rPr>
      </w:pPr>
    </w:p>
    <w:p w14:paraId="39A68540" w14:textId="49B59DC4" w:rsidR="009D21A2" w:rsidRPr="00AD7BA1" w:rsidRDefault="009D21A2" w:rsidP="0068338F">
      <w:pPr>
        <w:rPr>
          <w:b/>
          <w:sz w:val="24"/>
          <w:szCs w:val="24"/>
        </w:rPr>
      </w:pPr>
      <w:r w:rsidRPr="00AD7BA1">
        <w:rPr>
          <w:b/>
          <w:sz w:val="24"/>
          <w:szCs w:val="24"/>
        </w:rPr>
        <w:t>Tabel 8: Sikkerhedsresultater fra fase III COMPASS</w:t>
      </w:r>
    </w:p>
    <w:p w14:paraId="57724484" w14:textId="77777777" w:rsidR="0068338F" w:rsidRPr="00AD7BA1" w:rsidRDefault="0068338F" w:rsidP="0068338F">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88"/>
        <w:gridCol w:w="2288"/>
        <w:gridCol w:w="1924"/>
        <w:gridCol w:w="1928"/>
      </w:tblGrid>
      <w:tr w:rsidR="009D21A2" w:rsidRPr="009C7B12" w14:paraId="3A6B4FF8" w14:textId="77777777" w:rsidTr="00AC54DF">
        <w:trPr>
          <w:trHeight w:val="506"/>
        </w:trPr>
        <w:tc>
          <w:tcPr>
            <w:tcW w:w="1812" w:type="pct"/>
          </w:tcPr>
          <w:p w14:paraId="4452CD07" w14:textId="77777777" w:rsidR="009D21A2" w:rsidRPr="00AD7BA1" w:rsidRDefault="009D21A2" w:rsidP="00BF59EE">
            <w:pPr>
              <w:pStyle w:val="TableParagraph"/>
              <w:ind w:left="107"/>
              <w:rPr>
                <w:rFonts w:ascii="Times New Roman" w:hAnsi="Times New Roman" w:cs="Times New Roman"/>
                <w:b/>
                <w:lang w:val="da-DK"/>
              </w:rPr>
            </w:pPr>
            <w:r w:rsidRPr="00AD7BA1">
              <w:rPr>
                <w:rFonts w:ascii="Times New Roman" w:hAnsi="Times New Roman" w:cs="Times New Roman"/>
                <w:b/>
                <w:lang w:val="da-DK"/>
              </w:rPr>
              <w:t>Studiepopulation</w:t>
            </w:r>
          </w:p>
        </w:tc>
        <w:tc>
          <w:tcPr>
            <w:tcW w:w="3188" w:type="pct"/>
            <w:gridSpan w:val="3"/>
          </w:tcPr>
          <w:p w14:paraId="37906B26" w14:textId="77777777" w:rsidR="009D21A2" w:rsidRPr="00E10279" w:rsidRDefault="009D21A2" w:rsidP="00BF59EE">
            <w:pPr>
              <w:pStyle w:val="TableParagraph"/>
              <w:ind w:left="1798" w:right="386" w:hanging="1384"/>
              <w:jc w:val="center"/>
              <w:rPr>
                <w:rFonts w:ascii="Times New Roman" w:hAnsi="Times New Roman" w:cs="Times New Roman"/>
                <w:b/>
                <w:lang w:val="sv-SE"/>
              </w:rPr>
            </w:pPr>
            <w:r w:rsidRPr="00E10279">
              <w:rPr>
                <w:rFonts w:ascii="Times New Roman" w:hAnsi="Times New Roman" w:cs="Times New Roman"/>
                <w:b/>
                <w:lang w:val="sv-SE"/>
              </w:rPr>
              <w:t>Patienter med koronararteriesygdom (CAD) /perifer arteriesygdom (PAD)</w:t>
            </w:r>
            <w:r w:rsidRPr="00E10279">
              <w:rPr>
                <w:rFonts w:ascii="Times New Roman" w:hAnsi="Times New Roman" w:cs="Times New Roman"/>
                <w:b/>
                <w:vertAlign w:val="superscript"/>
                <w:lang w:val="sv-SE"/>
              </w:rPr>
              <w:t xml:space="preserve"> a)</w:t>
            </w:r>
          </w:p>
        </w:tc>
      </w:tr>
      <w:tr w:rsidR="009D21A2" w:rsidRPr="00AD7BA1" w14:paraId="756D4F30" w14:textId="77777777" w:rsidTr="00AC54DF">
        <w:trPr>
          <w:trHeight w:val="2019"/>
        </w:trPr>
        <w:tc>
          <w:tcPr>
            <w:tcW w:w="1812" w:type="pct"/>
          </w:tcPr>
          <w:p w14:paraId="41E7BBA7" w14:textId="77777777" w:rsidR="009D21A2" w:rsidRPr="00AD7BA1" w:rsidRDefault="009D21A2" w:rsidP="00BF59EE">
            <w:pPr>
              <w:pStyle w:val="TableParagraph"/>
              <w:ind w:left="107"/>
              <w:rPr>
                <w:rFonts w:ascii="Times New Roman" w:hAnsi="Times New Roman" w:cs="Times New Roman"/>
                <w:b/>
                <w:lang w:val="da-DK"/>
              </w:rPr>
            </w:pPr>
            <w:r w:rsidRPr="00AD7BA1">
              <w:rPr>
                <w:rFonts w:ascii="Times New Roman" w:hAnsi="Times New Roman" w:cs="Times New Roman"/>
                <w:b/>
                <w:lang w:val="da-DK"/>
              </w:rPr>
              <w:t>Behandlingsdosis</w:t>
            </w:r>
          </w:p>
        </w:tc>
        <w:tc>
          <w:tcPr>
            <w:tcW w:w="1188" w:type="pct"/>
          </w:tcPr>
          <w:p w14:paraId="7216D859" w14:textId="77777777" w:rsidR="009D21A2" w:rsidRPr="00AD7BA1" w:rsidRDefault="009D21A2" w:rsidP="00BF59EE">
            <w:pPr>
              <w:pStyle w:val="TableParagraph"/>
              <w:ind w:left="125" w:right="117"/>
              <w:jc w:val="center"/>
              <w:rPr>
                <w:rFonts w:ascii="Times New Roman" w:hAnsi="Times New Roman" w:cs="Times New Roman"/>
                <w:b/>
                <w:lang w:val="da-DK"/>
              </w:rPr>
            </w:pPr>
            <w:r w:rsidRPr="00AD7BA1">
              <w:rPr>
                <w:rFonts w:ascii="Times New Roman" w:hAnsi="Times New Roman" w:cs="Times New Roman"/>
                <w:b/>
                <w:lang w:val="da-DK"/>
              </w:rPr>
              <w:t>Rivaroxaban 2,5</w:t>
            </w:r>
            <w:r w:rsidRPr="00AD7BA1">
              <w:rPr>
                <w:rFonts w:ascii="Times New Roman" w:hAnsi="Times New Roman" w:cs="Times New Roman"/>
                <w:b/>
                <w:spacing w:val="-8"/>
                <w:lang w:val="da-DK"/>
              </w:rPr>
              <w:t xml:space="preserve"> </w:t>
            </w:r>
            <w:r w:rsidRPr="00AD7BA1">
              <w:rPr>
                <w:rFonts w:ascii="Times New Roman" w:hAnsi="Times New Roman" w:cs="Times New Roman"/>
                <w:b/>
                <w:lang w:val="da-DK"/>
              </w:rPr>
              <w:t>mg to gange dagligt i kombination med ASA 100 mg én gang</w:t>
            </w:r>
            <w:r w:rsidRPr="00AD7BA1">
              <w:rPr>
                <w:rFonts w:ascii="Times New Roman" w:hAnsi="Times New Roman" w:cs="Times New Roman"/>
                <w:b/>
                <w:spacing w:val="-1"/>
                <w:lang w:val="da-DK"/>
              </w:rPr>
              <w:t xml:space="preserve"> </w:t>
            </w:r>
            <w:r w:rsidRPr="00AD7BA1">
              <w:rPr>
                <w:rFonts w:ascii="Times New Roman" w:hAnsi="Times New Roman" w:cs="Times New Roman"/>
                <w:b/>
                <w:lang w:val="da-DK"/>
              </w:rPr>
              <w:t>dagligt,</w:t>
            </w:r>
          </w:p>
          <w:p w14:paraId="7176B0A3" w14:textId="77777777" w:rsidR="009D21A2" w:rsidRPr="00AD7BA1" w:rsidRDefault="009D21A2" w:rsidP="00BF59EE">
            <w:pPr>
              <w:pStyle w:val="TableParagraph"/>
              <w:ind w:left="466" w:right="459"/>
              <w:jc w:val="center"/>
              <w:rPr>
                <w:rFonts w:ascii="Times New Roman" w:hAnsi="Times New Roman" w:cs="Times New Roman"/>
                <w:b/>
                <w:lang w:val="da-DK"/>
              </w:rPr>
            </w:pPr>
            <w:r w:rsidRPr="00AD7BA1">
              <w:rPr>
                <w:rFonts w:ascii="Times New Roman" w:hAnsi="Times New Roman" w:cs="Times New Roman"/>
                <w:b/>
                <w:lang w:val="da-DK"/>
              </w:rPr>
              <w:t>N =</w:t>
            </w:r>
            <w:r w:rsidRPr="00AD7BA1">
              <w:rPr>
                <w:rFonts w:ascii="Times New Roman" w:hAnsi="Times New Roman" w:cs="Times New Roman"/>
                <w:b/>
                <w:spacing w:val="-4"/>
                <w:lang w:val="da-DK"/>
              </w:rPr>
              <w:t xml:space="preserve"> </w:t>
            </w:r>
            <w:r w:rsidRPr="00AD7BA1">
              <w:rPr>
                <w:rFonts w:ascii="Times New Roman" w:hAnsi="Times New Roman" w:cs="Times New Roman"/>
                <w:b/>
                <w:lang w:val="da-DK"/>
              </w:rPr>
              <w:t>9.152</w:t>
            </w:r>
          </w:p>
          <w:p w14:paraId="7163430A" w14:textId="77777777" w:rsidR="009D21A2" w:rsidRPr="00AD7BA1" w:rsidRDefault="009D21A2" w:rsidP="00BF59EE">
            <w:pPr>
              <w:pStyle w:val="TableParagraph"/>
              <w:ind w:left="466" w:right="459"/>
              <w:jc w:val="center"/>
              <w:rPr>
                <w:rFonts w:ascii="Times New Roman" w:hAnsi="Times New Roman" w:cs="Times New Roman"/>
                <w:b/>
                <w:lang w:val="da-DK"/>
              </w:rPr>
            </w:pPr>
            <w:r w:rsidRPr="00AD7BA1">
              <w:rPr>
                <w:rFonts w:ascii="Times New Roman" w:hAnsi="Times New Roman" w:cs="Times New Roman"/>
                <w:b/>
                <w:lang w:val="da-DK"/>
              </w:rPr>
              <w:t xml:space="preserve">n </w:t>
            </w:r>
            <w:r w:rsidRPr="00AD7BA1">
              <w:rPr>
                <w:rFonts w:ascii="Times New Roman" w:hAnsi="Times New Roman" w:cs="Times New Roman"/>
                <w:b/>
                <w:spacing w:val="-3"/>
                <w:lang w:val="da-DK"/>
              </w:rPr>
              <w:t xml:space="preserve">(kumulativ </w:t>
            </w:r>
            <w:r w:rsidRPr="00AD7BA1">
              <w:rPr>
                <w:rFonts w:ascii="Times New Roman" w:hAnsi="Times New Roman" w:cs="Times New Roman"/>
                <w:b/>
                <w:lang w:val="da-DK"/>
              </w:rPr>
              <w:t>risiko</w:t>
            </w:r>
            <w:r w:rsidRPr="00AD7BA1">
              <w:rPr>
                <w:rFonts w:ascii="Times New Roman" w:hAnsi="Times New Roman" w:cs="Times New Roman"/>
                <w:b/>
                <w:spacing w:val="-1"/>
                <w:lang w:val="da-DK"/>
              </w:rPr>
              <w:t xml:space="preserve"> </w:t>
            </w:r>
            <w:r w:rsidRPr="00AD7BA1">
              <w:rPr>
                <w:rFonts w:ascii="Times New Roman" w:hAnsi="Times New Roman" w:cs="Times New Roman"/>
                <w:b/>
                <w:lang w:val="da-DK"/>
              </w:rPr>
              <w:t>%)</w:t>
            </w:r>
          </w:p>
        </w:tc>
        <w:tc>
          <w:tcPr>
            <w:tcW w:w="999" w:type="pct"/>
          </w:tcPr>
          <w:p w14:paraId="080FD125" w14:textId="77777777" w:rsidR="009D21A2" w:rsidRPr="00AD7BA1" w:rsidRDefault="009D21A2" w:rsidP="00BF59EE">
            <w:pPr>
              <w:pStyle w:val="TableParagraph"/>
              <w:ind w:left="179" w:right="170"/>
              <w:jc w:val="center"/>
              <w:rPr>
                <w:rFonts w:ascii="Times New Roman" w:hAnsi="Times New Roman" w:cs="Times New Roman"/>
                <w:b/>
                <w:lang w:val="da-DK"/>
              </w:rPr>
            </w:pPr>
            <w:r w:rsidRPr="00AD7BA1">
              <w:rPr>
                <w:rFonts w:ascii="Times New Roman" w:hAnsi="Times New Roman" w:cs="Times New Roman"/>
                <w:b/>
                <w:lang w:val="da-DK"/>
              </w:rPr>
              <w:t>ASA 100 mg én gang dagligt</w:t>
            </w:r>
          </w:p>
          <w:p w14:paraId="61D72B51" w14:textId="77777777" w:rsidR="009D21A2" w:rsidRPr="00AD7BA1" w:rsidRDefault="009D21A2" w:rsidP="00BF59EE">
            <w:pPr>
              <w:pStyle w:val="TableParagraph"/>
              <w:ind w:left="0"/>
              <w:jc w:val="center"/>
              <w:rPr>
                <w:rFonts w:ascii="Times New Roman" w:hAnsi="Times New Roman" w:cs="Times New Roman"/>
                <w:b/>
                <w:lang w:val="da-DK"/>
              </w:rPr>
            </w:pPr>
          </w:p>
          <w:p w14:paraId="16A5A915" w14:textId="77777777" w:rsidR="009D21A2" w:rsidRPr="00AD7BA1" w:rsidRDefault="009D21A2" w:rsidP="00BF59EE">
            <w:pPr>
              <w:pStyle w:val="TableParagraph"/>
              <w:ind w:left="0"/>
              <w:jc w:val="center"/>
              <w:rPr>
                <w:rFonts w:ascii="Times New Roman" w:hAnsi="Times New Roman" w:cs="Times New Roman"/>
                <w:b/>
                <w:lang w:val="da-DK"/>
              </w:rPr>
            </w:pPr>
          </w:p>
          <w:p w14:paraId="6C543842" w14:textId="77777777" w:rsidR="009D21A2" w:rsidRPr="00AD7BA1" w:rsidRDefault="009D21A2" w:rsidP="00BF59EE">
            <w:pPr>
              <w:pStyle w:val="TableParagraph"/>
              <w:ind w:left="178" w:right="170"/>
              <w:jc w:val="center"/>
              <w:rPr>
                <w:rFonts w:ascii="Times New Roman" w:hAnsi="Times New Roman" w:cs="Times New Roman"/>
                <w:b/>
                <w:lang w:val="da-DK"/>
              </w:rPr>
            </w:pPr>
            <w:r w:rsidRPr="00AD7BA1">
              <w:rPr>
                <w:rFonts w:ascii="Times New Roman" w:hAnsi="Times New Roman" w:cs="Times New Roman"/>
                <w:b/>
                <w:lang w:val="da-DK"/>
              </w:rPr>
              <w:t>N =</w:t>
            </w:r>
            <w:r w:rsidRPr="00AD7BA1">
              <w:rPr>
                <w:rFonts w:ascii="Times New Roman" w:hAnsi="Times New Roman" w:cs="Times New Roman"/>
                <w:b/>
                <w:spacing w:val="-4"/>
                <w:lang w:val="da-DK"/>
              </w:rPr>
              <w:t xml:space="preserve"> </w:t>
            </w:r>
            <w:r w:rsidRPr="00AD7BA1">
              <w:rPr>
                <w:rFonts w:ascii="Times New Roman" w:hAnsi="Times New Roman" w:cs="Times New Roman"/>
                <w:b/>
                <w:lang w:val="da-DK"/>
              </w:rPr>
              <w:t>9.126</w:t>
            </w:r>
          </w:p>
          <w:p w14:paraId="75FF2D91" w14:textId="77777777" w:rsidR="009D21A2" w:rsidRPr="00AD7BA1" w:rsidRDefault="009D21A2" w:rsidP="00BF59EE">
            <w:pPr>
              <w:pStyle w:val="TableParagraph"/>
              <w:ind w:left="177" w:right="170"/>
              <w:jc w:val="center"/>
              <w:rPr>
                <w:rFonts w:ascii="Times New Roman" w:hAnsi="Times New Roman" w:cs="Times New Roman"/>
                <w:b/>
                <w:lang w:val="da-DK"/>
              </w:rPr>
            </w:pPr>
            <w:r w:rsidRPr="00AD7BA1">
              <w:rPr>
                <w:rFonts w:ascii="Times New Roman" w:hAnsi="Times New Roman" w:cs="Times New Roman"/>
                <w:b/>
                <w:lang w:val="da-DK"/>
              </w:rPr>
              <w:t xml:space="preserve">n </w:t>
            </w:r>
            <w:r w:rsidRPr="00AD7BA1">
              <w:rPr>
                <w:rFonts w:ascii="Times New Roman" w:hAnsi="Times New Roman" w:cs="Times New Roman"/>
                <w:b/>
                <w:spacing w:val="-3"/>
                <w:lang w:val="da-DK"/>
              </w:rPr>
              <w:t xml:space="preserve">(kumulativ </w:t>
            </w:r>
            <w:r w:rsidRPr="00AD7BA1">
              <w:rPr>
                <w:rFonts w:ascii="Times New Roman" w:hAnsi="Times New Roman" w:cs="Times New Roman"/>
                <w:b/>
                <w:lang w:val="da-DK"/>
              </w:rPr>
              <w:t>risiko</w:t>
            </w:r>
            <w:r w:rsidRPr="00AD7BA1">
              <w:rPr>
                <w:rFonts w:ascii="Times New Roman" w:hAnsi="Times New Roman" w:cs="Times New Roman"/>
                <w:b/>
                <w:spacing w:val="-1"/>
                <w:lang w:val="da-DK"/>
              </w:rPr>
              <w:t xml:space="preserve"> </w:t>
            </w:r>
            <w:r w:rsidRPr="00AD7BA1">
              <w:rPr>
                <w:rFonts w:ascii="Times New Roman" w:hAnsi="Times New Roman" w:cs="Times New Roman"/>
                <w:b/>
                <w:lang w:val="da-DK"/>
              </w:rPr>
              <w:t>%)</w:t>
            </w:r>
          </w:p>
        </w:tc>
        <w:tc>
          <w:tcPr>
            <w:tcW w:w="1000" w:type="pct"/>
          </w:tcPr>
          <w:p w14:paraId="5983FB9A" w14:textId="77777777" w:rsidR="009D21A2" w:rsidRPr="00AD7BA1" w:rsidRDefault="009D21A2" w:rsidP="00BF59EE">
            <w:pPr>
              <w:pStyle w:val="TableParagraph"/>
              <w:ind w:left="316" w:right="305"/>
              <w:jc w:val="center"/>
              <w:rPr>
                <w:rFonts w:ascii="Times New Roman" w:hAnsi="Times New Roman" w:cs="Times New Roman"/>
                <w:b/>
                <w:lang w:val="da-DK"/>
              </w:rPr>
            </w:pPr>
            <w:r w:rsidRPr="00AD7BA1">
              <w:rPr>
                <w:rFonts w:ascii="Times New Roman" w:hAnsi="Times New Roman" w:cs="Times New Roman"/>
                <w:b/>
                <w:i/>
                <w:lang w:val="da-DK"/>
              </w:rPr>
              <w:t xml:space="preserve">Hazard </w:t>
            </w:r>
            <w:r w:rsidRPr="00AD7BA1">
              <w:rPr>
                <w:rFonts w:ascii="Times New Roman" w:hAnsi="Times New Roman" w:cs="Times New Roman"/>
                <w:b/>
                <w:spacing w:val="-4"/>
                <w:lang w:val="da-DK"/>
              </w:rPr>
              <w:t xml:space="preserve">ratio </w:t>
            </w:r>
            <w:r w:rsidRPr="00AD7BA1">
              <w:rPr>
                <w:rFonts w:ascii="Times New Roman" w:hAnsi="Times New Roman" w:cs="Times New Roman"/>
                <w:b/>
                <w:lang w:val="da-DK"/>
              </w:rPr>
              <w:t>(95 %</w:t>
            </w:r>
            <w:r w:rsidRPr="00AD7BA1">
              <w:rPr>
                <w:rFonts w:ascii="Times New Roman" w:hAnsi="Times New Roman" w:cs="Times New Roman"/>
                <w:b/>
                <w:spacing w:val="-3"/>
                <w:lang w:val="da-DK"/>
              </w:rPr>
              <w:t xml:space="preserve"> </w:t>
            </w:r>
            <w:r w:rsidRPr="00AD7BA1">
              <w:rPr>
                <w:rFonts w:ascii="Times New Roman" w:hAnsi="Times New Roman" w:cs="Times New Roman"/>
                <w:b/>
                <w:lang w:val="da-DK"/>
              </w:rPr>
              <w:t>KI)</w:t>
            </w:r>
          </w:p>
          <w:p w14:paraId="37581A63" w14:textId="77777777" w:rsidR="009D21A2" w:rsidRPr="00AD7BA1" w:rsidRDefault="009D21A2" w:rsidP="00BF59EE">
            <w:pPr>
              <w:pStyle w:val="TableParagraph"/>
              <w:ind w:left="0"/>
              <w:jc w:val="center"/>
              <w:rPr>
                <w:rFonts w:ascii="Times New Roman" w:hAnsi="Times New Roman" w:cs="Times New Roman"/>
                <w:b/>
                <w:lang w:val="da-DK"/>
              </w:rPr>
            </w:pPr>
          </w:p>
          <w:p w14:paraId="49F920D4" w14:textId="77777777" w:rsidR="009D21A2" w:rsidRPr="00AD7BA1" w:rsidRDefault="009D21A2" w:rsidP="00BF59EE">
            <w:pPr>
              <w:pStyle w:val="TableParagraph"/>
              <w:ind w:left="314" w:right="305"/>
              <w:jc w:val="center"/>
              <w:rPr>
                <w:rFonts w:ascii="Times New Roman" w:hAnsi="Times New Roman" w:cs="Times New Roman"/>
                <w:b/>
                <w:lang w:val="da-DK"/>
              </w:rPr>
            </w:pPr>
            <w:r w:rsidRPr="00AD7BA1">
              <w:rPr>
                <w:rFonts w:ascii="Times New Roman" w:hAnsi="Times New Roman" w:cs="Times New Roman"/>
                <w:b/>
                <w:lang w:val="da-DK"/>
              </w:rPr>
              <w:t>p-værdi</w:t>
            </w:r>
            <w:r w:rsidRPr="00AD7BA1">
              <w:rPr>
                <w:rFonts w:ascii="Times New Roman" w:hAnsi="Times New Roman" w:cs="Times New Roman"/>
                <w:b/>
                <w:spacing w:val="-4"/>
                <w:lang w:val="da-DK"/>
              </w:rPr>
              <w:t xml:space="preserve"> </w:t>
            </w:r>
            <w:r w:rsidRPr="00AD7BA1">
              <w:rPr>
                <w:rFonts w:ascii="Times New Roman" w:hAnsi="Times New Roman" w:cs="Times New Roman"/>
                <w:b/>
                <w:position w:val="8"/>
                <w:lang w:val="da-DK"/>
              </w:rPr>
              <w:t>b)</w:t>
            </w:r>
          </w:p>
        </w:tc>
      </w:tr>
      <w:tr w:rsidR="009D21A2" w:rsidRPr="00AD7BA1" w14:paraId="654F0D81" w14:textId="77777777" w:rsidTr="00AC54DF">
        <w:trPr>
          <w:trHeight w:val="501"/>
        </w:trPr>
        <w:tc>
          <w:tcPr>
            <w:tcW w:w="1812" w:type="pct"/>
          </w:tcPr>
          <w:p w14:paraId="7D83CD09"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Modificeret ISTH større blødning</w:t>
            </w:r>
          </w:p>
        </w:tc>
        <w:tc>
          <w:tcPr>
            <w:tcW w:w="1188" w:type="pct"/>
          </w:tcPr>
          <w:p w14:paraId="445DC1FD" w14:textId="77777777" w:rsidR="009D21A2" w:rsidRPr="00AD7BA1" w:rsidRDefault="009D21A2" w:rsidP="00BF59EE">
            <w:pPr>
              <w:pStyle w:val="TableParagraph"/>
              <w:ind w:left="552"/>
              <w:jc w:val="center"/>
              <w:rPr>
                <w:rFonts w:ascii="Times New Roman" w:hAnsi="Times New Roman" w:cs="Times New Roman"/>
                <w:lang w:val="da-DK"/>
              </w:rPr>
            </w:pPr>
            <w:r w:rsidRPr="00AD7BA1">
              <w:rPr>
                <w:rFonts w:ascii="Times New Roman" w:hAnsi="Times New Roman" w:cs="Times New Roman"/>
                <w:lang w:val="da-DK"/>
              </w:rPr>
              <w:t>288 (3,9 %)</w:t>
            </w:r>
          </w:p>
        </w:tc>
        <w:tc>
          <w:tcPr>
            <w:tcW w:w="999" w:type="pct"/>
          </w:tcPr>
          <w:p w14:paraId="5BE7DA27" w14:textId="77777777" w:rsidR="009D21A2" w:rsidRPr="00AD7BA1" w:rsidRDefault="009D21A2" w:rsidP="00BF59EE">
            <w:pPr>
              <w:pStyle w:val="TableParagraph"/>
              <w:ind w:left="382"/>
              <w:jc w:val="center"/>
              <w:rPr>
                <w:rFonts w:ascii="Times New Roman" w:hAnsi="Times New Roman" w:cs="Times New Roman"/>
                <w:lang w:val="da-DK"/>
              </w:rPr>
            </w:pPr>
            <w:r w:rsidRPr="00AD7BA1">
              <w:rPr>
                <w:rFonts w:ascii="Times New Roman" w:hAnsi="Times New Roman" w:cs="Times New Roman"/>
                <w:lang w:val="da-DK"/>
              </w:rPr>
              <w:t>170 (2,5 %)</w:t>
            </w:r>
          </w:p>
        </w:tc>
        <w:tc>
          <w:tcPr>
            <w:tcW w:w="1000" w:type="pct"/>
          </w:tcPr>
          <w:p w14:paraId="68A902CD" w14:textId="77777777" w:rsidR="009D21A2" w:rsidRPr="00AD7BA1" w:rsidRDefault="009D21A2" w:rsidP="00BF59EE">
            <w:pPr>
              <w:pStyle w:val="TableParagraph"/>
              <w:ind w:left="167" w:right="156"/>
              <w:jc w:val="center"/>
              <w:rPr>
                <w:rFonts w:ascii="Times New Roman" w:hAnsi="Times New Roman" w:cs="Times New Roman"/>
                <w:lang w:val="da-DK"/>
              </w:rPr>
            </w:pPr>
            <w:r w:rsidRPr="00AD7BA1">
              <w:rPr>
                <w:rFonts w:ascii="Times New Roman" w:hAnsi="Times New Roman" w:cs="Times New Roman"/>
                <w:lang w:val="da-DK"/>
              </w:rPr>
              <w:t>1,70 (1,40;2,05)</w:t>
            </w:r>
          </w:p>
          <w:p w14:paraId="36DD5D3F" w14:textId="77777777" w:rsidR="009D21A2" w:rsidRPr="00AD7BA1" w:rsidRDefault="009D21A2" w:rsidP="00BF59EE">
            <w:pPr>
              <w:pStyle w:val="TableParagraph"/>
              <w:ind w:left="315" w:right="305"/>
              <w:jc w:val="center"/>
              <w:rPr>
                <w:rFonts w:ascii="Times New Roman" w:hAnsi="Times New Roman" w:cs="Times New Roman"/>
                <w:lang w:val="da-DK"/>
              </w:rPr>
            </w:pPr>
            <w:r w:rsidRPr="00AD7BA1">
              <w:rPr>
                <w:rFonts w:ascii="Times New Roman" w:hAnsi="Times New Roman" w:cs="Times New Roman"/>
                <w:lang w:val="da-DK"/>
              </w:rPr>
              <w:t>p &lt; 0,00001</w:t>
            </w:r>
          </w:p>
        </w:tc>
      </w:tr>
      <w:tr w:rsidR="009D21A2" w:rsidRPr="00AD7BA1" w14:paraId="607AD40D" w14:textId="77777777" w:rsidTr="00AC54DF">
        <w:trPr>
          <w:trHeight w:val="506"/>
        </w:trPr>
        <w:tc>
          <w:tcPr>
            <w:tcW w:w="1812" w:type="pct"/>
          </w:tcPr>
          <w:p w14:paraId="24C602FA" w14:textId="04B5B3F2" w:rsidR="009D21A2" w:rsidRPr="00AD7BA1" w:rsidRDefault="009D21A2" w:rsidP="00BF59EE">
            <w:pPr>
              <w:pStyle w:val="TableParagraph"/>
              <w:ind w:left="567" w:hanging="283"/>
              <w:rPr>
                <w:rFonts w:ascii="Times New Roman" w:hAnsi="Times New Roman" w:cs="Times New Roman"/>
                <w:lang w:val="da-DK"/>
              </w:rPr>
            </w:pPr>
            <w:r w:rsidRPr="00AD7BA1">
              <w:rPr>
                <w:rFonts w:ascii="Times New Roman" w:hAnsi="Times New Roman" w:cs="Times New Roman"/>
                <w:lang w:val="da-DK"/>
              </w:rPr>
              <w:t xml:space="preserve">- </w:t>
            </w:r>
            <w:r w:rsidR="00AC54DF" w:rsidRPr="00AD7BA1">
              <w:rPr>
                <w:rFonts w:ascii="Times New Roman" w:hAnsi="Times New Roman" w:cs="Times New Roman"/>
                <w:lang w:val="da-DK"/>
              </w:rPr>
              <w:tab/>
            </w:r>
            <w:r w:rsidRPr="00AD7BA1">
              <w:rPr>
                <w:rFonts w:ascii="Times New Roman" w:hAnsi="Times New Roman" w:cs="Times New Roman"/>
                <w:lang w:val="da-DK"/>
              </w:rPr>
              <w:t>Dødeligblødningshændelse</w:t>
            </w:r>
          </w:p>
        </w:tc>
        <w:tc>
          <w:tcPr>
            <w:tcW w:w="1188" w:type="pct"/>
          </w:tcPr>
          <w:p w14:paraId="5B6D06FD" w14:textId="77777777" w:rsidR="009D21A2" w:rsidRPr="00AD7BA1" w:rsidRDefault="009D21A2" w:rsidP="00BF59EE">
            <w:pPr>
              <w:pStyle w:val="TableParagraph"/>
              <w:ind w:left="608"/>
              <w:jc w:val="center"/>
              <w:rPr>
                <w:rFonts w:ascii="Times New Roman" w:hAnsi="Times New Roman" w:cs="Times New Roman"/>
                <w:lang w:val="da-DK"/>
              </w:rPr>
            </w:pPr>
            <w:r w:rsidRPr="00AD7BA1">
              <w:rPr>
                <w:rFonts w:ascii="Times New Roman" w:hAnsi="Times New Roman" w:cs="Times New Roman"/>
                <w:lang w:val="da-DK"/>
              </w:rPr>
              <w:t>15 (0,2 %)</w:t>
            </w:r>
          </w:p>
        </w:tc>
        <w:tc>
          <w:tcPr>
            <w:tcW w:w="999" w:type="pct"/>
          </w:tcPr>
          <w:p w14:paraId="00B1ED68" w14:textId="77777777" w:rsidR="009D21A2" w:rsidRPr="00AD7BA1" w:rsidRDefault="009D21A2" w:rsidP="00BF59EE">
            <w:pPr>
              <w:pStyle w:val="TableParagraph"/>
              <w:ind w:left="437"/>
              <w:jc w:val="center"/>
              <w:rPr>
                <w:rFonts w:ascii="Times New Roman" w:hAnsi="Times New Roman" w:cs="Times New Roman"/>
                <w:lang w:val="da-DK"/>
              </w:rPr>
            </w:pPr>
            <w:r w:rsidRPr="00AD7BA1">
              <w:rPr>
                <w:rFonts w:ascii="Times New Roman" w:hAnsi="Times New Roman" w:cs="Times New Roman"/>
                <w:lang w:val="da-DK"/>
              </w:rPr>
              <w:t>10 (0,2 %)</w:t>
            </w:r>
          </w:p>
        </w:tc>
        <w:tc>
          <w:tcPr>
            <w:tcW w:w="1000" w:type="pct"/>
          </w:tcPr>
          <w:p w14:paraId="44ED6BEC" w14:textId="77777777" w:rsidR="009D21A2" w:rsidRPr="00AD7BA1" w:rsidRDefault="009D21A2" w:rsidP="00BF59EE">
            <w:pPr>
              <w:pStyle w:val="TableParagraph"/>
              <w:ind w:left="167" w:right="156"/>
              <w:jc w:val="center"/>
              <w:rPr>
                <w:rFonts w:ascii="Times New Roman" w:hAnsi="Times New Roman" w:cs="Times New Roman"/>
                <w:lang w:val="da-DK"/>
              </w:rPr>
            </w:pPr>
            <w:r w:rsidRPr="00AD7BA1">
              <w:rPr>
                <w:rFonts w:ascii="Times New Roman" w:hAnsi="Times New Roman" w:cs="Times New Roman"/>
                <w:lang w:val="da-DK"/>
              </w:rPr>
              <w:t>1,49 (0,67;3,33)</w:t>
            </w:r>
          </w:p>
          <w:p w14:paraId="63521EF7" w14:textId="77777777" w:rsidR="009D21A2" w:rsidRPr="00AD7BA1" w:rsidRDefault="009D21A2" w:rsidP="00BF59EE">
            <w:pPr>
              <w:pStyle w:val="TableParagraph"/>
              <w:ind w:left="315" w:right="305"/>
              <w:jc w:val="center"/>
              <w:rPr>
                <w:rFonts w:ascii="Times New Roman" w:hAnsi="Times New Roman" w:cs="Times New Roman"/>
                <w:lang w:val="da-DK"/>
              </w:rPr>
            </w:pPr>
            <w:r w:rsidRPr="00AD7BA1">
              <w:rPr>
                <w:rFonts w:ascii="Times New Roman" w:hAnsi="Times New Roman" w:cs="Times New Roman"/>
                <w:lang w:val="da-DK"/>
              </w:rPr>
              <w:t>p = 0,32164</w:t>
            </w:r>
          </w:p>
        </w:tc>
      </w:tr>
      <w:tr w:rsidR="009D21A2" w:rsidRPr="00AD7BA1" w14:paraId="0F65F1E0" w14:textId="77777777" w:rsidTr="00AC54DF">
        <w:trPr>
          <w:trHeight w:val="506"/>
        </w:trPr>
        <w:tc>
          <w:tcPr>
            <w:tcW w:w="1812" w:type="pct"/>
          </w:tcPr>
          <w:p w14:paraId="6325ED42" w14:textId="49C4FA1E" w:rsidR="009D21A2" w:rsidRPr="00AD7BA1" w:rsidRDefault="009D21A2" w:rsidP="00BF59EE">
            <w:pPr>
              <w:pStyle w:val="TableParagraph"/>
              <w:ind w:left="567" w:right="321" w:hanging="283"/>
              <w:rPr>
                <w:rFonts w:ascii="Times New Roman" w:hAnsi="Times New Roman" w:cs="Times New Roman"/>
                <w:lang w:val="da-DK"/>
              </w:rPr>
            </w:pPr>
            <w:r w:rsidRPr="00AD7BA1">
              <w:rPr>
                <w:rFonts w:ascii="Times New Roman" w:hAnsi="Times New Roman" w:cs="Times New Roman"/>
                <w:lang w:val="da-DK"/>
              </w:rPr>
              <w:t xml:space="preserve">- </w:t>
            </w:r>
            <w:r w:rsidR="00AC54DF" w:rsidRPr="00AD7BA1">
              <w:rPr>
                <w:rFonts w:ascii="Times New Roman" w:hAnsi="Times New Roman" w:cs="Times New Roman"/>
                <w:lang w:val="da-DK"/>
              </w:rPr>
              <w:tab/>
            </w:r>
            <w:r w:rsidRPr="00AD7BA1">
              <w:rPr>
                <w:rFonts w:ascii="Times New Roman" w:hAnsi="Times New Roman" w:cs="Times New Roman"/>
                <w:lang w:val="da-DK"/>
              </w:rPr>
              <w:t>Symptomatisk blødning i kritisk organ (ikke- dødelig)</w:t>
            </w:r>
          </w:p>
        </w:tc>
        <w:tc>
          <w:tcPr>
            <w:tcW w:w="1188" w:type="pct"/>
          </w:tcPr>
          <w:p w14:paraId="410BE474" w14:textId="77777777" w:rsidR="009D21A2" w:rsidRPr="00AD7BA1" w:rsidRDefault="009D21A2" w:rsidP="00BF59EE">
            <w:pPr>
              <w:pStyle w:val="TableParagraph"/>
              <w:ind w:left="608"/>
              <w:jc w:val="center"/>
              <w:rPr>
                <w:rFonts w:ascii="Times New Roman" w:hAnsi="Times New Roman" w:cs="Times New Roman"/>
                <w:lang w:val="da-DK"/>
              </w:rPr>
            </w:pPr>
            <w:r w:rsidRPr="00AD7BA1">
              <w:rPr>
                <w:rFonts w:ascii="Times New Roman" w:hAnsi="Times New Roman" w:cs="Times New Roman"/>
                <w:lang w:val="da-DK"/>
              </w:rPr>
              <w:t>63 (0,9 %)</w:t>
            </w:r>
          </w:p>
        </w:tc>
        <w:tc>
          <w:tcPr>
            <w:tcW w:w="999" w:type="pct"/>
          </w:tcPr>
          <w:p w14:paraId="00480A11" w14:textId="77777777" w:rsidR="009D21A2" w:rsidRPr="00AD7BA1" w:rsidRDefault="009D21A2" w:rsidP="00BF59EE">
            <w:pPr>
              <w:pStyle w:val="TableParagraph"/>
              <w:ind w:left="437"/>
              <w:jc w:val="center"/>
              <w:rPr>
                <w:rFonts w:ascii="Times New Roman" w:hAnsi="Times New Roman" w:cs="Times New Roman"/>
                <w:lang w:val="da-DK"/>
              </w:rPr>
            </w:pPr>
            <w:r w:rsidRPr="00AD7BA1">
              <w:rPr>
                <w:rFonts w:ascii="Times New Roman" w:hAnsi="Times New Roman" w:cs="Times New Roman"/>
                <w:lang w:val="da-DK"/>
              </w:rPr>
              <w:t>49 (0,7 %)</w:t>
            </w:r>
          </w:p>
        </w:tc>
        <w:tc>
          <w:tcPr>
            <w:tcW w:w="1000" w:type="pct"/>
          </w:tcPr>
          <w:p w14:paraId="66B6CC12" w14:textId="77777777" w:rsidR="009D21A2" w:rsidRPr="00AD7BA1" w:rsidRDefault="009D21A2" w:rsidP="00BF59EE">
            <w:pPr>
              <w:pStyle w:val="TableParagraph"/>
              <w:ind w:left="167" w:right="156"/>
              <w:jc w:val="center"/>
              <w:rPr>
                <w:rFonts w:ascii="Times New Roman" w:hAnsi="Times New Roman" w:cs="Times New Roman"/>
                <w:lang w:val="da-DK"/>
              </w:rPr>
            </w:pPr>
            <w:r w:rsidRPr="00AD7BA1">
              <w:rPr>
                <w:rFonts w:ascii="Times New Roman" w:hAnsi="Times New Roman" w:cs="Times New Roman"/>
                <w:lang w:val="da-DK"/>
              </w:rPr>
              <w:t>1,28 (0,88;1,86)</w:t>
            </w:r>
          </w:p>
          <w:p w14:paraId="0DBFBA97" w14:textId="77777777" w:rsidR="009D21A2" w:rsidRPr="00AD7BA1" w:rsidRDefault="009D21A2" w:rsidP="00BF59EE">
            <w:pPr>
              <w:pStyle w:val="TableParagraph"/>
              <w:ind w:left="315" w:right="305"/>
              <w:jc w:val="center"/>
              <w:rPr>
                <w:rFonts w:ascii="Times New Roman" w:hAnsi="Times New Roman" w:cs="Times New Roman"/>
                <w:lang w:val="da-DK"/>
              </w:rPr>
            </w:pPr>
            <w:r w:rsidRPr="00AD7BA1">
              <w:rPr>
                <w:rFonts w:ascii="Times New Roman" w:hAnsi="Times New Roman" w:cs="Times New Roman"/>
                <w:lang w:val="da-DK"/>
              </w:rPr>
              <w:t>p = 0,19679</w:t>
            </w:r>
          </w:p>
        </w:tc>
      </w:tr>
      <w:tr w:rsidR="009D21A2" w:rsidRPr="00AD7BA1" w14:paraId="1D86D1C1" w14:textId="77777777" w:rsidTr="00AC54DF">
        <w:trPr>
          <w:trHeight w:val="1261"/>
        </w:trPr>
        <w:tc>
          <w:tcPr>
            <w:tcW w:w="1812" w:type="pct"/>
          </w:tcPr>
          <w:p w14:paraId="54FCC8A2" w14:textId="24BC3B60" w:rsidR="009D21A2" w:rsidRPr="00AD7BA1" w:rsidRDefault="009D21A2" w:rsidP="00BF59EE">
            <w:pPr>
              <w:pStyle w:val="TableParagraph"/>
              <w:ind w:left="567" w:right="235" w:hanging="283"/>
              <w:rPr>
                <w:rFonts w:ascii="Times New Roman" w:hAnsi="Times New Roman" w:cs="Times New Roman"/>
                <w:lang w:val="da-DK"/>
              </w:rPr>
            </w:pPr>
            <w:r w:rsidRPr="00AD7BA1">
              <w:rPr>
                <w:rFonts w:ascii="Times New Roman" w:hAnsi="Times New Roman" w:cs="Times New Roman"/>
                <w:lang w:val="da-DK"/>
              </w:rPr>
              <w:t xml:space="preserve">- </w:t>
            </w:r>
            <w:r w:rsidR="00AC54DF" w:rsidRPr="00AD7BA1">
              <w:rPr>
                <w:rFonts w:ascii="Times New Roman" w:hAnsi="Times New Roman" w:cs="Times New Roman"/>
                <w:lang w:val="da-DK"/>
              </w:rPr>
              <w:tab/>
            </w:r>
            <w:r w:rsidRPr="00AD7BA1">
              <w:rPr>
                <w:rFonts w:ascii="Times New Roman" w:hAnsi="Times New Roman" w:cs="Times New Roman"/>
                <w:lang w:val="da-DK"/>
              </w:rPr>
              <w:t>Blødning ind i operationsstedet, som kræver gentagen operation</w:t>
            </w:r>
          </w:p>
          <w:p w14:paraId="00A9D9C7" w14:textId="643E899F" w:rsidR="009D21A2" w:rsidRPr="00AD7BA1" w:rsidRDefault="00AC54DF" w:rsidP="00BF59EE">
            <w:pPr>
              <w:pStyle w:val="TableParagraph"/>
              <w:ind w:left="567" w:right="400" w:hanging="283"/>
              <w:rPr>
                <w:rFonts w:ascii="Times New Roman" w:hAnsi="Times New Roman" w:cs="Times New Roman"/>
                <w:lang w:val="da-DK"/>
              </w:rPr>
            </w:pPr>
            <w:r w:rsidRPr="00AD7BA1">
              <w:rPr>
                <w:rFonts w:ascii="Times New Roman" w:hAnsi="Times New Roman" w:cs="Times New Roman"/>
                <w:lang w:val="da-DK"/>
              </w:rPr>
              <w:tab/>
            </w:r>
            <w:r w:rsidR="009D21A2" w:rsidRPr="00AD7BA1">
              <w:rPr>
                <w:rFonts w:ascii="Times New Roman" w:hAnsi="Times New Roman" w:cs="Times New Roman"/>
                <w:lang w:val="da-DK"/>
              </w:rPr>
              <w:t>(ikke-dødelig, ikke i kritisk organ)</w:t>
            </w:r>
          </w:p>
        </w:tc>
        <w:tc>
          <w:tcPr>
            <w:tcW w:w="1188" w:type="pct"/>
          </w:tcPr>
          <w:p w14:paraId="0F14627D" w14:textId="77777777" w:rsidR="009D21A2" w:rsidRPr="00AD7BA1" w:rsidRDefault="009D21A2" w:rsidP="00BF59EE">
            <w:pPr>
              <w:pStyle w:val="TableParagraph"/>
              <w:ind w:left="635"/>
              <w:jc w:val="center"/>
              <w:rPr>
                <w:rFonts w:ascii="Times New Roman" w:hAnsi="Times New Roman" w:cs="Times New Roman"/>
                <w:lang w:val="da-DK"/>
              </w:rPr>
            </w:pPr>
            <w:r w:rsidRPr="00AD7BA1">
              <w:rPr>
                <w:rFonts w:ascii="Times New Roman" w:hAnsi="Times New Roman" w:cs="Times New Roman"/>
                <w:lang w:val="da-DK"/>
              </w:rPr>
              <w:t>10 (0,1%)</w:t>
            </w:r>
          </w:p>
        </w:tc>
        <w:tc>
          <w:tcPr>
            <w:tcW w:w="999" w:type="pct"/>
          </w:tcPr>
          <w:p w14:paraId="1C131BEC" w14:textId="77777777" w:rsidR="009D21A2" w:rsidRPr="00AD7BA1" w:rsidRDefault="009D21A2" w:rsidP="00BF59EE">
            <w:pPr>
              <w:pStyle w:val="TableParagraph"/>
              <w:ind w:left="491"/>
              <w:jc w:val="center"/>
              <w:rPr>
                <w:rFonts w:ascii="Times New Roman" w:hAnsi="Times New Roman" w:cs="Times New Roman"/>
                <w:lang w:val="da-DK"/>
              </w:rPr>
            </w:pPr>
            <w:r w:rsidRPr="00AD7BA1">
              <w:rPr>
                <w:rFonts w:ascii="Times New Roman" w:hAnsi="Times New Roman" w:cs="Times New Roman"/>
                <w:lang w:val="da-DK"/>
              </w:rPr>
              <w:t>8 (0,1 %)</w:t>
            </w:r>
          </w:p>
        </w:tc>
        <w:tc>
          <w:tcPr>
            <w:tcW w:w="1000" w:type="pct"/>
          </w:tcPr>
          <w:p w14:paraId="2422E8CB" w14:textId="77777777" w:rsidR="009D21A2" w:rsidRPr="00AD7BA1" w:rsidRDefault="009D21A2" w:rsidP="00BF59EE">
            <w:pPr>
              <w:pStyle w:val="TableParagraph"/>
              <w:ind w:left="157" w:right="167"/>
              <w:jc w:val="center"/>
              <w:rPr>
                <w:rFonts w:ascii="Times New Roman" w:hAnsi="Times New Roman" w:cs="Times New Roman"/>
                <w:lang w:val="da-DK"/>
              </w:rPr>
            </w:pPr>
            <w:r w:rsidRPr="00AD7BA1">
              <w:rPr>
                <w:rFonts w:ascii="Times New Roman" w:hAnsi="Times New Roman" w:cs="Times New Roman"/>
                <w:lang w:val="da-DK"/>
              </w:rPr>
              <w:t>1,24 (0,49;3,14)</w:t>
            </w:r>
          </w:p>
          <w:p w14:paraId="6A496A7B" w14:textId="77777777" w:rsidR="009D21A2" w:rsidRPr="00AD7BA1" w:rsidRDefault="009D21A2" w:rsidP="00BF59EE">
            <w:pPr>
              <w:pStyle w:val="TableParagraph"/>
              <w:ind w:left="315" w:right="305"/>
              <w:jc w:val="center"/>
              <w:rPr>
                <w:rFonts w:ascii="Times New Roman" w:hAnsi="Times New Roman" w:cs="Times New Roman"/>
                <w:lang w:val="da-DK"/>
              </w:rPr>
            </w:pPr>
            <w:r w:rsidRPr="00AD7BA1">
              <w:rPr>
                <w:rFonts w:ascii="Times New Roman" w:hAnsi="Times New Roman" w:cs="Times New Roman"/>
                <w:lang w:val="da-DK"/>
              </w:rPr>
              <w:t>p = 0,65119</w:t>
            </w:r>
          </w:p>
        </w:tc>
      </w:tr>
      <w:tr w:rsidR="009D21A2" w:rsidRPr="00AD7BA1" w14:paraId="480C2DA4" w14:textId="77777777" w:rsidTr="00AC54DF">
        <w:trPr>
          <w:trHeight w:val="1011"/>
        </w:trPr>
        <w:tc>
          <w:tcPr>
            <w:tcW w:w="1812" w:type="pct"/>
          </w:tcPr>
          <w:p w14:paraId="1AC069F6" w14:textId="4E3277FF" w:rsidR="009D21A2" w:rsidRPr="00AD7BA1" w:rsidRDefault="009D21A2" w:rsidP="00BF59EE">
            <w:pPr>
              <w:pStyle w:val="TableParagraph"/>
              <w:ind w:left="567" w:hanging="283"/>
              <w:rPr>
                <w:rFonts w:ascii="Times New Roman" w:hAnsi="Times New Roman" w:cs="Times New Roman"/>
                <w:lang w:val="da-DK"/>
              </w:rPr>
            </w:pPr>
            <w:r w:rsidRPr="00AD7BA1">
              <w:rPr>
                <w:rFonts w:ascii="Times New Roman" w:hAnsi="Times New Roman" w:cs="Times New Roman"/>
                <w:lang w:val="da-DK"/>
              </w:rPr>
              <w:t xml:space="preserve">- </w:t>
            </w:r>
            <w:r w:rsidR="00AC54DF" w:rsidRPr="00AD7BA1">
              <w:rPr>
                <w:rFonts w:ascii="Times New Roman" w:hAnsi="Times New Roman" w:cs="Times New Roman"/>
                <w:lang w:val="da-DK"/>
              </w:rPr>
              <w:tab/>
            </w:r>
            <w:r w:rsidRPr="00AD7BA1">
              <w:rPr>
                <w:rFonts w:ascii="Times New Roman" w:hAnsi="Times New Roman" w:cs="Times New Roman"/>
                <w:lang w:val="da-DK"/>
              </w:rPr>
              <w:t>Blødning, som fører til indlæggelse (ikke-dødelig,</w:t>
            </w:r>
          </w:p>
          <w:p w14:paraId="62ADC161" w14:textId="0132464F" w:rsidR="009D21A2" w:rsidRPr="00AD7BA1" w:rsidRDefault="00AC54DF" w:rsidP="00BF59EE">
            <w:pPr>
              <w:pStyle w:val="TableParagraph"/>
              <w:ind w:left="567" w:right="419" w:hanging="283"/>
              <w:rPr>
                <w:rFonts w:ascii="Times New Roman" w:hAnsi="Times New Roman" w:cs="Times New Roman"/>
                <w:lang w:val="da-DK"/>
              </w:rPr>
            </w:pPr>
            <w:r w:rsidRPr="00AD7BA1">
              <w:rPr>
                <w:rFonts w:ascii="Times New Roman" w:hAnsi="Times New Roman" w:cs="Times New Roman"/>
                <w:lang w:val="da-DK"/>
              </w:rPr>
              <w:tab/>
            </w:r>
            <w:r w:rsidR="009D21A2" w:rsidRPr="00AD7BA1">
              <w:rPr>
                <w:rFonts w:ascii="Times New Roman" w:hAnsi="Times New Roman" w:cs="Times New Roman"/>
                <w:lang w:val="da-DK"/>
              </w:rPr>
              <w:t>ikke i kritisk organ, kræver ikke gentagen operation)</w:t>
            </w:r>
          </w:p>
        </w:tc>
        <w:tc>
          <w:tcPr>
            <w:tcW w:w="1188" w:type="pct"/>
          </w:tcPr>
          <w:p w14:paraId="3EE09D3A" w14:textId="77777777" w:rsidR="009D21A2" w:rsidRPr="00AD7BA1" w:rsidRDefault="009D21A2" w:rsidP="00BF59EE">
            <w:pPr>
              <w:pStyle w:val="TableParagraph"/>
              <w:ind w:left="552"/>
              <w:jc w:val="center"/>
              <w:rPr>
                <w:rFonts w:ascii="Times New Roman" w:hAnsi="Times New Roman" w:cs="Times New Roman"/>
                <w:lang w:val="da-DK"/>
              </w:rPr>
            </w:pPr>
            <w:r w:rsidRPr="00AD7BA1">
              <w:rPr>
                <w:rFonts w:ascii="Times New Roman" w:hAnsi="Times New Roman" w:cs="Times New Roman"/>
                <w:lang w:val="da-DK"/>
              </w:rPr>
              <w:t>208 (2,9 %)</w:t>
            </w:r>
          </w:p>
        </w:tc>
        <w:tc>
          <w:tcPr>
            <w:tcW w:w="999" w:type="pct"/>
          </w:tcPr>
          <w:p w14:paraId="49FC7EA1" w14:textId="77777777" w:rsidR="009D21A2" w:rsidRPr="00AD7BA1" w:rsidRDefault="009D21A2" w:rsidP="00BF59EE">
            <w:pPr>
              <w:pStyle w:val="TableParagraph"/>
              <w:ind w:left="382"/>
              <w:jc w:val="center"/>
              <w:rPr>
                <w:rFonts w:ascii="Times New Roman" w:hAnsi="Times New Roman" w:cs="Times New Roman"/>
                <w:lang w:val="da-DK"/>
              </w:rPr>
            </w:pPr>
            <w:r w:rsidRPr="00AD7BA1">
              <w:rPr>
                <w:rFonts w:ascii="Times New Roman" w:hAnsi="Times New Roman" w:cs="Times New Roman"/>
                <w:lang w:val="da-DK"/>
              </w:rPr>
              <w:t>109 (1,6 %)</w:t>
            </w:r>
          </w:p>
        </w:tc>
        <w:tc>
          <w:tcPr>
            <w:tcW w:w="1000" w:type="pct"/>
          </w:tcPr>
          <w:p w14:paraId="7692C80B" w14:textId="77777777" w:rsidR="009D21A2" w:rsidRPr="00AD7BA1" w:rsidRDefault="009D21A2" w:rsidP="00BF59EE">
            <w:pPr>
              <w:pStyle w:val="TableParagraph"/>
              <w:ind w:left="167" w:right="157"/>
              <w:jc w:val="center"/>
              <w:rPr>
                <w:rFonts w:ascii="Times New Roman" w:hAnsi="Times New Roman" w:cs="Times New Roman"/>
                <w:lang w:val="da-DK"/>
              </w:rPr>
            </w:pPr>
            <w:r w:rsidRPr="00AD7BA1">
              <w:rPr>
                <w:rFonts w:ascii="Times New Roman" w:hAnsi="Times New Roman" w:cs="Times New Roman"/>
                <w:lang w:val="da-DK"/>
              </w:rPr>
              <w:t>1,91 (1,51;2,41)</w:t>
            </w:r>
          </w:p>
          <w:p w14:paraId="78113ADD" w14:textId="77777777" w:rsidR="009D21A2" w:rsidRPr="00AD7BA1" w:rsidRDefault="009D21A2" w:rsidP="00BF59EE">
            <w:pPr>
              <w:pStyle w:val="TableParagraph"/>
              <w:ind w:left="315" w:right="305"/>
              <w:jc w:val="center"/>
              <w:rPr>
                <w:rFonts w:ascii="Times New Roman" w:hAnsi="Times New Roman" w:cs="Times New Roman"/>
                <w:lang w:val="da-DK"/>
              </w:rPr>
            </w:pPr>
            <w:r w:rsidRPr="00AD7BA1">
              <w:rPr>
                <w:rFonts w:ascii="Times New Roman" w:hAnsi="Times New Roman" w:cs="Times New Roman"/>
                <w:lang w:val="da-DK"/>
              </w:rPr>
              <w:t>p &lt; 0,00001</w:t>
            </w:r>
          </w:p>
        </w:tc>
      </w:tr>
      <w:tr w:rsidR="009D21A2" w:rsidRPr="00AD7BA1" w14:paraId="6CAC117D" w14:textId="77777777" w:rsidTr="00AC54DF">
        <w:trPr>
          <w:trHeight w:val="506"/>
        </w:trPr>
        <w:tc>
          <w:tcPr>
            <w:tcW w:w="1812" w:type="pct"/>
          </w:tcPr>
          <w:p w14:paraId="163FC213" w14:textId="77777777" w:rsidR="009D21A2" w:rsidRPr="00AD7BA1" w:rsidRDefault="009D21A2" w:rsidP="00BF59EE">
            <w:pPr>
              <w:pStyle w:val="TableParagraph"/>
              <w:ind w:left="629"/>
              <w:rPr>
                <w:rFonts w:ascii="Times New Roman" w:hAnsi="Times New Roman" w:cs="Times New Roman"/>
                <w:lang w:val="da-DK"/>
              </w:rPr>
            </w:pPr>
            <w:r w:rsidRPr="00AD7BA1">
              <w:rPr>
                <w:rFonts w:ascii="Times New Roman" w:hAnsi="Times New Roman" w:cs="Times New Roman"/>
                <w:lang w:val="da-DK"/>
              </w:rPr>
              <w:t>- Med overnatning</w:t>
            </w:r>
          </w:p>
        </w:tc>
        <w:tc>
          <w:tcPr>
            <w:tcW w:w="1188" w:type="pct"/>
          </w:tcPr>
          <w:p w14:paraId="2705100C" w14:textId="77777777" w:rsidR="009D21A2" w:rsidRPr="00AD7BA1" w:rsidRDefault="009D21A2" w:rsidP="00BF59EE">
            <w:pPr>
              <w:pStyle w:val="TableParagraph"/>
              <w:ind w:left="552"/>
              <w:jc w:val="center"/>
              <w:rPr>
                <w:rFonts w:ascii="Times New Roman" w:hAnsi="Times New Roman" w:cs="Times New Roman"/>
                <w:lang w:val="da-DK"/>
              </w:rPr>
            </w:pPr>
            <w:r w:rsidRPr="00AD7BA1">
              <w:rPr>
                <w:rFonts w:ascii="Times New Roman" w:hAnsi="Times New Roman" w:cs="Times New Roman"/>
                <w:lang w:val="da-DK"/>
              </w:rPr>
              <w:t>172 (2,3 %)</w:t>
            </w:r>
          </w:p>
        </w:tc>
        <w:tc>
          <w:tcPr>
            <w:tcW w:w="999" w:type="pct"/>
          </w:tcPr>
          <w:p w14:paraId="0845583B" w14:textId="77777777" w:rsidR="009D21A2" w:rsidRPr="00AD7BA1" w:rsidRDefault="009D21A2" w:rsidP="00BF59EE">
            <w:pPr>
              <w:pStyle w:val="TableParagraph"/>
              <w:ind w:left="437"/>
              <w:jc w:val="center"/>
              <w:rPr>
                <w:rFonts w:ascii="Times New Roman" w:hAnsi="Times New Roman" w:cs="Times New Roman"/>
                <w:lang w:val="da-DK"/>
              </w:rPr>
            </w:pPr>
            <w:r w:rsidRPr="00AD7BA1">
              <w:rPr>
                <w:rFonts w:ascii="Times New Roman" w:hAnsi="Times New Roman" w:cs="Times New Roman"/>
                <w:lang w:val="da-DK"/>
              </w:rPr>
              <w:t>90 (1,3 %)</w:t>
            </w:r>
          </w:p>
        </w:tc>
        <w:tc>
          <w:tcPr>
            <w:tcW w:w="1000" w:type="pct"/>
          </w:tcPr>
          <w:p w14:paraId="675687ED" w14:textId="77777777" w:rsidR="009D21A2" w:rsidRPr="00AD7BA1" w:rsidRDefault="009D21A2" w:rsidP="00BF59EE">
            <w:pPr>
              <w:pStyle w:val="TableParagraph"/>
              <w:ind w:left="167" w:right="157"/>
              <w:jc w:val="center"/>
              <w:rPr>
                <w:rFonts w:ascii="Times New Roman" w:hAnsi="Times New Roman" w:cs="Times New Roman"/>
                <w:lang w:val="da-DK"/>
              </w:rPr>
            </w:pPr>
            <w:r w:rsidRPr="00AD7BA1">
              <w:rPr>
                <w:rFonts w:ascii="Times New Roman" w:hAnsi="Times New Roman" w:cs="Times New Roman"/>
                <w:lang w:val="da-DK"/>
              </w:rPr>
              <w:t>1,91 (1,48;2,46)</w:t>
            </w:r>
          </w:p>
          <w:p w14:paraId="7DA98DA6" w14:textId="77777777" w:rsidR="009D21A2" w:rsidRPr="00AD7BA1" w:rsidRDefault="009D21A2" w:rsidP="00BF59EE">
            <w:pPr>
              <w:pStyle w:val="TableParagraph"/>
              <w:ind w:left="315" w:right="305"/>
              <w:jc w:val="center"/>
              <w:rPr>
                <w:rFonts w:ascii="Times New Roman" w:hAnsi="Times New Roman" w:cs="Times New Roman"/>
                <w:lang w:val="da-DK"/>
              </w:rPr>
            </w:pPr>
            <w:r w:rsidRPr="00AD7BA1">
              <w:rPr>
                <w:rFonts w:ascii="Times New Roman" w:hAnsi="Times New Roman" w:cs="Times New Roman"/>
                <w:lang w:val="da-DK"/>
              </w:rPr>
              <w:t>p &lt; 0,00001</w:t>
            </w:r>
          </w:p>
        </w:tc>
      </w:tr>
      <w:tr w:rsidR="009D21A2" w:rsidRPr="00AD7BA1" w14:paraId="0AD9ACC9" w14:textId="77777777" w:rsidTr="00AC54DF">
        <w:trPr>
          <w:trHeight w:val="505"/>
        </w:trPr>
        <w:tc>
          <w:tcPr>
            <w:tcW w:w="1812" w:type="pct"/>
          </w:tcPr>
          <w:p w14:paraId="2027CFBD" w14:textId="77777777" w:rsidR="009D21A2" w:rsidRPr="00AD7BA1" w:rsidRDefault="009D21A2" w:rsidP="00BF59EE">
            <w:pPr>
              <w:pStyle w:val="TableParagraph"/>
              <w:ind w:left="629"/>
              <w:rPr>
                <w:rFonts w:ascii="Times New Roman" w:hAnsi="Times New Roman" w:cs="Times New Roman"/>
                <w:lang w:val="da-DK"/>
              </w:rPr>
            </w:pPr>
            <w:r w:rsidRPr="00AD7BA1">
              <w:rPr>
                <w:rFonts w:ascii="Times New Roman" w:hAnsi="Times New Roman" w:cs="Times New Roman"/>
                <w:lang w:val="da-DK"/>
              </w:rPr>
              <w:t>- Uden overnatning</w:t>
            </w:r>
          </w:p>
        </w:tc>
        <w:tc>
          <w:tcPr>
            <w:tcW w:w="1188" w:type="pct"/>
          </w:tcPr>
          <w:p w14:paraId="32594BB8" w14:textId="77777777" w:rsidR="009D21A2" w:rsidRPr="00AD7BA1" w:rsidRDefault="009D21A2" w:rsidP="00BF59EE">
            <w:pPr>
              <w:pStyle w:val="TableParagraph"/>
              <w:ind w:left="608"/>
              <w:jc w:val="center"/>
              <w:rPr>
                <w:rFonts w:ascii="Times New Roman" w:hAnsi="Times New Roman" w:cs="Times New Roman"/>
                <w:lang w:val="da-DK"/>
              </w:rPr>
            </w:pPr>
            <w:r w:rsidRPr="00AD7BA1">
              <w:rPr>
                <w:rFonts w:ascii="Times New Roman" w:hAnsi="Times New Roman" w:cs="Times New Roman"/>
                <w:lang w:val="da-DK"/>
              </w:rPr>
              <w:t>36 (0,5 %)</w:t>
            </w:r>
          </w:p>
        </w:tc>
        <w:tc>
          <w:tcPr>
            <w:tcW w:w="999" w:type="pct"/>
          </w:tcPr>
          <w:p w14:paraId="26BAA551" w14:textId="77777777" w:rsidR="009D21A2" w:rsidRPr="00AD7BA1" w:rsidRDefault="009D21A2" w:rsidP="00BF59EE">
            <w:pPr>
              <w:pStyle w:val="TableParagraph"/>
              <w:ind w:left="437"/>
              <w:jc w:val="center"/>
              <w:rPr>
                <w:rFonts w:ascii="Times New Roman" w:hAnsi="Times New Roman" w:cs="Times New Roman"/>
                <w:lang w:val="da-DK"/>
              </w:rPr>
            </w:pPr>
            <w:r w:rsidRPr="00AD7BA1">
              <w:rPr>
                <w:rFonts w:ascii="Times New Roman" w:hAnsi="Times New Roman" w:cs="Times New Roman"/>
                <w:lang w:val="da-DK"/>
              </w:rPr>
              <w:t>21 (0,3 %)</w:t>
            </w:r>
          </w:p>
        </w:tc>
        <w:tc>
          <w:tcPr>
            <w:tcW w:w="1000" w:type="pct"/>
          </w:tcPr>
          <w:p w14:paraId="6164D53D" w14:textId="77777777" w:rsidR="009D21A2" w:rsidRPr="00AD7BA1" w:rsidRDefault="009D21A2" w:rsidP="00BF59EE">
            <w:pPr>
              <w:pStyle w:val="TableParagraph"/>
              <w:ind w:left="167" w:right="157"/>
              <w:jc w:val="center"/>
              <w:rPr>
                <w:rFonts w:ascii="Times New Roman" w:hAnsi="Times New Roman" w:cs="Times New Roman"/>
                <w:lang w:val="da-DK"/>
              </w:rPr>
            </w:pPr>
            <w:r w:rsidRPr="00AD7BA1">
              <w:rPr>
                <w:rFonts w:ascii="Times New Roman" w:hAnsi="Times New Roman" w:cs="Times New Roman"/>
                <w:lang w:val="da-DK"/>
              </w:rPr>
              <w:t>1,70 (0,99;2,92)</w:t>
            </w:r>
          </w:p>
          <w:p w14:paraId="74556391" w14:textId="77777777" w:rsidR="009D21A2" w:rsidRPr="00AD7BA1" w:rsidRDefault="009D21A2" w:rsidP="00BF59EE">
            <w:pPr>
              <w:pStyle w:val="TableParagraph"/>
              <w:ind w:left="315" w:right="305"/>
              <w:jc w:val="center"/>
              <w:rPr>
                <w:rFonts w:ascii="Times New Roman" w:hAnsi="Times New Roman" w:cs="Times New Roman"/>
                <w:lang w:val="da-DK"/>
              </w:rPr>
            </w:pPr>
            <w:r w:rsidRPr="00AD7BA1">
              <w:rPr>
                <w:rFonts w:ascii="Times New Roman" w:hAnsi="Times New Roman" w:cs="Times New Roman"/>
                <w:lang w:val="da-DK"/>
              </w:rPr>
              <w:t>p = 0,04983</w:t>
            </w:r>
          </w:p>
        </w:tc>
      </w:tr>
      <w:tr w:rsidR="009D21A2" w:rsidRPr="00AD7BA1" w14:paraId="68646F9F" w14:textId="77777777" w:rsidTr="00AC54DF">
        <w:trPr>
          <w:trHeight w:val="505"/>
        </w:trPr>
        <w:tc>
          <w:tcPr>
            <w:tcW w:w="1812" w:type="pct"/>
          </w:tcPr>
          <w:p w14:paraId="5BC65F47"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Større gastrointestinal blødning</w:t>
            </w:r>
          </w:p>
        </w:tc>
        <w:tc>
          <w:tcPr>
            <w:tcW w:w="1188" w:type="pct"/>
          </w:tcPr>
          <w:p w14:paraId="644212D6" w14:textId="77777777" w:rsidR="009D21A2" w:rsidRPr="00AD7BA1" w:rsidRDefault="009D21A2" w:rsidP="00BF59EE">
            <w:pPr>
              <w:pStyle w:val="TableParagraph"/>
              <w:ind w:left="552"/>
              <w:jc w:val="center"/>
              <w:rPr>
                <w:rFonts w:ascii="Times New Roman" w:hAnsi="Times New Roman" w:cs="Times New Roman"/>
                <w:lang w:val="da-DK"/>
              </w:rPr>
            </w:pPr>
            <w:r w:rsidRPr="00AD7BA1">
              <w:rPr>
                <w:rFonts w:ascii="Times New Roman" w:hAnsi="Times New Roman" w:cs="Times New Roman"/>
                <w:lang w:val="da-DK"/>
              </w:rPr>
              <w:t>140 (2,0 %)</w:t>
            </w:r>
          </w:p>
        </w:tc>
        <w:tc>
          <w:tcPr>
            <w:tcW w:w="999" w:type="pct"/>
          </w:tcPr>
          <w:p w14:paraId="55D99919" w14:textId="77777777" w:rsidR="009D21A2" w:rsidRPr="00AD7BA1" w:rsidRDefault="009D21A2" w:rsidP="00BF59EE">
            <w:pPr>
              <w:pStyle w:val="TableParagraph"/>
              <w:ind w:left="437"/>
              <w:jc w:val="center"/>
              <w:rPr>
                <w:rFonts w:ascii="Times New Roman" w:hAnsi="Times New Roman" w:cs="Times New Roman"/>
                <w:lang w:val="da-DK"/>
              </w:rPr>
            </w:pPr>
            <w:r w:rsidRPr="00AD7BA1">
              <w:rPr>
                <w:rFonts w:ascii="Times New Roman" w:hAnsi="Times New Roman" w:cs="Times New Roman"/>
                <w:lang w:val="da-DK"/>
              </w:rPr>
              <w:t>65 (1,1 %)</w:t>
            </w:r>
          </w:p>
        </w:tc>
        <w:tc>
          <w:tcPr>
            <w:tcW w:w="1000" w:type="pct"/>
          </w:tcPr>
          <w:p w14:paraId="17D32981" w14:textId="77777777" w:rsidR="009D21A2" w:rsidRPr="00AD7BA1" w:rsidRDefault="009D21A2" w:rsidP="00BF59EE">
            <w:pPr>
              <w:pStyle w:val="TableParagraph"/>
              <w:ind w:left="167" w:right="157"/>
              <w:jc w:val="center"/>
              <w:rPr>
                <w:rFonts w:ascii="Times New Roman" w:hAnsi="Times New Roman" w:cs="Times New Roman"/>
                <w:lang w:val="da-DK"/>
              </w:rPr>
            </w:pPr>
            <w:r w:rsidRPr="00AD7BA1">
              <w:rPr>
                <w:rFonts w:ascii="Times New Roman" w:hAnsi="Times New Roman" w:cs="Times New Roman"/>
                <w:lang w:val="da-DK"/>
              </w:rPr>
              <w:t>2,15 (1,60;2,89)</w:t>
            </w:r>
          </w:p>
          <w:p w14:paraId="1AEBF00A" w14:textId="77777777" w:rsidR="009D21A2" w:rsidRPr="00AD7BA1" w:rsidRDefault="009D21A2" w:rsidP="00BF59EE">
            <w:pPr>
              <w:pStyle w:val="TableParagraph"/>
              <w:ind w:left="315" w:right="305"/>
              <w:jc w:val="center"/>
              <w:rPr>
                <w:rFonts w:ascii="Times New Roman" w:hAnsi="Times New Roman" w:cs="Times New Roman"/>
                <w:lang w:val="da-DK"/>
              </w:rPr>
            </w:pPr>
            <w:r w:rsidRPr="00AD7BA1">
              <w:rPr>
                <w:rFonts w:ascii="Times New Roman" w:hAnsi="Times New Roman" w:cs="Times New Roman"/>
                <w:lang w:val="da-DK"/>
              </w:rPr>
              <w:t>p &lt; 0,00001</w:t>
            </w:r>
          </w:p>
        </w:tc>
      </w:tr>
      <w:tr w:rsidR="009D21A2" w:rsidRPr="00AD7BA1" w14:paraId="06428F85" w14:textId="77777777" w:rsidTr="00AC54DF">
        <w:trPr>
          <w:trHeight w:val="506"/>
        </w:trPr>
        <w:tc>
          <w:tcPr>
            <w:tcW w:w="1812" w:type="pct"/>
          </w:tcPr>
          <w:p w14:paraId="701B053E" w14:textId="77777777" w:rsidR="009D21A2" w:rsidRPr="00AD7BA1" w:rsidRDefault="009D21A2" w:rsidP="00BF59EE">
            <w:pPr>
              <w:pStyle w:val="TableParagraph"/>
              <w:ind w:left="107"/>
              <w:rPr>
                <w:rFonts w:ascii="Times New Roman" w:hAnsi="Times New Roman" w:cs="Times New Roman"/>
                <w:lang w:val="da-DK"/>
              </w:rPr>
            </w:pPr>
            <w:r w:rsidRPr="00AD7BA1">
              <w:rPr>
                <w:rFonts w:ascii="Times New Roman" w:hAnsi="Times New Roman" w:cs="Times New Roman"/>
                <w:lang w:val="da-DK"/>
              </w:rPr>
              <w:t>Større intrakranial blødning</w:t>
            </w:r>
          </w:p>
        </w:tc>
        <w:tc>
          <w:tcPr>
            <w:tcW w:w="1188" w:type="pct"/>
          </w:tcPr>
          <w:p w14:paraId="57A51D99" w14:textId="77777777" w:rsidR="009D21A2" w:rsidRPr="00AD7BA1" w:rsidRDefault="009D21A2" w:rsidP="00BF59EE">
            <w:pPr>
              <w:pStyle w:val="TableParagraph"/>
              <w:ind w:left="608"/>
              <w:jc w:val="center"/>
              <w:rPr>
                <w:rFonts w:ascii="Times New Roman" w:hAnsi="Times New Roman" w:cs="Times New Roman"/>
                <w:lang w:val="da-DK"/>
              </w:rPr>
            </w:pPr>
            <w:r w:rsidRPr="00AD7BA1">
              <w:rPr>
                <w:rFonts w:ascii="Times New Roman" w:hAnsi="Times New Roman" w:cs="Times New Roman"/>
                <w:lang w:val="da-DK"/>
              </w:rPr>
              <w:t>28 (0,4 %)</w:t>
            </w:r>
          </w:p>
        </w:tc>
        <w:tc>
          <w:tcPr>
            <w:tcW w:w="999" w:type="pct"/>
          </w:tcPr>
          <w:p w14:paraId="746D5D02" w14:textId="77777777" w:rsidR="009D21A2" w:rsidRPr="00AD7BA1" w:rsidRDefault="009D21A2" w:rsidP="00BF59EE">
            <w:pPr>
              <w:pStyle w:val="TableParagraph"/>
              <w:ind w:left="437"/>
              <w:jc w:val="center"/>
              <w:rPr>
                <w:rFonts w:ascii="Times New Roman" w:hAnsi="Times New Roman" w:cs="Times New Roman"/>
                <w:lang w:val="da-DK"/>
              </w:rPr>
            </w:pPr>
            <w:r w:rsidRPr="00AD7BA1">
              <w:rPr>
                <w:rFonts w:ascii="Times New Roman" w:hAnsi="Times New Roman" w:cs="Times New Roman"/>
                <w:lang w:val="da-DK"/>
              </w:rPr>
              <w:t>24 (0,3 %)</w:t>
            </w:r>
          </w:p>
        </w:tc>
        <w:tc>
          <w:tcPr>
            <w:tcW w:w="1000" w:type="pct"/>
          </w:tcPr>
          <w:p w14:paraId="2295FB2E" w14:textId="77777777" w:rsidR="009D21A2" w:rsidRPr="00AD7BA1" w:rsidRDefault="009D21A2" w:rsidP="00BF59EE">
            <w:pPr>
              <w:pStyle w:val="TableParagraph"/>
              <w:ind w:left="167" w:right="157"/>
              <w:jc w:val="center"/>
              <w:rPr>
                <w:rFonts w:ascii="Times New Roman" w:hAnsi="Times New Roman" w:cs="Times New Roman"/>
                <w:lang w:val="da-DK"/>
              </w:rPr>
            </w:pPr>
            <w:r w:rsidRPr="00AD7BA1">
              <w:rPr>
                <w:rFonts w:ascii="Times New Roman" w:hAnsi="Times New Roman" w:cs="Times New Roman"/>
                <w:lang w:val="da-DK"/>
              </w:rPr>
              <w:t>1,16 (0,67;2,00)</w:t>
            </w:r>
          </w:p>
          <w:p w14:paraId="6ED1EB73" w14:textId="77777777" w:rsidR="009D21A2" w:rsidRPr="00AD7BA1" w:rsidRDefault="009D21A2" w:rsidP="00BF59EE">
            <w:pPr>
              <w:pStyle w:val="TableParagraph"/>
              <w:ind w:left="315" w:right="305"/>
              <w:jc w:val="center"/>
              <w:rPr>
                <w:rFonts w:ascii="Times New Roman" w:hAnsi="Times New Roman" w:cs="Times New Roman"/>
                <w:lang w:val="da-DK"/>
              </w:rPr>
            </w:pPr>
            <w:r w:rsidRPr="00AD7BA1">
              <w:rPr>
                <w:rFonts w:ascii="Times New Roman" w:hAnsi="Times New Roman" w:cs="Times New Roman"/>
                <w:lang w:val="da-DK"/>
              </w:rPr>
              <w:t>p = 0,59858</w:t>
            </w:r>
          </w:p>
        </w:tc>
      </w:tr>
    </w:tbl>
    <w:p w14:paraId="428894CB" w14:textId="2B611C06" w:rsidR="009D21A2" w:rsidRPr="00AD7BA1" w:rsidRDefault="009D21A2" w:rsidP="00AC54DF">
      <w:pPr>
        <w:pStyle w:val="Listeafsnit"/>
        <w:numPr>
          <w:ilvl w:val="0"/>
          <w:numId w:val="21"/>
        </w:numPr>
        <w:ind w:left="284" w:hanging="284"/>
        <w:rPr>
          <w:sz w:val="24"/>
          <w:szCs w:val="24"/>
          <w:lang w:val="da-DK"/>
        </w:rPr>
      </w:pPr>
      <w:r w:rsidRPr="00AD7BA1">
        <w:rPr>
          <w:sz w:val="24"/>
          <w:szCs w:val="24"/>
          <w:lang w:val="da-DK"/>
        </w:rPr>
        <w:t>intent-to-treat-analysesæt, primære analyser</w:t>
      </w:r>
    </w:p>
    <w:p w14:paraId="0CC1016C" w14:textId="348307B0" w:rsidR="009D21A2" w:rsidRPr="00AD7BA1" w:rsidRDefault="009D21A2" w:rsidP="00AC54DF">
      <w:pPr>
        <w:pStyle w:val="Listeafsnit"/>
        <w:numPr>
          <w:ilvl w:val="0"/>
          <w:numId w:val="21"/>
        </w:numPr>
        <w:ind w:left="284" w:hanging="284"/>
        <w:rPr>
          <w:sz w:val="24"/>
          <w:szCs w:val="24"/>
          <w:lang w:val="da-DK"/>
        </w:rPr>
      </w:pPr>
      <w:r w:rsidRPr="00AD7BA1">
        <w:rPr>
          <w:sz w:val="24"/>
          <w:szCs w:val="24"/>
          <w:lang w:val="da-DK"/>
        </w:rPr>
        <w:t>vs. ASA 100 mg; Log-Rank p-værdi</w:t>
      </w:r>
    </w:p>
    <w:p w14:paraId="63603F42" w14:textId="77777777" w:rsidR="009D21A2" w:rsidRPr="00AD7BA1" w:rsidRDefault="009D21A2" w:rsidP="0068338F">
      <w:pPr>
        <w:rPr>
          <w:sz w:val="24"/>
          <w:szCs w:val="24"/>
        </w:rPr>
      </w:pPr>
      <w:r w:rsidRPr="00AD7BA1">
        <w:rPr>
          <w:sz w:val="24"/>
          <w:szCs w:val="24"/>
        </w:rPr>
        <w:t>KI: konfidensinterval, kumulativ risiko: Kumulativ incidensrisiko (Kaplan-Meier-estimater) efter 30 måneder, ISTH: International Society on Thrombosis and Haemostasis</w:t>
      </w:r>
    </w:p>
    <w:p w14:paraId="7E67BB90" w14:textId="77777777" w:rsidR="009D21A2" w:rsidRPr="00AD7BA1" w:rsidRDefault="009D21A2" w:rsidP="0068338F">
      <w:pPr>
        <w:rPr>
          <w:sz w:val="24"/>
          <w:szCs w:val="24"/>
        </w:rPr>
      </w:pPr>
    </w:p>
    <w:p w14:paraId="2BAF633B" w14:textId="77777777" w:rsidR="00716715" w:rsidRPr="00AD7BA1" w:rsidRDefault="00716715" w:rsidP="000A72C9">
      <w:pPr>
        <w:keepNext/>
        <w:rPr>
          <w:b/>
          <w:sz w:val="24"/>
          <w:szCs w:val="24"/>
        </w:rPr>
      </w:pPr>
      <w:r w:rsidRPr="00AD7BA1">
        <w:rPr>
          <w:b/>
          <w:sz w:val="24"/>
          <w:szCs w:val="24"/>
        </w:rPr>
        <w:t xml:space="preserve">Figur 2: Tid til første forekomst af primære effektendepunkt (apopleksi, myokardieinfarkt, kardiovaskulær død) i COMPASS </w:t>
      </w:r>
    </w:p>
    <w:p w14:paraId="027E9432" w14:textId="77777777" w:rsidR="00716715" w:rsidRPr="00AD7BA1" w:rsidRDefault="00716715" w:rsidP="000A72C9">
      <w:pPr>
        <w:keepNext/>
        <w:rPr>
          <w:sz w:val="24"/>
          <w:szCs w:val="24"/>
        </w:rPr>
      </w:pPr>
    </w:p>
    <w:p w14:paraId="4D07F9C3" w14:textId="77777777" w:rsidR="00716715" w:rsidRPr="00AD7BA1" w:rsidRDefault="00716715" w:rsidP="000A72C9">
      <w:pPr>
        <w:pStyle w:val="Overskrift3"/>
        <w:spacing w:line="247" w:lineRule="auto"/>
        <w:ind w:left="213" w:right="961"/>
        <w:rPr>
          <w:rFonts w:ascii="Times New Roman" w:hAnsi="Times New Roman"/>
          <w:szCs w:val="24"/>
        </w:rPr>
      </w:pPr>
      <w:r w:rsidRPr="00AD7BA1">
        <w:rPr>
          <w:rFonts w:ascii="Times New Roman" w:hAnsi="Times New Roman"/>
          <w:b/>
          <w:bCs/>
          <w:i/>
          <w:iCs/>
          <w:noProof/>
          <w:szCs w:val="24"/>
        </w:rPr>
        <mc:AlternateContent>
          <mc:Choice Requires="wps">
            <w:drawing>
              <wp:anchor distT="0" distB="0" distL="114300" distR="114300" simplePos="0" relativeHeight="251662336" behindDoc="0" locked="0" layoutInCell="1" allowOverlap="1" wp14:anchorId="6E40DB40" wp14:editId="49281751">
                <wp:simplePos x="0" y="0"/>
                <wp:positionH relativeFrom="page">
                  <wp:posOffset>1397203</wp:posOffset>
                </wp:positionH>
                <wp:positionV relativeFrom="paragraph">
                  <wp:posOffset>683692</wp:posOffset>
                </wp:positionV>
                <wp:extent cx="118745" cy="1029970"/>
                <wp:effectExtent l="0" t="0" r="14605" b="17780"/>
                <wp:wrapNone/>
                <wp:docPr id="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02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77907" w14:textId="77777777" w:rsidR="00616601" w:rsidRDefault="00616601" w:rsidP="00716715">
                            <w:pPr>
                              <w:spacing w:before="16"/>
                              <w:ind w:left="20"/>
                              <w:rPr>
                                <w:sz w:val="13"/>
                              </w:rPr>
                            </w:pPr>
                            <w:r>
                              <w:rPr>
                                <w:sz w:val="13"/>
                              </w:rPr>
                              <w:t>Kumulativ</w:t>
                            </w:r>
                            <w:r>
                              <w:rPr>
                                <w:spacing w:val="-3"/>
                                <w:sz w:val="13"/>
                              </w:rPr>
                              <w:t xml:space="preserve"> </w:t>
                            </w:r>
                            <w:r>
                              <w:rPr>
                                <w:sz w:val="13"/>
                              </w:rPr>
                              <w:t xml:space="preserve">sandsynlighed </w:t>
                            </w:r>
                            <w:r>
                              <w:rPr>
                                <w:spacing w:val="-5"/>
                                <w:sz w:val="13"/>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0DB40" id="_x0000_t202" coordsize="21600,21600" o:spt="202" path="m,l,21600r21600,l21600,xe">
                <v:stroke joinstyle="miter"/>
                <v:path gradientshapeok="t" o:connecttype="rect"/>
              </v:shapetype>
              <v:shape id="Textfeld 1" o:spid="_x0000_s1026" type="#_x0000_t202" style="position:absolute;left:0;text-align:left;margin-left:110pt;margin-top:53.85pt;width:9.35pt;height:81.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" filled="f" stroked="f">
                <v:textbox style="layout-flow:vertical;mso-layout-flow-alt:bottom-to-top" inset="0,0,0,0">
                  <w:txbxContent>
                    <w:p w14:paraId="63977907" w14:textId="77777777" w:rsidR="00616601" w:rsidRDefault="00616601" w:rsidP="00716715">
                      <w:pPr>
                        <w:spacing w:before="16"/>
                        <w:ind w:left="20"/>
                        <w:rPr>
                          <w:sz w:val="13"/>
                        </w:rPr>
                      </w:pPr>
                      <w:r>
                        <w:rPr>
                          <w:sz w:val="13"/>
                        </w:rPr>
                        <w:t>Kumulativ</w:t>
                      </w:r>
                      <w:r>
                        <w:rPr>
                          <w:spacing w:val="-3"/>
                          <w:sz w:val="13"/>
                        </w:rPr>
                        <w:t xml:space="preserve"> </w:t>
                      </w:r>
                      <w:r>
                        <w:rPr>
                          <w:sz w:val="13"/>
                        </w:rPr>
                        <w:t xml:space="preserve">sandsynlighed </w:t>
                      </w:r>
                      <w:r>
                        <w:rPr>
                          <w:spacing w:val="-5"/>
                          <w:sz w:val="13"/>
                        </w:rPr>
                        <w:t>(%)</w:t>
                      </w:r>
                    </w:p>
                  </w:txbxContent>
                </v:textbox>
                <w10:wrap anchorx="page"/>
              </v:shape>
            </w:pict>
          </mc:Fallback>
        </mc:AlternateContent>
      </w:r>
      <w:r w:rsidRPr="00AD7BA1">
        <w:rPr>
          <w:rFonts w:ascii="Times New Roman" w:hAnsi="Times New Roman"/>
          <w:b/>
          <w:bCs/>
          <w:i/>
          <w:iCs/>
          <w:noProof/>
          <w:szCs w:val="24"/>
        </w:rPr>
        <mc:AlternateContent>
          <mc:Choice Requires="wpg">
            <w:drawing>
              <wp:inline distT="0" distB="0" distL="0" distR="0" wp14:anchorId="22135C03" wp14:editId="5BBDB3E8">
                <wp:extent cx="5641975" cy="3289935"/>
                <wp:effectExtent l="0" t="0" r="0" b="5715"/>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1975" cy="3289935"/>
                          <a:chOff x="1681" y="764"/>
                          <a:chExt cx="8885" cy="5181"/>
                        </a:xfrm>
                      </wpg:grpSpPr>
                      <pic:pic xmlns:pic="http://schemas.openxmlformats.org/drawingml/2006/picture">
                        <pic:nvPicPr>
                          <pic:cNvPr id="7" name="docshape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949" y="764"/>
                            <a:ext cx="8169" cy="5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docshape17"/>
                        <wps:cNvSpPr>
                          <a:spLocks/>
                        </wps:cNvSpPr>
                        <wps:spPr bwMode="auto">
                          <a:xfrm>
                            <a:off x="1681" y="815"/>
                            <a:ext cx="8885" cy="5130"/>
                          </a:xfrm>
                          <a:custGeom>
                            <a:avLst/>
                            <a:gdLst>
                              <a:gd name="T0" fmla="+- 0 2214 1681"/>
                              <a:gd name="T1" fmla="*/ T0 w 8885"/>
                              <a:gd name="T2" fmla="+- 0 2061 816"/>
                              <a:gd name="T3" fmla="*/ 2061 h 5130"/>
                              <a:gd name="T4" fmla="+- 0 2002 1681"/>
                              <a:gd name="T5" fmla="*/ T4 w 8885"/>
                              <a:gd name="T6" fmla="+- 0 2061 816"/>
                              <a:gd name="T7" fmla="*/ 2061 h 5130"/>
                              <a:gd name="T8" fmla="+- 0 2002 1681"/>
                              <a:gd name="T9" fmla="*/ T8 w 8885"/>
                              <a:gd name="T10" fmla="+- 0 4094 816"/>
                              <a:gd name="T11" fmla="*/ 4094 h 5130"/>
                              <a:gd name="T12" fmla="+- 0 2214 1681"/>
                              <a:gd name="T13" fmla="*/ T12 w 8885"/>
                              <a:gd name="T14" fmla="+- 0 4094 816"/>
                              <a:gd name="T15" fmla="*/ 4094 h 5130"/>
                              <a:gd name="T16" fmla="+- 0 2214 1681"/>
                              <a:gd name="T17" fmla="*/ T16 w 8885"/>
                              <a:gd name="T18" fmla="+- 0 2061 816"/>
                              <a:gd name="T19" fmla="*/ 2061 h 5130"/>
                              <a:gd name="T20" fmla="+- 0 4892 1681"/>
                              <a:gd name="T21" fmla="*/ T20 w 8885"/>
                              <a:gd name="T22" fmla="+- 0 5480 816"/>
                              <a:gd name="T23" fmla="*/ 5480 h 5130"/>
                              <a:gd name="T24" fmla="+- 0 1681 1681"/>
                              <a:gd name="T25" fmla="*/ T24 w 8885"/>
                              <a:gd name="T26" fmla="+- 0 5480 816"/>
                              <a:gd name="T27" fmla="*/ 5480 h 5130"/>
                              <a:gd name="T28" fmla="+- 0 1681 1681"/>
                              <a:gd name="T29" fmla="*/ T28 w 8885"/>
                              <a:gd name="T30" fmla="+- 0 5946 816"/>
                              <a:gd name="T31" fmla="*/ 5946 h 5130"/>
                              <a:gd name="T32" fmla="+- 0 4892 1681"/>
                              <a:gd name="T33" fmla="*/ T32 w 8885"/>
                              <a:gd name="T34" fmla="+- 0 5946 816"/>
                              <a:gd name="T35" fmla="*/ 5946 h 5130"/>
                              <a:gd name="T36" fmla="+- 0 4892 1681"/>
                              <a:gd name="T37" fmla="*/ T36 w 8885"/>
                              <a:gd name="T38" fmla="+- 0 5480 816"/>
                              <a:gd name="T39" fmla="*/ 5480 h 5130"/>
                              <a:gd name="T40" fmla="+- 0 8795 1681"/>
                              <a:gd name="T41" fmla="*/ T40 w 8885"/>
                              <a:gd name="T42" fmla="+- 0 1216 816"/>
                              <a:gd name="T43" fmla="*/ 1216 h 5130"/>
                              <a:gd name="T44" fmla="+- 0 4406 1681"/>
                              <a:gd name="T45" fmla="*/ T44 w 8885"/>
                              <a:gd name="T46" fmla="+- 0 1216 816"/>
                              <a:gd name="T47" fmla="*/ 1216 h 5130"/>
                              <a:gd name="T48" fmla="+- 0 4406 1681"/>
                              <a:gd name="T49" fmla="*/ T48 w 8885"/>
                              <a:gd name="T50" fmla="+- 0 1958 816"/>
                              <a:gd name="T51" fmla="*/ 1958 h 5130"/>
                              <a:gd name="T52" fmla="+- 0 8795 1681"/>
                              <a:gd name="T53" fmla="*/ T52 w 8885"/>
                              <a:gd name="T54" fmla="+- 0 1958 816"/>
                              <a:gd name="T55" fmla="*/ 1958 h 5130"/>
                              <a:gd name="T56" fmla="+- 0 8795 1681"/>
                              <a:gd name="T57" fmla="*/ T56 w 8885"/>
                              <a:gd name="T58" fmla="+- 0 1216 816"/>
                              <a:gd name="T59" fmla="*/ 1216 h 5130"/>
                              <a:gd name="T60" fmla="+- 0 9042 1681"/>
                              <a:gd name="T61" fmla="*/ T60 w 8885"/>
                              <a:gd name="T62" fmla="+- 0 4539 816"/>
                              <a:gd name="T63" fmla="*/ 4539 h 5130"/>
                              <a:gd name="T64" fmla="+- 0 6086 1681"/>
                              <a:gd name="T65" fmla="*/ T64 w 8885"/>
                              <a:gd name="T66" fmla="+- 0 4539 816"/>
                              <a:gd name="T67" fmla="*/ 4539 h 5130"/>
                              <a:gd name="T68" fmla="+- 0 6086 1681"/>
                              <a:gd name="T69" fmla="*/ T68 w 8885"/>
                              <a:gd name="T70" fmla="+- 0 4850 816"/>
                              <a:gd name="T71" fmla="*/ 4850 h 5130"/>
                              <a:gd name="T72" fmla="+- 0 9042 1681"/>
                              <a:gd name="T73" fmla="*/ T72 w 8885"/>
                              <a:gd name="T74" fmla="+- 0 4850 816"/>
                              <a:gd name="T75" fmla="*/ 4850 h 5130"/>
                              <a:gd name="T76" fmla="+- 0 9042 1681"/>
                              <a:gd name="T77" fmla="*/ T76 w 8885"/>
                              <a:gd name="T78" fmla="+- 0 4539 816"/>
                              <a:gd name="T79" fmla="*/ 4539 h 5130"/>
                              <a:gd name="T80" fmla="+- 0 9332 1681"/>
                              <a:gd name="T81" fmla="*/ T80 w 8885"/>
                              <a:gd name="T82" fmla="+- 0 816 816"/>
                              <a:gd name="T83" fmla="*/ 816 h 5130"/>
                              <a:gd name="T84" fmla="+- 0 5042 1681"/>
                              <a:gd name="T85" fmla="*/ T84 w 8885"/>
                              <a:gd name="T86" fmla="+- 0 816 816"/>
                              <a:gd name="T87" fmla="*/ 816 h 5130"/>
                              <a:gd name="T88" fmla="+- 0 5042 1681"/>
                              <a:gd name="T89" fmla="*/ T88 w 8885"/>
                              <a:gd name="T90" fmla="+- 0 1168 816"/>
                              <a:gd name="T91" fmla="*/ 1168 h 5130"/>
                              <a:gd name="T92" fmla="+- 0 9332 1681"/>
                              <a:gd name="T93" fmla="*/ T92 w 8885"/>
                              <a:gd name="T94" fmla="+- 0 1168 816"/>
                              <a:gd name="T95" fmla="*/ 1168 h 5130"/>
                              <a:gd name="T96" fmla="+- 0 9332 1681"/>
                              <a:gd name="T97" fmla="*/ T96 w 8885"/>
                              <a:gd name="T98" fmla="+- 0 816 816"/>
                              <a:gd name="T99" fmla="*/ 816 h 5130"/>
                              <a:gd name="T100" fmla="+- 0 10231 1681"/>
                              <a:gd name="T101" fmla="*/ T100 w 8885"/>
                              <a:gd name="T102" fmla="+- 0 4567 816"/>
                              <a:gd name="T103" fmla="*/ 4567 h 5130"/>
                              <a:gd name="T104" fmla="+- 0 9098 1681"/>
                              <a:gd name="T105" fmla="*/ T104 w 8885"/>
                              <a:gd name="T106" fmla="+- 0 4567 816"/>
                              <a:gd name="T107" fmla="*/ 4567 h 5130"/>
                              <a:gd name="T108" fmla="+- 0 9098 1681"/>
                              <a:gd name="T109" fmla="*/ T108 w 8885"/>
                              <a:gd name="T110" fmla="+- 0 4832 816"/>
                              <a:gd name="T111" fmla="*/ 4832 h 5130"/>
                              <a:gd name="T112" fmla="+- 0 10231 1681"/>
                              <a:gd name="T113" fmla="*/ T112 w 8885"/>
                              <a:gd name="T114" fmla="+- 0 4832 816"/>
                              <a:gd name="T115" fmla="*/ 4832 h 5130"/>
                              <a:gd name="T116" fmla="+- 0 10231 1681"/>
                              <a:gd name="T117" fmla="*/ T116 w 8885"/>
                              <a:gd name="T118" fmla="+- 0 4567 816"/>
                              <a:gd name="T119" fmla="*/ 4567 h 5130"/>
                              <a:gd name="T120" fmla="+- 0 10566 1681"/>
                              <a:gd name="T121" fmla="*/ T120 w 8885"/>
                              <a:gd name="T122" fmla="+- 0 4326 816"/>
                              <a:gd name="T123" fmla="*/ 4326 h 5130"/>
                              <a:gd name="T124" fmla="+- 0 6062 1681"/>
                              <a:gd name="T125" fmla="*/ T124 w 8885"/>
                              <a:gd name="T126" fmla="+- 0 4326 816"/>
                              <a:gd name="T127" fmla="*/ 4326 h 5130"/>
                              <a:gd name="T128" fmla="+- 0 6062 1681"/>
                              <a:gd name="T129" fmla="*/ T128 w 8885"/>
                              <a:gd name="T130" fmla="+- 0 4507 816"/>
                              <a:gd name="T131" fmla="*/ 4507 h 5130"/>
                              <a:gd name="T132" fmla="+- 0 10566 1681"/>
                              <a:gd name="T133" fmla="*/ T132 w 8885"/>
                              <a:gd name="T134" fmla="+- 0 4507 816"/>
                              <a:gd name="T135" fmla="*/ 4507 h 5130"/>
                              <a:gd name="T136" fmla="+- 0 10566 1681"/>
                              <a:gd name="T137" fmla="*/ T136 w 8885"/>
                              <a:gd name="T138" fmla="+- 0 4326 816"/>
                              <a:gd name="T139" fmla="*/ 4326 h 5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885" h="5130">
                                <a:moveTo>
                                  <a:pt x="533" y="1245"/>
                                </a:moveTo>
                                <a:lnTo>
                                  <a:pt x="321" y="1245"/>
                                </a:lnTo>
                                <a:lnTo>
                                  <a:pt x="321" y="3278"/>
                                </a:lnTo>
                                <a:lnTo>
                                  <a:pt x="533" y="3278"/>
                                </a:lnTo>
                                <a:lnTo>
                                  <a:pt x="533" y="1245"/>
                                </a:lnTo>
                                <a:close/>
                                <a:moveTo>
                                  <a:pt x="3211" y="4664"/>
                                </a:moveTo>
                                <a:lnTo>
                                  <a:pt x="0" y="4664"/>
                                </a:lnTo>
                                <a:lnTo>
                                  <a:pt x="0" y="5130"/>
                                </a:lnTo>
                                <a:lnTo>
                                  <a:pt x="3211" y="5130"/>
                                </a:lnTo>
                                <a:lnTo>
                                  <a:pt x="3211" y="4664"/>
                                </a:lnTo>
                                <a:close/>
                                <a:moveTo>
                                  <a:pt x="7114" y="400"/>
                                </a:moveTo>
                                <a:lnTo>
                                  <a:pt x="2725" y="400"/>
                                </a:lnTo>
                                <a:lnTo>
                                  <a:pt x="2725" y="1142"/>
                                </a:lnTo>
                                <a:lnTo>
                                  <a:pt x="7114" y="1142"/>
                                </a:lnTo>
                                <a:lnTo>
                                  <a:pt x="7114" y="400"/>
                                </a:lnTo>
                                <a:close/>
                                <a:moveTo>
                                  <a:pt x="7361" y="3723"/>
                                </a:moveTo>
                                <a:lnTo>
                                  <a:pt x="4405" y="3723"/>
                                </a:lnTo>
                                <a:lnTo>
                                  <a:pt x="4405" y="4034"/>
                                </a:lnTo>
                                <a:lnTo>
                                  <a:pt x="7361" y="4034"/>
                                </a:lnTo>
                                <a:lnTo>
                                  <a:pt x="7361" y="3723"/>
                                </a:lnTo>
                                <a:close/>
                                <a:moveTo>
                                  <a:pt x="7651" y="0"/>
                                </a:moveTo>
                                <a:lnTo>
                                  <a:pt x="3361" y="0"/>
                                </a:lnTo>
                                <a:lnTo>
                                  <a:pt x="3361" y="352"/>
                                </a:lnTo>
                                <a:lnTo>
                                  <a:pt x="7651" y="352"/>
                                </a:lnTo>
                                <a:lnTo>
                                  <a:pt x="7651" y="0"/>
                                </a:lnTo>
                                <a:close/>
                                <a:moveTo>
                                  <a:pt x="8550" y="3751"/>
                                </a:moveTo>
                                <a:lnTo>
                                  <a:pt x="7417" y="3751"/>
                                </a:lnTo>
                                <a:lnTo>
                                  <a:pt x="7417" y="4016"/>
                                </a:lnTo>
                                <a:lnTo>
                                  <a:pt x="8550" y="4016"/>
                                </a:lnTo>
                                <a:lnTo>
                                  <a:pt x="8550" y="3751"/>
                                </a:lnTo>
                                <a:close/>
                                <a:moveTo>
                                  <a:pt x="8885" y="3510"/>
                                </a:moveTo>
                                <a:lnTo>
                                  <a:pt x="4381" y="3510"/>
                                </a:lnTo>
                                <a:lnTo>
                                  <a:pt x="4381" y="3691"/>
                                </a:lnTo>
                                <a:lnTo>
                                  <a:pt x="8885" y="3691"/>
                                </a:lnTo>
                                <a:lnTo>
                                  <a:pt x="8885" y="35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8"/>
                        <wps:cNvSpPr txBox="1">
                          <a:spLocks noChangeArrowheads="1"/>
                        </wps:cNvSpPr>
                        <wps:spPr bwMode="auto">
                          <a:xfrm>
                            <a:off x="4412" y="820"/>
                            <a:ext cx="4743" cy="1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8261D" w14:textId="77777777" w:rsidR="00616601" w:rsidRDefault="00616601" w:rsidP="00716715">
                              <w:pPr>
                                <w:spacing w:line="242" w:lineRule="auto"/>
                                <w:ind w:left="629"/>
                                <w:rPr>
                                  <w:spacing w:val="-1"/>
                                  <w:sz w:val="13"/>
                                </w:rPr>
                              </w:pPr>
                              <w:r>
                                <w:rPr>
                                  <w:sz w:val="13"/>
                                </w:rPr>
                                <w:t>Rivaroxaban 2,5 mg to gange dagligt</w:t>
                              </w:r>
                              <w:r>
                                <w:rPr>
                                  <w:spacing w:val="34"/>
                                  <w:sz w:val="13"/>
                                </w:rPr>
                                <w:t xml:space="preserve"> </w:t>
                              </w:r>
                              <w:r>
                                <w:rPr>
                                  <w:sz w:val="13"/>
                                </w:rPr>
                                <w:t>+ ASA 100 mg</w:t>
                              </w:r>
                              <w:r>
                                <w:rPr>
                                  <w:spacing w:val="-1"/>
                                  <w:sz w:val="13"/>
                                </w:rPr>
                                <w:t xml:space="preserve"> </w:t>
                              </w:r>
                              <w:r>
                                <w:rPr>
                                  <w:sz w:val="13"/>
                                </w:rPr>
                                <w:t>én</w:t>
                              </w:r>
                              <w:r>
                                <w:rPr>
                                  <w:spacing w:val="-1"/>
                                  <w:sz w:val="13"/>
                                </w:rPr>
                                <w:t xml:space="preserve"> </w:t>
                              </w:r>
                              <w:r>
                                <w:rPr>
                                  <w:sz w:val="13"/>
                                </w:rPr>
                                <w:t>gang</w:t>
                              </w:r>
                              <w:r>
                                <w:rPr>
                                  <w:spacing w:val="-1"/>
                                  <w:sz w:val="13"/>
                                </w:rPr>
                                <w:t xml:space="preserve"> dagligt</w:t>
                              </w:r>
                            </w:p>
                            <w:p w14:paraId="151AFF2E" w14:textId="77777777" w:rsidR="00616601" w:rsidRDefault="00616601" w:rsidP="00716715">
                              <w:pPr>
                                <w:spacing w:line="242" w:lineRule="auto"/>
                                <w:ind w:left="629"/>
                                <w:rPr>
                                  <w:sz w:val="13"/>
                                </w:rPr>
                              </w:pPr>
                              <w:r>
                                <w:rPr>
                                  <w:sz w:val="13"/>
                                </w:rPr>
                                <w:t>ASA 100 mg én gang dagligt</w:t>
                              </w:r>
                            </w:p>
                            <w:p w14:paraId="47BC369E" w14:textId="77777777" w:rsidR="00616601" w:rsidRDefault="00616601" w:rsidP="00716715">
                              <w:pPr>
                                <w:spacing w:before="5"/>
                                <w:rPr>
                                  <w:sz w:val="13"/>
                                </w:rPr>
                              </w:pPr>
                            </w:p>
                            <w:p w14:paraId="1A881A00" w14:textId="77777777" w:rsidR="00616601" w:rsidRDefault="00616601" w:rsidP="00716715">
                              <w:pPr>
                                <w:rPr>
                                  <w:sz w:val="13"/>
                                </w:rPr>
                              </w:pPr>
                              <w:r>
                                <w:rPr>
                                  <w:sz w:val="13"/>
                                </w:rPr>
                                <w:t>Kaplan-Meier-estimater</w:t>
                              </w:r>
                              <w:r>
                                <w:rPr>
                                  <w:spacing w:val="1"/>
                                  <w:sz w:val="13"/>
                                </w:rPr>
                                <w:t xml:space="preserve"> </w:t>
                              </w:r>
                              <w:r>
                                <w:rPr>
                                  <w:sz w:val="13"/>
                                </w:rPr>
                                <w:t>(%)</w:t>
                              </w:r>
                              <w:r>
                                <w:rPr>
                                  <w:spacing w:val="1"/>
                                  <w:sz w:val="13"/>
                                </w:rPr>
                                <w:t xml:space="preserve"> </w:t>
                              </w:r>
                              <w:r>
                                <w:rPr>
                                  <w:sz w:val="13"/>
                                </w:rPr>
                                <w:t>efter 30</w:t>
                              </w:r>
                              <w:r>
                                <w:rPr>
                                  <w:spacing w:val="2"/>
                                  <w:sz w:val="13"/>
                                </w:rPr>
                                <w:t xml:space="preserve"> </w:t>
                              </w:r>
                              <w:r>
                                <w:rPr>
                                  <w:spacing w:val="-2"/>
                                  <w:sz w:val="13"/>
                                </w:rPr>
                                <w:t>måneder:</w:t>
                              </w:r>
                            </w:p>
                            <w:p w14:paraId="725A3A3A" w14:textId="77777777" w:rsidR="00616601" w:rsidRDefault="00616601" w:rsidP="00716715">
                              <w:pPr>
                                <w:spacing w:before="2" w:line="244" w:lineRule="auto"/>
                                <w:ind w:right="19"/>
                                <w:rPr>
                                  <w:sz w:val="13"/>
                                </w:rPr>
                              </w:pPr>
                              <w:r>
                                <w:rPr>
                                  <w:sz w:val="13"/>
                                </w:rPr>
                                <w:t>Rivaroxaban 2,5 mg to gange dagligt + ASA 100 mg én</w:t>
                              </w:r>
                              <w:r>
                                <w:rPr>
                                  <w:spacing w:val="-1"/>
                                  <w:sz w:val="13"/>
                                </w:rPr>
                                <w:t xml:space="preserve"> </w:t>
                              </w:r>
                              <w:r>
                                <w:rPr>
                                  <w:sz w:val="13"/>
                                </w:rPr>
                                <w:t>gang dagligt: 5,2 (4,7 -</w:t>
                              </w:r>
                              <w:r>
                                <w:rPr>
                                  <w:spacing w:val="40"/>
                                  <w:sz w:val="13"/>
                                </w:rPr>
                                <w:t xml:space="preserve"> </w:t>
                              </w:r>
                              <w:r>
                                <w:rPr>
                                  <w:spacing w:val="-4"/>
                                  <w:sz w:val="13"/>
                                </w:rPr>
                                <w:t>5,8)</w:t>
                              </w:r>
                            </w:p>
                            <w:p w14:paraId="0A78C72C" w14:textId="77777777" w:rsidR="00616601" w:rsidRDefault="00616601" w:rsidP="00716715">
                              <w:pPr>
                                <w:rPr>
                                  <w:sz w:val="13"/>
                                </w:rPr>
                              </w:pPr>
                              <w:r>
                                <w:rPr>
                                  <w:sz w:val="13"/>
                                </w:rPr>
                                <w:t>ASA 100</w:t>
                              </w:r>
                              <w:r>
                                <w:rPr>
                                  <w:spacing w:val="-1"/>
                                  <w:sz w:val="13"/>
                                </w:rPr>
                                <w:t xml:space="preserve"> </w:t>
                              </w:r>
                              <w:r>
                                <w:rPr>
                                  <w:sz w:val="13"/>
                                </w:rPr>
                                <w:t>mg</w:t>
                              </w:r>
                              <w:r>
                                <w:rPr>
                                  <w:spacing w:val="2"/>
                                  <w:sz w:val="13"/>
                                </w:rPr>
                                <w:t xml:space="preserve"> </w:t>
                              </w:r>
                              <w:r>
                                <w:rPr>
                                  <w:sz w:val="13"/>
                                </w:rPr>
                                <w:t>én</w:t>
                              </w:r>
                              <w:r>
                                <w:rPr>
                                  <w:spacing w:val="1"/>
                                  <w:sz w:val="13"/>
                                </w:rPr>
                                <w:t xml:space="preserve"> </w:t>
                              </w:r>
                              <w:r>
                                <w:rPr>
                                  <w:sz w:val="13"/>
                                </w:rPr>
                                <w:t>gang</w:t>
                              </w:r>
                              <w:r>
                                <w:rPr>
                                  <w:spacing w:val="-1"/>
                                  <w:sz w:val="13"/>
                                </w:rPr>
                                <w:t xml:space="preserve"> </w:t>
                              </w:r>
                              <w:r>
                                <w:rPr>
                                  <w:sz w:val="13"/>
                                </w:rPr>
                                <w:t>dagligt:</w:t>
                              </w:r>
                              <w:r>
                                <w:rPr>
                                  <w:spacing w:val="1"/>
                                  <w:sz w:val="13"/>
                                </w:rPr>
                                <w:t xml:space="preserve"> </w:t>
                              </w:r>
                              <w:r>
                                <w:rPr>
                                  <w:sz w:val="13"/>
                                </w:rPr>
                                <w:t>7,2</w:t>
                              </w:r>
                              <w:r>
                                <w:rPr>
                                  <w:spacing w:val="1"/>
                                  <w:sz w:val="13"/>
                                </w:rPr>
                                <w:t xml:space="preserve"> </w:t>
                              </w:r>
                              <w:r>
                                <w:rPr>
                                  <w:sz w:val="13"/>
                                </w:rPr>
                                <w:t>(6,5</w:t>
                              </w:r>
                              <w:r>
                                <w:rPr>
                                  <w:spacing w:val="1"/>
                                  <w:sz w:val="13"/>
                                </w:rPr>
                                <w:t xml:space="preserve"> </w:t>
                              </w:r>
                              <w:r>
                                <w:rPr>
                                  <w:sz w:val="13"/>
                                </w:rPr>
                                <w:t>-</w:t>
                              </w:r>
                              <w:r>
                                <w:rPr>
                                  <w:spacing w:val="1"/>
                                  <w:sz w:val="13"/>
                                </w:rPr>
                                <w:t xml:space="preserve"> </w:t>
                              </w:r>
                              <w:r>
                                <w:rPr>
                                  <w:spacing w:val="-4"/>
                                  <w:sz w:val="13"/>
                                </w:rPr>
                                <w:t>7,9)</w:t>
                              </w:r>
                            </w:p>
                          </w:txbxContent>
                        </wps:txbx>
                        <wps:bodyPr rot="0" vert="horz" wrap="square" lIns="0" tIns="0" rIns="0" bIns="0" anchor="t" anchorCtr="0" upright="1">
                          <a:noAutofit/>
                        </wps:bodyPr>
                      </wps:wsp>
                      <wps:wsp>
                        <wps:cNvPr id="10" name="docshape19"/>
                        <wps:cNvSpPr txBox="1">
                          <a:spLocks noChangeArrowheads="1"/>
                        </wps:cNvSpPr>
                        <wps:spPr bwMode="auto">
                          <a:xfrm>
                            <a:off x="6062" y="4351"/>
                            <a:ext cx="1679"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AEF05" w14:textId="77777777" w:rsidR="00616601" w:rsidRDefault="00616601" w:rsidP="00716715">
                              <w:pPr>
                                <w:spacing w:line="146" w:lineRule="exact"/>
                                <w:rPr>
                                  <w:sz w:val="13"/>
                                </w:rPr>
                              </w:pPr>
                              <w:r>
                                <w:rPr>
                                  <w:spacing w:val="-2"/>
                                  <w:sz w:val="13"/>
                                </w:rPr>
                                <w:t>Sammenligning</w:t>
                              </w:r>
                            </w:p>
                          </w:txbxContent>
                        </wps:txbx>
                        <wps:bodyPr rot="0" vert="horz" wrap="square" lIns="0" tIns="0" rIns="0" bIns="0" anchor="t" anchorCtr="0" upright="1">
                          <a:noAutofit/>
                        </wps:bodyPr>
                      </wps:wsp>
                      <wps:wsp>
                        <wps:cNvPr id="11" name="docshape20"/>
                        <wps:cNvSpPr txBox="1">
                          <a:spLocks noChangeArrowheads="1"/>
                        </wps:cNvSpPr>
                        <wps:spPr bwMode="auto">
                          <a:xfrm>
                            <a:off x="8996" y="4330"/>
                            <a:ext cx="1255" cy="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4F43D" w14:textId="77777777" w:rsidR="00616601" w:rsidRDefault="00616601" w:rsidP="00716715">
                              <w:pPr>
                                <w:spacing w:line="146" w:lineRule="exact"/>
                                <w:rPr>
                                  <w:sz w:val="13"/>
                                </w:rPr>
                              </w:pPr>
                              <w:r>
                                <w:rPr>
                                  <w:i/>
                                  <w:sz w:val="13"/>
                                </w:rPr>
                                <w:t>Hazard</w:t>
                              </w:r>
                              <w:r>
                                <w:rPr>
                                  <w:i/>
                                  <w:spacing w:val="-1"/>
                                  <w:sz w:val="13"/>
                                </w:rPr>
                                <w:t xml:space="preserve"> </w:t>
                              </w:r>
                              <w:r>
                                <w:rPr>
                                  <w:sz w:val="13"/>
                                </w:rPr>
                                <w:t>ratio</w:t>
                              </w:r>
                              <w:r>
                                <w:rPr>
                                  <w:spacing w:val="2"/>
                                  <w:sz w:val="13"/>
                                </w:rPr>
                                <w:t xml:space="preserve"> </w:t>
                              </w:r>
                              <w:r>
                                <w:rPr>
                                  <w:sz w:val="13"/>
                                </w:rPr>
                                <w:t>(95 %</w:t>
                              </w:r>
                              <w:r>
                                <w:rPr>
                                  <w:spacing w:val="1"/>
                                  <w:sz w:val="13"/>
                                </w:rPr>
                                <w:t xml:space="preserve"> </w:t>
                              </w:r>
                              <w:r>
                                <w:rPr>
                                  <w:spacing w:val="-5"/>
                                  <w:sz w:val="13"/>
                                </w:rPr>
                                <w:t>KI)</w:t>
                              </w:r>
                            </w:p>
                          </w:txbxContent>
                        </wps:txbx>
                        <wps:bodyPr rot="0" vert="horz" wrap="square" lIns="0" tIns="0" rIns="0" bIns="0" anchor="t" anchorCtr="0" upright="1">
                          <a:noAutofit/>
                        </wps:bodyPr>
                      </wps:wsp>
                      <wps:wsp>
                        <wps:cNvPr id="12" name="docshape21"/>
                        <wps:cNvSpPr txBox="1">
                          <a:spLocks noChangeArrowheads="1"/>
                        </wps:cNvSpPr>
                        <wps:spPr bwMode="auto">
                          <a:xfrm>
                            <a:off x="6085" y="4542"/>
                            <a:ext cx="393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24505" w14:textId="77777777" w:rsidR="00616601" w:rsidRDefault="00616601" w:rsidP="00716715">
                              <w:pPr>
                                <w:spacing w:before="10" w:line="204" w:lineRule="auto"/>
                                <w:rPr>
                                  <w:sz w:val="13"/>
                                </w:rPr>
                              </w:pPr>
                              <w:r>
                                <w:rPr>
                                  <w:sz w:val="13"/>
                                </w:rPr>
                                <w:t>Rivaroxaban 2,5 mg to gange dagligt + ASA 100 mg én</w:t>
                              </w:r>
                              <w:r>
                                <w:rPr>
                                  <w:spacing w:val="34"/>
                                  <w:sz w:val="13"/>
                                </w:rPr>
                                <w:t xml:space="preserve"> </w:t>
                              </w:r>
                              <w:r>
                                <w:rPr>
                                  <w:position w:val="-2"/>
                                  <w:sz w:val="13"/>
                                </w:rPr>
                                <w:t>0,76 (0,66 –</w:t>
                              </w:r>
                              <w:r>
                                <w:rPr>
                                  <w:spacing w:val="-2"/>
                                  <w:position w:val="-2"/>
                                  <w:sz w:val="13"/>
                                </w:rPr>
                                <w:t xml:space="preserve"> </w:t>
                              </w:r>
                              <w:r>
                                <w:rPr>
                                  <w:position w:val="-2"/>
                                  <w:sz w:val="13"/>
                                </w:rPr>
                                <w:t>0,86</w:t>
                              </w:r>
                              <w:r>
                                <w:rPr>
                                  <w:spacing w:val="40"/>
                                  <w:position w:val="-2"/>
                                  <w:sz w:val="13"/>
                                </w:rPr>
                                <w:t xml:space="preserve"> </w:t>
                              </w:r>
                              <w:r>
                                <w:rPr>
                                  <w:sz w:val="13"/>
                                </w:rPr>
                                <w:t xml:space="preserve">gang dagligt </w:t>
                              </w:r>
                              <w:r>
                                <w:rPr>
                                  <w:i/>
                                  <w:sz w:val="13"/>
                                </w:rPr>
                                <w:t xml:space="preserve">vs. </w:t>
                              </w:r>
                              <w:r>
                                <w:rPr>
                                  <w:sz w:val="13"/>
                                </w:rPr>
                                <w:t>ASA 100 mg én gang dagligt</w:t>
                              </w:r>
                            </w:p>
                          </w:txbxContent>
                        </wps:txbx>
                        <wps:bodyPr rot="0" vert="horz" wrap="square" lIns="0" tIns="0" rIns="0" bIns="0" anchor="t" anchorCtr="0" upright="1">
                          <a:noAutofit/>
                        </wps:bodyPr>
                      </wps:wsp>
                      <wps:wsp>
                        <wps:cNvPr id="13" name="docshape22"/>
                        <wps:cNvSpPr txBox="1">
                          <a:spLocks noChangeArrowheads="1"/>
                        </wps:cNvSpPr>
                        <wps:spPr bwMode="auto">
                          <a:xfrm>
                            <a:off x="1778" y="5292"/>
                            <a:ext cx="445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ABD9A" w14:textId="77777777" w:rsidR="00616601" w:rsidRDefault="00616601" w:rsidP="00716715">
                              <w:pPr>
                                <w:tabs>
                                  <w:tab w:val="left" w:pos="4433"/>
                                </w:tabs>
                                <w:spacing w:line="146" w:lineRule="exact"/>
                                <w:ind w:left="2544"/>
                                <w:rPr>
                                  <w:sz w:val="13"/>
                                </w:rPr>
                              </w:pPr>
                              <w:r>
                                <w:rPr>
                                  <w:sz w:val="13"/>
                                  <w:shd w:val="clear" w:color="auto" w:fill="FFFFFF"/>
                                </w:rPr>
                                <w:t xml:space="preserve">Antal patienter i </w:t>
                              </w:r>
                              <w:r>
                                <w:rPr>
                                  <w:spacing w:val="-2"/>
                                  <w:sz w:val="13"/>
                                  <w:shd w:val="clear" w:color="auto" w:fill="FFFFFF"/>
                                </w:rPr>
                                <w:t>risiko</w:t>
                              </w:r>
                              <w:r>
                                <w:rPr>
                                  <w:sz w:val="13"/>
                                  <w:shd w:val="clear" w:color="auto" w:fill="FFFFFF"/>
                                </w:rPr>
                                <w:tab/>
                              </w:r>
                            </w:p>
                            <w:p w14:paraId="2B188028" w14:textId="77777777" w:rsidR="00616601" w:rsidRDefault="00616601" w:rsidP="00716715">
                              <w:pPr>
                                <w:spacing w:before="43"/>
                                <w:rPr>
                                  <w:sz w:val="11"/>
                                </w:rPr>
                              </w:pPr>
                              <w:r>
                                <w:rPr>
                                  <w:sz w:val="11"/>
                                </w:rPr>
                                <w:t>Rivaroxaban</w:t>
                              </w:r>
                              <w:r>
                                <w:rPr>
                                  <w:spacing w:val="2"/>
                                  <w:sz w:val="11"/>
                                </w:rPr>
                                <w:t xml:space="preserve"> </w:t>
                              </w:r>
                              <w:r>
                                <w:rPr>
                                  <w:sz w:val="11"/>
                                </w:rPr>
                                <w:t>2,5</w:t>
                              </w:r>
                              <w:r>
                                <w:rPr>
                                  <w:spacing w:val="3"/>
                                  <w:sz w:val="11"/>
                                </w:rPr>
                                <w:t xml:space="preserve"> </w:t>
                              </w:r>
                              <w:r>
                                <w:rPr>
                                  <w:sz w:val="11"/>
                                </w:rPr>
                                <w:t>mg</w:t>
                              </w:r>
                              <w:r>
                                <w:rPr>
                                  <w:spacing w:val="2"/>
                                  <w:sz w:val="11"/>
                                </w:rPr>
                                <w:t xml:space="preserve"> </w:t>
                              </w:r>
                              <w:r>
                                <w:rPr>
                                  <w:sz w:val="11"/>
                                </w:rPr>
                                <w:t>to</w:t>
                              </w:r>
                              <w:r>
                                <w:rPr>
                                  <w:spacing w:val="2"/>
                                  <w:sz w:val="11"/>
                                </w:rPr>
                                <w:t xml:space="preserve"> </w:t>
                              </w:r>
                              <w:r>
                                <w:rPr>
                                  <w:sz w:val="11"/>
                                </w:rPr>
                                <w:t>gange</w:t>
                              </w:r>
                              <w:r>
                                <w:rPr>
                                  <w:spacing w:val="2"/>
                                  <w:sz w:val="11"/>
                                </w:rPr>
                                <w:t xml:space="preserve"> </w:t>
                              </w:r>
                              <w:r>
                                <w:rPr>
                                  <w:sz w:val="11"/>
                                </w:rPr>
                                <w:t>dagligt</w:t>
                              </w:r>
                              <w:r>
                                <w:rPr>
                                  <w:spacing w:val="4"/>
                                  <w:sz w:val="11"/>
                                </w:rPr>
                                <w:t xml:space="preserve"> </w:t>
                              </w:r>
                              <w:r>
                                <w:rPr>
                                  <w:sz w:val="11"/>
                                </w:rPr>
                                <w:t>+</w:t>
                              </w:r>
                              <w:r>
                                <w:rPr>
                                  <w:spacing w:val="2"/>
                                  <w:sz w:val="11"/>
                                </w:rPr>
                                <w:t xml:space="preserve"> </w:t>
                              </w:r>
                              <w:r>
                                <w:rPr>
                                  <w:sz w:val="11"/>
                                </w:rPr>
                                <w:t>ASA</w:t>
                              </w:r>
                              <w:r>
                                <w:rPr>
                                  <w:spacing w:val="2"/>
                                  <w:sz w:val="11"/>
                                </w:rPr>
                                <w:t xml:space="preserve"> </w:t>
                              </w:r>
                              <w:r>
                                <w:rPr>
                                  <w:sz w:val="11"/>
                                </w:rPr>
                                <w:t>100</w:t>
                              </w:r>
                              <w:r>
                                <w:rPr>
                                  <w:spacing w:val="3"/>
                                  <w:sz w:val="11"/>
                                </w:rPr>
                                <w:t xml:space="preserve"> </w:t>
                              </w:r>
                              <w:r>
                                <w:rPr>
                                  <w:sz w:val="11"/>
                                </w:rPr>
                                <w:t>mg</w:t>
                              </w:r>
                              <w:r>
                                <w:rPr>
                                  <w:spacing w:val="2"/>
                                  <w:sz w:val="11"/>
                                </w:rPr>
                                <w:t xml:space="preserve"> </w:t>
                              </w:r>
                              <w:r>
                                <w:rPr>
                                  <w:sz w:val="11"/>
                                </w:rPr>
                                <w:t>én</w:t>
                              </w:r>
                              <w:r>
                                <w:rPr>
                                  <w:spacing w:val="2"/>
                                  <w:sz w:val="11"/>
                                </w:rPr>
                                <w:t xml:space="preserve"> </w:t>
                              </w:r>
                              <w:r>
                                <w:rPr>
                                  <w:sz w:val="11"/>
                                </w:rPr>
                                <w:t>gang</w:t>
                              </w:r>
                              <w:r>
                                <w:rPr>
                                  <w:spacing w:val="2"/>
                                  <w:sz w:val="11"/>
                                </w:rPr>
                                <w:t xml:space="preserve"> </w:t>
                              </w:r>
                              <w:r>
                                <w:rPr>
                                  <w:spacing w:val="-2"/>
                                  <w:sz w:val="11"/>
                                </w:rPr>
                                <w:t>dagligt</w:t>
                              </w:r>
                            </w:p>
                            <w:p w14:paraId="65F955BF" w14:textId="77777777" w:rsidR="00616601" w:rsidRDefault="00616601" w:rsidP="00716715">
                              <w:pPr>
                                <w:spacing w:before="6"/>
                                <w:rPr>
                                  <w:sz w:val="11"/>
                                </w:rPr>
                              </w:pPr>
                            </w:p>
                            <w:p w14:paraId="295B6AB6" w14:textId="77777777" w:rsidR="00616601" w:rsidRDefault="00616601" w:rsidP="00716715">
                              <w:pPr>
                                <w:ind w:left="1793"/>
                                <w:rPr>
                                  <w:sz w:val="11"/>
                                </w:rPr>
                              </w:pPr>
                              <w:r>
                                <w:rPr>
                                  <w:sz w:val="11"/>
                                </w:rPr>
                                <w:t>ASA</w:t>
                              </w:r>
                              <w:r>
                                <w:rPr>
                                  <w:spacing w:val="3"/>
                                  <w:sz w:val="11"/>
                                </w:rPr>
                                <w:t xml:space="preserve"> </w:t>
                              </w:r>
                              <w:r>
                                <w:rPr>
                                  <w:sz w:val="11"/>
                                </w:rPr>
                                <w:t>100</w:t>
                              </w:r>
                              <w:r>
                                <w:rPr>
                                  <w:spacing w:val="2"/>
                                  <w:sz w:val="11"/>
                                </w:rPr>
                                <w:t xml:space="preserve"> </w:t>
                              </w:r>
                              <w:r>
                                <w:rPr>
                                  <w:sz w:val="11"/>
                                </w:rPr>
                                <w:t>mg</w:t>
                              </w:r>
                              <w:r>
                                <w:rPr>
                                  <w:spacing w:val="2"/>
                                  <w:sz w:val="11"/>
                                </w:rPr>
                                <w:t xml:space="preserve"> </w:t>
                              </w:r>
                              <w:r>
                                <w:rPr>
                                  <w:sz w:val="11"/>
                                </w:rPr>
                                <w:t>én</w:t>
                              </w:r>
                              <w:r>
                                <w:rPr>
                                  <w:spacing w:val="2"/>
                                  <w:sz w:val="11"/>
                                </w:rPr>
                                <w:t xml:space="preserve"> </w:t>
                              </w:r>
                              <w:r>
                                <w:rPr>
                                  <w:sz w:val="11"/>
                                </w:rPr>
                                <w:t>gang</w:t>
                              </w:r>
                              <w:r>
                                <w:rPr>
                                  <w:spacing w:val="2"/>
                                  <w:sz w:val="11"/>
                                </w:rPr>
                                <w:t xml:space="preserve"> </w:t>
                              </w:r>
                              <w:r>
                                <w:rPr>
                                  <w:spacing w:val="-2"/>
                                  <w:sz w:val="11"/>
                                </w:rPr>
                                <w:t>dagligt</w:t>
                              </w:r>
                            </w:p>
                          </w:txbxContent>
                        </wps:txbx>
                        <wps:bodyPr rot="0" vert="horz" wrap="square" lIns="0" tIns="0" rIns="0" bIns="0" anchor="t" anchorCtr="0" upright="1">
                          <a:noAutofit/>
                        </wps:bodyPr>
                      </wps:wsp>
                      <wps:wsp>
                        <wps:cNvPr id="14" name="docshape23"/>
                        <wps:cNvSpPr txBox="1">
                          <a:spLocks noChangeArrowheads="1"/>
                        </wps:cNvSpPr>
                        <wps:spPr bwMode="auto">
                          <a:xfrm>
                            <a:off x="6441" y="5149"/>
                            <a:ext cx="1779"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4365B" w14:textId="77777777" w:rsidR="00616601" w:rsidRDefault="00616601" w:rsidP="00716715">
                              <w:pPr>
                                <w:spacing w:before="1"/>
                                <w:rPr>
                                  <w:sz w:val="13"/>
                                </w:rPr>
                              </w:pPr>
                              <w:r>
                                <w:rPr>
                                  <w:sz w:val="13"/>
                                </w:rPr>
                                <w:t>Dage fra</w:t>
                              </w:r>
                              <w:r>
                                <w:rPr>
                                  <w:spacing w:val="1"/>
                                  <w:sz w:val="13"/>
                                </w:rPr>
                                <w:t xml:space="preserve"> </w:t>
                              </w:r>
                              <w:r>
                                <w:rPr>
                                  <w:spacing w:val="-2"/>
                                  <w:sz w:val="13"/>
                                </w:rPr>
                                <w:t>randomisering</w:t>
                              </w:r>
                            </w:p>
                          </w:txbxContent>
                        </wps:txbx>
                        <wps:bodyPr rot="0" vert="horz" wrap="square" lIns="0" tIns="0" rIns="0" bIns="0" anchor="t" anchorCtr="0" upright="1">
                          <a:noAutofit/>
                        </wps:bodyPr>
                      </wps:wsp>
                    </wpg:wgp>
                  </a:graphicData>
                </a:graphic>
              </wp:inline>
            </w:drawing>
          </mc:Choice>
          <mc:Fallback>
            <w:pict>
              <v:group w14:anchorId="22135C03" id="Gruppieren 6" o:spid="_x0000_s1027" style="width:444.25pt;height:259.05pt;mso-position-horizontal-relative:char;mso-position-vertical-relative:line" coordorigin="1681,764" coordsize="8885,51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28" type="#_x0000_t75" style="position:absolute;left:1949;top:764;width:8169;height:5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">
                  <v:imagedata r:id="rId12" o:title=""/>
                </v:shape>
                <v:shape id="docshape17" o:spid="_x0000_s1029" style="position:absolute;left:1681;top:815;width:8885;height:5130;visibility:visible;mso-wrap-style:square;v-text-anchor:top" coordsize="8885,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" path="m533,1245r-212,l321,3278r212,l533,1245xm3211,4664l,4664r,466l3211,5130r,-466xm7114,400r-4389,l2725,1142r4389,l7114,400xm7361,3723r-2956,l4405,4034r2956,l7361,3723xm7651,l3361,r,352l7651,352,7651,xm8550,3751r-1133,l7417,4016r1133,l8550,3751xm8885,3510r-4504,l4381,3691r4504,l8885,3510xe" stroked="f">
                  <v:path arrowok="t" o:connecttype="custom" o:connectlocs="533,2061;321,2061;321,4094;533,4094;533,2061;3211,5480;0,5480;0,5946;3211,5946;3211,5480;7114,1216;2725,1216;2725,1958;7114,1958;7114,1216;7361,4539;4405,4539;4405,4850;7361,4850;7361,4539;7651,816;3361,816;3361,1168;7651,1168;7651,816;8550,4567;7417,4567;7417,4832;8550,4832;8550,4567;8885,4326;4381,4326;4381,4507;8885,4507;8885,4326" o:connectangles="0,0,0,0,0,0,0,0,0,0,0,0,0,0,0,0,0,0,0,0,0,0,0,0,0,0,0,0,0,0,0,0,0,0,0"/>
                </v:shape>
                <v:shape id="docshape18" o:spid="_x0000_s1030" type="#_x0000_t202" style="position:absolute;left:4412;top:820;width:4743;height:1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038261D" w14:textId="77777777" w:rsidR="00616601" w:rsidRDefault="00616601" w:rsidP="00716715">
                        <w:pPr>
                          <w:spacing w:line="242" w:lineRule="auto"/>
                          <w:ind w:left="629"/>
                          <w:rPr>
                            <w:spacing w:val="-1"/>
                            <w:sz w:val="13"/>
                          </w:rPr>
                        </w:pPr>
                        <w:r>
                          <w:rPr>
                            <w:sz w:val="13"/>
                          </w:rPr>
                          <w:t>Rivaroxaban 2,5 mg to gange dagligt</w:t>
                        </w:r>
                        <w:r>
                          <w:rPr>
                            <w:spacing w:val="34"/>
                            <w:sz w:val="13"/>
                          </w:rPr>
                          <w:t xml:space="preserve"> </w:t>
                        </w:r>
                        <w:r>
                          <w:rPr>
                            <w:sz w:val="13"/>
                          </w:rPr>
                          <w:t>+ ASA 100 mg</w:t>
                        </w:r>
                        <w:r>
                          <w:rPr>
                            <w:spacing w:val="-1"/>
                            <w:sz w:val="13"/>
                          </w:rPr>
                          <w:t xml:space="preserve"> </w:t>
                        </w:r>
                        <w:r>
                          <w:rPr>
                            <w:sz w:val="13"/>
                          </w:rPr>
                          <w:t>én</w:t>
                        </w:r>
                        <w:r>
                          <w:rPr>
                            <w:spacing w:val="-1"/>
                            <w:sz w:val="13"/>
                          </w:rPr>
                          <w:t xml:space="preserve"> </w:t>
                        </w:r>
                        <w:r>
                          <w:rPr>
                            <w:sz w:val="13"/>
                          </w:rPr>
                          <w:t>gang</w:t>
                        </w:r>
                        <w:r>
                          <w:rPr>
                            <w:spacing w:val="-1"/>
                            <w:sz w:val="13"/>
                          </w:rPr>
                          <w:t xml:space="preserve"> dagligt</w:t>
                        </w:r>
                      </w:p>
                      <w:p w14:paraId="151AFF2E" w14:textId="77777777" w:rsidR="00616601" w:rsidRDefault="00616601" w:rsidP="00716715">
                        <w:pPr>
                          <w:spacing w:line="242" w:lineRule="auto"/>
                          <w:ind w:left="629"/>
                          <w:rPr>
                            <w:sz w:val="13"/>
                          </w:rPr>
                        </w:pPr>
                        <w:r>
                          <w:rPr>
                            <w:sz w:val="13"/>
                          </w:rPr>
                          <w:t>ASA 100 mg én gang dagligt</w:t>
                        </w:r>
                      </w:p>
                      <w:p w14:paraId="47BC369E" w14:textId="77777777" w:rsidR="00616601" w:rsidRDefault="00616601" w:rsidP="00716715">
                        <w:pPr>
                          <w:spacing w:before="5"/>
                          <w:rPr>
                            <w:sz w:val="13"/>
                          </w:rPr>
                        </w:pPr>
                      </w:p>
                      <w:p w14:paraId="1A881A00" w14:textId="77777777" w:rsidR="00616601" w:rsidRDefault="00616601" w:rsidP="00716715">
                        <w:pPr>
                          <w:rPr>
                            <w:sz w:val="13"/>
                          </w:rPr>
                        </w:pPr>
                        <w:r>
                          <w:rPr>
                            <w:sz w:val="13"/>
                          </w:rPr>
                          <w:t>Kaplan-Meier-estimater</w:t>
                        </w:r>
                        <w:r>
                          <w:rPr>
                            <w:spacing w:val="1"/>
                            <w:sz w:val="13"/>
                          </w:rPr>
                          <w:t xml:space="preserve"> </w:t>
                        </w:r>
                        <w:r>
                          <w:rPr>
                            <w:sz w:val="13"/>
                          </w:rPr>
                          <w:t>(%)</w:t>
                        </w:r>
                        <w:r>
                          <w:rPr>
                            <w:spacing w:val="1"/>
                            <w:sz w:val="13"/>
                          </w:rPr>
                          <w:t xml:space="preserve"> </w:t>
                        </w:r>
                        <w:r>
                          <w:rPr>
                            <w:sz w:val="13"/>
                          </w:rPr>
                          <w:t>efter 30</w:t>
                        </w:r>
                        <w:r>
                          <w:rPr>
                            <w:spacing w:val="2"/>
                            <w:sz w:val="13"/>
                          </w:rPr>
                          <w:t xml:space="preserve"> </w:t>
                        </w:r>
                        <w:r>
                          <w:rPr>
                            <w:spacing w:val="-2"/>
                            <w:sz w:val="13"/>
                          </w:rPr>
                          <w:t>måneder:</w:t>
                        </w:r>
                      </w:p>
                      <w:p w14:paraId="725A3A3A" w14:textId="77777777" w:rsidR="00616601" w:rsidRDefault="00616601" w:rsidP="00716715">
                        <w:pPr>
                          <w:spacing w:before="2" w:line="244" w:lineRule="auto"/>
                          <w:ind w:right="19"/>
                          <w:rPr>
                            <w:sz w:val="13"/>
                          </w:rPr>
                        </w:pPr>
                        <w:r>
                          <w:rPr>
                            <w:sz w:val="13"/>
                          </w:rPr>
                          <w:t>Rivaroxaban 2,5 mg to gange dagligt + ASA 100 mg én</w:t>
                        </w:r>
                        <w:r>
                          <w:rPr>
                            <w:spacing w:val="-1"/>
                            <w:sz w:val="13"/>
                          </w:rPr>
                          <w:t xml:space="preserve"> </w:t>
                        </w:r>
                        <w:r>
                          <w:rPr>
                            <w:sz w:val="13"/>
                          </w:rPr>
                          <w:t>gang dagligt: 5,2 (4,7 -</w:t>
                        </w:r>
                        <w:r>
                          <w:rPr>
                            <w:spacing w:val="40"/>
                            <w:sz w:val="13"/>
                          </w:rPr>
                          <w:t xml:space="preserve"> </w:t>
                        </w:r>
                        <w:r>
                          <w:rPr>
                            <w:spacing w:val="-4"/>
                            <w:sz w:val="13"/>
                          </w:rPr>
                          <w:t>5,8)</w:t>
                        </w:r>
                      </w:p>
                      <w:p w14:paraId="0A78C72C" w14:textId="77777777" w:rsidR="00616601" w:rsidRDefault="00616601" w:rsidP="00716715">
                        <w:pPr>
                          <w:rPr>
                            <w:sz w:val="13"/>
                          </w:rPr>
                        </w:pPr>
                        <w:r>
                          <w:rPr>
                            <w:sz w:val="13"/>
                          </w:rPr>
                          <w:t>ASA 100</w:t>
                        </w:r>
                        <w:r>
                          <w:rPr>
                            <w:spacing w:val="-1"/>
                            <w:sz w:val="13"/>
                          </w:rPr>
                          <w:t xml:space="preserve"> </w:t>
                        </w:r>
                        <w:r>
                          <w:rPr>
                            <w:sz w:val="13"/>
                          </w:rPr>
                          <w:t>mg</w:t>
                        </w:r>
                        <w:r>
                          <w:rPr>
                            <w:spacing w:val="2"/>
                            <w:sz w:val="13"/>
                          </w:rPr>
                          <w:t xml:space="preserve"> </w:t>
                        </w:r>
                        <w:r>
                          <w:rPr>
                            <w:sz w:val="13"/>
                          </w:rPr>
                          <w:t>én</w:t>
                        </w:r>
                        <w:r>
                          <w:rPr>
                            <w:spacing w:val="1"/>
                            <w:sz w:val="13"/>
                          </w:rPr>
                          <w:t xml:space="preserve"> </w:t>
                        </w:r>
                        <w:r>
                          <w:rPr>
                            <w:sz w:val="13"/>
                          </w:rPr>
                          <w:t>gang</w:t>
                        </w:r>
                        <w:r>
                          <w:rPr>
                            <w:spacing w:val="-1"/>
                            <w:sz w:val="13"/>
                          </w:rPr>
                          <w:t xml:space="preserve"> </w:t>
                        </w:r>
                        <w:r>
                          <w:rPr>
                            <w:sz w:val="13"/>
                          </w:rPr>
                          <w:t>dagligt:</w:t>
                        </w:r>
                        <w:r>
                          <w:rPr>
                            <w:spacing w:val="1"/>
                            <w:sz w:val="13"/>
                          </w:rPr>
                          <w:t xml:space="preserve"> </w:t>
                        </w:r>
                        <w:r>
                          <w:rPr>
                            <w:sz w:val="13"/>
                          </w:rPr>
                          <w:t>7,2</w:t>
                        </w:r>
                        <w:r>
                          <w:rPr>
                            <w:spacing w:val="1"/>
                            <w:sz w:val="13"/>
                          </w:rPr>
                          <w:t xml:space="preserve"> </w:t>
                        </w:r>
                        <w:r>
                          <w:rPr>
                            <w:sz w:val="13"/>
                          </w:rPr>
                          <w:t>(6,5</w:t>
                        </w:r>
                        <w:r>
                          <w:rPr>
                            <w:spacing w:val="1"/>
                            <w:sz w:val="13"/>
                          </w:rPr>
                          <w:t xml:space="preserve"> </w:t>
                        </w:r>
                        <w:r>
                          <w:rPr>
                            <w:sz w:val="13"/>
                          </w:rPr>
                          <w:t>-</w:t>
                        </w:r>
                        <w:r>
                          <w:rPr>
                            <w:spacing w:val="1"/>
                            <w:sz w:val="13"/>
                          </w:rPr>
                          <w:t xml:space="preserve"> </w:t>
                        </w:r>
                        <w:r>
                          <w:rPr>
                            <w:spacing w:val="-4"/>
                            <w:sz w:val="13"/>
                          </w:rPr>
                          <w:t>7,9)</w:t>
                        </w:r>
                      </w:p>
                    </w:txbxContent>
                  </v:textbox>
                </v:shape>
                <v:shape id="docshape19" o:spid="_x0000_s1031" type="#_x0000_t202" style="position:absolute;left:6062;top:4351;width:1679;height: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C5AEF05" w14:textId="77777777" w:rsidR="00616601" w:rsidRDefault="00616601" w:rsidP="00716715">
                        <w:pPr>
                          <w:spacing w:line="146" w:lineRule="exact"/>
                          <w:rPr>
                            <w:sz w:val="13"/>
                          </w:rPr>
                        </w:pPr>
                        <w:r>
                          <w:rPr>
                            <w:spacing w:val="-2"/>
                            <w:sz w:val="13"/>
                          </w:rPr>
                          <w:t>Sammenligning</w:t>
                        </w:r>
                      </w:p>
                    </w:txbxContent>
                  </v:textbox>
                </v:shape>
                <v:shape id="docshape20" o:spid="_x0000_s1032" type="#_x0000_t202" style="position:absolute;left:8996;top:4330;width:1255;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B34F43D" w14:textId="77777777" w:rsidR="00616601" w:rsidRDefault="00616601" w:rsidP="00716715">
                        <w:pPr>
                          <w:spacing w:line="146" w:lineRule="exact"/>
                          <w:rPr>
                            <w:sz w:val="13"/>
                          </w:rPr>
                        </w:pPr>
                        <w:r>
                          <w:rPr>
                            <w:i/>
                            <w:sz w:val="13"/>
                          </w:rPr>
                          <w:t>Hazard</w:t>
                        </w:r>
                        <w:r>
                          <w:rPr>
                            <w:i/>
                            <w:spacing w:val="-1"/>
                            <w:sz w:val="13"/>
                          </w:rPr>
                          <w:t xml:space="preserve"> </w:t>
                        </w:r>
                        <w:r>
                          <w:rPr>
                            <w:sz w:val="13"/>
                          </w:rPr>
                          <w:t>ratio</w:t>
                        </w:r>
                        <w:r>
                          <w:rPr>
                            <w:spacing w:val="2"/>
                            <w:sz w:val="13"/>
                          </w:rPr>
                          <w:t xml:space="preserve"> </w:t>
                        </w:r>
                        <w:r>
                          <w:rPr>
                            <w:sz w:val="13"/>
                          </w:rPr>
                          <w:t>(95 %</w:t>
                        </w:r>
                        <w:r>
                          <w:rPr>
                            <w:spacing w:val="1"/>
                            <w:sz w:val="13"/>
                          </w:rPr>
                          <w:t xml:space="preserve"> </w:t>
                        </w:r>
                        <w:r>
                          <w:rPr>
                            <w:spacing w:val="-5"/>
                            <w:sz w:val="13"/>
                          </w:rPr>
                          <w:t>KI)</w:t>
                        </w:r>
                      </w:p>
                    </w:txbxContent>
                  </v:textbox>
                </v:shape>
                <v:shape id="docshape21" o:spid="_x0000_s1033" type="#_x0000_t202" style="position:absolute;left:6085;top:4542;width:3934;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4424505" w14:textId="77777777" w:rsidR="00616601" w:rsidRDefault="00616601" w:rsidP="00716715">
                        <w:pPr>
                          <w:spacing w:before="10" w:line="204" w:lineRule="auto"/>
                          <w:rPr>
                            <w:sz w:val="13"/>
                          </w:rPr>
                        </w:pPr>
                        <w:r>
                          <w:rPr>
                            <w:sz w:val="13"/>
                          </w:rPr>
                          <w:t>Rivaroxaban 2,5 mg to gange dagligt + ASA 100 mg én</w:t>
                        </w:r>
                        <w:r>
                          <w:rPr>
                            <w:spacing w:val="34"/>
                            <w:sz w:val="13"/>
                          </w:rPr>
                          <w:t xml:space="preserve"> </w:t>
                        </w:r>
                        <w:r>
                          <w:rPr>
                            <w:position w:val="-2"/>
                            <w:sz w:val="13"/>
                          </w:rPr>
                          <w:t>0,76 (0,66 –</w:t>
                        </w:r>
                        <w:r>
                          <w:rPr>
                            <w:spacing w:val="-2"/>
                            <w:position w:val="-2"/>
                            <w:sz w:val="13"/>
                          </w:rPr>
                          <w:t xml:space="preserve"> </w:t>
                        </w:r>
                        <w:r>
                          <w:rPr>
                            <w:position w:val="-2"/>
                            <w:sz w:val="13"/>
                          </w:rPr>
                          <w:t>0,86</w:t>
                        </w:r>
                        <w:r>
                          <w:rPr>
                            <w:spacing w:val="40"/>
                            <w:position w:val="-2"/>
                            <w:sz w:val="13"/>
                          </w:rPr>
                          <w:t xml:space="preserve"> </w:t>
                        </w:r>
                        <w:r>
                          <w:rPr>
                            <w:sz w:val="13"/>
                          </w:rPr>
                          <w:t xml:space="preserve">gang dagligt </w:t>
                        </w:r>
                        <w:r>
                          <w:rPr>
                            <w:i/>
                            <w:sz w:val="13"/>
                          </w:rPr>
                          <w:t xml:space="preserve">vs. </w:t>
                        </w:r>
                        <w:r>
                          <w:rPr>
                            <w:sz w:val="13"/>
                          </w:rPr>
                          <w:t>ASA 100 mg én gang dagligt</w:t>
                        </w:r>
                      </w:p>
                    </w:txbxContent>
                  </v:textbox>
                </v:shape>
                <v:shape id="docshape22" o:spid="_x0000_s1034" type="#_x0000_t202" style="position:absolute;left:1778;top:5292;width:445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40ABD9A" w14:textId="77777777" w:rsidR="00616601" w:rsidRDefault="00616601" w:rsidP="00716715">
                        <w:pPr>
                          <w:tabs>
                            <w:tab w:val="left" w:pos="4433"/>
                          </w:tabs>
                          <w:spacing w:line="146" w:lineRule="exact"/>
                          <w:ind w:left="2544"/>
                          <w:rPr>
                            <w:sz w:val="13"/>
                          </w:rPr>
                        </w:pPr>
                        <w:r>
                          <w:rPr>
                            <w:sz w:val="13"/>
                            <w:shd w:val="clear" w:color="auto" w:fill="FFFFFF"/>
                          </w:rPr>
                          <w:t xml:space="preserve">Antal patienter i </w:t>
                        </w:r>
                        <w:r>
                          <w:rPr>
                            <w:spacing w:val="-2"/>
                            <w:sz w:val="13"/>
                            <w:shd w:val="clear" w:color="auto" w:fill="FFFFFF"/>
                          </w:rPr>
                          <w:t>risiko</w:t>
                        </w:r>
                        <w:r>
                          <w:rPr>
                            <w:sz w:val="13"/>
                            <w:shd w:val="clear" w:color="auto" w:fill="FFFFFF"/>
                          </w:rPr>
                          <w:tab/>
                        </w:r>
                      </w:p>
                      <w:p w14:paraId="2B188028" w14:textId="77777777" w:rsidR="00616601" w:rsidRDefault="00616601" w:rsidP="00716715">
                        <w:pPr>
                          <w:spacing w:before="43"/>
                          <w:rPr>
                            <w:sz w:val="11"/>
                          </w:rPr>
                        </w:pPr>
                        <w:r>
                          <w:rPr>
                            <w:sz w:val="11"/>
                          </w:rPr>
                          <w:t>Rivaroxaban</w:t>
                        </w:r>
                        <w:r>
                          <w:rPr>
                            <w:spacing w:val="2"/>
                            <w:sz w:val="11"/>
                          </w:rPr>
                          <w:t xml:space="preserve"> </w:t>
                        </w:r>
                        <w:r>
                          <w:rPr>
                            <w:sz w:val="11"/>
                          </w:rPr>
                          <w:t>2,5</w:t>
                        </w:r>
                        <w:r>
                          <w:rPr>
                            <w:spacing w:val="3"/>
                            <w:sz w:val="11"/>
                          </w:rPr>
                          <w:t xml:space="preserve"> </w:t>
                        </w:r>
                        <w:r>
                          <w:rPr>
                            <w:sz w:val="11"/>
                          </w:rPr>
                          <w:t>mg</w:t>
                        </w:r>
                        <w:r>
                          <w:rPr>
                            <w:spacing w:val="2"/>
                            <w:sz w:val="11"/>
                          </w:rPr>
                          <w:t xml:space="preserve"> </w:t>
                        </w:r>
                        <w:r>
                          <w:rPr>
                            <w:sz w:val="11"/>
                          </w:rPr>
                          <w:t>to</w:t>
                        </w:r>
                        <w:r>
                          <w:rPr>
                            <w:spacing w:val="2"/>
                            <w:sz w:val="11"/>
                          </w:rPr>
                          <w:t xml:space="preserve"> </w:t>
                        </w:r>
                        <w:r>
                          <w:rPr>
                            <w:sz w:val="11"/>
                          </w:rPr>
                          <w:t>gange</w:t>
                        </w:r>
                        <w:r>
                          <w:rPr>
                            <w:spacing w:val="2"/>
                            <w:sz w:val="11"/>
                          </w:rPr>
                          <w:t xml:space="preserve"> </w:t>
                        </w:r>
                        <w:r>
                          <w:rPr>
                            <w:sz w:val="11"/>
                          </w:rPr>
                          <w:t>dagligt</w:t>
                        </w:r>
                        <w:r>
                          <w:rPr>
                            <w:spacing w:val="4"/>
                            <w:sz w:val="11"/>
                          </w:rPr>
                          <w:t xml:space="preserve"> </w:t>
                        </w:r>
                        <w:r>
                          <w:rPr>
                            <w:sz w:val="11"/>
                          </w:rPr>
                          <w:t>+</w:t>
                        </w:r>
                        <w:r>
                          <w:rPr>
                            <w:spacing w:val="2"/>
                            <w:sz w:val="11"/>
                          </w:rPr>
                          <w:t xml:space="preserve"> </w:t>
                        </w:r>
                        <w:r>
                          <w:rPr>
                            <w:sz w:val="11"/>
                          </w:rPr>
                          <w:t>ASA</w:t>
                        </w:r>
                        <w:r>
                          <w:rPr>
                            <w:spacing w:val="2"/>
                            <w:sz w:val="11"/>
                          </w:rPr>
                          <w:t xml:space="preserve"> </w:t>
                        </w:r>
                        <w:r>
                          <w:rPr>
                            <w:sz w:val="11"/>
                          </w:rPr>
                          <w:t>100</w:t>
                        </w:r>
                        <w:r>
                          <w:rPr>
                            <w:spacing w:val="3"/>
                            <w:sz w:val="11"/>
                          </w:rPr>
                          <w:t xml:space="preserve"> </w:t>
                        </w:r>
                        <w:r>
                          <w:rPr>
                            <w:sz w:val="11"/>
                          </w:rPr>
                          <w:t>mg</w:t>
                        </w:r>
                        <w:r>
                          <w:rPr>
                            <w:spacing w:val="2"/>
                            <w:sz w:val="11"/>
                          </w:rPr>
                          <w:t xml:space="preserve"> </w:t>
                        </w:r>
                        <w:r>
                          <w:rPr>
                            <w:sz w:val="11"/>
                          </w:rPr>
                          <w:t>én</w:t>
                        </w:r>
                        <w:r>
                          <w:rPr>
                            <w:spacing w:val="2"/>
                            <w:sz w:val="11"/>
                          </w:rPr>
                          <w:t xml:space="preserve"> </w:t>
                        </w:r>
                        <w:r>
                          <w:rPr>
                            <w:sz w:val="11"/>
                          </w:rPr>
                          <w:t>gang</w:t>
                        </w:r>
                        <w:r>
                          <w:rPr>
                            <w:spacing w:val="2"/>
                            <w:sz w:val="11"/>
                          </w:rPr>
                          <w:t xml:space="preserve"> </w:t>
                        </w:r>
                        <w:r>
                          <w:rPr>
                            <w:spacing w:val="-2"/>
                            <w:sz w:val="11"/>
                          </w:rPr>
                          <w:t>dagligt</w:t>
                        </w:r>
                      </w:p>
                      <w:p w14:paraId="65F955BF" w14:textId="77777777" w:rsidR="00616601" w:rsidRDefault="00616601" w:rsidP="00716715">
                        <w:pPr>
                          <w:spacing w:before="6"/>
                          <w:rPr>
                            <w:sz w:val="11"/>
                          </w:rPr>
                        </w:pPr>
                      </w:p>
                      <w:p w14:paraId="295B6AB6" w14:textId="77777777" w:rsidR="00616601" w:rsidRDefault="00616601" w:rsidP="00716715">
                        <w:pPr>
                          <w:ind w:left="1793"/>
                          <w:rPr>
                            <w:sz w:val="11"/>
                          </w:rPr>
                        </w:pPr>
                        <w:r>
                          <w:rPr>
                            <w:sz w:val="11"/>
                          </w:rPr>
                          <w:t>ASA</w:t>
                        </w:r>
                        <w:r>
                          <w:rPr>
                            <w:spacing w:val="3"/>
                            <w:sz w:val="11"/>
                          </w:rPr>
                          <w:t xml:space="preserve"> </w:t>
                        </w:r>
                        <w:r>
                          <w:rPr>
                            <w:sz w:val="11"/>
                          </w:rPr>
                          <w:t>100</w:t>
                        </w:r>
                        <w:r>
                          <w:rPr>
                            <w:spacing w:val="2"/>
                            <w:sz w:val="11"/>
                          </w:rPr>
                          <w:t xml:space="preserve"> </w:t>
                        </w:r>
                        <w:r>
                          <w:rPr>
                            <w:sz w:val="11"/>
                          </w:rPr>
                          <w:t>mg</w:t>
                        </w:r>
                        <w:r>
                          <w:rPr>
                            <w:spacing w:val="2"/>
                            <w:sz w:val="11"/>
                          </w:rPr>
                          <w:t xml:space="preserve"> </w:t>
                        </w:r>
                        <w:r>
                          <w:rPr>
                            <w:sz w:val="11"/>
                          </w:rPr>
                          <w:t>én</w:t>
                        </w:r>
                        <w:r>
                          <w:rPr>
                            <w:spacing w:val="2"/>
                            <w:sz w:val="11"/>
                          </w:rPr>
                          <w:t xml:space="preserve"> </w:t>
                        </w:r>
                        <w:r>
                          <w:rPr>
                            <w:sz w:val="11"/>
                          </w:rPr>
                          <w:t>gang</w:t>
                        </w:r>
                        <w:r>
                          <w:rPr>
                            <w:spacing w:val="2"/>
                            <w:sz w:val="11"/>
                          </w:rPr>
                          <w:t xml:space="preserve"> </w:t>
                        </w:r>
                        <w:r>
                          <w:rPr>
                            <w:spacing w:val="-2"/>
                            <w:sz w:val="11"/>
                          </w:rPr>
                          <w:t>dagligt</w:t>
                        </w:r>
                      </w:p>
                    </w:txbxContent>
                  </v:textbox>
                </v:shape>
                <v:shape id="docshape23" o:spid="_x0000_s1035" type="#_x0000_t202" style="position:absolute;left:6441;top:5149;width:1779;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77F4365B" w14:textId="77777777" w:rsidR="00616601" w:rsidRDefault="00616601" w:rsidP="00716715">
                        <w:pPr>
                          <w:spacing w:before="1"/>
                          <w:rPr>
                            <w:sz w:val="13"/>
                          </w:rPr>
                        </w:pPr>
                        <w:r>
                          <w:rPr>
                            <w:sz w:val="13"/>
                          </w:rPr>
                          <w:t>Dage fra</w:t>
                        </w:r>
                        <w:r>
                          <w:rPr>
                            <w:spacing w:val="1"/>
                            <w:sz w:val="13"/>
                          </w:rPr>
                          <w:t xml:space="preserve"> </w:t>
                        </w:r>
                        <w:r>
                          <w:rPr>
                            <w:spacing w:val="-2"/>
                            <w:sz w:val="13"/>
                          </w:rPr>
                          <w:t>randomisering</w:t>
                        </w:r>
                      </w:p>
                    </w:txbxContent>
                  </v:textbox>
                </v:shape>
                <w10:anchorlock/>
              </v:group>
            </w:pict>
          </mc:Fallback>
        </mc:AlternateContent>
      </w:r>
    </w:p>
    <w:p w14:paraId="46057F24" w14:textId="77777777" w:rsidR="00716715" w:rsidRPr="00AD7BA1" w:rsidRDefault="00716715" w:rsidP="000A72C9">
      <w:pPr>
        <w:keepNext/>
        <w:ind w:right="409"/>
        <w:rPr>
          <w:sz w:val="20"/>
        </w:rPr>
      </w:pPr>
      <w:r w:rsidRPr="00AD7BA1">
        <w:rPr>
          <w:sz w:val="20"/>
        </w:rPr>
        <w:t xml:space="preserve">KI: konfidensinterval </w:t>
      </w:r>
    </w:p>
    <w:p w14:paraId="5BEB55A1" w14:textId="77777777" w:rsidR="00716715" w:rsidRPr="00AD7BA1" w:rsidRDefault="00716715" w:rsidP="000A72C9">
      <w:pPr>
        <w:keepNext/>
        <w:spacing w:line="259" w:lineRule="auto"/>
        <w:rPr>
          <w:sz w:val="24"/>
          <w:szCs w:val="24"/>
        </w:rPr>
      </w:pPr>
    </w:p>
    <w:p w14:paraId="13C06D94" w14:textId="495B8EFE" w:rsidR="009D21A2" w:rsidRPr="00AD7BA1" w:rsidRDefault="009D21A2" w:rsidP="0068338F">
      <w:pPr>
        <w:ind w:left="851"/>
        <w:rPr>
          <w:sz w:val="24"/>
          <w:szCs w:val="24"/>
          <w:u w:val="single"/>
        </w:rPr>
      </w:pPr>
      <w:r w:rsidRPr="00AD7BA1">
        <w:rPr>
          <w:sz w:val="24"/>
          <w:szCs w:val="24"/>
          <w:u w:val="single"/>
        </w:rPr>
        <w:t>Patienter efter nylig revaskulariseringsprocedure af den nedre ekstremitet som følge af symptomatisk PAD</w:t>
      </w:r>
    </w:p>
    <w:p w14:paraId="0CFDC870" w14:textId="3AA7C971" w:rsidR="009D21A2" w:rsidRPr="00AD7BA1" w:rsidRDefault="009D21A2" w:rsidP="0068338F">
      <w:pPr>
        <w:ind w:left="851"/>
        <w:rPr>
          <w:sz w:val="24"/>
          <w:szCs w:val="24"/>
        </w:rPr>
      </w:pPr>
      <w:r w:rsidRPr="00AD7BA1">
        <w:rPr>
          <w:sz w:val="24"/>
          <w:szCs w:val="24"/>
        </w:rPr>
        <w:t xml:space="preserve">I det pivotale, dobbeltblindede </w:t>
      </w:r>
      <w:r w:rsidRPr="00AD7BA1">
        <w:rPr>
          <w:b/>
          <w:sz w:val="24"/>
          <w:szCs w:val="24"/>
        </w:rPr>
        <w:t>VOYAGER PAD</w:t>
      </w:r>
      <w:r w:rsidRPr="00AD7BA1">
        <w:rPr>
          <w:sz w:val="24"/>
          <w:szCs w:val="24"/>
        </w:rPr>
        <w:t xml:space="preserve"> fase III-studie, blev 6.564 patienter efter nylig vellykket revaskulariseringsprocedure i den nedre ekstremitet (kirurgisk eller endovaskulær, herunder hybridprocedurer), som følge af symptomatisk PAD, randomiseret til en af to antitrombotiske behandlingsgrupper rivaroxaban 2,5 mg to gange dagligt i kombination med ASA 100 mg én gang dagligt, eller til ASA 100 mg én gang dagligt i forholdet 1:1. Patienterne fik også lov til at få en standarddosis med clopidogrel én gang dagligt i op til 6 måneder. Formålet med studiet var at vise virkning og sikkerhed af rivaroxaban plus ASA til forebyggelse af myokardieinfarkter, iskæmisk slagtilfælde, kardiovaskulær (CV) død, akut iskæmi i ekstremiteter eller større amputation med vaskulær ætiologi hos patienter efter nylige vellykkede revaskulariseringsindgreb i den nedre ekstremitet som følge af symptomatisk PAD. Patienter i alderen ≥ 50 år med dokumenteret moderat til svær symptomatisk aterosklerotisk PAD i de nedre ekstremiteter blev inkluderet, vist ved alle de følgende: klinisk (dvs. funktionsbegrænsninger), anatomisk (dvs. PAD vist på imaging af distal til ekstern arteria iliaca), og hæmodynamisk (ankle-brachial-index [ABI] ≤ 0,80 eller toe-brachialindex [TBI] ≤ 0,60 hos patienter uden tidligere revaskularisering af ekstremiteter, eller ABI ≤ 0,85 eller</w:t>
      </w:r>
      <w:r w:rsidR="00AC54DF" w:rsidRPr="00AD7BA1">
        <w:rPr>
          <w:sz w:val="24"/>
          <w:szCs w:val="24"/>
        </w:rPr>
        <w:t xml:space="preserve"> </w:t>
      </w:r>
      <w:r w:rsidRPr="00AD7BA1">
        <w:rPr>
          <w:sz w:val="24"/>
          <w:szCs w:val="24"/>
        </w:rPr>
        <w:t>TBI ≤ 0,65 hos patienter med tidligere revaskularisering af ekstremiteter). Patienter, der havde behov for dobbelt antitrombotisk behandling i &gt; 6 måneder, eller al anden antitrombotisk behandling end ASA og clopidogrel, eller behandling med orale antikoagulantia, samt patienter med tidligere intrakraniel blødning, slagtilfælde eller TIA, eller patienter med eGFR &lt; 15 ml/min blev ekskluderet. Den gennemsnitlige tid til opfølgning var 24 måneder, og den maksimale tid til opfølgning var 4,1 år. Gennemsnitsalderen for de inkluderede patienter var 67 år, og 17 % af patientpopulationen var &gt; 75 år. Mediantiden fra indeks-revaskulariseringsindgrebet til studiebehandlingen blev påbegyndt var 5 dage i den samlede population (6 dage efter kirurgisk og 4 dage efter endovaskulær revaskularisering, herunder hybridprocedurer). Samlet fik 53,0 % af patienterne korttidsvarende baggrundsbehandling med clopidogrel, med en middelvarighed på 31 dage. I henhold til studieprotokollen kunne studiebehandlingen påbegyndes så hurtigt som muligt, men ikke senere end 10 dage efter et vellykket kvalificerende revaskulariseringsindgreb, og efter der var sikret hæmostase.</w:t>
      </w:r>
    </w:p>
    <w:p w14:paraId="7EFF15A0" w14:textId="77777777" w:rsidR="009D21A2" w:rsidRPr="00AD7BA1" w:rsidRDefault="009D21A2" w:rsidP="0068338F">
      <w:pPr>
        <w:ind w:left="851"/>
        <w:rPr>
          <w:sz w:val="24"/>
          <w:szCs w:val="24"/>
        </w:rPr>
      </w:pPr>
      <w:r w:rsidRPr="00AD7BA1">
        <w:rPr>
          <w:sz w:val="24"/>
          <w:szCs w:val="24"/>
        </w:rPr>
        <w:t>Rivaroxaban 2,5 mg to gange dagligt i kombination med ASA 100 mg én gang dagligt var bedre til at reducere det primære sammensatte endepunkt med myokardieinfarkt, iskæmisk slagtilfælde, kardiovaskulær død, akut iskæmi i ekstremiteter og større amputation af en vaskulær ætiologi, sammenlignet med ASA alene (se tabel 9). Det primære sikkerhedsendepunkt af TIMI større blødningshændelser var større hos patienter behandlet med rivaroxaban og ASA, uden nogen stigning i dødelig eller intrakraniel blødning (se tabel 10).</w:t>
      </w:r>
    </w:p>
    <w:p w14:paraId="60AA37EB" w14:textId="77777777" w:rsidR="00BB5D0F" w:rsidRPr="00AD7BA1" w:rsidRDefault="009D21A2" w:rsidP="0068338F">
      <w:pPr>
        <w:ind w:left="851"/>
        <w:rPr>
          <w:sz w:val="24"/>
          <w:szCs w:val="24"/>
        </w:rPr>
      </w:pPr>
      <w:r w:rsidRPr="00AD7BA1">
        <w:rPr>
          <w:sz w:val="24"/>
          <w:szCs w:val="24"/>
        </w:rPr>
        <w:t>De sekundære virkningsudfald blev testet i en præspecificeret, hierarkisk rækkefølge (se tabel 9).</w:t>
      </w:r>
    </w:p>
    <w:p w14:paraId="38DDF371" w14:textId="77777777" w:rsidR="00BB5D0F" w:rsidRPr="00AD7BA1" w:rsidRDefault="00BB5D0F" w:rsidP="0068338F">
      <w:pPr>
        <w:ind w:left="851"/>
        <w:rPr>
          <w:sz w:val="24"/>
          <w:szCs w:val="24"/>
        </w:rPr>
      </w:pPr>
    </w:p>
    <w:p w14:paraId="6C32F915" w14:textId="0B855AEF" w:rsidR="009D21A2" w:rsidRPr="00AD7BA1" w:rsidRDefault="009D21A2" w:rsidP="0068338F">
      <w:pPr>
        <w:rPr>
          <w:b/>
          <w:sz w:val="24"/>
          <w:szCs w:val="24"/>
        </w:rPr>
      </w:pPr>
      <w:r w:rsidRPr="00AD7BA1">
        <w:rPr>
          <w:b/>
          <w:sz w:val="24"/>
          <w:szCs w:val="24"/>
        </w:rPr>
        <w:t>Tabel 9: Virkningsresultater fra fase III VOYAGER PAD</w:t>
      </w:r>
    </w:p>
    <w:p w14:paraId="15FE272B" w14:textId="77777777" w:rsidR="0068338F" w:rsidRPr="00AD7BA1" w:rsidRDefault="0068338F" w:rsidP="0068338F">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0"/>
        <w:gridCol w:w="2709"/>
        <w:gridCol w:w="2105"/>
        <w:gridCol w:w="1804"/>
      </w:tblGrid>
      <w:tr w:rsidR="009D21A2" w:rsidRPr="00AD7BA1" w14:paraId="5C3AF254" w14:textId="77777777" w:rsidTr="0068338F">
        <w:trPr>
          <w:trHeight w:val="561"/>
        </w:trPr>
        <w:tc>
          <w:tcPr>
            <w:tcW w:w="1563" w:type="pct"/>
          </w:tcPr>
          <w:p w14:paraId="7A8A8566" w14:textId="77777777" w:rsidR="009D21A2" w:rsidRPr="00AD7BA1" w:rsidRDefault="009D21A2" w:rsidP="00BF59EE">
            <w:pPr>
              <w:pStyle w:val="TableParagraph"/>
              <w:ind w:left="112"/>
              <w:rPr>
                <w:rFonts w:ascii="Times New Roman" w:hAnsi="Times New Roman" w:cs="Times New Roman"/>
                <w:b/>
                <w:lang w:val="da-DK"/>
              </w:rPr>
            </w:pPr>
            <w:r w:rsidRPr="00AD7BA1">
              <w:rPr>
                <w:rFonts w:ascii="Times New Roman" w:hAnsi="Times New Roman" w:cs="Times New Roman"/>
                <w:b/>
                <w:lang w:val="da-DK"/>
              </w:rPr>
              <w:t>Studiepopulation</w:t>
            </w:r>
          </w:p>
        </w:tc>
        <w:tc>
          <w:tcPr>
            <w:tcW w:w="3437" w:type="pct"/>
            <w:gridSpan w:val="3"/>
          </w:tcPr>
          <w:p w14:paraId="2F2C941D" w14:textId="77777777" w:rsidR="009D21A2" w:rsidRPr="00AD7BA1" w:rsidRDefault="009D21A2" w:rsidP="00BF59EE">
            <w:pPr>
              <w:pStyle w:val="TableParagraph"/>
              <w:ind w:left="106"/>
              <w:rPr>
                <w:rFonts w:ascii="Times New Roman" w:hAnsi="Times New Roman" w:cs="Times New Roman"/>
                <w:b/>
                <w:lang w:val="da-DK"/>
              </w:rPr>
            </w:pPr>
            <w:r w:rsidRPr="00AD7BA1">
              <w:rPr>
                <w:rFonts w:ascii="Times New Roman" w:hAnsi="Times New Roman" w:cs="Times New Roman"/>
                <w:b/>
                <w:lang w:val="da-DK"/>
              </w:rPr>
              <w:t xml:space="preserve">Patienter efter nylige revaskularisationsindgreb i den nedre ekstremitet som følge af symptomatisk PAD </w:t>
            </w:r>
            <w:r w:rsidRPr="00AD7BA1">
              <w:rPr>
                <w:rFonts w:ascii="Times New Roman" w:hAnsi="Times New Roman" w:cs="Times New Roman"/>
                <w:b/>
                <w:position w:val="8"/>
                <w:lang w:val="da-DK"/>
              </w:rPr>
              <w:t>a)</w:t>
            </w:r>
          </w:p>
        </w:tc>
      </w:tr>
      <w:tr w:rsidR="009D21A2" w:rsidRPr="00AD7BA1" w14:paraId="4CDAB1E1" w14:textId="77777777" w:rsidTr="0068338F">
        <w:trPr>
          <w:trHeight w:val="1817"/>
        </w:trPr>
        <w:tc>
          <w:tcPr>
            <w:tcW w:w="1563" w:type="pct"/>
          </w:tcPr>
          <w:p w14:paraId="5C6F5987" w14:textId="77777777" w:rsidR="009D21A2" w:rsidRPr="00AD7BA1" w:rsidRDefault="009D21A2" w:rsidP="00BF59EE">
            <w:pPr>
              <w:pStyle w:val="TableParagraph"/>
              <w:ind w:left="112"/>
              <w:rPr>
                <w:rFonts w:ascii="Times New Roman" w:hAnsi="Times New Roman" w:cs="Times New Roman"/>
                <w:b/>
                <w:lang w:val="da-DK"/>
              </w:rPr>
            </w:pPr>
            <w:r w:rsidRPr="00AD7BA1">
              <w:rPr>
                <w:rFonts w:ascii="Times New Roman" w:hAnsi="Times New Roman" w:cs="Times New Roman"/>
                <w:b/>
                <w:lang w:val="da-DK"/>
              </w:rPr>
              <w:t>Behandlingsdosering</w:t>
            </w:r>
          </w:p>
        </w:tc>
        <w:tc>
          <w:tcPr>
            <w:tcW w:w="1407" w:type="pct"/>
          </w:tcPr>
          <w:p w14:paraId="36CA8827" w14:textId="77777777" w:rsidR="009D21A2" w:rsidRPr="00AD7BA1" w:rsidRDefault="009D21A2" w:rsidP="00BF59EE">
            <w:pPr>
              <w:pStyle w:val="TableParagraph"/>
              <w:ind w:left="112" w:right="247"/>
              <w:rPr>
                <w:rFonts w:ascii="Times New Roman" w:hAnsi="Times New Roman" w:cs="Times New Roman"/>
                <w:b/>
                <w:lang w:val="da-DK"/>
              </w:rPr>
            </w:pPr>
            <w:r w:rsidRPr="00AD7BA1">
              <w:rPr>
                <w:rFonts w:ascii="Times New Roman" w:hAnsi="Times New Roman" w:cs="Times New Roman"/>
                <w:b/>
                <w:lang w:val="da-DK"/>
              </w:rPr>
              <w:t>Rivaroxaban 2,5 mg to gange dagligt i kombination med ASA 100 mg én gang dagligt N=3.286</w:t>
            </w:r>
          </w:p>
          <w:p w14:paraId="12D62087" w14:textId="77777777" w:rsidR="009D21A2" w:rsidRPr="00AD7BA1" w:rsidRDefault="009D21A2" w:rsidP="00BF59EE">
            <w:pPr>
              <w:pStyle w:val="TableParagraph"/>
              <w:ind w:left="112"/>
              <w:rPr>
                <w:rFonts w:ascii="Times New Roman" w:hAnsi="Times New Roman" w:cs="Times New Roman"/>
                <w:b/>
                <w:lang w:val="da-DK"/>
              </w:rPr>
            </w:pPr>
            <w:r w:rsidRPr="00AD7BA1">
              <w:rPr>
                <w:rFonts w:ascii="Times New Roman" w:hAnsi="Times New Roman" w:cs="Times New Roman"/>
                <w:b/>
                <w:lang w:val="da-DK"/>
              </w:rPr>
              <w:t xml:space="preserve">n (kumulativ risiko </w:t>
            </w:r>
            <w:proofErr w:type="gramStart"/>
            <w:r w:rsidRPr="00AD7BA1">
              <w:rPr>
                <w:rFonts w:ascii="Times New Roman" w:hAnsi="Times New Roman" w:cs="Times New Roman"/>
                <w:b/>
                <w:lang w:val="da-DK"/>
              </w:rPr>
              <w:t>%)</w:t>
            </w:r>
            <w:r w:rsidRPr="00AD7BA1">
              <w:rPr>
                <w:rFonts w:ascii="Times New Roman" w:hAnsi="Times New Roman" w:cs="Times New Roman"/>
                <w:b/>
                <w:position w:val="8"/>
                <w:lang w:val="da-DK"/>
              </w:rPr>
              <w:t>c</w:t>
            </w:r>
            <w:proofErr w:type="gramEnd"/>
            <w:r w:rsidRPr="00AD7BA1">
              <w:rPr>
                <w:rFonts w:ascii="Times New Roman" w:hAnsi="Times New Roman" w:cs="Times New Roman"/>
                <w:b/>
                <w:position w:val="8"/>
                <w:lang w:val="da-DK"/>
              </w:rPr>
              <w:t>)</w:t>
            </w:r>
          </w:p>
        </w:tc>
        <w:tc>
          <w:tcPr>
            <w:tcW w:w="1093" w:type="pct"/>
          </w:tcPr>
          <w:p w14:paraId="3BAAA526" w14:textId="77777777" w:rsidR="009D21A2" w:rsidRPr="00AD7BA1" w:rsidRDefault="009D21A2" w:rsidP="00BF59EE">
            <w:pPr>
              <w:pStyle w:val="TableParagraph"/>
              <w:ind w:left="110" w:right="395"/>
              <w:rPr>
                <w:rFonts w:ascii="Times New Roman" w:hAnsi="Times New Roman" w:cs="Times New Roman"/>
                <w:b/>
                <w:lang w:val="da-DK"/>
              </w:rPr>
            </w:pPr>
            <w:r w:rsidRPr="00AD7BA1">
              <w:rPr>
                <w:rFonts w:ascii="Times New Roman" w:hAnsi="Times New Roman" w:cs="Times New Roman"/>
                <w:b/>
                <w:lang w:val="da-DK"/>
              </w:rPr>
              <w:t>ASA 100 mg én gang dagligt</w:t>
            </w:r>
          </w:p>
          <w:p w14:paraId="1C8E6EEF" w14:textId="77777777" w:rsidR="009D21A2" w:rsidRPr="00AD7BA1" w:rsidRDefault="009D21A2" w:rsidP="00BF59EE">
            <w:pPr>
              <w:rPr>
                <w:rFonts w:ascii="Times New Roman" w:hAnsi="Times New Roman" w:cs="Times New Roman"/>
                <w:sz w:val="22"/>
                <w:lang w:val="da-DK"/>
              </w:rPr>
            </w:pPr>
          </w:p>
          <w:p w14:paraId="1F428F48" w14:textId="77777777" w:rsidR="009D21A2" w:rsidRPr="00AD7BA1" w:rsidRDefault="009D21A2" w:rsidP="00BF59EE">
            <w:pPr>
              <w:rPr>
                <w:rFonts w:ascii="Times New Roman" w:hAnsi="Times New Roman" w:cs="Times New Roman"/>
                <w:sz w:val="22"/>
                <w:lang w:val="da-DK"/>
              </w:rPr>
            </w:pPr>
          </w:p>
          <w:p w14:paraId="577F896F" w14:textId="77777777" w:rsidR="009D21A2" w:rsidRPr="00AD7BA1" w:rsidRDefault="009D21A2" w:rsidP="00BF59EE">
            <w:pPr>
              <w:pStyle w:val="TableParagraph"/>
              <w:ind w:left="110"/>
              <w:rPr>
                <w:rFonts w:ascii="Times New Roman" w:hAnsi="Times New Roman" w:cs="Times New Roman"/>
                <w:b/>
                <w:lang w:val="da-DK"/>
              </w:rPr>
            </w:pPr>
            <w:r w:rsidRPr="00AD7BA1">
              <w:rPr>
                <w:rFonts w:ascii="Times New Roman" w:hAnsi="Times New Roman" w:cs="Times New Roman"/>
                <w:b/>
                <w:lang w:val="da-DK"/>
              </w:rPr>
              <w:t>N=3.278</w:t>
            </w:r>
          </w:p>
          <w:p w14:paraId="52C83DB7" w14:textId="77777777" w:rsidR="009D21A2" w:rsidRPr="00AD7BA1" w:rsidRDefault="009D21A2" w:rsidP="00BF59EE">
            <w:pPr>
              <w:pStyle w:val="TableParagraph"/>
              <w:ind w:left="110" w:right="627"/>
              <w:rPr>
                <w:rFonts w:ascii="Times New Roman" w:hAnsi="Times New Roman" w:cs="Times New Roman"/>
                <w:b/>
                <w:lang w:val="da-DK"/>
              </w:rPr>
            </w:pPr>
            <w:r w:rsidRPr="00AD7BA1">
              <w:rPr>
                <w:rFonts w:ascii="Times New Roman" w:hAnsi="Times New Roman" w:cs="Times New Roman"/>
                <w:b/>
                <w:lang w:val="da-DK"/>
              </w:rPr>
              <w:t xml:space="preserve">n (kumulativ risiko </w:t>
            </w:r>
            <w:proofErr w:type="gramStart"/>
            <w:r w:rsidRPr="00AD7BA1">
              <w:rPr>
                <w:rFonts w:ascii="Times New Roman" w:hAnsi="Times New Roman" w:cs="Times New Roman"/>
                <w:b/>
                <w:lang w:val="da-DK"/>
              </w:rPr>
              <w:t>%)</w:t>
            </w:r>
            <w:r w:rsidRPr="00AD7BA1">
              <w:rPr>
                <w:rFonts w:ascii="Times New Roman" w:hAnsi="Times New Roman" w:cs="Times New Roman"/>
                <w:b/>
                <w:position w:val="8"/>
                <w:lang w:val="da-DK"/>
              </w:rPr>
              <w:t>c</w:t>
            </w:r>
            <w:proofErr w:type="gramEnd"/>
            <w:r w:rsidRPr="00AD7BA1">
              <w:rPr>
                <w:rFonts w:ascii="Times New Roman" w:hAnsi="Times New Roman" w:cs="Times New Roman"/>
                <w:b/>
                <w:position w:val="8"/>
                <w:lang w:val="da-DK"/>
              </w:rPr>
              <w:t>)</w:t>
            </w:r>
          </w:p>
        </w:tc>
        <w:tc>
          <w:tcPr>
            <w:tcW w:w="937" w:type="pct"/>
          </w:tcPr>
          <w:p w14:paraId="66F47FE0" w14:textId="77777777" w:rsidR="009D21A2" w:rsidRPr="00AD7BA1" w:rsidRDefault="009D21A2" w:rsidP="00BF59EE">
            <w:pPr>
              <w:pStyle w:val="TableParagraph"/>
              <w:ind w:left="111" w:right="380"/>
              <w:rPr>
                <w:rFonts w:ascii="Times New Roman" w:hAnsi="Times New Roman" w:cs="Times New Roman"/>
                <w:b/>
                <w:lang w:val="da-DK"/>
              </w:rPr>
            </w:pPr>
            <w:r w:rsidRPr="00AD7BA1">
              <w:rPr>
                <w:rFonts w:ascii="Times New Roman" w:hAnsi="Times New Roman" w:cs="Times New Roman"/>
                <w:b/>
                <w:i/>
                <w:lang w:val="da-DK"/>
              </w:rPr>
              <w:t xml:space="preserve">Hazard </w:t>
            </w:r>
            <w:r w:rsidRPr="00AD7BA1">
              <w:rPr>
                <w:rFonts w:ascii="Times New Roman" w:hAnsi="Times New Roman" w:cs="Times New Roman"/>
                <w:b/>
                <w:lang w:val="da-DK"/>
              </w:rPr>
              <w:t xml:space="preserve">ratio (95 % CI) </w:t>
            </w:r>
            <w:r w:rsidRPr="00AD7BA1">
              <w:rPr>
                <w:rFonts w:ascii="Times New Roman" w:hAnsi="Times New Roman" w:cs="Times New Roman"/>
                <w:b/>
                <w:position w:val="8"/>
                <w:lang w:val="da-DK"/>
              </w:rPr>
              <w:t>d)</w:t>
            </w:r>
          </w:p>
        </w:tc>
      </w:tr>
      <w:tr w:rsidR="009D21A2" w:rsidRPr="00AD7BA1" w14:paraId="30EED348" w14:textId="77777777" w:rsidTr="0068338F">
        <w:trPr>
          <w:trHeight w:val="551"/>
        </w:trPr>
        <w:tc>
          <w:tcPr>
            <w:tcW w:w="1563" w:type="pct"/>
          </w:tcPr>
          <w:p w14:paraId="7CE6E817" w14:textId="77777777" w:rsidR="009D21A2" w:rsidRPr="00AD7BA1" w:rsidRDefault="009D21A2" w:rsidP="00BF59EE">
            <w:pPr>
              <w:pStyle w:val="TableParagraph"/>
              <w:ind w:left="112"/>
              <w:rPr>
                <w:rFonts w:ascii="Times New Roman" w:hAnsi="Times New Roman" w:cs="Times New Roman"/>
                <w:b/>
                <w:lang w:val="da-DK"/>
              </w:rPr>
            </w:pPr>
            <w:r w:rsidRPr="00AD7BA1">
              <w:rPr>
                <w:rFonts w:ascii="Times New Roman" w:hAnsi="Times New Roman" w:cs="Times New Roman"/>
                <w:b/>
                <w:lang w:val="da-DK"/>
              </w:rPr>
              <w:t>Primært virkningsudfald</w:t>
            </w:r>
            <w:r w:rsidRPr="00AD7BA1">
              <w:rPr>
                <w:rFonts w:ascii="Times New Roman" w:hAnsi="Times New Roman" w:cs="Times New Roman"/>
                <w:b/>
                <w:position w:val="8"/>
                <w:lang w:val="da-DK"/>
              </w:rPr>
              <w:t>b)</w:t>
            </w:r>
          </w:p>
        </w:tc>
        <w:tc>
          <w:tcPr>
            <w:tcW w:w="1407" w:type="pct"/>
          </w:tcPr>
          <w:p w14:paraId="4162B503" w14:textId="77777777" w:rsidR="009D21A2" w:rsidRPr="00AD7BA1" w:rsidRDefault="009D21A2" w:rsidP="00BF59EE">
            <w:pPr>
              <w:pStyle w:val="TableParagraph"/>
              <w:ind w:left="112"/>
              <w:rPr>
                <w:rFonts w:ascii="Times New Roman" w:hAnsi="Times New Roman" w:cs="Times New Roman"/>
                <w:b/>
                <w:lang w:val="da-DK"/>
              </w:rPr>
            </w:pPr>
            <w:r w:rsidRPr="00AD7BA1">
              <w:rPr>
                <w:rFonts w:ascii="Times New Roman" w:hAnsi="Times New Roman" w:cs="Times New Roman"/>
                <w:b/>
                <w:lang w:val="da-DK"/>
              </w:rPr>
              <w:t>508 (15,5 %)</w:t>
            </w:r>
          </w:p>
        </w:tc>
        <w:tc>
          <w:tcPr>
            <w:tcW w:w="1093" w:type="pct"/>
          </w:tcPr>
          <w:p w14:paraId="02C71B45" w14:textId="77777777" w:rsidR="009D21A2" w:rsidRPr="00AD7BA1" w:rsidRDefault="009D21A2" w:rsidP="00BF59EE">
            <w:pPr>
              <w:pStyle w:val="TableParagraph"/>
              <w:ind w:left="110"/>
              <w:rPr>
                <w:rFonts w:ascii="Times New Roman" w:hAnsi="Times New Roman" w:cs="Times New Roman"/>
                <w:b/>
                <w:lang w:val="da-DK"/>
              </w:rPr>
            </w:pPr>
            <w:r w:rsidRPr="00AD7BA1">
              <w:rPr>
                <w:rFonts w:ascii="Times New Roman" w:hAnsi="Times New Roman" w:cs="Times New Roman"/>
                <w:b/>
                <w:lang w:val="da-DK"/>
              </w:rPr>
              <w:t>584 (17,8 %)</w:t>
            </w:r>
          </w:p>
        </w:tc>
        <w:tc>
          <w:tcPr>
            <w:tcW w:w="937" w:type="pct"/>
          </w:tcPr>
          <w:p w14:paraId="2B6DDE1D" w14:textId="77777777" w:rsidR="009D21A2" w:rsidRPr="00AD7BA1" w:rsidRDefault="009D21A2" w:rsidP="00BF59EE">
            <w:pPr>
              <w:pStyle w:val="TableParagraph"/>
              <w:ind w:left="111" w:right="130"/>
              <w:rPr>
                <w:rFonts w:ascii="Times New Roman" w:hAnsi="Times New Roman" w:cs="Times New Roman"/>
                <w:b/>
                <w:lang w:val="da-DK"/>
              </w:rPr>
            </w:pPr>
            <w:r w:rsidRPr="00AD7BA1">
              <w:rPr>
                <w:rFonts w:ascii="Times New Roman" w:hAnsi="Times New Roman" w:cs="Times New Roman"/>
                <w:b/>
                <w:lang w:val="da-DK"/>
              </w:rPr>
              <w:t xml:space="preserve">0,85 (0,76;0,96) p=0,0043 </w:t>
            </w:r>
            <w:proofErr w:type="gramStart"/>
            <w:r w:rsidRPr="00AD7BA1">
              <w:rPr>
                <w:rFonts w:ascii="Times New Roman" w:hAnsi="Times New Roman" w:cs="Times New Roman"/>
                <w:b/>
                <w:position w:val="8"/>
                <w:lang w:val="da-DK"/>
              </w:rPr>
              <w:t>e)</w:t>
            </w:r>
            <w:r w:rsidRPr="00AD7BA1">
              <w:rPr>
                <w:rFonts w:ascii="Times New Roman" w:hAnsi="Times New Roman" w:cs="Times New Roman"/>
                <w:b/>
                <w:lang w:val="da-DK"/>
              </w:rPr>
              <w:t>*</w:t>
            </w:r>
            <w:proofErr w:type="gramEnd"/>
          </w:p>
        </w:tc>
      </w:tr>
      <w:tr w:rsidR="009D21A2" w:rsidRPr="00AD7BA1" w14:paraId="3A594686" w14:textId="77777777" w:rsidTr="0068338F">
        <w:trPr>
          <w:trHeight w:val="299"/>
        </w:trPr>
        <w:tc>
          <w:tcPr>
            <w:tcW w:w="1563" w:type="pct"/>
          </w:tcPr>
          <w:p w14:paraId="552C4C58" w14:textId="77777777" w:rsidR="009D21A2" w:rsidRPr="00AD7BA1" w:rsidRDefault="009D21A2" w:rsidP="00BF59EE">
            <w:pPr>
              <w:pStyle w:val="TableParagraph"/>
              <w:ind w:left="281"/>
              <w:rPr>
                <w:rFonts w:ascii="Times New Roman" w:hAnsi="Times New Roman" w:cs="Times New Roman"/>
                <w:lang w:val="da-DK"/>
              </w:rPr>
            </w:pPr>
            <w:r w:rsidRPr="00AD7BA1">
              <w:rPr>
                <w:rFonts w:ascii="Times New Roman" w:hAnsi="Times New Roman" w:cs="Times New Roman"/>
                <w:lang w:val="da-DK"/>
              </w:rPr>
              <w:t>- MI</w:t>
            </w:r>
          </w:p>
        </w:tc>
        <w:tc>
          <w:tcPr>
            <w:tcW w:w="1407" w:type="pct"/>
          </w:tcPr>
          <w:p w14:paraId="1F79A7FC" w14:textId="77777777" w:rsidR="009D21A2" w:rsidRPr="00AD7BA1" w:rsidRDefault="009D21A2" w:rsidP="00BF59EE">
            <w:pPr>
              <w:pStyle w:val="TableParagraph"/>
              <w:ind w:left="112"/>
              <w:rPr>
                <w:rFonts w:ascii="Times New Roman" w:hAnsi="Times New Roman" w:cs="Times New Roman"/>
                <w:lang w:val="da-DK"/>
              </w:rPr>
            </w:pPr>
            <w:r w:rsidRPr="00AD7BA1">
              <w:rPr>
                <w:rFonts w:ascii="Times New Roman" w:hAnsi="Times New Roman" w:cs="Times New Roman"/>
                <w:lang w:val="da-DK"/>
              </w:rPr>
              <w:t>131 (4,0 %)</w:t>
            </w:r>
          </w:p>
        </w:tc>
        <w:tc>
          <w:tcPr>
            <w:tcW w:w="1093" w:type="pct"/>
          </w:tcPr>
          <w:p w14:paraId="192E2420" w14:textId="77777777" w:rsidR="009D21A2" w:rsidRPr="00AD7BA1" w:rsidRDefault="009D21A2" w:rsidP="00BF59EE">
            <w:pPr>
              <w:pStyle w:val="TableParagraph"/>
              <w:ind w:left="110"/>
              <w:rPr>
                <w:rFonts w:ascii="Times New Roman" w:hAnsi="Times New Roman" w:cs="Times New Roman"/>
                <w:lang w:val="da-DK"/>
              </w:rPr>
            </w:pPr>
            <w:r w:rsidRPr="00AD7BA1">
              <w:rPr>
                <w:rFonts w:ascii="Times New Roman" w:hAnsi="Times New Roman" w:cs="Times New Roman"/>
                <w:lang w:val="da-DK"/>
              </w:rPr>
              <w:t>148 (4,5 %)</w:t>
            </w:r>
          </w:p>
        </w:tc>
        <w:tc>
          <w:tcPr>
            <w:tcW w:w="937" w:type="pct"/>
          </w:tcPr>
          <w:p w14:paraId="1A2C8E3C" w14:textId="77777777" w:rsidR="009D21A2" w:rsidRPr="00AD7BA1" w:rsidRDefault="009D21A2" w:rsidP="00BF59EE">
            <w:pPr>
              <w:pStyle w:val="TableParagraph"/>
              <w:ind w:left="91" w:right="86"/>
              <w:jc w:val="center"/>
              <w:rPr>
                <w:rFonts w:ascii="Times New Roman" w:hAnsi="Times New Roman" w:cs="Times New Roman"/>
                <w:lang w:val="da-DK"/>
              </w:rPr>
            </w:pPr>
            <w:r w:rsidRPr="00AD7BA1">
              <w:rPr>
                <w:rFonts w:ascii="Times New Roman" w:hAnsi="Times New Roman" w:cs="Times New Roman"/>
                <w:lang w:val="da-DK"/>
              </w:rPr>
              <w:t>0,88 (0,70; 1,12)</w:t>
            </w:r>
          </w:p>
        </w:tc>
      </w:tr>
      <w:tr w:rsidR="009D21A2" w:rsidRPr="00AD7BA1" w14:paraId="55EFBBBE" w14:textId="77777777" w:rsidTr="0068338F">
        <w:trPr>
          <w:trHeight w:val="298"/>
        </w:trPr>
        <w:tc>
          <w:tcPr>
            <w:tcW w:w="1563" w:type="pct"/>
          </w:tcPr>
          <w:p w14:paraId="0DF35B66" w14:textId="77777777" w:rsidR="009D21A2" w:rsidRPr="00AD7BA1" w:rsidRDefault="009D21A2" w:rsidP="00BF59EE">
            <w:pPr>
              <w:pStyle w:val="TableParagraph"/>
              <w:ind w:left="281"/>
              <w:rPr>
                <w:rFonts w:ascii="Times New Roman" w:hAnsi="Times New Roman" w:cs="Times New Roman"/>
                <w:lang w:val="da-DK"/>
              </w:rPr>
            </w:pPr>
            <w:r w:rsidRPr="00AD7BA1">
              <w:rPr>
                <w:rFonts w:ascii="Times New Roman" w:hAnsi="Times New Roman" w:cs="Times New Roman"/>
                <w:lang w:val="da-DK"/>
              </w:rPr>
              <w:t>- Iskæmisk slagtilfælde</w:t>
            </w:r>
          </w:p>
        </w:tc>
        <w:tc>
          <w:tcPr>
            <w:tcW w:w="1407" w:type="pct"/>
          </w:tcPr>
          <w:p w14:paraId="4C060DED" w14:textId="77777777" w:rsidR="009D21A2" w:rsidRPr="00AD7BA1" w:rsidRDefault="009D21A2" w:rsidP="00BF59EE">
            <w:pPr>
              <w:pStyle w:val="TableParagraph"/>
              <w:ind w:left="112"/>
              <w:rPr>
                <w:rFonts w:ascii="Times New Roman" w:hAnsi="Times New Roman" w:cs="Times New Roman"/>
                <w:lang w:val="da-DK"/>
              </w:rPr>
            </w:pPr>
            <w:r w:rsidRPr="00AD7BA1">
              <w:rPr>
                <w:rFonts w:ascii="Times New Roman" w:hAnsi="Times New Roman" w:cs="Times New Roman"/>
                <w:lang w:val="da-DK"/>
              </w:rPr>
              <w:t>71 (2,2 %)</w:t>
            </w:r>
          </w:p>
        </w:tc>
        <w:tc>
          <w:tcPr>
            <w:tcW w:w="1093" w:type="pct"/>
          </w:tcPr>
          <w:p w14:paraId="1F512DF1" w14:textId="77777777" w:rsidR="009D21A2" w:rsidRPr="00AD7BA1" w:rsidRDefault="009D21A2" w:rsidP="00BF59EE">
            <w:pPr>
              <w:pStyle w:val="TableParagraph"/>
              <w:ind w:left="110"/>
              <w:rPr>
                <w:rFonts w:ascii="Times New Roman" w:hAnsi="Times New Roman" w:cs="Times New Roman"/>
                <w:lang w:val="da-DK"/>
              </w:rPr>
            </w:pPr>
            <w:r w:rsidRPr="00AD7BA1">
              <w:rPr>
                <w:rFonts w:ascii="Times New Roman" w:hAnsi="Times New Roman" w:cs="Times New Roman"/>
                <w:lang w:val="da-DK"/>
              </w:rPr>
              <w:t>82 (2,5 %)</w:t>
            </w:r>
          </w:p>
        </w:tc>
        <w:tc>
          <w:tcPr>
            <w:tcW w:w="937" w:type="pct"/>
          </w:tcPr>
          <w:p w14:paraId="085C3F29" w14:textId="77777777" w:rsidR="009D21A2" w:rsidRPr="00AD7BA1" w:rsidRDefault="009D21A2" w:rsidP="00BF59EE">
            <w:pPr>
              <w:pStyle w:val="TableParagraph"/>
              <w:ind w:left="91" w:right="86"/>
              <w:jc w:val="center"/>
              <w:rPr>
                <w:rFonts w:ascii="Times New Roman" w:hAnsi="Times New Roman" w:cs="Times New Roman"/>
                <w:lang w:val="da-DK"/>
              </w:rPr>
            </w:pPr>
            <w:r w:rsidRPr="00AD7BA1">
              <w:rPr>
                <w:rFonts w:ascii="Times New Roman" w:hAnsi="Times New Roman" w:cs="Times New Roman"/>
                <w:lang w:val="da-DK"/>
              </w:rPr>
              <w:t>0,87 (0,63; 1,19)</w:t>
            </w:r>
          </w:p>
        </w:tc>
      </w:tr>
      <w:tr w:rsidR="009D21A2" w:rsidRPr="00AD7BA1" w14:paraId="5D777E7C" w14:textId="77777777" w:rsidTr="0068338F">
        <w:trPr>
          <w:trHeight w:val="299"/>
        </w:trPr>
        <w:tc>
          <w:tcPr>
            <w:tcW w:w="1563" w:type="pct"/>
          </w:tcPr>
          <w:p w14:paraId="69025C89" w14:textId="77777777" w:rsidR="009D21A2" w:rsidRPr="00AD7BA1" w:rsidRDefault="009D21A2" w:rsidP="00BF59EE">
            <w:pPr>
              <w:pStyle w:val="TableParagraph"/>
              <w:ind w:left="281"/>
              <w:rPr>
                <w:rFonts w:ascii="Times New Roman" w:hAnsi="Times New Roman" w:cs="Times New Roman"/>
                <w:lang w:val="da-DK"/>
              </w:rPr>
            </w:pPr>
            <w:r w:rsidRPr="00AD7BA1">
              <w:rPr>
                <w:rFonts w:ascii="Times New Roman" w:hAnsi="Times New Roman" w:cs="Times New Roman"/>
                <w:lang w:val="da-DK"/>
              </w:rPr>
              <w:t>- CV død</w:t>
            </w:r>
          </w:p>
        </w:tc>
        <w:tc>
          <w:tcPr>
            <w:tcW w:w="1407" w:type="pct"/>
          </w:tcPr>
          <w:p w14:paraId="1AA4DEEB" w14:textId="77777777" w:rsidR="009D21A2" w:rsidRPr="00AD7BA1" w:rsidRDefault="009D21A2" w:rsidP="00BF59EE">
            <w:pPr>
              <w:pStyle w:val="TableParagraph"/>
              <w:ind w:left="112"/>
              <w:rPr>
                <w:rFonts w:ascii="Times New Roman" w:hAnsi="Times New Roman" w:cs="Times New Roman"/>
                <w:lang w:val="da-DK"/>
              </w:rPr>
            </w:pPr>
            <w:r w:rsidRPr="00AD7BA1">
              <w:rPr>
                <w:rFonts w:ascii="Times New Roman" w:hAnsi="Times New Roman" w:cs="Times New Roman"/>
                <w:lang w:val="da-DK"/>
              </w:rPr>
              <w:t>199 (6,1 %)</w:t>
            </w:r>
          </w:p>
        </w:tc>
        <w:tc>
          <w:tcPr>
            <w:tcW w:w="1093" w:type="pct"/>
          </w:tcPr>
          <w:p w14:paraId="4208AD78" w14:textId="77777777" w:rsidR="009D21A2" w:rsidRPr="00AD7BA1" w:rsidRDefault="009D21A2" w:rsidP="00BF59EE">
            <w:pPr>
              <w:pStyle w:val="TableParagraph"/>
              <w:ind w:left="110"/>
              <w:rPr>
                <w:rFonts w:ascii="Times New Roman" w:hAnsi="Times New Roman" w:cs="Times New Roman"/>
                <w:lang w:val="da-DK"/>
              </w:rPr>
            </w:pPr>
            <w:r w:rsidRPr="00AD7BA1">
              <w:rPr>
                <w:rFonts w:ascii="Times New Roman" w:hAnsi="Times New Roman" w:cs="Times New Roman"/>
                <w:lang w:val="da-DK"/>
              </w:rPr>
              <w:t>174 (5,3 %)</w:t>
            </w:r>
          </w:p>
        </w:tc>
        <w:tc>
          <w:tcPr>
            <w:tcW w:w="937" w:type="pct"/>
          </w:tcPr>
          <w:p w14:paraId="61F3B51A" w14:textId="77777777" w:rsidR="009D21A2" w:rsidRPr="00AD7BA1" w:rsidRDefault="009D21A2" w:rsidP="00BF59EE">
            <w:pPr>
              <w:pStyle w:val="TableParagraph"/>
              <w:ind w:left="91" w:right="86"/>
              <w:jc w:val="center"/>
              <w:rPr>
                <w:rFonts w:ascii="Times New Roman" w:hAnsi="Times New Roman" w:cs="Times New Roman"/>
                <w:lang w:val="da-DK"/>
              </w:rPr>
            </w:pPr>
            <w:r w:rsidRPr="00AD7BA1">
              <w:rPr>
                <w:rFonts w:ascii="Times New Roman" w:hAnsi="Times New Roman" w:cs="Times New Roman"/>
                <w:lang w:val="da-DK"/>
              </w:rPr>
              <w:t>1,14 (0,93; 1,40)</w:t>
            </w:r>
          </w:p>
        </w:tc>
      </w:tr>
      <w:tr w:rsidR="009D21A2" w:rsidRPr="00AD7BA1" w14:paraId="183B0ED6" w14:textId="77777777" w:rsidTr="0068338F">
        <w:trPr>
          <w:trHeight w:val="298"/>
        </w:trPr>
        <w:tc>
          <w:tcPr>
            <w:tcW w:w="1563" w:type="pct"/>
          </w:tcPr>
          <w:p w14:paraId="4C3C454B" w14:textId="77777777" w:rsidR="009D21A2" w:rsidRPr="00AD7BA1" w:rsidRDefault="009D21A2" w:rsidP="00BF59EE">
            <w:pPr>
              <w:pStyle w:val="TableParagraph"/>
              <w:ind w:left="281"/>
              <w:rPr>
                <w:rFonts w:ascii="Times New Roman" w:hAnsi="Times New Roman" w:cs="Times New Roman"/>
                <w:lang w:val="da-DK"/>
              </w:rPr>
            </w:pPr>
            <w:r w:rsidRPr="00AD7BA1">
              <w:rPr>
                <w:rFonts w:ascii="Times New Roman" w:hAnsi="Times New Roman" w:cs="Times New Roman"/>
                <w:lang w:val="da-DK"/>
              </w:rPr>
              <w:t xml:space="preserve">- Akut iskæmi i lemmer </w:t>
            </w:r>
            <w:r w:rsidRPr="00AD7BA1">
              <w:rPr>
                <w:rFonts w:ascii="Times New Roman" w:hAnsi="Times New Roman" w:cs="Times New Roman"/>
                <w:vertAlign w:val="superscript"/>
                <w:lang w:val="da-DK"/>
              </w:rPr>
              <w:t>f)</w:t>
            </w:r>
          </w:p>
        </w:tc>
        <w:tc>
          <w:tcPr>
            <w:tcW w:w="1407" w:type="pct"/>
          </w:tcPr>
          <w:p w14:paraId="3F3B3DD1" w14:textId="77777777" w:rsidR="009D21A2" w:rsidRPr="00AD7BA1" w:rsidRDefault="009D21A2" w:rsidP="00BF59EE">
            <w:pPr>
              <w:pStyle w:val="TableParagraph"/>
              <w:ind w:left="112"/>
              <w:rPr>
                <w:rFonts w:ascii="Times New Roman" w:hAnsi="Times New Roman" w:cs="Times New Roman"/>
                <w:lang w:val="da-DK"/>
              </w:rPr>
            </w:pPr>
            <w:r w:rsidRPr="00AD7BA1">
              <w:rPr>
                <w:rFonts w:ascii="Times New Roman" w:hAnsi="Times New Roman" w:cs="Times New Roman"/>
                <w:lang w:val="da-DK"/>
              </w:rPr>
              <w:t>155 (4,7 %)</w:t>
            </w:r>
          </w:p>
        </w:tc>
        <w:tc>
          <w:tcPr>
            <w:tcW w:w="1093" w:type="pct"/>
          </w:tcPr>
          <w:p w14:paraId="5EBF4028" w14:textId="77777777" w:rsidR="009D21A2" w:rsidRPr="00AD7BA1" w:rsidRDefault="009D21A2" w:rsidP="00BF59EE">
            <w:pPr>
              <w:pStyle w:val="TableParagraph"/>
              <w:ind w:left="110"/>
              <w:rPr>
                <w:rFonts w:ascii="Times New Roman" w:hAnsi="Times New Roman" w:cs="Times New Roman"/>
                <w:lang w:val="da-DK"/>
              </w:rPr>
            </w:pPr>
            <w:r w:rsidRPr="00AD7BA1">
              <w:rPr>
                <w:rFonts w:ascii="Times New Roman" w:hAnsi="Times New Roman" w:cs="Times New Roman"/>
                <w:lang w:val="da-DK"/>
              </w:rPr>
              <w:t>227 (6,9 %)</w:t>
            </w:r>
          </w:p>
        </w:tc>
        <w:tc>
          <w:tcPr>
            <w:tcW w:w="937" w:type="pct"/>
          </w:tcPr>
          <w:p w14:paraId="6A0D3870" w14:textId="77777777" w:rsidR="009D21A2" w:rsidRPr="00AD7BA1" w:rsidRDefault="009D21A2" w:rsidP="00BF59EE">
            <w:pPr>
              <w:pStyle w:val="TableParagraph"/>
              <w:ind w:left="91" w:right="86"/>
              <w:jc w:val="center"/>
              <w:rPr>
                <w:rFonts w:ascii="Times New Roman" w:hAnsi="Times New Roman" w:cs="Times New Roman"/>
                <w:lang w:val="da-DK"/>
              </w:rPr>
            </w:pPr>
            <w:r w:rsidRPr="00AD7BA1">
              <w:rPr>
                <w:rFonts w:ascii="Times New Roman" w:hAnsi="Times New Roman" w:cs="Times New Roman"/>
                <w:lang w:val="da-DK"/>
              </w:rPr>
              <w:t>0,67 (0,55; 0,82)</w:t>
            </w:r>
          </w:p>
        </w:tc>
      </w:tr>
      <w:tr w:rsidR="009D21A2" w:rsidRPr="00AD7BA1" w14:paraId="4EF3DBA1" w14:textId="77777777" w:rsidTr="0068338F">
        <w:trPr>
          <w:trHeight w:val="551"/>
        </w:trPr>
        <w:tc>
          <w:tcPr>
            <w:tcW w:w="1563" w:type="pct"/>
          </w:tcPr>
          <w:p w14:paraId="2CB4DBAB" w14:textId="77777777" w:rsidR="009D21A2" w:rsidRPr="00AD7BA1" w:rsidRDefault="009D21A2" w:rsidP="00BF59EE">
            <w:pPr>
              <w:pStyle w:val="TableParagraph"/>
              <w:ind w:left="281" w:right="588"/>
              <w:rPr>
                <w:rFonts w:ascii="Times New Roman" w:hAnsi="Times New Roman" w:cs="Times New Roman"/>
                <w:lang w:val="da-DK"/>
              </w:rPr>
            </w:pPr>
            <w:r w:rsidRPr="00AD7BA1">
              <w:rPr>
                <w:rFonts w:ascii="Times New Roman" w:hAnsi="Times New Roman" w:cs="Times New Roman"/>
                <w:lang w:val="da-DK"/>
              </w:rPr>
              <w:t>- Større amputation af vaskulær ætiologi</w:t>
            </w:r>
          </w:p>
        </w:tc>
        <w:tc>
          <w:tcPr>
            <w:tcW w:w="1407" w:type="pct"/>
          </w:tcPr>
          <w:p w14:paraId="315C043E" w14:textId="77777777" w:rsidR="009D21A2" w:rsidRPr="00AD7BA1" w:rsidRDefault="009D21A2" w:rsidP="00BF59EE">
            <w:pPr>
              <w:pStyle w:val="TableParagraph"/>
              <w:ind w:left="112"/>
              <w:rPr>
                <w:rFonts w:ascii="Times New Roman" w:hAnsi="Times New Roman" w:cs="Times New Roman"/>
                <w:lang w:val="da-DK"/>
              </w:rPr>
            </w:pPr>
            <w:r w:rsidRPr="00AD7BA1">
              <w:rPr>
                <w:rFonts w:ascii="Times New Roman" w:hAnsi="Times New Roman" w:cs="Times New Roman"/>
                <w:lang w:val="da-DK"/>
              </w:rPr>
              <w:t>103 (3,1 %)</w:t>
            </w:r>
          </w:p>
        </w:tc>
        <w:tc>
          <w:tcPr>
            <w:tcW w:w="1093" w:type="pct"/>
          </w:tcPr>
          <w:p w14:paraId="321B7F30" w14:textId="77777777" w:rsidR="009D21A2" w:rsidRPr="00AD7BA1" w:rsidRDefault="009D21A2" w:rsidP="00BF59EE">
            <w:pPr>
              <w:pStyle w:val="TableParagraph"/>
              <w:ind w:left="110"/>
              <w:rPr>
                <w:rFonts w:ascii="Times New Roman" w:hAnsi="Times New Roman" w:cs="Times New Roman"/>
                <w:lang w:val="da-DK"/>
              </w:rPr>
            </w:pPr>
            <w:r w:rsidRPr="00AD7BA1">
              <w:rPr>
                <w:rFonts w:ascii="Times New Roman" w:hAnsi="Times New Roman" w:cs="Times New Roman"/>
                <w:lang w:val="da-DK"/>
              </w:rPr>
              <w:t>115 (3,5 %)</w:t>
            </w:r>
          </w:p>
        </w:tc>
        <w:tc>
          <w:tcPr>
            <w:tcW w:w="937" w:type="pct"/>
          </w:tcPr>
          <w:p w14:paraId="63EB24E9" w14:textId="77777777" w:rsidR="009D21A2" w:rsidRPr="00AD7BA1" w:rsidRDefault="009D21A2" w:rsidP="00BF59EE">
            <w:pPr>
              <w:pStyle w:val="TableParagraph"/>
              <w:ind w:left="91" w:right="86"/>
              <w:jc w:val="center"/>
              <w:rPr>
                <w:rFonts w:ascii="Times New Roman" w:hAnsi="Times New Roman" w:cs="Times New Roman"/>
                <w:lang w:val="da-DK"/>
              </w:rPr>
            </w:pPr>
            <w:r w:rsidRPr="00AD7BA1">
              <w:rPr>
                <w:rFonts w:ascii="Times New Roman" w:hAnsi="Times New Roman" w:cs="Times New Roman"/>
                <w:lang w:val="da-DK"/>
              </w:rPr>
              <w:t>0,89 (0,68; 1,16)</w:t>
            </w:r>
          </w:p>
        </w:tc>
      </w:tr>
      <w:tr w:rsidR="009D21A2" w:rsidRPr="00AD7BA1" w14:paraId="776BD3C2" w14:textId="77777777" w:rsidTr="0068338F">
        <w:trPr>
          <w:trHeight w:val="299"/>
        </w:trPr>
        <w:tc>
          <w:tcPr>
            <w:tcW w:w="1563" w:type="pct"/>
          </w:tcPr>
          <w:p w14:paraId="7C3D9949" w14:textId="77777777" w:rsidR="009D21A2" w:rsidRPr="00AD7BA1" w:rsidRDefault="009D21A2" w:rsidP="00BF59EE">
            <w:pPr>
              <w:pStyle w:val="TableParagraph"/>
              <w:ind w:left="112"/>
              <w:rPr>
                <w:rFonts w:ascii="Times New Roman" w:hAnsi="Times New Roman" w:cs="Times New Roman"/>
                <w:b/>
                <w:lang w:val="da-DK"/>
              </w:rPr>
            </w:pPr>
            <w:r w:rsidRPr="00AD7BA1">
              <w:rPr>
                <w:rFonts w:ascii="Times New Roman" w:hAnsi="Times New Roman" w:cs="Times New Roman"/>
                <w:b/>
                <w:lang w:val="da-DK"/>
              </w:rPr>
              <w:t>Sekundært virkningsudfald</w:t>
            </w:r>
          </w:p>
        </w:tc>
        <w:tc>
          <w:tcPr>
            <w:tcW w:w="1407" w:type="pct"/>
          </w:tcPr>
          <w:p w14:paraId="622E71A4" w14:textId="77777777" w:rsidR="009D21A2" w:rsidRPr="00AD7BA1" w:rsidRDefault="009D21A2" w:rsidP="00BF59EE">
            <w:pPr>
              <w:pStyle w:val="TableParagraph"/>
              <w:ind w:left="0"/>
              <w:rPr>
                <w:rFonts w:ascii="Times New Roman" w:hAnsi="Times New Roman" w:cs="Times New Roman"/>
                <w:lang w:val="da-DK"/>
              </w:rPr>
            </w:pPr>
          </w:p>
        </w:tc>
        <w:tc>
          <w:tcPr>
            <w:tcW w:w="1093" w:type="pct"/>
          </w:tcPr>
          <w:p w14:paraId="2ACA7E9D" w14:textId="77777777" w:rsidR="009D21A2" w:rsidRPr="00AD7BA1" w:rsidRDefault="009D21A2" w:rsidP="00BF59EE">
            <w:pPr>
              <w:pStyle w:val="TableParagraph"/>
              <w:ind w:left="0"/>
              <w:rPr>
                <w:rFonts w:ascii="Times New Roman" w:hAnsi="Times New Roman" w:cs="Times New Roman"/>
                <w:lang w:val="da-DK"/>
              </w:rPr>
            </w:pPr>
          </w:p>
        </w:tc>
        <w:tc>
          <w:tcPr>
            <w:tcW w:w="937" w:type="pct"/>
          </w:tcPr>
          <w:p w14:paraId="3568254D" w14:textId="77777777" w:rsidR="009D21A2" w:rsidRPr="00AD7BA1" w:rsidRDefault="009D21A2" w:rsidP="00BF59EE">
            <w:pPr>
              <w:pStyle w:val="TableParagraph"/>
              <w:ind w:left="0"/>
              <w:rPr>
                <w:rFonts w:ascii="Times New Roman" w:hAnsi="Times New Roman" w:cs="Times New Roman"/>
                <w:lang w:val="da-DK"/>
              </w:rPr>
            </w:pPr>
          </w:p>
        </w:tc>
      </w:tr>
      <w:tr w:rsidR="009D21A2" w:rsidRPr="00AD7BA1" w14:paraId="0A877AC5" w14:textId="77777777" w:rsidTr="0068338F">
        <w:trPr>
          <w:trHeight w:val="1320"/>
        </w:trPr>
        <w:tc>
          <w:tcPr>
            <w:tcW w:w="1563" w:type="pct"/>
          </w:tcPr>
          <w:p w14:paraId="7EA7C30B" w14:textId="77777777" w:rsidR="009D21A2" w:rsidRPr="00AD7BA1" w:rsidRDefault="009D21A2" w:rsidP="00BF59EE">
            <w:pPr>
              <w:pStyle w:val="TableParagraph"/>
              <w:ind w:left="281" w:right="166"/>
              <w:rPr>
                <w:rFonts w:ascii="Times New Roman" w:hAnsi="Times New Roman" w:cs="Times New Roman"/>
                <w:lang w:val="da-DK"/>
              </w:rPr>
            </w:pPr>
            <w:r w:rsidRPr="00AD7BA1">
              <w:rPr>
                <w:rFonts w:ascii="Times New Roman" w:hAnsi="Times New Roman" w:cs="Times New Roman"/>
                <w:lang w:val="da-DK"/>
              </w:rPr>
              <w:t>Ikke planlagt indeks- revaskularisering af ekstremiteter for tilbagevendende iskæmi af ekstremiteter</w:t>
            </w:r>
          </w:p>
        </w:tc>
        <w:tc>
          <w:tcPr>
            <w:tcW w:w="1407" w:type="pct"/>
          </w:tcPr>
          <w:p w14:paraId="04F269B9" w14:textId="77777777" w:rsidR="009D21A2" w:rsidRPr="00AD7BA1" w:rsidRDefault="009D21A2" w:rsidP="00BF59EE">
            <w:pPr>
              <w:pStyle w:val="TableParagraph"/>
              <w:ind w:left="112"/>
              <w:rPr>
                <w:rFonts w:ascii="Times New Roman" w:hAnsi="Times New Roman" w:cs="Times New Roman"/>
                <w:lang w:val="da-DK"/>
              </w:rPr>
            </w:pPr>
            <w:r w:rsidRPr="00AD7BA1">
              <w:rPr>
                <w:rFonts w:ascii="Times New Roman" w:hAnsi="Times New Roman" w:cs="Times New Roman"/>
                <w:lang w:val="da-DK"/>
              </w:rPr>
              <w:t>584 (17,8 %)</w:t>
            </w:r>
          </w:p>
        </w:tc>
        <w:tc>
          <w:tcPr>
            <w:tcW w:w="1093" w:type="pct"/>
          </w:tcPr>
          <w:p w14:paraId="62CE80E6" w14:textId="77777777" w:rsidR="009D21A2" w:rsidRPr="00AD7BA1" w:rsidRDefault="009D21A2" w:rsidP="00BF59EE">
            <w:pPr>
              <w:pStyle w:val="TableParagraph"/>
              <w:ind w:left="110"/>
              <w:rPr>
                <w:rFonts w:ascii="Times New Roman" w:hAnsi="Times New Roman" w:cs="Times New Roman"/>
                <w:lang w:val="da-DK"/>
              </w:rPr>
            </w:pPr>
            <w:r w:rsidRPr="00AD7BA1">
              <w:rPr>
                <w:rFonts w:ascii="Times New Roman" w:hAnsi="Times New Roman" w:cs="Times New Roman"/>
                <w:lang w:val="da-DK"/>
              </w:rPr>
              <w:t>655 (20,0 %)</w:t>
            </w:r>
          </w:p>
        </w:tc>
        <w:tc>
          <w:tcPr>
            <w:tcW w:w="937" w:type="pct"/>
          </w:tcPr>
          <w:p w14:paraId="2733D538" w14:textId="77777777" w:rsidR="009D21A2" w:rsidRPr="00AD7BA1" w:rsidRDefault="009D21A2" w:rsidP="00BF59EE">
            <w:pPr>
              <w:pStyle w:val="TableParagraph"/>
              <w:ind w:left="111" w:right="87"/>
              <w:rPr>
                <w:rFonts w:ascii="Times New Roman" w:hAnsi="Times New Roman" w:cs="Times New Roman"/>
                <w:lang w:val="da-DK"/>
              </w:rPr>
            </w:pPr>
            <w:r w:rsidRPr="00AD7BA1">
              <w:rPr>
                <w:rFonts w:ascii="Times New Roman" w:hAnsi="Times New Roman" w:cs="Times New Roman"/>
                <w:lang w:val="da-DK"/>
              </w:rPr>
              <w:t xml:space="preserve">0,88 (0,79; 0,99) p=0,0140 </w:t>
            </w:r>
            <w:proofErr w:type="gramStart"/>
            <w:r w:rsidRPr="00AD7BA1">
              <w:rPr>
                <w:rFonts w:ascii="Times New Roman" w:hAnsi="Times New Roman" w:cs="Times New Roman"/>
                <w:b/>
                <w:position w:val="8"/>
                <w:lang w:val="da-DK"/>
              </w:rPr>
              <w:t>e)</w:t>
            </w:r>
            <w:r w:rsidRPr="00AD7BA1">
              <w:rPr>
                <w:rFonts w:ascii="Times New Roman" w:hAnsi="Times New Roman" w:cs="Times New Roman"/>
                <w:lang w:val="da-DK"/>
              </w:rPr>
              <w:t>*</w:t>
            </w:r>
            <w:proofErr w:type="gramEnd"/>
          </w:p>
        </w:tc>
      </w:tr>
      <w:tr w:rsidR="009D21A2" w:rsidRPr="00AD7BA1" w14:paraId="649FD2FC" w14:textId="77777777" w:rsidTr="0068338F">
        <w:trPr>
          <w:trHeight w:val="1067"/>
        </w:trPr>
        <w:tc>
          <w:tcPr>
            <w:tcW w:w="1563" w:type="pct"/>
          </w:tcPr>
          <w:p w14:paraId="0A7D9E9A" w14:textId="77777777" w:rsidR="009D21A2" w:rsidRPr="00AD7BA1" w:rsidRDefault="009D21A2" w:rsidP="00BF59EE">
            <w:pPr>
              <w:pStyle w:val="TableParagraph"/>
              <w:ind w:left="281" w:right="149"/>
              <w:rPr>
                <w:rFonts w:ascii="Times New Roman" w:hAnsi="Times New Roman" w:cs="Times New Roman"/>
                <w:lang w:val="da-DK"/>
              </w:rPr>
            </w:pPr>
            <w:r w:rsidRPr="00AD7BA1">
              <w:rPr>
                <w:rFonts w:ascii="Times New Roman" w:hAnsi="Times New Roman" w:cs="Times New Roman"/>
                <w:lang w:val="da-DK"/>
              </w:rPr>
              <w:t>Indlæggelse af en koronar eller perifer årsag (en af de nedre ekstremiteter) af en trombotisk art</w:t>
            </w:r>
          </w:p>
        </w:tc>
        <w:tc>
          <w:tcPr>
            <w:tcW w:w="1407" w:type="pct"/>
          </w:tcPr>
          <w:p w14:paraId="103A34EB" w14:textId="77777777" w:rsidR="009D21A2" w:rsidRPr="00AD7BA1" w:rsidRDefault="009D21A2" w:rsidP="00BF59EE">
            <w:pPr>
              <w:pStyle w:val="TableParagraph"/>
              <w:ind w:left="112"/>
              <w:rPr>
                <w:rFonts w:ascii="Times New Roman" w:hAnsi="Times New Roman" w:cs="Times New Roman"/>
                <w:lang w:val="da-DK"/>
              </w:rPr>
            </w:pPr>
            <w:r w:rsidRPr="00AD7BA1">
              <w:rPr>
                <w:rFonts w:ascii="Times New Roman" w:hAnsi="Times New Roman" w:cs="Times New Roman"/>
                <w:lang w:val="da-DK"/>
              </w:rPr>
              <w:t>262 (8,0 %)</w:t>
            </w:r>
          </w:p>
        </w:tc>
        <w:tc>
          <w:tcPr>
            <w:tcW w:w="1093" w:type="pct"/>
          </w:tcPr>
          <w:p w14:paraId="240CCCFA" w14:textId="77777777" w:rsidR="009D21A2" w:rsidRPr="00AD7BA1" w:rsidRDefault="009D21A2" w:rsidP="00BF59EE">
            <w:pPr>
              <w:pStyle w:val="TableParagraph"/>
              <w:ind w:left="110"/>
              <w:rPr>
                <w:rFonts w:ascii="Times New Roman" w:hAnsi="Times New Roman" w:cs="Times New Roman"/>
                <w:lang w:val="da-DK"/>
              </w:rPr>
            </w:pPr>
            <w:r w:rsidRPr="00AD7BA1">
              <w:rPr>
                <w:rFonts w:ascii="Times New Roman" w:hAnsi="Times New Roman" w:cs="Times New Roman"/>
                <w:lang w:val="da-DK"/>
              </w:rPr>
              <w:t>356 (10,9 %)</w:t>
            </w:r>
          </w:p>
        </w:tc>
        <w:tc>
          <w:tcPr>
            <w:tcW w:w="937" w:type="pct"/>
          </w:tcPr>
          <w:p w14:paraId="1A204FBD" w14:textId="77777777" w:rsidR="009D21A2" w:rsidRPr="00AD7BA1" w:rsidRDefault="009D21A2" w:rsidP="00BF59EE">
            <w:pPr>
              <w:pStyle w:val="TableParagraph"/>
              <w:ind w:left="111" w:right="87"/>
              <w:rPr>
                <w:rFonts w:ascii="Times New Roman" w:hAnsi="Times New Roman" w:cs="Times New Roman"/>
                <w:lang w:val="da-DK"/>
              </w:rPr>
            </w:pPr>
            <w:r w:rsidRPr="00AD7BA1">
              <w:rPr>
                <w:rFonts w:ascii="Times New Roman" w:hAnsi="Times New Roman" w:cs="Times New Roman"/>
                <w:lang w:val="da-DK"/>
              </w:rPr>
              <w:t xml:space="preserve">0,72 (0,62; 0,85) p &lt; 0,0001 </w:t>
            </w:r>
            <w:proofErr w:type="gramStart"/>
            <w:r w:rsidRPr="00AD7BA1">
              <w:rPr>
                <w:rFonts w:ascii="Times New Roman" w:hAnsi="Times New Roman" w:cs="Times New Roman"/>
                <w:b/>
                <w:position w:val="8"/>
                <w:lang w:val="da-DK"/>
              </w:rPr>
              <w:t>e)</w:t>
            </w:r>
            <w:r w:rsidRPr="00AD7BA1">
              <w:rPr>
                <w:rFonts w:ascii="Times New Roman" w:hAnsi="Times New Roman" w:cs="Times New Roman"/>
                <w:lang w:val="da-DK"/>
              </w:rPr>
              <w:t>*</w:t>
            </w:r>
            <w:proofErr w:type="gramEnd"/>
          </w:p>
        </w:tc>
      </w:tr>
      <w:tr w:rsidR="009D21A2" w:rsidRPr="00AD7BA1" w14:paraId="1BCA3922" w14:textId="77777777" w:rsidTr="0068338F">
        <w:trPr>
          <w:trHeight w:val="309"/>
        </w:trPr>
        <w:tc>
          <w:tcPr>
            <w:tcW w:w="1563" w:type="pct"/>
          </w:tcPr>
          <w:p w14:paraId="626DF8C4" w14:textId="77777777" w:rsidR="009D21A2" w:rsidRPr="00AD7BA1" w:rsidRDefault="009D21A2" w:rsidP="00BF59EE">
            <w:pPr>
              <w:pStyle w:val="TableParagraph"/>
              <w:ind w:left="281"/>
              <w:rPr>
                <w:rFonts w:ascii="Times New Roman" w:hAnsi="Times New Roman" w:cs="Times New Roman"/>
                <w:lang w:val="da-DK"/>
              </w:rPr>
            </w:pPr>
            <w:r w:rsidRPr="00AD7BA1">
              <w:rPr>
                <w:rFonts w:ascii="Times New Roman" w:hAnsi="Times New Roman" w:cs="Times New Roman"/>
                <w:lang w:val="da-DK"/>
              </w:rPr>
              <w:t>Mortalitet af alle årsager</w:t>
            </w:r>
          </w:p>
        </w:tc>
        <w:tc>
          <w:tcPr>
            <w:tcW w:w="1407" w:type="pct"/>
          </w:tcPr>
          <w:p w14:paraId="2FED74A2" w14:textId="77777777" w:rsidR="009D21A2" w:rsidRPr="00AD7BA1" w:rsidRDefault="009D21A2" w:rsidP="00BF59EE">
            <w:pPr>
              <w:pStyle w:val="TableParagraph"/>
              <w:ind w:left="112"/>
              <w:rPr>
                <w:rFonts w:ascii="Times New Roman" w:hAnsi="Times New Roman" w:cs="Times New Roman"/>
                <w:lang w:val="da-DK"/>
              </w:rPr>
            </w:pPr>
            <w:r w:rsidRPr="00AD7BA1">
              <w:rPr>
                <w:rFonts w:ascii="Times New Roman" w:hAnsi="Times New Roman" w:cs="Times New Roman"/>
                <w:lang w:val="da-DK"/>
              </w:rPr>
              <w:t>321 (9,8 %)</w:t>
            </w:r>
          </w:p>
        </w:tc>
        <w:tc>
          <w:tcPr>
            <w:tcW w:w="1093" w:type="pct"/>
          </w:tcPr>
          <w:p w14:paraId="43A0473D" w14:textId="77777777" w:rsidR="009D21A2" w:rsidRPr="00AD7BA1" w:rsidRDefault="009D21A2" w:rsidP="00BF59EE">
            <w:pPr>
              <w:pStyle w:val="TableParagraph"/>
              <w:ind w:left="110"/>
              <w:rPr>
                <w:rFonts w:ascii="Times New Roman" w:hAnsi="Times New Roman" w:cs="Times New Roman"/>
                <w:lang w:val="da-DK"/>
              </w:rPr>
            </w:pPr>
            <w:r w:rsidRPr="00AD7BA1">
              <w:rPr>
                <w:rFonts w:ascii="Times New Roman" w:hAnsi="Times New Roman" w:cs="Times New Roman"/>
                <w:lang w:val="da-DK"/>
              </w:rPr>
              <w:t>297 (9,1 %)</w:t>
            </w:r>
          </w:p>
        </w:tc>
        <w:tc>
          <w:tcPr>
            <w:tcW w:w="937" w:type="pct"/>
          </w:tcPr>
          <w:p w14:paraId="76D9C793" w14:textId="77777777" w:rsidR="009D21A2" w:rsidRPr="00AD7BA1" w:rsidRDefault="009D21A2" w:rsidP="00BF59EE">
            <w:pPr>
              <w:pStyle w:val="TableParagraph"/>
              <w:ind w:left="91" w:right="86"/>
              <w:jc w:val="center"/>
              <w:rPr>
                <w:rFonts w:ascii="Times New Roman" w:hAnsi="Times New Roman" w:cs="Times New Roman"/>
                <w:lang w:val="da-DK"/>
              </w:rPr>
            </w:pPr>
            <w:r w:rsidRPr="00AD7BA1">
              <w:rPr>
                <w:rFonts w:ascii="Times New Roman" w:hAnsi="Times New Roman" w:cs="Times New Roman"/>
                <w:lang w:val="da-DK"/>
              </w:rPr>
              <w:t>1,08 (0,92; 1,27)</w:t>
            </w:r>
          </w:p>
        </w:tc>
      </w:tr>
      <w:tr w:rsidR="009D21A2" w:rsidRPr="00AD7BA1" w14:paraId="0B7E3DAF" w14:textId="77777777" w:rsidTr="0068338F">
        <w:trPr>
          <w:trHeight w:val="309"/>
        </w:trPr>
        <w:tc>
          <w:tcPr>
            <w:tcW w:w="1563" w:type="pct"/>
          </w:tcPr>
          <w:p w14:paraId="37FE8207" w14:textId="77777777" w:rsidR="009D21A2" w:rsidRPr="00AD7BA1" w:rsidRDefault="009D21A2" w:rsidP="00BF59EE">
            <w:pPr>
              <w:pStyle w:val="TableParagraph"/>
              <w:ind w:left="281"/>
              <w:rPr>
                <w:rFonts w:ascii="Times New Roman" w:hAnsi="Times New Roman" w:cs="Times New Roman"/>
                <w:lang w:val="da-DK"/>
              </w:rPr>
            </w:pPr>
            <w:r w:rsidRPr="00AD7BA1">
              <w:rPr>
                <w:rFonts w:ascii="Times New Roman" w:hAnsi="Times New Roman" w:cs="Times New Roman"/>
                <w:lang w:val="da-DK"/>
              </w:rPr>
              <w:t>VTE-hændelser</w:t>
            </w:r>
          </w:p>
        </w:tc>
        <w:tc>
          <w:tcPr>
            <w:tcW w:w="1407" w:type="pct"/>
          </w:tcPr>
          <w:p w14:paraId="39CF149E" w14:textId="77777777" w:rsidR="009D21A2" w:rsidRPr="00AD7BA1" w:rsidRDefault="009D21A2" w:rsidP="00BF59EE">
            <w:pPr>
              <w:pStyle w:val="TableParagraph"/>
              <w:ind w:left="112"/>
              <w:rPr>
                <w:rFonts w:ascii="Times New Roman" w:hAnsi="Times New Roman" w:cs="Times New Roman"/>
                <w:lang w:val="da-DK"/>
              </w:rPr>
            </w:pPr>
            <w:r w:rsidRPr="00AD7BA1">
              <w:rPr>
                <w:rFonts w:ascii="Times New Roman" w:hAnsi="Times New Roman" w:cs="Times New Roman"/>
                <w:lang w:val="da-DK"/>
              </w:rPr>
              <w:t>25 (0,8 %)</w:t>
            </w:r>
          </w:p>
        </w:tc>
        <w:tc>
          <w:tcPr>
            <w:tcW w:w="1093" w:type="pct"/>
          </w:tcPr>
          <w:p w14:paraId="5856D594" w14:textId="77777777" w:rsidR="009D21A2" w:rsidRPr="00AD7BA1" w:rsidRDefault="009D21A2" w:rsidP="00BF59EE">
            <w:pPr>
              <w:pStyle w:val="TableParagraph"/>
              <w:ind w:left="110"/>
              <w:rPr>
                <w:rFonts w:ascii="Times New Roman" w:hAnsi="Times New Roman" w:cs="Times New Roman"/>
                <w:lang w:val="da-DK"/>
              </w:rPr>
            </w:pPr>
            <w:r w:rsidRPr="00AD7BA1">
              <w:rPr>
                <w:rFonts w:ascii="Times New Roman" w:hAnsi="Times New Roman" w:cs="Times New Roman"/>
                <w:lang w:val="da-DK"/>
              </w:rPr>
              <w:t>41 (1,3 %)</w:t>
            </w:r>
          </w:p>
        </w:tc>
        <w:tc>
          <w:tcPr>
            <w:tcW w:w="937" w:type="pct"/>
          </w:tcPr>
          <w:p w14:paraId="164C62FD" w14:textId="77777777" w:rsidR="009D21A2" w:rsidRPr="00AD7BA1" w:rsidRDefault="009D21A2" w:rsidP="00BF59EE">
            <w:pPr>
              <w:pStyle w:val="TableParagraph"/>
              <w:ind w:left="91" w:right="86"/>
              <w:jc w:val="center"/>
              <w:rPr>
                <w:rFonts w:ascii="Times New Roman" w:hAnsi="Times New Roman" w:cs="Times New Roman"/>
                <w:lang w:val="da-DK"/>
              </w:rPr>
            </w:pPr>
            <w:r w:rsidRPr="00AD7BA1">
              <w:rPr>
                <w:rFonts w:ascii="Times New Roman" w:hAnsi="Times New Roman" w:cs="Times New Roman"/>
                <w:lang w:val="da-DK"/>
              </w:rPr>
              <w:t>0,61 (0,37; 1,00)</w:t>
            </w:r>
          </w:p>
        </w:tc>
      </w:tr>
    </w:tbl>
    <w:p w14:paraId="051117C7" w14:textId="77777777" w:rsidR="009D21A2" w:rsidRPr="00AD7BA1" w:rsidRDefault="009D21A2" w:rsidP="00BF59EE">
      <w:pPr>
        <w:ind w:left="426" w:hanging="426"/>
      </w:pPr>
      <w:r w:rsidRPr="00AD7BA1">
        <w:t xml:space="preserve">a) </w:t>
      </w:r>
      <w:r w:rsidRPr="00AD7BA1">
        <w:tab/>
        <w:t>intent-to-treat-analysesæt, primære analyser, ICAC-bedømt</w:t>
      </w:r>
    </w:p>
    <w:p w14:paraId="7BC9DF6B" w14:textId="77777777" w:rsidR="009D21A2" w:rsidRPr="00AD7BA1" w:rsidRDefault="009D21A2" w:rsidP="00BF59EE">
      <w:pPr>
        <w:ind w:left="426" w:hanging="426"/>
      </w:pPr>
      <w:r w:rsidRPr="00AD7BA1">
        <w:t xml:space="preserve">b) </w:t>
      </w:r>
      <w:r w:rsidRPr="00AD7BA1">
        <w:tab/>
        <w:t>sammensat af MI, iskæmisk slagtilfælde, CV død (CV død og ukendt dødsårsag), ALI og større amputation af vaskulær ætiologi</w:t>
      </w:r>
    </w:p>
    <w:p w14:paraId="0A8CF992" w14:textId="77777777" w:rsidR="009D21A2" w:rsidRPr="00AD7BA1" w:rsidRDefault="009D21A2" w:rsidP="00BF59EE">
      <w:pPr>
        <w:ind w:left="426" w:hanging="426"/>
      </w:pPr>
      <w:r w:rsidRPr="00AD7BA1">
        <w:t xml:space="preserve">c) </w:t>
      </w:r>
      <w:r w:rsidRPr="00AD7BA1">
        <w:tab/>
        <w:t>kun den første forekomst af udfaldshændelser under analyse inden for dataomfanget fra en person overvejes</w:t>
      </w:r>
    </w:p>
    <w:p w14:paraId="5D4F0684" w14:textId="77777777" w:rsidR="009D21A2" w:rsidRPr="00AD7BA1" w:rsidRDefault="009D21A2" w:rsidP="00BF59EE">
      <w:pPr>
        <w:ind w:left="426" w:hanging="426"/>
      </w:pPr>
      <w:r w:rsidRPr="00AD7BA1">
        <w:t xml:space="preserve">d) </w:t>
      </w:r>
      <w:r w:rsidRPr="00AD7BA1">
        <w:tab/>
        <w:t>HR (95 % CI) er baseret på Cox proportional hazard-model, stratificeret pr. type procedure og clopidogrelanvendelse, med behandling som den eneste kovariat.</w:t>
      </w:r>
    </w:p>
    <w:p w14:paraId="3BB9E3CC" w14:textId="77777777" w:rsidR="009D21A2" w:rsidRPr="00AD7BA1" w:rsidRDefault="009D21A2" w:rsidP="00BF59EE">
      <w:pPr>
        <w:ind w:left="426" w:hanging="426"/>
      </w:pPr>
      <w:r w:rsidRPr="00AD7BA1">
        <w:t xml:space="preserve">e) </w:t>
      </w:r>
      <w:r w:rsidRPr="00AD7BA1">
        <w:tab/>
        <w:t>Ensidet p-værdi er baseret på log rank-testen, stratificeret pr. type procedure og clopidogrel- anvendelse, med behandling som en faktor</w:t>
      </w:r>
    </w:p>
    <w:p w14:paraId="6564EDE3" w14:textId="326B5981" w:rsidR="009D21A2" w:rsidRPr="00AD7BA1" w:rsidRDefault="009D21A2" w:rsidP="00BF59EE">
      <w:pPr>
        <w:ind w:left="426" w:hanging="426"/>
      </w:pPr>
      <w:r w:rsidRPr="00AD7BA1">
        <w:t xml:space="preserve">f) </w:t>
      </w:r>
      <w:r w:rsidRPr="00AD7BA1">
        <w:tab/>
      </w:r>
      <w:r w:rsidR="00BF59EE" w:rsidRPr="00AD7BA1">
        <w:t>A</w:t>
      </w:r>
      <w:r w:rsidRPr="00AD7BA1">
        <w:t>kut iskæmi af ekstremiteter er defineret som pludselig signifikant forværring af perfusion af</w:t>
      </w:r>
    </w:p>
    <w:p w14:paraId="6C070311" w14:textId="77777777" w:rsidR="009D21A2" w:rsidRPr="00AD7BA1" w:rsidRDefault="009D21A2" w:rsidP="00BF59EE">
      <w:pPr>
        <w:ind w:left="426"/>
      </w:pPr>
      <w:r w:rsidRPr="00AD7BA1">
        <w:t>ekstremiteter, enten med ny pulsdeficit eller som kræver behandlingsintervention (dvs. trombolyse eller trombektomi eller akut revaskularisering), og fører til indlæggelse</w:t>
      </w:r>
    </w:p>
    <w:p w14:paraId="640D88B4" w14:textId="77777777" w:rsidR="009D21A2" w:rsidRPr="00AD7BA1" w:rsidRDefault="009D21A2" w:rsidP="00BF59EE">
      <w:pPr>
        <w:ind w:left="426" w:hanging="426"/>
      </w:pPr>
      <w:r w:rsidRPr="00AD7BA1">
        <w:t xml:space="preserve">* </w:t>
      </w:r>
      <w:r w:rsidRPr="00AD7BA1">
        <w:tab/>
        <w:t>Reduktionen i virkningsudfaldet var statistisk bedre.</w:t>
      </w:r>
    </w:p>
    <w:p w14:paraId="15A2FC17" w14:textId="77777777" w:rsidR="00BB5D0F" w:rsidRPr="00AD7BA1" w:rsidRDefault="009D21A2" w:rsidP="00BF59EE">
      <w:r w:rsidRPr="00AD7BA1">
        <w:t>ALI: akut iskæmi af ekstremiteter, CI: konfidensinterval, MI: myokardieinfarkt, CV: kardiovaskulær, ICAC: uafhængig klinisk bedømmelseskomité (Independent Clinical Adjudication Committee)</w:t>
      </w:r>
    </w:p>
    <w:p w14:paraId="2A190F3A" w14:textId="77777777" w:rsidR="00BB5D0F" w:rsidRPr="00AD7BA1" w:rsidRDefault="00BB5D0F" w:rsidP="00BB5D0F">
      <w:pPr>
        <w:ind w:left="1418" w:right="699"/>
        <w:rPr>
          <w:sz w:val="24"/>
          <w:szCs w:val="24"/>
        </w:rPr>
      </w:pPr>
    </w:p>
    <w:p w14:paraId="7F2F1659" w14:textId="28ADAED6" w:rsidR="009D21A2" w:rsidRPr="00AD7BA1" w:rsidRDefault="009D21A2" w:rsidP="0068338F">
      <w:pPr>
        <w:rPr>
          <w:b/>
          <w:sz w:val="24"/>
          <w:szCs w:val="24"/>
        </w:rPr>
      </w:pPr>
      <w:r w:rsidRPr="00AD7BA1">
        <w:rPr>
          <w:b/>
          <w:sz w:val="24"/>
          <w:szCs w:val="24"/>
        </w:rPr>
        <w:t>Tabel 10: Sikkerhedsresultater fra fase III VOYAGER PAD</w:t>
      </w:r>
    </w:p>
    <w:p w14:paraId="4C794878" w14:textId="77777777" w:rsidR="009D21A2" w:rsidRPr="00AD7BA1" w:rsidRDefault="009D21A2" w:rsidP="0068338F">
      <w:pPr>
        <w:rPr>
          <w:sz w:val="24"/>
          <w:szCs w:val="24"/>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2707"/>
        <w:gridCol w:w="2107"/>
        <w:gridCol w:w="1954"/>
      </w:tblGrid>
      <w:tr w:rsidR="009D21A2" w:rsidRPr="00AD7BA1" w14:paraId="01104D6B" w14:textId="77777777" w:rsidTr="0068338F">
        <w:trPr>
          <w:trHeight w:val="561"/>
        </w:trPr>
        <w:tc>
          <w:tcPr>
            <w:tcW w:w="1485" w:type="pct"/>
          </w:tcPr>
          <w:p w14:paraId="63DE1269" w14:textId="77777777" w:rsidR="009D21A2" w:rsidRPr="00AD7BA1" w:rsidRDefault="009D21A2" w:rsidP="009D21A2">
            <w:pPr>
              <w:pStyle w:val="TableParagraph"/>
              <w:spacing w:before="23"/>
              <w:ind w:left="112"/>
              <w:rPr>
                <w:rFonts w:ascii="Times New Roman" w:hAnsi="Times New Roman" w:cs="Times New Roman"/>
                <w:b/>
                <w:sz w:val="24"/>
                <w:szCs w:val="24"/>
                <w:lang w:val="da-DK"/>
              </w:rPr>
            </w:pPr>
            <w:r w:rsidRPr="00AD7BA1">
              <w:rPr>
                <w:rFonts w:ascii="Times New Roman" w:hAnsi="Times New Roman" w:cs="Times New Roman"/>
                <w:b/>
                <w:sz w:val="24"/>
                <w:szCs w:val="24"/>
                <w:lang w:val="da-DK"/>
              </w:rPr>
              <w:t>Studiepopulation</w:t>
            </w:r>
          </w:p>
        </w:tc>
        <w:tc>
          <w:tcPr>
            <w:tcW w:w="3515" w:type="pct"/>
            <w:gridSpan w:val="3"/>
          </w:tcPr>
          <w:p w14:paraId="597538C9" w14:textId="77777777" w:rsidR="009D21A2" w:rsidRPr="00AD7BA1" w:rsidRDefault="009D21A2" w:rsidP="009D21A2">
            <w:pPr>
              <w:pStyle w:val="TableParagraph"/>
              <w:spacing w:before="27" w:line="235" w:lineRule="auto"/>
              <w:ind w:left="107"/>
              <w:rPr>
                <w:rFonts w:ascii="Times New Roman" w:hAnsi="Times New Roman" w:cs="Times New Roman"/>
                <w:b/>
                <w:sz w:val="24"/>
                <w:szCs w:val="24"/>
                <w:lang w:val="da-DK"/>
              </w:rPr>
            </w:pPr>
            <w:r w:rsidRPr="00AD7BA1">
              <w:rPr>
                <w:rFonts w:ascii="Times New Roman" w:hAnsi="Times New Roman" w:cs="Times New Roman"/>
                <w:b/>
                <w:sz w:val="24"/>
                <w:szCs w:val="24"/>
                <w:lang w:val="da-DK"/>
              </w:rPr>
              <w:t>Patienter efter nylige revaskularisationsindgreb i den nedre ekstremitet som følge af symptomatisk PAD</w:t>
            </w:r>
            <w:r w:rsidRPr="00AD7BA1">
              <w:rPr>
                <w:rFonts w:ascii="Times New Roman" w:hAnsi="Times New Roman" w:cs="Times New Roman"/>
                <w:b/>
                <w:sz w:val="24"/>
                <w:szCs w:val="24"/>
                <w:vertAlign w:val="superscript"/>
                <w:lang w:val="da-DK"/>
              </w:rPr>
              <w:t xml:space="preserve"> a)</w:t>
            </w:r>
          </w:p>
        </w:tc>
      </w:tr>
      <w:tr w:rsidR="009D21A2" w:rsidRPr="00AD7BA1" w14:paraId="176EA4C4" w14:textId="77777777" w:rsidTr="0068338F">
        <w:trPr>
          <w:trHeight w:val="1816"/>
        </w:trPr>
        <w:tc>
          <w:tcPr>
            <w:tcW w:w="1485" w:type="pct"/>
          </w:tcPr>
          <w:p w14:paraId="69769F8A" w14:textId="77777777" w:rsidR="009D21A2" w:rsidRPr="00AD7BA1" w:rsidRDefault="009D21A2" w:rsidP="009D21A2">
            <w:pPr>
              <w:pStyle w:val="TableParagraph"/>
              <w:spacing w:before="13"/>
              <w:ind w:left="112"/>
              <w:rPr>
                <w:rFonts w:ascii="Times New Roman" w:hAnsi="Times New Roman" w:cs="Times New Roman"/>
                <w:b/>
                <w:sz w:val="24"/>
                <w:szCs w:val="24"/>
                <w:lang w:val="da-DK"/>
              </w:rPr>
            </w:pPr>
            <w:r w:rsidRPr="00AD7BA1">
              <w:rPr>
                <w:rFonts w:ascii="Times New Roman" w:hAnsi="Times New Roman" w:cs="Times New Roman"/>
                <w:b/>
                <w:sz w:val="24"/>
                <w:szCs w:val="24"/>
                <w:lang w:val="da-DK"/>
              </w:rPr>
              <w:t>Behandlingsdosering</w:t>
            </w:r>
          </w:p>
        </w:tc>
        <w:tc>
          <w:tcPr>
            <w:tcW w:w="1406" w:type="pct"/>
          </w:tcPr>
          <w:p w14:paraId="06D36EA5" w14:textId="77777777" w:rsidR="009D21A2" w:rsidRPr="00AD7BA1" w:rsidRDefault="009D21A2" w:rsidP="009D21A2">
            <w:pPr>
              <w:pStyle w:val="TableParagraph"/>
              <w:spacing w:before="13"/>
              <w:ind w:left="112" w:right="120"/>
              <w:rPr>
                <w:rFonts w:ascii="Times New Roman" w:hAnsi="Times New Roman" w:cs="Times New Roman"/>
                <w:b/>
                <w:sz w:val="24"/>
                <w:szCs w:val="24"/>
                <w:lang w:val="da-DK"/>
              </w:rPr>
            </w:pPr>
            <w:r w:rsidRPr="00AD7BA1">
              <w:rPr>
                <w:rFonts w:ascii="Times New Roman" w:hAnsi="Times New Roman" w:cs="Times New Roman"/>
                <w:b/>
                <w:sz w:val="24"/>
                <w:szCs w:val="24"/>
                <w:lang w:val="da-DK"/>
              </w:rPr>
              <w:t>Rivaroxaban 2,5 mg to gange dagligt i kombination med ASA 100 mg +en gang dagligt N=3.256</w:t>
            </w:r>
          </w:p>
          <w:p w14:paraId="78485208" w14:textId="77777777" w:rsidR="009D21A2" w:rsidRPr="00AD7BA1" w:rsidRDefault="009D21A2" w:rsidP="009D21A2">
            <w:pPr>
              <w:pStyle w:val="TableParagraph"/>
              <w:spacing w:line="253" w:lineRule="exact"/>
              <w:ind w:left="112"/>
              <w:rPr>
                <w:rFonts w:ascii="Times New Roman" w:hAnsi="Times New Roman" w:cs="Times New Roman"/>
                <w:b/>
                <w:sz w:val="24"/>
                <w:szCs w:val="24"/>
                <w:lang w:val="da-DK"/>
              </w:rPr>
            </w:pPr>
            <w:r w:rsidRPr="00AD7BA1">
              <w:rPr>
                <w:rFonts w:ascii="Times New Roman" w:hAnsi="Times New Roman" w:cs="Times New Roman"/>
                <w:b/>
                <w:sz w:val="24"/>
                <w:szCs w:val="24"/>
                <w:lang w:val="da-DK"/>
              </w:rPr>
              <w:t xml:space="preserve">n (kumulativ risiko </w:t>
            </w:r>
            <w:proofErr w:type="gramStart"/>
            <w:r w:rsidRPr="00AD7BA1">
              <w:rPr>
                <w:rFonts w:ascii="Times New Roman" w:hAnsi="Times New Roman" w:cs="Times New Roman"/>
                <w:b/>
                <w:sz w:val="24"/>
                <w:szCs w:val="24"/>
                <w:lang w:val="da-DK"/>
              </w:rPr>
              <w:t>%)</w:t>
            </w:r>
            <w:r w:rsidRPr="00AD7BA1">
              <w:rPr>
                <w:rFonts w:ascii="Times New Roman" w:hAnsi="Times New Roman" w:cs="Times New Roman"/>
                <w:b/>
                <w:vertAlign w:val="superscript"/>
                <w:lang w:val="da-DK"/>
              </w:rPr>
              <w:t>b</w:t>
            </w:r>
            <w:proofErr w:type="gramEnd"/>
            <w:r w:rsidRPr="00AD7BA1">
              <w:rPr>
                <w:rFonts w:ascii="Times New Roman" w:hAnsi="Times New Roman" w:cs="Times New Roman"/>
                <w:b/>
                <w:vertAlign w:val="superscript"/>
                <w:lang w:val="da-DK"/>
              </w:rPr>
              <w:t>)</w:t>
            </w:r>
          </w:p>
        </w:tc>
        <w:tc>
          <w:tcPr>
            <w:tcW w:w="1094" w:type="pct"/>
          </w:tcPr>
          <w:p w14:paraId="097FEF8D" w14:textId="77777777" w:rsidR="009D21A2" w:rsidRPr="00AD7BA1" w:rsidRDefault="009D21A2" w:rsidP="009D21A2">
            <w:pPr>
              <w:pStyle w:val="TableParagraph"/>
              <w:spacing w:before="13"/>
              <w:ind w:left="112" w:right="394"/>
              <w:rPr>
                <w:rFonts w:ascii="Times New Roman" w:hAnsi="Times New Roman" w:cs="Times New Roman"/>
                <w:b/>
                <w:sz w:val="24"/>
                <w:szCs w:val="24"/>
                <w:lang w:val="da-DK"/>
              </w:rPr>
            </w:pPr>
            <w:r w:rsidRPr="00AD7BA1">
              <w:rPr>
                <w:rFonts w:ascii="Times New Roman" w:hAnsi="Times New Roman" w:cs="Times New Roman"/>
                <w:b/>
                <w:sz w:val="24"/>
                <w:szCs w:val="24"/>
                <w:lang w:val="da-DK"/>
              </w:rPr>
              <w:t>ASA 100 mg én gang dagligt</w:t>
            </w:r>
          </w:p>
          <w:p w14:paraId="0C15A468" w14:textId="77777777" w:rsidR="009D21A2" w:rsidRPr="00AD7BA1" w:rsidRDefault="009D21A2" w:rsidP="00AF6CB0">
            <w:pPr>
              <w:rPr>
                <w:rFonts w:ascii="Times New Roman" w:hAnsi="Times New Roman" w:cs="Times New Roman"/>
                <w:sz w:val="24"/>
                <w:szCs w:val="24"/>
                <w:lang w:val="da-DK"/>
              </w:rPr>
            </w:pPr>
          </w:p>
          <w:p w14:paraId="3550D564" w14:textId="77777777" w:rsidR="009D21A2" w:rsidRPr="00AD7BA1" w:rsidRDefault="009D21A2" w:rsidP="00AF6CB0">
            <w:pPr>
              <w:rPr>
                <w:rFonts w:ascii="Times New Roman" w:hAnsi="Times New Roman" w:cs="Times New Roman"/>
                <w:sz w:val="24"/>
                <w:szCs w:val="24"/>
                <w:lang w:val="da-DK"/>
              </w:rPr>
            </w:pPr>
          </w:p>
          <w:p w14:paraId="79172C39" w14:textId="77777777" w:rsidR="009D21A2" w:rsidRPr="00AD7BA1" w:rsidRDefault="009D21A2" w:rsidP="009D21A2">
            <w:pPr>
              <w:pStyle w:val="TableParagraph"/>
              <w:spacing w:line="253" w:lineRule="exact"/>
              <w:ind w:left="112"/>
              <w:rPr>
                <w:rFonts w:ascii="Times New Roman" w:hAnsi="Times New Roman" w:cs="Times New Roman"/>
                <w:b/>
                <w:sz w:val="24"/>
                <w:szCs w:val="24"/>
                <w:lang w:val="da-DK"/>
              </w:rPr>
            </w:pPr>
            <w:r w:rsidRPr="00AD7BA1">
              <w:rPr>
                <w:rFonts w:ascii="Times New Roman" w:hAnsi="Times New Roman" w:cs="Times New Roman"/>
                <w:b/>
                <w:sz w:val="24"/>
                <w:szCs w:val="24"/>
                <w:lang w:val="da-DK"/>
              </w:rPr>
              <w:t>N=3,248</w:t>
            </w:r>
          </w:p>
          <w:p w14:paraId="0908912E" w14:textId="77777777" w:rsidR="009D21A2" w:rsidRPr="00AD7BA1" w:rsidRDefault="009D21A2" w:rsidP="009D21A2">
            <w:pPr>
              <w:pStyle w:val="TableParagraph"/>
              <w:spacing w:before="4" w:line="235" w:lineRule="auto"/>
              <w:ind w:left="112" w:right="626"/>
              <w:rPr>
                <w:rFonts w:ascii="Times New Roman" w:hAnsi="Times New Roman" w:cs="Times New Roman"/>
                <w:b/>
                <w:sz w:val="24"/>
                <w:szCs w:val="24"/>
                <w:lang w:val="da-DK"/>
              </w:rPr>
            </w:pPr>
            <w:r w:rsidRPr="00AD7BA1">
              <w:rPr>
                <w:rFonts w:ascii="Times New Roman" w:hAnsi="Times New Roman" w:cs="Times New Roman"/>
                <w:b/>
                <w:sz w:val="24"/>
                <w:szCs w:val="24"/>
                <w:lang w:val="da-DK"/>
              </w:rPr>
              <w:t xml:space="preserve">n (kumulativ risiko </w:t>
            </w:r>
            <w:proofErr w:type="gramStart"/>
            <w:r w:rsidRPr="00AD7BA1">
              <w:rPr>
                <w:rFonts w:ascii="Times New Roman" w:hAnsi="Times New Roman" w:cs="Times New Roman"/>
                <w:b/>
                <w:sz w:val="24"/>
                <w:szCs w:val="24"/>
                <w:lang w:val="da-DK"/>
              </w:rPr>
              <w:t>%)</w:t>
            </w:r>
            <w:r w:rsidRPr="00AD7BA1">
              <w:rPr>
                <w:rFonts w:ascii="Times New Roman" w:hAnsi="Times New Roman" w:cs="Times New Roman"/>
                <w:b/>
                <w:position w:val="8"/>
                <w:sz w:val="24"/>
                <w:szCs w:val="24"/>
                <w:lang w:val="da-DK"/>
              </w:rPr>
              <w:t>b</w:t>
            </w:r>
            <w:proofErr w:type="gramEnd"/>
            <w:r w:rsidRPr="00AD7BA1">
              <w:rPr>
                <w:rFonts w:ascii="Times New Roman" w:hAnsi="Times New Roman" w:cs="Times New Roman"/>
                <w:b/>
                <w:position w:val="8"/>
                <w:sz w:val="24"/>
                <w:szCs w:val="24"/>
                <w:lang w:val="da-DK"/>
              </w:rPr>
              <w:t>)</w:t>
            </w:r>
          </w:p>
        </w:tc>
        <w:tc>
          <w:tcPr>
            <w:tcW w:w="1015" w:type="pct"/>
          </w:tcPr>
          <w:p w14:paraId="28B6389A" w14:textId="77777777" w:rsidR="009D21A2" w:rsidRPr="00AD7BA1" w:rsidRDefault="009D21A2" w:rsidP="009D21A2">
            <w:pPr>
              <w:pStyle w:val="TableParagraph"/>
              <w:spacing w:before="17" w:line="235" w:lineRule="auto"/>
              <w:ind w:left="112" w:right="520"/>
              <w:rPr>
                <w:rFonts w:ascii="Times New Roman" w:hAnsi="Times New Roman" w:cs="Times New Roman"/>
                <w:b/>
                <w:sz w:val="24"/>
                <w:szCs w:val="24"/>
                <w:lang w:val="da-DK"/>
              </w:rPr>
            </w:pPr>
            <w:r w:rsidRPr="00AD7BA1">
              <w:rPr>
                <w:rFonts w:ascii="Times New Roman" w:hAnsi="Times New Roman" w:cs="Times New Roman"/>
                <w:b/>
                <w:i/>
                <w:sz w:val="24"/>
                <w:szCs w:val="24"/>
                <w:lang w:val="da-DK"/>
              </w:rPr>
              <w:t xml:space="preserve">Hazard </w:t>
            </w:r>
            <w:r w:rsidRPr="00AD7BA1">
              <w:rPr>
                <w:rFonts w:ascii="Times New Roman" w:hAnsi="Times New Roman" w:cs="Times New Roman"/>
                <w:b/>
                <w:sz w:val="24"/>
                <w:szCs w:val="24"/>
                <w:lang w:val="da-DK"/>
              </w:rPr>
              <w:t xml:space="preserve">ratio (95 % CI) </w:t>
            </w:r>
            <w:r w:rsidRPr="00AD7BA1">
              <w:rPr>
                <w:rFonts w:ascii="Times New Roman" w:hAnsi="Times New Roman" w:cs="Times New Roman"/>
                <w:b/>
                <w:sz w:val="24"/>
                <w:szCs w:val="24"/>
                <w:vertAlign w:val="superscript"/>
                <w:lang w:val="da-DK"/>
              </w:rPr>
              <w:t>c)</w:t>
            </w:r>
          </w:p>
          <w:p w14:paraId="71A629D5" w14:textId="77777777" w:rsidR="009D21A2" w:rsidRPr="00AD7BA1" w:rsidRDefault="009D21A2" w:rsidP="00AF6CB0">
            <w:pPr>
              <w:rPr>
                <w:rFonts w:ascii="Times New Roman" w:hAnsi="Times New Roman" w:cs="Times New Roman"/>
                <w:sz w:val="24"/>
                <w:szCs w:val="24"/>
                <w:lang w:val="da-DK"/>
              </w:rPr>
            </w:pPr>
          </w:p>
          <w:p w14:paraId="0E9FD1EF" w14:textId="77777777" w:rsidR="009D21A2" w:rsidRPr="00AD7BA1" w:rsidRDefault="009D21A2" w:rsidP="00AF6CB0">
            <w:pPr>
              <w:rPr>
                <w:rFonts w:ascii="Times New Roman" w:hAnsi="Times New Roman" w:cs="Times New Roman"/>
                <w:sz w:val="24"/>
                <w:szCs w:val="24"/>
                <w:lang w:val="da-DK"/>
              </w:rPr>
            </w:pPr>
          </w:p>
          <w:p w14:paraId="2445738D" w14:textId="77777777" w:rsidR="009D21A2" w:rsidRPr="00AD7BA1" w:rsidRDefault="009D21A2" w:rsidP="009D21A2">
            <w:pPr>
              <w:pStyle w:val="TableParagraph"/>
              <w:ind w:left="112"/>
              <w:rPr>
                <w:rFonts w:ascii="Times New Roman" w:hAnsi="Times New Roman" w:cs="Times New Roman"/>
                <w:b/>
                <w:sz w:val="24"/>
                <w:szCs w:val="24"/>
                <w:lang w:val="da-DK"/>
              </w:rPr>
            </w:pPr>
            <w:r w:rsidRPr="00AD7BA1">
              <w:rPr>
                <w:rFonts w:ascii="Times New Roman" w:hAnsi="Times New Roman" w:cs="Times New Roman"/>
                <w:b/>
                <w:sz w:val="24"/>
                <w:szCs w:val="24"/>
                <w:lang w:val="da-DK"/>
              </w:rPr>
              <w:t>p-værdi</w:t>
            </w:r>
            <w:r w:rsidRPr="00AD7BA1">
              <w:rPr>
                <w:rFonts w:ascii="Times New Roman" w:hAnsi="Times New Roman" w:cs="Times New Roman"/>
                <w:b/>
                <w:sz w:val="24"/>
                <w:szCs w:val="24"/>
                <w:vertAlign w:val="superscript"/>
                <w:lang w:val="da-DK"/>
              </w:rPr>
              <w:t xml:space="preserve"> d)</w:t>
            </w:r>
          </w:p>
        </w:tc>
      </w:tr>
      <w:tr w:rsidR="009D21A2" w:rsidRPr="00AD7BA1" w14:paraId="48192D66" w14:textId="77777777" w:rsidTr="0068338F">
        <w:trPr>
          <w:trHeight w:val="552"/>
        </w:trPr>
        <w:tc>
          <w:tcPr>
            <w:tcW w:w="1485" w:type="pct"/>
          </w:tcPr>
          <w:p w14:paraId="0AB3C40E" w14:textId="77777777" w:rsidR="009D21A2" w:rsidRPr="00AD7BA1" w:rsidRDefault="009D21A2" w:rsidP="009D21A2">
            <w:pPr>
              <w:pStyle w:val="TableParagraph"/>
              <w:spacing w:before="15"/>
              <w:ind w:left="112" w:right="608"/>
              <w:rPr>
                <w:rFonts w:ascii="Times New Roman" w:hAnsi="Times New Roman" w:cs="Times New Roman"/>
                <w:sz w:val="24"/>
                <w:szCs w:val="24"/>
                <w:lang w:val="da-DK"/>
              </w:rPr>
            </w:pPr>
            <w:r w:rsidRPr="00AD7BA1">
              <w:rPr>
                <w:rFonts w:ascii="Times New Roman" w:hAnsi="Times New Roman" w:cs="Times New Roman"/>
                <w:sz w:val="24"/>
                <w:szCs w:val="24"/>
                <w:lang w:val="da-DK"/>
              </w:rPr>
              <w:t>TIMI større blødning (CABG / non-CABG)</w:t>
            </w:r>
          </w:p>
        </w:tc>
        <w:tc>
          <w:tcPr>
            <w:tcW w:w="1406" w:type="pct"/>
          </w:tcPr>
          <w:p w14:paraId="2D750030" w14:textId="77777777" w:rsidR="009D21A2" w:rsidRPr="00AD7BA1" w:rsidRDefault="009D21A2" w:rsidP="009D21A2">
            <w:pPr>
              <w:pStyle w:val="TableParagraph"/>
              <w:spacing w:before="15"/>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62 (1,9 %)</w:t>
            </w:r>
          </w:p>
        </w:tc>
        <w:tc>
          <w:tcPr>
            <w:tcW w:w="1094" w:type="pct"/>
          </w:tcPr>
          <w:p w14:paraId="7C9506A1" w14:textId="77777777" w:rsidR="009D21A2" w:rsidRPr="00AD7BA1" w:rsidRDefault="009D21A2" w:rsidP="009D21A2">
            <w:pPr>
              <w:pStyle w:val="TableParagraph"/>
              <w:spacing w:before="15"/>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44 (1,4 %)</w:t>
            </w:r>
          </w:p>
        </w:tc>
        <w:tc>
          <w:tcPr>
            <w:tcW w:w="1015" w:type="pct"/>
          </w:tcPr>
          <w:p w14:paraId="7C2C3C7B" w14:textId="77777777" w:rsidR="009D21A2" w:rsidRPr="00AD7BA1" w:rsidRDefault="009D21A2" w:rsidP="009D21A2">
            <w:pPr>
              <w:pStyle w:val="TableParagraph"/>
              <w:spacing w:before="15"/>
              <w:ind w:left="112" w:right="227"/>
              <w:rPr>
                <w:rFonts w:ascii="Times New Roman" w:hAnsi="Times New Roman" w:cs="Times New Roman"/>
                <w:sz w:val="24"/>
                <w:szCs w:val="24"/>
                <w:lang w:val="da-DK"/>
              </w:rPr>
            </w:pPr>
            <w:r w:rsidRPr="00AD7BA1">
              <w:rPr>
                <w:rFonts w:ascii="Times New Roman" w:hAnsi="Times New Roman" w:cs="Times New Roman"/>
                <w:sz w:val="24"/>
                <w:szCs w:val="24"/>
                <w:lang w:val="da-DK"/>
              </w:rPr>
              <w:t>1,43 (0,97; 2,10) p=0,0695</w:t>
            </w:r>
          </w:p>
        </w:tc>
      </w:tr>
      <w:tr w:rsidR="009D21A2" w:rsidRPr="00AD7BA1" w14:paraId="6BF9F95D" w14:textId="77777777" w:rsidTr="0068338F">
        <w:trPr>
          <w:trHeight w:val="298"/>
        </w:trPr>
        <w:tc>
          <w:tcPr>
            <w:tcW w:w="1485" w:type="pct"/>
          </w:tcPr>
          <w:p w14:paraId="08EF7F7E" w14:textId="77777777" w:rsidR="009D21A2" w:rsidRPr="00AD7BA1" w:rsidRDefault="009D21A2" w:rsidP="009D21A2">
            <w:pPr>
              <w:pStyle w:val="TableParagraph"/>
              <w:spacing w:before="13"/>
              <w:ind w:left="281"/>
              <w:rPr>
                <w:rFonts w:ascii="Times New Roman" w:hAnsi="Times New Roman" w:cs="Times New Roman"/>
                <w:sz w:val="24"/>
                <w:szCs w:val="24"/>
                <w:lang w:val="da-DK"/>
              </w:rPr>
            </w:pPr>
            <w:r w:rsidRPr="00AD7BA1">
              <w:rPr>
                <w:rFonts w:ascii="Times New Roman" w:hAnsi="Times New Roman" w:cs="Times New Roman"/>
                <w:sz w:val="24"/>
                <w:szCs w:val="24"/>
                <w:lang w:val="da-DK"/>
              </w:rPr>
              <w:t>- Dødelig blødning</w:t>
            </w:r>
          </w:p>
        </w:tc>
        <w:tc>
          <w:tcPr>
            <w:tcW w:w="1406" w:type="pct"/>
          </w:tcPr>
          <w:p w14:paraId="66FACBA7" w14:textId="77777777" w:rsidR="009D21A2" w:rsidRPr="00AD7BA1" w:rsidRDefault="009D21A2" w:rsidP="009D21A2">
            <w:pPr>
              <w:pStyle w:val="TableParagraph"/>
              <w:spacing w:before="1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6 (0,2 %)</w:t>
            </w:r>
          </w:p>
        </w:tc>
        <w:tc>
          <w:tcPr>
            <w:tcW w:w="1094" w:type="pct"/>
          </w:tcPr>
          <w:p w14:paraId="3E63BF6D" w14:textId="77777777" w:rsidR="009D21A2" w:rsidRPr="00AD7BA1" w:rsidRDefault="009D21A2" w:rsidP="009D21A2">
            <w:pPr>
              <w:pStyle w:val="TableParagraph"/>
              <w:spacing w:before="1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6 (0,2 %)</w:t>
            </w:r>
          </w:p>
        </w:tc>
        <w:tc>
          <w:tcPr>
            <w:tcW w:w="1015" w:type="pct"/>
          </w:tcPr>
          <w:p w14:paraId="13B398CF" w14:textId="77777777" w:rsidR="009D21A2" w:rsidRPr="00AD7BA1" w:rsidRDefault="009D21A2" w:rsidP="009D21A2">
            <w:pPr>
              <w:pStyle w:val="TableParagraph"/>
              <w:spacing w:before="1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1,02 (0,33; 3,15)</w:t>
            </w:r>
          </w:p>
        </w:tc>
      </w:tr>
      <w:tr w:rsidR="009D21A2" w:rsidRPr="00AD7BA1" w14:paraId="264A2C9C" w14:textId="77777777" w:rsidTr="0068338F">
        <w:trPr>
          <w:trHeight w:val="299"/>
        </w:trPr>
        <w:tc>
          <w:tcPr>
            <w:tcW w:w="1485" w:type="pct"/>
          </w:tcPr>
          <w:p w14:paraId="6FE05F84" w14:textId="77777777" w:rsidR="009D21A2" w:rsidRPr="00AD7BA1" w:rsidRDefault="009D21A2" w:rsidP="009D21A2">
            <w:pPr>
              <w:pStyle w:val="TableParagraph"/>
              <w:spacing w:before="13"/>
              <w:ind w:left="281"/>
              <w:rPr>
                <w:rFonts w:ascii="Times New Roman" w:hAnsi="Times New Roman" w:cs="Times New Roman"/>
                <w:sz w:val="24"/>
                <w:szCs w:val="24"/>
                <w:lang w:val="da-DK"/>
              </w:rPr>
            </w:pPr>
            <w:r w:rsidRPr="00AD7BA1">
              <w:rPr>
                <w:rFonts w:ascii="Times New Roman" w:hAnsi="Times New Roman" w:cs="Times New Roman"/>
                <w:sz w:val="24"/>
                <w:szCs w:val="24"/>
                <w:lang w:val="da-DK"/>
              </w:rPr>
              <w:t>- Intrakraniel blødning</w:t>
            </w:r>
          </w:p>
        </w:tc>
        <w:tc>
          <w:tcPr>
            <w:tcW w:w="1406" w:type="pct"/>
          </w:tcPr>
          <w:p w14:paraId="0DBD392D" w14:textId="77777777" w:rsidR="009D21A2" w:rsidRPr="00AD7BA1" w:rsidRDefault="009D21A2" w:rsidP="009D21A2">
            <w:pPr>
              <w:pStyle w:val="TableParagraph"/>
              <w:spacing w:before="1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13 (0,4 %)</w:t>
            </w:r>
          </w:p>
        </w:tc>
        <w:tc>
          <w:tcPr>
            <w:tcW w:w="1094" w:type="pct"/>
          </w:tcPr>
          <w:p w14:paraId="2F472E51" w14:textId="77777777" w:rsidR="009D21A2" w:rsidRPr="00AD7BA1" w:rsidRDefault="009D21A2" w:rsidP="009D21A2">
            <w:pPr>
              <w:pStyle w:val="TableParagraph"/>
              <w:spacing w:before="1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17 (0,5 %)</w:t>
            </w:r>
          </w:p>
        </w:tc>
        <w:tc>
          <w:tcPr>
            <w:tcW w:w="1015" w:type="pct"/>
          </w:tcPr>
          <w:p w14:paraId="58C8B164" w14:textId="77777777" w:rsidR="009D21A2" w:rsidRPr="00AD7BA1" w:rsidRDefault="009D21A2" w:rsidP="009D21A2">
            <w:pPr>
              <w:pStyle w:val="TableParagraph"/>
              <w:spacing w:before="1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0,78 (0,38; 1,61)</w:t>
            </w:r>
          </w:p>
        </w:tc>
      </w:tr>
      <w:tr w:rsidR="009D21A2" w:rsidRPr="00AD7BA1" w14:paraId="1FBDCED7" w14:textId="77777777" w:rsidTr="0068338F">
        <w:trPr>
          <w:trHeight w:val="804"/>
        </w:trPr>
        <w:tc>
          <w:tcPr>
            <w:tcW w:w="1485" w:type="pct"/>
          </w:tcPr>
          <w:p w14:paraId="069E2A00" w14:textId="77777777" w:rsidR="009D21A2" w:rsidRPr="00AD7BA1" w:rsidRDefault="009D21A2" w:rsidP="009D21A2">
            <w:pPr>
              <w:pStyle w:val="TableParagraph"/>
              <w:spacing w:before="13"/>
              <w:ind w:left="281" w:right="256"/>
              <w:rPr>
                <w:rFonts w:ascii="Times New Roman" w:hAnsi="Times New Roman" w:cs="Times New Roman"/>
                <w:sz w:val="24"/>
                <w:szCs w:val="24"/>
                <w:lang w:val="da-DK"/>
              </w:rPr>
            </w:pPr>
            <w:r w:rsidRPr="00AD7BA1">
              <w:rPr>
                <w:rFonts w:ascii="Times New Roman" w:hAnsi="Times New Roman" w:cs="Times New Roman"/>
                <w:sz w:val="24"/>
                <w:szCs w:val="24"/>
                <w:lang w:val="da-DK"/>
              </w:rPr>
              <w:t>- Åben blødning forbundet med fald i Hb</w:t>
            </w:r>
          </w:p>
          <w:p w14:paraId="7CBE06DB" w14:textId="77777777" w:rsidR="009D21A2" w:rsidRPr="00AD7BA1" w:rsidRDefault="009D21A2" w:rsidP="009D21A2">
            <w:pPr>
              <w:pStyle w:val="TableParagraph"/>
              <w:spacing w:before="1"/>
              <w:ind w:left="281"/>
              <w:rPr>
                <w:rFonts w:ascii="Times New Roman" w:hAnsi="Times New Roman" w:cs="Times New Roman"/>
                <w:sz w:val="24"/>
                <w:szCs w:val="24"/>
                <w:lang w:val="da-DK"/>
              </w:rPr>
            </w:pPr>
            <w:r w:rsidRPr="00AD7BA1">
              <w:rPr>
                <w:rFonts w:ascii="Times New Roman" w:hAnsi="Times New Roman" w:cs="Times New Roman"/>
                <w:sz w:val="24"/>
                <w:szCs w:val="24"/>
                <w:lang w:val="da-DK"/>
              </w:rPr>
              <w:t>≥ 5 g/dl / Hct ≥ 15 %</w:t>
            </w:r>
          </w:p>
        </w:tc>
        <w:tc>
          <w:tcPr>
            <w:tcW w:w="1406" w:type="pct"/>
          </w:tcPr>
          <w:p w14:paraId="2119FCFE" w14:textId="77777777" w:rsidR="009D21A2" w:rsidRPr="00AD7BA1" w:rsidRDefault="009D21A2" w:rsidP="009D21A2">
            <w:pPr>
              <w:pStyle w:val="TableParagraph"/>
              <w:spacing w:before="1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46 (1,4 %)</w:t>
            </w:r>
          </w:p>
        </w:tc>
        <w:tc>
          <w:tcPr>
            <w:tcW w:w="1094" w:type="pct"/>
          </w:tcPr>
          <w:p w14:paraId="7D0B5271" w14:textId="77777777" w:rsidR="009D21A2" w:rsidRPr="00AD7BA1" w:rsidRDefault="009D21A2" w:rsidP="009D21A2">
            <w:pPr>
              <w:pStyle w:val="TableParagraph"/>
              <w:spacing w:before="1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24 (0,7 %)</w:t>
            </w:r>
          </w:p>
        </w:tc>
        <w:tc>
          <w:tcPr>
            <w:tcW w:w="1015" w:type="pct"/>
          </w:tcPr>
          <w:p w14:paraId="3666C5C4" w14:textId="77777777" w:rsidR="009D21A2" w:rsidRPr="00AD7BA1" w:rsidRDefault="009D21A2" w:rsidP="009D21A2">
            <w:pPr>
              <w:pStyle w:val="TableParagraph"/>
              <w:spacing w:before="1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1,94 (1,18; 3,17)</w:t>
            </w:r>
          </w:p>
        </w:tc>
      </w:tr>
      <w:tr w:rsidR="009D21A2" w:rsidRPr="00AD7BA1" w14:paraId="587ACF33" w14:textId="77777777" w:rsidTr="0068338F">
        <w:trPr>
          <w:trHeight w:val="561"/>
        </w:trPr>
        <w:tc>
          <w:tcPr>
            <w:tcW w:w="1485" w:type="pct"/>
          </w:tcPr>
          <w:p w14:paraId="4FB4D164" w14:textId="77777777" w:rsidR="009D21A2" w:rsidRPr="00AD7BA1" w:rsidRDefault="009D21A2" w:rsidP="009D21A2">
            <w:pPr>
              <w:pStyle w:val="TableParagraph"/>
              <w:spacing w:before="2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ISTH større blødning</w:t>
            </w:r>
          </w:p>
        </w:tc>
        <w:tc>
          <w:tcPr>
            <w:tcW w:w="1406" w:type="pct"/>
          </w:tcPr>
          <w:p w14:paraId="66D1C783" w14:textId="77777777" w:rsidR="009D21A2" w:rsidRPr="00AD7BA1" w:rsidRDefault="009D21A2" w:rsidP="009D21A2">
            <w:pPr>
              <w:pStyle w:val="TableParagraph"/>
              <w:spacing w:before="2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140 (4,3 %)</w:t>
            </w:r>
          </w:p>
        </w:tc>
        <w:tc>
          <w:tcPr>
            <w:tcW w:w="1094" w:type="pct"/>
          </w:tcPr>
          <w:p w14:paraId="18DFD2CB" w14:textId="77777777" w:rsidR="009D21A2" w:rsidRPr="00AD7BA1" w:rsidRDefault="009D21A2" w:rsidP="009D21A2">
            <w:pPr>
              <w:pStyle w:val="TableParagraph"/>
              <w:spacing w:before="2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100 (3,1 %)</w:t>
            </w:r>
          </w:p>
        </w:tc>
        <w:tc>
          <w:tcPr>
            <w:tcW w:w="1015" w:type="pct"/>
          </w:tcPr>
          <w:p w14:paraId="5DA6864B" w14:textId="77777777" w:rsidR="009D21A2" w:rsidRPr="00AD7BA1" w:rsidRDefault="009D21A2" w:rsidP="009D21A2">
            <w:pPr>
              <w:pStyle w:val="TableParagraph"/>
              <w:spacing w:before="23"/>
              <w:ind w:left="112" w:right="227"/>
              <w:rPr>
                <w:rFonts w:ascii="Times New Roman" w:hAnsi="Times New Roman" w:cs="Times New Roman"/>
                <w:sz w:val="24"/>
                <w:szCs w:val="24"/>
                <w:lang w:val="da-DK"/>
              </w:rPr>
            </w:pPr>
            <w:r w:rsidRPr="00AD7BA1">
              <w:rPr>
                <w:rFonts w:ascii="Times New Roman" w:hAnsi="Times New Roman" w:cs="Times New Roman"/>
                <w:sz w:val="24"/>
                <w:szCs w:val="24"/>
                <w:lang w:val="da-DK"/>
              </w:rPr>
              <w:t>1,42 (1,10; 1,84) p=0,0068</w:t>
            </w:r>
          </w:p>
        </w:tc>
      </w:tr>
      <w:tr w:rsidR="009D21A2" w:rsidRPr="00AD7BA1" w14:paraId="28A1DABE" w14:textId="77777777" w:rsidTr="0068338F">
        <w:trPr>
          <w:trHeight w:val="309"/>
        </w:trPr>
        <w:tc>
          <w:tcPr>
            <w:tcW w:w="1485" w:type="pct"/>
          </w:tcPr>
          <w:p w14:paraId="7A6BBD34" w14:textId="77777777" w:rsidR="009D21A2" w:rsidRPr="00AD7BA1" w:rsidRDefault="009D21A2" w:rsidP="009D21A2">
            <w:pPr>
              <w:pStyle w:val="TableParagraph"/>
              <w:spacing w:before="24"/>
              <w:ind w:left="281"/>
              <w:rPr>
                <w:rFonts w:ascii="Times New Roman" w:hAnsi="Times New Roman" w:cs="Times New Roman"/>
                <w:sz w:val="24"/>
                <w:szCs w:val="24"/>
                <w:lang w:val="da-DK"/>
              </w:rPr>
            </w:pPr>
            <w:r w:rsidRPr="00AD7BA1">
              <w:rPr>
                <w:rFonts w:ascii="Times New Roman" w:hAnsi="Times New Roman" w:cs="Times New Roman"/>
                <w:sz w:val="24"/>
                <w:szCs w:val="24"/>
                <w:lang w:val="da-DK"/>
              </w:rPr>
              <w:t>- Dødelig blødning</w:t>
            </w:r>
          </w:p>
        </w:tc>
        <w:tc>
          <w:tcPr>
            <w:tcW w:w="1406" w:type="pct"/>
          </w:tcPr>
          <w:p w14:paraId="12466064" w14:textId="77777777" w:rsidR="009D21A2" w:rsidRPr="00AD7BA1" w:rsidRDefault="009D21A2" w:rsidP="009D21A2">
            <w:pPr>
              <w:pStyle w:val="TableParagraph"/>
              <w:spacing w:before="24"/>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6 (0,2 %)</w:t>
            </w:r>
          </w:p>
        </w:tc>
        <w:tc>
          <w:tcPr>
            <w:tcW w:w="1094" w:type="pct"/>
          </w:tcPr>
          <w:p w14:paraId="30EC9068" w14:textId="77777777" w:rsidR="009D21A2" w:rsidRPr="00AD7BA1" w:rsidRDefault="009D21A2" w:rsidP="009D21A2">
            <w:pPr>
              <w:pStyle w:val="TableParagraph"/>
              <w:spacing w:before="24"/>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8 (0,2 %)</w:t>
            </w:r>
          </w:p>
        </w:tc>
        <w:tc>
          <w:tcPr>
            <w:tcW w:w="1015" w:type="pct"/>
          </w:tcPr>
          <w:p w14:paraId="7E6CA278" w14:textId="77777777" w:rsidR="009D21A2" w:rsidRPr="00AD7BA1" w:rsidRDefault="009D21A2" w:rsidP="009D21A2">
            <w:pPr>
              <w:pStyle w:val="TableParagraph"/>
              <w:spacing w:before="24"/>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0,76 (0,26; 2,19)</w:t>
            </w:r>
          </w:p>
        </w:tc>
      </w:tr>
      <w:tr w:rsidR="009D21A2" w:rsidRPr="00AD7BA1" w14:paraId="21D6CA0F" w14:textId="77777777" w:rsidTr="0068338F">
        <w:trPr>
          <w:trHeight w:val="562"/>
        </w:trPr>
        <w:tc>
          <w:tcPr>
            <w:tcW w:w="1485" w:type="pct"/>
          </w:tcPr>
          <w:p w14:paraId="64517C52" w14:textId="77777777" w:rsidR="009D21A2" w:rsidRPr="00AD7BA1" w:rsidRDefault="009D21A2" w:rsidP="009D21A2">
            <w:pPr>
              <w:pStyle w:val="TableParagraph"/>
              <w:spacing w:before="24"/>
              <w:ind w:left="281" w:right="513"/>
              <w:rPr>
                <w:rFonts w:ascii="Times New Roman" w:hAnsi="Times New Roman" w:cs="Times New Roman"/>
                <w:sz w:val="24"/>
                <w:szCs w:val="24"/>
                <w:lang w:val="da-DK"/>
              </w:rPr>
            </w:pPr>
            <w:r w:rsidRPr="00AD7BA1">
              <w:rPr>
                <w:rFonts w:ascii="Times New Roman" w:hAnsi="Times New Roman" w:cs="Times New Roman"/>
                <w:sz w:val="24"/>
                <w:szCs w:val="24"/>
                <w:lang w:val="da-DK"/>
              </w:rPr>
              <w:t>- Ikke-dødelig kritisk organblødning</w:t>
            </w:r>
          </w:p>
        </w:tc>
        <w:tc>
          <w:tcPr>
            <w:tcW w:w="1406" w:type="pct"/>
          </w:tcPr>
          <w:p w14:paraId="251B32B4" w14:textId="77777777" w:rsidR="009D21A2" w:rsidRPr="00AD7BA1" w:rsidRDefault="009D21A2" w:rsidP="009D21A2">
            <w:pPr>
              <w:pStyle w:val="TableParagraph"/>
              <w:spacing w:before="24"/>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29 (0,9 %)</w:t>
            </w:r>
          </w:p>
        </w:tc>
        <w:tc>
          <w:tcPr>
            <w:tcW w:w="1094" w:type="pct"/>
          </w:tcPr>
          <w:p w14:paraId="1F74DFDC" w14:textId="77777777" w:rsidR="009D21A2" w:rsidRPr="00AD7BA1" w:rsidRDefault="009D21A2" w:rsidP="009D21A2">
            <w:pPr>
              <w:pStyle w:val="TableParagraph"/>
              <w:spacing w:before="24"/>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26 (0,8 %)</w:t>
            </w:r>
          </w:p>
        </w:tc>
        <w:tc>
          <w:tcPr>
            <w:tcW w:w="1015" w:type="pct"/>
          </w:tcPr>
          <w:p w14:paraId="61BCC4CD" w14:textId="77777777" w:rsidR="009D21A2" w:rsidRPr="00AD7BA1" w:rsidRDefault="009D21A2" w:rsidP="009D21A2">
            <w:pPr>
              <w:pStyle w:val="TableParagraph"/>
              <w:spacing w:before="24"/>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1,14 (0,67; 1,93)</w:t>
            </w:r>
          </w:p>
        </w:tc>
      </w:tr>
      <w:tr w:rsidR="009D21A2" w:rsidRPr="00AD7BA1" w14:paraId="292D5E64" w14:textId="77777777" w:rsidTr="0068338F">
        <w:trPr>
          <w:trHeight w:val="562"/>
        </w:trPr>
        <w:tc>
          <w:tcPr>
            <w:tcW w:w="1485" w:type="pct"/>
          </w:tcPr>
          <w:p w14:paraId="48127645" w14:textId="77777777" w:rsidR="009D21A2" w:rsidRPr="00AD7BA1" w:rsidRDefault="009D21A2" w:rsidP="009D21A2">
            <w:pPr>
              <w:pStyle w:val="TableParagraph"/>
              <w:spacing w:before="23"/>
              <w:ind w:left="112" w:right="211"/>
              <w:rPr>
                <w:rFonts w:ascii="Times New Roman" w:hAnsi="Times New Roman" w:cs="Times New Roman"/>
                <w:sz w:val="24"/>
                <w:szCs w:val="24"/>
                <w:lang w:val="da-DK"/>
              </w:rPr>
            </w:pPr>
            <w:r w:rsidRPr="00AD7BA1">
              <w:rPr>
                <w:rFonts w:ascii="Times New Roman" w:hAnsi="Times New Roman" w:cs="Times New Roman"/>
                <w:sz w:val="24"/>
                <w:szCs w:val="24"/>
                <w:lang w:val="da-DK"/>
              </w:rPr>
              <w:t>ISTH klinisk relevant ikke større blødning</w:t>
            </w:r>
          </w:p>
        </w:tc>
        <w:tc>
          <w:tcPr>
            <w:tcW w:w="1406" w:type="pct"/>
          </w:tcPr>
          <w:p w14:paraId="07500039" w14:textId="77777777" w:rsidR="009D21A2" w:rsidRPr="00AD7BA1" w:rsidRDefault="009D21A2" w:rsidP="009D21A2">
            <w:pPr>
              <w:pStyle w:val="TableParagraph"/>
              <w:spacing w:before="2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246 (7,6 %)</w:t>
            </w:r>
          </w:p>
        </w:tc>
        <w:tc>
          <w:tcPr>
            <w:tcW w:w="1094" w:type="pct"/>
          </w:tcPr>
          <w:p w14:paraId="2325454E" w14:textId="77777777" w:rsidR="009D21A2" w:rsidRPr="00AD7BA1" w:rsidRDefault="009D21A2" w:rsidP="009D21A2">
            <w:pPr>
              <w:pStyle w:val="TableParagraph"/>
              <w:spacing w:before="2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139 (4,3 %)</w:t>
            </w:r>
          </w:p>
        </w:tc>
        <w:tc>
          <w:tcPr>
            <w:tcW w:w="1015" w:type="pct"/>
          </w:tcPr>
          <w:p w14:paraId="67E07675" w14:textId="77777777" w:rsidR="009D21A2" w:rsidRPr="00AD7BA1" w:rsidRDefault="009D21A2" w:rsidP="009D21A2">
            <w:pPr>
              <w:pStyle w:val="TableParagraph"/>
              <w:spacing w:before="23"/>
              <w:ind w:left="112"/>
              <w:rPr>
                <w:rFonts w:ascii="Times New Roman" w:hAnsi="Times New Roman" w:cs="Times New Roman"/>
                <w:sz w:val="24"/>
                <w:szCs w:val="24"/>
                <w:lang w:val="da-DK"/>
              </w:rPr>
            </w:pPr>
            <w:r w:rsidRPr="00AD7BA1">
              <w:rPr>
                <w:rFonts w:ascii="Times New Roman" w:hAnsi="Times New Roman" w:cs="Times New Roman"/>
                <w:sz w:val="24"/>
                <w:szCs w:val="24"/>
                <w:lang w:val="da-DK"/>
              </w:rPr>
              <w:t>1,81 (1,47; 2,23)</w:t>
            </w:r>
          </w:p>
        </w:tc>
      </w:tr>
    </w:tbl>
    <w:p w14:paraId="4C8AEDC8" w14:textId="77777777" w:rsidR="009D21A2" w:rsidRPr="00AD7BA1" w:rsidRDefault="009D21A2" w:rsidP="00BF59EE">
      <w:pPr>
        <w:ind w:left="426" w:hanging="426"/>
        <w:rPr>
          <w:sz w:val="24"/>
          <w:szCs w:val="24"/>
        </w:rPr>
      </w:pPr>
      <w:r w:rsidRPr="00AD7BA1">
        <w:rPr>
          <w:sz w:val="24"/>
          <w:szCs w:val="24"/>
        </w:rPr>
        <w:t xml:space="preserve">a) </w:t>
      </w:r>
      <w:r w:rsidRPr="00AD7BA1">
        <w:rPr>
          <w:sz w:val="24"/>
          <w:szCs w:val="24"/>
        </w:rPr>
        <w:tab/>
        <w:t>Sikkerhedsanalysesæt (alle randomiserede personer med mindst en dosis af studielægemidlet), ICAC: Independent Clinical Adjudication Committee (uafhængig klinisk bedømmelseskomité)</w:t>
      </w:r>
    </w:p>
    <w:p w14:paraId="08D0E821" w14:textId="77777777" w:rsidR="009D21A2" w:rsidRPr="00AD7BA1" w:rsidRDefault="009D21A2" w:rsidP="00BF59EE">
      <w:pPr>
        <w:ind w:left="426" w:hanging="426"/>
        <w:rPr>
          <w:sz w:val="24"/>
          <w:szCs w:val="24"/>
        </w:rPr>
      </w:pPr>
      <w:r w:rsidRPr="00AD7BA1">
        <w:rPr>
          <w:sz w:val="24"/>
          <w:szCs w:val="24"/>
        </w:rPr>
        <w:t xml:space="preserve">b) </w:t>
      </w:r>
      <w:r w:rsidRPr="00AD7BA1">
        <w:rPr>
          <w:sz w:val="24"/>
          <w:szCs w:val="24"/>
        </w:rPr>
        <w:tab/>
        <w:t>n = antal personer med hændelser, N = antal personer i risiko, % = 100 * n/N, n/100 personår = forhold af antallet af personer med hændelser / kumulativ tid med risiko</w:t>
      </w:r>
    </w:p>
    <w:p w14:paraId="5165DEA1" w14:textId="77777777" w:rsidR="009D21A2" w:rsidRPr="00AD7BA1" w:rsidRDefault="009D21A2" w:rsidP="00BF59EE">
      <w:pPr>
        <w:ind w:left="426" w:hanging="426"/>
        <w:rPr>
          <w:sz w:val="24"/>
          <w:szCs w:val="24"/>
        </w:rPr>
      </w:pPr>
      <w:r w:rsidRPr="00AD7BA1">
        <w:rPr>
          <w:sz w:val="24"/>
          <w:szCs w:val="24"/>
        </w:rPr>
        <w:t xml:space="preserve">c) </w:t>
      </w:r>
      <w:r w:rsidRPr="00AD7BA1">
        <w:rPr>
          <w:sz w:val="24"/>
          <w:szCs w:val="24"/>
        </w:rPr>
        <w:tab/>
        <w:t>HR (95 % CI) er baseret på Cox proportional hazard-model, stratificeret pr. type procedure og clopidogrelanvendelse, med behandling som den eneste kovariat</w:t>
      </w:r>
    </w:p>
    <w:p w14:paraId="4C1A9982" w14:textId="77777777" w:rsidR="009D21A2" w:rsidRPr="00AD7BA1" w:rsidRDefault="009D21A2" w:rsidP="00BF59EE">
      <w:pPr>
        <w:ind w:left="426" w:hanging="426"/>
        <w:rPr>
          <w:sz w:val="24"/>
          <w:szCs w:val="24"/>
        </w:rPr>
      </w:pPr>
      <w:r w:rsidRPr="00AD7BA1">
        <w:rPr>
          <w:sz w:val="24"/>
          <w:szCs w:val="24"/>
        </w:rPr>
        <w:t xml:space="preserve">d) </w:t>
      </w:r>
      <w:r w:rsidRPr="00AD7BA1">
        <w:rPr>
          <w:sz w:val="24"/>
          <w:szCs w:val="24"/>
        </w:rPr>
        <w:tab/>
        <w:t>Tosidet p-værdi er baseret på log rank-testen, stratificeret pr. type procedure og clopidogrel- anvendelse, med behandling som en faktor</w:t>
      </w:r>
    </w:p>
    <w:p w14:paraId="337FF3F5" w14:textId="69A69CCD" w:rsidR="00AD7BA1" w:rsidRDefault="00AD7BA1">
      <w:pPr>
        <w:rPr>
          <w:sz w:val="24"/>
          <w:szCs w:val="24"/>
        </w:rPr>
      </w:pPr>
      <w:r>
        <w:rPr>
          <w:sz w:val="24"/>
          <w:szCs w:val="24"/>
        </w:rPr>
        <w:br w:type="page"/>
      </w:r>
    </w:p>
    <w:p w14:paraId="37DA632D" w14:textId="77777777" w:rsidR="009D21A2" w:rsidRPr="00AD7BA1" w:rsidRDefault="009D21A2" w:rsidP="0068338F">
      <w:pPr>
        <w:ind w:left="851"/>
        <w:rPr>
          <w:sz w:val="24"/>
          <w:szCs w:val="24"/>
        </w:rPr>
      </w:pPr>
    </w:p>
    <w:p w14:paraId="4EBECEC7" w14:textId="77777777" w:rsidR="009D21A2" w:rsidRPr="00AD7BA1" w:rsidRDefault="009D21A2" w:rsidP="0068338F">
      <w:pPr>
        <w:ind w:left="851"/>
        <w:rPr>
          <w:sz w:val="24"/>
          <w:szCs w:val="24"/>
          <w:u w:val="single"/>
        </w:rPr>
      </w:pPr>
      <w:r w:rsidRPr="00AD7BA1">
        <w:rPr>
          <w:sz w:val="24"/>
          <w:szCs w:val="24"/>
          <w:u w:val="single"/>
        </w:rPr>
        <w:t>CAD med hjertesvigt</w:t>
      </w:r>
    </w:p>
    <w:p w14:paraId="090F7ACB" w14:textId="77777777" w:rsidR="009D21A2" w:rsidRPr="00AD7BA1" w:rsidRDefault="009D21A2" w:rsidP="0068338F">
      <w:pPr>
        <w:ind w:left="851"/>
        <w:rPr>
          <w:sz w:val="24"/>
          <w:szCs w:val="24"/>
        </w:rPr>
      </w:pPr>
      <w:r w:rsidRPr="00AD7BA1">
        <w:rPr>
          <w:b/>
          <w:sz w:val="24"/>
          <w:szCs w:val="24"/>
        </w:rPr>
        <w:t xml:space="preserve">COMMANDER </w:t>
      </w:r>
      <w:proofErr w:type="gramStart"/>
      <w:r w:rsidRPr="00AD7BA1">
        <w:rPr>
          <w:b/>
          <w:sz w:val="24"/>
          <w:szCs w:val="24"/>
        </w:rPr>
        <w:t>HF</w:t>
      </w:r>
      <w:r w:rsidRPr="00AD7BA1">
        <w:rPr>
          <w:sz w:val="24"/>
          <w:szCs w:val="24"/>
        </w:rPr>
        <w:t xml:space="preserve"> studiet</w:t>
      </w:r>
      <w:proofErr w:type="gramEnd"/>
      <w:r w:rsidRPr="00AD7BA1">
        <w:rPr>
          <w:sz w:val="24"/>
          <w:szCs w:val="24"/>
        </w:rPr>
        <w:t xml:space="preserve"> inkluderede 5.022 patienter med hjertesvigt og signifikant koronararteriesygdom (CAD) efter en indlæggelse af dekompenseret hjertesvigt (HF). Patienterne blev tilfældigt inddelt i en af de to behandlingsgrupper: rivaroxaban 2,5 mg to gange dagligt (n=2.507) eller tilsvarende med placebo (n=2.515). Medianen for behandlingstiden i studiet var 504 dage. Patienterne skulle have haft symptomatisk HF i minimum 3 måneder og en venstre ventrikel uddrivningsfraktion (LVEF) på ≤40 % indenfor det første år af deres deltagelse i studiet. Ved baseline var medianen af uddrivningsfraktionen 34 % (IQR: 28 % – 38 %) og 53 % af patienterne var NYHA klasse III eller IV.</w:t>
      </w:r>
    </w:p>
    <w:p w14:paraId="1A57A237" w14:textId="501B951B" w:rsidR="009D21A2" w:rsidRPr="00AD7BA1" w:rsidRDefault="009D21A2" w:rsidP="00BF59EE">
      <w:pPr>
        <w:ind w:left="851"/>
        <w:rPr>
          <w:sz w:val="24"/>
          <w:szCs w:val="24"/>
        </w:rPr>
      </w:pPr>
      <w:r w:rsidRPr="00AD7BA1">
        <w:rPr>
          <w:sz w:val="24"/>
          <w:szCs w:val="24"/>
        </w:rPr>
        <w:t>Den primære effektivitetsanalyse (dvs. dødsfald uanset årsag, MI eller apopleksi) viste ingen statistisk signifikant forskel mellem gruppen, der fik rivaroxaban 2,5 mg to gange dagligt og placebogruppen med en HR=0,94 (95 % CI 0,84 – 1,05), p=0,270. For dødsfald uanset årsag var der ingen forskel mellem rivaroxaban og placebo i antallet af hændelser (hændelsesraten pr. 100 patientår; 11,41 kontra 11,63, HR: 0,98; 95 % CI: 0,87 til 1,10; p=0,743). Hændelsesraten for MI pr. 100 patientår</w:t>
      </w:r>
      <w:r w:rsidR="00AF6CB0" w:rsidRPr="00AD7BA1">
        <w:rPr>
          <w:sz w:val="24"/>
          <w:szCs w:val="24"/>
        </w:rPr>
        <w:t xml:space="preserve"> </w:t>
      </w:r>
      <w:r w:rsidRPr="00AD7BA1">
        <w:rPr>
          <w:sz w:val="24"/>
          <w:szCs w:val="24"/>
        </w:rPr>
        <w:t>(rivaroxaban kontra placebo) var 2,08 kontra 2,52 (HR 0,83; 95 % :0,63 til 1,08; p=0,165) og for</w:t>
      </w:r>
      <w:r w:rsidR="00AF6CB0" w:rsidRPr="00AD7BA1">
        <w:rPr>
          <w:sz w:val="24"/>
          <w:szCs w:val="24"/>
        </w:rPr>
        <w:t xml:space="preserve"> </w:t>
      </w:r>
      <w:r w:rsidRPr="00AD7BA1">
        <w:rPr>
          <w:sz w:val="24"/>
          <w:szCs w:val="24"/>
        </w:rPr>
        <w:t>apopleksi var hændelse</w:t>
      </w:r>
      <w:r w:rsidR="00AD7BA1">
        <w:rPr>
          <w:sz w:val="24"/>
          <w:szCs w:val="24"/>
        </w:rPr>
        <w:t>s</w:t>
      </w:r>
      <w:r w:rsidRPr="00AD7BA1">
        <w:rPr>
          <w:sz w:val="24"/>
          <w:szCs w:val="24"/>
        </w:rPr>
        <w:t>raten pr. 100 patientår 1,08 kontra 1,62 (HR: 0,66;95 % CI: 0,47 til 0,95; p=0,023). Det primære endepunkt (dvs. dødelig blødningshændelse eller blødning i et kritisk organ med risiko for permanent skade), skete hos 18 (0,7 %) patienter i gruppen med rivaroxanban 2,5 mg to gange dagligt og hos 23 (0,9 %) patienter i placebogruppen, respektivt (HR=0,08; 95 % CI 0,43-1,49; p=0,484). Der var en statistisk signifikant forøgelse i ISTH alvorlige blødninger i rivaroxaban</w:t>
      </w:r>
      <w:r w:rsidR="00AF6CB0" w:rsidRPr="00AD7BA1">
        <w:rPr>
          <w:sz w:val="24"/>
          <w:szCs w:val="24"/>
        </w:rPr>
        <w:t>-</w:t>
      </w:r>
      <w:r w:rsidRPr="00AD7BA1">
        <w:rPr>
          <w:sz w:val="24"/>
          <w:szCs w:val="24"/>
        </w:rPr>
        <w:t>gruppen sammenlignet med placebo (hændelsesraten pr. 100 patientår: 2,04 kontra 1,21; HR 1,68;</w:t>
      </w:r>
      <w:r w:rsidR="00BF59EE" w:rsidRPr="00AD7BA1">
        <w:rPr>
          <w:sz w:val="24"/>
          <w:szCs w:val="24"/>
        </w:rPr>
        <w:t xml:space="preserve"> </w:t>
      </w:r>
      <w:r w:rsidRPr="00AD7BA1">
        <w:rPr>
          <w:sz w:val="24"/>
          <w:szCs w:val="24"/>
        </w:rPr>
        <w:t>95 % CI: 1,18 til 2,39; p=0,003).</w:t>
      </w:r>
    </w:p>
    <w:p w14:paraId="2EF6C624" w14:textId="77777777" w:rsidR="009D21A2" w:rsidRPr="00AD7BA1" w:rsidRDefault="009D21A2" w:rsidP="00BF59EE">
      <w:pPr>
        <w:ind w:left="851"/>
        <w:rPr>
          <w:sz w:val="24"/>
          <w:szCs w:val="24"/>
        </w:rPr>
      </w:pPr>
      <w:r w:rsidRPr="00AD7BA1">
        <w:rPr>
          <w:sz w:val="24"/>
          <w:szCs w:val="24"/>
        </w:rPr>
        <w:t>I patienter med mild til moderat hjertesvigt var effekten af behandlingen fra COMPASS studiets undergruppe det samme som for hele studiets patientpopulation (se afsnit CAD/PAD).</w:t>
      </w:r>
    </w:p>
    <w:p w14:paraId="4C1C195C" w14:textId="77777777" w:rsidR="009D21A2" w:rsidRPr="00AD7BA1" w:rsidRDefault="009D21A2" w:rsidP="0068338F">
      <w:pPr>
        <w:ind w:left="851"/>
        <w:rPr>
          <w:sz w:val="24"/>
          <w:szCs w:val="24"/>
        </w:rPr>
      </w:pPr>
    </w:p>
    <w:p w14:paraId="6D05C6CB" w14:textId="77777777" w:rsidR="009D21A2" w:rsidRPr="00AD7BA1" w:rsidRDefault="009D21A2" w:rsidP="0068338F">
      <w:pPr>
        <w:ind w:left="851"/>
        <w:rPr>
          <w:sz w:val="24"/>
          <w:szCs w:val="24"/>
          <w:u w:val="single"/>
        </w:rPr>
      </w:pPr>
      <w:r w:rsidRPr="00AD7BA1">
        <w:rPr>
          <w:sz w:val="24"/>
          <w:szCs w:val="24"/>
          <w:u w:val="single"/>
        </w:rPr>
        <w:t>Højrisikopatienter med tredobbelt positiv antifosfolipidsyndrom</w:t>
      </w:r>
    </w:p>
    <w:p w14:paraId="11A85AED" w14:textId="77777777" w:rsidR="009D21A2" w:rsidRPr="00AD7BA1" w:rsidRDefault="009D21A2" w:rsidP="0068338F">
      <w:pPr>
        <w:ind w:left="851"/>
        <w:rPr>
          <w:sz w:val="24"/>
          <w:szCs w:val="24"/>
        </w:rPr>
      </w:pPr>
      <w:r w:rsidRPr="00AD7BA1">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02B4EF46" w14:textId="77777777" w:rsidR="009D21A2" w:rsidRPr="00AD7BA1" w:rsidRDefault="009D21A2" w:rsidP="0068338F">
      <w:pPr>
        <w:ind w:left="851"/>
        <w:rPr>
          <w:sz w:val="24"/>
          <w:szCs w:val="24"/>
        </w:rPr>
      </w:pPr>
    </w:p>
    <w:p w14:paraId="724BF43E" w14:textId="77777777" w:rsidR="009D21A2" w:rsidRPr="00AD7BA1" w:rsidRDefault="009D21A2" w:rsidP="0068338F">
      <w:pPr>
        <w:ind w:left="851"/>
        <w:rPr>
          <w:sz w:val="24"/>
          <w:szCs w:val="24"/>
          <w:u w:val="single"/>
        </w:rPr>
      </w:pPr>
      <w:r w:rsidRPr="00AD7BA1">
        <w:rPr>
          <w:sz w:val="24"/>
          <w:szCs w:val="24"/>
          <w:u w:val="single"/>
        </w:rPr>
        <w:t>Pædiatrisk population</w:t>
      </w:r>
    </w:p>
    <w:p w14:paraId="66E5E7FC" w14:textId="5FD4E96A" w:rsidR="009D21A2" w:rsidRPr="00AD7BA1" w:rsidRDefault="009D21A2" w:rsidP="0068338F">
      <w:pPr>
        <w:ind w:left="851"/>
        <w:rPr>
          <w:sz w:val="24"/>
          <w:szCs w:val="24"/>
        </w:rPr>
      </w:pPr>
      <w:r w:rsidRPr="00AD7BA1">
        <w:rPr>
          <w:sz w:val="24"/>
          <w:szCs w:val="24"/>
        </w:rPr>
        <w:t xml:space="preserve">Det Europæiske Lægemiddelagentur har dispenseret fra kravet om at fremlægge resultaterne af studier med </w:t>
      </w:r>
      <w:r w:rsidR="00AF6CB0" w:rsidRPr="00AD7BA1">
        <w:rPr>
          <w:sz w:val="24"/>
          <w:szCs w:val="24"/>
        </w:rPr>
        <w:t>Rixacam</w:t>
      </w:r>
      <w:r w:rsidRPr="00AD7BA1">
        <w:rPr>
          <w:sz w:val="24"/>
          <w:szCs w:val="24"/>
        </w:rPr>
        <w:t xml:space="preserve"> i alle undergrupper af den pædiatriske population ved forebyggelse af tromboemboliske hændelser (se pkt. 4.2 for oplysninger om pædiatrisk anvendelse).</w:t>
      </w:r>
    </w:p>
    <w:p w14:paraId="2F8112D7" w14:textId="4D340BE4" w:rsidR="00AD7BA1" w:rsidRDefault="00AD7BA1">
      <w:pPr>
        <w:rPr>
          <w:sz w:val="24"/>
          <w:szCs w:val="24"/>
        </w:rPr>
      </w:pPr>
      <w:r>
        <w:rPr>
          <w:sz w:val="24"/>
          <w:szCs w:val="24"/>
        </w:rPr>
        <w:br w:type="page"/>
      </w:r>
    </w:p>
    <w:p w14:paraId="60B916EC" w14:textId="77777777" w:rsidR="009260DE" w:rsidRPr="00AD7BA1" w:rsidRDefault="009260DE" w:rsidP="009260DE">
      <w:pPr>
        <w:tabs>
          <w:tab w:val="left" w:pos="851"/>
        </w:tabs>
        <w:ind w:left="851"/>
        <w:rPr>
          <w:sz w:val="24"/>
          <w:szCs w:val="24"/>
        </w:rPr>
      </w:pPr>
    </w:p>
    <w:p w14:paraId="05BC7FA0" w14:textId="77777777" w:rsidR="009260DE" w:rsidRPr="00AD7BA1" w:rsidRDefault="009260DE" w:rsidP="009260DE">
      <w:pPr>
        <w:tabs>
          <w:tab w:val="left" w:pos="851"/>
        </w:tabs>
        <w:ind w:left="851" w:hanging="851"/>
        <w:rPr>
          <w:b/>
          <w:sz w:val="24"/>
          <w:szCs w:val="24"/>
        </w:rPr>
      </w:pPr>
      <w:r w:rsidRPr="00AD7BA1">
        <w:rPr>
          <w:b/>
          <w:sz w:val="24"/>
          <w:szCs w:val="24"/>
        </w:rPr>
        <w:t>5.2</w:t>
      </w:r>
      <w:r w:rsidRPr="00AD7BA1">
        <w:rPr>
          <w:b/>
          <w:sz w:val="24"/>
          <w:szCs w:val="24"/>
        </w:rPr>
        <w:tab/>
        <w:t>Farmakokinetiske egenskaber</w:t>
      </w:r>
    </w:p>
    <w:p w14:paraId="0CA0C2A7" w14:textId="77777777" w:rsidR="00AF6CB0" w:rsidRPr="00AD7BA1" w:rsidRDefault="00AF6CB0" w:rsidP="0068338F">
      <w:pPr>
        <w:ind w:left="851"/>
        <w:rPr>
          <w:sz w:val="24"/>
          <w:szCs w:val="24"/>
        </w:rPr>
      </w:pPr>
    </w:p>
    <w:p w14:paraId="32029801" w14:textId="5C8F9DAC" w:rsidR="009D21A2" w:rsidRPr="00AD7BA1" w:rsidRDefault="009D21A2" w:rsidP="0068338F">
      <w:pPr>
        <w:ind w:left="851"/>
        <w:rPr>
          <w:sz w:val="24"/>
          <w:szCs w:val="24"/>
          <w:u w:val="single"/>
        </w:rPr>
      </w:pPr>
      <w:r w:rsidRPr="00AD7BA1">
        <w:rPr>
          <w:sz w:val="24"/>
          <w:szCs w:val="24"/>
          <w:u w:val="single"/>
        </w:rPr>
        <w:t>Absorption</w:t>
      </w:r>
    </w:p>
    <w:p w14:paraId="288E35A8" w14:textId="77777777" w:rsidR="009D21A2" w:rsidRPr="00AD7BA1" w:rsidRDefault="009D21A2" w:rsidP="0068338F">
      <w:pPr>
        <w:ind w:left="851"/>
        <w:rPr>
          <w:sz w:val="24"/>
          <w:szCs w:val="24"/>
        </w:rPr>
      </w:pPr>
      <w:r w:rsidRPr="00AD7BA1">
        <w:rPr>
          <w:sz w:val="24"/>
          <w:szCs w:val="24"/>
        </w:rPr>
        <w:t>Rivaroxaban absorberes hurtigt, og den maksimale koncentration (C</w:t>
      </w:r>
      <w:r w:rsidRPr="00AD7BA1">
        <w:rPr>
          <w:sz w:val="24"/>
          <w:szCs w:val="24"/>
          <w:vertAlign w:val="subscript"/>
        </w:rPr>
        <w:t>max</w:t>
      </w:r>
      <w:r w:rsidRPr="00AD7BA1">
        <w:rPr>
          <w:sz w:val="24"/>
          <w:szCs w:val="24"/>
        </w:rPr>
        <w:t>) opnås 2 - 4 timer efter tabletindtagelsen.</w:t>
      </w:r>
    </w:p>
    <w:p w14:paraId="72AD38F5" w14:textId="77777777" w:rsidR="009D21A2" w:rsidRPr="00AD7BA1" w:rsidRDefault="009D21A2" w:rsidP="0068338F">
      <w:pPr>
        <w:ind w:left="851"/>
        <w:rPr>
          <w:sz w:val="24"/>
          <w:szCs w:val="24"/>
        </w:rPr>
      </w:pPr>
      <w:r w:rsidRPr="00AD7BA1">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AD7BA1">
        <w:rPr>
          <w:sz w:val="24"/>
          <w:szCs w:val="24"/>
          <w:vertAlign w:val="subscript"/>
        </w:rPr>
        <w:t>max</w:t>
      </w:r>
      <w:r w:rsidRPr="00AD7BA1">
        <w:rPr>
          <w:sz w:val="24"/>
          <w:szCs w:val="24"/>
        </w:rPr>
        <w:t xml:space="preserve"> efter en 2,5 mg- og 10 mg-dosis.</w:t>
      </w:r>
    </w:p>
    <w:p w14:paraId="7A6F016B" w14:textId="77777777" w:rsidR="009D21A2" w:rsidRPr="00AD7BA1" w:rsidRDefault="009D21A2" w:rsidP="0068338F">
      <w:pPr>
        <w:ind w:left="851"/>
        <w:rPr>
          <w:sz w:val="24"/>
          <w:szCs w:val="24"/>
        </w:rPr>
      </w:pPr>
      <w:r w:rsidRPr="00AD7BA1">
        <w:rPr>
          <w:sz w:val="24"/>
          <w:szCs w:val="24"/>
        </w:rPr>
        <w:t>Rivaroxaban 2,5 mg- og 10 mg-tabletterne kan tages sammen med eller uden mad.</w:t>
      </w:r>
    </w:p>
    <w:p w14:paraId="0F964DCD" w14:textId="77777777" w:rsidR="009D21A2" w:rsidRPr="00E10279" w:rsidRDefault="009D21A2" w:rsidP="0068338F">
      <w:pPr>
        <w:ind w:left="851"/>
        <w:rPr>
          <w:sz w:val="24"/>
          <w:szCs w:val="24"/>
          <w:lang w:val="sv-SE"/>
        </w:rPr>
      </w:pPr>
      <w:r w:rsidRPr="00AD7BA1">
        <w:rPr>
          <w:sz w:val="24"/>
          <w:szCs w:val="24"/>
        </w:rPr>
        <w:t xml:space="preserve">Rivaroxabans farmakokinetik er tilnærmelsesvis lineær op til omkring 15 mg én gang dagligt. Ved højere doser rivaroxaban vises en opløsningsbegrænset absorption med faldende biotilgængelighed og faldende absorptionsfrekvens ved øget dosis. Dette er mere markant i fastende tilstand end med samtidig fødeindtagelse. </w:t>
      </w:r>
      <w:r w:rsidRPr="00E10279">
        <w:rPr>
          <w:sz w:val="24"/>
          <w:szCs w:val="24"/>
          <w:lang w:val="sv-SE"/>
        </w:rPr>
        <w:t>Variationen i rivaroxabans farmakokinetik er moderat med interindividuel variation (variationskoefficient) i intervallet 30 - 40 %.</w:t>
      </w:r>
    </w:p>
    <w:p w14:paraId="1433628E" w14:textId="2712FB0A" w:rsidR="009D21A2" w:rsidRPr="00AD7BA1" w:rsidRDefault="009D21A2" w:rsidP="0068338F">
      <w:pPr>
        <w:ind w:left="851"/>
        <w:rPr>
          <w:sz w:val="24"/>
          <w:szCs w:val="24"/>
        </w:rPr>
      </w:pPr>
      <w:r w:rsidRPr="00AD7BA1">
        <w:rPr>
          <w:sz w:val="24"/>
          <w:szCs w:val="24"/>
        </w:rPr>
        <w:t>Absorptionen af rivaroxaban er afhængig af, hvor det frigøres i mave-tarm-kanalen. Der blev rapporteret en 29 % og 56 % reduktion i AUC og C</w:t>
      </w:r>
      <w:r w:rsidRPr="00AD7BA1">
        <w:rPr>
          <w:sz w:val="24"/>
          <w:szCs w:val="24"/>
          <w:vertAlign w:val="subscript"/>
        </w:rPr>
        <w:t>max</w:t>
      </w:r>
      <w:r w:rsidRPr="00AD7BA1">
        <w:rPr>
          <w:sz w:val="24"/>
          <w:szCs w:val="24"/>
        </w:rPr>
        <w:t>, sammenlignet med tabletten, når rivaroxaban-granulat frigøres i den proksimale tyndtarm. Eksponeringen reduceres yde</w:t>
      </w:r>
      <w:r w:rsidR="00AD7BA1">
        <w:rPr>
          <w:sz w:val="24"/>
          <w:szCs w:val="24"/>
        </w:rPr>
        <w:t>r</w:t>
      </w:r>
      <w:r w:rsidRPr="00AD7BA1">
        <w:rPr>
          <w:sz w:val="24"/>
          <w:szCs w:val="24"/>
        </w:rPr>
        <w:t>ligere, når rivaroxaban frigøres i den distale tyndtarm eller ascenderende kolon. Derfor bør administration af rivaroxaban distalt for mavesækken undgås, da dette kan medføre reduceret absorption og rivaroxaban-eksponering.</w:t>
      </w:r>
    </w:p>
    <w:p w14:paraId="12589417" w14:textId="77777777" w:rsidR="009D21A2" w:rsidRPr="00AD7BA1" w:rsidRDefault="009D21A2" w:rsidP="0068338F">
      <w:pPr>
        <w:ind w:left="851"/>
        <w:rPr>
          <w:sz w:val="24"/>
          <w:szCs w:val="24"/>
        </w:rPr>
      </w:pPr>
      <w:r w:rsidRPr="00AD7BA1">
        <w:rPr>
          <w:sz w:val="24"/>
          <w:szCs w:val="24"/>
        </w:rPr>
        <w:t>Biotilgængeligheden (AUC og C</w:t>
      </w:r>
      <w:r w:rsidRPr="00AD7BA1">
        <w:rPr>
          <w:sz w:val="24"/>
          <w:szCs w:val="24"/>
          <w:vertAlign w:val="subscript"/>
        </w:rPr>
        <w:t>max</w:t>
      </w:r>
      <w:r w:rsidRPr="00AD7BA1">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6B35FA2A" w14:textId="77777777" w:rsidR="009D21A2" w:rsidRPr="00AD7BA1" w:rsidRDefault="009D21A2" w:rsidP="0068338F">
      <w:pPr>
        <w:ind w:left="851"/>
        <w:rPr>
          <w:sz w:val="24"/>
          <w:szCs w:val="24"/>
        </w:rPr>
      </w:pPr>
    </w:p>
    <w:p w14:paraId="10CB05DC" w14:textId="77777777" w:rsidR="009D21A2" w:rsidRPr="00AD7BA1" w:rsidRDefault="009D21A2" w:rsidP="0068338F">
      <w:pPr>
        <w:ind w:left="851"/>
        <w:rPr>
          <w:sz w:val="24"/>
          <w:szCs w:val="24"/>
          <w:u w:val="single"/>
        </w:rPr>
      </w:pPr>
      <w:r w:rsidRPr="00AD7BA1">
        <w:rPr>
          <w:sz w:val="24"/>
          <w:szCs w:val="24"/>
          <w:u w:val="single"/>
        </w:rPr>
        <w:t>Fordeling</w:t>
      </w:r>
    </w:p>
    <w:p w14:paraId="6B265172" w14:textId="77777777" w:rsidR="00BB5D0F" w:rsidRPr="00AD7BA1" w:rsidRDefault="009D21A2" w:rsidP="0068338F">
      <w:pPr>
        <w:ind w:left="851"/>
        <w:rPr>
          <w:sz w:val="24"/>
          <w:szCs w:val="24"/>
        </w:rPr>
      </w:pPr>
      <w:r w:rsidRPr="00AD7BA1">
        <w:rPr>
          <w:sz w:val="24"/>
          <w:szCs w:val="24"/>
        </w:rPr>
        <w:t>Plasmaproteinbindingen hos mennesker er høj og ligger omkring 92 - 95 %. Serumalbumin er hovedkomponenten i denne binding. Fordelingsvolumenet er moderat, idet Vss er cirka 50 liter.</w:t>
      </w:r>
    </w:p>
    <w:p w14:paraId="69E09515" w14:textId="77777777" w:rsidR="00AF6CB0" w:rsidRPr="00AD7BA1" w:rsidRDefault="00AF6CB0" w:rsidP="0068338F">
      <w:pPr>
        <w:ind w:left="851"/>
        <w:rPr>
          <w:sz w:val="24"/>
          <w:szCs w:val="24"/>
        </w:rPr>
      </w:pPr>
    </w:p>
    <w:p w14:paraId="1A844F09" w14:textId="0E583B1E" w:rsidR="009D21A2" w:rsidRPr="00AD7BA1" w:rsidRDefault="009D21A2" w:rsidP="0068338F">
      <w:pPr>
        <w:ind w:left="851"/>
        <w:rPr>
          <w:sz w:val="24"/>
          <w:szCs w:val="24"/>
          <w:u w:val="single"/>
        </w:rPr>
      </w:pPr>
      <w:r w:rsidRPr="00AD7BA1">
        <w:rPr>
          <w:sz w:val="24"/>
          <w:szCs w:val="24"/>
          <w:u w:val="single"/>
        </w:rPr>
        <w:t>Biotransformation og elimination</w:t>
      </w:r>
    </w:p>
    <w:p w14:paraId="60D8D4CC" w14:textId="77777777" w:rsidR="009D21A2" w:rsidRPr="00AD7BA1" w:rsidRDefault="009D21A2" w:rsidP="0068338F">
      <w:pPr>
        <w:ind w:left="851"/>
        <w:rPr>
          <w:sz w:val="24"/>
          <w:szCs w:val="24"/>
        </w:rPr>
      </w:pPr>
      <w:r w:rsidRPr="00AD7BA1">
        <w:rPr>
          <w:sz w:val="24"/>
          <w:szCs w:val="24"/>
        </w:rPr>
        <w:t>Ca. 2/3 af den administrerede rivaroxabandosis nedbrydes ved metabolisering, hvoraf halvdelen udskilles med urinen og den anden halvdel med fæces. Den sidste tredjedel af den administrerede dosis udskilles uændret i urinen, fortrinsvis via aktiv renal sekretion.</w:t>
      </w:r>
    </w:p>
    <w:p w14:paraId="79688FB7" w14:textId="77777777" w:rsidR="009D21A2" w:rsidRPr="00AD7BA1" w:rsidRDefault="009D21A2" w:rsidP="0068338F">
      <w:pPr>
        <w:ind w:left="851"/>
        <w:rPr>
          <w:sz w:val="24"/>
          <w:szCs w:val="24"/>
        </w:rPr>
      </w:pPr>
      <w:r w:rsidRPr="00AD7BA1">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3B5E581E" w14:textId="77777777" w:rsidR="009D21A2" w:rsidRPr="00AD7BA1" w:rsidRDefault="009D21A2" w:rsidP="0068338F">
      <w:pPr>
        <w:ind w:left="851"/>
        <w:rPr>
          <w:sz w:val="24"/>
          <w:szCs w:val="24"/>
        </w:rPr>
      </w:pPr>
      <w:r w:rsidRPr="00AD7BA1">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5 - 9 timer hos unge voksne og 11 - 13 timer hos ældre.</w:t>
      </w:r>
    </w:p>
    <w:p w14:paraId="2D673B76" w14:textId="77777777" w:rsidR="009D21A2" w:rsidRPr="00AD7BA1" w:rsidRDefault="009D21A2" w:rsidP="0068338F">
      <w:pPr>
        <w:ind w:left="851"/>
        <w:rPr>
          <w:sz w:val="24"/>
          <w:szCs w:val="24"/>
        </w:rPr>
      </w:pPr>
    </w:p>
    <w:p w14:paraId="6C60D90F" w14:textId="77777777" w:rsidR="009D21A2" w:rsidRPr="00AD7BA1" w:rsidRDefault="009D21A2" w:rsidP="0068338F">
      <w:pPr>
        <w:ind w:left="851"/>
        <w:rPr>
          <w:sz w:val="24"/>
          <w:szCs w:val="24"/>
          <w:u w:val="single"/>
        </w:rPr>
      </w:pPr>
      <w:r w:rsidRPr="00AD7BA1">
        <w:rPr>
          <w:sz w:val="24"/>
          <w:szCs w:val="24"/>
          <w:u w:val="single"/>
        </w:rPr>
        <w:t>Særlige populationer</w:t>
      </w:r>
    </w:p>
    <w:p w14:paraId="5A740152" w14:textId="77777777" w:rsidR="009D21A2" w:rsidRPr="00AD7BA1" w:rsidRDefault="009D21A2" w:rsidP="0068338F">
      <w:pPr>
        <w:ind w:left="851"/>
        <w:rPr>
          <w:i/>
          <w:sz w:val="24"/>
          <w:szCs w:val="24"/>
        </w:rPr>
      </w:pPr>
      <w:r w:rsidRPr="00AD7BA1">
        <w:rPr>
          <w:i/>
          <w:sz w:val="24"/>
          <w:szCs w:val="24"/>
        </w:rPr>
        <w:t>Køn</w:t>
      </w:r>
    </w:p>
    <w:p w14:paraId="2F637DC8" w14:textId="77777777" w:rsidR="009D21A2" w:rsidRPr="00AD7BA1" w:rsidRDefault="009D21A2" w:rsidP="0068338F">
      <w:pPr>
        <w:ind w:left="851"/>
        <w:rPr>
          <w:sz w:val="24"/>
          <w:szCs w:val="24"/>
        </w:rPr>
      </w:pPr>
      <w:r w:rsidRPr="00AD7BA1">
        <w:rPr>
          <w:sz w:val="24"/>
          <w:szCs w:val="24"/>
        </w:rPr>
        <w:t>Der var ingen klinisk relevante forskelle mellem mænd og kvinder, hvad angår farmakokinetik og farmakodynamik.</w:t>
      </w:r>
    </w:p>
    <w:p w14:paraId="5FDD39F8" w14:textId="77777777" w:rsidR="009D21A2" w:rsidRPr="00AD7BA1" w:rsidRDefault="009D21A2" w:rsidP="0068338F">
      <w:pPr>
        <w:ind w:left="851"/>
        <w:rPr>
          <w:sz w:val="24"/>
          <w:szCs w:val="24"/>
        </w:rPr>
      </w:pPr>
    </w:p>
    <w:p w14:paraId="3F96B070" w14:textId="77777777" w:rsidR="009D21A2" w:rsidRPr="00AD7BA1" w:rsidRDefault="009D21A2" w:rsidP="0068338F">
      <w:pPr>
        <w:ind w:left="851"/>
        <w:rPr>
          <w:i/>
          <w:sz w:val="24"/>
          <w:szCs w:val="24"/>
        </w:rPr>
      </w:pPr>
      <w:r w:rsidRPr="00AD7BA1">
        <w:rPr>
          <w:i/>
          <w:sz w:val="24"/>
          <w:szCs w:val="24"/>
        </w:rPr>
        <w:t>Ældre population</w:t>
      </w:r>
    </w:p>
    <w:p w14:paraId="12FB9F0B" w14:textId="77777777" w:rsidR="009D21A2" w:rsidRPr="00AD7BA1" w:rsidRDefault="009D21A2" w:rsidP="0068338F">
      <w:pPr>
        <w:ind w:left="851"/>
        <w:rPr>
          <w:sz w:val="24"/>
          <w:szCs w:val="24"/>
        </w:rPr>
      </w:pPr>
      <w:r w:rsidRPr="00AD7BA1">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5A11211E" w14:textId="77777777" w:rsidR="009D21A2" w:rsidRPr="00AD7BA1" w:rsidRDefault="009D21A2" w:rsidP="0068338F">
      <w:pPr>
        <w:ind w:left="851"/>
        <w:rPr>
          <w:sz w:val="24"/>
          <w:szCs w:val="24"/>
        </w:rPr>
      </w:pPr>
    </w:p>
    <w:p w14:paraId="5E30579C" w14:textId="77777777" w:rsidR="009D21A2" w:rsidRPr="00AD7BA1" w:rsidRDefault="009D21A2" w:rsidP="0068338F">
      <w:pPr>
        <w:ind w:left="851"/>
        <w:rPr>
          <w:i/>
          <w:sz w:val="24"/>
          <w:szCs w:val="24"/>
        </w:rPr>
      </w:pPr>
      <w:r w:rsidRPr="00AD7BA1">
        <w:rPr>
          <w:i/>
          <w:sz w:val="24"/>
          <w:szCs w:val="24"/>
        </w:rPr>
        <w:t>Forskellige vægtkategorier</w:t>
      </w:r>
    </w:p>
    <w:p w14:paraId="7F9DE218" w14:textId="77777777" w:rsidR="009D21A2" w:rsidRPr="00AD7BA1" w:rsidRDefault="009D21A2" w:rsidP="0068338F">
      <w:pPr>
        <w:ind w:left="851"/>
        <w:rPr>
          <w:sz w:val="24"/>
          <w:szCs w:val="24"/>
        </w:rPr>
      </w:pPr>
      <w:r w:rsidRPr="00AD7BA1">
        <w:rPr>
          <w:sz w:val="24"/>
          <w:szCs w:val="24"/>
        </w:rPr>
        <w:t>Ekstrem legemsvægt (&lt; 50 kg eller &gt; 120 kg) havde kun ringe indvirkning på rivaroxabans plasmakoncentrationer (under 25 %). Der kræves ingen dosisjustering.</w:t>
      </w:r>
    </w:p>
    <w:p w14:paraId="66F7BE88" w14:textId="77777777" w:rsidR="009D21A2" w:rsidRPr="00AD7BA1" w:rsidRDefault="009D21A2" w:rsidP="0068338F">
      <w:pPr>
        <w:ind w:left="851"/>
        <w:rPr>
          <w:sz w:val="24"/>
          <w:szCs w:val="24"/>
        </w:rPr>
      </w:pPr>
    </w:p>
    <w:p w14:paraId="49556583" w14:textId="77777777" w:rsidR="009D21A2" w:rsidRPr="00AD7BA1" w:rsidRDefault="009D21A2" w:rsidP="0068338F">
      <w:pPr>
        <w:ind w:left="851"/>
        <w:rPr>
          <w:i/>
          <w:sz w:val="24"/>
          <w:szCs w:val="24"/>
        </w:rPr>
      </w:pPr>
      <w:r w:rsidRPr="00AD7BA1">
        <w:rPr>
          <w:i/>
          <w:sz w:val="24"/>
          <w:szCs w:val="24"/>
        </w:rPr>
        <w:t>Interetniske forskelle</w:t>
      </w:r>
    </w:p>
    <w:p w14:paraId="6C2420F6" w14:textId="77777777" w:rsidR="009D21A2" w:rsidRPr="00AD7BA1" w:rsidRDefault="009D21A2" w:rsidP="0068338F">
      <w:pPr>
        <w:ind w:left="851"/>
        <w:rPr>
          <w:sz w:val="24"/>
          <w:szCs w:val="24"/>
        </w:rPr>
      </w:pPr>
      <w:r w:rsidRPr="00AD7BA1">
        <w:rPr>
          <w:sz w:val="24"/>
          <w:szCs w:val="24"/>
        </w:rPr>
        <w:t>Der blev ikke observeret nogen klinisk relevante interetniske forskelle mellem kaukasiske (hvide), afroamerikanske, latinamerikanske, japanske og kinesiske patienter, hvad angår rivaroxabans farmakokinetik og farmakodynamik.</w:t>
      </w:r>
    </w:p>
    <w:p w14:paraId="41117D6B" w14:textId="77777777" w:rsidR="009D21A2" w:rsidRPr="00AD7BA1" w:rsidRDefault="009D21A2" w:rsidP="0068338F">
      <w:pPr>
        <w:ind w:left="851"/>
        <w:rPr>
          <w:sz w:val="24"/>
          <w:szCs w:val="24"/>
        </w:rPr>
      </w:pPr>
    </w:p>
    <w:p w14:paraId="57055C0B" w14:textId="77777777" w:rsidR="009D21A2" w:rsidRPr="00AD7BA1" w:rsidRDefault="009D21A2" w:rsidP="0068338F">
      <w:pPr>
        <w:ind w:left="851"/>
        <w:rPr>
          <w:i/>
          <w:sz w:val="24"/>
          <w:szCs w:val="24"/>
        </w:rPr>
      </w:pPr>
      <w:r w:rsidRPr="00AD7BA1">
        <w:rPr>
          <w:i/>
          <w:sz w:val="24"/>
          <w:szCs w:val="24"/>
        </w:rPr>
        <w:t>Nedsat leverfunktion</w:t>
      </w:r>
    </w:p>
    <w:p w14:paraId="03A8FA9A" w14:textId="77777777" w:rsidR="009D21A2" w:rsidRPr="00AD7BA1" w:rsidRDefault="009D21A2" w:rsidP="0068338F">
      <w:pPr>
        <w:ind w:left="851"/>
        <w:rPr>
          <w:sz w:val="24"/>
          <w:szCs w:val="24"/>
        </w:rPr>
      </w:pPr>
      <w:r w:rsidRPr="00AD7BA1">
        <w:rPr>
          <w:sz w:val="24"/>
          <w:szCs w:val="24"/>
        </w:rPr>
        <w:t>Hos cirrosepatienter med svagt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04A288F1" w14:textId="77777777" w:rsidR="009D21A2" w:rsidRPr="00AD7BA1" w:rsidRDefault="009D21A2" w:rsidP="0068338F">
      <w:pPr>
        <w:ind w:left="851"/>
        <w:rPr>
          <w:sz w:val="24"/>
          <w:szCs w:val="24"/>
        </w:rPr>
      </w:pPr>
      <w:r w:rsidRPr="00AD7BA1">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6A6C325B" w14:textId="41143CD6" w:rsidR="009D21A2" w:rsidRPr="00AD7BA1" w:rsidRDefault="009D21A2" w:rsidP="0068338F">
      <w:pPr>
        <w:ind w:left="851"/>
        <w:rPr>
          <w:sz w:val="24"/>
          <w:szCs w:val="24"/>
        </w:rPr>
      </w:pPr>
      <w:r w:rsidRPr="00AD7BA1">
        <w:rPr>
          <w:sz w:val="24"/>
          <w:szCs w:val="24"/>
        </w:rPr>
        <w:t>Rivaroxaban er kontraindiceret hos patienter med leversygdom, der er forbundet med koagulationsdefekt og en klinisk relevant blødningsrisiko, herunder cirrosepatienter med Child-Pugh B og C (se pkt. 4.3).</w:t>
      </w:r>
    </w:p>
    <w:p w14:paraId="53D4BEB9" w14:textId="77777777" w:rsidR="009D21A2" w:rsidRPr="00AD7BA1" w:rsidRDefault="009D21A2" w:rsidP="0068338F">
      <w:pPr>
        <w:ind w:left="851"/>
        <w:rPr>
          <w:sz w:val="24"/>
          <w:szCs w:val="24"/>
        </w:rPr>
      </w:pPr>
    </w:p>
    <w:p w14:paraId="23A5AE1A" w14:textId="77777777" w:rsidR="009D21A2" w:rsidRPr="00AD7BA1" w:rsidRDefault="009D21A2" w:rsidP="0068338F">
      <w:pPr>
        <w:ind w:left="851"/>
        <w:rPr>
          <w:i/>
          <w:sz w:val="24"/>
          <w:szCs w:val="24"/>
        </w:rPr>
      </w:pPr>
      <w:r w:rsidRPr="00AD7BA1">
        <w:rPr>
          <w:i/>
          <w:sz w:val="24"/>
          <w:szCs w:val="24"/>
        </w:rPr>
        <w:t>Nedsat nyrefunktion</w:t>
      </w:r>
    </w:p>
    <w:p w14:paraId="3BA2A1D0" w14:textId="79422024" w:rsidR="009D21A2" w:rsidRPr="00AD7BA1" w:rsidRDefault="009D21A2" w:rsidP="0068338F">
      <w:pPr>
        <w:ind w:left="851"/>
        <w:rPr>
          <w:sz w:val="24"/>
          <w:szCs w:val="24"/>
        </w:rPr>
      </w:pPr>
      <w:r w:rsidRPr="00AD7BA1">
        <w:rPr>
          <w:sz w:val="24"/>
          <w:szCs w:val="24"/>
        </w:rPr>
        <w:t>Der sås en stigning i eksponeringen for rivaroxaban, der var korreleret med reduktionen i nyrefunktionen. Dette blev vurderet ved målinger af patienternes kreatininclearance. Hos personer med let (kreatininclearance 50 - 80 ml/min), moderat (kreatininclearance 30 - 49 ml/min) og svær (kreatininclearance 15 - 29 ml/min) nedsat nyrefunktion sås der en stigning i plasmakoncentrationerne af rivaroxaban (AUC) på henholdsvis 1,4, 1,5 og 1,6 gange. Tilsvarende stigninger i de</w:t>
      </w:r>
      <w:r w:rsidR="00BB5D0F" w:rsidRPr="00AD7BA1">
        <w:rPr>
          <w:sz w:val="24"/>
          <w:szCs w:val="24"/>
        </w:rPr>
        <w:t xml:space="preserve"> </w:t>
      </w:r>
      <w:r w:rsidRPr="00AD7BA1">
        <w:rPr>
          <w:sz w:val="24"/>
          <w:szCs w:val="24"/>
        </w:rPr>
        <w:t>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69267C2E" w14:textId="7EA5195C" w:rsidR="009D21A2" w:rsidRPr="00AD7BA1" w:rsidRDefault="009D21A2" w:rsidP="0068338F">
      <w:pPr>
        <w:ind w:left="851"/>
        <w:rPr>
          <w:sz w:val="24"/>
          <w:szCs w:val="24"/>
        </w:rPr>
      </w:pPr>
      <w:r w:rsidRPr="00AD7BA1">
        <w:rPr>
          <w:sz w:val="24"/>
          <w:szCs w:val="24"/>
        </w:rPr>
        <w:t xml:space="preserve">På grund af rivaroxabans høje plasmaproteinbinding forventes det ikke, at lægemidlet er dialyserbart. </w:t>
      </w:r>
      <w:r w:rsidR="00AF6CB0" w:rsidRPr="00AD7BA1">
        <w:rPr>
          <w:sz w:val="24"/>
          <w:szCs w:val="24"/>
        </w:rPr>
        <w:t>Rixacam</w:t>
      </w:r>
      <w:r w:rsidRPr="00AD7BA1">
        <w:rPr>
          <w:sz w:val="24"/>
          <w:szCs w:val="24"/>
        </w:rPr>
        <w:t xml:space="preserve"> bør ikke anvendes til patienter med en kreatininclearance på &lt; 15 ml/min. Rivaroxaban skal bruges med forsigtighed til patienter med en kreatininclearance på 15 - 29 ml/min (se pkt. 4.4).</w:t>
      </w:r>
    </w:p>
    <w:p w14:paraId="09C22169" w14:textId="77777777" w:rsidR="009D21A2" w:rsidRPr="00AD7BA1" w:rsidRDefault="009D21A2" w:rsidP="0068338F">
      <w:pPr>
        <w:ind w:left="851"/>
        <w:rPr>
          <w:sz w:val="24"/>
          <w:szCs w:val="24"/>
        </w:rPr>
      </w:pPr>
    </w:p>
    <w:p w14:paraId="605BA5D1" w14:textId="77777777" w:rsidR="009D21A2" w:rsidRPr="00AD7BA1" w:rsidRDefault="009D21A2" w:rsidP="0068338F">
      <w:pPr>
        <w:ind w:left="851"/>
        <w:rPr>
          <w:sz w:val="24"/>
          <w:szCs w:val="24"/>
          <w:u w:val="single"/>
        </w:rPr>
      </w:pPr>
      <w:r w:rsidRPr="00AD7BA1">
        <w:rPr>
          <w:sz w:val="24"/>
          <w:szCs w:val="24"/>
          <w:u w:val="single"/>
        </w:rPr>
        <w:t>Farmakokinetiske data for patienter</w:t>
      </w:r>
    </w:p>
    <w:p w14:paraId="79766228" w14:textId="6FDB4B2D" w:rsidR="009D21A2" w:rsidRPr="00AD7BA1" w:rsidRDefault="009D21A2" w:rsidP="0068338F">
      <w:pPr>
        <w:ind w:left="851"/>
        <w:rPr>
          <w:sz w:val="24"/>
          <w:szCs w:val="24"/>
        </w:rPr>
      </w:pPr>
      <w:r w:rsidRPr="00AD7BA1">
        <w:rPr>
          <w:sz w:val="24"/>
          <w:szCs w:val="24"/>
        </w:rPr>
        <w:t>Hos patienter med AKS, der fik rivaroxaban 2,5 mg to gange dagligt til forebyggelse af aterotrombotiske hændelser, var den geometriske middelkoncentration (90 % prediction-interval)</w:t>
      </w:r>
      <w:r w:rsidR="00AF6CB0" w:rsidRPr="00AD7BA1">
        <w:rPr>
          <w:sz w:val="24"/>
          <w:szCs w:val="24"/>
        </w:rPr>
        <w:t xml:space="preserve"> </w:t>
      </w:r>
      <w:r w:rsidRPr="00AD7BA1">
        <w:rPr>
          <w:sz w:val="24"/>
          <w:szCs w:val="24"/>
        </w:rPr>
        <w:t>- 4 timer og ca. 12 timer efter administration henholdsvis 47 (13 - 123) og 9,2 (4,4 - 18) mikrog/l, hvilket stort set svarer til maksimums- og minimumskoncentrationerne i doseringsintervallet.</w:t>
      </w:r>
    </w:p>
    <w:p w14:paraId="4DA0A120" w14:textId="77777777" w:rsidR="009D21A2" w:rsidRPr="00AD7BA1" w:rsidRDefault="009D21A2" w:rsidP="0068338F">
      <w:pPr>
        <w:ind w:left="851"/>
        <w:rPr>
          <w:sz w:val="24"/>
          <w:szCs w:val="24"/>
        </w:rPr>
      </w:pPr>
    </w:p>
    <w:p w14:paraId="26522790" w14:textId="77777777" w:rsidR="009D21A2" w:rsidRPr="00AD7BA1" w:rsidRDefault="009D21A2" w:rsidP="0068338F">
      <w:pPr>
        <w:ind w:left="851"/>
        <w:rPr>
          <w:sz w:val="24"/>
          <w:szCs w:val="24"/>
          <w:u w:val="single"/>
        </w:rPr>
      </w:pPr>
      <w:r w:rsidRPr="00AD7BA1">
        <w:rPr>
          <w:sz w:val="24"/>
          <w:szCs w:val="24"/>
          <w:u w:val="single"/>
        </w:rPr>
        <w:t>Farmakokinetiske/farmakodynamiske forhold</w:t>
      </w:r>
    </w:p>
    <w:p w14:paraId="644097DF" w14:textId="0E9BB590" w:rsidR="009D21A2" w:rsidRPr="00AD7BA1" w:rsidRDefault="009D21A2" w:rsidP="0068338F">
      <w:pPr>
        <w:ind w:left="851"/>
        <w:rPr>
          <w:sz w:val="24"/>
          <w:szCs w:val="24"/>
        </w:rPr>
      </w:pPr>
      <w:r w:rsidRPr="00AD7BA1">
        <w:rPr>
          <w:sz w:val="24"/>
          <w:szCs w:val="24"/>
        </w:rPr>
        <w:t>Det farmakokinetiske/farmakodynamiske forhold (PK/PD) mellem rivaroxabans plasmakoncentrationer og forskellige PD-endepunkter (faktor Xa-hæmning, PT, aPTT, Heptest) er blevet evalueret efter indgivelse i et bredt dosisinterval (5 - 30 mg to gange dagligt).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3 - 4 s</w:t>
      </w:r>
      <w:proofErr w:type="gramStart"/>
      <w:r w:rsidRPr="00AD7BA1">
        <w:rPr>
          <w:sz w:val="24"/>
          <w:szCs w:val="24"/>
        </w:rPr>
        <w:t>/(</w:t>
      </w:r>
      <w:proofErr w:type="gramEnd"/>
      <w:r w:rsidRPr="00AD7BA1">
        <w:rPr>
          <w:sz w:val="24"/>
          <w:szCs w:val="24"/>
        </w:rPr>
        <w:t>100 mikrog/l). Resultaterne af PK/PD-analyserne i fase II</w:t>
      </w:r>
      <w:r w:rsidR="00AF6CB0" w:rsidRPr="00AD7BA1">
        <w:rPr>
          <w:sz w:val="24"/>
          <w:szCs w:val="24"/>
        </w:rPr>
        <w:t xml:space="preserve"> </w:t>
      </w:r>
      <w:r w:rsidRPr="00AD7BA1">
        <w:rPr>
          <w:sz w:val="24"/>
          <w:szCs w:val="24"/>
        </w:rPr>
        <w:t>og III var konsistente med de data, der blev fundet hos raske forsøgspersoner.</w:t>
      </w:r>
    </w:p>
    <w:p w14:paraId="1D0F2DB7" w14:textId="77777777" w:rsidR="009D21A2" w:rsidRPr="00AD7BA1" w:rsidRDefault="009D21A2" w:rsidP="0068338F">
      <w:pPr>
        <w:ind w:left="851"/>
        <w:rPr>
          <w:sz w:val="24"/>
          <w:szCs w:val="24"/>
        </w:rPr>
      </w:pPr>
    </w:p>
    <w:p w14:paraId="6A5987F1" w14:textId="77777777" w:rsidR="009D21A2" w:rsidRPr="00AD7BA1" w:rsidRDefault="009D21A2" w:rsidP="0068338F">
      <w:pPr>
        <w:ind w:left="851"/>
        <w:rPr>
          <w:sz w:val="24"/>
          <w:szCs w:val="24"/>
          <w:u w:val="single"/>
        </w:rPr>
      </w:pPr>
      <w:r w:rsidRPr="00AD7BA1">
        <w:rPr>
          <w:sz w:val="24"/>
          <w:szCs w:val="24"/>
          <w:u w:val="single"/>
        </w:rPr>
        <w:t>Pædiatrisk population</w:t>
      </w:r>
    </w:p>
    <w:p w14:paraId="07C106D0" w14:textId="77777777" w:rsidR="009D21A2" w:rsidRPr="00AD7BA1" w:rsidRDefault="009D21A2" w:rsidP="0068338F">
      <w:pPr>
        <w:ind w:left="851"/>
        <w:rPr>
          <w:sz w:val="24"/>
          <w:szCs w:val="24"/>
        </w:rPr>
      </w:pPr>
      <w:r w:rsidRPr="00AD7BA1">
        <w:rPr>
          <w:sz w:val="24"/>
          <w:szCs w:val="24"/>
        </w:rPr>
        <w:t>Sikkerhed og virkning for indikationerne AKS og CAD/PAD hos børn og unge op til 18 år er ikke klarlagt.</w:t>
      </w:r>
    </w:p>
    <w:p w14:paraId="55A24D36" w14:textId="77777777" w:rsidR="009260DE" w:rsidRPr="00AD7BA1" w:rsidRDefault="009260DE" w:rsidP="009260DE">
      <w:pPr>
        <w:tabs>
          <w:tab w:val="left" w:pos="851"/>
        </w:tabs>
        <w:ind w:left="851"/>
        <w:rPr>
          <w:sz w:val="24"/>
          <w:szCs w:val="24"/>
        </w:rPr>
      </w:pPr>
    </w:p>
    <w:p w14:paraId="4E78EAAE" w14:textId="46DF9AE7" w:rsidR="009260DE" w:rsidRPr="00AD7BA1" w:rsidRDefault="009260DE" w:rsidP="009260DE">
      <w:pPr>
        <w:tabs>
          <w:tab w:val="left" w:pos="851"/>
        </w:tabs>
        <w:ind w:left="851" w:hanging="851"/>
        <w:rPr>
          <w:b/>
          <w:sz w:val="24"/>
          <w:szCs w:val="24"/>
        </w:rPr>
      </w:pPr>
      <w:r w:rsidRPr="00AD7BA1">
        <w:rPr>
          <w:b/>
          <w:sz w:val="24"/>
          <w:szCs w:val="24"/>
        </w:rPr>
        <w:t>5.3</w:t>
      </w:r>
      <w:r w:rsidRPr="00AD7BA1">
        <w:rPr>
          <w:b/>
          <w:sz w:val="24"/>
          <w:szCs w:val="24"/>
        </w:rPr>
        <w:tab/>
      </w:r>
      <w:r w:rsidR="009850F6">
        <w:rPr>
          <w:b/>
          <w:sz w:val="24"/>
          <w:szCs w:val="24"/>
        </w:rPr>
        <w:t>Non-</w:t>
      </w:r>
      <w:r w:rsidRPr="00AD7BA1">
        <w:rPr>
          <w:b/>
          <w:sz w:val="24"/>
          <w:szCs w:val="24"/>
        </w:rPr>
        <w:t>kliniske sikkerhedsdata</w:t>
      </w:r>
    </w:p>
    <w:p w14:paraId="0B59CD21" w14:textId="77777777" w:rsidR="009D21A2" w:rsidRPr="00AD7BA1" w:rsidRDefault="009D21A2" w:rsidP="0068338F">
      <w:pPr>
        <w:ind w:left="851"/>
        <w:rPr>
          <w:sz w:val="24"/>
          <w:szCs w:val="24"/>
        </w:rPr>
      </w:pPr>
      <w:r w:rsidRPr="00AD7BA1">
        <w:rPr>
          <w:sz w:val="24"/>
          <w:szCs w:val="24"/>
        </w:rPr>
        <w:t>Prækliniske data viser ingen speciel risiko for mennesker vurderet ud fra konventionelle studier af sikkerhedsfarmakologi, toksicitet efter en enkeltdosis, fototoksicitet, genotoksicitet, karcinogenicitet og juvenil toksicitet.</w:t>
      </w:r>
    </w:p>
    <w:p w14:paraId="0F1F2D27" w14:textId="77777777" w:rsidR="009D21A2" w:rsidRPr="00AD7BA1" w:rsidRDefault="009D21A2" w:rsidP="0068338F">
      <w:pPr>
        <w:ind w:left="851"/>
        <w:rPr>
          <w:sz w:val="24"/>
          <w:szCs w:val="24"/>
        </w:rPr>
      </w:pPr>
      <w:r w:rsidRPr="00AD7BA1">
        <w:rPr>
          <w:sz w:val="24"/>
          <w:szCs w:val="24"/>
        </w:rPr>
        <w:t>De effekter, der blev observeret ved toksicitetsstudier ved multiple doser, skyldtes hovedsageligt rivaroxabans unormalt høje farmakodynamiske aktivitet. Hos rotter observeredes øgede IgG- og IgA- plasmaniveauer ved klinisk relevante eksponeringsniveauer.</w:t>
      </w:r>
    </w:p>
    <w:p w14:paraId="3A13F38E" w14:textId="77777777" w:rsidR="009D21A2" w:rsidRPr="00AD7BA1" w:rsidRDefault="009D21A2" w:rsidP="0068338F">
      <w:pPr>
        <w:ind w:left="851"/>
        <w:rPr>
          <w:sz w:val="24"/>
          <w:szCs w:val="24"/>
        </w:rPr>
      </w:pPr>
      <w:r w:rsidRPr="00AD7BA1">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38FB4169" w14:textId="77777777" w:rsidR="009260DE" w:rsidRPr="00AD7BA1" w:rsidRDefault="009260DE" w:rsidP="009260DE">
      <w:pPr>
        <w:tabs>
          <w:tab w:val="left" w:pos="851"/>
        </w:tabs>
        <w:ind w:left="851"/>
        <w:rPr>
          <w:sz w:val="24"/>
          <w:szCs w:val="24"/>
        </w:rPr>
      </w:pPr>
    </w:p>
    <w:p w14:paraId="1A09287F" w14:textId="77777777" w:rsidR="009260DE" w:rsidRPr="00AD7BA1" w:rsidRDefault="009260DE" w:rsidP="009260DE">
      <w:pPr>
        <w:tabs>
          <w:tab w:val="left" w:pos="851"/>
        </w:tabs>
        <w:ind w:left="851"/>
        <w:rPr>
          <w:sz w:val="24"/>
          <w:szCs w:val="24"/>
        </w:rPr>
      </w:pPr>
    </w:p>
    <w:p w14:paraId="6C635152" w14:textId="77777777" w:rsidR="009260DE" w:rsidRPr="00AD7BA1" w:rsidRDefault="009260DE" w:rsidP="009260DE">
      <w:pPr>
        <w:tabs>
          <w:tab w:val="left" w:pos="851"/>
        </w:tabs>
        <w:ind w:left="851" w:hanging="851"/>
        <w:rPr>
          <w:b/>
          <w:sz w:val="24"/>
          <w:szCs w:val="24"/>
        </w:rPr>
      </w:pPr>
      <w:r w:rsidRPr="00AD7BA1">
        <w:rPr>
          <w:b/>
          <w:sz w:val="24"/>
          <w:szCs w:val="24"/>
        </w:rPr>
        <w:t>6.</w:t>
      </w:r>
      <w:r w:rsidRPr="00AD7BA1">
        <w:rPr>
          <w:b/>
          <w:sz w:val="24"/>
          <w:szCs w:val="24"/>
        </w:rPr>
        <w:tab/>
        <w:t>FARMACEUTISKE OPLYSNINGER</w:t>
      </w:r>
    </w:p>
    <w:p w14:paraId="3933B80B" w14:textId="77777777" w:rsidR="009260DE" w:rsidRPr="00AD7BA1" w:rsidRDefault="009260DE" w:rsidP="009260DE">
      <w:pPr>
        <w:tabs>
          <w:tab w:val="left" w:pos="851"/>
        </w:tabs>
        <w:ind w:left="851"/>
        <w:rPr>
          <w:sz w:val="24"/>
          <w:szCs w:val="24"/>
        </w:rPr>
      </w:pPr>
    </w:p>
    <w:p w14:paraId="10283E36" w14:textId="77777777" w:rsidR="009260DE" w:rsidRPr="00AD7BA1" w:rsidRDefault="009260DE" w:rsidP="009260DE">
      <w:pPr>
        <w:tabs>
          <w:tab w:val="left" w:pos="851"/>
        </w:tabs>
        <w:ind w:left="851" w:hanging="851"/>
        <w:rPr>
          <w:b/>
          <w:sz w:val="24"/>
          <w:szCs w:val="24"/>
        </w:rPr>
      </w:pPr>
      <w:r w:rsidRPr="00AD7BA1">
        <w:rPr>
          <w:b/>
          <w:sz w:val="24"/>
          <w:szCs w:val="24"/>
        </w:rPr>
        <w:t>6.1</w:t>
      </w:r>
      <w:r w:rsidRPr="00AD7BA1">
        <w:rPr>
          <w:b/>
          <w:sz w:val="24"/>
          <w:szCs w:val="24"/>
        </w:rPr>
        <w:tab/>
        <w:t>Hjælpestoffer</w:t>
      </w:r>
    </w:p>
    <w:p w14:paraId="0375B14B" w14:textId="77777777" w:rsidR="00AF6CB0" w:rsidRPr="00AD7BA1" w:rsidRDefault="00AF6CB0" w:rsidP="0068338F">
      <w:pPr>
        <w:ind w:left="851"/>
        <w:rPr>
          <w:sz w:val="24"/>
          <w:szCs w:val="24"/>
        </w:rPr>
      </w:pPr>
    </w:p>
    <w:p w14:paraId="729AB20F" w14:textId="0690FE3A" w:rsidR="009D21A2" w:rsidRPr="00AD7BA1" w:rsidRDefault="009D21A2" w:rsidP="0068338F">
      <w:pPr>
        <w:ind w:left="851"/>
        <w:rPr>
          <w:sz w:val="24"/>
          <w:szCs w:val="24"/>
          <w:u w:val="single"/>
        </w:rPr>
      </w:pPr>
      <w:r w:rsidRPr="00AD7BA1">
        <w:rPr>
          <w:sz w:val="24"/>
          <w:szCs w:val="24"/>
          <w:u w:val="single"/>
        </w:rPr>
        <w:t>Tabletkerne</w:t>
      </w:r>
    </w:p>
    <w:p w14:paraId="33ADE4A2" w14:textId="77777777" w:rsidR="009D21A2" w:rsidRPr="00AD7BA1" w:rsidRDefault="009D21A2" w:rsidP="0068338F">
      <w:pPr>
        <w:ind w:left="851"/>
        <w:rPr>
          <w:sz w:val="24"/>
          <w:szCs w:val="24"/>
        </w:rPr>
      </w:pPr>
      <w:r w:rsidRPr="00AD7BA1">
        <w:rPr>
          <w:sz w:val="24"/>
          <w:szCs w:val="24"/>
        </w:rPr>
        <w:t xml:space="preserve">Cellulose, mikrokrystallinsk </w:t>
      </w:r>
    </w:p>
    <w:p w14:paraId="3128E602" w14:textId="77777777" w:rsidR="009D21A2" w:rsidRPr="00CA18FD" w:rsidRDefault="009D21A2" w:rsidP="0068338F">
      <w:pPr>
        <w:ind w:left="851"/>
        <w:rPr>
          <w:sz w:val="24"/>
          <w:szCs w:val="24"/>
          <w:lang w:val="en-US"/>
        </w:rPr>
      </w:pPr>
      <w:r w:rsidRPr="00CA18FD">
        <w:rPr>
          <w:sz w:val="24"/>
          <w:szCs w:val="24"/>
          <w:lang w:val="en-US"/>
        </w:rPr>
        <w:t>Lactosemonohydrat</w:t>
      </w:r>
    </w:p>
    <w:p w14:paraId="090C9553" w14:textId="77777777" w:rsidR="009D21A2" w:rsidRPr="00CA18FD" w:rsidRDefault="009D21A2" w:rsidP="0068338F">
      <w:pPr>
        <w:ind w:left="851"/>
        <w:rPr>
          <w:sz w:val="24"/>
          <w:szCs w:val="24"/>
          <w:lang w:val="en-US"/>
        </w:rPr>
      </w:pPr>
      <w:r w:rsidRPr="00CA18FD">
        <w:rPr>
          <w:sz w:val="24"/>
          <w:szCs w:val="24"/>
          <w:lang w:val="en-US"/>
        </w:rPr>
        <w:t xml:space="preserve">Croscarmellosenatrium </w:t>
      </w:r>
    </w:p>
    <w:p w14:paraId="42C94647" w14:textId="77777777" w:rsidR="009D21A2" w:rsidRPr="00CA18FD" w:rsidRDefault="009D21A2" w:rsidP="0068338F">
      <w:pPr>
        <w:ind w:left="851"/>
        <w:rPr>
          <w:sz w:val="24"/>
          <w:szCs w:val="24"/>
          <w:lang w:val="en-US"/>
        </w:rPr>
      </w:pPr>
      <w:r w:rsidRPr="00CA18FD">
        <w:rPr>
          <w:sz w:val="24"/>
          <w:szCs w:val="24"/>
          <w:lang w:val="en-US"/>
        </w:rPr>
        <w:t xml:space="preserve">Hypromellose </w:t>
      </w:r>
    </w:p>
    <w:p w14:paraId="3E99E351" w14:textId="77777777" w:rsidR="009D21A2" w:rsidRPr="00CA18FD" w:rsidRDefault="009D21A2" w:rsidP="0068338F">
      <w:pPr>
        <w:ind w:left="851"/>
        <w:rPr>
          <w:sz w:val="24"/>
          <w:szCs w:val="24"/>
          <w:lang w:val="en-US"/>
        </w:rPr>
      </w:pPr>
      <w:r w:rsidRPr="00CA18FD">
        <w:rPr>
          <w:sz w:val="24"/>
          <w:szCs w:val="24"/>
          <w:lang w:val="en-US"/>
        </w:rPr>
        <w:t xml:space="preserve">Natriumlaurylsulfat </w:t>
      </w:r>
    </w:p>
    <w:p w14:paraId="30B265E1" w14:textId="77777777" w:rsidR="009D21A2" w:rsidRPr="00CA18FD" w:rsidRDefault="009D21A2" w:rsidP="0068338F">
      <w:pPr>
        <w:ind w:left="851"/>
        <w:rPr>
          <w:sz w:val="24"/>
          <w:szCs w:val="24"/>
          <w:lang w:val="en-US"/>
        </w:rPr>
      </w:pPr>
      <w:r w:rsidRPr="00CA18FD">
        <w:rPr>
          <w:sz w:val="24"/>
          <w:szCs w:val="24"/>
          <w:lang w:val="en-US"/>
        </w:rPr>
        <w:t>Magnesiumstearat</w:t>
      </w:r>
    </w:p>
    <w:p w14:paraId="2FB49F42" w14:textId="77777777" w:rsidR="009D21A2" w:rsidRPr="00CA18FD" w:rsidRDefault="009D21A2" w:rsidP="0068338F">
      <w:pPr>
        <w:ind w:left="851"/>
        <w:rPr>
          <w:sz w:val="24"/>
          <w:szCs w:val="24"/>
          <w:lang w:val="en-US"/>
        </w:rPr>
      </w:pPr>
      <w:r w:rsidRPr="00CA18FD">
        <w:rPr>
          <w:sz w:val="24"/>
          <w:szCs w:val="24"/>
          <w:lang w:val="en-US"/>
        </w:rPr>
        <w:t xml:space="preserve">Filmovertræk </w:t>
      </w:r>
    </w:p>
    <w:p w14:paraId="3F4E79FF" w14:textId="77777777" w:rsidR="009D21A2" w:rsidRPr="00CA18FD" w:rsidRDefault="009D21A2" w:rsidP="0068338F">
      <w:pPr>
        <w:ind w:left="851"/>
        <w:rPr>
          <w:sz w:val="24"/>
          <w:szCs w:val="24"/>
          <w:lang w:val="en-US"/>
        </w:rPr>
      </w:pPr>
      <w:r w:rsidRPr="00CA18FD">
        <w:rPr>
          <w:sz w:val="24"/>
          <w:szCs w:val="24"/>
          <w:lang w:val="en-US"/>
        </w:rPr>
        <w:t xml:space="preserve">Hypromellose </w:t>
      </w:r>
    </w:p>
    <w:p w14:paraId="40AB0F5E" w14:textId="77777777" w:rsidR="009D21A2" w:rsidRPr="00CA18FD" w:rsidRDefault="009D21A2" w:rsidP="0068338F">
      <w:pPr>
        <w:ind w:left="851"/>
        <w:rPr>
          <w:sz w:val="24"/>
          <w:szCs w:val="24"/>
          <w:lang w:val="en-US"/>
        </w:rPr>
      </w:pPr>
      <w:r w:rsidRPr="00CA18FD">
        <w:rPr>
          <w:sz w:val="24"/>
          <w:szCs w:val="24"/>
          <w:lang w:val="en-US"/>
        </w:rPr>
        <w:t xml:space="preserve">Hydroxypropylcellulose </w:t>
      </w:r>
    </w:p>
    <w:p w14:paraId="7D7959EB" w14:textId="77777777" w:rsidR="009D21A2" w:rsidRPr="00CA18FD" w:rsidRDefault="009D21A2" w:rsidP="0068338F">
      <w:pPr>
        <w:ind w:left="851"/>
        <w:rPr>
          <w:sz w:val="24"/>
          <w:szCs w:val="24"/>
          <w:lang w:val="en-US"/>
        </w:rPr>
      </w:pPr>
      <w:r w:rsidRPr="00CA18FD">
        <w:rPr>
          <w:sz w:val="24"/>
          <w:szCs w:val="24"/>
          <w:lang w:val="en-US"/>
        </w:rPr>
        <w:t xml:space="preserve">Macrogol </w:t>
      </w:r>
    </w:p>
    <w:p w14:paraId="337B853B" w14:textId="77777777" w:rsidR="009D21A2" w:rsidRPr="00CA18FD" w:rsidRDefault="009D21A2" w:rsidP="0068338F">
      <w:pPr>
        <w:ind w:left="851"/>
        <w:rPr>
          <w:sz w:val="24"/>
          <w:szCs w:val="24"/>
          <w:lang w:val="en-US"/>
        </w:rPr>
      </w:pPr>
      <w:r w:rsidRPr="00CA18FD">
        <w:rPr>
          <w:sz w:val="24"/>
          <w:szCs w:val="24"/>
          <w:lang w:val="en-US"/>
        </w:rPr>
        <w:t xml:space="preserve">Titandioxid (E 171) </w:t>
      </w:r>
    </w:p>
    <w:p w14:paraId="32F30B4B" w14:textId="77777777" w:rsidR="009260DE" w:rsidRPr="00CA18FD" w:rsidRDefault="009260DE" w:rsidP="009260DE">
      <w:pPr>
        <w:tabs>
          <w:tab w:val="left" w:pos="851"/>
        </w:tabs>
        <w:ind w:left="851"/>
        <w:rPr>
          <w:sz w:val="24"/>
          <w:szCs w:val="24"/>
          <w:lang w:val="en-US"/>
        </w:rPr>
      </w:pPr>
    </w:p>
    <w:p w14:paraId="3104FD83" w14:textId="77777777" w:rsidR="009260DE" w:rsidRPr="00AD7BA1" w:rsidRDefault="009260DE" w:rsidP="009260DE">
      <w:pPr>
        <w:tabs>
          <w:tab w:val="left" w:pos="851"/>
        </w:tabs>
        <w:ind w:left="851" w:hanging="851"/>
        <w:rPr>
          <w:b/>
          <w:sz w:val="24"/>
          <w:szCs w:val="24"/>
        </w:rPr>
      </w:pPr>
      <w:r w:rsidRPr="00AD7BA1">
        <w:rPr>
          <w:b/>
          <w:sz w:val="24"/>
          <w:szCs w:val="24"/>
        </w:rPr>
        <w:t>6.2</w:t>
      </w:r>
      <w:r w:rsidRPr="00AD7BA1">
        <w:rPr>
          <w:b/>
          <w:sz w:val="24"/>
          <w:szCs w:val="24"/>
        </w:rPr>
        <w:tab/>
        <w:t>Uforligeligheder</w:t>
      </w:r>
    </w:p>
    <w:p w14:paraId="49A2887E" w14:textId="77777777" w:rsidR="009D21A2" w:rsidRPr="00AD7BA1" w:rsidRDefault="009D21A2" w:rsidP="0068338F">
      <w:pPr>
        <w:ind w:left="851"/>
        <w:rPr>
          <w:sz w:val="24"/>
          <w:szCs w:val="24"/>
        </w:rPr>
      </w:pPr>
      <w:r w:rsidRPr="00AD7BA1">
        <w:rPr>
          <w:sz w:val="24"/>
          <w:szCs w:val="24"/>
        </w:rPr>
        <w:t>Ikke relevant.</w:t>
      </w:r>
    </w:p>
    <w:p w14:paraId="32537603" w14:textId="77777777" w:rsidR="009260DE" w:rsidRPr="00AD7BA1" w:rsidRDefault="009260DE" w:rsidP="009260DE">
      <w:pPr>
        <w:tabs>
          <w:tab w:val="left" w:pos="851"/>
        </w:tabs>
        <w:ind w:left="851"/>
        <w:rPr>
          <w:sz w:val="24"/>
          <w:szCs w:val="24"/>
        </w:rPr>
      </w:pPr>
    </w:p>
    <w:p w14:paraId="46E31786" w14:textId="77777777" w:rsidR="009260DE" w:rsidRPr="00AD7BA1" w:rsidRDefault="009260DE" w:rsidP="009260DE">
      <w:pPr>
        <w:tabs>
          <w:tab w:val="left" w:pos="851"/>
        </w:tabs>
        <w:ind w:left="851" w:hanging="851"/>
        <w:rPr>
          <w:b/>
          <w:sz w:val="24"/>
          <w:szCs w:val="24"/>
        </w:rPr>
      </w:pPr>
      <w:r w:rsidRPr="00AD7BA1">
        <w:rPr>
          <w:b/>
          <w:sz w:val="24"/>
          <w:szCs w:val="24"/>
        </w:rPr>
        <w:t>6.3</w:t>
      </w:r>
      <w:r w:rsidRPr="00AD7BA1">
        <w:rPr>
          <w:b/>
          <w:sz w:val="24"/>
          <w:szCs w:val="24"/>
        </w:rPr>
        <w:tab/>
        <w:t>Opbevaringstid</w:t>
      </w:r>
    </w:p>
    <w:p w14:paraId="1FDE6FB5" w14:textId="551F42E4" w:rsidR="009D21A2" w:rsidRPr="00AD7BA1" w:rsidRDefault="009D21A2" w:rsidP="0068338F">
      <w:pPr>
        <w:ind w:left="851"/>
        <w:rPr>
          <w:sz w:val="24"/>
          <w:szCs w:val="24"/>
        </w:rPr>
      </w:pPr>
      <w:r w:rsidRPr="00AD7BA1">
        <w:rPr>
          <w:sz w:val="24"/>
          <w:szCs w:val="24"/>
        </w:rPr>
        <w:t>3 år</w:t>
      </w:r>
    </w:p>
    <w:p w14:paraId="33702C60" w14:textId="77777777" w:rsidR="009D21A2" w:rsidRPr="00AD7BA1" w:rsidRDefault="009D21A2" w:rsidP="0068338F">
      <w:pPr>
        <w:ind w:left="851"/>
        <w:rPr>
          <w:sz w:val="24"/>
          <w:szCs w:val="24"/>
        </w:rPr>
      </w:pPr>
    </w:p>
    <w:p w14:paraId="71632C7F" w14:textId="77777777" w:rsidR="009D21A2" w:rsidRPr="00AD7BA1" w:rsidRDefault="009D21A2" w:rsidP="0068338F">
      <w:pPr>
        <w:ind w:left="851"/>
        <w:rPr>
          <w:sz w:val="24"/>
          <w:szCs w:val="24"/>
          <w:u w:val="single"/>
        </w:rPr>
      </w:pPr>
      <w:r w:rsidRPr="00AD7BA1">
        <w:rPr>
          <w:sz w:val="24"/>
          <w:szCs w:val="24"/>
          <w:u w:val="single"/>
        </w:rPr>
        <w:t>Knuste tabletter</w:t>
      </w:r>
    </w:p>
    <w:p w14:paraId="04AF0B3D" w14:textId="77777777" w:rsidR="009D21A2" w:rsidRPr="00AD7BA1" w:rsidRDefault="009D21A2" w:rsidP="0068338F">
      <w:pPr>
        <w:ind w:left="851"/>
        <w:rPr>
          <w:sz w:val="24"/>
          <w:szCs w:val="24"/>
        </w:rPr>
      </w:pPr>
      <w:r w:rsidRPr="00AD7BA1">
        <w:rPr>
          <w:sz w:val="24"/>
          <w:szCs w:val="24"/>
        </w:rPr>
        <w:t>Knuste rivaroxaban-tabletter er stabile i vand og i æblemos i op til 4 timer.</w:t>
      </w:r>
    </w:p>
    <w:p w14:paraId="5137D60F" w14:textId="77777777" w:rsidR="009260DE" w:rsidRPr="00AD7BA1" w:rsidRDefault="009260DE" w:rsidP="0068338F">
      <w:pPr>
        <w:ind w:left="851"/>
        <w:rPr>
          <w:sz w:val="24"/>
          <w:szCs w:val="24"/>
        </w:rPr>
      </w:pPr>
    </w:p>
    <w:p w14:paraId="661BDDBB" w14:textId="77777777" w:rsidR="009260DE" w:rsidRPr="00AD7BA1" w:rsidRDefault="009260DE" w:rsidP="009260DE">
      <w:pPr>
        <w:tabs>
          <w:tab w:val="left" w:pos="851"/>
        </w:tabs>
        <w:ind w:left="851" w:hanging="851"/>
        <w:rPr>
          <w:b/>
          <w:sz w:val="24"/>
          <w:szCs w:val="24"/>
        </w:rPr>
      </w:pPr>
      <w:r w:rsidRPr="00AD7BA1">
        <w:rPr>
          <w:b/>
          <w:sz w:val="24"/>
          <w:szCs w:val="24"/>
        </w:rPr>
        <w:t>6.4</w:t>
      </w:r>
      <w:r w:rsidRPr="00AD7BA1">
        <w:rPr>
          <w:b/>
          <w:sz w:val="24"/>
          <w:szCs w:val="24"/>
        </w:rPr>
        <w:tab/>
        <w:t>Særlige opbevaringsforhold</w:t>
      </w:r>
    </w:p>
    <w:p w14:paraId="72715B52" w14:textId="77777777" w:rsidR="009D21A2" w:rsidRPr="00AD7BA1" w:rsidRDefault="009D21A2" w:rsidP="0068338F">
      <w:pPr>
        <w:ind w:left="851"/>
        <w:rPr>
          <w:sz w:val="24"/>
          <w:szCs w:val="24"/>
        </w:rPr>
      </w:pPr>
      <w:r w:rsidRPr="00AD7BA1">
        <w:rPr>
          <w:sz w:val="24"/>
          <w:szCs w:val="24"/>
        </w:rPr>
        <w:t>Dette lægemiddel kræver ingen særlige forholdsregler vedrørende opbevaringen.</w:t>
      </w:r>
    </w:p>
    <w:p w14:paraId="2D7FCA93" w14:textId="77777777" w:rsidR="009260DE" w:rsidRPr="00AD7BA1" w:rsidRDefault="009260DE" w:rsidP="009260DE">
      <w:pPr>
        <w:tabs>
          <w:tab w:val="left" w:pos="851"/>
        </w:tabs>
        <w:ind w:left="851"/>
        <w:rPr>
          <w:sz w:val="24"/>
          <w:szCs w:val="24"/>
        </w:rPr>
      </w:pPr>
    </w:p>
    <w:p w14:paraId="1A8B317C" w14:textId="0B466C29" w:rsidR="009260DE" w:rsidRPr="00AD7BA1" w:rsidRDefault="009260DE" w:rsidP="009260DE">
      <w:pPr>
        <w:tabs>
          <w:tab w:val="left" w:pos="851"/>
        </w:tabs>
        <w:ind w:left="851" w:hanging="851"/>
        <w:rPr>
          <w:b/>
          <w:sz w:val="24"/>
          <w:szCs w:val="24"/>
        </w:rPr>
      </w:pPr>
      <w:r w:rsidRPr="00AD7BA1">
        <w:rPr>
          <w:b/>
          <w:sz w:val="24"/>
          <w:szCs w:val="24"/>
        </w:rPr>
        <w:t>6.5</w:t>
      </w:r>
      <w:r w:rsidRPr="00AD7BA1">
        <w:rPr>
          <w:b/>
          <w:sz w:val="24"/>
          <w:szCs w:val="24"/>
        </w:rPr>
        <w:tab/>
        <w:t>Emballagetype og pakningsstørrelser</w:t>
      </w:r>
    </w:p>
    <w:p w14:paraId="378CA32D" w14:textId="54DE92B8" w:rsidR="009D21A2" w:rsidRPr="00AD7BA1" w:rsidRDefault="009D21A2" w:rsidP="0068338F">
      <w:pPr>
        <w:ind w:left="851"/>
        <w:rPr>
          <w:sz w:val="24"/>
          <w:szCs w:val="24"/>
        </w:rPr>
      </w:pPr>
      <w:r w:rsidRPr="00AD7BA1">
        <w:rPr>
          <w:sz w:val="24"/>
          <w:szCs w:val="24"/>
        </w:rPr>
        <w:t>PVC/PVDC/Aluminiumsfolieblister i papemballager med:</w:t>
      </w:r>
    </w:p>
    <w:p w14:paraId="295CC72C" w14:textId="77777777" w:rsidR="009D21A2" w:rsidRPr="00AD7BA1" w:rsidRDefault="009D21A2" w:rsidP="0068338F">
      <w:pPr>
        <w:ind w:left="851"/>
        <w:rPr>
          <w:sz w:val="24"/>
          <w:szCs w:val="24"/>
        </w:rPr>
      </w:pPr>
      <w:r w:rsidRPr="00AD7BA1">
        <w:rPr>
          <w:sz w:val="24"/>
          <w:szCs w:val="24"/>
        </w:rPr>
        <w:t>56, 60, 98, 100 eller 196 filmovertrukne tabletter</w:t>
      </w:r>
    </w:p>
    <w:p w14:paraId="6751A3F2" w14:textId="77777777" w:rsidR="009D21A2" w:rsidRPr="00AD7BA1" w:rsidRDefault="009D21A2" w:rsidP="0068338F">
      <w:pPr>
        <w:ind w:left="851"/>
        <w:rPr>
          <w:sz w:val="24"/>
          <w:szCs w:val="24"/>
          <w:highlight w:val="yellow"/>
        </w:rPr>
      </w:pPr>
    </w:p>
    <w:p w14:paraId="420B6743" w14:textId="77777777" w:rsidR="009D21A2" w:rsidRPr="00AD7BA1" w:rsidRDefault="009D21A2" w:rsidP="0068338F">
      <w:pPr>
        <w:ind w:left="851"/>
        <w:rPr>
          <w:sz w:val="24"/>
          <w:szCs w:val="24"/>
        </w:rPr>
      </w:pPr>
      <w:r w:rsidRPr="00AD7BA1">
        <w:rPr>
          <w:sz w:val="24"/>
          <w:szCs w:val="24"/>
        </w:rPr>
        <w:t>Ikke alle pakningsstørrelser er nødvendigvis markedsført.</w:t>
      </w:r>
    </w:p>
    <w:p w14:paraId="47E31677" w14:textId="77777777" w:rsidR="009260DE" w:rsidRPr="00AD7BA1" w:rsidRDefault="009260DE" w:rsidP="0068338F">
      <w:pPr>
        <w:ind w:left="851"/>
        <w:rPr>
          <w:sz w:val="24"/>
          <w:szCs w:val="24"/>
        </w:rPr>
      </w:pPr>
    </w:p>
    <w:p w14:paraId="6DE1BBC1" w14:textId="443C93F0" w:rsidR="009260DE" w:rsidRPr="00AD7BA1" w:rsidRDefault="009260DE" w:rsidP="009260DE">
      <w:pPr>
        <w:tabs>
          <w:tab w:val="left" w:pos="851"/>
        </w:tabs>
        <w:ind w:left="851" w:hanging="851"/>
        <w:rPr>
          <w:b/>
          <w:sz w:val="24"/>
          <w:szCs w:val="24"/>
        </w:rPr>
      </w:pPr>
      <w:r w:rsidRPr="00AD7BA1">
        <w:rPr>
          <w:b/>
          <w:sz w:val="24"/>
          <w:szCs w:val="24"/>
        </w:rPr>
        <w:t>6.6</w:t>
      </w:r>
      <w:r w:rsidRPr="00AD7BA1">
        <w:rPr>
          <w:b/>
          <w:sz w:val="24"/>
          <w:szCs w:val="24"/>
        </w:rPr>
        <w:tab/>
        <w:t xml:space="preserve">Regler for </w:t>
      </w:r>
      <w:r w:rsidR="009850F6">
        <w:rPr>
          <w:b/>
          <w:sz w:val="24"/>
          <w:szCs w:val="24"/>
        </w:rPr>
        <w:t>bortskaffelse</w:t>
      </w:r>
      <w:r w:rsidRPr="00AD7BA1">
        <w:rPr>
          <w:b/>
          <w:sz w:val="24"/>
          <w:szCs w:val="24"/>
        </w:rPr>
        <w:t xml:space="preserve"> og anden håndtering</w:t>
      </w:r>
    </w:p>
    <w:p w14:paraId="65A52E31" w14:textId="77777777" w:rsidR="00AF6CB0" w:rsidRPr="00AD7BA1" w:rsidRDefault="009D21A2" w:rsidP="0068338F">
      <w:pPr>
        <w:ind w:left="851"/>
        <w:rPr>
          <w:sz w:val="24"/>
          <w:szCs w:val="24"/>
        </w:rPr>
      </w:pPr>
      <w:r w:rsidRPr="00AD7BA1">
        <w:rPr>
          <w:sz w:val="24"/>
          <w:szCs w:val="24"/>
        </w:rPr>
        <w:t xml:space="preserve">Ikke anvendt lægemiddel samt affald heraf skal bortskaffes i henhold til lokale retningslinjer. </w:t>
      </w:r>
    </w:p>
    <w:p w14:paraId="07BB29F9" w14:textId="77777777" w:rsidR="00AF6CB0" w:rsidRPr="00AD7BA1" w:rsidRDefault="00AF6CB0" w:rsidP="0068338F">
      <w:pPr>
        <w:ind w:left="851"/>
        <w:rPr>
          <w:sz w:val="24"/>
          <w:szCs w:val="24"/>
        </w:rPr>
      </w:pPr>
    </w:p>
    <w:p w14:paraId="575BEF22" w14:textId="0CE9FDD2" w:rsidR="009D21A2" w:rsidRPr="00AD7BA1" w:rsidRDefault="00AF6CB0" w:rsidP="0068338F">
      <w:pPr>
        <w:ind w:left="851"/>
        <w:rPr>
          <w:sz w:val="24"/>
          <w:szCs w:val="24"/>
          <w:u w:val="single"/>
        </w:rPr>
      </w:pPr>
      <w:r w:rsidRPr="00AD7BA1">
        <w:rPr>
          <w:sz w:val="24"/>
          <w:szCs w:val="24"/>
          <w:u w:val="single"/>
        </w:rPr>
        <w:t>K</w:t>
      </w:r>
      <w:r w:rsidR="009D21A2" w:rsidRPr="00AD7BA1">
        <w:rPr>
          <w:sz w:val="24"/>
          <w:szCs w:val="24"/>
          <w:u w:val="single"/>
        </w:rPr>
        <w:t>nusning af tabletter</w:t>
      </w:r>
    </w:p>
    <w:p w14:paraId="7CF1D872" w14:textId="77777777" w:rsidR="009D21A2" w:rsidRPr="00AD7BA1" w:rsidRDefault="009D21A2" w:rsidP="0068338F">
      <w:pPr>
        <w:ind w:left="851"/>
        <w:rPr>
          <w:sz w:val="24"/>
          <w:szCs w:val="24"/>
        </w:rPr>
      </w:pPr>
      <w:r w:rsidRPr="00AD7BA1">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Enteral ernæring er ikke påkrævet med det samme efter administration af tabletterne med 2,5 mg.</w:t>
      </w:r>
    </w:p>
    <w:p w14:paraId="2122CCBB" w14:textId="77777777" w:rsidR="009260DE" w:rsidRPr="00AD7BA1" w:rsidRDefault="009260DE" w:rsidP="000730CA">
      <w:pPr>
        <w:tabs>
          <w:tab w:val="left" w:pos="851"/>
        </w:tabs>
        <w:ind w:left="851"/>
        <w:rPr>
          <w:sz w:val="24"/>
          <w:szCs w:val="24"/>
        </w:rPr>
      </w:pPr>
    </w:p>
    <w:p w14:paraId="4F14D46F" w14:textId="77777777" w:rsidR="009260DE" w:rsidRPr="00AD7BA1" w:rsidRDefault="009260DE" w:rsidP="009260DE">
      <w:pPr>
        <w:tabs>
          <w:tab w:val="left" w:pos="851"/>
        </w:tabs>
        <w:ind w:left="851" w:hanging="851"/>
        <w:rPr>
          <w:b/>
          <w:sz w:val="24"/>
          <w:szCs w:val="24"/>
        </w:rPr>
      </w:pPr>
      <w:r w:rsidRPr="00AD7BA1">
        <w:rPr>
          <w:b/>
          <w:sz w:val="24"/>
          <w:szCs w:val="24"/>
        </w:rPr>
        <w:t>7.</w:t>
      </w:r>
      <w:r w:rsidRPr="00AD7BA1">
        <w:rPr>
          <w:b/>
          <w:sz w:val="24"/>
          <w:szCs w:val="24"/>
        </w:rPr>
        <w:tab/>
        <w:t>INDEHAVER AF MARKEDSFØRINGSTILLADELSEN</w:t>
      </w:r>
    </w:p>
    <w:p w14:paraId="4ED3A8B4" w14:textId="77777777" w:rsidR="009D21A2" w:rsidRPr="00AD7BA1" w:rsidRDefault="009D21A2" w:rsidP="0068338F">
      <w:pPr>
        <w:ind w:left="851"/>
        <w:rPr>
          <w:sz w:val="24"/>
          <w:szCs w:val="24"/>
        </w:rPr>
      </w:pPr>
      <w:r w:rsidRPr="00AD7BA1">
        <w:rPr>
          <w:sz w:val="24"/>
          <w:szCs w:val="24"/>
        </w:rPr>
        <w:t>Adamed Pharma S.A.</w:t>
      </w:r>
    </w:p>
    <w:p w14:paraId="28FBEF50" w14:textId="77777777" w:rsidR="009D21A2" w:rsidRPr="00CA18FD" w:rsidRDefault="009D21A2" w:rsidP="0068338F">
      <w:pPr>
        <w:ind w:left="851"/>
        <w:rPr>
          <w:sz w:val="24"/>
          <w:szCs w:val="24"/>
          <w:lang w:val="en-US"/>
        </w:rPr>
      </w:pPr>
      <w:r w:rsidRPr="00CA18FD">
        <w:rPr>
          <w:sz w:val="24"/>
          <w:szCs w:val="24"/>
          <w:lang w:val="en-US"/>
        </w:rPr>
        <w:t>Str. Mariana Adamkiewicza 6a</w:t>
      </w:r>
    </w:p>
    <w:p w14:paraId="64189572" w14:textId="77777777" w:rsidR="009D21A2" w:rsidRPr="00CA18FD" w:rsidRDefault="009D21A2" w:rsidP="0068338F">
      <w:pPr>
        <w:ind w:left="851"/>
        <w:rPr>
          <w:sz w:val="24"/>
          <w:szCs w:val="24"/>
          <w:lang w:val="en-US"/>
        </w:rPr>
      </w:pPr>
      <w:r w:rsidRPr="00CA18FD">
        <w:rPr>
          <w:sz w:val="24"/>
          <w:szCs w:val="24"/>
          <w:lang w:val="en-US"/>
        </w:rPr>
        <w:t>Czosnów 05-152</w:t>
      </w:r>
    </w:p>
    <w:p w14:paraId="1E2A17E6" w14:textId="77777777" w:rsidR="009D21A2" w:rsidRPr="00AD7BA1" w:rsidRDefault="009D21A2" w:rsidP="0068338F">
      <w:pPr>
        <w:ind w:left="851"/>
        <w:rPr>
          <w:sz w:val="24"/>
          <w:szCs w:val="24"/>
        </w:rPr>
      </w:pPr>
      <w:r w:rsidRPr="00AD7BA1">
        <w:rPr>
          <w:sz w:val="24"/>
          <w:szCs w:val="24"/>
        </w:rPr>
        <w:t>Polen</w:t>
      </w:r>
    </w:p>
    <w:p w14:paraId="7B8240BC" w14:textId="77777777" w:rsidR="009260DE" w:rsidRPr="00AD7BA1" w:rsidRDefault="009260DE" w:rsidP="009260DE">
      <w:pPr>
        <w:tabs>
          <w:tab w:val="left" w:pos="851"/>
        </w:tabs>
        <w:ind w:left="851"/>
        <w:rPr>
          <w:sz w:val="24"/>
          <w:szCs w:val="24"/>
        </w:rPr>
      </w:pPr>
    </w:p>
    <w:p w14:paraId="4EFA5C04" w14:textId="63043FF8" w:rsidR="009260DE" w:rsidRPr="00AD7BA1" w:rsidRDefault="009260DE" w:rsidP="009260DE">
      <w:pPr>
        <w:tabs>
          <w:tab w:val="left" w:pos="851"/>
        </w:tabs>
        <w:ind w:left="851" w:hanging="851"/>
        <w:rPr>
          <w:b/>
          <w:sz w:val="24"/>
          <w:szCs w:val="24"/>
        </w:rPr>
      </w:pPr>
      <w:r w:rsidRPr="00AD7BA1">
        <w:rPr>
          <w:b/>
          <w:sz w:val="24"/>
          <w:szCs w:val="24"/>
        </w:rPr>
        <w:t>8.</w:t>
      </w:r>
      <w:r w:rsidRPr="00AD7BA1">
        <w:rPr>
          <w:b/>
          <w:sz w:val="24"/>
          <w:szCs w:val="24"/>
        </w:rPr>
        <w:tab/>
        <w:t>MARKEDSFØRINGSTILLADELSESNUMMER (</w:t>
      </w:r>
      <w:r w:rsidR="009850F6">
        <w:rPr>
          <w:b/>
          <w:sz w:val="24"/>
          <w:szCs w:val="24"/>
        </w:rPr>
        <w:t>-</w:t>
      </w:r>
      <w:r w:rsidRPr="00AD7BA1">
        <w:rPr>
          <w:b/>
          <w:sz w:val="24"/>
          <w:szCs w:val="24"/>
        </w:rPr>
        <w:t>NUMRE)</w:t>
      </w:r>
    </w:p>
    <w:p w14:paraId="75A8D8B2" w14:textId="0D39D61C" w:rsidR="009260DE" w:rsidRPr="00AD7BA1" w:rsidRDefault="00EB1429" w:rsidP="009260DE">
      <w:pPr>
        <w:tabs>
          <w:tab w:val="left" w:pos="851"/>
        </w:tabs>
        <w:ind w:left="851"/>
        <w:rPr>
          <w:sz w:val="24"/>
          <w:szCs w:val="24"/>
        </w:rPr>
      </w:pPr>
      <w:r w:rsidRPr="00AD7BA1">
        <w:rPr>
          <w:sz w:val="24"/>
          <w:szCs w:val="24"/>
        </w:rPr>
        <w:t>65166</w:t>
      </w:r>
    </w:p>
    <w:p w14:paraId="698E1D4C" w14:textId="77777777" w:rsidR="009260DE" w:rsidRPr="00AD7BA1" w:rsidRDefault="009260DE" w:rsidP="009260DE">
      <w:pPr>
        <w:tabs>
          <w:tab w:val="left" w:pos="851"/>
        </w:tabs>
        <w:ind w:left="851"/>
        <w:jc w:val="both"/>
        <w:rPr>
          <w:sz w:val="24"/>
          <w:szCs w:val="24"/>
        </w:rPr>
      </w:pPr>
    </w:p>
    <w:p w14:paraId="0C06D789" w14:textId="77777777" w:rsidR="009260DE" w:rsidRPr="00AD7BA1" w:rsidRDefault="009260DE" w:rsidP="009260DE">
      <w:pPr>
        <w:tabs>
          <w:tab w:val="left" w:pos="851"/>
        </w:tabs>
        <w:ind w:left="851" w:hanging="851"/>
        <w:rPr>
          <w:b/>
          <w:sz w:val="24"/>
          <w:szCs w:val="24"/>
        </w:rPr>
      </w:pPr>
      <w:r w:rsidRPr="00AD7BA1">
        <w:rPr>
          <w:b/>
          <w:sz w:val="24"/>
          <w:szCs w:val="24"/>
        </w:rPr>
        <w:t>9.</w:t>
      </w:r>
      <w:r w:rsidRPr="00AD7BA1">
        <w:rPr>
          <w:b/>
          <w:sz w:val="24"/>
          <w:szCs w:val="24"/>
        </w:rPr>
        <w:tab/>
        <w:t>DATO FOR FØRSTE MARKEDSFØRINGSTILLADELSE</w:t>
      </w:r>
    </w:p>
    <w:p w14:paraId="7D875DF6" w14:textId="3B2554F6" w:rsidR="009260DE" w:rsidRPr="00AD7BA1" w:rsidRDefault="00D1063F" w:rsidP="009260DE">
      <w:pPr>
        <w:tabs>
          <w:tab w:val="left" w:pos="851"/>
        </w:tabs>
        <w:ind w:left="851"/>
        <w:rPr>
          <w:sz w:val="24"/>
          <w:szCs w:val="24"/>
        </w:rPr>
      </w:pPr>
      <w:r>
        <w:rPr>
          <w:sz w:val="24"/>
          <w:szCs w:val="24"/>
        </w:rPr>
        <w:t>22. september 2022</w:t>
      </w:r>
    </w:p>
    <w:p w14:paraId="4D2C933D" w14:textId="77777777" w:rsidR="009260DE" w:rsidRPr="00AD7BA1" w:rsidRDefault="009260DE" w:rsidP="009260DE">
      <w:pPr>
        <w:tabs>
          <w:tab w:val="left" w:pos="851"/>
        </w:tabs>
        <w:ind w:left="851"/>
        <w:rPr>
          <w:sz w:val="24"/>
          <w:szCs w:val="24"/>
        </w:rPr>
      </w:pPr>
    </w:p>
    <w:p w14:paraId="42196227" w14:textId="77777777" w:rsidR="009260DE" w:rsidRPr="00AD7BA1" w:rsidRDefault="009260DE" w:rsidP="009260DE">
      <w:pPr>
        <w:tabs>
          <w:tab w:val="left" w:pos="851"/>
        </w:tabs>
        <w:ind w:left="851" w:hanging="851"/>
        <w:rPr>
          <w:b/>
          <w:sz w:val="24"/>
          <w:szCs w:val="24"/>
        </w:rPr>
      </w:pPr>
      <w:r w:rsidRPr="00AD7BA1">
        <w:rPr>
          <w:b/>
          <w:sz w:val="24"/>
          <w:szCs w:val="24"/>
        </w:rPr>
        <w:t>10.</w:t>
      </w:r>
      <w:r w:rsidRPr="00AD7BA1">
        <w:rPr>
          <w:b/>
          <w:sz w:val="24"/>
          <w:szCs w:val="24"/>
        </w:rPr>
        <w:tab/>
        <w:t>DATO FOR ÆNDRING AF TEKSTEN</w:t>
      </w:r>
    </w:p>
    <w:p w14:paraId="62D74796" w14:textId="647EC79E" w:rsidR="009260DE" w:rsidRPr="00AD7BA1" w:rsidRDefault="007008F5" w:rsidP="009260DE">
      <w:pPr>
        <w:tabs>
          <w:tab w:val="left" w:pos="851"/>
        </w:tabs>
        <w:ind w:left="851"/>
        <w:rPr>
          <w:sz w:val="24"/>
          <w:szCs w:val="24"/>
        </w:rPr>
      </w:pPr>
      <w:r>
        <w:rPr>
          <w:sz w:val="24"/>
          <w:szCs w:val="24"/>
        </w:rPr>
        <w:t>2</w:t>
      </w:r>
      <w:r w:rsidR="009C7B12">
        <w:rPr>
          <w:sz w:val="24"/>
          <w:szCs w:val="24"/>
        </w:rPr>
        <w:t>6</w:t>
      </w:r>
      <w:r>
        <w:rPr>
          <w:sz w:val="24"/>
          <w:szCs w:val="24"/>
        </w:rPr>
        <w:t>. februar 2025</w:t>
      </w:r>
      <w:bookmarkStart w:id="0" w:name="_GoBack"/>
      <w:bookmarkEnd w:id="0"/>
    </w:p>
    <w:sectPr w:rsidR="009260DE" w:rsidRPr="00AD7BA1"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933A" w14:textId="77777777" w:rsidR="00616601" w:rsidRDefault="00616601">
      <w:r>
        <w:separator/>
      </w:r>
    </w:p>
  </w:endnote>
  <w:endnote w:type="continuationSeparator" w:id="0">
    <w:p w14:paraId="1E075CEB" w14:textId="77777777" w:rsidR="00616601" w:rsidRDefault="0061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FC3F" w14:textId="77777777" w:rsidR="00616601" w:rsidRDefault="00616601">
    <w:pPr>
      <w:pStyle w:val="Sidefod"/>
      <w:pBdr>
        <w:bottom w:val="single" w:sz="6" w:space="1" w:color="auto"/>
      </w:pBdr>
    </w:pPr>
  </w:p>
  <w:p w14:paraId="0F67E0B2" w14:textId="77777777" w:rsidR="00616601" w:rsidRDefault="00616601" w:rsidP="00C42586">
    <w:pPr>
      <w:pStyle w:val="Sidefod"/>
      <w:tabs>
        <w:tab w:val="clear" w:pos="4819"/>
        <w:tab w:val="left" w:pos="8505"/>
      </w:tabs>
      <w:rPr>
        <w:i/>
        <w:sz w:val="18"/>
        <w:szCs w:val="18"/>
      </w:rPr>
    </w:pPr>
  </w:p>
  <w:p w14:paraId="1F23BE0B" w14:textId="3F7C97C8" w:rsidR="00616601" w:rsidRPr="00B373D7" w:rsidRDefault="0061660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Rixacam,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71E7" w14:textId="77777777" w:rsidR="00616601" w:rsidRDefault="00616601">
      <w:r>
        <w:separator/>
      </w:r>
    </w:p>
  </w:footnote>
  <w:footnote w:type="continuationSeparator" w:id="0">
    <w:p w14:paraId="5FA423D8" w14:textId="77777777" w:rsidR="00616601" w:rsidRDefault="00616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218F"/>
    <w:multiLevelType w:val="hybridMultilevel"/>
    <w:tmpl w:val="4830DB66"/>
    <w:lvl w:ilvl="0" w:tplc="950A4802">
      <w:start w:val="2"/>
      <w:numFmt w:val="decimal"/>
      <w:lvlText w:val="%1"/>
      <w:lvlJc w:val="left"/>
      <w:pPr>
        <w:ind w:left="717" w:hanging="166"/>
      </w:pPr>
      <w:rPr>
        <w:rFonts w:ascii="Times New Roman" w:eastAsia="Times New Roman" w:hAnsi="Times New Roman" w:cs="Times New Roman" w:hint="default"/>
        <w:w w:val="99"/>
        <w:sz w:val="22"/>
        <w:szCs w:val="22"/>
      </w:rPr>
    </w:lvl>
    <w:lvl w:ilvl="1" w:tplc="CCD2485C">
      <w:numFmt w:val="bullet"/>
      <w:lvlText w:val="•"/>
      <w:lvlJc w:val="left"/>
      <w:pPr>
        <w:ind w:left="1684" w:hanging="166"/>
      </w:pPr>
      <w:rPr>
        <w:rFonts w:hint="default"/>
      </w:rPr>
    </w:lvl>
    <w:lvl w:ilvl="2" w:tplc="5570FD0C">
      <w:numFmt w:val="bullet"/>
      <w:lvlText w:val="•"/>
      <w:lvlJc w:val="left"/>
      <w:pPr>
        <w:ind w:left="2649" w:hanging="166"/>
      </w:pPr>
      <w:rPr>
        <w:rFonts w:hint="default"/>
      </w:rPr>
    </w:lvl>
    <w:lvl w:ilvl="3" w:tplc="6A6E9FC6">
      <w:numFmt w:val="bullet"/>
      <w:lvlText w:val="•"/>
      <w:lvlJc w:val="left"/>
      <w:pPr>
        <w:ind w:left="3614" w:hanging="166"/>
      </w:pPr>
      <w:rPr>
        <w:rFonts w:hint="default"/>
      </w:rPr>
    </w:lvl>
    <w:lvl w:ilvl="4" w:tplc="13760BBC">
      <w:numFmt w:val="bullet"/>
      <w:lvlText w:val="•"/>
      <w:lvlJc w:val="left"/>
      <w:pPr>
        <w:ind w:left="4579" w:hanging="166"/>
      </w:pPr>
      <w:rPr>
        <w:rFonts w:hint="default"/>
      </w:rPr>
    </w:lvl>
    <w:lvl w:ilvl="5" w:tplc="A356B482">
      <w:numFmt w:val="bullet"/>
      <w:lvlText w:val="•"/>
      <w:lvlJc w:val="left"/>
      <w:pPr>
        <w:ind w:left="5543" w:hanging="166"/>
      </w:pPr>
      <w:rPr>
        <w:rFonts w:hint="default"/>
      </w:rPr>
    </w:lvl>
    <w:lvl w:ilvl="6" w:tplc="7BACEAD6">
      <w:numFmt w:val="bullet"/>
      <w:lvlText w:val="•"/>
      <w:lvlJc w:val="left"/>
      <w:pPr>
        <w:ind w:left="6508" w:hanging="166"/>
      </w:pPr>
      <w:rPr>
        <w:rFonts w:hint="default"/>
      </w:rPr>
    </w:lvl>
    <w:lvl w:ilvl="7" w:tplc="D21C09AE">
      <w:numFmt w:val="bullet"/>
      <w:lvlText w:val="•"/>
      <w:lvlJc w:val="left"/>
      <w:pPr>
        <w:ind w:left="7473" w:hanging="166"/>
      </w:pPr>
      <w:rPr>
        <w:rFonts w:hint="default"/>
      </w:rPr>
    </w:lvl>
    <w:lvl w:ilvl="8" w:tplc="C4E04456">
      <w:numFmt w:val="bullet"/>
      <w:lvlText w:val="•"/>
      <w:lvlJc w:val="left"/>
      <w:pPr>
        <w:ind w:left="8438" w:hanging="166"/>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4D317B7"/>
    <w:multiLevelType w:val="hybridMultilevel"/>
    <w:tmpl w:val="F79A6A8C"/>
    <w:lvl w:ilvl="0" w:tplc="EBCA36D0">
      <w:start w:val="1"/>
      <w:numFmt w:val="lowerLetter"/>
      <w:lvlText w:val="%1)"/>
      <w:lvlJc w:val="left"/>
      <w:pPr>
        <w:ind w:left="1551" w:hanging="720"/>
      </w:pPr>
      <w:rPr>
        <w:rFonts w:ascii="Times New Roman" w:eastAsia="Times New Roman" w:hAnsi="Times New Roman" w:cs="Times New Roman" w:hint="default"/>
        <w:spacing w:val="-1"/>
        <w:w w:val="99"/>
        <w:sz w:val="22"/>
        <w:szCs w:val="22"/>
      </w:rPr>
    </w:lvl>
    <w:lvl w:ilvl="1" w:tplc="5792FAE2">
      <w:numFmt w:val="bullet"/>
      <w:lvlText w:val="•"/>
      <w:lvlJc w:val="left"/>
      <w:pPr>
        <w:ind w:left="2440" w:hanging="720"/>
      </w:pPr>
      <w:rPr>
        <w:rFonts w:hint="default"/>
      </w:rPr>
    </w:lvl>
    <w:lvl w:ilvl="2" w:tplc="38D6D0AC">
      <w:numFmt w:val="bullet"/>
      <w:lvlText w:val="•"/>
      <w:lvlJc w:val="left"/>
      <w:pPr>
        <w:ind w:left="3321" w:hanging="720"/>
      </w:pPr>
      <w:rPr>
        <w:rFonts w:hint="default"/>
      </w:rPr>
    </w:lvl>
    <w:lvl w:ilvl="3" w:tplc="F8EAF518">
      <w:numFmt w:val="bullet"/>
      <w:lvlText w:val="•"/>
      <w:lvlJc w:val="left"/>
      <w:pPr>
        <w:ind w:left="4202" w:hanging="720"/>
      </w:pPr>
      <w:rPr>
        <w:rFonts w:hint="default"/>
      </w:rPr>
    </w:lvl>
    <w:lvl w:ilvl="4" w:tplc="400A16C6">
      <w:numFmt w:val="bullet"/>
      <w:lvlText w:val="•"/>
      <w:lvlJc w:val="left"/>
      <w:pPr>
        <w:ind w:left="5083" w:hanging="720"/>
      </w:pPr>
      <w:rPr>
        <w:rFonts w:hint="default"/>
      </w:rPr>
    </w:lvl>
    <w:lvl w:ilvl="5" w:tplc="ED509F00">
      <w:numFmt w:val="bullet"/>
      <w:lvlText w:val="•"/>
      <w:lvlJc w:val="left"/>
      <w:pPr>
        <w:ind w:left="5963" w:hanging="720"/>
      </w:pPr>
      <w:rPr>
        <w:rFonts w:hint="default"/>
      </w:rPr>
    </w:lvl>
    <w:lvl w:ilvl="6" w:tplc="53CE6988">
      <w:numFmt w:val="bullet"/>
      <w:lvlText w:val="•"/>
      <w:lvlJc w:val="left"/>
      <w:pPr>
        <w:ind w:left="6844" w:hanging="720"/>
      </w:pPr>
      <w:rPr>
        <w:rFonts w:hint="default"/>
      </w:rPr>
    </w:lvl>
    <w:lvl w:ilvl="7" w:tplc="0BA405FA">
      <w:numFmt w:val="bullet"/>
      <w:lvlText w:val="•"/>
      <w:lvlJc w:val="left"/>
      <w:pPr>
        <w:ind w:left="7725" w:hanging="720"/>
      </w:pPr>
      <w:rPr>
        <w:rFonts w:hint="default"/>
      </w:rPr>
    </w:lvl>
    <w:lvl w:ilvl="8" w:tplc="AE0C84DC">
      <w:numFmt w:val="bullet"/>
      <w:lvlText w:val="•"/>
      <w:lvlJc w:val="left"/>
      <w:pPr>
        <w:ind w:left="8606" w:hanging="720"/>
      </w:pPr>
      <w:rPr>
        <w:rFonts w:hint="default"/>
      </w:rPr>
    </w:lvl>
  </w:abstractNum>
  <w:abstractNum w:abstractNumId="3" w15:restartNumberingAfterBreak="0">
    <w:nsid w:val="168643E3"/>
    <w:multiLevelType w:val="hybridMultilevel"/>
    <w:tmpl w:val="171A8F2C"/>
    <w:lvl w:ilvl="0" w:tplc="F6B63F6C">
      <w:start w:val="1"/>
      <w:numFmt w:val="lowerLetter"/>
      <w:lvlText w:val="%1)"/>
      <w:lvlJc w:val="left"/>
      <w:pPr>
        <w:ind w:left="1191" w:hanging="360"/>
      </w:pPr>
      <w:rPr>
        <w:rFonts w:ascii="Times New Roman" w:eastAsia="Times New Roman" w:hAnsi="Times New Roman" w:cs="Times New Roman" w:hint="default"/>
        <w:spacing w:val="-1"/>
        <w:w w:val="99"/>
        <w:sz w:val="22"/>
        <w:szCs w:val="22"/>
      </w:rPr>
    </w:lvl>
    <w:lvl w:ilvl="1" w:tplc="9376B5D0">
      <w:numFmt w:val="bullet"/>
      <w:lvlText w:val="•"/>
      <w:lvlJc w:val="left"/>
      <w:pPr>
        <w:ind w:left="2116" w:hanging="360"/>
      </w:pPr>
      <w:rPr>
        <w:rFonts w:hint="default"/>
      </w:rPr>
    </w:lvl>
    <w:lvl w:ilvl="2" w:tplc="9A66D1CC">
      <w:numFmt w:val="bullet"/>
      <w:lvlText w:val="•"/>
      <w:lvlJc w:val="left"/>
      <w:pPr>
        <w:ind w:left="3033" w:hanging="360"/>
      </w:pPr>
      <w:rPr>
        <w:rFonts w:hint="default"/>
      </w:rPr>
    </w:lvl>
    <w:lvl w:ilvl="3" w:tplc="086C5178">
      <w:numFmt w:val="bullet"/>
      <w:lvlText w:val="•"/>
      <w:lvlJc w:val="left"/>
      <w:pPr>
        <w:ind w:left="3950" w:hanging="360"/>
      </w:pPr>
      <w:rPr>
        <w:rFonts w:hint="default"/>
      </w:rPr>
    </w:lvl>
    <w:lvl w:ilvl="4" w:tplc="E716E498">
      <w:numFmt w:val="bullet"/>
      <w:lvlText w:val="•"/>
      <w:lvlJc w:val="left"/>
      <w:pPr>
        <w:ind w:left="4867" w:hanging="360"/>
      </w:pPr>
      <w:rPr>
        <w:rFonts w:hint="default"/>
      </w:rPr>
    </w:lvl>
    <w:lvl w:ilvl="5" w:tplc="4C38550A">
      <w:numFmt w:val="bullet"/>
      <w:lvlText w:val="•"/>
      <w:lvlJc w:val="left"/>
      <w:pPr>
        <w:ind w:left="5783" w:hanging="360"/>
      </w:pPr>
      <w:rPr>
        <w:rFonts w:hint="default"/>
      </w:rPr>
    </w:lvl>
    <w:lvl w:ilvl="6" w:tplc="D3889E34">
      <w:numFmt w:val="bullet"/>
      <w:lvlText w:val="•"/>
      <w:lvlJc w:val="left"/>
      <w:pPr>
        <w:ind w:left="6700" w:hanging="360"/>
      </w:pPr>
      <w:rPr>
        <w:rFonts w:hint="default"/>
      </w:rPr>
    </w:lvl>
    <w:lvl w:ilvl="7" w:tplc="D196FD5A">
      <w:numFmt w:val="bullet"/>
      <w:lvlText w:val="•"/>
      <w:lvlJc w:val="left"/>
      <w:pPr>
        <w:ind w:left="7617" w:hanging="360"/>
      </w:pPr>
      <w:rPr>
        <w:rFonts w:hint="default"/>
      </w:rPr>
    </w:lvl>
    <w:lvl w:ilvl="8" w:tplc="03A4F406">
      <w:numFmt w:val="bullet"/>
      <w:lvlText w:val="•"/>
      <w:lvlJc w:val="left"/>
      <w:pPr>
        <w:ind w:left="8534" w:hanging="360"/>
      </w:pPr>
      <w:rPr>
        <w:rFonts w:hint="default"/>
      </w:rPr>
    </w:lvl>
  </w:abstractNum>
  <w:abstractNum w:abstractNumId="4" w15:restartNumberingAfterBreak="0">
    <w:nsid w:val="18B16D0A"/>
    <w:multiLevelType w:val="hybridMultilevel"/>
    <w:tmpl w:val="AD4A6AE8"/>
    <w:lvl w:ilvl="0" w:tplc="E822DFF6">
      <w:numFmt w:val="bullet"/>
      <w:lvlText w:val=""/>
      <w:lvlJc w:val="left"/>
      <w:pPr>
        <w:ind w:left="1286" w:hanging="568"/>
      </w:pPr>
      <w:rPr>
        <w:rFonts w:ascii="Symbol" w:eastAsia="Symbol" w:hAnsi="Symbol" w:cs="Symbol" w:hint="default"/>
        <w:w w:val="99"/>
        <w:sz w:val="22"/>
        <w:szCs w:val="22"/>
      </w:rPr>
    </w:lvl>
    <w:lvl w:ilvl="1" w:tplc="6F36EBA8">
      <w:numFmt w:val="bullet"/>
      <w:lvlText w:val="•"/>
      <w:lvlJc w:val="left"/>
      <w:pPr>
        <w:ind w:left="2188" w:hanging="568"/>
      </w:pPr>
      <w:rPr>
        <w:rFonts w:hint="default"/>
      </w:rPr>
    </w:lvl>
    <w:lvl w:ilvl="2" w:tplc="16422936">
      <w:numFmt w:val="bullet"/>
      <w:lvlText w:val="•"/>
      <w:lvlJc w:val="left"/>
      <w:pPr>
        <w:ind w:left="3097" w:hanging="568"/>
      </w:pPr>
      <w:rPr>
        <w:rFonts w:hint="default"/>
      </w:rPr>
    </w:lvl>
    <w:lvl w:ilvl="3" w:tplc="5F9659A0">
      <w:numFmt w:val="bullet"/>
      <w:lvlText w:val="•"/>
      <w:lvlJc w:val="left"/>
      <w:pPr>
        <w:ind w:left="4006" w:hanging="568"/>
      </w:pPr>
      <w:rPr>
        <w:rFonts w:hint="default"/>
      </w:rPr>
    </w:lvl>
    <w:lvl w:ilvl="4" w:tplc="D1427AB4">
      <w:numFmt w:val="bullet"/>
      <w:lvlText w:val="•"/>
      <w:lvlJc w:val="left"/>
      <w:pPr>
        <w:ind w:left="4915" w:hanging="568"/>
      </w:pPr>
      <w:rPr>
        <w:rFonts w:hint="default"/>
      </w:rPr>
    </w:lvl>
    <w:lvl w:ilvl="5" w:tplc="CE3A3C34">
      <w:numFmt w:val="bullet"/>
      <w:lvlText w:val="•"/>
      <w:lvlJc w:val="left"/>
      <w:pPr>
        <w:ind w:left="5823" w:hanging="568"/>
      </w:pPr>
      <w:rPr>
        <w:rFonts w:hint="default"/>
      </w:rPr>
    </w:lvl>
    <w:lvl w:ilvl="6" w:tplc="258A6396">
      <w:numFmt w:val="bullet"/>
      <w:lvlText w:val="•"/>
      <w:lvlJc w:val="left"/>
      <w:pPr>
        <w:ind w:left="6732" w:hanging="568"/>
      </w:pPr>
      <w:rPr>
        <w:rFonts w:hint="default"/>
      </w:rPr>
    </w:lvl>
    <w:lvl w:ilvl="7" w:tplc="DFE63284">
      <w:numFmt w:val="bullet"/>
      <w:lvlText w:val="•"/>
      <w:lvlJc w:val="left"/>
      <w:pPr>
        <w:ind w:left="7641" w:hanging="568"/>
      </w:pPr>
      <w:rPr>
        <w:rFonts w:hint="default"/>
      </w:rPr>
    </w:lvl>
    <w:lvl w:ilvl="8" w:tplc="7A02237E">
      <w:numFmt w:val="bullet"/>
      <w:lvlText w:val="•"/>
      <w:lvlJc w:val="left"/>
      <w:pPr>
        <w:ind w:left="8550" w:hanging="568"/>
      </w:pPr>
      <w:rPr>
        <w:rFonts w:hint="default"/>
      </w:rPr>
    </w:lvl>
  </w:abstractNum>
  <w:abstractNum w:abstractNumId="5" w15:restartNumberingAfterBreak="0">
    <w:nsid w:val="2D223540"/>
    <w:multiLevelType w:val="hybridMultilevel"/>
    <w:tmpl w:val="ACB41E9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8B70FA3"/>
    <w:multiLevelType w:val="hybridMultilevel"/>
    <w:tmpl w:val="0E00952C"/>
    <w:lvl w:ilvl="0" w:tplc="4B764E36">
      <w:numFmt w:val="bullet"/>
      <w:lvlText w:val="*"/>
      <w:lvlJc w:val="left"/>
      <w:pPr>
        <w:ind w:left="1282" w:hanging="568"/>
      </w:pPr>
      <w:rPr>
        <w:rFonts w:ascii="Times New Roman" w:eastAsia="Times New Roman" w:hAnsi="Times New Roman" w:cs="Times New Roman" w:hint="default"/>
        <w:w w:val="99"/>
        <w:sz w:val="22"/>
        <w:szCs w:val="22"/>
      </w:rPr>
    </w:lvl>
    <w:lvl w:ilvl="1" w:tplc="C0040422">
      <w:numFmt w:val="bullet"/>
      <w:lvlText w:val="•"/>
      <w:lvlJc w:val="left"/>
      <w:pPr>
        <w:ind w:left="2188" w:hanging="568"/>
      </w:pPr>
      <w:rPr>
        <w:rFonts w:hint="default"/>
      </w:rPr>
    </w:lvl>
    <w:lvl w:ilvl="2" w:tplc="C714C9C0">
      <w:numFmt w:val="bullet"/>
      <w:lvlText w:val="•"/>
      <w:lvlJc w:val="left"/>
      <w:pPr>
        <w:ind w:left="3097" w:hanging="568"/>
      </w:pPr>
      <w:rPr>
        <w:rFonts w:hint="default"/>
      </w:rPr>
    </w:lvl>
    <w:lvl w:ilvl="3" w:tplc="77964C14">
      <w:numFmt w:val="bullet"/>
      <w:lvlText w:val="•"/>
      <w:lvlJc w:val="left"/>
      <w:pPr>
        <w:ind w:left="4006" w:hanging="568"/>
      </w:pPr>
      <w:rPr>
        <w:rFonts w:hint="default"/>
      </w:rPr>
    </w:lvl>
    <w:lvl w:ilvl="4" w:tplc="F8EAB01E">
      <w:numFmt w:val="bullet"/>
      <w:lvlText w:val="•"/>
      <w:lvlJc w:val="left"/>
      <w:pPr>
        <w:ind w:left="4915" w:hanging="568"/>
      </w:pPr>
      <w:rPr>
        <w:rFonts w:hint="default"/>
      </w:rPr>
    </w:lvl>
    <w:lvl w:ilvl="5" w:tplc="08E6C730">
      <w:numFmt w:val="bullet"/>
      <w:lvlText w:val="•"/>
      <w:lvlJc w:val="left"/>
      <w:pPr>
        <w:ind w:left="5823" w:hanging="568"/>
      </w:pPr>
      <w:rPr>
        <w:rFonts w:hint="default"/>
      </w:rPr>
    </w:lvl>
    <w:lvl w:ilvl="6" w:tplc="0E54FE70">
      <w:numFmt w:val="bullet"/>
      <w:lvlText w:val="•"/>
      <w:lvlJc w:val="left"/>
      <w:pPr>
        <w:ind w:left="6732" w:hanging="568"/>
      </w:pPr>
      <w:rPr>
        <w:rFonts w:hint="default"/>
      </w:rPr>
    </w:lvl>
    <w:lvl w:ilvl="7" w:tplc="92E267FA">
      <w:numFmt w:val="bullet"/>
      <w:lvlText w:val="•"/>
      <w:lvlJc w:val="left"/>
      <w:pPr>
        <w:ind w:left="7641" w:hanging="568"/>
      </w:pPr>
      <w:rPr>
        <w:rFonts w:hint="default"/>
      </w:rPr>
    </w:lvl>
    <w:lvl w:ilvl="8" w:tplc="83A8295A">
      <w:numFmt w:val="bullet"/>
      <w:lvlText w:val="•"/>
      <w:lvlJc w:val="left"/>
      <w:pPr>
        <w:ind w:left="8550" w:hanging="568"/>
      </w:pPr>
      <w:rPr>
        <w:rFonts w:hint="default"/>
      </w:rPr>
    </w:lvl>
  </w:abstractNum>
  <w:abstractNum w:abstractNumId="9" w15:restartNumberingAfterBreak="0">
    <w:nsid w:val="3D756AF5"/>
    <w:multiLevelType w:val="hybridMultilevel"/>
    <w:tmpl w:val="3488ADF0"/>
    <w:lvl w:ilvl="0" w:tplc="617E7C1A">
      <w:start w:val="1"/>
      <w:numFmt w:val="lowerLetter"/>
      <w:lvlText w:val="%1)"/>
      <w:lvlJc w:val="left"/>
      <w:pPr>
        <w:ind w:left="752" w:hanging="357"/>
      </w:pPr>
      <w:rPr>
        <w:rFonts w:ascii="Times New Roman" w:eastAsia="Times New Roman" w:hAnsi="Times New Roman" w:cs="Times New Roman" w:hint="default"/>
        <w:spacing w:val="-1"/>
        <w:w w:val="99"/>
        <w:sz w:val="22"/>
        <w:szCs w:val="22"/>
      </w:rPr>
    </w:lvl>
    <w:lvl w:ilvl="1" w:tplc="8E0A9EF2">
      <w:start w:val="1"/>
      <w:numFmt w:val="lowerLetter"/>
      <w:lvlText w:val="%2)"/>
      <w:lvlJc w:val="left"/>
      <w:pPr>
        <w:ind w:left="1193" w:hanging="226"/>
      </w:pPr>
      <w:rPr>
        <w:rFonts w:ascii="Times New Roman" w:eastAsia="Times New Roman" w:hAnsi="Times New Roman" w:cs="Times New Roman" w:hint="default"/>
        <w:spacing w:val="-1"/>
        <w:w w:val="99"/>
        <w:sz w:val="22"/>
        <w:szCs w:val="22"/>
      </w:rPr>
    </w:lvl>
    <w:lvl w:ilvl="2" w:tplc="2F4AACF4">
      <w:numFmt w:val="bullet"/>
      <w:lvlText w:val="•"/>
      <w:lvlJc w:val="left"/>
      <w:pPr>
        <w:ind w:left="2218" w:hanging="226"/>
      </w:pPr>
      <w:rPr>
        <w:rFonts w:hint="default"/>
      </w:rPr>
    </w:lvl>
    <w:lvl w:ilvl="3" w:tplc="BC185E1A">
      <w:numFmt w:val="bullet"/>
      <w:lvlText w:val="•"/>
      <w:lvlJc w:val="left"/>
      <w:pPr>
        <w:ind w:left="3237" w:hanging="226"/>
      </w:pPr>
      <w:rPr>
        <w:rFonts w:hint="default"/>
      </w:rPr>
    </w:lvl>
    <w:lvl w:ilvl="4" w:tplc="A844D108">
      <w:numFmt w:val="bullet"/>
      <w:lvlText w:val="•"/>
      <w:lvlJc w:val="left"/>
      <w:pPr>
        <w:ind w:left="4255" w:hanging="226"/>
      </w:pPr>
      <w:rPr>
        <w:rFonts w:hint="default"/>
      </w:rPr>
    </w:lvl>
    <w:lvl w:ilvl="5" w:tplc="9A6A61AC">
      <w:numFmt w:val="bullet"/>
      <w:lvlText w:val="•"/>
      <w:lvlJc w:val="left"/>
      <w:pPr>
        <w:ind w:left="5274" w:hanging="226"/>
      </w:pPr>
      <w:rPr>
        <w:rFonts w:hint="default"/>
      </w:rPr>
    </w:lvl>
    <w:lvl w:ilvl="6" w:tplc="5D341C10">
      <w:numFmt w:val="bullet"/>
      <w:lvlText w:val="•"/>
      <w:lvlJc w:val="left"/>
      <w:pPr>
        <w:ind w:left="6293" w:hanging="226"/>
      </w:pPr>
      <w:rPr>
        <w:rFonts w:hint="default"/>
      </w:rPr>
    </w:lvl>
    <w:lvl w:ilvl="7" w:tplc="E126EEE2">
      <w:numFmt w:val="bullet"/>
      <w:lvlText w:val="•"/>
      <w:lvlJc w:val="left"/>
      <w:pPr>
        <w:ind w:left="7311" w:hanging="226"/>
      </w:pPr>
      <w:rPr>
        <w:rFonts w:hint="default"/>
      </w:rPr>
    </w:lvl>
    <w:lvl w:ilvl="8" w:tplc="DF429028">
      <w:numFmt w:val="bullet"/>
      <w:lvlText w:val="•"/>
      <w:lvlJc w:val="left"/>
      <w:pPr>
        <w:ind w:left="8330" w:hanging="226"/>
      </w:pPr>
      <w:rPr>
        <w:rFont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1E10655"/>
    <w:multiLevelType w:val="hybridMultilevel"/>
    <w:tmpl w:val="15665DD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4C92667"/>
    <w:multiLevelType w:val="hybridMultilevel"/>
    <w:tmpl w:val="3896278A"/>
    <w:lvl w:ilvl="0" w:tplc="2D825DEA">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3" w15:restartNumberingAfterBreak="0">
    <w:nsid w:val="477C1BCD"/>
    <w:multiLevelType w:val="hybridMultilevel"/>
    <w:tmpl w:val="30FEE61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78A3139"/>
    <w:multiLevelType w:val="hybridMultilevel"/>
    <w:tmpl w:val="A12A4FA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B0C4B2C"/>
    <w:multiLevelType w:val="hybridMultilevel"/>
    <w:tmpl w:val="2E98F418"/>
    <w:lvl w:ilvl="0" w:tplc="F9F0098E">
      <w:start w:val="1"/>
      <w:numFmt w:val="lowerLetter"/>
      <w:lvlText w:val="%1)"/>
      <w:lvlJc w:val="left"/>
      <w:pPr>
        <w:ind w:left="1502" w:hanging="534"/>
      </w:pPr>
      <w:rPr>
        <w:rFonts w:ascii="Times New Roman" w:eastAsia="Times New Roman" w:hAnsi="Times New Roman" w:cs="Times New Roman" w:hint="default"/>
        <w:spacing w:val="-1"/>
        <w:w w:val="99"/>
        <w:sz w:val="22"/>
        <w:szCs w:val="22"/>
      </w:rPr>
    </w:lvl>
    <w:lvl w:ilvl="1" w:tplc="021660FA">
      <w:numFmt w:val="bullet"/>
      <w:lvlText w:val="•"/>
      <w:lvlJc w:val="left"/>
      <w:pPr>
        <w:ind w:left="2386" w:hanging="534"/>
      </w:pPr>
      <w:rPr>
        <w:rFonts w:hint="default"/>
      </w:rPr>
    </w:lvl>
    <w:lvl w:ilvl="2" w:tplc="F3082460">
      <w:numFmt w:val="bullet"/>
      <w:lvlText w:val="•"/>
      <w:lvlJc w:val="left"/>
      <w:pPr>
        <w:ind w:left="3273" w:hanging="534"/>
      </w:pPr>
      <w:rPr>
        <w:rFonts w:hint="default"/>
      </w:rPr>
    </w:lvl>
    <w:lvl w:ilvl="3" w:tplc="FC144D0C">
      <w:numFmt w:val="bullet"/>
      <w:lvlText w:val="•"/>
      <w:lvlJc w:val="left"/>
      <w:pPr>
        <w:ind w:left="4160" w:hanging="534"/>
      </w:pPr>
      <w:rPr>
        <w:rFonts w:hint="default"/>
      </w:rPr>
    </w:lvl>
    <w:lvl w:ilvl="4" w:tplc="3662C458">
      <w:numFmt w:val="bullet"/>
      <w:lvlText w:val="•"/>
      <w:lvlJc w:val="left"/>
      <w:pPr>
        <w:ind w:left="5047" w:hanging="534"/>
      </w:pPr>
      <w:rPr>
        <w:rFonts w:hint="default"/>
      </w:rPr>
    </w:lvl>
    <w:lvl w:ilvl="5" w:tplc="F64699F4">
      <w:numFmt w:val="bullet"/>
      <w:lvlText w:val="•"/>
      <w:lvlJc w:val="left"/>
      <w:pPr>
        <w:ind w:left="5933" w:hanging="534"/>
      </w:pPr>
      <w:rPr>
        <w:rFonts w:hint="default"/>
      </w:rPr>
    </w:lvl>
    <w:lvl w:ilvl="6" w:tplc="D644904E">
      <w:numFmt w:val="bullet"/>
      <w:lvlText w:val="•"/>
      <w:lvlJc w:val="left"/>
      <w:pPr>
        <w:ind w:left="6820" w:hanging="534"/>
      </w:pPr>
      <w:rPr>
        <w:rFonts w:hint="default"/>
      </w:rPr>
    </w:lvl>
    <w:lvl w:ilvl="7" w:tplc="A29A792C">
      <w:numFmt w:val="bullet"/>
      <w:lvlText w:val="•"/>
      <w:lvlJc w:val="left"/>
      <w:pPr>
        <w:ind w:left="7707" w:hanging="534"/>
      </w:pPr>
      <w:rPr>
        <w:rFonts w:hint="default"/>
      </w:rPr>
    </w:lvl>
    <w:lvl w:ilvl="8" w:tplc="FFE4979A">
      <w:numFmt w:val="bullet"/>
      <w:lvlText w:val="•"/>
      <w:lvlJc w:val="left"/>
      <w:pPr>
        <w:ind w:left="8594" w:hanging="534"/>
      </w:pPr>
      <w:rPr>
        <w:rFont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D456B95"/>
    <w:multiLevelType w:val="hybridMultilevel"/>
    <w:tmpl w:val="EE80417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636E461A"/>
    <w:multiLevelType w:val="hybridMultilevel"/>
    <w:tmpl w:val="09427FB4"/>
    <w:lvl w:ilvl="0" w:tplc="96B8B5EA">
      <w:start w:val="1"/>
      <w:numFmt w:val="upperLetter"/>
      <w:lvlText w:val="%1"/>
      <w:lvlJc w:val="left"/>
      <w:pPr>
        <w:ind w:left="1282" w:hanging="564"/>
      </w:pPr>
      <w:rPr>
        <w:rFonts w:ascii="Times New Roman" w:eastAsia="Times New Roman" w:hAnsi="Times New Roman" w:cs="Times New Roman" w:hint="default"/>
        <w:w w:val="99"/>
        <w:sz w:val="22"/>
        <w:szCs w:val="22"/>
      </w:rPr>
    </w:lvl>
    <w:lvl w:ilvl="1" w:tplc="67F49508">
      <w:numFmt w:val="bullet"/>
      <w:lvlText w:val="•"/>
      <w:lvlJc w:val="left"/>
      <w:pPr>
        <w:ind w:left="2188" w:hanging="564"/>
      </w:pPr>
      <w:rPr>
        <w:rFonts w:hint="default"/>
      </w:rPr>
    </w:lvl>
    <w:lvl w:ilvl="2" w:tplc="CCA6840C">
      <w:numFmt w:val="bullet"/>
      <w:lvlText w:val="•"/>
      <w:lvlJc w:val="left"/>
      <w:pPr>
        <w:ind w:left="3097" w:hanging="564"/>
      </w:pPr>
      <w:rPr>
        <w:rFonts w:hint="default"/>
      </w:rPr>
    </w:lvl>
    <w:lvl w:ilvl="3" w:tplc="32C65736">
      <w:numFmt w:val="bullet"/>
      <w:lvlText w:val="•"/>
      <w:lvlJc w:val="left"/>
      <w:pPr>
        <w:ind w:left="4006" w:hanging="564"/>
      </w:pPr>
      <w:rPr>
        <w:rFonts w:hint="default"/>
      </w:rPr>
    </w:lvl>
    <w:lvl w:ilvl="4" w:tplc="21528D20">
      <w:numFmt w:val="bullet"/>
      <w:lvlText w:val="•"/>
      <w:lvlJc w:val="left"/>
      <w:pPr>
        <w:ind w:left="4915" w:hanging="564"/>
      </w:pPr>
      <w:rPr>
        <w:rFonts w:hint="default"/>
      </w:rPr>
    </w:lvl>
    <w:lvl w:ilvl="5" w:tplc="6D7A4F42">
      <w:numFmt w:val="bullet"/>
      <w:lvlText w:val="•"/>
      <w:lvlJc w:val="left"/>
      <w:pPr>
        <w:ind w:left="5823" w:hanging="564"/>
      </w:pPr>
      <w:rPr>
        <w:rFonts w:hint="default"/>
      </w:rPr>
    </w:lvl>
    <w:lvl w:ilvl="6" w:tplc="3022D714">
      <w:numFmt w:val="bullet"/>
      <w:lvlText w:val="•"/>
      <w:lvlJc w:val="left"/>
      <w:pPr>
        <w:ind w:left="6732" w:hanging="564"/>
      </w:pPr>
      <w:rPr>
        <w:rFonts w:hint="default"/>
      </w:rPr>
    </w:lvl>
    <w:lvl w:ilvl="7" w:tplc="968034E8">
      <w:numFmt w:val="bullet"/>
      <w:lvlText w:val="•"/>
      <w:lvlJc w:val="left"/>
      <w:pPr>
        <w:ind w:left="7641" w:hanging="564"/>
      </w:pPr>
      <w:rPr>
        <w:rFonts w:hint="default"/>
      </w:rPr>
    </w:lvl>
    <w:lvl w:ilvl="8" w:tplc="2B3AAE54">
      <w:numFmt w:val="bullet"/>
      <w:lvlText w:val="•"/>
      <w:lvlJc w:val="left"/>
      <w:pPr>
        <w:ind w:left="8550" w:hanging="564"/>
      </w:pPr>
      <w:rPr>
        <w:rFonts w:hint="default"/>
      </w:rPr>
    </w:lvl>
  </w:abstractNum>
  <w:abstractNum w:abstractNumId="19" w15:restartNumberingAfterBreak="0">
    <w:nsid w:val="66C144AF"/>
    <w:multiLevelType w:val="hybridMultilevel"/>
    <w:tmpl w:val="41BE624A"/>
    <w:lvl w:ilvl="0" w:tplc="32A667AE">
      <w:numFmt w:val="bullet"/>
      <w:lvlText w:val="●"/>
      <w:lvlJc w:val="left"/>
      <w:pPr>
        <w:ind w:left="1286" w:hanging="568"/>
      </w:pPr>
      <w:rPr>
        <w:rFonts w:ascii="Times New Roman" w:eastAsia="Times New Roman" w:hAnsi="Times New Roman" w:cs="Times New Roman" w:hint="default"/>
        <w:w w:val="99"/>
        <w:sz w:val="22"/>
        <w:szCs w:val="22"/>
      </w:rPr>
    </w:lvl>
    <w:lvl w:ilvl="1" w:tplc="1B168882">
      <w:numFmt w:val="bullet"/>
      <w:lvlText w:val="•"/>
      <w:lvlJc w:val="left"/>
      <w:pPr>
        <w:ind w:left="2188" w:hanging="568"/>
      </w:pPr>
      <w:rPr>
        <w:rFonts w:hint="default"/>
      </w:rPr>
    </w:lvl>
    <w:lvl w:ilvl="2" w:tplc="8E26DDCE">
      <w:numFmt w:val="bullet"/>
      <w:lvlText w:val="•"/>
      <w:lvlJc w:val="left"/>
      <w:pPr>
        <w:ind w:left="3097" w:hanging="568"/>
      </w:pPr>
      <w:rPr>
        <w:rFonts w:hint="default"/>
      </w:rPr>
    </w:lvl>
    <w:lvl w:ilvl="3" w:tplc="AC629BAC">
      <w:numFmt w:val="bullet"/>
      <w:lvlText w:val="•"/>
      <w:lvlJc w:val="left"/>
      <w:pPr>
        <w:ind w:left="4006" w:hanging="568"/>
      </w:pPr>
      <w:rPr>
        <w:rFonts w:hint="default"/>
      </w:rPr>
    </w:lvl>
    <w:lvl w:ilvl="4" w:tplc="82769182">
      <w:numFmt w:val="bullet"/>
      <w:lvlText w:val="•"/>
      <w:lvlJc w:val="left"/>
      <w:pPr>
        <w:ind w:left="4915" w:hanging="568"/>
      </w:pPr>
      <w:rPr>
        <w:rFonts w:hint="default"/>
      </w:rPr>
    </w:lvl>
    <w:lvl w:ilvl="5" w:tplc="BFC2136E">
      <w:numFmt w:val="bullet"/>
      <w:lvlText w:val="•"/>
      <w:lvlJc w:val="left"/>
      <w:pPr>
        <w:ind w:left="5823" w:hanging="568"/>
      </w:pPr>
      <w:rPr>
        <w:rFonts w:hint="default"/>
      </w:rPr>
    </w:lvl>
    <w:lvl w:ilvl="6" w:tplc="D3ACFAEE">
      <w:numFmt w:val="bullet"/>
      <w:lvlText w:val="•"/>
      <w:lvlJc w:val="left"/>
      <w:pPr>
        <w:ind w:left="6732" w:hanging="568"/>
      </w:pPr>
      <w:rPr>
        <w:rFonts w:hint="default"/>
      </w:rPr>
    </w:lvl>
    <w:lvl w:ilvl="7" w:tplc="1A98B3F8">
      <w:numFmt w:val="bullet"/>
      <w:lvlText w:val="•"/>
      <w:lvlJc w:val="left"/>
      <w:pPr>
        <w:ind w:left="7641" w:hanging="568"/>
      </w:pPr>
      <w:rPr>
        <w:rFonts w:hint="default"/>
      </w:rPr>
    </w:lvl>
    <w:lvl w:ilvl="8" w:tplc="E128686A">
      <w:numFmt w:val="bullet"/>
      <w:lvlText w:val="•"/>
      <w:lvlJc w:val="left"/>
      <w:pPr>
        <w:ind w:left="8550" w:hanging="568"/>
      </w:pPr>
      <w:rPr>
        <w:rFonts w:hint="default"/>
      </w:rPr>
    </w:lvl>
  </w:abstractNum>
  <w:abstractNum w:abstractNumId="20" w15:restartNumberingAfterBreak="0">
    <w:nsid w:val="6E63216F"/>
    <w:multiLevelType w:val="hybridMultilevel"/>
    <w:tmpl w:val="4830DB66"/>
    <w:lvl w:ilvl="0" w:tplc="950A4802">
      <w:start w:val="2"/>
      <w:numFmt w:val="decimal"/>
      <w:lvlText w:val="%1"/>
      <w:lvlJc w:val="left"/>
      <w:pPr>
        <w:ind w:left="717" w:hanging="166"/>
      </w:pPr>
      <w:rPr>
        <w:rFonts w:ascii="Times New Roman" w:eastAsia="Times New Roman" w:hAnsi="Times New Roman" w:cs="Times New Roman" w:hint="default"/>
        <w:w w:val="99"/>
        <w:sz w:val="22"/>
        <w:szCs w:val="22"/>
      </w:rPr>
    </w:lvl>
    <w:lvl w:ilvl="1" w:tplc="CCD2485C">
      <w:numFmt w:val="bullet"/>
      <w:lvlText w:val="•"/>
      <w:lvlJc w:val="left"/>
      <w:pPr>
        <w:ind w:left="1684" w:hanging="166"/>
      </w:pPr>
      <w:rPr>
        <w:rFonts w:hint="default"/>
      </w:rPr>
    </w:lvl>
    <w:lvl w:ilvl="2" w:tplc="5570FD0C">
      <w:numFmt w:val="bullet"/>
      <w:lvlText w:val="•"/>
      <w:lvlJc w:val="left"/>
      <w:pPr>
        <w:ind w:left="2649" w:hanging="166"/>
      </w:pPr>
      <w:rPr>
        <w:rFonts w:hint="default"/>
      </w:rPr>
    </w:lvl>
    <w:lvl w:ilvl="3" w:tplc="6A6E9FC6">
      <w:numFmt w:val="bullet"/>
      <w:lvlText w:val="•"/>
      <w:lvlJc w:val="left"/>
      <w:pPr>
        <w:ind w:left="3614" w:hanging="166"/>
      </w:pPr>
      <w:rPr>
        <w:rFonts w:hint="default"/>
      </w:rPr>
    </w:lvl>
    <w:lvl w:ilvl="4" w:tplc="13760BBC">
      <w:numFmt w:val="bullet"/>
      <w:lvlText w:val="•"/>
      <w:lvlJc w:val="left"/>
      <w:pPr>
        <w:ind w:left="4579" w:hanging="166"/>
      </w:pPr>
      <w:rPr>
        <w:rFonts w:hint="default"/>
      </w:rPr>
    </w:lvl>
    <w:lvl w:ilvl="5" w:tplc="A356B482">
      <w:numFmt w:val="bullet"/>
      <w:lvlText w:val="•"/>
      <w:lvlJc w:val="left"/>
      <w:pPr>
        <w:ind w:left="5543" w:hanging="166"/>
      </w:pPr>
      <w:rPr>
        <w:rFonts w:hint="default"/>
      </w:rPr>
    </w:lvl>
    <w:lvl w:ilvl="6" w:tplc="7BACEAD6">
      <w:numFmt w:val="bullet"/>
      <w:lvlText w:val="•"/>
      <w:lvlJc w:val="left"/>
      <w:pPr>
        <w:ind w:left="6508" w:hanging="166"/>
      </w:pPr>
      <w:rPr>
        <w:rFonts w:hint="default"/>
      </w:rPr>
    </w:lvl>
    <w:lvl w:ilvl="7" w:tplc="D21C09AE">
      <w:numFmt w:val="bullet"/>
      <w:lvlText w:val="•"/>
      <w:lvlJc w:val="left"/>
      <w:pPr>
        <w:ind w:left="7473" w:hanging="166"/>
      </w:pPr>
      <w:rPr>
        <w:rFonts w:hint="default"/>
      </w:rPr>
    </w:lvl>
    <w:lvl w:ilvl="8" w:tplc="C4E04456">
      <w:numFmt w:val="bullet"/>
      <w:lvlText w:val="•"/>
      <w:lvlJc w:val="left"/>
      <w:pPr>
        <w:ind w:left="8438" w:hanging="166"/>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9"/>
  </w:num>
  <w:num w:numId="8">
    <w:abstractNumId w:val="18"/>
  </w:num>
  <w:num w:numId="9">
    <w:abstractNumId w:val="8"/>
  </w:num>
  <w:num w:numId="10">
    <w:abstractNumId w:val="3"/>
  </w:num>
  <w:num w:numId="11">
    <w:abstractNumId w:val="2"/>
  </w:num>
  <w:num w:numId="12">
    <w:abstractNumId w:val="15"/>
  </w:num>
  <w:num w:numId="13">
    <w:abstractNumId w:val="9"/>
  </w:num>
  <w:num w:numId="14">
    <w:abstractNumId w:val="0"/>
  </w:num>
  <w:num w:numId="15">
    <w:abstractNumId w:val="20"/>
  </w:num>
  <w:num w:numId="16">
    <w:abstractNumId w:val="5"/>
  </w:num>
  <w:num w:numId="17">
    <w:abstractNumId w:val="17"/>
  </w:num>
  <w:num w:numId="18">
    <w:abstractNumId w:val="11"/>
  </w:num>
  <w:num w:numId="19">
    <w:abstractNumId w:val="12"/>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68"/>
    <w:rsid w:val="000259B9"/>
    <w:rsid w:val="00030B6C"/>
    <w:rsid w:val="00041491"/>
    <w:rsid w:val="00050D16"/>
    <w:rsid w:val="000730CA"/>
    <w:rsid w:val="00074F2A"/>
    <w:rsid w:val="000A1CA8"/>
    <w:rsid w:val="000A466B"/>
    <w:rsid w:val="000A72C9"/>
    <w:rsid w:val="000B058C"/>
    <w:rsid w:val="000E4EE6"/>
    <w:rsid w:val="001454E2"/>
    <w:rsid w:val="00206CE8"/>
    <w:rsid w:val="0021526C"/>
    <w:rsid w:val="00283A2B"/>
    <w:rsid w:val="002B30AD"/>
    <w:rsid w:val="002C2C01"/>
    <w:rsid w:val="00384A09"/>
    <w:rsid w:val="003A1E68"/>
    <w:rsid w:val="003A29AE"/>
    <w:rsid w:val="003A32D7"/>
    <w:rsid w:val="003B4074"/>
    <w:rsid w:val="003C769A"/>
    <w:rsid w:val="003F1838"/>
    <w:rsid w:val="004430D3"/>
    <w:rsid w:val="0045746C"/>
    <w:rsid w:val="0049104B"/>
    <w:rsid w:val="004E3B12"/>
    <w:rsid w:val="00532310"/>
    <w:rsid w:val="00565F0F"/>
    <w:rsid w:val="00594A86"/>
    <w:rsid w:val="00596D86"/>
    <w:rsid w:val="00611AD5"/>
    <w:rsid w:val="00616601"/>
    <w:rsid w:val="00637F5A"/>
    <w:rsid w:val="006560B1"/>
    <w:rsid w:val="006756DD"/>
    <w:rsid w:val="0068338F"/>
    <w:rsid w:val="006D3A15"/>
    <w:rsid w:val="006E2C6D"/>
    <w:rsid w:val="007008F5"/>
    <w:rsid w:val="00716715"/>
    <w:rsid w:val="00737275"/>
    <w:rsid w:val="00740EEC"/>
    <w:rsid w:val="0078011A"/>
    <w:rsid w:val="00782AF4"/>
    <w:rsid w:val="00790EE7"/>
    <w:rsid w:val="007B6649"/>
    <w:rsid w:val="007C75B5"/>
    <w:rsid w:val="0082576E"/>
    <w:rsid w:val="00835E55"/>
    <w:rsid w:val="00907F75"/>
    <w:rsid w:val="009260DE"/>
    <w:rsid w:val="0093258A"/>
    <w:rsid w:val="00935F67"/>
    <w:rsid w:val="009850F6"/>
    <w:rsid w:val="009C7B12"/>
    <w:rsid w:val="009C7BA3"/>
    <w:rsid w:val="009D1F5A"/>
    <w:rsid w:val="009D21A2"/>
    <w:rsid w:val="009F6A93"/>
    <w:rsid w:val="00A10294"/>
    <w:rsid w:val="00A533C2"/>
    <w:rsid w:val="00AC54DF"/>
    <w:rsid w:val="00AD7BA1"/>
    <w:rsid w:val="00AF6CB0"/>
    <w:rsid w:val="00B003BF"/>
    <w:rsid w:val="00B373D7"/>
    <w:rsid w:val="00BB5D0F"/>
    <w:rsid w:val="00BF59EE"/>
    <w:rsid w:val="00C335FE"/>
    <w:rsid w:val="00C36276"/>
    <w:rsid w:val="00C42586"/>
    <w:rsid w:val="00C60CCD"/>
    <w:rsid w:val="00C84483"/>
    <w:rsid w:val="00C95551"/>
    <w:rsid w:val="00CA18FD"/>
    <w:rsid w:val="00CB20D7"/>
    <w:rsid w:val="00D020B0"/>
    <w:rsid w:val="00D1063F"/>
    <w:rsid w:val="00D11748"/>
    <w:rsid w:val="00D366CF"/>
    <w:rsid w:val="00E10279"/>
    <w:rsid w:val="00E108AA"/>
    <w:rsid w:val="00E1181E"/>
    <w:rsid w:val="00E3749A"/>
    <w:rsid w:val="00E7437F"/>
    <w:rsid w:val="00E865B8"/>
    <w:rsid w:val="00EB1429"/>
    <w:rsid w:val="00EC0B9B"/>
    <w:rsid w:val="00ED5A4A"/>
    <w:rsid w:val="00ED5E9F"/>
    <w:rsid w:val="00EF6587"/>
    <w:rsid w:val="00F66D4F"/>
    <w:rsid w:val="00FB6D01"/>
    <w:rsid w:val="00FF11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B19C2"/>
  <w15:chartTrackingRefBased/>
  <w15:docId w15:val="{F25D0A1B-4E5E-4246-A153-381095AE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C335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9F6A93"/>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9F6A93"/>
    <w:rPr>
      <w:sz w:val="22"/>
      <w:szCs w:val="22"/>
      <w:lang w:val="en-US" w:eastAsia="en-US"/>
    </w:rPr>
  </w:style>
  <w:style w:type="paragraph" w:styleId="Listeafsnit">
    <w:name w:val="List Paragraph"/>
    <w:basedOn w:val="Normal"/>
    <w:uiPriority w:val="1"/>
    <w:qFormat/>
    <w:rsid w:val="009F6A93"/>
    <w:pPr>
      <w:widowControl w:val="0"/>
      <w:autoSpaceDE w:val="0"/>
      <w:autoSpaceDN w:val="0"/>
      <w:ind w:left="1285" w:hanging="568"/>
    </w:pPr>
    <w:rPr>
      <w:sz w:val="22"/>
      <w:szCs w:val="22"/>
      <w:lang w:val="en-US"/>
    </w:rPr>
  </w:style>
  <w:style w:type="table" w:customStyle="1" w:styleId="TableNormal">
    <w:name w:val="Table Normal"/>
    <w:uiPriority w:val="2"/>
    <w:semiHidden/>
    <w:unhideWhenUsed/>
    <w:qFormat/>
    <w:rsid w:val="009D21A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21A2"/>
    <w:pPr>
      <w:widowControl w:val="0"/>
      <w:autoSpaceDE w:val="0"/>
      <w:autoSpaceDN w:val="0"/>
      <w:ind w:left="141"/>
    </w:pPr>
    <w:rPr>
      <w:sz w:val="22"/>
      <w:szCs w:val="22"/>
      <w:lang w:val="en-US"/>
    </w:rPr>
  </w:style>
  <w:style w:type="character" w:customStyle="1" w:styleId="Teksttreci">
    <w:name w:val="Tekst treści_"/>
    <w:basedOn w:val="Standardskrifttypeiafsnit"/>
    <w:link w:val="Teksttreci0"/>
    <w:rsid w:val="009D21A2"/>
  </w:style>
  <w:style w:type="paragraph" w:customStyle="1" w:styleId="Teksttreci0">
    <w:name w:val="Tekst treści"/>
    <w:basedOn w:val="Normal"/>
    <w:link w:val="Teksttreci"/>
    <w:rsid w:val="009D21A2"/>
    <w:pPr>
      <w:widowControl w:val="0"/>
      <w:spacing w:after="220"/>
    </w:pPr>
    <w:rPr>
      <w:sz w:val="20"/>
      <w:lang w:eastAsia="da-DK"/>
    </w:rPr>
  </w:style>
  <w:style w:type="character" w:styleId="Hyperlink">
    <w:name w:val="Hyperlink"/>
    <w:basedOn w:val="Standardskrifttypeiafsnit"/>
    <w:uiPriority w:val="99"/>
    <w:unhideWhenUsed/>
    <w:rsid w:val="00BB5D0F"/>
    <w:rPr>
      <w:color w:val="0563C1" w:themeColor="hyperlink"/>
      <w:u w:val="single"/>
    </w:rPr>
  </w:style>
  <w:style w:type="character" w:customStyle="1" w:styleId="Overskrift2Tegn">
    <w:name w:val="Overskrift 2 Tegn"/>
    <w:basedOn w:val="Standardskrifttypeiafsnit"/>
    <w:link w:val="Overskrift2"/>
    <w:uiPriority w:val="9"/>
    <w:semiHidden/>
    <w:rsid w:val="00C335FE"/>
    <w:rPr>
      <w:rFonts w:asciiTheme="majorHAnsi" w:eastAsiaTheme="majorEastAsia" w:hAnsiTheme="majorHAnsi" w:cstheme="majorBidi"/>
      <w:color w:val="2E74B5" w:themeColor="accent1" w:themeShade="BF"/>
      <w:sz w:val="26"/>
      <w:szCs w:val="26"/>
      <w:lang w:eastAsia="en-US"/>
    </w:rPr>
  </w:style>
  <w:style w:type="table" w:styleId="Tabel-Gitter">
    <w:name w:val="Table Grid"/>
    <w:basedOn w:val="Tabel-Normal"/>
    <w:uiPriority w:val="39"/>
    <w:rsid w:val="00C335FE"/>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6601"/>
    <w:pPr>
      <w:autoSpaceDE w:val="0"/>
      <w:autoSpaceDN w:val="0"/>
      <w:adjustRightInd w:val="0"/>
    </w:pPr>
    <w:rPr>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41523">
      <w:bodyDiv w:val="1"/>
      <w:marLeft w:val="0"/>
      <w:marRight w:val="0"/>
      <w:marTop w:val="0"/>
      <w:marBottom w:val="0"/>
      <w:divBdr>
        <w:top w:val="none" w:sz="0" w:space="0" w:color="auto"/>
        <w:left w:val="none" w:sz="0" w:space="0" w:color="auto"/>
        <w:bottom w:val="none" w:sz="0" w:space="0" w:color="auto"/>
        <w:right w:val="none" w:sz="0" w:space="0" w:color="auto"/>
      </w:divBdr>
    </w:div>
    <w:div w:id="1572356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64154338">
      <w:bodyDiv w:val="1"/>
      <w:marLeft w:val="0"/>
      <w:marRight w:val="0"/>
      <w:marTop w:val="0"/>
      <w:marBottom w:val="0"/>
      <w:divBdr>
        <w:top w:val="none" w:sz="0" w:space="0" w:color="auto"/>
        <w:left w:val="none" w:sz="0" w:space="0" w:color="auto"/>
        <w:bottom w:val="none" w:sz="0" w:space="0" w:color="auto"/>
        <w:right w:val="none" w:sz="0" w:space="0" w:color="auto"/>
      </w:divBdr>
    </w:div>
    <w:div w:id="922765067">
      <w:bodyDiv w:val="1"/>
      <w:marLeft w:val="0"/>
      <w:marRight w:val="0"/>
      <w:marTop w:val="0"/>
      <w:marBottom w:val="0"/>
      <w:divBdr>
        <w:top w:val="none" w:sz="0" w:space="0" w:color="auto"/>
        <w:left w:val="none" w:sz="0" w:space="0" w:color="auto"/>
        <w:bottom w:val="none" w:sz="0" w:space="0" w:color="auto"/>
        <w:right w:val="none" w:sz="0" w:space="0" w:color="auto"/>
      </w:divBdr>
    </w:div>
    <w:div w:id="1188911875">
      <w:bodyDiv w:val="1"/>
      <w:marLeft w:val="0"/>
      <w:marRight w:val="0"/>
      <w:marTop w:val="0"/>
      <w:marBottom w:val="0"/>
      <w:divBdr>
        <w:top w:val="none" w:sz="0" w:space="0" w:color="auto"/>
        <w:left w:val="none" w:sz="0" w:space="0" w:color="auto"/>
        <w:bottom w:val="none" w:sz="0" w:space="0" w:color="auto"/>
        <w:right w:val="none" w:sz="0" w:space="0" w:color="auto"/>
      </w:divBdr>
    </w:div>
    <w:div w:id="19382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32</Pages>
  <Words>10687</Words>
  <Characters>67138</Characters>
  <Application>Microsoft Office Word</Application>
  <DocSecurity>0</DocSecurity>
  <Lines>559</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2023100168 pkt. 4.8, 5.1, 6.5, QRD</dc:description>
  <cp:lastModifiedBy>Gitte Ronnovius</cp:lastModifiedBy>
  <cp:revision>4</cp:revision>
  <cp:lastPrinted>2012-08-22T08:53:00Z</cp:lastPrinted>
  <dcterms:created xsi:type="dcterms:W3CDTF">2025-02-20T09:16:00Z</dcterms:created>
  <dcterms:modified xsi:type="dcterms:W3CDTF">2025-02-26T07:06:00Z</dcterms:modified>
</cp:coreProperties>
</file>